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B6EB1" w14:textId="23464E32" w:rsidR="00465DBB" w:rsidRPr="00AE3FC4" w:rsidRDefault="00465DBB" w:rsidP="00465DBB">
      <w:pPr>
        <w:pStyle w:val="Heading1"/>
      </w:pPr>
      <w:r w:rsidRPr="00AE3FC4">
        <w:t>States CP</w:t>
      </w:r>
      <w:r>
        <w:t xml:space="preserve"> – UTNIF – Starter Packet</w:t>
      </w:r>
    </w:p>
    <w:p w14:paraId="1CD260DB" w14:textId="77777777" w:rsidR="00465DBB" w:rsidRPr="00AE3FC4" w:rsidRDefault="00465DBB" w:rsidP="00465DBB">
      <w:pPr>
        <w:pStyle w:val="Heading2"/>
      </w:pPr>
      <w:r w:rsidRPr="00AE3FC4">
        <w:t>1NC</w:t>
      </w:r>
    </w:p>
    <w:p w14:paraId="4DDA8241" w14:textId="77777777" w:rsidR="00465DBB" w:rsidRPr="00AE3FC4" w:rsidRDefault="00465DBB" w:rsidP="00465DBB">
      <w:pPr>
        <w:pStyle w:val="Heading3"/>
      </w:pPr>
      <w:r w:rsidRPr="00AE3FC4">
        <w:t>1NC – States CP</w:t>
      </w:r>
    </w:p>
    <w:p w14:paraId="52C3E981" w14:textId="28952305" w:rsidR="00465DBB" w:rsidRPr="00AE3FC4" w:rsidRDefault="00B87334" w:rsidP="00465DBB">
      <w:pPr>
        <w:pStyle w:val="Heading4"/>
      </w:pPr>
      <w:r>
        <w:t xml:space="preserve">CP Text: </w:t>
      </w:r>
      <w:r w:rsidR="00465DBB" w:rsidRPr="00AE3FC4">
        <w:t>The fifty states and all relevant territories should substantially increase fiscal redistribution by adopting a climate jobs guarantee and implementing a carbon tax.</w:t>
      </w:r>
    </w:p>
    <w:p w14:paraId="40E1D74D" w14:textId="77777777" w:rsidR="00465DBB" w:rsidRPr="00AE3FC4" w:rsidRDefault="00465DBB" w:rsidP="00465DBB"/>
    <w:p w14:paraId="330D6BDB" w14:textId="77777777" w:rsidR="00465DBB" w:rsidRPr="00AE3FC4" w:rsidRDefault="00465DBB" w:rsidP="00465DBB">
      <w:pPr>
        <w:pStyle w:val="Heading4"/>
      </w:pPr>
      <w:r w:rsidRPr="00AE3FC4">
        <w:t>States have the resources to establish jobs guarantee program now</w:t>
      </w:r>
    </w:p>
    <w:p w14:paraId="24EF83F5" w14:textId="77777777" w:rsidR="00465DBB" w:rsidRPr="00AE3FC4" w:rsidRDefault="00465DBB" w:rsidP="00465DBB">
      <w:r w:rsidRPr="00AE3FC4">
        <w:rPr>
          <w:rStyle w:val="Style13ptBold"/>
        </w:rPr>
        <w:t>Newman 21</w:t>
      </w:r>
      <w:r w:rsidRPr="00AE3FC4">
        <w:t xml:space="preserve"> (Nathan Newman; Criminal Justice and Sociology Professor at CUNY; “Reset Labor Markets With a Local Half-Time Job Guarantee”; The Nation; 9/21/21; </w:t>
      </w:r>
      <w:hyperlink r:id="rId4" w:history="1">
        <w:r w:rsidRPr="00AE3FC4">
          <w:rPr>
            <w:rStyle w:val="Hyperlink"/>
          </w:rPr>
          <w:t>https://www.thenation.com/article/economy/half-time-job-gaurantee/</w:t>
        </w:r>
      </w:hyperlink>
      <w:r w:rsidRPr="00AE3FC4">
        <w:t>) [DTD]</w:t>
      </w:r>
    </w:p>
    <w:p w14:paraId="13A607DA" w14:textId="77777777" w:rsidR="00465DBB" w:rsidRPr="00AE3FC4" w:rsidRDefault="00465DBB" w:rsidP="00465DBB">
      <w:pPr>
        <w:rPr>
          <w:sz w:val="16"/>
        </w:rPr>
      </w:pPr>
      <w:r w:rsidRPr="00AE3FC4">
        <w:rPr>
          <w:sz w:val="16"/>
        </w:rPr>
        <w:t xml:space="preserve">Such </w:t>
      </w:r>
      <w:r w:rsidRPr="00AE3FC4">
        <w:rPr>
          <w:rStyle w:val="StyleUnderline"/>
        </w:rPr>
        <w:t>local job guarantee programs would build on federal proposals</w:t>
      </w:r>
      <w:r w:rsidRPr="00AE3FC4">
        <w:rPr>
          <w:sz w:val="16"/>
        </w:rPr>
        <w:t xml:space="preserve"> in recent years </w:t>
      </w:r>
      <w:r w:rsidRPr="00AE3FC4">
        <w:rPr>
          <w:rStyle w:val="StyleUnderline"/>
        </w:rPr>
        <w:t>by Bernie Sanders, Cory Booker, proponents of the Green New Deal, and policy centers like the Center on Budget and Policy Priorities, the Center for American Progress, and the Levy Economics Institute of Bard College</w:t>
      </w:r>
      <w:r w:rsidRPr="00AE3FC4">
        <w:rPr>
          <w:sz w:val="16"/>
        </w:rPr>
        <w:t xml:space="preserve">—all pushing federal programs to ensure that anyone wanting a job is guaranteed one by the government. While no federal job guarantee program looks likely to be approved in the current congressional session, the federal </w:t>
      </w:r>
      <w:r w:rsidRPr="00AE3FC4">
        <w:rPr>
          <w:rStyle w:val="StyleUnderline"/>
        </w:rPr>
        <w:t>dollars flowing to states and local governments from the American Rescue Plan Act</w:t>
      </w:r>
      <w:r w:rsidRPr="00AE3FC4">
        <w:rPr>
          <w:sz w:val="16"/>
        </w:rPr>
        <w:t xml:space="preserve"> and Biden’s projected “Build Back Better” program </w:t>
      </w:r>
      <w:r w:rsidRPr="00AE3FC4">
        <w:rPr>
          <w:rStyle w:val="StyleUnderline"/>
        </w:rPr>
        <w:t xml:space="preserve">create an opportunity for some states and local governments to pilot local versions that could be </w:t>
      </w:r>
      <w:r w:rsidRPr="00AE3FC4">
        <w:rPr>
          <w:rStyle w:val="Emphasis"/>
        </w:rPr>
        <w:t>models for a future federal policy</w:t>
      </w:r>
      <w:r w:rsidRPr="00AE3FC4">
        <w:rPr>
          <w:rStyle w:val="StyleUnderline"/>
        </w:rPr>
        <w:t>.</w:t>
      </w:r>
      <w:r w:rsidRPr="00AE3FC4">
        <w:rPr>
          <w:sz w:val="16"/>
        </w:rPr>
        <w:t xml:space="preserve"> Such federal </w:t>
      </w:r>
      <w:r w:rsidRPr="00AE3FC4">
        <w:rPr>
          <w:rStyle w:val="StyleUnderline"/>
        </w:rPr>
        <w:t>funding will help offset the substantial initial costs of a job guarantee program—which in time, as multiple studies of job investment programs show, will substantially offset those initial costs. By raising the long-term income of participants, a job guarantee will stimulate the overall economy and increases local tax revenues. Higher job participation also tends to reduce other government spending, by improving school outcomes of participants’ children and reducing criminal justice costs.</w:t>
      </w:r>
      <w:r w:rsidRPr="00AE3FC4">
        <w:rPr>
          <w:sz w:val="16"/>
        </w:rPr>
        <w:t xml:space="preserve"> Beyond supporting participants themselves, a key goal of a job guarantee is to expand overall worker power in the economy to demand higher wages. Reducing the desperation of the unemployed will strengthen individual and collective bargaining in all local industries; the resulting higher wages and consumption in turn will stimulate local economies and tax revenue.</w:t>
      </w:r>
    </w:p>
    <w:p w14:paraId="6387F25C" w14:textId="77777777" w:rsidR="00465DBB" w:rsidRPr="00B13859" w:rsidRDefault="00465DBB" w:rsidP="00465DBB"/>
    <w:p w14:paraId="7169AE27" w14:textId="77777777" w:rsidR="00465DBB" w:rsidRPr="00AE3FC4" w:rsidRDefault="00465DBB" w:rsidP="00465DBB">
      <w:pPr>
        <w:pStyle w:val="Heading4"/>
      </w:pPr>
      <w:r>
        <w:t>Carbon tax solves any funding shortfalls</w:t>
      </w:r>
    </w:p>
    <w:p w14:paraId="7E4AFC3C" w14:textId="77777777" w:rsidR="00465DBB" w:rsidRPr="00B13859" w:rsidRDefault="00465DBB" w:rsidP="00465DBB">
      <w:r w:rsidRPr="00AE3FC4">
        <w:rPr>
          <w:rStyle w:val="Style13ptBold"/>
        </w:rPr>
        <w:t>Morris et al 16</w:t>
      </w:r>
      <w:r w:rsidRPr="00AE3FC4">
        <w:t xml:space="preserve"> (Adele Morris, former Joseph A. Pechman senior fellow in Economic Studies and policy director for Climate and Energy Economics at the Brookings Institution; Yoram Bauman; holds a Ph.D. in Economics from the University of Washington; David Bookbinder; former Chief Counsel at Niskanen Center; “What to consider when designing a state-level carbon tax”; Brookings Institution; 6/26/16; </w:t>
      </w:r>
      <w:hyperlink r:id="rId5" w:history="1">
        <w:r w:rsidRPr="00AE3FC4">
          <w:rPr>
            <w:rStyle w:val="Hyperlink"/>
          </w:rPr>
          <w:t>https://www.brookings.edu/research/state-level-carbon-taxes-options-and-opportunities-for-policymakers/</w:t>
        </w:r>
      </w:hyperlink>
      <w:r w:rsidRPr="00AE3FC4">
        <w:t>) [DTD]</w:t>
      </w:r>
    </w:p>
    <w:p w14:paraId="1DBB838F" w14:textId="77777777" w:rsidR="00465DBB" w:rsidRDefault="00465DBB" w:rsidP="00465DBB">
      <w:r>
        <w:t>EXECUTIV</w:t>
      </w:r>
      <w:r w:rsidRPr="00651FAE">
        <w:rPr>
          <w:sz w:val="16"/>
        </w:rPr>
        <w:t xml:space="preserve">E SUMMARY </w:t>
      </w:r>
      <w:r w:rsidRPr="004976C2">
        <w:rPr>
          <w:rStyle w:val="StyleUnderline"/>
        </w:rPr>
        <w:t>Pricing carbon dioxide and other greenhouse gases (GHGs) would address the market failure inherent in an economy that doesn’t price damaging emissions.</w:t>
      </w:r>
      <w:r w:rsidRPr="00651FAE">
        <w:rPr>
          <w:sz w:val="16"/>
        </w:rPr>
        <w:t xml:space="preserve"> Much has been written about the design of a federal-level carbon tax. This paper adapts these findings to the state level, motivated by pending federal regulations (which place implementation obligations on states), </w:t>
      </w:r>
      <w:r w:rsidRPr="004976C2">
        <w:rPr>
          <w:rStyle w:val="StyleUnderline"/>
        </w:rPr>
        <w:t>policy discussions in states with commitments to ambitious long-term emissions targets, and state budget shortfalls that could necessitate new revenue.</w:t>
      </w:r>
      <w:r w:rsidRPr="00651FAE">
        <w:rPr>
          <w:sz w:val="16"/>
        </w:rPr>
        <w:t xml:space="preserve"> Notwithstanding the myriad political impediments to a carbon tax, this paper explains how </w:t>
      </w:r>
      <w:r w:rsidRPr="004976C2">
        <w:rPr>
          <w:rStyle w:val="StyleUnderline"/>
        </w:rPr>
        <w:t>state policymakers can design one to fit their fiscal, economic, distributional, and environmental goals.</w:t>
      </w:r>
      <w:r>
        <w:rPr>
          <w:rStyle w:val="StyleUnderline"/>
        </w:rPr>
        <w:t xml:space="preserve"> </w:t>
      </w:r>
      <w:r w:rsidRPr="004976C2">
        <w:rPr>
          <w:rStyle w:val="StyleUnderline"/>
        </w:rPr>
        <w:t>A state-level carbon tax</w:t>
      </w:r>
      <w:r w:rsidRPr="00651FAE">
        <w:rPr>
          <w:sz w:val="16"/>
        </w:rPr>
        <w:t xml:space="preserve">, particularly if set above prevailing emissions allowance prices in state cap-and-trade programs and applied economy-wide, </w:t>
      </w:r>
      <w:r w:rsidRPr="004976C2">
        <w:rPr>
          <w:rStyle w:val="StyleUnderline"/>
        </w:rPr>
        <w:t>could raise enough revenue in many states to play a substantial fiscal role; a $20 per ton tax on energy-related CO2 emissions could raise up to two or three percent of state GDP in the most emissions-intensive states. That is significant for a state tax; nationally, on average states collect only about five percent of GDP total from their own revenue instruments, including sales, property, income, and business taxes. A tax that rises at an annual rate above inflation should produce a reliable revenue source for decades even while it reduces emissions.</w:t>
      </w:r>
      <w:r w:rsidRPr="00651FAE">
        <w:rPr>
          <w:sz w:val="16"/>
        </w:rPr>
        <w:t xml:space="preserve"> States face many choices, including the sectors and sources of GHGs to cover, the point in the supply chain of fossil fuels at which to impose the tax, and other policy design elements. Importantly, the point of taxation is largely independent of who actually bears the economic burden of the tax because upstream producers or distributors will pass their costs along to those who buy their products. Thus </w:t>
      </w:r>
      <w:r w:rsidRPr="004976C2">
        <w:rPr>
          <w:rStyle w:val="StyleUnderline"/>
        </w:rPr>
        <w:t>states can choose a point of taxation that maximizes coverage, minimizes the number of taxpayers, and/or or coincides with existing state or federal tax or GHG reporting obligations.</w:t>
      </w:r>
      <w:r w:rsidRPr="00651FAE">
        <w:rPr>
          <w:sz w:val="16"/>
        </w:rPr>
        <w:t xml:space="preserve"> This paper reviews those and a host of other options regarding: • the tax treatment of carbon embodied in fuels, electricity, and goods that are imported or exported from the state; • tradeoffs arising across addressing the disproportionate burdens on low-income households and using the revenue in ways that promote economic growth; • how </w:t>
      </w:r>
      <w:r w:rsidRPr="004976C2">
        <w:rPr>
          <w:rStyle w:val="StyleUnderline"/>
        </w:rPr>
        <w:t>states can harmonize policies to avoid distortions in investment and trade</w:t>
      </w:r>
      <w:r>
        <w:t>; and • how a carbon tax can feature in state implementation plans for the Clean Power Plan and EPA rules under the Clean Air Act</w:t>
      </w:r>
    </w:p>
    <w:p w14:paraId="3DB2BEDF" w14:textId="77777777" w:rsidR="00465DBB" w:rsidRPr="00AE3FC4" w:rsidRDefault="00465DBB" w:rsidP="00465DBB">
      <w:pPr>
        <w:pStyle w:val="Heading2"/>
      </w:pPr>
      <w:r w:rsidRPr="00AE3FC4">
        <w:t>Solvency</w:t>
      </w:r>
    </w:p>
    <w:p w14:paraId="0D513427" w14:textId="77777777" w:rsidR="00465DBB" w:rsidRPr="00AE3FC4" w:rsidRDefault="00465DBB" w:rsidP="00465DBB">
      <w:pPr>
        <w:pStyle w:val="Heading3"/>
      </w:pPr>
      <w:r w:rsidRPr="00AE3FC4">
        <w:t>2NC – Solvency – Jobs Guarantee</w:t>
      </w:r>
    </w:p>
    <w:p w14:paraId="7F4A660D" w14:textId="77777777" w:rsidR="00465DBB" w:rsidRPr="00AE3FC4" w:rsidRDefault="00465DBB" w:rsidP="00465DBB">
      <w:pPr>
        <w:pStyle w:val="Heading4"/>
      </w:pPr>
      <w:r w:rsidRPr="00AE3FC4">
        <w:t>State action creates the foundation for a national program</w:t>
      </w:r>
    </w:p>
    <w:p w14:paraId="6439EF2A" w14:textId="77777777" w:rsidR="00465DBB" w:rsidRPr="00AE3FC4" w:rsidRDefault="00465DBB" w:rsidP="00465DBB">
      <w:r w:rsidRPr="00AE3FC4">
        <w:rPr>
          <w:rStyle w:val="Style13ptBold"/>
        </w:rPr>
        <w:t>Reese 19</w:t>
      </w:r>
      <w:r w:rsidRPr="00AE3FC4">
        <w:t xml:space="preserve"> (Isaac Reese; “Explainer: Why the Green New Deal Doesn’t Need Congress”; United States Studies Centre; 6/20/19; </w:t>
      </w:r>
      <w:hyperlink r:id="rId6" w:history="1">
        <w:r w:rsidRPr="00AE3FC4">
          <w:rPr>
            <w:rStyle w:val="Hyperlink"/>
          </w:rPr>
          <w:t>https://www.ussc.edu.au/analysis/explainer-green-new-deal-congress-states</w:t>
        </w:r>
      </w:hyperlink>
      <w:r w:rsidRPr="00AE3FC4">
        <w:t>) [DTD]</w:t>
      </w:r>
    </w:p>
    <w:p w14:paraId="1D991492" w14:textId="77777777" w:rsidR="00465DBB" w:rsidRPr="00AE3FC4" w:rsidRDefault="00465DBB" w:rsidP="00465DBB">
      <w:pPr>
        <w:rPr>
          <w:rStyle w:val="StyleUnderline"/>
        </w:rPr>
      </w:pPr>
      <w:r w:rsidRPr="00AE3FC4">
        <w:rPr>
          <w:sz w:val="16"/>
        </w:rPr>
        <w:t xml:space="preserve">STATES GO IT ALONE </w:t>
      </w:r>
      <w:r w:rsidRPr="00AE3FC4">
        <w:rPr>
          <w:rStyle w:val="StyleUnderline"/>
        </w:rPr>
        <w:t xml:space="preserve">US cities and states are adopting elements of the Green New Deal’s framework to address local needs. These local adaptations of the Green New Deal are becoming building blocks in accomplishing its establishment nationwide. </w:t>
      </w:r>
      <w:r w:rsidRPr="00AE3FC4">
        <w:rPr>
          <w:sz w:val="16"/>
        </w:rPr>
        <w:t xml:space="preserve">For example, </w:t>
      </w:r>
      <w:r w:rsidRPr="00AE3FC4">
        <w:rPr>
          <w:rStyle w:val="StyleUnderline"/>
        </w:rPr>
        <w:t>Maine’s version of the Green New Deal is the first to be backed by multiple major labour unions – an important ally in infrastructure reform. Meanwhile, the national Green New Deal has only recently gained the support of one labour union. The Illinois Green New Deal focuses on the environmental justice bill while at the national level there has been criticism for including it.</w:t>
      </w:r>
      <w:r w:rsidRPr="00AE3FC4">
        <w:rPr>
          <w:sz w:val="16"/>
        </w:rPr>
        <w:t xml:space="preserve"> Legislators in Washington encompassed utilities in the passage of its Green New Deal, which often are ignored in the climate change discussion regarding the transition of renewables. Grassroots activism has allowed these states to bring this legislation forward. None more apparent than in </w:t>
      </w:r>
      <w:r w:rsidRPr="00AE3FC4">
        <w:rPr>
          <w:rStyle w:val="StyleUnderline"/>
        </w:rPr>
        <w:t>Minnesota</w:t>
      </w:r>
      <w:r w:rsidRPr="00AE3FC4">
        <w:rPr>
          <w:sz w:val="16"/>
        </w:rPr>
        <w:t xml:space="preserve">. It’s </w:t>
      </w:r>
      <w:r w:rsidRPr="00AE3FC4">
        <w:rPr>
          <w:rStyle w:val="StyleUnderline"/>
        </w:rPr>
        <w:t>Green New Deal</w:t>
      </w:r>
      <w:r w:rsidRPr="00AE3FC4">
        <w:rPr>
          <w:sz w:val="16"/>
        </w:rPr>
        <w:t xml:space="preserve">, which has been youth-led, </w:t>
      </w:r>
      <w:r w:rsidRPr="00AE3FC4">
        <w:rPr>
          <w:rStyle w:val="StyleUnderline"/>
        </w:rPr>
        <w:t>pulls from many aspects of the federal Green New Deal, but most significantly aims to transition Minnesota’s utilities to be 100 per cent carbon-free by 2030. Washington is the only state to pass its bill while the others are still in the process.</w:t>
      </w:r>
      <w:r w:rsidRPr="00AE3FC4">
        <w:rPr>
          <w:sz w:val="16"/>
        </w:rPr>
        <w:t xml:space="preserve"> It should be noted that Maine, Illinois and Washington’s legislative branches are Democrat-controlled, but </w:t>
      </w:r>
      <w:r w:rsidRPr="00AE3FC4">
        <w:rPr>
          <w:rStyle w:val="StyleUnderline"/>
        </w:rPr>
        <w:t>Minnesota’s senate is Republican-controlled</w:t>
      </w:r>
      <w:r w:rsidRPr="00AE3FC4">
        <w:rPr>
          <w:sz w:val="16"/>
        </w:rPr>
        <w:t xml:space="preserve"> and its House of Representatives is Democrat-controlled. </w:t>
      </w:r>
      <w:r w:rsidRPr="00AE3FC4">
        <w:rPr>
          <w:rStyle w:val="StyleUnderline"/>
        </w:rPr>
        <w:t>Some states have been building towards something akin to a Green New Deal long before the debate came to Capitol Hill. For example, California has been leading the nation on what sustainable, environmentally-minded reform looks like, and how possible it is to strive for, even without national direction.</w:t>
      </w:r>
      <w:r w:rsidRPr="00AE3FC4">
        <w:rPr>
          <w:sz w:val="16"/>
        </w:rPr>
        <w:t xml:space="preserve"> Although California’s climate and renewable energy policies are not labelled as a ‘Green New Deal’, they seek to accomplish many of the same core aims. SOWING THE SEEDS OF A GREEN NEW DEAL The Trump administration will likely never implement something akin to a Green New Deal. That doesn’t mean its death, however. The US federal system allows states to move in a different direction to the White House and this is a case where there is strong evidence that they could. </w:t>
      </w:r>
      <w:r w:rsidRPr="00AE3FC4">
        <w:rPr>
          <w:rStyle w:val="StyleUnderline"/>
        </w:rPr>
        <w:t>As momentum builds and states continue to adopt and strengthen legislation with the Green New Deal in mind, the foundation for a national framework will be built incrementally.</w:t>
      </w:r>
      <w:r w:rsidRPr="00AE3FC4">
        <w:rPr>
          <w:sz w:val="16"/>
        </w:rPr>
        <w:t xml:space="preserve"> The Green New Deal is feasible and possible. </w:t>
      </w:r>
      <w:r w:rsidRPr="00AE3FC4">
        <w:rPr>
          <w:rStyle w:val="StyleUnderline"/>
        </w:rPr>
        <w:t>Municipalities and states around the United States are already making it happen.</w:t>
      </w:r>
    </w:p>
    <w:p w14:paraId="14B6F79D" w14:textId="77777777" w:rsidR="00465DBB" w:rsidRPr="00AE3FC4" w:rsidRDefault="00465DBB" w:rsidP="00465DBB"/>
    <w:p w14:paraId="4A45FBF4" w14:textId="77777777" w:rsidR="00465DBB" w:rsidRPr="00AE3FC4" w:rsidRDefault="00465DBB" w:rsidP="00465DBB">
      <w:pPr>
        <w:pStyle w:val="Heading4"/>
      </w:pPr>
      <w:r w:rsidRPr="00AE3FC4">
        <w:t>States have been empirically successful</w:t>
      </w:r>
    </w:p>
    <w:p w14:paraId="79DFA923" w14:textId="77777777" w:rsidR="00465DBB" w:rsidRPr="00AE3FC4" w:rsidRDefault="00465DBB" w:rsidP="00465DBB">
      <w:r w:rsidRPr="00AE3FC4">
        <w:rPr>
          <w:rStyle w:val="Style13ptBold"/>
        </w:rPr>
        <w:t>Sierra Club no date</w:t>
      </w:r>
      <w:r w:rsidRPr="00AE3FC4">
        <w:t xml:space="preserve"> (Sierra Club; “A Green New Deal Is Already Underway in States and Cities”; </w:t>
      </w:r>
      <w:hyperlink r:id="rId7" w:history="1">
        <w:r w:rsidRPr="00AE3FC4">
          <w:rPr>
            <w:rStyle w:val="Hyperlink"/>
          </w:rPr>
          <w:t>https://www.sierraclub.org/trade/green-new-deal-already-underway-states-and-cities</w:t>
        </w:r>
      </w:hyperlink>
      <w:r w:rsidRPr="00AE3FC4">
        <w:t xml:space="preserve">) [DTD] </w:t>
      </w:r>
    </w:p>
    <w:p w14:paraId="14689A54" w14:textId="77777777" w:rsidR="00465DBB" w:rsidRPr="00AE3FC4" w:rsidRDefault="00465DBB" w:rsidP="00465DBB">
      <w:pPr>
        <w:rPr>
          <w:b/>
          <w:sz w:val="24"/>
          <w:u w:val="single"/>
        </w:rPr>
      </w:pPr>
      <w:r w:rsidRPr="00AE3FC4">
        <w:rPr>
          <w:sz w:val="16"/>
        </w:rPr>
        <w:t xml:space="preserve">Momentum for a Green New Deal continues to grow.  Over 100 members of Congress have endorsed the landmark Green New Deal resolution and polls show broad support for this bold plan to tackle the climate crisis and pollution, create millions of high-paying jobs, and counteract systemic injustices. The </w:t>
      </w:r>
      <w:r w:rsidRPr="00AE3FC4">
        <w:rPr>
          <w:rStyle w:val="StyleUnderline"/>
        </w:rPr>
        <w:t>policy changes envisioned in the Green New Deal</w:t>
      </w:r>
      <w:r w:rsidRPr="00AE3FC4">
        <w:rPr>
          <w:sz w:val="16"/>
        </w:rPr>
        <w:t xml:space="preserve"> resolution are not hypothetical. In fact, many </w:t>
      </w:r>
      <w:r w:rsidRPr="00AE3FC4">
        <w:rPr>
          <w:rStyle w:val="StyleUnderline"/>
        </w:rPr>
        <w:t>are already happening at the state and local level, where broad local coalitions of labor, environmental, and racial justice groups are winning pro-climate, pro-jobs, pro-equity policies that help lay the groundwork for a national Green New Deal. In addition to more than 100 cities nationwide that have already committed to 100 percent clean, renewable energy, here are just a few examples of state and city initiatives that offer models and momentum for a nationwide Green New Deal.</w:t>
      </w:r>
      <w:r w:rsidRPr="00AE3FC4">
        <w:rPr>
          <w:sz w:val="16"/>
        </w:rPr>
        <w:t xml:space="preserve"> NEW YORK CITY </w:t>
      </w:r>
      <w:r w:rsidRPr="00AE3FC4">
        <w:rPr>
          <w:rStyle w:val="StyleUnderline"/>
        </w:rPr>
        <w:t>The New York City Council recently passed a job-creating bill that takes aim at the city's largest source of climate pollution: inefficient buildings. The new policy</w:t>
      </w:r>
      <w:r w:rsidRPr="00AE3FC4">
        <w:rPr>
          <w:sz w:val="16"/>
        </w:rPr>
        <w:t xml:space="preserve">, cited as part of the city's own Green New Deal, </w:t>
      </w:r>
      <w:r w:rsidRPr="00AE3FC4">
        <w:rPr>
          <w:rStyle w:val="StyleUnderline"/>
        </w:rPr>
        <w:t>will require about 50,000 large buildings to meet ambitious targets for reducing climate pollution. The building retrofits required by the policy are expected to create about 8,000 jobs each year. To protect low-income residents, the policy includes terms to prevent rent increases in rent-regulated buildings.</w:t>
      </w:r>
      <w:r w:rsidRPr="00AE3FC4">
        <w:rPr>
          <w:sz w:val="16"/>
        </w:rPr>
        <w:t xml:space="preserve"> MAINE </w:t>
      </w:r>
      <w:r w:rsidRPr="00AE3FC4">
        <w:rPr>
          <w:rStyle w:val="StyleUnderline"/>
        </w:rPr>
        <w:t>Maine recently enacted a new "Act To Establish a Green New Deal for Maine." The law will create a task force of labor, youth, climate science, and other representatives to craft a strategy for achieving 80% renewable energy</w:t>
      </w:r>
      <w:r w:rsidRPr="00AE3FC4">
        <w:rPr>
          <w:sz w:val="16"/>
        </w:rPr>
        <w:t xml:space="preserve"> in Maine by 2040, </w:t>
      </w:r>
      <w:r w:rsidRPr="00AE3FC4">
        <w:rPr>
          <w:rStyle w:val="StyleUnderline"/>
        </w:rPr>
        <w:t>creating good jobs in renewable energy and manufacturing, and ensuring low-income households have access to affordable solar power.</w:t>
      </w:r>
      <w:r w:rsidRPr="00AE3FC4">
        <w:rPr>
          <w:sz w:val="16"/>
        </w:rPr>
        <w:t xml:space="preserve"> The Maine AFL-CIO has praised the policy, saying that workers must "have a seat at the table in crafting bold climate protection policies." LOS ANGELES In April 2019, </w:t>
      </w:r>
      <w:r w:rsidRPr="00AE3FC4">
        <w:rPr>
          <w:rStyle w:val="StyleUnderline"/>
        </w:rPr>
        <w:t>Los Angeles Mayor Garcetti released an update to the Sustainable City pLAn, calling it "L.A.'s Green New Deal." The plan lays out the most ambitious and achievable climate goals for the city to date. It would invest in L.A.'s local workforce and economy by creating good union jobs for thousands of technicians, electricians, engineers, and other clean energy workers. Critically, the plan tackles the ongoing poor air quality</w:t>
      </w:r>
      <w:r w:rsidRPr="00AE3FC4">
        <w:rPr>
          <w:sz w:val="16"/>
        </w:rPr>
        <w:t xml:space="preserve"> that Los Angeles and other Southern California communities continue to breathe as the worst region for smog pollution in the country. ILLINOIS </w:t>
      </w:r>
      <w:r w:rsidRPr="00AE3FC4">
        <w:rPr>
          <w:rStyle w:val="StyleUnderline"/>
        </w:rPr>
        <w:t xml:space="preserve">The Future Energy Jobs Act gives low-income families priority access to solar panels, while providing solar-installation job training, particularly for formerly incarcerated people and communities fighting environmental injustice. The law also sets new energy-efficiency standards that are slated to further reduce air and climate pollution, create over 7,000 new jobs each year to retrofit buildings, and cut $4 billion in energy costs for Illinois families. </w:t>
      </w:r>
      <w:r w:rsidRPr="00AE3FC4">
        <w:rPr>
          <w:sz w:val="16"/>
        </w:rPr>
        <w:t xml:space="preserve">CALIFORNIA In addition to committing to 100 percent clean energy by 2045, </w:t>
      </w:r>
      <w:r w:rsidRPr="00AE3FC4">
        <w:rPr>
          <w:rStyle w:val="StyleUnderline"/>
        </w:rPr>
        <w:t>California’s Buy Clean policy helps stimulate clean manufacturing by requiring that tax dollars be spent on goods manufactured under conditions that protect our climate. The law will help ensure that when the state government buys steel for bridges or glass for offices, it sends tax dollars to manufacturers that are slashing their climate pollution and creating good jobs.</w:t>
      </w:r>
      <w:r w:rsidRPr="00AE3FC4">
        <w:rPr>
          <w:sz w:val="16"/>
        </w:rPr>
        <w:t xml:space="preserve"> NEW MEXICO </w:t>
      </w:r>
      <w:r w:rsidRPr="00AE3FC4">
        <w:rPr>
          <w:rStyle w:val="StyleUnderline"/>
        </w:rPr>
        <w:t xml:space="preserve">New Mexico has enacted a historic law to transition to 100 percent carbon-free electricity by 2045. The bill sets interim milestones for clean energy adoption and invests heavily in NM communities, accounting for retiring an existing coal-fired generating plant while pursuing a just and equitable transition to a clean energy future for NM workers and families. </w:t>
      </w:r>
      <w:r w:rsidRPr="00AE3FC4">
        <w:rPr>
          <w:sz w:val="16"/>
        </w:rPr>
        <w:t xml:space="preserve">PORTLAND In 2018, after a grassroots campaign led by communities of color, voters in </w:t>
      </w:r>
      <w:r w:rsidRPr="00AE3FC4">
        <w:rPr>
          <w:rStyle w:val="StyleUnderline"/>
        </w:rPr>
        <w:t>Portland overwhelmingly approved a ballot referendum that will raise $30-70 million per year, via a fee on big retailer profits, for energy efficiency, renewable energy, job training, affordable housing, regenerative agriculture, and green infrastructure projects.</w:t>
      </w:r>
      <w:r w:rsidRPr="00AE3FC4">
        <w:rPr>
          <w:sz w:val="16"/>
        </w:rPr>
        <w:t xml:space="preserve"> A new task force of city stakeholders will be tasked with deciding annually the beneficiaries of the fund, with at least half of the revenue going toward investments in low income communities and communities of color. SEATTLE In August 2019, </w:t>
      </w:r>
      <w:r w:rsidRPr="00AE3FC4">
        <w:rPr>
          <w:rStyle w:val="StyleUnderline"/>
        </w:rPr>
        <w:t>the Seattle city council unanimously passed a resolution calling for a city-level Green New Deal, which seeks to eliminate Seattle’s climate pollution by 2030, address historical and current injustices, and create thousands of good, green, well-paying, unionized jobs.</w:t>
      </w:r>
      <w:r w:rsidRPr="00AE3FC4">
        <w:rPr>
          <w:sz w:val="16"/>
        </w:rPr>
        <w:t xml:space="preserve"> The effort is being led by local environmental justice organizations and frontline communities of color, and includes a "Healthy Homes, Healthy Businesses" ordinance that would require new buildings in the city to run on clean electricity rather than gas appliances. PITTSBURGH </w:t>
      </w:r>
      <w:r w:rsidRPr="00AE3FC4">
        <w:rPr>
          <w:rStyle w:val="StyleUnderline"/>
        </w:rPr>
        <w:t xml:space="preserve">Pittsburgh United's Clean Rivers Campaign has been pushing for job-creating green infrastructure projects that could drastically reduce flooding in some of the city’s vulnerable neighborhoods. They are one of many local coalitions across the country calling for, and often securing, public investments in green spaces to absorb rainwater, replacement of lead pipes, and other infrastructure upgrades to increase climate resilience and ensure clean water. </w:t>
      </w:r>
      <w:r w:rsidRPr="00AE3FC4">
        <w:rPr>
          <w:sz w:val="16"/>
        </w:rPr>
        <w:t xml:space="preserve">DISTRICT OF COLUMBIA </w:t>
      </w:r>
      <w:r w:rsidRPr="00AE3FC4">
        <w:rPr>
          <w:rStyle w:val="StyleUnderline"/>
        </w:rPr>
        <w:t>The Clean Energy DC Omnibus Act of 2018 requires DC to transition to 100 percent clean, renewable electricity sources by 2032. It also sets stronger, job-creating building performance standards to reduce energy use and make buildings more energy efficient and requires buses and large private vehicle fleets to transition away from dirty fuel and toward electric vehicles.</w:t>
      </w:r>
    </w:p>
    <w:p w14:paraId="0BF550AD" w14:textId="77777777" w:rsidR="00465DBB" w:rsidRDefault="00465DBB" w:rsidP="00465DBB">
      <w:pPr>
        <w:pStyle w:val="Heading3"/>
      </w:pPr>
      <w:r>
        <w:t>2NC – Solvency – Carbon Tax</w:t>
      </w:r>
    </w:p>
    <w:p w14:paraId="5D24AD40" w14:textId="77777777" w:rsidR="00465DBB" w:rsidRPr="00AE3FC4" w:rsidRDefault="00465DBB" w:rsidP="00465DBB">
      <w:pPr>
        <w:pStyle w:val="Heading4"/>
      </w:pPr>
      <w:r>
        <w:t>Uniform state action is possible and solves leakage</w:t>
      </w:r>
    </w:p>
    <w:p w14:paraId="63175720" w14:textId="77777777" w:rsidR="00465DBB" w:rsidRPr="00B13859" w:rsidRDefault="00465DBB" w:rsidP="00465DBB">
      <w:r w:rsidRPr="00AE3FC4">
        <w:rPr>
          <w:rStyle w:val="Style13ptBold"/>
        </w:rPr>
        <w:t>Morris et al 16</w:t>
      </w:r>
      <w:r w:rsidRPr="00AE3FC4">
        <w:t xml:space="preserve"> (Adele Morris, former Joseph A. Pechman senior fellow in Economic Studies and policy director for Climate and Energy Economics at the Brookings Institution; Yoram Bauman; holds a Ph.D. in Economics from the University of Washington; David Bookbinder; former Chief Counsel at Niskanen Center; “What to consider when designing a state-level carbon tax”; Brookings Institution; 6/26/16; </w:t>
      </w:r>
      <w:hyperlink r:id="rId8" w:history="1">
        <w:r w:rsidRPr="00AE3FC4">
          <w:rPr>
            <w:rStyle w:val="Hyperlink"/>
          </w:rPr>
          <w:t>https://www.brookings.edu/research/state-level-carbon-taxes-options-and-opportunities-for-policymakers/</w:t>
        </w:r>
      </w:hyperlink>
      <w:r w:rsidRPr="00AE3FC4">
        <w:t>) [DTD]</w:t>
      </w:r>
    </w:p>
    <w:p w14:paraId="11764F87" w14:textId="77777777" w:rsidR="00465DBB" w:rsidRPr="00F54751" w:rsidRDefault="00465DBB" w:rsidP="00465DBB">
      <w:pPr>
        <w:rPr>
          <w:sz w:val="16"/>
        </w:rPr>
      </w:pPr>
      <w:r w:rsidRPr="00F54751">
        <w:rPr>
          <w:sz w:val="16"/>
        </w:rPr>
        <w:t xml:space="preserve">Harmonizing policies across jurisdictions </w:t>
      </w:r>
      <w:r w:rsidRPr="00884730">
        <w:rPr>
          <w:rStyle w:val="StyleUnderline"/>
        </w:rPr>
        <w:t>Harmonizing carbon price policies across states</w:t>
      </w:r>
      <w:r w:rsidRPr="00F54751">
        <w:rPr>
          <w:sz w:val="16"/>
        </w:rPr>
        <w:t xml:space="preserve"> (and perhaps federal or sub-federal jurisdictions in Canada, Mexico, and elsewhere) </w:t>
      </w:r>
      <w:r w:rsidRPr="000E53C3">
        <w:rPr>
          <w:rStyle w:val="StyleUnderline"/>
        </w:rPr>
        <w:t>would simplify compliance for large firms, allow more upstream taxation, and help avoid driving investment and emitting activities to other jurisdictions, a phenomenon known as leakage.</w:t>
      </w:r>
      <w:r w:rsidRPr="00F54751">
        <w:rPr>
          <w:sz w:val="16"/>
        </w:rPr>
        <w:t xml:space="preserve"> Formal linking, such as with a cap-and-trade system is one way to do this, but it is certainly not the only approach. </w:t>
      </w:r>
      <w:r w:rsidRPr="000E53C3">
        <w:rPr>
          <w:rStyle w:val="StyleUnderline"/>
        </w:rPr>
        <w:t>Coordinating institutions can offer model tax legislation, analytical resources, and other tools that that could help states develop their policies and promote common policy design elements, such as points of taxation, carbon price trajectories, treatment of imported and exported fuels and electricity, and other approaches that would facilitate trade and reduce investment distortions.</w:t>
      </w:r>
      <w:r w:rsidRPr="00F54751">
        <w:rPr>
          <w:sz w:val="16"/>
        </w:rPr>
        <w:t xml:space="preserve"> This work could also include states and provinces with cap-and-trade programs. For example, </w:t>
      </w:r>
      <w:r w:rsidRPr="00A61520">
        <w:rPr>
          <w:rStyle w:val="StyleUnderline"/>
        </w:rPr>
        <w:t>they</w:t>
      </w:r>
      <w:r w:rsidRPr="000E53C3">
        <w:rPr>
          <w:rStyle w:val="StyleUnderline"/>
        </w:rPr>
        <w:t xml:space="preserve"> could harmonize their floor prices on allowance auctions with tax levels in other jurisdictions.</w:t>
      </w:r>
      <w:r>
        <w:rPr>
          <w:rStyle w:val="StyleUnderline"/>
        </w:rPr>
        <w:t xml:space="preserve"> </w:t>
      </w:r>
      <w:r w:rsidRPr="000E53C3">
        <w:rPr>
          <w:rStyle w:val="StyleUnderline"/>
        </w:rPr>
        <w:t>Precedents for this kind of cooperation include the IFTA fuel tax arrangement</w:t>
      </w:r>
      <w:r w:rsidRPr="00F54751">
        <w:rPr>
          <w:sz w:val="16"/>
        </w:rPr>
        <w:t xml:space="preserve"> discussed earlier. In addition, </w:t>
      </w:r>
      <w:r w:rsidRPr="000E53C3">
        <w:rPr>
          <w:rStyle w:val="StyleUnderline"/>
        </w:rPr>
        <w:t>the Multistate Tax Commission advises states on the adoption of uniform tax policies to simplify the tax code and ease the burden on interstate commerce. These discussions could extend to the context of carbon tax design.</w:t>
      </w:r>
      <w:r w:rsidRPr="00F54751">
        <w:rPr>
          <w:sz w:val="16"/>
        </w:rPr>
        <w:t xml:space="preserve"> 49</w:t>
      </w:r>
    </w:p>
    <w:p w14:paraId="02D5ACE9" w14:textId="77777777" w:rsidR="00465DBB" w:rsidRPr="00B13859" w:rsidRDefault="00465DBB" w:rsidP="00465DBB"/>
    <w:p w14:paraId="5A572954" w14:textId="77777777" w:rsidR="00465DBB" w:rsidRPr="00AE3FC4" w:rsidRDefault="00465DBB" w:rsidP="00465DBB">
      <w:pPr>
        <w:pStyle w:val="Heading4"/>
      </w:pPr>
      <w:r>
        <w:t>State action leads to federal and international follow-on</w:t>
      </w:r>
    </w:p>
    <w:p w14:paraId="5CD96EAE" w14:textId="77777777" w:rsidR="00465DBB" w:rsidRPr="00AE3FC4" w:rsidRDefault="00465DBB" w:rsidP="00465DBB">
      <w:r w:rsidRPr="00AE3FC4">
        <w:rPr>
          <w:rStyle w:val="Style13ptBold"/>
        </w:rPr>
        <w:t>Morris and Weber 15</w:t>
      </w:r>
      <w:r w:rsidRPr="00AE3FC4">
        <w:t xml:space="preserve"> (Adele Morris; former Joseph A. Pechman senior fellow in Economic Studies and policy director for Climate and Energy Economics at the Brookings Institution; Evan Weber; “To comply with the Clean Power Plan, states should tax carbon”; Brookings Institution; 9/2/15; </w:t>
      </w:r>
      <w:hyperlink r:id="rId9" w:history="1">
        <w:r w:rsidRPr="00AE3FC4">
          <w:rPr>
            <w:rStyle w:val="Hyperlink"/>
          </w:rPr>
          <w:t>https://www.brookings.edu/opinions/to-comply-with-the-clean-power-plan-states-should-tax-carbon/</w:t>
        </w:r>
      </w:hyperlink>
      <w:r w:rsidRPr="00AE3FC4">
        <w:t>) [DTD]</w:t>
      </w:r>
    </w:p>
    <w:p w14:paraId="1C780106" w14:textId="77777777" w:rsidR="00465DBB" w:rsidRPr="00546C4A" w:rsidRDefault="00465DBB" w:rsidP="00465DBB">
      <w:pPr>
        <w:rPr>
          <w:sz w:val="16"/>
        </w:rPr>
      </w:pPr>
      <w:r w:rsidRPr="00546C4A">
        <w:rPr>
          <w:sz w:val="16"/>
        </w:rPr>
        <w:t xml:space="preserve">Two years ago, with meaningful legislation to reduce climate-disrupting greenhouse gas pollution stalled, President Obama instructed the Environmental Protection Agency (EPA) to begin regulating emissions from our nation’s largest source: electric power plants. Under its Clean Air Act authority, the EPA recently released a final rule that sets state-specific emissions limits for 2030 and outlines ways states can achieve their targets. One of these options, as EPA has now clarified, is “a fee for CO2 emissions from affected [Electricity Generating Units]”—or more simply, a carbon tax. </w:t>
      </w:r>
      <w:r w:rsidRPr="00F05CA7">
        <w:rPr>
          <w:rStyle w:val="StyleUnderline"/>
        </w:rPr>
        <w:t>For many states, a carbon tax could be the most easily administrable and cost-effective</w:t>
      </w:r>
      <w:r w:rsidRPr="00546C4A">
        <w:rPr>
          <w:sz w:val="16"/>
        </w:rPr>
        <w:t xml:space="preserve"> compliance </w:t>
      </w:r>
      <w:r w:rsidRPr="00F05CA7">
        <w:rPr>
          <w:rStyle w:val="StyleUnderline"/>
        </w:rPr>
        <w:t>approach, and they should start taking the idea seriously.</w:t>
      </w:r>
      <w:r w:rsidRPr="00546C4A">
        <w:rPr>
          <w:sz w:val="16"/>
        </w:rPr>
        <w:t xml:space="preserve"> Since the release of the final rule, much attention has been given to how states can trade emissions allowances across borders to reach goals jointly, allowing more abatement where costs are lowest. The requirements for these complicated schemes occupy hundreds of pages of the rule, while EPA devotes only one sentence (in the preamble) to the potentially equally cost-minimizing carbon tax approach. The agency clearly prefers cap-and-trade over other options, as evidenced by the detail in the rule and EPA’s accompanying proposed federal plan for states who do not submit an acceptable (or any) implementation plan. However, another factor accounts for EPA’s apparent short shrift for a tax approach: the concept is remarkably simple to understand—one-sentence simple—and just as easy to administer. By gradually increasing the cost of emitting greenhouse gases from coal- and natural gas-fired power plants by charging a per-ton fee for the CO2 emissions the plants already monitor, states could both reduce electricity demand from fossil fuel sources and level the playing field for zero-emissions alternatives like wind and solar. States already know how to implement such a tax; every state already taxes fuels such as gasoline, diesel, and natural gas. A state would just need to show, by modeling (the kind EPA already does), that its proposed carbon tax trajectory will hit its Clean Power Plan target and be prepared to adjust it or take other actions if emissions are off course. This simplicity can provide real economic and environmental benefits. British Columbia, the first government in North America to implement a straight-up carbon tax, reduced its emissions 7.1 times faster than analysts expected, in part because the transparent and predictable price signal allowed business and consumers to invest efficiently and with foresight. A new paper from the Brookings Institution shows that a carbon tax has a slight efficiency edge over tradable performance standards. And, unlike trading schemes, a carbon tax won’t transfer ratepayer dollars from one state to utilities in other states. </w:t>
      </w:r>
      <w:r w:rsidRPr="00F05CA7">
        <w:rPr>
          <w:rStyle w:val="StyleUnderline"/>
        </w:rPr>
        <w:t>The benefits of a carbon tax</w:t>
      </w:r>
      <w:r w:rsidRPr="00546C4A">
        <w:rPr>
          <w:sz w:val="16"/>
        </w:rPr>
        <w:t xml:space="preserve">, state or federal, </w:t>
      </w:r>
      <w:r w:rsidRPr="00F05CA7">
        <w:rPr>
          <w:rStyle w:val="StyleUnderline"/>
        </w:rPr>
        <w:t>will depend heavily on how the revenue is used. States could use the revenue any way they wish, including giving dividends to households or swapping out other taxes. Studies show that the most cost-effective policy would lower</w:t>
      </w:r>
      <w:r w:rsidRPr="00546C4A">
        <w:rPr>
          <w:sz w:val="16"/>
        </w:rPr>
        <w:t xml:space="preserve"> (or prevent increasing) </w:t>
      </w:r>
      <w:r w:rsidRPr="00F05CA7">
        <w:rPr>
          <w:rStyle w:val="StyleUnderline"/>
        </w:rPr>
        <w:t>other taxes that discourage working, investing, and saving. States could also use revenue to protect low-income households from energy cost increases, assist coal workers in the energy transition, fund climate adaptation, repair infrastructure, reduce budget shortfalls, or pursue other goals.</w:t>
      </w:r>
      <w:r>
        <w:rPr>
          <w:rStyle w:val="StyleUnderline"/>
        </w:rPr>
        <w:t xml:space="preserve"> </w:t>
      </w:r>
      <w:r w:rsidRPr="00F05CA7">
        <w:rPr>
          <w:rStyle w:val="StyleUnderline"/>
        </w:rPr>
        <w:t xml:space="preserve">Importantly, </w:t>
      </w:r>
      <w:r w:rsidRPr="00546C4A">
        <w:rPr>
          <w:rStyle w:val="Emphasis"/>
        </w:rPr>
        <w:t>states</w:t>
      </w:r>
      <w:r w:rsidRPr="00F05CA7">
        <w:rPr>
          <w:rStyle w:val="StyleUnderline"/>
        </w:rPr>
        <w:t xml:space="preserve"> that adopt a carbon tax can demonstrate the policy’s viability and </w:t>
      </w:r>
      <w:r w:rsidRPr="00546C4A">
        <w:rPr>
          <w:rStyle w:val="Emphasis"/>
        </w:rPr>
        <w:t>inform both federal and international efforts</w:t>
      </w:r>
      <w:r w:rsidRPr="00F05CA7">
        <w:rPr>
          <w:rStyle w:val="StyleUnderline"/>
        </w:rPr>
        <w:t>.</w:t>
      </w:r>
      <w:r w:rsidRPr="00546C4A">
        <w:rPr>
          <w:sz w:val="16"/>
        </w:rPr>
        <w:t xml:space="preserve"> The Clean Power Plan, assuming it survives the inevitable litigation, addresses just one sector in one country through 2030. </w:t>
      </w:r>
      <w:r w:rsidRPr="00F05CA7">
        <w:rPr>
          <w:rStyle w:val="StyleUnderline"/>
        </w:rPr>
        <w:t>To stabilize concentrations of greenhouse gases in the atmosphere, stronger and more coherent and transformative legislation, carefully leveraged to achieve ambitious action abroad, will be essential, and economists agree that pricing carbon is a core strategy.</w:t>
      </w:r>
      <w:r w:rsidRPr="00546C4A">
        <w:rPr>
          <w:sz w:val="16"/>
        </w:rPr>
        <w:t xml:space="preserve"> Already </w:t>
      </w:r>
      <w:r w:rsidRPr="00F05CA7">
        <w:rPr>
          <w:rStyle w:val="StyleUnderline"/>
        </w:rPr>
        <w:t>there are campaigns underway to put a price tag on climate pollution in Massachusetts, New York, Oregon, Rhode Island, Washington, and Vermont; the approach would be even better-suited to states like Illinois, who need to make significant greenhouse gas reductions and have unfunded liabilities. State innovations have led to some of the biggest federal policy changes in our nation. By allowing states to pursue fees on carbon, the Clean Power Plan opens the door for states to lead once again.</w:t>
      </w:r>
    </w:p>
    <w:p w14:paraId="42CC07AA" w14:textId="77777777" w:rsidR="00465DBB" w:rsidRPr="00AE3FC4" w:rsidRDefault="00465DBB" w:rsidP="00465DBB">
      <w:pPr>
        <w:pStyle w:val="Heading3"/>
      </w:pPr>
      <w:r>
        <w:t>2NC – Solvency – AT: No Funding</w:t>
      </w:r>
    </w:p>
    <w:p w14:paraId="284EDF59" w14:textId="77777777" w:rsidR="00465DBB" w:rsidRPr="00AE3FC4" w:rsidRDefault="00465DBB" w:rsidP="00465DBB">
      <w:pPr>
        <w:pStyle w:val="Heading4"/>
      </w:pPr>
      <w:r>
        <w:t>Carbon tax gives states ample funding for decades</w:t>
      </w:r>
    </w:p>
    <w:p w14:paraId="74DB23F5" w14:textId="77777777" w:rsidR="00465DBB" w:rsidRPr="00AE3FC4" w:rsidRDefault="00465DBB" w:rsidP="00465DBB">
      <w:r w:rsidRPr="00AE3FC4">
        <w:rPr>
          <w:rStyle w:val="Style13ptBold"/>
        </w:rPr>
        <w:t>Morris et al 16</w:t>
      </w:r>
      <w:r w:rsidRPr="00AE3FC4">
        <w:t xml:space="preserve"> (Adele Morris, former Joseph A. Pechman senior fellow in Economic Studies and policy director for Climate and Energy Economics at the Brookings Institution; Yoram Bauman; holds a Ph.D. in Economics from the University of Washington; David Bookbinder; former Chief Counsel at Niskanen Center; “What to consider when designing a state-level carbon tax”; Brookings Institution; 6/26/16; </w:t>
      </w:r>
      <w:hyperlink r:id="rId10" w:history="1">
        <w:r w:rsidRPr="00AE3FC4">
          <w:rPr>
            <w:rStyle w:val="Hyperlink"/>
          </w:rPr>
          <w:t>https://www.brookings.edu/research/state-level-carbon-taxes-options-and-opportunities-for-policymakers/</w:t>
        </w:r>
      </w:hyperlink>
      <w:r w:rsidRPr="00AE3FC4">
        <w:t>) [DTD] *table omitted</w:t>
      </w:r>
    </w:p>
    <w:p w14:paraId="15FF6AEA" w14:textId="77777777" w:rsidR="00465DBB" w:rsidRPr="00DD65D1" w:rsidRDefault="00465DBB" w:rsidP="00465DBB">
      <w:pPr>
        <w:rPr>
          <w:rStyle w:val="StyleUnderline"/>
        </w:rPr>
      </w:pPr>
      <w:r w:rsidRPr="001F3674">
        <w:rPr>
          <w:sz w:val="16"/>
        </w:rPr>
        <w:t xml:space="preserve">2. REVENUE </w:t>
      </w:r>
      <w:r w:rsidRPr="00DD65D1">
        <w:rPr>
          <w:rStyle w:val="StyleUnderline"/>
        </w:rPr>
        <w:t>The states that have begun pricing carbon through cap-and-trade programs have so far used allowance auction revenue primarily for environmental goals.</w:t>
      </w:r>
      <w:r w:rsidRPr="001F3674">
        <w:rPr>
          <w:sz w:val="16"/>
        </w:rPr>
        <w:t xml:space="preserve"> For example, </w:t>
      </w:r>
      <w:r w:rsidRPr="00DD65D1">
        <w:rPr>
          <w:rStyle w:val="StyleUnderline"/>
        </w:rPr>
        <w:t>California’s aforementioned AB 32 and the Regional Greenhouse Gas Initiative (RGGI) for power sector emissions in nine northeastern states both earmark allowance auction revenue for environment-related purposes.</w:t>
      </w:r>
      <w:r w:rsidRPr="001F3674">
        <w:rPr>
          <w:sz w:val="16"/>
        </w:rPr>
        <w:t xml:space="preserve">11 </w:t>
      </w:r>
      <w:r w:rsidRPr="00DD65D1">
        <w:rPr>
          <w:rStyle w:val="StyleUnderline"/>
        </w:rPr>
        <w:t>A study of the cumulative $1.4 billion in RGGI auction proceeds from 2008 to 2013 reports that the large majority of the revenue went to energy efficiency programs, energy bill assistance, and other GHG abatement activities.</w:t>
      </w:r>
      <w:r w:rsidRPr="001F3674">
        <w:rPr>
          <w:sz w:val="16"/>
        </w:rPr>
        <w:t xml:space="preserve">12 However, some RGGI states have shown interest in using the revenue for non-environmental purposes. For example, in 2010, New York used half of its revenue and New Jersey used all of its RGGI funds (prior to departing from the program the following year) to balance their budgets. </w:t>
      </w:r>
      <w:r w:rsidRPr="00DD65D1">
        <w:rPr>
          <w:rStyle w:val="StyleUnderline"/>
        </w:rPr>
        <w:t>A state-level carbon tax, particularly if set above the price signals operating in existing cap-and-trade programs and applied economy-wide, could raise enough revenue in many states to play a substantial fiscal role.</w:t>
      </w:r>
      <w:r w:rsidRPr="001F3674">
        <w:rPr>
          <w:sz w:val="16"/>
        </w:rPr>
        <w:t xml:space="preserve">13 How much revenue? Table 1 below shows the 2013 energy-related CO2 emissions by state in tons as reported by the U.S. Department of Energy’s Energy Information Administration (EIA). 14 The table provides an illustrative estimate of the potential revenue in each state, both in millions of dollars and as a share of state GDP in 2013, by multiplying each state’s fossil fuel CO2 emissions inventory by a hypothetical tax of $20 per ton of CO2. 15 Of course, the actual revenue in any state would depend on details of the tax base, the tax rate, how emissions respond to the price signal, and the policy and macroeconomic shifts that could lower revenues from other tax instruments. But this estimate at least indicates the order of magnitude of revenues available should policymakers wish to consider a carbon tax option. Table 1 shows that some jurisdictions, such as the District of Columbia and Vermont, would raise relatively little revenue from a carbon tax. That is generally because they either have no power plants within their borders or because they already have low-carbon electricity sectors, for example by relying mainly on hydropower. Other </w:t>
      </w:r>
      <w:r w:rsidRPr="00DD65D1">
        <w:rPr>
          <w:rStyle w:val="StyleUnderline"/>
        </w:rPr>
        <w:t>states, such as Wyoming and West Virginia, could raise over two percent of their state GDP from a $20 per ton tax on fossil energy-related CO2 emissions.</w:t>
      </w:r>
      <w:r w:rsidRPr="001F3674">
        <w:rPr>
          <w:sz w:val="16"/>
        </w:rPr>
        <w:t xml:space="preserve">17 </w:t>
      </w:r>
      <w:r w:rsidRPr="00DD65D1">
        <w:rPr>
          <w:rStyle w:val="StyleUnderline"/>
        </w:rPr>
        <w:t>Two percent of GDP is significant for a state tax; nationally, on average states collect only about five percent of GDP from their own revenue instruments</w:t>
      </w:r>
      <w:r w:rsidRPr="001F3674">
        <w:rPr>
          <w:sz w:val="16"/>
        </w:rPr>
        <w:t xml:space="preserve">, including sales, property, income, and business taxes (not counting transfers from the federal government).18 Forecasting revenue from the carbon fee involves multiplying the scheduled tax rates by a forecast of emissions subject to the tax. Revenues will depend on fluctuating demand for fossil energy, for example owing to weather and economic conditions, along with the responsiveness of fossil energy demand to the carbon price. These factors will vary significantly by state, depending on the existing energy mix, emissions patterns, and economic activity. Despite the uncertainties in forecasting carbon tax revenues, </w:t>
      </w:r>
      <w:r w:rsidRPr="00DD65D1">
        <w:rPr>
          <w:rStyle w:val="StyleUnderline"/>
        </w:rPr>
        <w:t>states may find that carbon fees are less volatile than other state revenue sources.</w:t>
      </w:r>
      <w:r w:rsidRPr="001F3674">
        <w:rPr>
          <w:sz w:val="16"/>
        </w:rPr>
        <w:t xml:space="preserve">19 For example, </w:t>
      </w:r>
      <w:r w:rsidRPr="00DD65D1">
        <w:rPr>
          <w:rStyle w:val="StyleUnderline"/>
        </w:rPr>
        <w:t>one major challenge that California faces is the pro-cyclical nature of its revenue stream; revenues fall just as economic activity falls and demands on social safety net programs rise. A recent study concluded that there are several factors behind California's relatively high degree of revenue volatility, notably “the extraordinary boom and bust in stock market-related revenues from stock options and capital gains.”</w:t>
      </w:r>
      <w:r w:rsidRPr="001F3674">
        <w:rPr>
          <w:sz w:val="16"/>
        </w:rPr>
        <w:t xml:space="preserve">20 </w:t>
      </w:r>
      <w:r w:rsidRPr="00DD65D1">
        <w:rPr>
          <w:rStyle w:val="StyleUnderline"/>
        </w:rPr>
        <w:t>Replacing or supplementing volatile sources of revenue</w:t>
      </w:r>
      <w:r w:rsidRPr="001F3674">
        <w:rPr>
          <w:sz w:val="16"/>
        </w:rPr>
        <w:t xml:space="preserve"> (such as taxes on capital gains and corporate income) </w:t>
      </w:r>
      <w:r w:rsidRPr="00DD65D1">
        <w:rPr>
          <w:rStyle w:val="StyleUnderline"/>
        </w:rPr>
        <w:t>with a carbon tax would help stabilize state finances and avoid a boom-and-bust cycle of funding for programs like schools and social welfare programs.</w:t>
      </w:r>
      <w:r w:rsidRPr="001F3674">
        <w:rPr>
          <w:sz w:val="16"/>
        </w:rPr>
        <w:t xml:space="preserve"> We return to the issue of revenue use in Section 4 below. </w:t>
      </w:r>
      <w:r w:rsidRPr="00DD65D1">
        <w:rPr>
          <w:rStyle w:val="StyleUnderline"/>
        </w:rPr>
        <w:t>The revenues from a carbon tax are subject to a (desirable) erosion of the tax base, particularly over the long run as capital in long-lived power plants and other industrial facilities turns over. States with relatively high coal use in their electricity sectors are likely to experience more emissions abatement than states in which relatively more emissions reductions need to come from transportation. If states adopt tax rates that rise in real terms, the rising rate can more than counteract the decline in the tax base. In that case, it could take decades before states need worry about declining carbon tax revenues.</w:t>
      </w:r>
    </w:p>
    <w:p w14:paraId="02B53EB2" w14:textId="77777777" w:rsidR="00465DBB" w:rsidRDefault="00465DBB" w:rsidP="00465DBB">
      <w:pPr>
        <w:pStyle w:val="Heading2"/>
      </w:pPr>
      <w:r w:rsidRPr="00AE3FC4">
        <w:t>A</w:t>
      </w:r>
      <w:r>
        <w:t xml:space="preserve">T: </w:t>
      </w:r>
      <w:r w:rsidRPr="00AE3FC4">
        <w:t>Perms</w:t>
      </w:r>
    </w:p>
    <w:p w14:paraId="7E32E22A" w14:textId="77777777" w:rsidR="00465DBB" w:rsidRDefault="00465DBB" w:rsidP="00465DBB">
      <w:pPr>
        <w:pStyle w:val="Heading3"/>
      </w:pPr>
      <w:r>
        <w:t>2NC – AT: Perm do Both</w:t>
      </w:r>
    </w:p>
    <w:p w14:paraId="011B6B9C" w14:textId="77777777" w:rsidR="00465DBB" w:rsidRPr="007C6A47" w:rsidRDefault="00465DBB" w:rsidP="00465DBB">
      <w:pPr>
        <w:pStyle w:val="Heading4"/>
      </w:pPr>
      <w:r>
        <w:t>The perm upends cooperative federalism – it’s funding schemes are non-cooperative</w:t>
      </w:r>
    </w:p>
    <w:p w14:paraId="13FBFDF1" w14:textId="77777777" w:rsidR="00465DBB" w:rsidRDefault="00465DBB" w:rsidP="00465DBB">
      <w:r w:rsidRPr="00904B74">
        <w:rPr>
          <w:rStyle w:val="Style13ptBold"/>
        </w:rPr>
        <w:t>Cross and Welton 21</w:t>
      </w:r>
      <w:r>
        <w:t xml:space="preserve"> (Jesse Cross; Assistant Professor, University of South Carolina School of Law; Shelly Welton; Associate Professor, University of South Carolina School of Law; “Making Federalism Work: Lessons from Health Care to the Green New Deal”; Scholar Commons; University of South Carolina Law School; pp. 765-826; 2021; </w:t>
      </w:r>
      <w:hyperlink r:id="rId11" w:history="1">
        <w:r w:rsidRPr="00F03888">
          <w:rPr>
            <w:rStyle w:val="Hyperlink"/>
          </w:rPr>
          <w:t>https://scholarcommons.sc.edu/cgi/viewcontent.cgi?article=2489&amp;context=law_facpub</w:t>
        </w:r>
      </w:hyperlink>
      <w:r>
        <w:t>) [DTD] GND = Green New Deal</w:t>
      </w:r>
    </w:p>
    <w:p w14:paraId="4549B7DB" w14:textId="77777777" w:rsidR="00465DBB" w:rsidRPr="005D0BD3" w:rsidRDefault="00465DBB" w:rsidP="00465DBB">
      <w:pPr>
        <w:rPr>
          <w:sz w:val="16"/>
        </w:rPr>
      </w:pPr>
      <w:r w:rsidRPr="00532B89">
        <w:rPr>
          <w:rStyle w:val="StyleUnderline"/>
        </w:rPr>
        <w:t>To navigate the entrenched cooperative federalist structures that pervade U.S. energy and environmental law,</w:t>
      </w:r>
      <w:r w:rsidRPr="005D0BD3">
        <w:rPr>
          <w:sz w:val="16"/>
        </w:rPr>
        <w:t xml:space="preserve"> 209 </w:t>
      </w:r>
      <w:r w:rsidRPr="00532B89">
        <w:rPr>
          <w:rStyle w:val="StyleUnderline"/>
        </w:rPr>
        <w:t>and which are now complicated by many "uncooperative" states,</w:t>
      </w:r>
      <w:r w:rsidRPr="005D0BD3">
        <w:rPr>
          <w:sz w:val="16"/>
        </w:rPr>
        <w:t xml:space="preserve">210 </w:t>
      </w:r>
      <w:r w:rsidRPr="00532B89">
        <w:rPr>
          <w:rStyle w:val="StyleUnderline"/>
        </w:rPr>
        <w:t>attention must be devoted to how to map the GND's substantive priorities onto the structure of the modern administrative state.</w:t>
      </w:r>
      <w:r w:rsidRPr="005D0BD3">
        <w:rPr>
          <w:sz w:val="16"/>
        </w:rPr>
        <w:t xml:space="preserve"> Today, </w:t>
      </w:r>
      <w:r w:rsidRPr="00532B89">
        <w:rPr>
          <w:rStyle w:val="StyleUnderline"/>
        </w:rPr>
        <w:t>U.S. energy and environmental law are both deeply federalist in their structures. In environmental law, "cooperative federalism" predominates,</w:t>
      </w:r>
      <w:r w:rsidRPr="005D0BD3">
        <w:rPr>
          <w:sz w:val="16"/>
        </w:rPr>
        <w:t xml:space="preserve">211 </w:t>
      </w:r>
      <w:r w:rsidRPr="00532B89">
        <w:rPr>
          <w:rStyle w:val="StyleUnderline"/>
        </w:rPr>
        <w:t>in which the federal government sets certain minimum standards for environmental quality and then allows states flexibility in planning for how to meet those standards.</w:t>
      </w:r>
      <w:r w:rsidRPr="005D0BD3">
        <w:rPr>
          <w:sz w:val="16"/>
        </w:rPr>
        <w:t xml:space="preserve"> 212 </w:t>
      </w:r>
      <w:r w:rsidRPr="00532B89">
        <w:rPr>
          <w:rStyle w:val="StyleUnderline"/>
        </w:rPr>
        <w:t>In energy law, the other body of U.S. law central to efforts at rapid decarbonization,</w:t>
      </w:r>
      <w:r w:rsidRPr="005D0BD3">
        <w:rPr>
          <w:sz w:val="16"/>
        </w:rPr>
        <w:t xml:space="preserve"> 213 </w:t>
      </w:r>
      <w:r w:rsidRPr="00532B89">
        <w:rPr>
          <w:rStyle w:val="StyleUnderline"/>
        </w:rPr>
        <w:t>jurisdiction is less cooperative</w:t>
      </w:r>
      <w:r w:rsidRPr="005D0BD3">
        <w:rPr>
          <w:sz w:val="16"/>
        </w:rPr>
        <w:t xml:space="preserve">, but also shared.214 The Federal Power Act ("FPA"), which has structured relations between the federal and state governments in the field of electricity since 1935, gives the federal government control over the pricing of interstate, wholesale electricity sales and interstate transmission lines, but leaves to states control over the retail electricity sector (that is, utility sales of electricity to end-use consumers) and over electricity generation. 215 Similarly, </w:t>
      </w:r>
      <w:r w:rsidRPr="00D86BC6">
        <w:rPr>
          <w:rStyle w:val="StyleUnderline"/>
        </w:rPr>
        <w:t>laws about infrastructure siting give states considerable authority over where and when to approve new transmission lines, oil pipelines, and electric generation facilities.</w:t>
      </w:r>
      <w:r w:rsidRPr="005D0BD3">
        <w:rPr>
          <w:sz w:val="16"/>
        </w:rPr>
        <w:t xml:space="preserve">216 Many states have used their authority under the FPA to respond aggressively to climate change, filling the federal climate change policy lacuna with a range of state-level policies. 217 A growing number of states now have laws that require decarbonization of the electricity sector on the same aggressive scale contemplated by the GND. 218 However, other </w:t>
      </w:r>
      <w:r w:rsidRPr="00D86BC6">
        <w:rPr>
          <w:rStyle w:val="StyleUnderline"/>
        </w:rPr>
        <w:t>states remain intransigent on climate, or continue to take steps in the wrong direction-such as Ohio's July 2019 legislation actively promoting coal.</w:t>
      </w:r>
      <w:r w:rsidRPr="005D0BD3">
        <w:rPr>
          <w:sz w:val="16"/>
        </w:rPr>
        <w:t xml:space="preserve">219 All to say, </w:t>
      </w:r>
      <w:r w:rsidRPr="00D86BC6">
        <w:rPr>
          <w:rStyle w:val="StyleUnderline"/>
        </w:rPr>
        <w:t>hyperpartisanship persists in state climate politics, much as it does in health care.</w:t>
      </w:r>
      <w:r>
        <w:rPr>
          <w:rStyle w:val="StyleUnderline"/>
        </w:rPr>
        <w:t xml:space="preserve"> </w:t>
      </w:r>
      <w:r w:rsidRPr="00D86BC6">
        <w:rPr>
          <w:rStyle w:val="StyleUnderline"/>
        </w:rPr>
        <w:t>One central challenge confronting the architects of the GND will be how to structure a successful program that takes advantage of these longstanding federalism arrangements, without succumbing to their weaknesses.</w:t>
      </w:r>
      <w:r w:rsidRPr="005D0BD3">
        <w:rPr>
          <w:sz w:val="16"/>
        </w:rPr>
        <w:t xml:space="preserve"> 220 On these questions, we believe the ACA offers substantial lessons regarding whether and how-in our contemporary, hyperpartisan times-to effectively build states into major federal social justice legislation. 221 B. Applying the Lessons 1. Federal Funding There are good reasons-perhaps political above all else-that </w:t>
      </w:r>
      <w:r w:rsidRPr="004D7735">
        <w:rPr>
          <w:rStyle w:val="StyleUnderline"/>
        </w:rPr>
        <w:t>the GND might choose to use conditional funding to induce states to achieve certain priorities, including</w:t>
      </w:r>
      <w:r w:rsidRPr="005D0BD3">
        <w:rPr>
          <w:sz w:val="16"/>
        </w:rPr>
        <w:t xml:space="preserve"> affordable housing, clean energy infrastructure development, </w:t>
      </w:r>
      <w:r w:rsidRPr="004D7735">
        <w:rPr>
          <w:rStyle w:val="StyleUnderline"/>
        </w:rPr>
        <w:t>job creation</w:t>
      </w:r>
      <w:r w:rsidRPr="005D0BD3">
        <w:rPr>
          <w:sz w:val="16"/>
        </w:rPr>
        <w:t xml:space="preserve">, and living wages. Yet, just as in the health care context, </w:t>
      </w:r>
      <w:r w:rsidRPr="004D7735">
        <w:rPr>
          <w:rStyle w:val="StyleUnderline"/>
        </w:rPr>
        <w:t>there are real costs to such arrangements for a program centered on tackling inequality</w:t>
      </w:r>
      <w:r w:rsidRPr="005D0BD3">
        <w:rPr>
          <w:sz w:val="16"/>
        </w:rPr>
        <w:t xml:space="preserve"> as a core mission. </w:t>
      </w:r>
      <w:r w:rsidRPr="004D7735">
        <w:rPr>
          <w:rStyle w:val="StyleUnderline"/>
        </w:rPr>
        <w:t>The same states that would likely prove non-cooperative even in the face of overwhelmingly rational incentives are the ones where low-income communities and communities of color may most need assistance.</w:t>
      </w:r>
      <w:r w:rsidRPr="005D0BD3">
        <w:rPr>
          <w:sz w:val="16"/>
        </w:rPr>
        <w:t xml:space="preserve"> 222</w:t>
      </w:r>
    </w:p>
    <w:p w14:paraId="381F1F78" w14:textId="77777777" w:rsidR="00465DBB" w:rsidRDefault="00465DBB" w:rsidP="00465DBB">
      <w:pPr>
        <w:pStyle w:val="Heading1"/>
      </w:pPr>
      <w:r w:rsidRPr="00AE3FC4">
        <w:t>Aff Answers</w:t>
      </w:r>
    </w:p>
    <w:p w14:paraId="1D0704BB" w14:textId="77777777" w:rsidR="00465DBB" w:rsidRPr="00C90F6D" w:rsidRDefault="00465DBB" w:rsidP="00465DBB">
      <w:pPr>
        <w:pStyle w:val="Heading2"/>
      </w:pPr>
      <w:r>
        <w:t>Solvency Answers</w:t>
      </w:r>
    </w:p>
    <w:p w14:paraId="314D2E03" w14:textId="77777777" w:rsidR="00465DBB" w:rsidRPr="00CB2CA0" w:rsidRDefault="00465DBB" w:rsidP="00465DBB">
      <w:pPr>
        <w:pStyle w:val="Heading3"/>
      </w:pPr>
      <w:r>
        <w:t>2AC – Fed Key - Generic</w:t>
      </w:r>
    </w:p>
    <w:p w14:paraId="78EAE5C7" w14:textId="77777777" w:rsidR="00465DBB" w:rsidRPr="00E62F9B" w:rsidRDefault="00465DBB" w:rsidP="00465DBB">
      <w:pPr>
        <w:pStyle w:val="Heading4"/>
      </w:pPr>
      <w:r>
        <w:t>Federal action is key – state’s create insufficient incentives – ruins international modelling</w:t>
      </w:r>
    </w:p>
    <w:p w14:paraId="667E0870" w14:textId="77777777" w:rsidR="00465DBB" w:rsidRDefault="00465DBB" w:rsidP="00465DBB">
      <w:r>
        <w:rPr>
          <w:rStyle w:val="Style13ptBold"/>
        </w:rPr>
        <w:t xml:space="preserve">1NC </w:t>
      </w:r>
      <w:r w:rsidRPr="00AE3FC4">
        <w:rPr>
          <w:rStyle w:val="Style13ptBold"/>
        </w:rPr>
        <w:t>Morris et al 16</w:t>
      </w:r>
      <w:r w:rsidRPr="00AE3FC4">
        <w:t xml:space="preserve"> (Adele Morris, former Joseph A. Pechman senior fellow in Economic Studies and policy director for Climate and Energy Economics at the Brookings Institution; Yoram Bauman; holds a Ph.D. in Economics from the University of Washington; David Bookbinder; former Chief Counsel at Niskanen Center; “What to consider when designing a state-level carbon tax”; Brookings Institution; 6/26/16; </w:t>
      </w:r>
      <w:hyperlink r:id="rId12" w:history="1">
        <w:r w:rsidRPr="00AE3FC4">
          <w:rPr>
            <w:rStyle w:val="Hyperlink"/>
          </w:rPr>
          <w:t>https://www.brookings.edu/research/state-level-carbon-taxes-options-and-opportunities-for-policymakers/</w:t>
        </w:r>
      </w:hyperlink>
      <w:r w:rsidRPr="00AE3FC4">
        <w:t>) [DTD]</w:t>
      </w:r>
    </w:p>
    <w:p w14:paraId="0C16A85A" w14:textId="77777777" w:rsidR="00465DBB" w:rsidRPr="00AE3FC4" w:rsidRDefault="00465DBB" w:rsidP="00465DBB">
      <w:r>
        <w:t xml:space="preserve">To be sure, </w:t>
      </w:r>
      <w:r w:rsidRPr="008A32DC">
        <w:rPr>
          <w:rStyle w:val="StyleUnderline"/>
        </w:rPr>
        <w:t>this hardly lays out an economically ideal approach to the mitigation of global climatic disruption.</w:t>
      </w:r>
      <w:r>
        <w:t xml:space="preserve"> While far better than nothing, </w:t>
      </w:r>
      <w:r w:rsidRPr="00121882">
        <w:rPr>
          <w:rStyle w:val="Emphasis"/>
        </w:rPr>
        <w:t>even a reasonably coordinated collection of state and provincial carbon pricing policies</w:t>
      </w:r>
      <w:r>
        <w:t xml:space="preserve">, in part derived from a patchwork of federal regulations and supplemented by a collage of other federal and sub-national policies, </w:t>
      </w:r>
      <w:r w:rsidRPr="006B38FA">
        <w:rPr>
          <w:rStyle w:val="StyleUnderline"/>
        </w:rPr>
        <w:t xml:space="preserve">would </w:t>
      </w:r>
      <w:r w:rsidRPr="00121882">
        <w:rPr>
          <w:rStyle w:val="Emphasis"/>
        </w:rPr>
        <w:t>create inefficiently</w:t>
      </w:r>
      <w:r w:rsidRPr="006B38FA">
        <w:rPr>
          <w:rStyle w:val="Emphasis"/>
        </w:rPr>
        <w:t xml:space="preserve"> disparate abatement incentives</w:t>
      </w:r>
      <w:r w:rsidRPr="006B38FA">
        <w:rPr>
          <w:rStyle w:val="StyleUnderline"/>
        </w:rPr>
        <w:t xml:space="preserve"> across sources, gases, sectors, and jurisdictions. Relying on state action also complicates international negotiations around both emissions targets and carbon prices. For example, it is difficult for the U.S. State Department to make a strong case to other countries that the United States will achieve a particular emissions goal by a certain date if the policies to attain it are directed by state actors over which the federal government has little control.</w:t>
      </w:r>
      <w:r>
        <w:t xml:space="preserve"> Arguably, </w:t>
      </w:r>
      <w:r w:rsidRPr="00423419">
        <w:rPr>
          <w:rStyle w:val="Emphasis"/>
        </w:rPr>
        <w:t>a more comprehensive approach</w:t>
      </w:r>
      <w:r w:rsidRPr="006B38FA">
        <w:rPr>
          <w:rStyle w:val="StyleUnderline"/>
        </w:rPr>
        <w:t xml:space="preserve">, across and within major economies, </w:t>
      </w:r>
      <w:r w:rsidRPr="00423419">
        <w:rPr>
          <w:rStyle w:val="Emphasis"/>
        </w:rPr>
        <w:t>will prove indispensable</w:t>
      </w:r>
      <w:r w:rsidRPr="006B38FA">
        <w:rPr>
          <w:rStyle w:val="StyleUnderline"/>
        </w:rPr>
        <w:t xml:space="preserve"> to achieve ambitious GHG stabilization targets at reasonable cost. But in the absence of new federal legislation in the United States, this scenario of state and provincial coordination is about as good as it could get.</w:t>
      </w:r>
      <w:r>
        <w:t xml:space="preserve"> 50</w:t>
      </w:r>
    </w:p>
    <w:p w14:paraId="5C453B3E" w14:textId="77777777" w:rsidR="00465DBB" w:rsidRDefault="00465DBB" w:rsidP="00465DBB">
      <w:pPr>
        <w:pStyle w:val="Heading3"/>
      </w:pPr>
      <w:r>
        <w:t>2AC – Fed Key – Leakage</w:t>
      </w:r>
    </w:p>
    <w:p w14:paraId="66FE9C5A" w14:textId="77777777" w:rsidR="00465DBB" w:rsidRDefault="00465DBB" w:rsidP="00465DBB">
      <w:pPr>
        <w:pStyle w:val="Heading4"/>
      </w:pPr>
      <w:r>
        <w:t>State carbon tax schemes result in more emissions, not less</w:t>
      </w:r>
    </w:p>
    <w:p w14:paraId="50C118F0" w14:textId="77777777" w:rsidR="00465DBB" w:rsidRDefault="00465DBB" w:rsidP="00465DBB">
      <w:r w:rsidRPr="000803EA">
        <w:rPr>
          <w:rStyle w:val="Style13ptBold"/>
        </w:rPr>
        <w:t>Xu and Hobbs 21</w:t>
      </w:r>
      <w:r>
        <w:t xml:space="preserve"> (Qingyu Xu; Postdoctoral Research Associate at High Meadows Environmental Institute in the Andlinger Center for Energy and Environment Department; Benjamin Hobbs; the Theodore M. and Kay W. Schad Professor of Environmental Management at John Hopkins Whiting School of Engineering; “Economic efficiency of alternative border carbon adjustment schemes: A case study of California Carbon Pricing and the Western North American power market”; Science Direct; Energy Policy; vol 156; 7/13/21; </w:t>
      </w:r>
      <w:hyperlink r:id="rId13" w:history="1">
        <w:r w:rsidRPr="00F03888">
          <w:rPr>
            <w:rStyle w:val="Hyperlink"/>
          </w:rPr>
          <w:t>https://www.sciencedirect.com/science/article/pii/S0301421521003335</w:t>
        </w:r>
      </w:hyperlink>
      <w:r>
        <w:rPr>
          <w:rStyle w:val="Hyperlink"/>
        </w:rPr>
        <w:t>) [DTD]</w:t>
      </w:r>
    </w:p>
    <w:p w14:paraId="1AE68CC7" w14:textId="77777777" w:rsidR="00465DBB" w:rsidRPr="00C85178" w:rsidRDefault="00465DBB" w:rsidP="00465DBB">
      <w:pPr>
        <w:rPr>
          <w:sz w:val="16"/>
        </w:rPr>
      </w:pPr>
      <w:r w:rsidRPr="00C85178">
        <w:rPr>
          <w:sz w:val="16"/>
        </w:rPr>
        <w:t xml:space="preserve">5. Conclusions and policy implications Carbon pricing is widely regarded as the most cost-efficient and theoretically attractive approach to cut carbon dioxide emissions from the power sector. However, </w:t>
      </w:r>
      <w:r w:rsidRPr="00AE4FBC">
        <w:rPr>
          <w:rStyle w:val="StyleUnderline"/>
        </w:rPr>
        <w:t xml:space="preserve">carbon </w:t>
      </w:r>
      <w:r w:rsidRPr="00AE4FBC">
        <w:rPr>
          <w:rStyle w:val="Emphasis"/>
        </w:rPr>
        <w:t>leakage</w:t>
      </w:r>
      <w:r w:rsidRPr="00AE4FBC">
        <w:rPr>
          <w:rStyle w:val="StyleUnderline"/>
        </w:rPr>
        <w:t xml:space="preserve">, owing to the homogeneity of electricity and the limited geographical coverage of carbon pricing when implemented by a local jurisdiction, </w:t>
      </w:r>
      <w:r w:rsidRPr="00AE4FBC">
        <w:rPr>
          <w:rStyle w:val="Emphasis"/>
        </w:rPr>
        <w:t>can substantially weaken the effectiveness</w:t>
      </w:r>
      <w:r w:rsidRPr="00AE4FBC">
        <w:rPr>
          <w:rStyle w:val="StyleUnderline"/>
        </w:rPr>
        <w:t xml:space="preserve"> of local carbon pricing when the jurisdiction is embedded in a larger regional power market.</w:t>
      </w:r>
      <w:r w:rsidRPr="00C85178">
        <w:rPr>
          <w:sz w:val="16"/>
        </w:rPr>
        <w:t xml:space="preserve"> If implemented carefully with effective policies to assign emissions to imports, border carbon adjustments (BCA) can be a remedy that mitigates carbon leakage and improves the economic efficiency of local carbon pricing. BCA policies based on ineffective deemed emission rates for imports, however, can provide little incentive to reduce emissions outside the regulated jurisdiction, and can even worsen costs and emissions (e.g., through contract shuffling). Thus, the performance of BCA in power systems is greatly undermined, and new ways to set the deemed emission rate (or default emission rate) for electricity imports are warranted. This paper explores the potential cost and emission impacts of different BCA schemes that could possibly be implemented in the California carbon pricing program, a local carbon pricing policy in the Western Electricity Coordinating Council of North America. </w:t>
      </w:r>
      <w:r w:rsidRPr="00AE4FBC">
        <w:rPr>
          <w:rStyle w:val="StyleUnderline"/>
        </w:rPr>
        <w:t>Our simulation shows that the impacts of California carbon pricing and potential BCAs on the western North American power market have multiple aspects. Based on estimates from a generation and transmission investment and operations model for the year 2034, we find that if there is a California carbon price but no BCA, then California emissions decrease.</w:t>
      </w:r>
      <w:r w:rsidRPr="00C85178">
        <w:rPr>
          <w:sz w:val="16"/>
        </w:rPr>
        <w:t xml:space="preserve"> However, </w:t>
      </w:r>
      <w:r w:rsidRPr="00177023">
        <w:rPr>
          <w:rStyle w:val="Emphasis"/>
        </w:rPr>
        <w:t>the rest-of-system's emissions increase in compensation, perhaps by even more than the California reduction</w:t>
      </w:r>
      <w:r w:rsidRPr="00035013">
        <w:rPr>
          <w:rStyle w:val="StyleUnderline"/>
        </w:rPr>
        <w:t>. The emission l</w:t>
      </w:r>
      <w:r w:rsidRPr="00AE4FBC">
        <w:rPr>
          <w:rStyle w:val="StyleUnderline"/>
        </w:rPr>
        <w:t>eakage is largely due to a shift from gas-fired power from existing gas power plants of California to those in the rest of the system. More incentives for interstate transmission development will result because of the California carbon price, and this effect is not limited to the California boundary.</w:t>
      </w:r>
      <w:r w:rsidRPr="00C85178">
        <w:rPr>
          <w:sz w:val="16"/>
        </w:rPr>
        <w:t xml:space="preserve"> Under the assumptions of our case study, </w:t>
      </w:r>
      <w:r w:rsidRPr="00AE4FBC">
        <w:rPr>
          <w:rStyle w:val="StyleUnderline"/>
        </w:rPr>
        <w:t>local carbon pricing would raise both the cost to California consumers and the cost to the system in total without lowering emissions, and, consequently, California carbon pricing without BCA is ineffective and costly.</w:t>
      </w:r>
    </w:p>
    <w:p w14:paraId="19B35CC0" w14:textId="77777777" w:rsidR="00465DBB" w:rsidRPr="00C85178" w:rsidRDefault="00465DBB" w:rsidP="00465DBB">
      <w:pPr>
        <w:rPr>
          <w:sz w:val="16"/>
        </w:rPr>
      </w:pPr>
    </w:p>
    <w:p w14:paraId="10F9FCE8" w14:textId="77777777" w:rsidR="00465DBB" w:rsidRDefault="00465DBB" w:rsidP="00465DBB">
      <w:pPr>
        <w:pStyle w:val="Heading4"/>
      </w:pPr>
      <w:r>
        <w:t>Leakage affects the CP more than the aff</w:t>
      </w:r>
    </w:p>
    <w:p w14:paraId="61680AE0" w14:textId="77777777" w:rsidR="00465DBB" w:rsidRDefault="00465DBB" w:rsidP="00465DBB">
      <w:r w:rsidRPr="00142D91">
        <w:rPr>
          <w:rStyle w:val="Style13ptBold"/>
        </w:rPr>
        <w:t>Murphy 12</w:t>
      </w:r>
      <w:r>
        <w:t xml:space="preserve"> (Robert Murphy; Senior Fellow with the Mises Institute; “Carbon ‘Tax Swap’ Deals: A Review and Critique”; Institute for Energy Research; November 2012; </w:t>
      </w:r>
      <w:hyperlink r:id="rId14" w:history="1">
        <w:r w:rsidRPr="00F03888">
          <w:rPr>
            <w:rStyle w:val="Hyperlink"/>
          </w:rPr>
          <w:t>https://www.ourenergypolicy.org/wp-content/uploads/2012/11/IER-Murphey-Carbon-Tax-Swap-Deals-A-Review-and-Critique.pdf</w:t>
        </w:r>
      </w:hyperlink>
      <w:r>
        <w:rPr>
          <w:rStyle w:val="Hyperlink"/>
        </w:rPr>
        <w:t>) [DTD]</w:t>
      </w:r>
    </w:p>
    <w:p w14:paraId="6F760EDC" w14:textId="77777777" w:rsidR="00465DBB" w:rsidRPr="0005031C" w:rsidRDefault="00465DBB" w:rsidP="00465DBB">
      <w:pPr>
        <w:rPr>
          <w:sz w:val="16"/>
        </w:rPr>
      </w:pPr>
      <w:r w:rsidRPr="0005031C">
        <w:rPr>
          <w:sz w:val="16"/>
        </w:rPr>
        <w:t xml:space="preserve">4. Numerical Estimates of the Significance of Leakage Above we have laid out the theoretical problems with using estimates of the global SCC to calibrate a regional carbon tax. In this subsection we will provide some numerical estimates of the actual significance of this issue. </w:t>
      </w:r>
      <w:r w:rsidRPr="00897BD8">
        <w:rPr>
          <w:rStyle w:val="StyleUnderline"/>
        </w:rPr>
        <w:t>Caron et al.</w:t>
      </w:r>
      <w:r w:rsidRPr="0005031C">
        <w:rPr>
          <w:sz w:val="16"/>
        </w:rPr>
        <w:t xml:space="preserve"> (2012) analyzed the cap-and-trade program in the state of California. They summarized their results as follows: We </w:t>
      </w:r>
      <w:r w:rsidRPr="00897BD8">
        <w:rPr>
          <w:rStyle w:val="StyleUnderline"/>
        </w:rPr>
        <w:t>estimate the impact of California’s cap-and-trade program on the leakage of emissions to other regions using a calibrated general equilibrium model. Sub-national policies can lead to high leakage rates as state economies are generally closely connected to other economies, including integration of electricity markets. Measures that will prevent leakage from California’s capand-trade program include requiring permits to be surrendered for emissions embodied in imported electricity and legislation banning “resource shuffling.”</w:t>
      </w:r>
      <w:r w:rsidRPr="0005031C">
        <w:rPr>
          <w:sz w:val="16"/>
        </w:rPr>
        <w:t xml:space="preserve"> Under a cap-and-trade policy </w:t>
      </w:r>
      <w:r w:rsidRPr="00897BD8">
        <w:rPr>
          <w:rStyle w:val="StyleUnderline"/>
        </w:rPr>
        <w:t>without measures to reduce leakage, the price of emission permits is $12 per ton of CO2 and emissions in other regions increase by 46% of the reduction in emissions in California.</w:t>
      </w:r>
      <w:r w:rsidRPr="0005031C">
        <w:rPr>
          <w:sz w:val="16"/>
        </w:rPr>
        <w:t xml:space="preserve"> When imported electricity is included in the program and resource shuffling is banned, the carbon price is $65, there is negative leakage to regions exporting electricity to California, positive leakage to other regions and the overall leakage rate is 2%. We conclude that although there is potential for large increases in emissions elsewhere due to California’s cap-and-trade policy, enforcement of requirements for imported electricity will be effective at curtailing leakage. (Caron et al. 2012, emphasis added) Free-market conservatives who have applauded a revenue-neutral carbon tax should take note of the passages we have highlighted in the excerpt above. </w:t>
      </w:r>
      <w:r w:rsidRPr="00C35D33">
        <w:rPr>
          <w:rStyle w:val="StyleUnderline"/>
        </w:rPr>
        <w:t>In the absence of other restrictions on commerce, a simple implementation of a cap-and-trade program in California</w:t>
      </w:r>
      <w:r w:rsidRPr="0005031C">
        <w:rPr>
          <w:sz w:val="16"/>
        </w:rPr>
        <w:t>—which does not set a marginal penalty on carbon emissions, but instead caps the total amount of permissible emissions in the state—</w:t>
      </w:r>
      <w:r w:rsidRPr="00C35D33">
        <w:rPr>
          <w:rStyle w:val="StyleUnderline"/>
        </w:rPr>
        <w:t>would lead to an emission price ($12/ton) below what many analysts believe is the global social cost of carbon</w:t>
      </w:r>
      <w:r w:rsidRPr="0005031C">
        <w:rPr>
          <w:sz w:val="16"/>
        </w:rPr>
        <w:t xml:space="preserve"> (SCC). </w:t>
      </w:r>
      <w:r w:rsidRPr="00C35D33">
        <w:rPr>
          <w:rStyle w:val="StyleUnderline"/>
        </w:rPr>
        <w:t>The explanation for this result is that faced with higher costs of operation and with no other regulations on their activities, electricity providers in California would simply curtail production in-state, and turn to importing</w:t>
      </w:r>
      <w:r w:rsidRPr="0005031C">
        <w:rPr>
          <w:sz w:val="16"/>
        </w:rPr>
        <w:t xml:space="preserve"> (cheaper) </w:t>
      </w:r>
      <w:r w:rsidRPr="00C35D33">
        <w:rPr>
          <w:rStyle w:val="StyleUnderline"/>
        </w:rPr>
        <w:t>electricity produced in other U.S. states where California’s cap-and-trade program did not apply. This mechanism explains why 46 percent of the drop in California emissions would be offset by increased emissions in other regions.</w:t>
      </w:r>
      <w:r w:rsidRPr="0005031C">
        <w:rPr>
          <w:sz w:val="16"/>
        </w:rPr>
        <w:t xml:space="preserve"> Thus, we see that </w:t>
      </w:r>
      <w:r w:rsidRPr="00C35D33">
        <w:rPr>
          <w:rStyle w:val="StyleUnderline"/>
        </w:rPr>
        <w:t>Bauman and Hsu’s</w:t>
      </w:r>
      <w:r w:rsidRPr="0005031C">
        <w:rPr>
          <w:sz w:val="16"/>
        </w:rPr>
        <w:t xml:space="preserve"> casual </w:t>
      </w:r>
      <w:r w:rsidRPr="00C35D33">
        <w:rPr>
          <w:rStyle w:val="StyleUnderline"/>
        </w:rPr>
        <w:t>description of British Columbia’s $30 carbon tax as “the best climate policy in the world” was quite dubious, even on their own terms.</w:t>
      </w:r>
      <w:r w:rsidRPr="0005031C">
        <w:rPr>
          <w:sz w:val="16"/>
        </w:rPr>
        <w:t xml:space="preserve"> Yet the excerpt from Caron et al. is even more revealing. Precisely </w:t>
      </w:r>
      <w:r w:rsidRPr="00641522">
        <w:rPr>
          <w:rStyle w:val="StyleUnderline"/>
        </w:rPr>
        <w:t>because of this problem of leakage, the authors of this study were not content to consider merely a cap-and-trade program. Instead, they modeled the effects of the California state government imposing more regulations on the energy sector</w:t>
      </w:r>
      <w:r w:rsidRPr="0005031C">
        <w:rPr>
          <w:sz w:val="16"/>
        </w:rPr>
        <w:t xml:space="preserve">, namely, </w:t>
      </w:r>
      <w:r w:rsidRPr="00641522">
        <w:rPr>
          <w:rStyle w:val="StyleUnderline"/>
        </w:rPr>
        <w:t>placing a tariff on electricity imported from outside the state and banning “resource shuffling.”</w:t>
      </w:r>
      <w:r w:rsidRPr="0005031C">
        <w:rPr>
          <w:sz w:val="16"/>
        </w:rPr>
        <w:t xml:space="preserve"> By introducing these additional, top-down interventions in the economy, </w:t>
      </w:r>
      <w:r w:rsidRPr="00641522">
        <w:rPr>
          <w:rStyle w:val="StyleUnderline"/>
        </w:rPr>
        <w:t>the authors were able to bolster the potency of a state-level cap-and-trade program, because now—by cracking down on “leakage” so that it is only 2 percent—they found the price of permits rising from $12 to $65/ton, a more than fivefold increase. As this example illustrates</w:t>
      </w:r>
      <w:r w:rsidRPr="0005031C">
        <w:rPr>
          <w:sz w:val="16"/>
        </w:rPr>
        <w:t xml:space="preserve">, free-market conservatives should be aware that, even on theoretical grounds, </w:t>
      </w:r>
      <w:r w:rsidRPr="00641522">
        <w:rPr>
          <w:rStyle w:val="StyleUnderline"/>
        </w:rPr>
        <w:t>the so-called “market solutions” of a carbon tax</w:t>
      </w:r>
      <w:r w:rsidRPr="0005031C">
        <w:rPr>
          <w:sz w:val="16"/>
        </w:rPr>
        <w:t xml:space="preserve"> or capand-trade program </w:t>
      </w:r>
      <w:r w:rsidRPr="00641522">
        <w:rPr>
          <w:rStyle w:val="StyleUnderline"/>
        </w:rPr>
        <w:t>may not address the problems of climate change in the eyes of those most alarmed, making command-and-control regulations necessary to contain unintended consequences.</w:t>
      </w:r>
      <w:r w:rsidRPr="0005031C">
        <w:rPr>
          <w:sz w:val="16"/>
        </w:rPr>
        <w:t xml:space="preserve"> Naturally, </w:t>
      </w:r>
      <w:r w:rsidRPr="00641522">
        <w:rPr>
          <w:rStyle w:val="StyleUnderline"/>
        </w:rPr>
        <w:t xml:space="preserve">the </w:t>
      </w:r>
      <w:r w:rsidRPr="00641522">
        <w:rPr>
          <w:rStyle w:val="Emphasis"/>
        </w:rPr>
        <w:t>estimates of leakage emanating from national carbon policies are lower than those associated with subnational policies</w:t>
      </w:r>
      <w:r w:rsidRPr="00641522">
        <w:rPr>
          <w:rStyle w:val="StyleUnderline"/>
        </w:rPr>
        <w:t>. Caron and his co-authors</w:t>
      </w:r>
      <w:r w:rsidRPr="0005031C">
        <w:rPr>
          <w:sz w:val="16"/>
        </w:rPr>
        <w:t xml:space="preserve"> themselves </w:t>
      </w:r>
      <w:r w:rsidRPr="00641522">
        <w:rPr>
          <w:rStyle w:val="StyleUnderline"/>
        </w:rPr>
        <w:t>summarized the literature by reporting that “[g]eneral equilibrium assessments of leakage from federal policies commonly estimate leakage rates between 10% and 30%”</w:t>
      </w:r>
      <w:r w:rsidRPr="0005031C">
        <w:rPr>
          <w:sz w:val="16"/>
        </w:rPr>
        <w:t xml:space="preserve"> (Caron et al. 2012, p. 2). Distinguished economist William Nordhaus, one of the pioneers of the economics of climate change—and himself a vocal proponent of carbon taxes—provided his own analysis of the importance of a worldwide policy: Our modeling results point to the importance of near-universal participation in programs to reduce greenhouse gases. Because of the structure of the costs of abatement, with marginal costs being very low for the initial reductions but rising sharply for higher reductions, there are substantial excess costs if the preponderance of sectors and countries are not fully included. We preliminarily estimate that a participation rate of 50 percent, as compared to 100 percent, will impose an abatement-cost penalty of 250 percent. Even with the participation of the top 15 countries and regions, consisting of three-quarters of world emissions, we estimate that the cost penalty is about 70 percent. (Nordhaus 2008, p. 19, emphasis added)</w:t>
      </w:r>
    </w:p>
    <w:p w14:paraId="1F2505CF" w14:textId="77777777" w:rsidR="00465DBB" w:rsidRDefault="00465DBB" w:rsidP="00465DBB">
      <w:pPr>
        <w:pStyle w:val="Heading2"/>
      </w:pPr>
      <w:r w:rsidRPr="00AE3FC4">
        <w:t>Perm</w:t>
      </w:r>
      <w:r>
        <w:t>s</w:t>
      </w:r>
    </w:p>
    <w:p w14:paraId="6A5CA1A6" w14:textId="77777777" w:rsidR="00465DBB" w:rsidRPr="00637A14" w:rsidRDefault="00465DBB" w:rsidP="00465DBB">
      <w:pPr>
        <w:pStyle w:val="Heading3"/>
      </w:pPr>
      <w:r>
        <w:t>2AC – Perm do Both</w:t>
      </w:r>
    </w:p>
    <w:p w14:paraId="7EB25A22" w14:textId="77777777" w:rsidR="00465DBB" w:rsidRPr="003D600E" w:rsidRDefault="00465DBB" w:rsidP="00465DBB">
      <w:pPr>
        <w:pStyle w:val="Heading4"/>
      </w:pPr>
      <w:r>
        <w:t>Perm do both gives states the option to opt into a federal program – solves the link to federalism</w:t>
      </w:r>
    </w:p>
    <w:p w14:paraId="1B38BBB8" w14:textId="77777777" w:rsidR="00465DBB" w:rsidRPr="00C85686" w:rsidRDefault="00465DBB" w:rsidP="00465DBB">
      <w:r w:rsidRPr="00D7650A">
        <w:rPr>
          <w:rStyle w:val="Style13ptBold"/>
        </w:rPr>
        <w:t>Carpenter and Hamilton 20</w:t>
      </w:r>
      <w:r>
        <w:t xml:space="preserve"> (Daniel Carpenter; Allie S. Freed Professor of Government and Director, Center for American Political Studies, Harvard University; Darrick Hamilton; Henry Cohen Professor of Economics and Urban Policy, The New School; “A Federal Job Guarantee: Anti-Poverty and Infrastructure Policy for a Better Future”; Scholars Strategy Network; 4/30/20; </w:t>
      </w:r>
      <w:hyperlink r:id="rId15" w:history="1">
        <w:r w:rsidRPr="00F03888">
          <w:rPr>
            <w:rStyle w:val="Hyperlink"/>
          </w:rPr>
          <w:t>https://scholars.org/contribution/federal-job-guarantee</w:t>
        </w:r>
      </w:hyperlink>
      <w:r>
        <w:t>) [DTD]</w:t>
      </w:r>
    </w:p>
    <w:p w14:paraId="6A8654F0" w14:textId="77777777" w:rsidR="00465DBB" w:rsidRPr="00EF76DD" w:rsidRDefault="00465DBB" w:rsidP="00465DBB">
      <w:pPr>
        <w:rPr>
          <w:sz w:val="16"/>
        </w:rPr>
      </w:pPr>
      <w:r w:rsidRPr="00EF76DD">
        <w:rPr>
          <w:sz w:val="16"/>
        </w:rPr>
        <w:t xml:space="preserve">What would a federal job guarantee program look like? </w:t>
      </w:r>
      <w:r w:rsidRPr="00014CB2">
        <w:rPr>
          <w:rStyle w:val="StyleUnderline"/>
        </w:rPr>
        <w:t>The program would be administered by the Department of Labor and overseen by the Secretary of Labor. The Secretary and Department of Labor will be charged with working in conjunction with other agencies, and states and localities to identify an inventory of public infrastructure tasks and associated jobs.</w:t>
      </w:r>
      <w:r w:rsidRPr="00EF76DD">
        <w:rPr>
          <w:sz w:val="16"/>
        </w:rPr>
        <w:t xml:space="preserve"> 1. Jobs to support state and local governments. </w:t>
      </w:r>
      <w:r w:rsidRPr="00CE100C">
        <w:rPr>
          <w:rStyle w:val="StyleUnderline"/>
        </w:rPr>
        <w:t>State and local governments account for most of the government employment in the United States, and they comprise an important part of our federalist system.</w:t>
      </w:r>
      <w:r w:rsidRPr="00EF76DD">
        <w:rPr>
          <w:sz w:val="16"/>
        </w:rPr>
        <w:t xml:space="preserve"> In a range of policy domains – public health, education and job training, infrastructure, health provision and conservation – it is state and local governments that have the legal authorities and historical capacities to act. Yet </w:t>
      </w:r>
      <w:r w:rsidRPr="00CE100C">
        <w:rPr>
          <w:rStyle w:val="StyleUnderline"/>
        </w:rPr>
        <w:t>state governments also have the weakest capacity to respond to an economic crisis. First, state governments have nothing like the Federal Reserve to back their debt</w:t>
      </w:r>
      <w:r w:rsidRPr="00EF76DD">
        <w:rPr>
          <w:sz w:val="16"/>
        </w:rPr>
        <w:t xml:space="preserve"> (this is one among several reasons that the Federal Reserve has recently been looking into mass purchases of municipal bonds). They cannot print money. </w:t>
      </w:r>
      <w:r w:rsidRPr="00CE100C">
        <w:rPr>
          <w:rStyle w:val="StyleUnderline"/>
        </w:rPr>
        <w:t>Second, state governments lack the expansive revenue-generating capacity of the federal government.</w:t>
      </w:r>
      <w:r w:rsidRPr="00EF76DD">
        <w:rPr>
          <w:sz w:val="16"/>
        </w:rPr>
        <w:t xml:space="preserve"> Beyond this, </w:t>
      </w:r>
      <w:r w:rsidRPr="00CE100C">
        <w:rPr>
          <w:rStyle w:val="StyleUnderline"/>
        </w:rPr>
        <w:t>state governments have in recent decades constrained their powers with balanced budget amendments</w:t>
      </w:r>
      <w:r w:rsidRPr="00EF76DD">
        <w:rPr>
          <w:sz w:val="16"/>
        </w:rPr>
        <w:t xml:space="preserve">, while a number of states (Illinois and Connecticut are two examples) have badly underfunded pension systems, and still others have tethered their income to commodity (especially petroleum) sales, which are at historically low prices and whose price declines have damaged state revenues. </w:t>
      </w:r>
      <w:r w:rsidRPr="00CE100C">
        <w:rPr>
          <w:rStyle w:val="StyleUnderline"/>
        </w:rPr>
        <w:t>Workers and some capital costs for projects at the local, county, or state levels can be funded in a way to provide regional full employment and infrastructure needs. The projects and areas with the greatest needs could be cued to receive the federal intervention sooner. The Department of Labor would work closely with local governments. Local and state governments would</w:t>
      </w:r>
      <w:r w:rsidRPr="00EF76DD">
        <w:rPr>
          <w:sz w:val="16"/>
        </w:rPr>
        <w:t xml:space="preserve">, in conjunction with community organizations, </w:t>
      </w:r>
      <w:r w:rsidRPr="00CE100C">
        <w:rPr>
          <w:rStyle w:val="StyleUnderline"/>
        </w:rPr>
        <w:t>develop project proposals to address local infrastructure needs, similar to the local, state, and federal collaborations in the design of direct government employment programs of the New Deal.</w:t>
      </w:r>
      <w:r w:rsidRPr="00EF76DD">
        <w:rPr>
          <w:sz w:val="16"/>
        </w:rPr>
        <w:t xml:space="preserve"> Localities are likely most aware of the infrastructure needs to offer the greatest benefit to their communities. </w:t>
      </w:r>
      <w:r w:rsidRPr="00CE100C">
        <w:rPr>
          <w:rStyle w:val="StyleUnderline"/>
        </w:rPr>
        <w:t>In order to minimize inequality across states and reduce the burden of discrimination, the workers under this program would be federally employed but would be tasked or apportioned</w:t>
      </w:r>
      <w:r w:rsidRPr="00EF76DD">
        <w:rPr>
          <w:sz w:val="16"/>
        </w:rPr>
        <w:t xml:space="preserve"> (perhaps by formula, to reduce near-term political discretion) </w:t>
      </w:r>
      <w:r w:rsidRPr="00CE100C">
        <w:rPr>
          <w:rStyle w:val="StyleUnderline"/>
        </w:rPr>
        <w:t>to states according to their economic, public health, and infrastructure needs. Even if the work occurs at the state and local level, the federal government needs to step in to provide the jobs, and there are a range of tools it has to do so. The traditional tool consists of program-specific block grants that have been an important feature of American government since the New Deal</w:t>
      </w:r>
      <w:r w:rsidRPr="00EF76DD">
        <w:rPr>
          <w:sz w:val="16"/>
        </w:rPr>
        <w:t xml:space="preserve"> and especially the Nixon era. The problem with these grants is that they often permit state and local officials to withhold important resources from populations in need, as occurred with so many states’ refusal to take Medicaid expansions under the Affordable Care Act. Our proposal would build upon the strengths of grants by making the jobs available to states and local governments, but would address the inequality-related weakness of these programs by making the employees federal workers who, as such, are made available to state and local governments. </w:t>
      </w:r>
      <w:r w:rsidRPr="00CE100C">
        <w:rPr>
          <w:rStyle w:val="StyleUnderline"/>
        </w:rPr>
        <w:t>In order to avoid potentially unconstitutional imposition of requirements upon state governments</w:t>
      </w:r>
      <w:r w:rsidRPr="00EF76DD">
        <w:rPr>
          <w:sz w:val="16"/>
        </w:rPr>
        <w:t xml:space="preserve"> (which were declared unconstitutional in NFIB v. Sebelius (2012)), </w:t>
      </w:r>
      <w:r w:rsidRPr="00CE100C">
        <w:rPr>
          <w:rStyle w:val="StyleUnderline"/>
        </w:rPr>
        <w:t>the federal government could offer these jobs as an option, as it did with Medicaid expansion in the Affordable Care Act. Another alternative is to allow state and localities to develop a bank of proposals for physical and human infrastructure from which a federal authority</w:t>
      </w:r>
      <w:r w:rsidRPr="00EF76DD">
        <w:rPr>
          <w:sz w:val="16"/>
        </w:rPr>
        <w:t xml:space="preserve"> (operating under formulaic or discretionary procedures) </w:t>
      </w:r>
      <w:r w:rsidRPr="00CE100C">
        <w:rPr>
          <w:rStyle w:val="StyleUnderline"/>
        </w:rPr>
        <w:t>can prioritize with regards to urgent and useful needs. The state and localities can even administer the program with federal oversight</w:t>
      </w:r>
      <w:r w:rsidRPr="00EF76DD">
        <w:rPr>
          <w:sz w:val="16"/>
        </w:rPr>
        <w:t>, however, the workers would be ultimately employed by the federal government, as opposed to state or local employees by way of a federal grant.</w:t>
      </w:r>
    </w:p>
    <w:p w14:paraId="5FEB185A" w14:textId="77777777" w:rsidR="00A51470" w:rsidRPr="00D21157" w:rsidRDefault="00A51470" w:rsidP="00D21157"/>
    <w:sectPr w:rsidR="00A51470" w:rsidRPr="00D21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93"/>
    <w:rsid w:val="00104C57"/>
    <w:rsid w:val="00112493"/>
    <w:rsid w:val="002751E8"/>
    <w:rsid w:val="00361057"/>
    <w:rsid w:val="00465DBB"/>
    <w:rsid w:val="00A51470"/>
    <w:rsid w:val="00B34E47"/>
    <w:rsid w:val="00B80F3C"/>
    <w:rsid w:val="00B87334"/>
    <w:rsid w:val="00C82621"/>
    <w:rsid w:val="00D21157"/>
    <w:rsid w:val="00D94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C9C7"/>
  <w15:chartTrackingRefBased/>
  <w15:docId w15:val="{C290C1E8-97DE-4168-A1BA-E6646113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5DBB"/>
    <w:rPr>
      <w:rFonts w:ascii="Calibri" w:hAnsi="Calibri" w:cs="Calibri"/>
      <w:kern w:val="0"/>
      <w:sz w:val="20"/>
      <w14:ligatures w14:val="none"/>
    </w:rPr>
  </w:style>
  <w:style w:type="paragraph" w:styleId="Heading1">
    <w:name w:val="heading 1"/>
    <w:aliases w:val="Pocket"/>
    <w:basedOn w:val="Normal"/>
    <w:next w:val="Normal"/>
    <w:link w:val="Heading1Char"/>
    <w:qFormat/>
    <w:rsid w:val="00D211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26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211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w:basedOn w:val="Normal"/>
    <w:next w:val="Normal"/>
    <w:link w:val="Heading4Char"/>
    <w:uiPriority w:val="3"/>
    <w:unhideWhenUsed/>
    <w:qFormat/>
    <w:rsid w:val="00D211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211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26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11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D21157"/>
    <w:rPr>
      <w:rFonts w:ascii="Calibri" w:eastAsiaTheme="majorEastAsia" w:hAnsi="Calibri" w:cstheme="majorBidi"/>
      <w:b/>
      <w:iCs/>
      <w:sz w:val="26"/>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7"/>
    <w:qFormat/>
    <w:rsid w:val="00361057"/>
    <w:rPr>
      <w:b/>
      <w:sz w:val="24"/>
      <w:u w:val="single"/>
    </w:rPr>
  </w:style>
  <w:style w:type="paragraph" w:customStyle="1" w:styleId="textbold">
    <w:name w:val="text bold"/>
    <w:basedOn w:val="Normal"/>
    <w:link w:val="Emphasis"/>
    <w:autoRedefine/>
    <w:uiPriority w:val="8"/>
    <w:qFormat/>
    <w:rsid w:val="00361057"/>
    <w:pPr>
      <w:pBdr>
        <w:top w:val="single" w:sz="4" w:space="0" w:color="auto"/>
        <w:left w:val="single" w:sz="4" w:space="0" w:color="auto"/>
        <w:bottom w:val="single" w:sz="4" w:space="0" w:color="auto"/>
        <w:right w:val="single" w:sz="4" w:space="0" w:color="auto"/>
      </w:pBdr>
      <w:spacing w:line="256" w:lineRule="auto"/>
      <w:ind w:left="720"/>
      <w:jc w:val="both"/>
    </w:pPr>
    <w:rPr>
      <w:b/>
      <w:iCs/>
      <w:sz w:val="26"/>
      <w:u w:val="single"/>
      <w:bdr w:val="single" w:sz="8" w:space="0" w:color="auto"/>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361057"/>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1157"/>
    <w:rPr>
      <w:b/>
      <w:bCs/>
      <w:sz w:val="24"/>
      <w:u w:val="none"/>
    </w:rPr>
  </w:style>
  <w:style w:type="character" w:styleId="Hyperlink">
    <w:name w:val="Hyperlink"/>
    <w:basedOn w:val="DefaultParagraphFont"/>
    <w:uiPriority w:val="99"/>
    <w:unhideWhenUsed/>
    <w:rsid w:val="00465DB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research/state-level-carbon-taxes-options-and-opportunities-for-policymakers/" TargetMode="External"/><Relationship Id="rId13" Type="http://schemas.openxmlformats.org/officeDocument/2006/relationships/hyperlink" Target="https://www.sciencedirect.com/science/article/pii/S0301421521003335" TargetMode="External"/><Relationship Id="rId3" Type="http://schemas.openxmlformats.org/officeDocument/2006/relationships/webSettings" Target="webSettings.xml"/><Relationship Id="rId7" Type="http://schemas.openxmlformats.org/officeDocument/2006/relationships/hyperlink" Target="https://www.sierraclub.org/trade/green-new-deal-already-underway-states-and-cities" TargetMode="External"/><Relationship Id="rId12" Type="http://schemas.openxmlformats.org/officeDocument/2006/relationships/hyperlink" Target="https://www.brookings.edu/research/state-level-carbon-taxes-options-and-opportunities-for-policymakers/"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ussc.edu.au/analysis/explainer-green-new-deal-congress-states" TargetMode="External"/><Relationship Id="rId11" Type="http://schemas.openxmlformats.org/officeDocument/2006/relationships/hyperlink" Target="https://scholarcommons.sc.edu/cgi/viewcontent.cgi?article=2489&amp;context=law_facpub" TargetMode="External"/><Relationship Id="rId5" Type="http://schemas.openxmlformats.org/officeDocument/2006/relationships/hyperlink" Target="https://www.brookings.edu/research/state-level-carbon-taxes-options-and-opportunities-for-policymakers/" TargetMode="External"/><Relationship Id="rId15" Type="http://schemas.openxmlformats.org/officeDocument/2006/relationships/hyperlink" Target="https://scholars.org/contribution/federal-job-guarantee" TargetMode="External"/><Relationship Id="rId10" Type="http://schemas.openxmlformats.org/officeDocument/2006/relationships/hyperlink" Target="https://www.brookings.edu/research/state-level-carbon-taxes-options-and-opportunities-for-policymakers/" TargetMode="External"/><Relationship Id="rId4" Type="http://schemas.openxmlformats.org/officeDocument/2006/relationships/hyperlink" Target="https://www.thenation.com/article/economy/half-time-job-gaurantee/" TargetMode="External"/><Relationship Id="rId9" Type="http://schemas.openxmlformats.org/officeDocument/2006/relationships/hyperlink" Target="https://www.brookings.edu/opinions/to-comply-with-the-clean-power-plan-states-should-tax-carbon/" TargetMode="External"/><Relationship Id="rId14" Type="http://schemas.openxmlformats.org/officeDocument/2006/relationships/hyperlink" Target="https://www.ourenergypolicy.org/wp-content/uploads/2012/11/IER-Murphey-Carbon-Tax-Swap-Deals-A-Review-and-Critiqu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6958</Words>
  <Characters>39664</Characters>
  <Application>Microsoft Office Word</Application>
  <DocSecurity>0</DocSecurity>
  <Lines>330</Lines>
  <Paragraphs>93</Paragraphs>
  <ScaleCrop>false</ScaleCrop>
  <Company/>
  <LinksUpToDate>false</LinksUpToDate>
  <CharactersWithSpaces>46529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David T</dc:creator>
  <cp:keywords/>
  <dc:description/>
  <cp:lastModifiedBy>Ralph Anderson</cp:lastModifiedBy>
  <cp:revision>3</cp:revision>
  <dcterms:created xsi:type="dcterms:W3CDTF">2023-06-03T18:33:00Z</dcterms:created>
  <dcterms:modified xsi:type="dcterms:W3CDTF">2023-06-21T15:45:00Z</dcterms:modified>
</cp:coreProperties>
</file>