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B8EB69" w14:textId="3A32E70E" w:rsidR="00B15BF2" w:rsidRDefault="00B15BF2" w:rsidP="006C0B77">
      <w:pPr>
        <w:pStyle w:val="Heading1"/>
      </w:pPr>
      <w:r>
        <w:t>1AC</w:t>
      </w:r>
    </w:p>
    <w:p w14:paraId="205A97F0" w14:textId="69875B1E" w:rsidR="007D6535" w:rsidRPr="007D6535" w:rsidRDefault="007D6535" w:rsidP="007D6535">
      <w:pPr>
        <w:pStyle w:val="Heading3"/>
      </w:pPr>
      <w:r>
        <w:t>1AC Biopower</w:t>
      </w:r>
    </w:p>
    <w:p w14:paraId="42B95445" w14:textId="77777777" w:rsidR="007D6535" w:rsidRDefault="007D6535" w:rsidP="007D6535">
      <w:pPr>
        <w:pStyle w:val="Heading4"/>
      </w:pPr>
      <w:r>
        <w:t>IP law is a commercialization of the very lifeblood of modernity—this is evident in the expansion of Western intellectual property law to the globe via institutions of manufactured consent</w:t>
      </w:r>
    </w:p>
    <w:p w14:paraId="5AE2A8EA" w14:textId="77777777" w:rsidR="007D6535" w:rsidRPr="003665E5" w:rsidRDefault="007D6535" w:rsidP="007D6535">
      <w:pPr>
        <w:rPr>
          <w:rStyle w:val="Style13ptBold"/>
        </w:rPr>
      </w:pPr>
      <w:r w:rsidRPr="003665E5">
        <w:rPr>
          <w:rStyle w:val="Style13ptBold"/>
        </w:rPr>
        <w:t>Gervassis 20</w:t>
      </w:r>
    </w:p>
    <w:p w14:paraId="44770EA5" w14:textId="77777777" w:rsidR="007D6535" w:rsidRPr="006A4805" w:rsidRDefault="007D6535" w:rsidP="007D6535">
      <w:pPr>
        <w:rPr>
          <w:sz w:val="16"/>
        </w:rPr>
      </w:pPr>
      <w:r w:rsidRPr="006A4805">
        <w:rPr>
          <w:sz w:val="16"/>
        </w:rPr>
        <w:t>Nicholas, School of Law, Criminology and Government, University of Plymouth, Plymouth, UK. “Information biopolitics: copyright law and the regulation of life in the network society.” International Review of Law, Computers &amp; Technology, DOI: 10.1080/13600869.2020.1784563. LJS</w:t>
      </w:r>
    </w:p>
    <w:p w14:paraId="2679B087" w14:textId="77777777" w:rsidR="007D6535" w:rsidRPr="006A4805" w:rsidRDefault="007D6535" w:rsidP="007D6535">
      <w:pPr>
        <w:rPr>
          <w:sz w:val="16"/>
        </w:rPr>
      </w:pPr>
      <w:r w:rsidRPr="00B00124">
        <w:rPr>
          <w:rStyle w:val="StyleUnderline"/>
        </w:rPr>
        <w:t>Justifying his preference to the term ‘information’ instead of ‘intangible’ or ‘abstract</w:t>
      </w:r>
      <w:r>
        <w:rPr>
          <w:rStyle w:val="StyleUnderline"/>
        </w:rPr>
        <w:t xml:space="preserve"> </w:t>
      </w:r>
      <w:r w:rsidRPr="00B00124">
        <w:rPr>
          <w:rStyle w:val="StyleUnderline"/>
        </w:rPr>
        <w:t>objects’ for discussing IP, Drahos explains that ‘information is the daily lifeblood of</w:t>
      </w:r>
      <w:r>
        <w:rPr>
          <w:rStyle w:val="StyleUnderline"/>
        </w:rPr>
        <w:t xml:space="preserve"> </w:t>
      </w:r>
      <w:r w:rsidRPr="00B00124">
        <w:rPr>
          <w:rStyle w:val="StyleUnderline"/>
        </w:rPr>
        <w:t>human agents as communicating beings’ and highlights ‘the pervasive effect that intellectual property rights in information can have on the daily lives of people’ (1996, 171).</w:t>
      </w:r>
      <w:r w:rsidRPr="006A4805">
        <w:rPr>
          <w:sz w:val="16"/>
        </w:rPr>
        <w:t xml:space="preserve"> This alludes to potential negative impacts of patentabilities of genetic material, excessive trademark protections or the socio-cultural dominance of commercial brands</w:t>
      </w:r>
      <w:r w:rsidRPr="00B00124">
        <w:rPr>
          <w:rStyle w:val="StyleUnderline"/>
        </w:rPr>
        <w:t>. Similarly, by</w:t>
      </w:r>
      <w:r>
        <w:rPr>
          <w:rStyle w:val="StyleUnderline"/>
        </w:rPr>
        <w:t xml:space="preserve"> </w:t>
      </w:r>
      <w:r w:rsidRPr="00B00124">
        <w:rPr>
          <w:rStyle w:val="StyleUnderline"/>
        </w:rPr>
        <w:t>generally replacing ‘content’ with ‘information’, the present discussion will proceed with</w:t>
      </w:r>
      <w:r>
        <w:rPr>
          <w:rStyle w:val="StyleUnderline"/>
        </w:rPr>
        <w:t xml:space="preserve"> </w:t>
      </w:r>
      <w:r w:rsidRPr="00B00124">
        <w:rPr>
          <w:rStyle w:val="StyleUnderline"/>
        </w:rPr>
        <w:t>making a larger scale argument about the impacts of copyright law on the network</w:t>
      </w:r>
      <w:r>
        <w:rPr>
          <w:rStyle w:val="StyleUnderline"/>
        </w:rPr>
        <w:t xml:space="preserve"> </w:t>
      </w:r>
      <w:r w:rsidRPr="00B00124">
        <w:rPr>
          <w:rStyle w:val="StyleUnderline"/>
        </w:rPr>
        <w:t>society. This will build on the idea that humanity and its cultures are being amalgamated</w:t>
      </w:r>
      <w:r>
        <w:rPr>
          <w:rStyle w:val="StyleUnderline"/>
        </w:rPr>
        <w:t xml:space="preserve"> </w:t>
      </w:r>
      <w:r w:rsidRPr="00B00124">
        <w:rPr>
          <w:rStyle w:val="StyleUnderline"/>
        </w:rPr>
        <w:t>with the online network medium, as argued in the previous section. The medium runs on</w:t>
      </w:r>
      <w:r>
        <w:rPr>
          <w:rStyle w:val="StyleUnderline"/>
        </w:rPr>
        <w:t xml:space="preserve"> </w:t>
      </w:r>
      <w:r w:rsidRPr="00B00124">
        <w:rPr>
          <w:rStyle w:val="StyleUnderline"/>
        </w:rPr>
        <w:t>information, of which content, in the sense of mediated transmission and copyrightable</w:t>
      </w:r>
      <w:r>
        <w:rPr>
          <w:rStyle w:val="StyleUnderline"/>
        </w:rPr>
        <w:t xml:space="preserve"> </w:t>
      </w:r>
      <w:r w:rsidRPr="00B00124">
        <w:rPr>
          <w:rStyle w:val="StyleUnderline"/>
        </w:rPr>
        <w:t>material, is only a species. We need to start thinking of content as part of the information</w:t>
      </w:r>
      <w:r>
        <w:rPr>
          <w:rStyle w:val="StyleUnderline"/>
        </w:rPr>
        <w:t xml:space="preserve"> </w:t>
      </w:r>
      <w:r w:rsidRPr="00B00124">
        <w:rPr>
          <w:rStyle w:val="StyleUnderline"/>
        </w:rPr>
        <w:t>flows that are the lifeblood of the hybrid – to paraphrase Haraway – of technology and</w:t>
      </w:r>
      <w:r>
        <w:rPr>
          <w:rStyle w:val="StyleUnderline"/>
        </w:rPr>
        <w:t xml:space="preserve"> </w:t>
      </w:r>
      <w:r w:rsidRPr="00B00124">
        <w:rPr>
          <w:rStyle w:val="StyleUnderline"/>
        </w:rPr>
        <w:t>(networked) humanity. Limitations and power-holds over information that copyright</w:t>
      </w:r>
      <w:r>
        <w:rPr>
          <w:rStyle w:val="StyleUnderline"/>
        </w:rPr>
        <w:t xml:space="preserve"> </w:t>
      </w:r>
      <w:r w:rsidRPr="00B00124">
        <w:rPr>
          <w:rStyle w:val="StyleUnderline"/>
        </w:rPr>
        <w:t>laws entrench are considerably impactful upon a world that is, in more than one ways,</w:t>
      </w:r>
      <w:r>
        <w:rPr>
          <w:rStyle w:val="StyleUnderline"/>
        </w:rPr>
        <w:t xml:space="preserve"> </w:t>
      </w:r>
      <w:r w:rsidRPr="00B00124">
        <w:rPr>
          <w:rStyle w:val="StyleUnderline"/>
        </w:rPr>
        <w:t>forced to be embedded in online technologies; to normalise daily life and its institutions</w:t>
      </w:r>
      <w:r>
        <w:rPr>
          <w:rStyle w:val="StyleUnderline"/>
        </w:rPr>
        <w:t xml:space="preserve"> </w:t>
      </w:r>
      <w:r w:rsidRPr="00B00124">
        <w:rPr>
          <w:rStyle w:val="StyleUnderline"/>
        </w:rPr>
        <w:t>around it.</w:t>
      </w:r>
      <w:r>
        <w:rPr>
          <w:rStyle w:val="StyleUnderline"/>
        </w:rPr>
        <w:t xml:space="preserve"> </w:t>
      </w:r>
      <w:r w:rsidRPr="006A4805">
        <w:rPr>
          <w:sz w:val="16"/>
        </w:rPr>
        <w:t xml:space="preserve">3.1. Reviewing convergence culture </w:t>
      </w:r>
      <w:r w:rsidRPr="00B00124">
        <w:rPr>
          <w:rStyle w:val="StyleUnderline"/>
        </w:rPr>
        <w:t>Three key phenomena across the network society – media convergence, participatory</w:t>
      </w:r>
      <w:r>
        <w:rPr>
          <w:rStyle w:val="StyleUnderline"/>
        </w:rPr>
        <w:t xml:space="preserve"> </w:t>
      </w:r>
      <w:r w:rsidRPr="00B00124">
        <w:rPr>
          <w:rStyle w:val="StyleUnderline"/>
        </w:rPr>
        <w:t>culture and collective intelligence – underpin the concept of convergence culture in</w:t>
      </w:r>
      <w:r>
        <w:rPr>
          <w:rStyle w:val="StyleUnderline"/>
        </w:rPr>
        <w:t xml:space="preserve"> </w:t>
      </w:r>
      <w:r w:rsidRPr="00B00124">
        <w:rPr>
          <w:rStyle w:val="StyleUnderline"/>
        </w:rPr>
        <w:t>Jenkins’ account of the same name (2006).</w:t>
      </w:r>
      <w:r w:rsidRPr="006A4805">
        <w:rPr>
          <w:sz w:val="16"/>
        </w:rPr>
        <w:t xml:space="preserve"> This points to the complicated relationship between corporate content production and interconnected consumption and how the two converge. Through mass online community formation processes, such as gossiping, fandom, knowledge communities (like thematic wikis) and social media trending, cultural consumption (alluding to McLuhan’s notions of tribalisation around the medium) expands upon mass production of derivative content (Jenkins 2006) and, further on, of cultural and social capitals (Bourdieu 1986). Culture (and socialisation to that end) as a meaningmaking process would always draw from existing symbols and shared knowledge reference pools (Coombe 1998). Communication is conducted via references to language, landmarks, mythologies, texts, news and melodies; social participants interpret and recycle this material, around which social continuity is established, associations take shape and culture moves on. Folklore and culture would play that role of common reference pool, until gradually displaced by industrial production of commercialised entertainment (Jenkins 2006). Regarding smaller, ethnic or national traditional communities, recognition of the inherent social function of culture and the need to preserve the integrity of its relationship with populations is articulated in cultural heritage protection laws.2 With Western societies becoming more complex, the inevitable industrialisation and mass commercialisation of cultural production upset this schema, saturating the cultural landscape, eventually defining it (Lange and Powell 2009). Yet, as Benkler (2006) notes, the network society challenged the market-based model of cultural production, forwarding a new folk culture through the users’ engagement with knowledge and content. ICTs contributed to that by itemising information onscreen. Social development and cultural processes become visible, palpable through online service account activities and records, as well as through data traces. In fact, online activities produce data – produce new information. Content per se becomes malleable, available to manipulate, interactive and ‘transferable’. Images, texts, computer code, they are all reproduced, embedded in part or in full in other online artefacts to then be stored, forwarded or shared. </w:t>
      </w:r>
      <w:r w:rsidRPr="00B00124">
        <w:rPr>
          <w:rStyle w:val="StyleUnderline"/>
        </w:rPr>
        <w:t>In practical terms, copying and unauthorised reproduction form necessary operation and routinely part of everyday engagement with (and in) online communications,</w:t>
      </w:r>
      <w:r>
        <w:rPr>
          <w:rStyle w:val="StyleUnderline"/>
        </w:rPr>
        <w:t xml:space="preserve"> </w:t>
      </w:r>
      <w:r w:rsidRPr="00B00124">
        <w:rPr>
          <w:rStyle w:val="StyleUnderline"/>
        </w:rPr>
        <w:t>from automatically made temporary copies, to sharing fragments of information – like a</w:t>
      </w:r>
      <w:r>
        <w:rPr>
          <w:rStyle w:val="StyleUnderline"/>
        </w:rPr>
        <w:t xml:space="preserve"> </w:t>
      </w:r>
      <w:r w:rsidRPr="00B00124">
        <w:rPr>
          <w:rStyle w:val="StyleUnderline"/>
        </w:rPr>
        <w:t>piece of text – images and tunes, to even reading online (Boyle 2008).</w:t>
      </w:r>
      <w:r>
        <w:rPr>
          <w:rStyle w:val="StyleUnderline"/>
        </w:rPr>
        <w:t xml:space="preserve"> </w:t>
      </w:r>
      <w:r w:rsidRPr="006A4805">
        <w:rPr>
          <w:sz w:val="16"/>
        </w:rPr>
        <w:t xml:space="preserve">The second important feature of this setting lies in the online medium’s capacity to construct a new communications language out of relations between links, pictures, video files and social networking software functions. This is an aspect of the already examined conceptual power of the medium as a language. Most characteristically, the convergence culture experience frames the capacity of networked, digitally bred generations to speak (Lessig 2008). 3.2. The copyright setting </w:t>
      </w:r>
      <w:r w:rsidRPr="00B00124">
        <w:rPr>
          <w:rStyle w:val="StyleUnderline"/>
        </w:rPr>
        <w:t>At the same time, the spread of digital technologies, enabling mass copying and distribution of music and films, has been largely associated with the big changes in the regulation of copyright law in the mid-1990s, including the TRIPS Agreement3 as well as the</w:t>
      </w:r>
      <w:r>
        <w:rPr>
          <w:rStyle w:val="StyleUnderline"/>
        </w:rPr>
        <w:t xml:space="preserve"> </w:t>
      </w:r>
      <w:r w:rsidRPr="00B00124">
        <w:rPr>
          <w:rStyle w:val="StyleUnderline"/>
        </w:rPr>
        <w:t>two WIPO Treaties.4</w:t>
      </w:r>
      <w:r w:rsidRPr="006A4805">
        <w:rPr>
          <w:sz w:val="16"/>
        </w:rPr>
        <w:t xml:space="preserve"> Drafting of laws like TRIPS and the US Digital Millennium Copyright Act (DMCA) 1998 has been contested for intense backstage lobbying and pressure from corporate IP rightsholders and, eventually, for serving the industry’s big players (Litman 2001; Drahos and Braithwaite 2002). Following the legislative trend, the EU perspective5 developed economic-utilitarian reflexes, demonstrated greater concern about being industrially competitive, and arguably went further than the DMCA with anti-circumvention rules to thus restrict fair uses in digital environments. It also left the harmonisation of authors’ moral rights out of the Directive framework6 (Spinello and Bottis 2009). </w:t>
      </w:r>
      <w:r w:rsidRPr="00B00124">
        <w:rPr>
          <w:rStyle w:val="StyleUnderline"/>
        </w:rPr>
        <w:t>According to its critics, the resulting legal landscape for copyright, which has spread globally across most WTO associated regimes, is characterised by extending copyright terms</w:t>
      </w:r>
      <w:r>
        <w:rPr>
          <w:rStyle w:val="StyleUnderline"/>
        </w:rPr>
        <w:t xml:space="preserve"> </w:t>
      </w:r>
      <w:r w:rsidRPr="00B00124">
        <w:rPr>
          <w:rStyle w:val="StyleUnderline"/>
        </w:rPr>
        <w:t>(Lessig 2004), it criminalises end-users for infringements belonging rather to the private</w:t>
      </w:r>
      <w:r>
        <w:rPr>
          <w:rStyle w:val="StyleUnderline"/>
        </w:rPr>
        <w:t xml:space="preserve"> </w:t>
      </w:r>
      <w:r w:rsidRPr="00B00124">
        <w:rPr>
          <w:rStyle w:val="StyleUnderline"/>
        </w:rPr>
        <w:t>law sphere (Drahos and Braithwaite 2002), and minimises the role of copyright limitations</w:t>
      </w:r>
      <w:r>
        <w:rPr>
          <w:rStyle w:val="StyleUnderline"/>
        </w:rPr>
        <w:t xml:space="preserve"> </w:t>
      </w:r>
      <w:r w:rsidRPr="00B00124">
        <w:rPr>
          <w:rStyle w:val="StyleUnderline"/>
        </w:rPr>
        <w:t>from legal priority to fair use defences in litigation (Lange and Powell 2009). Other criticisms include an arguable turn from earlier copyright models, which had served the</w:t>
      </w:r>
      <w:r>
        <w:rPr>
          <w:rStyle w:val="StyleUnderline"/>
        </w:rPr>
        <w:t xml:space="preserve"> </w:t>
      </w:r>
      <w:r w:rsidRPr="00B00124">
        <w:rPr>
          <w:rStyle w:val="StyleUnderline"/>
        </w:rPr>
        <w:t>public domain by ‘defining copyright ownership in terms of narrow privileges’ only</w:t>
      </w:r>
      <w:r>
        <w:rPr>
          <w:rStyle w:val="StyleUnderline"/>
        </w:rPr>
        <w:t xml:space="preserve"> </w:t>
      </w:r>
      <w:r w:rsidRPr="00B00124">
        <w:rPr>
          <w:rStyle w:val="StyleUnderline"/>
        </w:rPr>
        <w:t>(Drahos and Braithwaite 2002, 186); a manifested tendency towards privatising the intangible commons and the erosion of the public domain, branded the Second Enclosure</w:t>
      </w:r>
      <w:r>
        <w:rPr>
          <w:rStyle w:val="StyleUnderline"/>
        </w:rPr>
        <w:t xml:space="preserve"> </w:t>
      </w:r>
      <w:r w:rsidRPr="00B00124">
        <w:rPr>
          <w:rStyle w:val="StyleUnderline"/>
        </w:rPr>
        <w:t>Movement (taking after England’s common land enclosures, between the 14th and 19th</w:t>
      </w:r>
      <w:r>
        <w:rPr>
          <w:rStyle w:val="StyleUnderline"/>
        </w:rPr>
        <w:t xml:space="preserve"> </w:t>
      </w:r>
      <w:r w:rsidRPr="00B00124">
        <w:rPr>
          <w:rStyle w:val="StyleUnderline"/>
        </w:rPr>
        <w:t>centuries) (Boyle 2003); and, generally, fundamental limits being imposed on free</w:t>
      </w:r>
      <w:r>
        <w:rPr>
          <w:rStyle w:val="StyleUnderline"/>
        </w:rPr>
        <w:t xml:space="preserve"> </w:t>
      </w:r>
      <w:r w:rsidRPr="00B00124">
        <w:rPr>
          <w:rStyle w:val="StyleUnderline"/>
        </w:rPr>
        <w:t>expression, access to knowledge and creativity (Lessig 2004; Lange and Powell 2009).7</w:t>
      </w:r>
      <w:r>
        <w:rPr>
          <w:rStyle w:val="StyleUnderline"/>
        </w:rPr>
        <w:t xml:space="preserve"> </w:t>
      </w:r>
      <w:r w:rsidRPr="00B00124">
        <w:rPr>
          <w:rStyle w:val="StyleUnderline"/>
        </w:rPr>
        <w:t>Corporate production of culture, knowledge and communications content plays key</w:t>
      </w:r>
      <w:r>
        <w:rPr>
          <w:rStyle w:val="StyleUnderline"/>
        </w:rPr>
        <w:t xml:space="preserve"> </w:t>
      </w:r>
      <w:r w:rsidRPr="00B00124">
        <w:rPr>
          <w:rStyle w:val="StyleUnderline"/>
        </w:rPr>
        <w:t>role in what has been addressed as the ‘battle over the institutional ecology of the</w:t>
      </w:r>
      <w:r>
        <w:rPr>
          <w:rStyle w:val="StyleUnderline"/>
        </w:rPr>
        <w:t xml:space="preserve"> </w:t>
      </w:r>
      <w:r w:rsidRPr="00B00124">
        <w:rPr>
          <w:rStyle w:val="StyleUnderline"/>
        </w:rPr>
        <w:t>digital environment’ (Benkler 2006, 2).</w:t>
      </w:r>
      <w:r w:rsidRPr="006A4805">
        <w:rPr>
          <w:sz w:val="16"/>
        </w:rPr>
        <w:t xml:space="preserve"> As human culture evolves around – and the medium itself encourages – the recycling of information in its various forms, online users habitually engage with existing content and references to it. </w:t>
      </w:r>
      <w:r w:rsidRPr="00B00124">
        <w:rPr>
          <w:rStyle w:val="StyleUnderline"/>
        </w:rPr>
        <w:t>With corporate</w:t>
      </w:r>
      <w:r>
        <w:rPr>
          <w:rStyle w:val="StyleUnderline"/>
        </w:rPr>
        <w:t xml:space="preserve"> </w:t>
      </w:r>
      <w:r w:rsidRPr="00B00124">
        <w:rPr>
          <w:rStyle w:val="StyleUnderline"/>
        </w:rPr>
        <w:t>brands working strategically to establish market dominance in cultural consumption,</w:t>
      </w:r>
      <w:r>
        <w:rPr>
          <w:rStyle w:val="StyleUnderline"/>
        </w:rPr>
        <w:t xml:space="preserve"> </w:t>
      </w:r>
      <w:r w:rsidRPr="00B00124">
        <w:rPr>
          <w:rStyle w:val="StyleUnderline"/>
        </w:rPr>
        <w:t>their omnipresent commercial symbols permeating culture (Coombe 1998), and, apparently, cultural content production becoming increasingly concentrated within strong oligopolies (Lee 2019), copyright exclusivities raise concerns about extensive social and</w:t>
      </w:r>
      <w:r>
        <w:rPr>
          <w:rStyle w:val="StyleUnderline"/>
        </w:rPr>
        <w:t xml:space="preserve"> </w:t>
      </w:r>
      <w:r w:rsidRPr="00B00124">
        <w:rPr>
          <w:rStyle w:val="StyleUnderline"/>
        </w:rPr>
        <w:t>cultural control by small numbers of corporate entities.</w:t>
      </w:r>
      <w:r>
        <w:rPr>
          <w:rStyle w:val="StyleUnderline"/>
        </w:rPr>
        <w:t xml:space="preserve"> </w:t>
      </w:r>
      <w:r w:rsidRPr="006A4805">
        <w:rPr>
          <w:sz w:val="16"/>
        </w:rPr>
        <w:t xml:space="preserve">The implications of the above situation can be more clearly understood with reference to some concrete examples of how the power conferred by copyright law is exercised. As previously indicated, in terms of black-letter law ordinary uses of online creative works count as copyright infringements (Lessig 2008). </w:t>
      </w:r>
      <w:r w:rsidRPr="00B00124">
        <w:rPr>
          <w:rStyle w:val="StyleUnderline"/>
        </w:rPr>
        <w:t>Where more transformative engagements with</w:t>
      </w:r>
      <w:r>
        <w:rPr>
          <w:rStyle w:val="StyleUnderline"/>
        </w:rPr>
        <w:t xml:space="preserve"> </w:t>
      </w:r>
      <w:r w:rsidRPr="00B00124">
        <w:rPr>
          <w:rStyle w:val="StyleUnderline"/>
        </w:rPr>
        <w:t>content may essentially be of little economic concern, copyright rightsholders have on</w:t>
      </w:r>
      <w:r>
        <w:rPr>
          <w:rStyle w:val="StyleUnderline"/>
        </w:rPr>
        <w:t xml:space="preserve"> </w:t>
      </w:r>
      <w:r w:rsidRPr="00B00124">
        <w:rPr>
          <w:rStyle w:val="StyleUnderline"/>
        </w:rPr>
        <w:t>many occasions appeared protectionist, perhaps because such content is increasingly susceptible to widespread unauthorised appropriation and they are afraid of habitual online</w:t>
      </w:r>
      <w:r>
        <w:rPr>
          <w:rStyle w:val="StyleUnderline"/>
        </w:rPr>
        <w:t xml:space="preserve"> </w:t>
      </w:r>
      <w:r w:rsidRPr="00B00124">
        <w:rPr>
          <w:rStyle w:val="StyleUnderline"/>
        </w:rPr>
        <w:t>uses progressing into entitlements (Lange and Powell 2009).</w:t>
      </w:r>
      <w:r w:rsidRPr="006A4805">
        <w:rPr>
          <w:sz w:val="16"/>
        </w:rPr>
        <w:t xml:space="preserve"> Copyright law arguably encourages rightsholders to disassociate their cultural production from notions of public responsibility (Sun 2013), while in several settings it has framed the context of exception within rather formal contexts; for example, in the UK fair dealings were mainly introduced in relation to research, study, teaching, archiving, disability and related commercial practices.8 Nevertheless, parodies, forming since early key part of cultural and political online expression through the manipulation of creative content, now count as an established copyright exception in many settings (including the UK).9 Largely, it is considered that such conflicts over derivative user-generated creations, like fan-works, Internet memes and so on, should be resolved successfully when appealing directly to existing copyright exceptions, with some setups, like the US fair-use doctrine, offering perhaps greater flexibility in favour of users (and perhaps less certainty) (Hetcher 2009; Patel 2013; Bonetto 2018). 3.3. The medium becomes the problem </w:t>
      </w:r>
      <w:r w:rsidRPr="00B00124">
        <w:rPr>
          <w:rStyle w:val="StyleUnderline"/>
        </w:rPr>
        <w:t>The real thorn in the content producers’ side has arguably been otherwise non-commercial exchanges of derivative content, taking place on online services that profit through subscriptions or practices like online advertising</w:t>
      </w:r>
      <w:r w:rsidRPr="006A4805">
        <w:rPr>
          <w:sz w:val="16"/>
        </w:rPr>
        <w:t xml:space="preserve">. This developed early into a legal argument for interfering with unwelcome content circulation, solidified within laws that outline liability for service providers who host relevant material and have knowledge of potential infringement.10 </w:t>
      </w:r>
      <w:r w:rsidRPr="00B00124">
        <w:rPr>
          <w:rStyle w:val="StyleUnderline"/>
        </w:rPr>
        <w:t>Such laws have established ‘notice and take down’ mechanisms, compelling content</w:t>
      </w:r>
      <w:r>
        <w:rPr>
          <w:rStyle w:val="StyleUnderline"/>
        </w:rPr>
        <w:t xml:space="preserve"> </w:t>
      </w:r>
      <w:r w:rsidRPr="00B00124">
        <w:rPr>
          <w:rStyle w:val="StyleUnderline"/>
        </w:rPr>
        <w:t>hosts to follow action against material uploaded by users on their services, once they</w:t>
      </w:r>
      <w:r>
        <w:rPr>
          <w:rStyle w:val="StyleUnderline"/>
        </w:rPr>
        <w:t xml:space="preserve"> </w:t>
      </w:r>
      <w:r w:rsidRPr="00B00124">
        <w:rPr>
          <w:rStyle w:val="StyleUnderline"/>
        </w:rPr>
        <w:t>have received complaints from owners of creative works</w:t>
      </w:r>
      <w:r w:rsidRPr="006A4805">
        <w:rPr>
          <w:sz w:val="16"/>
        </w:rPr>
        <w:t xml:space="preserve">. Dedicated, cheap systems have enabled complainants to automate both processes of searching online for infringements and of sending out notices en masse. Studies of complaint mechanisms have indicated small numbers of complainants (including corporate rightsholders and specialised agencies in pursuing copyright infringers), overwhelming processes for recipients, notices generated by highly centralised models of operation that frequently result in misuse (for example, repetitive auto-generated complaint notices), overall processes that are overwhelming for their recipients and filtering not being always transparent (Ibosiola et al. 2019). </w:t>
      </w:r>
      <w:r w:rsidRPr="00B00124">
        <w:rPr>
          <w:rStyle w:val="StyleUnderline"/>
        </w:rPr>
        <w:t>It follows that general concerns include the uncontrollable, biased</w:t>
      </w:r>
      <w:r>
        <w:rPr>
          <w:rStyle w:val="StyleUnderline"/>
        </w:rPr>
        <w:t xml:space="preserve"> </w:t>
      </w:r>
      <w:r w:rsidRPr="00B00124">
        <w:rPr>
          <w:rStyle w:val="StyleUnderline"/>
        </w:rPr>
        <w:t>conduct of the process by oligopolies of rightsholders, the reluctance of service providers</w:t>
      </w:r>
      <w:r>
        <w:rPr>
          <w:rStyle w:val="StyleUnderline"/>
        </w:rPr>
        <w:t xml:space="preserve"> </w:t>
      </w:r>
      <w:r w:rsidRPr="00B00124">
        <w:rPr>
          <w:rStyle w:val="StyleUnderline"/>
        </w:rPr>
        <w:t>to investigate the accuracy of every single complaint received or to be exposed to expensive litigation, and, eventually, chilling effects on expression, where infringement might not</w:t>
      </w:r>
      <w:r>
        <w:rPr>
          <w:rStyle w:val="StyleUnderline"/>
        </w:rPr>
        <w:t xml:space="preserve"> </w:t>
      </w:r>
      <w:r w:rsidRPr="00B00124">
        <w:rPr>
          <w:rStyle w:val="StyleUnderline"/>
        </w:rPr>
        <w:t>always be confirmed</w:t>
      </w:r>
      <w:r w:rsidRPr="006A4805">
        <w:rPr>
          <w:sz w:val="16"/>
        </w:rPr>
        <w:t xml:space="preserve"> (Seltzer 2010; Urban, Karaganis, and Schofield 2017). In Europe, the above also point to potential interferences with human rights under the European Convention of Human Rights (Kuczerawy 2015). The latest EU legislative initiative11 attempts to address such concerns, encompassing also years of developing deliberations on the role of online service providers; it will be briefly addressed in the conclusions section. </w:t>
      </w:r>
      <w:r w:rsidRPr="00B00124">
        <w:rPr>
          <w:rStyle w:val="StyleUnderline"/>
        </w:rPr>
        <w:t>At this point, however, one is also alerted to power structures originating in the online</w:t>
      </w:r>
      <w:r>
        <w:rPr>
          <w:rStyle w:val="StyleUnderline"/>
        </w:rPr>
        <w:t xml:space="preserve"> </w:t>
      </w:r>
      <w:r w:rsidRPr="00B00124">
        <w:rPr>
          <w:rStyle w:val="StyleUnderline"/>
        </w:rPr>
        <w:t>setting and directing humanity into action, as well as shaping its development. Search</w:t>
      </w:r>
      <w:r>
        <w:rPr>
          <w:rStyle w:val="StyleUnderline"/>
        </w:rPr>
        <w:t xml:space="preserve"> </w:t>
      </w:r>
      <w:r w:rsidRPr="00B00124">
        <w:rPr>
          <w:rStyle w:val="StyleUnderline"/>
        </w:rPr>
        <w:t>engines, video platforms, social media, algorithms – these are key elements of a madeup, neither natural nor random structure. As much as providing the ground for challenging – perhaps excessive – copyright monopolies, they also condition cultural life in</w:t>
      </w:r>
      <w:r>
        <w:rPr>
          <w:rStyle w:val="StyleUnderline"/>
        </w:rPr>
        <w:t xml:space="preserve"> </w:t>
      </w:r>
      <w:r w:rsidRPr="00B00124">
        <w:rPr>
          <w:rStyle w:val="StyleUnderline"/>
        </w:rPr>
        <w:t>their own fashion</w:t>
      </w:r>
      <w:r w:rsidRPr="006A4805">
        <w:rPr>
          <w:sz w:val="16"/>
        </w:rPr>
        <w:t xml:space="preserve">. They also belong to the same larger economic and political institutional order within the network society, as previously defined. This brings the discussion closer to its most challenging aspect. Recall the earlier discussion, following McLuhan, of a biological interpretation of the online medium having symbiotically become one with humanity. Echoing cybernetic conceptualisations and with an eye on McLuhan’s reasoning, we could remark ‘change the medium and you change the organism’. This would be no fictional allusion to the spirit of Blade Runner: it involves a reading of humanity’s actual institutional surroundings within the network society. </w:t>
      </w:r>
      <w:r w:rsidRPr="00B00124">
        <w:rPr>
          <w:rStyle w:val="StyleUnderline"/>
        </w:rPr>
        <w:t>Integration with the electronic medium suggests that laws, economic interests, technologies</w:t>
      </w:r>
      <w:r>
        <w:rPr>
          <w:rStyle w:val="StyleUnderline"/>
        </w:rPr>
        <w:t xml:space="preserve"> </w:t>
      </w:r>
      <w:r w:rsidRPr="00B00124">
        <w:rPr>
          <w:rStyle w:val="StyleUnderline"/>
        </w:rPr>
        <w:t>and forms of online discipline (content takedown is one; limited access to online services is</w:t>
      </w:r>
      <w:r>
        <w:rPr>
          <w:rStyle w:val="StyleUnderline"/>
        </w:rPr>
        <w:t xml:space="preserve"> </w:t>
      </w:r>
      <w:r w:rsidRPr="00B00124">
        <w:rPr>
          <w:rStyle w:val="StyleUnderline"/>
        </w:rPr>
        <w:t>another) impact on the very essence of our biological lives, through our connection with</w:t>
      </w:r>
      <w:r>
        <w:rPr>
          <w:rStyle w:val="StyleUnderline"/>
        </w:rPr>
        <w:t xml:space="preserve"> </w:t>
      </w:r>
      <w:r w:rsidRPr="00B00124">
        <w:rPr>
          <w:rStyle w:val="StyleUnderline"/>
        </w:rPr>
        <w:t>the online medium.</w:t>
      </w:r>
      <w:r w:rsidRPr="006A4805">
        <w:rPr>
          <w:sz w:val="16"/>
        </w:rPr>
        <w:t xml:space="preserve"> The next section will explore this biopolitical aspect by mobilising a series of alternative analytical tools for evaluating the issues raised up to this point.</w:t>
      </w:r>
    </w:p>
    <w:p w14:paraId="40C90ECB" w14:textId="6F64F8DE" w:rsidR="00543003" w:rsidRDefault="00543003" w:rsidP="00543003">
      <w:pPr>
        <w:pStyle w:val="Heading4"/>
      </w:pPr>
      <w:r>
        <w:t>These biopolitical rights regimes codify the false public/private distinction, giving government the “right” to decide who lives and who dies</w:t>
      </w:r>
    </w:p>
    <w:p w14:paraId="7C495A4F" w14:textId="77777777" w:rsidR="00543003" w:rsidRPr="006A4805" w:rsidRDefault="00543003" w:rsidP="00543003">
      <w:pPr>
        <w:rPr>
          <w:rStyle w:val="Style13ptBold"/>
        </w:rPr>
      </w:pPr>
      <w:r w:rsidRPr="006A4805">
        <w:rPr>
          <w:rStyle w:val="Style13ptBold"/>
        </w:rPr>
        <w:t>Hilberg 15</w:t>
      </w:r>
    </w:p>
    <w:p w14:paraId="251A7D5D" w14:textId="77777777" w:rsidR="00543003" w:rsidRPr="006A4805" w:rsidRDefault="00543003" w:rsidP="00543003">
      <w:r w:rsidRPr="006A4805">
        <w:t xml:space="preserve">Eva, phD candidate at the University of Sussex. “Intellectual Property and the Genetic Dispositif of Life: The Changing Role of Intellectual Property Law in Governing Participation and Knowledge in the Bioeconomy.” Submitted for the Degree of Doctor of Philosophy University of Sussex, May 2015. Pp </w:t>
      </w:r>
      <w:r>
        <w:t>71-74</w:t>
      </w:r>
      <w:r w:rsidRPr="006A4805">
        <w:t>. LJS</w:t>
      </w:r>
    </w:p>
    <w:p w14:paraId="04482B96" w14:textId="77777777" w:rsidR="00543003" w:rsidRPr="00724781" w:rsidRDefault="00543003" w:rsidP="00543003">
      <w:pPr>
        <w:rPr>
          <w:sz w:val="16"/>
        </w:rPr>
      </w:pPr>
      <w:r w:rsidRPr="00724781">
        <w:rPr>
          <w:rStyle w:val="StyleUnderline"/>
        </w:rPr>
        <w:t xml:space="preserve">In this context, the role of IP can be re-read as contributing to the </w:t>
      </w:r>
      <w:r w:rsidRPr="00724781">
        <w:rPr>
          <w:rStyle w:val="Emphasis"/>
        </w:rPr>
        <w:t>governing of life</w:t>
      </w:r>
      <w:r w:rsidRPr="00724781">
        <w:rPr>
          <w:rStyle w:val="StyleUnderline"/>
        </w:rPr>
        <w:t>, which allows for example for a different perspective on statements made by</w:t>
      </w:r>
      <w:r>
        <w:rPr>
          <w:rStyle w:val="StyleUnderline"/>
        </w:rPr>
        <w:t xml:space="preserve"> </w:t>
      </w:r>
      <w:r w:rsidRPr="00724781">
        <w:rPr>
          <w:rStyle w:val="StyleUnderline"/>
        </w:rPr>
        <w:t>representatives of international organisations emphasising the fundamental</w:t>
      </w:r>
      <w:r>
        <w:rPr>
          <w:rStyle w:val="StyleUnderline"/>
        </w:rPr>
        <w:t xml:space="preserve"> </w:t>
      </w:r>
      <w:r w:rsidRPr="00724781">
        <w:rPr>
          <w:rStyle w:val="StyleUnderline"/>
        </w:rPr>
        <w:t>compatibility of health concerns and IP (see WHO, WIPO, and WTO 2013). Such</w:t>
      </w:r>
      <w:r>
        <w:rPr>
          <w:rStyle w:val="StyleUnderline"/>
        </w:rPr>
        <w:t xml:space="preserve"> </w:t>
      </w:r>
      <w:r w:rsidRPr="00724781">
        <w:rPr>
          <w:rStyle w:val="StyleUnderline"/>
        </w:rPr>
        <w:t>statements and programmes seeking to reconcile IPRs with public health can now be</w:t>
      </w:r>
      <w:r>
        <w:rPr>
          <w:rStyle w:val="StyleUnderline"/>
        </w:rPr>
        <w:t xml:space="preserve"> </w:t>
      </w:r>
      <w:r w:rsidRPr="00724781">
        <w:rPr>
          <w:rStyle w:val="StyleUnderline"/>
        </w:rPr>
        <w:t xml:space="preserve">understood as an </w:t>
      </w:r>
      <w:r w:rsidRPr="00275480">
        <w:rPr>
          <w:rStyle w:val="Emphasis"/>
        </w:rPr>
        <w:t>accommodation or “constant adaptation of the legal order</w:t>
      </w:r>
      <w:r w:rsidRPr="00724781">
        <w:rPr>
          <w:rStyle w:val="StyleUnderline"/>
        </w:rPr>
        <w:t xml:space="preserve"> to</w:t>
      </w:r>
      <w:r>
        <w:rPr>
          <w:rStyle w:val="StyleUnderline"/>
        </w:rPr>
        <w:t xml:space="preserve"> </w:t>
      </w:r>
      <w:r w:rsidRPr="00724781">
        <w:rPr>
          <w:rStyle w:val="StyleUnderline"/>
        </w:rPr>
        <w:t>scientific discoveries, to the progress of economic organization and technique, […]</w:t>
      </w:r>
      <w:r>
        <w:rPr>
          <w:rStyle w:val="StyleUnderline"/>
        </w:rPr>
        <w:t xml:space="preserve"> </w:t>
      </w:r>
      <w:r w:rsidRPr="00724781">
        <w:rPr>
          <w:rStyle w:val="StyleUnderline"/>
        </w:rPr>
        <w:t>and to the requirements of contemporary consciousness</w:t>
      </w:r>
      <w:r w:rsidRPr="00724781">
        <w:rPr>
          <w:sz w:val="16"/>
        </w:rPr>
        <w:t xml:space="preserve">” (Foucault 2008, 161). In this sense, these statements on IP can be understood as a product of tensions between the aim of fostering the life of populations and the normalisation of knowledge over life for their economic circulation. As the next chapters point out, at this intersection IP’s role goes beyond the sheer commodification of life, with IPRs exerting normalising and economic powers on the accepted scientific conception of life. </w:t>
      </w:r>
      <w:r w:rsidRPr="00724781">
        <w:rPr>
          <w:rStyle w:val="StyleUnderline"/>
        </w:rPr>
        <w:t>This governmental accommodation of challenges in the name of life can be</w:t>
      </w:r>
      <w:r>
        <w:rPr>
          <w:rStyle w:val="StyleUnderline"/>
        </w:rPr>
        <w:t xml:space="preserve"> </w:t>
      </w:r>
      <w:r w:rsidRPr="00724781">
        <w:rPr>
          <w:rStyle w:val="StyleUnderline"/>
        </w:rPr>
        <w:t>traced in other ways.</w:t>
      </w:r>
      <w:r w:rsidRPr="00724781">
        <w:rPr>
          <w:sz w:val="16"/>
        </w:rPr>
        <w:t xml:space="preserve"> Elbe points out that “biopower […] [was] not merely deployed downwards from the state into society, but [was] consentingly invoked by many social groups […]. </w:t>
      </w:r>
      <w:r w:rsidRPr="00724781">
        <w:rPr>
          <w:rStyle w:val="StyleUnderline"/>
        </w:rPr>
        <w:t>The health of all, he noted, became a priority of all</w:t>
      </w:r>
      <w:r w:rsidRPr="00724781">
        <w:rPr>
          <w:sz w:val="16"/>
        </w:rPr>
        <w:t xml:space="preserve">” (Elbe 2005, 407). As subjects were increasingly “encouraged to view […] lives and identities as a type of enterprise” (McNay 2009, 56), they began to be actively engaged in generating knowledge about their body. </w:t>
      </w:r>
      <w:r w:rsidRPr="00724781">
        <w:rPr>
          <w:rStyle w:val="StyleUnderline"/>
        </w:rPr>
        <w:t>As a result, “active patients” (N. Rose 2007a, 11) began to demand access to genetic knowledge about their own life and health,</w:t>
      </w:r>
      <w:r>
        <w:rPr>
          <w:rStyle w:val="StyleUnderline"/>
        </w:rPr>
        <w:t xml:space="preserve"> </w:t>
      </w:r>
      <w:r w:rsidRPr="00724781">
        <w:rPr>
          <w:rStyle w:val="StyleUnderline"/>
        </w:rPr>
        <w:t xml:space="preserve">thus </w:t>
      </w:r>
      <w:r w:rsidRPr="00275480">
        <w:rPr>
          <w:rStyle w:val="Emphasis"/>
        </w:rPr>
        <w:t>challenging the exclusivity of the IP system</w:t>
      </w:r>
      <w:r w:rsidRPr="00724781">
        <w:rPr>
          <w:rStyle w:val="StyleUnderline"/>
        </w:rPr>
        <w:t xml:space="preserve"> in a bid to improve their own</w:t>
      </w:r>
      <w:r>
        <w:rPr>
          <w:rStyle w:val="StyleUnderline"/>
        </w:rPr>
        <w:t xml:space="preserve"> </w:t>
      </w:r>
      <w:r w:rsidRPr="00724781">
        <w:rPr>
          <w:rStyle w:val="StyleUnderline"/>
        </w:rPr>
        <w:t>condition – highlighting the radical potential of biopolitical challenges</w:t>
      </w:r>
      <w:r w:rsidRPr="00724781">
        <w:rPr>
          <w:sz w:val="16"/>
        </w:rPr>
        <w:t xml:space="preserve">. In responding to these challenges demanding participation in the bioeconomy, the IP regime comes under pressure to ‘governmentalise’, and contributes to the management of the political problem of life as a tactics of government. 1.3. The limits of productive biopolitics The notion of a productive way of governing life in a new governmentality has given rise to a variety of critical studies, which interpret Foucault’s work in different ways (see for example Esposito 2008; T. C. Campbell 2011; Clough and Willse 2011; Debrix and Barder 2012; see also overview in Lemke 2007, 9). Not all emphasise governing through the conduct of conduct and conditions of productiveness which “[seek to] increase the means of subsistence, to augment the wealth, strength and greatness of the state, to increase the happiness and prosperity of its inhabitants, and to multiply their numbers” (Dean 2010, 125). This section briefly outlines the difference between an emphasis on the production of the conditions of freedom and the study of biopower at its limits, where the distinctions between sovereign and governmental power exercises are blurred. Agamben presents a reading of biopolitics that is deeply connected to considerations of (state) sovereignty, looking at the “hidden point of intersection between the juridico-institutional and the biopolitical models of power” (Agamben 1998, 6). </w:t>
      </w:r>
      <w:r w:rsidRPr="00724781">
        <w:rPr>
          <w:rStyle w:val="StyleUnderline"/>
        </w:rPr>
        <w:t>In contrast to Foucault’s work, in Agamben’s interpretation “the production</w:t>
      </w:r>
      <w:r>
        <w:rPr>
          <w:rStyle w:val="StyleUnderline"/>
        </w:rPr>
        <w:t xml:space="preserve"> </w:t>
      </w:r>
      <w:r w:rsidRPr="00724781">
        <w:rPr>
          <w:rStyle w:val="StyleUnderline"/>
        </w:rPr>
        <w:t>of a biopolitical body is the original activity of sovereign power”, which places this</w:t>
      </w:r>
      <w:r>
        <w:rPr>
          <w:rStyle w:val="StyleUnderline"/>
        </w:rPr>
        <w:t xml:space="preserve"> </w:t>
      </w:r>
      <w:r w:rsidRPr="00724781">
        <w:rPr>
          <w:rStyle w:val="StyleUnderline"/>
        </w:rPr>
        <w:t>connection between biopolitics and sovereign power at the heart of “Western</w:t>
      </w:r>
      <w:r>
        <w:rPr>
          <w:rStyle w:val="StyleUnderline"/>
        </w:rPr>
        <w:t xml:space="preserve"> </w:t>
      </w:r>
      <w:r w:rsidRPr="00724781">
        <w:rPr>
          <w:rStyle w:val="StyleUnderline"/>
        </w:rPr>
        <w:t>politics”, in which “the inclusion of zoē in the polis (…) is, in itself, absolutely</w:t>
      </w:r>
      <w:r>
        <w:rPr>
          <w:rStyle w:val="StyleUnderline"/>
        </w:rPr>
        <w:t xml:space="preserve"> </w:t>
      </w:r>
      <w:r w:rsidRPr="00724781">
        <w:rPr>
          <w:rStyle w:val="StyleUnderline"/>
        </w:rPr>
        <w:t>ancient” (Ibid., 6 and 9). This entails a “correction” (Ibid., 9) of Foucault’s</w:t>
      </w:r>
      <w:r>
        <w:rPr>
          <w:rStyle w:val="StyleUnderline"/>
        </w:rPr>
        <w:t xml:space="preserve"> </w:t>
      </w:r>
      <w:r w:rsidRPr="00724781">
        <w:rPr>
          <w:rStyle w:val="StyleUnderline"/>
        </w:rPr>
        <w:t>understanding of the emergence of biopolitics as a marker for modern politics and</w:t>
      </w:r>
      <w:r>
        <w:rPr>
          <w:rStyle w:val="StyleUnderline"/>
        </w:rPr>
        <w:t xml:space="preserve"> </w:t>
      </w:r>
      <w:r w:rsidRPr="00724781">
        <w:rPr>
          <w:rStyle w:val="StyleUnderline"/>
        </w:rPr>
        <w:t>reconceptualises biopolitics as a foundational element of state power</w:t>
      </w:r>
      <w:r w:rsidRPr="00724781">
        <w:rPr>
          <w:sz w:val="16"/>
        </w:rPr>
        <w:t xml:space="preserve">. Agamben’s analysis focuses on the most “exemplary places of modern biopolitics: the concentration camp and the structure of the great totalitarian states of the twentieth century” (Ibid., 4). Lemke argues that as Agamben’s account fails to acknowledge “that biopolitics is, at its heart, a political economy of life, his [Agamben’s] analysis remains tied to sovereign power and blind towards all those mechanisms, which operate below or beyond the law” (Lemke 2007, 80).13 Similarly Fassin points out that Foucault was not concerned primarily with ontological questions of bios and zoē, but “rather [with] the way in which impersonal ‘living beings’ were turned into populations and individuals, how governmentality and subjectification shaped our modern vision of the world and of humanity” (Fassin 2009, 47; in a similar vein Lazzarato 2002, 101; Meloni 2010). Furthermore, in the context of his analysis of neoliberalism, Foucault cautioned against neoliberal “state phobia” and its “inflationary critical currency” which leads “an analysis of social security and the administrative apparatus […] to the analysis of concentration camps” (Foucault 2008, 187f.). </w:t>
      </w:r>
      <w:r w:rsidRPr="00724781">
        <w:rPr>
          <w:rStyle w:val="StyleUnderline"/>
        </w:rPr>
        <w:t>A similar caution should be made against focusing critiques exclusively on the</w:t>
      </w:r>
      <w:r>
        <w:rPr>
          <w:rStyle w:val="StyleUnderline"/>
        </w:rPr>
        <w:t xml:space="preserve"> </w:t>
      </w:r>
      <w:r w:rsidRPr="00724781">
        <w:rPr>
          <w:rStyle w:val="StyleUnderline"/>
        </w:rPr>
        <w:t>extremes of biopolitical strategies at the expense of an analysis of the productive</w:t>
      </w:r>
      <w:r>
        <w:rPr>
          <w:rStyle w:val="StyleUnderline"/>
        </w:rPr>
        <w:t xml:space="preserve"> </w:t>
      </w:r>
      <w:r w:rsidRPr="00724781">
        <w:rPr>
          <w:rStyle w:val="StyleUnderline"/>
        </w:rPr>
        <w:t>operation of power within the neoliberal system.</w:t>
      </w:r>
      <w:r>
        <w:rPr>
          <w:rStyle w:val="StyleUnderline"/>
        </w:rPr>
        <w:t xml:space="preserve"> </w:t>
      </w:r>
      <w:r w:rsidRPr="00724781">
        <w:rPr>
          <w:sz w:val="16"/>
        </w:rPr>
        <w:t xml:space="preserve">However, important analyses of the operation of power at the limits of biopolitics have drawn attention to the conditions of possibility on which the concept of biopolitics is founded. </w:t>
      </w:r>
      <w:r w:rsidRPr="00724781">
        <w:rPr>
          <w:rStyle w:val="StyleUnderline"/>
        </w:rPr>
        <w:t xml:space="preserve">Selmeczi shows that the </w:t>
      </w:r>
      <w:r w:rsidRPr="00275480">
        <w:rPr>
          <w:rStyle w:val="Emphasis"/>
        </w:rPr>
        <w:t>biopolitical fostering of some parts of populations always also entails an abandonment of others</w:t>
      </w:r>
      <w:r w:rsidRPr="00724781">
        <w:rPr>
          <w:rStyle w:val="StyleUnderline"/>
        </w:rPr>
        <w:t xml:space="preserve"> – which are not counted</w:t>
      </w:r>
      <w:r>
        <w:rPr>
          <w:rStyle w:val="StyleUnderline"/>
        </w:rPr>
        <w:t xml:space="preserve"> </w:t>
      </w:r>
      <w:r w:rsidRPr="00724781">
        <w:rPr>
          <w:rStyle w:val="StyleUnderline"/>
        </w:rPr>
        <w:t>amongst the numbers making up the respective population (Selmeczi 2009).</w:t>
      </w:r>
      <w:r>
        <w:rPr>
          <w:rStyle w:val="StyleUnderline"/>
        </w:rPr>
        <w:t xml:space="preserve"> </w:t>
      </w:r>
      <w:r w:rsidRPr="00724781">
        <w:rPr>
          <w:sz w:val="16"/>
        </w:rPr>
        <w:t xml:space="preserve">Furthermore, analyses emphasise the politics of death at the limits of biopolitics (for thanatopolitics, or the “politics of death”, see Foucault 1997, 254ff.; Clough and Willse 2011; Ailio 2013; evaluated in detail by T. C. Campbell 2011; Esposito 2008, 110ff.; T. C. Campbell and Sitze 2013) showing how the securing of the life of the population justifies death and destruction at its limits, and as part of its exercise. </w:t>
      </w:r>
      <w:r w:rsidRPr="00724781">
        <w:rPr>
          <w:rStyle w:val="StyleUnderline"/>
        </w:rPr>
        <w:t>The</w:t>
      </w:r>
      <w:r>
        <w:rPr>
          <w:rStyle w:val="StyleUnderline"/>
        </w:rPr>
        <w:t xml:space="preserve"> </w:t>
      </w:r>
      <w:r w:rsidRPr="00724781">
        <w:rPr>
          <w:rStyle w:val="StyleUnderline"/>
        </w:rPr>
        <w:t xml:space="preserve">promotion of life in the liberal system </w:t>
      </w:r>
      <w:r w:rsidRPr="00275480">
        <w:rPr>
          <w:rStyle w:val="Emphasis"/>
        </w:rPr>
        <w:t>produces life in a way that necessarily also depends on death</w:t>
      </w:r>
      <w:r w:rsidRPr="00724781">
        <w:rPr>
          <w:rStyle w:val="StyleUnderline"/>
        </w:rPr>
        <w:t xml:space="preserve"> – as shown for example in the Obama administration’s</w:t>
      </w:r>
      <w:r>
        <w:rPr>
          <w:rStyle w:val="StyleUnderline"/>
        </w:rPr>
        <w:t xml:space="preserve"> </w:t>
      </w:r>
      <w:r w:rsidRPr="00724781">
        <w:rPr>
          <w:rStyle w:val="StyleUnderline"/>
        </w:rPr>
        <w:t>condemnation of torture methods, which however was accompanied by a</w:t>
      </w:r>
      <w:r>
        <w:rPr>
          <w:rStyle w:val="StyleUnderline"/>
        </w:rPr>
        <w:t xml:space="preserve"> </w:t>
      </w:r>
      <w:r w:rsidRPr="00724781">
        <w:rPr>
          <w:rStyle w:val="StyleUnderline"/>
        </w:rPr>
        <w:t>normalisation of coercive practices and increased reliance on drone strikes</w:t>
      </w:r>
      <w:r w:rsidRPr="00724781">
        <w:rPr>
          <w:sz w:val="16"/>
        </w:rPr>
        <w:t xml:space="preserve"> (see Clough and Willse 2011, 2; see also Dillon and Reid 2009). </w:t>
      </w:r>
      <w:r w:rsidRPr="00724781">
        <w:rPr>
          <w:rStyle w:val="StyleUnderline"/>
        </w:rPr>
        <w:t>Godoy’s analysis Of Medicines and Markets suggests a particular connection</w:t>
      </w:r>
      <w:r>
        <w:rPr>
          <w:rStyle w:val="StyleUnderline"/>
        </w:rPr>
        <w:t xml:space="preserve"> </w:t>
      </w:r>
      <w:r w:rsidRPr="00724781">
        <w:rPr>
          <w:rStyle w:val="StyleUnderline"/>
        </w:rPr>
        <w:t>between IP and biopower in its concluding remarks on “intellectual property and human rights in the free trade era”, arguing: “It is difficult to imagine a more</w:t>
      </w:r>
      <w:r>
        <w:rPr>
          <w:rStyle w:val="StyleUnderline"/>
        </w:rPr>
        <w:t xml:space="preserve"> </w:t>
      </w:r>
      <w:r w:rsidRPr="00275480">
        <w:rPr>
          <w:rStyle w:val="Emphasis"/>
        </w:rPr>
        <w:t>quintessential example of biopower than intellectual property</w:t>
      </w:r>
      <w:r w:rsidRPr="00724781">
        <w:rPr>
          <w:rStyle w:val="StyleUnderline"/>
        </w:rPr>
        <w:t>”</w:t>
      </w:r>
      <w:r w:rsidRPr="00724781">
        <w:rPr>
          <w:sz w:val="16"/>
        </w:rPr>
        <w:t xml:space="preserve"> (Godoy 2013, 141). </w:t>
      </w:r>
      <w:r w:rsidRPr="00724781">
        <w:rPr>
          <w:rStyle w:val="StyleUnderline"/>
        </w:rPr>
        <w:t>She does not elaborate on this statement in much greater detail, except for finding in</w:t>
      </w:r>
      <w:r>
        <w:rPr>
          <w:rStyle w:val="StyleUnderline"/>
        </w:rPr>
        <w:t xml:space="preserve"> </w:t>
      </w:r>
      <w:r w:rsidRPr="00724781">
        <w:rPr>
          <w:rStyle w:val="StyleUnderline"/>
        </w:rPr>
        <w:t>contemporary Western politics “it become[s] necessary, in the name of prosperity and</w:t>
      </w:r>
      <w:r>
        <w:rPr>
          <w:rStyle w:val="StyleUnderline"/>
        </w:rPr>
        <w:t xml:space="preserve"> </w:t>
      </w:r>
      <w:r w:rsidRPr="00724781">
        <w:rPr>
          <w:rStyle w:val="StyleUnderline"/>
        </w:rPr>
        <w:t>progress, to sign laws condemning the poor to lack medicines”, which “is the genius</w:t>
      </w:r>
      <w:r>
        <w:rPr>
          <w:rStyle w:val="StyleUnderline"/>
        </w:rPr>
        <w:t xml:space="preserve"> </w:t>
      </w:r>
      <w:r w:rsidRPr="00724781">
        <w:rPr>
          <w:rStyle w:val="StyleUnderline"/>
        </w:rPr>
        <w:t xml:space="preserve">of biopower; it </w:t>
      </w:r>
      <w:r w:rsidRPr="00275480">
        <w:rPr>
          <w:rStyle w:val="Emphasis"/>
        </w:rPr>
        <w:t xml:space="preserve">permeates false divisions between private and public, […] determining who lives and who dies, </w:t>
      </w:r>
      <w:r w:rsidRPr="00724781">
        <w:rPr>
          <w:rStyle w:val="StyleUnderline"/>
        </w:rPr>
        <w:t>all in the name of scientific advancement and the rule of law”</w:t>
      </w:r>
      <w:r>
        <w:rPr>
          <w:rStyle w:val="StyleUnderline"/>
        </w:rPr>
        <w:t xml:space="preserve"> </w:t>
      </w:r>
      <w:r w:rsidRPr="00724781">
        <w:rPr>
          <w:sz w:val="16"/>
        </w:rPr>
        <w:t xml:space="preserve">(Ibid., 140). Explicitly drawing on Agamben’s reading of Foucault’s Biopower (and that of Hardt and Negri 2000), she thus equates IP’s role in determining the price of medicines with the power to decide “who lives and who dies” (Godoy 2013, 140, Footnote 10). </w:t>
      </w:r>
      <w:r w:rsidRPr="00724781">
        <w:rPr>
          <w:rStyle w:val="StyleUnderline"/>
        </w:rPr>
        <w:t>Godoy’s brief statements thus find the globally enforced system of minimum</w:t>
      </w:r>
      <w:r>
        <w:rPr>
          <w:rStyle w:val="StyleUnderline"/>
        </w:rPr>
        <w:t xml:space="preserve"> </w:t>
      </w:r>
      <w:r w:rsidRPr="00724781">
        <w:rPr>
          <w:rStyle w:val="StyleUnderline"/>
        </w:rPr>
        <w:t xml:space="preserve">standards of IP protection enshrined in </w:t>
      </w:r>
      <w:r w:rsidRPr="00275480">
        <w:rPr>
          <w:rStyle w:val="Emphasis"/>
        </w:rPr>
        <w:t>TRIPS to be implicated in a more sovereign exercise of biopower</w:t>
      </w:r>
      <w:r w:rsidRPr="00724781">
        <w:rPr>
          <w:rStyle w:val="StyleUnderline"/>
        </w:rPr>
        <w:t>, instrumental in drawing the dividing line between those that</w:t>
      </w:r>
      <w:r>
        <w:rPr>
          <w:rStyle w:val="StyleUnderline"/>
        </w:rPr>
        <w:t xml:space="preserve"> </w:t>
      </w:r>
      <w:r w:rsidRPr="00724781">
        <w:rPr>
          <w:rStyle w:val="StyleUnderline"/>
        </w:rPr>
        <w:t>“count” and those that are left “abandoned”</w:t>
      </w:r>
      <w:r w:rsidRPr="00724781">
        <w:rPr>
          <w:sz w:val="16"/>
        </w:rPr>
        <w:t xml:space="preserve"> (Selmeczi 2009). In contrast, Pottage’s succinct reflections on IP find “the patent process […] almost the paradigmatic example of a bio-political programme”, which “[does] not identify [itself] with one side of the distinction between norm and nature, rather [it] treat[s] the distinction itself as a provisional programme which serves to govern [its] own operation” (Pottage 1998, 746 f.). </w:t>
      </w:r>
      <w:r w:rsidRPr="00724781">
        <w:rPr>
          <w:rStyle w:val="StyleUnderline"/>
        </w:rPr>
        <w:t>This interpretation of IP as biopolitical programme emphasises</w:t>
      </w:r>
      <w:r>
        <w:rPr>
          <w:rStyle w:val="StyleUnderline"/>
        </w:rPr>
        <w:t xml:space="preserve"> </w:t>
      </w:r>
      <w:r w:rsidRPr="00724781">
        <w:rPr>
          <w:rStyle w:val="StyleUnderline"/>
        </w:rPr>
        <w:t>IP’s contingency on changing definitions of ‘truths’, rather than a re-inscription of</w:t>
      </w:r>
      <w:r>
        <w:rPr>
          <w:rStyle w:val="StyleUnderline"/>
        </w:rPr>
        <w:t xml:space="preserve"> </w:t>
      </w:r>
      <w:r w:rsidRPr="00724781">
        <w:rPr>
          <w:rStyle w:val="StyleUnderline"/>
        </w:rPr>
        <w:t>absolute boundaries. The notion of IP as a biopolitical programme can be interpreted</w:t>
      </w:r>
      <w:r>
        <w:rPr>
          <w:rStyle w:val="StyleUnderline"/>
        </w:rPr>
        <w:t xml:space="preserve"> </w:t>
      </w:r>
      <w:r w:rsidRPr="00724781">
        <w:rPr>
          <w:rStyle w:val="StyleUnderline"/>
        </w:rPr>
        <w:t>as an earlier statement on the “responsive” function of law (Golder and Fitzpatrick</w:t>
      </w:r>
      <w:r>
        <w:rPr>
          <w:rStyle w:val="StyleUnderline"/>
        </w:rPr>
        <w:t xml:space="preserve"> </w:t>
      </w:r>
      <w:r w:rsidRPr="00724781">
        <w:rPr>
          <w:rStyle w:val="StyleUnderline"/>
        </w:rPr>
        <w:t>2009) within governmentality, reflecting “</w:t>
      </w:r>
      <w:r w:rsidRPr="00275480">
        <w:rPr>
          <w:rStyle w:val="Emphasis"/>
        </w:rPr>
        <w:t>the productive capacity of power</w:t>
      </w:r>
      <w:r w:rsidRPr="00724781">
        <w:rPr>
          <w:rStyle w:val="StyleUnderline"/>
        </w:rPr>
        <w:t>” (Lemke</w:t>
      </w:r>
      <w:r>
        <w:rPr>
          <w:rStyle w:val="StyleUnderline"/>
        </w:rPr>
        <w:t xml:space="preserve"> </w:t>
      </w:r>
      <w:r w:rsidRPr="00724781">
        <w:rPr>
          <w:rStyle w:val="StyleUnderline"/>
        </w:rPr>
        <w:t xml:space="preserve">2005, 3). </w:t>
      </w:r>
      <w:r w:rsidRPr="00724781">
        <w:rPr>
          <w:sz w:val="16"/>
        </w:rPr>
        <w:t xml:space="preserve">This moves away from a straightforward equation of IP with biopower, and rather begins to explore the interaction of IP with notions of life, where IP re-inscribes boundaries and faces challenges in the name of life. </w:t>
      </w:r>
    </w:p>
    <w:p w14:paraId="13DEECCC" w14:textId="676A048B" w:rsidR="00543003" w:rsidRPr="006B102D" w:rsidRDefault="00543003" w:rsidP="00543003">
      <w:pPr>
        <w:pStyle w:val="Heading4"/>
      </w:pPr>
      <w:r>
        <w:t>We are witnessing this IP contestation in a new biopolitical epoch—the emergence of genomic governmentality allows sovereigns to govern us down to the molecule with intellectual property as the key battleground</w:t>
      </w:r>
    </w:p>
    <w:p w14:paraId="6A2F0F12" w14:textId="77777777" w:rsidR="00543003" w:rsidRDefault="00543003" w:rsidP="00543003">
      <w:pPr>
        <w:rPr>
          <w:szCs w:val="18"/>
        </w:rPr>
      </w:pPr>
      <w:r w:rsidRPr="00B15BF2">
        <w:t xml:space="preserve">Eva </w:t>
      </w:r>
      <w:r w:rsidRPr="001C5978">
        <w:rPr>
          <w:rStyle w:val="Style13ptBold"/>
          <w:szCs w:val="26"/>
        </w:rPr>
        <w:t xml:space="preserve">Hilberg, </w:t>
      </w:r>
      <w:r>
        <w:rPr>
          <w:szCs w:val="26"/>
        </w:rPr>
        <w:t xml:space="preserve">May </w:t>
      </w:r>
      <w:r w:rsidRPr="00B15BF2">
        <w:rPr>
          <w:rStyle w:val="Style13ptBold"/>
        </w:rPr>
        <w:t>2015</w:t>
      </w:r>
      <w:r w:rsidRPr="006A4805">
        <w:t>,</w:t>
      </w:r>
      <w:r w:rsidRPr="001C5978">
        <w:rPr>
          <w:rStyle w:val="Style13ptBold"/>
        </w:rPr>
        <w:t xml:space="preserve"> </w:t>
      </w:r>
      <w:r w:rsidRPr="006A4805">
        <w:rPr>
          <w:szCs w:val="18"/>
        </w:rPr>
        <w:t>Eva is an Honorary Research Fellow at the School of Global Studies, University of Sussex, and a Postdoctoral Research Fellow at the Federmann School of Public Policy and Government, Hebrew University of Jerusalem. She obtained a PhD in International Relations from the University of Sussex, analysing the biopolitical dimension of intellectual property rights on human genetic materials. (</w:t>
      </w:r>
      <w:hyperlink r:id="rId8" w:history="1">
        <w:r w:rsidRPr="00B928D0">
          <w:rPr>
            <w:rStyle w:val="Hyperlink"/>
            <w:sz w:val="18"/>
            <w:szCs w:val="18"/>
          </w:rPr>
          <w:t>https://sussex.figshare.com/articles/thesis/Intellectual_property_and_the_genetic_dispositif_of_life_the_changing_role_of_intellectual_property_law_in_governing_participation_and_knowledge_in_the_bioeconomy/23430041</w:t>
        </w:r>
      </w:hyperlink>
      <w:r w:rsidRPr="006A4805">
        <w:rPr>
          <w:szCs w:val="18"/>
        </w:rPr>
        <w:t>) CSV</w:t>
      </w:r>
    </w:p>
    <w:p w14:paraId="2A6211E3" w14:textId="77777777" w:rsidR="00543003" w:rsidRPr="004F0AEA" w:rsidRDefault="00543003" w:rsidP="00543003">
      <w:pPr>
        <w:rPr>
          <w:u w:val="single"/>
        </w:rPr>
      </w:pPr>
      <w:r w:rsidRPr="00007E70">
        <w:rPr>
          <w:rStyle w:val="StyleUnderline"/>
        </w:rPr>
        <w:t>A number of analyses of the biotech sector begin by pointing out that instead of an</w:t>
      </w:r>
      <w:r>
        <w:rPr>
          <w:rStyle w:val="StyleUnderline"/>
        </w:rPr>
        <w:t xml:space="preserve"> </w:t>
      </w:r>
      <w:r w:rsidRPr="00007E70">
        <w:rPr>
          <w:rStyle w:val="StyleUnderline"/>
        </w:rPr>
        <w:t xml:space="preserve">inevitable development, </w:t>
      </w:r>
      <w:r w:rsidRPr="000E092E">
        <w:rPr>
          <w:rStyle w:val="StyleUnderline"/>
          <w:highlight w:val="cyan"/>
        </w:rPr>
        <w:t>the historical emergence of molecular biology</w:t>
      </w:r>
      <w:r w:rsidRPr="00007E70">
        <w:rPr>
          <w:rStyle w:val="StyleUnderline"/>
        </w:rPr>
        <w:t xml:space="preserve"> in the life</w:t>
      </w:r>
      <w:r>
        <w:rPr>
          <w:rStyle w:val="StyleUnderline"/>
        </w:rPr>
        <w:t xml:space="preserve"> </w:t>
      </w:r>
      <w:r w:rsidRPr="00007E70">
        <w:rPr>
          <w:rStyle w:val="StyleUnderline"/>
        </w:rPr>
        <w:t xml:space="preserve">sciences </w:t>
      </w:r>
      <w:r w:rsidRPr="000E092E">
        <w:rPr>
          <w:rStyle w:val="StyleUnderline"/>
          <w:highlight w:val="cyan"/>
        </w:rPr>
        <w:t>had a distinct political dimension</w:t>
      </w:r>
      <w:r w:rsidRPr="00007E70">
        <w:rPr>
          <w:rStyle w:val="StyleUnderline"/>
        </w:rPr>
        <w:t xml:space="preserve"> (Yoxen 1981; Kay 1993; H. Rose and Rose</w:t>
      </w:r>
      <w:r>
        <w:rPr>
          <w:rStyle w:val="StyleUnderline"/>
        </w:rPr>
        <w:t xml:space="preserve"> </w:t>
      </w:r>
      <w:r w:rsidRPr="00007E70">
        <w:rPr>
          <w:rStyle w:val="StyleUnderline"/>
        </w:rPr>
        <w:t>2012).</w:t>
      </w:r>
      <w:r w:rsidRPr="00007E70">
        <w:rPr>
          <w:sz w:val="16"/>
        </w:rPr>
        <w:t xml:space="preserve"> Yoxen sets out “the history of molecular biology as a research programme and as a technological project – formed, organised and regulated by economic and political forces” (Yoxen 1981, 67). In his account of the formation of molecular biology as a discipline, he shows how “science managers” (Ibid., 88 ff.) selectively funded one direction of research amongst many, which studied life based on “the concepts of ‘information’ and ‘program’ […] [which] draw[s] attention to the fact that our current rules of biological thought direct us to a specific level or mode of interaction in living nature” (Ibid., 70; also Kay 1993). This direction, Yoxen argues, was “not only about new institutions, new techniques and new styles of research. It has also allowed the formation of new conceptions of life, nature and humanity, which are fundamentally important to both the pursuit of the research itself and its relation to contemporary society” (Yoxen 1981, 69). </w:t>
      </w:r>
      <w:r w:rsidRPr="00007E70">
        <w:rPr>
          <w:rStyle w:val="StyleUnderline"/>
        </w:rPr>
        <w:t xml:space="preserve">In this way, </w:t>
      </w:r>
      <w:r w:rsidRPr="000E092E">
        <w:rPr>
          <w:rStyle w:val="StyleUnderline"/>
          <w:highlight w:val="cyan"/>
        </w:rPr>
        <w:t>molecular conceptions of life can be understood as being productive of</w:t>
      </w:r>
      <w:r>
        <w:rPr>
          <w:rStyle w:val="StyleUnderline"/>
        </w:rPr>
        <w:t xml:space="preserve"> </w:t>
      </w:r>
      <w:r w:rsidRPr="00007E70">
        <w:rPr>
          <w:rStyle w:val="StyleUnderline"/>
        </w:rPr>
        <w:t xml:space="preserve">more than just </w:t>
      </w:r>
      <w:r w:rsidRPr="000E092E">
        <w:rPr>
          <w:rStyle w:val="StyleUnderline"/>
          <w:highlight w:val="cyan"/>
        </w:rPr>
        <w:t>economic value, but are “a productive force</w:t>
      </w:r>
      <w:r w:rsidRPr="00007E70">
        <w:rPr>
          <w:rStyle w:val="StyleUnderline"/>
        </w:rPr>
        <w:t xml:space="preserve">” (Ibid., 1981) </w:t>
      </w:r>
      <w:r w:rsidRPr="000E092E">
        <w:rPr>
          <w:rStyle w:val="StyleUnderline"/>
          <w:highlight w:val="cyan"/>
        </w:rPr>
        <w:t>of understandings of the self</w:t>
      </w:r>
      <w:r w:rsidRPr="00007E70">
        <w:rPr>
          <w:rStyle w:val="StyleUnderline"/>
        </w:rPr>
        <w:t xml:space="preserve"> and of an entirely new socio-cultural frame of reference </w:t>
      </w:r>
      <w:r w:rsidRPr="000E092E">
        <w:rPr>
          <w:rStyle w:val="StyleUnderline"/>
          <w:highlight w:val="cyan"/>
        </w:rPr>
        <w:t>for the governing of populations</w:t>
      </w:r>
      <w:r w:rsidRPr="00007E70">
        <w:rPr>
          <w:rStyle w:val="StyleUnderline"/>
        </w:rPr>
        <w:t xml:space="preserve"> and the self.</w:t>
      </w:r>
      <w:r>
        <w:rPr>
          <w:rStyle w:val="StyleUnderline"/>
        </w:rPr>
        <w:t xml:space="preserve"> </w:t>
      </w:r>
      <w:r w:rsidRPr="00007E70">
        <w:rPr>
          <w:sz w:val="16"/>
        </w:rPr>
        <w:t xml:space="preserve">Yoxen draws attention in particular to “the reductive shift to molecular processes” and the treatment of “nature as a program” in the promotion of molecular biology (Ibid., 77 and 101; see also Boyle 1996; 2008; Thacker 2004; 2005a; Nelkin and Lindee 1995; Kay 1993; 2000; see also chapter IV). The notion of the code has become central for the understanding of life at its intersection with information technology, as Thacker argues (Thacker 2005a, xx), and given rise to a range of new entities of “biomedia”, in which bioinformation is being stored and generated, for example in Biochips (used for the automation of repetitive laboratory tasks) and in BioMEMS (biomedical microelectromechanical systems, see Thacker 2004, 63 ff.). </w:t>
      </w:r>
      <w:r w:rsidRPr="00007E70">
        <w:rPr>
          <w:rStyle w:val="StyleUnderline"/>
        </w:rPr>
        <w:t xml:space="preserve">Landecker’s account of “the practice of </w:t>
      </w:r>
      <w:r w:rsidRPr="000E092E">
        <w:rPr>
          <w:rStyle w:val="StyleUnderline"/>
          <w:highlight w:val="cyan"/>
        </w:rPr>
        <w:t>growing living cells outside the body in a laboratory” shows how</w:t>
      </w:r>
      <w:r w:rsidRPr="00007E70">
        <w:rPr>
          <w:rStyle w:val="StyleUnderline"/>
        </w:rPr>
        <w:t xml:space="preserve"> the </w:t>
      </w:r>
      <w:r w:rsidRPr="000E092E">
        <w:rPr>
          <w:rStyle w:val="StyleUnderline"/>
          <w:highlight w:val="cyan"/>
        </w:rPr>
        <w:t>life and the</w:t>
      </w:r>
      <w:r w:rsidRPr="00007E70">
        <w:rPr>
          <w:rStyle w:val="StyleUnderline"/>
        </w:rPr>
        <w:t xml:space="preserve"> components of the human </w:t>
      </w:r>
      <w:r w:rsidRPr="000E092E">
        <w:rPr>
          <w:rStyle w:val="StyleUnderline"/>
          <w:highlight w:val="cyan"/>
        </w:rPr>
        <w:t>body have been transformed into entities that can be mass-produced</w:t>
      </w:r>
      <w:r w:rsidRPr="00007E70">
        <w:rPr>
          <w:rStyle w:val="StyleUnderline"/>
        </w:rPr>
        <w:t xml:space="preserve"> and lead an immortal existence</w:t>
      </w:r>
      <w:r>
        <w:rPr>
          <w:rStyle w:val="StyleUnderline"/>
        </w:rPr>
        <w:t xml:space="preserve"> </w:t>
      </w:r>
      <w:r w:rsidRPr="00007E70">
        <w:rPr>
          <w:rStyle w:val="StyleUnderline"/>
        </w:rPr>
        <w:t>away from the donor, within the confines of the laboratory – thus changing “practices</w:t>
      </w:r>
      <w:r>
        <w:rPr>
          <w:rStyle w:val="StyleUnderline"/>
        </w:rPr>
        <w:t xml:space="preserve"> </w:t>
      </w:r>
      <w:r w:rsidRPr="00007E70">
        <w:rPr>
          <w:rStyle w:val="StyleUnderline"/>
        </w:rPr>
        <w:t>of plasticity and temporality of living things” (Landecker 2007, 1).</w:t>
      </w:r>
      <w:r w:rsidRPr="00007E70">
        <w:rPr>
          <w:sz w:val="16"/>
        </w:rPr>
        <w:t xml:space="preserve"> The shift to the molecular level of knowledge entailed “a redefinition of life: life as meaning” (N. Rose 2007b, 44). </w:t>
      </w:r>
      <w:r w:rsidRPr="00007E70">
        <w:rPr>
          <w:rStyle w:val="StyleUnderline"/>
        </w:rPr>
        <w:t>Undoubtedly, the emergence of these technical</w:t>
      </w:r>
      <w:r>
        <w:rPr>
          <w:rStyle w:val="StyleUnderline"/>
        </w:rPr>
        <w:t xml:space="preserve"> </w:t>
      </w:r>
      <w:r w:rsidRPr="00007E70">
        <w:rPr>
          <w:rStyle w:val="StyleUnderline"/>
        </w:rPr>
        <w:t>capabilities for the long-term storage, indefinite replication, and global distribution of</w:t>
      </w:r>
      <w:r>
        <w:rPr>
          <w:rStyle w:val="StyleUnderline"/>
        </w:rPr>
        <w:t xml:space="preserve"> </w:t>
      </w:r>
      <w:r w:rsidRPr="00007E70">
        <w:rPr>
          <w:rStyle w:val="StyleUnderline"/>
        </w:rPr>
        <w:t xml:space="preserve">cell lines gave rise to a new industrial sector, in which </w:t>
      </w:r>
      <w:r w:rsidRPr="000E092E">
        <w:rPr>
          <w:rStyle w:val="StyleUnderline"/>
          <w:highlight w:val="cyan"/>
        </w:rPr>
        <w:t>IPRs enabled the integration of life into the economy</w:t>
      </w:r>
      <w:r w:rsidRPr="00007E70">
        <w:rPr>
          <w:rStyle w:val="StyleUnderline"/>
        </w:rPr>
        <w:t xml:space="preserve">. But the </w:t>
      </w:r>
      <w:r w:rsidRPr="000E092E">
        <w:rPr>
          <w:rStyle w:val="StyleUnderline"/>
          <w:highlight w:val="cyan"/>
        </w:rPr>
        <w:t>promotion of one research agenda over others</w:t>
      </w:r>
      <w:r w:rsidRPr="00007E70">
        <w:rPr>
          <w:rStyle w:val="StyleUnderline"/>
        </w:rPr>
        <w:t xml:space="preserve"> also</w:t>
      </w:r>
      <w:r>
        <w:rPr>
          <w:rStyle w:val="StyleUnderline"/>
        </w:rPr>
        <w:t xml:space="preserve"> </w:t>
      </w:r>
      <w:r w:rsidRPr="000E092E">
        <w:rPr>
          <w:rStyle w:val="StyleUnderline"/>
          <w:highlight w:val="cyan"/>
        </w:rPr>
        <w:t>points to this vision of life’s contingency</w:t>
      </w:r>
      <w:r w:rsidRPr="00007E70">
        <w:rPr>
          <w:rStyle w:val="StyleUnderline"/>
        </w:rPr>
        <w:t xml:space="preserve"> on a particular programme</w:t>
      </w:r>
      <w:r w:rsidRPr="00007E70">
        <w:rPr>
          <w:sz w:val="16"/>
        </w:rPr>
        <w:t xml:space="preserve">. This affected the conception of ‘life’ in fundamental ways, as new living entities such as immortal cellline were created in laboratories. It also affected lived experience beyond the confines of the laboratory, as the notorious case of the HeLa stem cell line shows. In 1951, particularly aggressive cancer cells were taken from Henrietta Lacks before her death without her knowledge or consent, and were developed into the highly successful immortal HeLa cell-line – and “have now been living outside her body far longer than they ever lived inside it” (Skloot 2011, 4). The development of this new living entity continues to cause controversy, and claims of Henrietta Lacks’ family for some form of limited control over the use of this very identifiable genetic material have only very recently been acknowledged in debates around the release of HeLa’s genome sequence (see Skloot 2013; Hudson and Collins 2013; Collins 2013). This cell-line was not patented, but its long-term implications for the Lacks family show how the development of these entities have effects far beyond their economic use, deeply affecting the identities of individuals and families. Rose argues that on the basis of information generated in the laboratory, “we are increasingly coming to relate to ourselves as “somatic” individuals, […] as beings whose individuality is, in part at least, grounded within our fleshly, corporeal existence, and who experience, articulate, judge, and act upon ourselves in part in the language of biomedicine” (N. Rose 2007a, 26). </w:t>
      </w:r>
      <w:r w:rsidRPr="000E092E">
        <w:rPr>
          <w:rStyle w:val="StyleUnderline"/>
          <w:highlight w:val="cyan"/>
        </w:rPr>
        <w:t>IP is</w:t>
      </w:r>
      <w:r w:rsidRPr="00007E70">
        <w:rPr>
          <w:rStyle w:val="StyleUnderline"/>
        </w:rPr>
        <w:t xml:space="preserve"> thus becoming </w:t>
      </w:r>
      <w:r w:rsidRPr="000E092E">
        <w:rPr>
          <w:rStyle w:val="StyleUnderline"/>
          <w:highlight w:val="cyan"/>
        </w:rPr>
        <w:t>a contentious</w:t>
      </w:r>
      <w:r>
        <w:rPr>
          <w:rStyle w:val="StyleUnderline"/>
        </w:rPr>
        <w:t xml:space="preserve"> </w:t>
      </w:r>
      <w:r w:rsidRPr="00007E70">
        <w:rPr>
          <w:rStyle w:val="StyleUnderline"/>
        </w:rPr>
        <w:t>issue within a wider political economy of the molecular conception of life, situated at</w:t>
      </w:r>
      <w:r>
        <w:rPr>
          <w:rStyle w:val="StyleUnderline"/>
        </w:rPr>
        <w:t xml:space="preserve"> </w:t>
      </w:r>
      <w:r w:rsidRPr="00007E70">
        <w:rPr>
          <w:rStyle w:val="StyleUnderline"/>
        </w:rPr>
        <w:t xml:space="preserve">the </w:t>
      </w:r>
      <w:r w:rsidRPr="000E092E">
        <w:rPr>
          <w:rStyle w:val="StyleUnderline"/>
          <w:highlight w:val="cyan"/>
        </w:rPr>
        <w:t>intersection between economic circuits and</w:t>
      </w:r>
      <w:r w:rsidRPr="00007E70">
        <w:rPr>
          <w:rStyle w:val="StyleUnderline"/>
        </w:rPr>
        <w:t xml:space="preserve"> knowledge that is increasingly</w:t>
      </w:r>
      <w:r>
        <w:rPr>
          <w:rStyle w:val="StyleUnderline"/>
        </w:rPr>
        <w:t xml:space="preserve"> </w:t>
      </w:r>
      <w:r w:rsidRPr="00007E70">
        <w:rPr>
          <w:rStyle w:val="StyleUnderline"/>
        </w:rPr>
        <w:t xml:space="preserve">important for the self-actualisation of </w:t>
      </w:r>
      <w:r w:rsidRPr="000E092E">
        <w:rPr>
          <w:rStyle w:val="StyleUnderline"/>
          <w:highlight w:val="cyan"/>
        </w:rPr>
        <w:t>“somatic” individuals</w:t>
      </w:r>
      <w:r w:rsidRPr="00007E70">
        <w:rPr>
          <w:rStyle w:val="StyleUnderline"/>
        </w:rPr>
        <w:t>.</w:t>
      </w:r>
      <w:r w:rsidRPr="00007E70">
        <w:rPr>
          <w:sz w:val="16"/>
        </w:rPr>
        <w:t xml:space="preserve"> At this intersection, this thesis argues, IPRs are fulfilling more than a unidirectional function of creating commodities, and are rather involved in the governing of the “problem” in the sense of a “problematization” (Foucault 1994, 114) of life. 3.2. A “new genomic governmentality” </w:t>
      </w:r>
      <w:r w:rsidRPr="004F0AEA">
        <w:rPr>
          <w:rStyle w:val="StyleUnderline"/>
        </w:rPr>
        <w:t xml:space="preserve">More recently, a number of </w:t>
      </w:r>
      <w:r w:rsidRPr="000E092E">
        <w:rPr>
          <w:rStyle w:val="StyleUnderline"/>
          <w:highlight w:val="cyan"/>
        </w:rPr>
        <w:t>scholars noted</w:t>
      </w:r>
      <w:r w:rsidRPr="004F0AEA">
        <w:rPr>
          <w:rStyle w:val="StyleUnderline"/>
        </w:rPr>
        <w:t xml:space="preserve"> the particular problem of </w:t>
      </w:r>
      <w:r w:rsidRPr="000E092E">
        <w:rPr>
          <w:rStyle w:val="StyleUnderline"/>
          <w:highlight w:val="cyan"/>
        </w:rPr>
        <w:t>governing life in its molecularised form, and</w:t>
      </w:r>
      <w:r w:rsidRPr="004F0AEA">
        <w:rPr>
          <w:rStyle w:val="StyleUnderline"/>
        </w:rPr>
        <w:t xml:space="preserve"> increasingly </w:t>
      </w:r>
      <w:r w:rsidRPr="000E092E">
        <w:rPr>
          <w:rStyle w:val="StyleUnderline"/>
          <w:highlight w:val="cyan"/>
        </w:rPr>
        <w:t>turned to Foucault’s notions of biopolitics and governmentality</w:t>
      </w:r>
      <w:r w:rsidRPr="004F0AEA">
        <w:rPr>
          <w:rStyle w:val="StyleUnderline"/>
        </w:rPr>
        <w:t xml:space="preserve"> for their work on a new “politics of life itself” (Franklin 2000;</w:t>
      </w:r>
      <w:r>
        <w:rPr>
          <w:rStyle w:val="StyleUnderline"/>
        </w:rPr>
        <w:t xml:space="preserve"> </w:t>
      </w:r>
      <w:r w:rsidRPr="004F0AEA">
        <w:rPr>
          <w:rStyle w:val="StyleUnderline"/>
        </w:rPr>
        <w:t>N. Rose 2007b) based on knowledge created in the laboratory. Here, Franklin argues</w:t>
      </w:r>
      <w:r>
        <w:rPr>
          <w:rStyle w:val="StyleUnderline"/>
        </w:rPr>
        <w:t xml:space="preserve"> </w:t>
      </w:r>
      <w:r w:rsidRPr="004F0AEA">
        <w:rPr>
          <w:rStyle w:val="StyleUnderline"/>
        </w:rPr>
        <w:t xml:space="preserve">that </w:t>
      </w:r>
      <w:r w:rsidRPr="000E092E">
        <w:rPr>
          <w:rStyle w:val="StyleUnderline"/>
          <w:highlight w:val="cyan"/>
        </w:rPr>
        <w:t>“[w]e are</w:t>
      </w:r>
      <w:r w:rsidRPr="004F0AEA">
        <w:rPr>
          <w:rStyle w:val="StyleUnderline"/>
        </w:rPr>
        <w:t xml:space="preserve"> currently </w:t>
      </w:r>
      <w:r w:rsidRPr="000E092E">
        <w:rPr>
          <w:rStyle w:val="StyleUnderline"/>
          <w:highlight w:val="cyan"/>
        </w:rPr>
        <w:t>witnessing the emergence of a new genomic governmentality</w:t>
      </w:r>
      <w:r w:rsidRPr="004F0AEA">
        <w:rPr>
          <w:rStyle w:val="StyleUnderline"/>
        </w:rPr>
        <w:t>”</w:t>
      </w:r>
      <w:r>
        <w:rPr>
          <w:rStyle w:val="StyleUnderline"/>
        </w:rPr>
        <w:t xml:space="preserve"> </w:t>
      </w:r>
      <w:r w:rsidRPr="004F0AEA">
        <w:rPr>
          <w:rStyle w:val="StyleUnderline"/>
        </w:rPr>
        <w:t xml:space="preserve">(Franklin 2000, 188). </w:t>
      </w:r>
      <w:r w:rsidRPr="004F0AEA">
        <w:rPr>
          <w:sz w:val="16"/>
        </w:rPr>
        <w:t xml:space="preserve">This refers to the emergence of new form of governing based on this knowledge, derived from Foucault’s concept of a new art of governing or governmentality (Foucault 2000; see next chapter). This thesis analyses how IP’s treatment of life could be better understood with reference to this concept of governmentality, in which new priorities for governing such as life can challenge the operation of economic relations. The politics of life ‘itself’ in the life science/ biotech sector have been explored specifically (Cooper 2008; Rajan 2006; Rouvroy 2008), and in more general terms (Rabinow 1996; 1999; Rabinow and Dan-Cohen 2005; Rabinow and Rose 2006; N. Rose 2007b; Dillon and Reid 2001; 2009; Dillon and Lobo-Guerrero 2008; 2009; Elbe 2009). These and other uses of Foucault’s ideas will be discussed in the next chapter, where the parameters of this governmentality and its increasing emphasis on biopolitical strategies for the governing of life will be set out.8 The discussion here merely seeks to point to some studies and their conception of the politics of molecularised life in order to provide a contrast to the commodification critique’s perspective on IP. The issue of IP is raised consistently within these studies of molecular “life itself”, but mostly with regards to its function of creating commodities for the economy. There is to date no comprehensive study of IP’s contribution to the governing of life within the life science sector. However, Pottage’s article on “Genes, Patents and Bio-politics” explores IP’s function in stabilizing hybrid genetic concepts of life in order to establish “singular scientific ‘fact[s]’”, thus understanding patents as “vectors” (Pottage 1998, 752 and 749). But he connects this to a notion of “governing” only in so far as “[bio-political programmes] treat the distinction [between norm and nature] itself as a provisional programme which serves to govern their own operations” (Ibid., 747). Yet this statement on the intermediary position of biopolitical programmes can hint to the mode in which IPRs are understood to function as a “tactics” of government (Foucault 2000, 211) by this thesis. </w:t>
      </w:r>
      <w:r w:rsidRPr="004F0AEA">
        <w:rPr>
          <w:rStyle w:val="StyleUnderline"/>
        </w:rPr>
        <w:t>IP’s</w:t>
      </w:r>
      <w:r>
        <w:rPr>
          <w:rStyle w:val="StyleUnderline"/>
        </w:rPr>
        <w:t xml:space="preserve"> </w:t>
      </w:r>
      <w:r w:rsidRPr="004F0AEA">
        <w:rPr>
          <w:rStyle w:val="StyleUnderline"/>
        </w:rPr>
        <w:t>contribution to the management of the individual’s involvement in the bioeconomy</w:t>
      </w:r>
      <w:r>
        <w:rPr>
          <w:rStyle w:val="StyleUnderline"/>
        </w:rPr>
        <w:t xml:space="preserve"> </w:t>
      </w:r>
      <w:r w:rsidRPr="004F0AEA">
        <w:rPr>
          <w:rStyle w:val="StyleUnderline"/>
        </w:rPr>
        <w:t>and to the normalization of knowledge consists in the negotiation of tensions between</w:t>
      </w:r>
      <w:r>
        <w:rPr>
          <w:rStyle w:val="StyleUnderline"/>
        </w:rPr>
        <w:t xml:space="preserve"> </w:t>
      </w:r>
      <w:r w:rsidRPr="004F0AEA">
        <w:rPr>
          <w:rStyle w:val="StyleUnderline"/>
        </w:rPr>
        <w:t>the different priorities of life and the market in a neoliberal governmentality, thus</w:t>
      </w:r>
      <w:r>
        <w:rPr>
          <w:rStyle w:val="StyleUnderline"/>
        </w:rPr>
        <w:t xml:space="preserve"> </w:t>
      </w:r>
      <w:r w:rsidRPr="004F0AEA">
        <w:rPr>
          <w:rStyle w:val="StyleUnderline"/>
        </w:rPr>
        <w:t>“[engaging] responsively with exteriority” (Golder and Fitzpatrick 2009, 71, see next</w:t>
      </w:r>
      <w:r>
        <w:rPr>
          <w:rStyle w:val="StyleUnderline"/>
        </w:rPr>
        <w:t xml:space="preserve"> </w:t>
      </w:r>
      <w:r w:rsidRPr="004F0AEA">
        <w:rPr>
          <w:rStyle w:val="StyleUnderline"/>
        </w:rPr>
        <w:t>chapter).</w:t>
      </w:r>
      <w:r>
        <w:rPr>
          <w:rStyle w:val="StyleUnderline"/>
        </w:rPr>
        <w:t xml:space="preserve"> </w:t>
      </w:r>
      <w:r w:rsidRPr="000E092E">
        <w:rPr>
          <w:rStyle w:val="Emphasis"/>
          <w:highlight w:val="cyan"/>
        </w:rPr>
        <w:t>The engagement of other studies on the biotech sector</w:t>
      </w:r>
      <w:r w:rsidRPr="000E092E">
        <w:rPr>
          <w:sz w:val="16"/>
          <w:highlight w:val="cyan"/>
        </w:rPr>
        <w:t xml:space="preserve"> with</w:t>
      </w:r>
      <w:r w:rsidRPr="004F0AEA">
        <w:rPr>
          <w:sz w:val="16"/>
        </w:rPr>
        <w:t xml:space="preserve"> Foucauldian concepts can range from a mere mention of Biopolitics to </w:t>
      </w:r>
      <w:r w:rsidRPr="000E092E">
        <w:rPr>
          <w:sz w:val="16"/>
          <w:highlight w:val="cyan"/>
        </w:rPr>
        <w:t>a</w:t>
      </w:r>
      <w:r w:rsidRPr="004F0AEA">
        <w:rPr>
          <w:sz w:val="16"/>
        </w:rPr>
        <w:t xml:space="preserve"> </w:t>
      </w:r>
      <w:r w:rsidRPr="000E092E">
        <w:rPr>
          <w:rStyle w:val="Emphasis"/>
          <w:highlight w:val="cyan"/>
        </w:rPr>
        <w:t>more in-depth exegesis of an emerging ‘politics of life’</w:t>
      </w:r>
      <w:r w:rsidRPr="004F0AEA">
        <w:rPr>
          <w:sz w:val="16"/>
        </w:rPr>
        <w:t xml:space="preserve"> </w:t>
      </w:r>
      <w:r w:rsidRPr="000E092E">
        <w:rPr>
          <w:sz w:val="16"/>
          <w:highlight w:val="cyan"/>
        </w:rPr>
        <w:t>and its</w:t>
      </w:r>
      <w:r w:rsidRPr="004F0AEA">
        <w:rPr>
          <w:sz w:val="16"/>
        </w:rPr>
        <w:t xml:space="preserve"> relation to the economy. Franklin’s work introduced the notion of “life itself” and expressly drew on Foucault, but then turned towards highlighting the pervasive cultural reception of genomics rather than towards </w:t>
      </w:r>
      <w:r w:rsidRPr="000E092E">
        <w:rPr>
          <w:rStyle w:val="Emphasis"/>
          <w:highlight w:val="cyan"/>
        </w:rPr>
        <w:t>connections with the economy.</w:t>
      </w:r>
      <w:r w:rsidRPr="004F0AEA">
        <w:rPr>
          <w:sz w:val="16"/>
        </w:rPr>
        <w:t xml:space="preserve"> Rajan’s comparative study of the life science sector in India and in the US contains a more direct engagement with the notion of biopolitics. He explicitly sets out to combine the Marxist concept of capital with the Foucauldian concept of biopolitics, arguing “that the life sciences represent a new face, and a new phase, of capitalism and, consequently, that biotechnology is a form of enterprise nextricable from contemporary capitalism” (Rajan 2006, 3). In this phase, “Biocapital”: “operates explicitly in two distinct yet simultaneous analytic frames: one the one hand, as the </w:t>
      </w:r>
      <w:r w:rsidRPr="000E092E">
        <w:rPr>
          <w:rStyle w:val="Emphasis"/>
          <w:highlight w:val="cyan"/>
        </w:rPr>
        <w:t>circuits of land, labor, and value</w:t>
      </w:r>
      <w:r w:rsidRPr="004F0AEA">
        <w:rPr>
          <w:sz w:val="16"/>
        </w:rPr>
        <w:t xml:space="preserve"> (in a classic Marxist sense) that </w:t>
      </w:r>
      <w:r w:rsidRPr="000E092E">
        <w:rPr>
          <w:rStyle w:val="Emphasis"/>
          <w:highlight w:val="cyan"/>
        </w:rPr>
        <w:t>are inhabited by biotechnological innovation and drug development</w:t>
      </w:r>
      <w:r w:rsidRPr="004F0AEA">
        <w:rPr>
          <w:sz w:val="16"/>
        </w:rPr>
        <w:t xml:space="preserve">; on the other hand, as the increasingly constitutive fact of biopolitics in processes of global capitalism. In other words, on the one hand, what forms of alienation, expropriation, and divestiture are necessary for a ‘culture of biotechnology innovation’ to take root? On the other hand, how are individual and collective subjectivities and citizenships both shaped and conscripted by these technologies that concern ‘life itself’?” (Ibid., 78) Rajan’s comparative study of biotech companies in India and the US highlights the coexistence of the economy and life as priorities for governing – as also set out in the next chapter. He also points out </w:t>
      </w:r>
      <w:r w:rsidRPr="000E092E">
        <w:rPr>
          <w:rStyle w:val="Emphasis"/>
          <w:highlight w:val="cyan"/>
        </w:rPr>
        <w:t>the fundamental impact of genetic knowledge on individual and collective subjectivities.</w:t>
      </w:r>
      <w:r w:rsidRPr="004F0AEA">
        <w:rPr>
          <w:sz w:val="16"/>
        </w:rPr>
        <w:t xml:space="preserve"> However, his discussion of IPRs </w:t>
      </w:r>
      <w:r w:rsidRPr="000E092E">
        <w:rPr>
          <w:rStyle w:val="Emphasis"/>
          <w:highlight w:val="cyan"/>
        </w:rPr>
        <w:t>focuses on</w:t>
      </w:r>
      <w:r w:rsidRPr="004F0AEA">
        <w:rPr>
          <w:sz w:val="16"/>
        </w:rPr>
        <w:t xml:space="preserve"> the “fluid and constantly contested boundaries between </w:t>
      </w:r>
      <w:r w:rsidRPr="000E092E">
        <w:rPr>
          <w:rStyle w:val="Emphasis"/>
          <w:highlight w:val="cyan"/>
        </w:rPr>
        <w:t>what constitutes the public domain and what private property</w:t>
      </w:r>
      <w:r w:rsidRPr="004F0AEA">
        <w:rPr>
          <w:sz w:val="16"/>
        </w:rPr>
        <w:t xml:space="preserve">” (Ibid., 59). His understanding of IPRs in this is influenced by Coombe’s emphasis on IP “as a constitutive object in commercial and popular lifeworlds, as a source and sink of social power” (Ibid., 65; Coombe 1998) – thus in a way that goes far beyond the role of providing commodities. </w:t>
      </w:r>
      <w:r w:rsidRPr="00B548DC">
        <w:rPr>
          <w:rStyle w:val="Emphasis"/>
        </w:rPr>
        <w:t xml:space="preserve">But he focuses on </w:t>
      </w:r>
      <w:r w:rsidRPr="000E092E">
        <w:rPr>
          <w:rStyle w:val="Emphasis"/>
          <w:highlight w:val="cyan"/>
        </w:rPr>
        <w:t>challenges emerging in the public policy sphere, as the question of IP is</w:t>
      </w:r>
      <w:r w:rsidRPr="006B102D">
        <w:rPr>
          <w:rStyle w:val="Emphasis"/>
        </w:rPr>
        <w:t xml:space="preserve"> </w:t>
      </w:r>
      <w:r w:rsidRPr="000E092E">
        <w:rPr>
          <w:rStyle w:val="Emphasis"/>
          <w:highlight w:val="cyan"/>
        </w:rPr>
        <w:t>deemed to have been “settled” in law</w:t>
      </w:r>
      <w:r w:rsidRPr="006B102D">
        <w:rPr>
          <w:rStyle w:val="Emphasis"/>
        </w:rPr>
        <w:t xml:space="preserve"> and thus </w:t>
      </w:r>
      <w:r w:rsidRPr="000E092E">
        <w:rPr>
          <w:rStyle w:val="Emphasis"/>
          <w:highlight w:val="cyan"/>
        </w:rPr>
        <w:t>not discussed as a part of bioethics</w:t>
      </w:r>
      <w:r w:rsidRPr="004F0AEA">
        <w:rPr>
          <w:sz w:val="16"/>
        </w:rPr>
        <w:t xml:space="preserve"> (Rajan 2006, 64). Rajan traces the “fluidity” of IPRs in the complex positions of India and the US in </w:t>
      </w:r>
      <w:r w:rsidRPr="006B102D">
        <w:rPr>
          <w:rStyle w:val="StyleUnderline"/>
        </w:rPr>
        <w:t>the biotech sector</w:t>
      </w:r>
      <w:r w:rsidRPr="004F0AEA">
        <w:rPr>
          <w:sz w:val="16"/>
        </w:rPr>
        <w:t xml:space="preserve">, and shows that these countries’ presumed positions regarding IPRs are far from certain. This shows surprising fluidity in the parameters of the making and enforcement of IP as a commodity. </w:t>
      </w:r>
      <w:r w:rsidRPr="000E092E">
        <w:rPr>
          <w:rStyle w:val="Emphasis"/>
          <w:highlight w:val="cyan"/>
        </w:rPr>
        <w:t xml:space="preserve">In contrast, this </w:t>
      </w:r>
      <w:r w:rsidRPr="006B102D">
        <w:rPr>
          <w:rStyle w:val="Emphasis"/>
        </w:rPr>
        <w:t>thesis</w:t>
      </w:r>
      <w:r w:rsidRPr="004F0AEA">
        <w:rPr>
          <w:sz w:val="16"/>
        </w:rPr>
        <w:t xml:space="preserve"> </w:t>
      </w:r>
      <w:r w:rsidRPr="000E092E">
        <w:rPr>
          <w:rStyle w:val="Emphasis"/>
          <w:highlight w:val="cyan"/>
        </w:rPr>
        <w:t>inspects IP’s “fluidity” in a more directly governmental context, arguing that this flexibility enables IP to negotiate tensions surrounding the relation of knowledge over life and the market.</w:t>
      </w:r>
      <w:r w:rsidRPr="006B102D">
        <w:rPr>
          <w:rStyle w:val="Emphasis"/>
        </w:rPr>
        <w:t xml:space="preserve"> </w:t>
      </w:r>
      <w:r w:rsidRPr="004F0AEA">
        <w:rPr>
          <w:sz w:val="16"/>
        </w:rPr>
        <w:t xml:space="preserve">Cooper takes a different approach to the study of the biotech sector, focusing on the financialisation of life in the neoliberal economy. Here, she argues, </w:t>
      </w:r>
      <w:r w:rsidRPr="006B102D">
        <w:rPr>
          <w:rStyle w:val="Emphasis"/>
        </w:rPr>
        <w:t>this neoliberal system has a special foundational connection with the emergence of the life sciences sector through the use of speculative capital</w:t>
      </w:r>
      <w:r w:rsidRPr="004F0AEA">
        <w:rPr>
          <w:sz w:val="16"/>
        </w:rPr>
        <w:t xml:space="preserve"> (Cooper 2008). This study resonates with topics from Foucault’s study of liberal and neoliberal governmentality, and she draws expressly on the Foucauldian concepts of genealogies and biopolitics, but states that she does not wish to engage in their detailed definition (Ibid., 5). Nevertheless, her emphasis on </w:t>
      </w:r>
      <w:r w:rsidRPr="006B102D">
        <w:rPr>
          <w:rStyle w:val="Emphasis"/>
        </w:rPr>
        <w:t>the role of</w:t>
      </w:r>
      <w:r w:rsidRPr="004F0AEA">
        <w:rPr>
          <w:sz w:val="16"/>
        </w:rPr>
        <w:t xml:space="preserve"> </w:t>
      </w:r>
      <w:r w:rsidRPr="000E092E">
        <w:rPr>
          <w:rStyle w:val="Emphasis"/>
          <w:highlight w:val="cyan"/>
        </w:rPr>
        <w:t>IPRs as economic instruments shows how</w:t>
      </w:r>
      <w:r w:rsidRPr="006B102D">
        <w:rPr>
          <w:rStyle w:val="Emphasis"/>
        </w:rPr>
        <w:t xml:space="preserve"> speculative neoliberal </w:t>
      </w:r>
      <w:r w:rsidRPr="000E092E">
        <w:rPr>
          <w:rStyle w:val="Emphasis"/>
          <w:highlight w:val="cyan"/>
        </w:rPr>
        <w:t>economic relations fundamentally rely on the creation of stable objects for exchange</w:t>
      </w:r>
      <w:r w:rsidRPr="004F0AEA">
        <w:rPr>
          <w:sz w:val="16"/>
        </w:rPr>
        <w:t xml:space="preserve">. On the basis of this, the next chapter argues that IP is becoming even more relevant as molecular knowledge’s influence spreads beyond the scientific sector. However, this increasing influence also gives rise to a more contested status of exclusive ownership over this knowledge. </w:t>
      </w:r>
      <w:r w:rsidRPr="004F0AEA">
        <w:rPr>
          <w:rStyle w:val="StyleUnderline"/>
        </w:rPr>
        <w:t>Rouvroy’s analysis of Human Genes and Neoliberal Governance (2008)</w:t>
      </w:r>
      <w:r>
        <w:rPr>
          <w:rStyle w:val="StyleUnderline"/>
        </w:rPr>
        <w:t xml:space="preserve"> </w:t>
      </w:r>
      <w:r w:rsidRPr="004F0AEA">
        <w:rPr>
          <w:rStyle w:val="StyleUnderline"/>
        </w:rPr>
        <w:t>explores the connection between genetic and economic reductionism, and what she</w:t>
      </w:r>
      <w:r>
        <w:rPr>
          <w:rStyle w:val="StyleUnderline"/>
        </w:rPr>
        <w:t xml:space="preserve"> </w:t>
      </w:r>
      <w:r w:rsidRPr="004F0AEA">
        <w:rPr>
          <w:rStyle w:val="StyleUnderline"/>
        </w:rPr>
        <w:t xml:space="preserve">terms </w:t>
      </w:r>
      <w:r w:rsidRPr="000E092E">
        <w:rPr>
          <w:rStyle w:val="StyleUnderline"/>
          <w:highlight w:val="cyan"/>
        </w:rPr>
        <w:t>the “disciplining effects” of genetic knowledge</w:t>
      </w:r>
      <w:r w:rsidRPr="004F0AEA">
        <w:rPr>
          <w:rStyle w:val="StyleUnderline"/>
        </w:rPr>
        <w:t xml:space="preserve"> on the level of the individual.</w:t>
      </w:r>
      <w:r>
        <w:rPr>
          <w:rStyle w:val="StyleUnderline"/>
        </w:rPr>
        <w:t xml:space="preserve"> </w:t>
      </w:r>
      <w:r w:rsidRPr="004F0AEA">
        <w:rPr>
          <w:sz w:val="16"/>
        </w:rPr>
        <w:t xml:space="preserve">These insights tease out interesting aspects of the connection between governmentality and molecular conceptions of life, which will also be explored in the next chapter. </w:t>
      </w:r>
      <w:r w:rsidRPr="004F0AEA">
        <w:rPr>
          <w:rStyle w:val="StyleUnderline"/>
        </w:rPr>
        <w:t xml:space="preserve">She </w:t>
      </w:r>
      <w:r w:rsidRPr="000E092E">
        <w:rPr>
          <w:rStyle w:val="StyleUnderline"/>
          <w:highlight w:val="cyan"/>
        </w:rPr>
        <w:t>focus</w:t>
      </w:r>
      <w:r w:rsidRPr="004F0AEA">
        <w:rPr>
          <w:rStyle w:val="StyleUnderline"/>
        </w:rPr>
        <w:t xml:space="preserve">es </w:t>
      </w:r>
      <w:r w:rsidRPr="000E092E">
        <w:rPr>
          <w:rStyle w:val="StyleUnderline"/>
          <w:highlight w:val="cyan"/>
        </w:rPr>
        <w:t>on IP as part of the convergence between economic and genetic reductionism</w:t>
      </w:r>
      <w:r w:rsidRPr="004F0AEA">
        <w:rPr>
          <w:rStyle w:val="StyleUnderline"/>
        </w:rPr>
        <w:t xml:space="preserve">, and argues that </w:t>
      </w:r>
      <w:r w:rsidRPr="000E092E">
        <w:rPr>
          <w:rStyle w:val="StyleUnderline"/>
          <w:highlight w:val="cyan"/>
        </w:rPr>
        <w:t>patentability promotes reductionism</w:t>
      </w:r>
      <w:r w:rsidRPr="004F0AEA">
        <w:rPr>
          <w:rStyle w:val="StyleUnderline"/>
        </w:rPr>
        <w:t xml:space="preserve"> (Ibid., 41).</w:t>
      </w:r>
      <w:r>
        <w:rPr>
          <w:rStyle w:val="StyleUnderline"/>
        </w:rPr>
        <w:t xml:space="preserve"> </w:t>
      </w:r>
      <w:r w:rsidRPr="004F0AEA">
        <w:rPr>
          <w:sz w:val="16"/>
        </w:rPr>
        <w:t xml:space="preserve">However, the Myriad judgement and problem of patenting “information” partially contradict this correlation. Chapter IV shows that the IP regime’s turn to an informational-genetic reductionist vision of life endangered the patentability of genetic sequences. Interestingly, the influence of the ‘disciplining’ effects of genetic knowledge on the individual can also produce increased demands for access to knowledge – and thus give rise to claims against the exclusive ownership of such knowledge. </w:t>
      </w:r>
      <w:r w:rsidRPr="000E092E">
        <w:rPr>
          <w:rStyle w:val="StyleUnderline"/>
          <w:highlight w:val="cyan"/>
        </w:rPr>
        <w:t>The convergence</w:t>
      </w:r>
      <w:r w:rsidRPr="004F0AEA">
        <w:rPr>
          <w:rStyle w:val="StyleUnderline"/>
        </w:rPr>
        <w:t xml:space="preserve"> between economic and genetic reductionism thus </w:t>
      </w:r>
      <w:r w:rsidRPr="000E092E">
        <w:rPr>
          <w:rStyle w:val="StyleUnderline"/>
          <w:highlight w:val="cyan"/>
        </w:rPr>
        <w:t>gives rise to an intensified political dimension</w:t>
      </w:r>
      <w:r w:rsidRPr="004F0AEA">
        <w:rPr>
          <w:rStyle w:val="StyleUnderline"/>
        </w:rPr>
        <w:t xml:space="preserve"> of molecular conceptions of life, </w:t>
      </w:r>
      <w:r w:rsidRPr="000E092E">
        <w:rPr>
          <w:rStyle w:val="StyleUnderline"/>
          <w:highlight w:val="cyan"/>
        </w:rPr>
        <w:t>in which IPRs play more roles than a unidirectional tool</w:t>
      </w:r>
      <w:r w:rsidRPr="004F0AEA">
        <w:rPr>
          <w:rStyle w:val="StyleUnderline"/>
        </w:rPr>
        <w:t xml:space="preserve"> for the formation of commodities.</w:t>
      </w:r>
    </w:p>
    <w:p w14:paraId="50EAD69A" w14:textId="661614B4" w:rsidR="000E092E" w:rsidRDefault="000E092E" w:rsidP="000E092E">
      <w:pPr>
        <w:pStyle w:val="Heading4"/>
      </w:pPr>
      <w:r>
        <w:t>Genomic governmentality results in genetic reductionism—this modern eugenics uses neoliberalism to discipline subjects based on pseudoscientific determinism</w:t>
      </w:r>
    </w:p>
    <w:p w14:paraId="5C37BDB1" w14:textId="77777777" w:rsidR="000E092E" w:rsidRPr="006A4805" w:rsidRDefault="000E092E" w:rsidP="000E092E">
      <w:pPr>
        <w:rPr>
          <w:rStyle w:val="Style13ptBold"/>
        </w:rPr>
      </w:pPr>
      <w:r w:rsidRPr="006A4805">
        <w:rPr>
          <w:rStyle w:val="Style13ptBold"/>
        </w:rPr>
        <w:t>Hilberg 15</w:t>
      </w:r>
    </w:p>
    <w:p w14:paraId="617510C8" w14:textId="77777777" w:rsidR="000E092E" w:rsidRPr="006A4805" w:rsidRDefault="000E092E" w:rsidP="000E092E">
      <w:r w:rsidRPr="006A4805">
        <w:t xml:space="preserve">Eva, phD candidate at the University of Sussex. “Intellectual Property and the Genetic Dispositif of Life: The Changing Role of Intellectual Property Law in Governing Participation and Knowledge in the Bioeconomy.” Submitted for the Degree of Doctor of Philosophy University of Sussex, May 2015. Pp </w:t>
      </w:r>
      <w:r>
        <w:t>113-115</w:t>
      </w:r>
      <w:r w:rsidRPr="006A4805">
        <w:t>. LJS</w:t>
      </w:r>
    </w:p>
    <w:p w14:paraId="6311AE8F" w14:textId="77777777" w:rsidR="000E092E" w:rsidRPr="001030EF" w:rsidRDefault="000E092E" w:rsidP="000E092E">
      <w:pPr>
        <w:rPr>
          <w:u w:val="single"/>
        </w:rPr>
      </w:pPr>
      <w:r w:rsidRPr="00CF2EF0">
        <w:rPr>
          <w:rStyle w:val="StyleUnderline"/>
        </w:rPr>
        <w:t>Advances in the information sciences44 were central to the development of the</w:t>
      </w:r>
      <w:r>
        <w:rPr>
          <w:rStyle w:val="StyleUnderline"/>
        </w:rPr>
        <w:t xml:space="preserve"> </w:t>
      </w:r>
      <w:r w:rsidRPr="00CF2EF0">
        <w:rPr>
          <w:rStyle w:val="StyleUnderline"/>
        </w:rPr>
        <w:t>informational-genetic conception of life (and the ‘genetic dispositif’). The abstract,</w:t>
      </w:r>
      <w:r>
        <w:rPr>
          <w:rStyle w:val="StyleUnderline"/>
        </w:rPr>
        <w:t xml:space="preserve"> </w:t>
      </w:r>
      <w:r w:rsidRPr="00CF2EF0">
        <w:rPr>
          <w:rStyle w:val="StyleUnderline"/>
        </w:rPr>
        <w:t>“disembodied” conception of information made the definition of the qualitative</w:t>
      </w:r>
      <w:r>
        <w:rPr>
          <w:rStyle w:val="StyleUnderline"/>
        </w:rPr>
        <w:t xml:space="preserve"> </w:t>
      </w:r>
      <w:r w:rsidRPr="00CF2EF0">
        <w:rPr>
          <w:rStyle w:val="StyleUnderline"/>
        </w:rPr>
        <w:t>content of life effectively lose its connection to the physical world and became “one</w:t>
      </w:r>
      <w:r>
        <w:rPr>
          <w:rStyle w:val="StyleUnderline"/>
        </w:rPr>
        <w:t xml:space="preserve"> </w:t>
      </w:r>
      <w:r w:rsidRPr="00CF2EF0">
        <w:rPr>
          <w:rStyle w:val="StyleUnderline"/>
        </w:rPr>
        <w:t>of the major assumptions behind the gradual “encoding” of genetics during the same</w:t>
      </w:r>
      <w:r>
        <w:rPr>
          <w:rStyle w:val="StyleUnderline"/>
        </w:rPr>
        <w:t xml:space="preserve"> </w:t>
      </w:r>
      <w:r w:rsidRPr="00CF2EF0">
        <w:rPr>
          <w:rStyle w:val="StyleUnderline"/>
        </w:rPr>
        <w:t>period”</w:t>
      </w:r>
      <w:r w:rsidRPr="001030EF">
        <w:rPr>
          <w:sz w:val="16"/>
        </w:rPr>
        <w:t xml:space="preserve"> (Thacker 2005a, 98). Kay highlights the scriptural element of this code (reminiscent of the apparatus of writing establishing the corpus of statistical knowledge of populations of the 19th century) and states “this view of the genome as information system, a linguistic text written in DNA code, has been guiding theories and practices of molecular biologists since the 1950s” (Kay 2000, xv; also Nelkin and Lindee 1995). In this “[genetic] reductionist framework what is of greatest value is the code”, Thacker argues, and “this relationship between DNA, database, and value is made more concrete in commercial genome databases […] as well as in the U.S. PTO database categories containing patents on genes and gene-related compounds” (Thacker 2005a, 101 f.). </w:t>
      </w:r>
      <w:r w:rsidRPr="00CF2EF0">
        <w:rPr>
          <w:rStyle w:val="StyleUnderline"/>
        </w:rPr>
        <w:t>IP law thus concretises the informational content of life, and</w:t>
      </w:r>
      <w:r>
        <w:rPr>
          <w:rStyle w:val="StyleUnderline"/>
        </w:rPr>
        <w:t xml:space="preserve"> </w:t>
      </w:r>
      <w:r w:rsidRPr="00CF2EF0">
        <w:rPr>
          <w:rStyle w:val="StyleUnderline"/>
        </w:rPr>
        <w:t>acts as a depository of the disembodied genetic code.</w:t>
      </w:r>
      <w:r>
        <w:rPr>
          <w:rStyle w:val="StyleUnderline"/>
        </w:rPr>
        <w:t xml:space="preserve"> </w:t>
      </w:r>
      <w:r w:rsidRPr="00CF2EF0">
        <w:rPr>
          <w:rStyle w:val="StyleUnderline"/>
        </w:rPr>
        <w:t>This ‘informationalised’ abstract scriptural notion of life traversed the</w:t>
      </w:r>
      <w:r>
        <w:rPr>
          <w:rStyle w:val="StyleUnderline"/>
        </w:rPr>
        <w:t xml:space="preserve"> </w:t>
      </w:r>
      <w:r w:rsidRPr="00CF2EF0">
        <w:rPr>
          <w:rStyle w:val="StyleUnderline"/>
        </w:rPr>
        <w:t>boundaries of biology and economy, giving rise to ‘value’ that can be circulated in the</w:t>
      </w:r>
      <w:r>
        <w:rPr>
          <w:rStyle w:val="StyleUnderline"/>
        </w:rPr>
        <w:t xml:space="preserve"> </w:t>
      </w:r>
      <w:r w:rsidRPr="00CF2EF0">
        <w:rPr>
          <w:rStyle w:val="StyleUnderline"/>
        </w:rPr>
        <w:t>bioeconomy. IPRs are crucial for both defining the monopolistic knowledge-object</w:t>
      </w:r>
      <w:r>
        <w:rPr>
          <w:rStyle w:val="StyleUnderline"/>
        </w:rPr>
        <w:t xml:space="preserve"> </w:t>
      </w:r>
      <w:r w:rsidRPr="00CF2EF0">
        <w:rPr>
          <w:rStyle w:val="StyleUnderline"/>
        </w:rPr>
        <w:t>that can be circulated, and also for the accruement of value on the basis of licensing</w:t>
      </w:r>
      <w:r>
        <w:rPr>
          <w:rStyle w:val="StyleUnderline"/>
        </w:rPr>
        <w:t xml:space="preserve"> </w:t>
      </w:r>
      <w:r w:rsidRPr="00CF2EF0">
        <w:rPr>
          <w:rStyle w:val="StyleUnderline"/>
        </w:rPr>
        <w:t>fees and monopolies in the market</w:t>
      </w:r>
      <w:r w:rsidRPr="001030EF">
        <w:rPr>
          <w:sz w:val="16"/>
        </w:rPr>
        <w:t xml:space="preserve">. But IP law also became immersed in a wider political project outside of science and the economy. The “Science of Man” vision of life became a very successful determining force in identity formation, a formidable point of reference for definition of a new somatic ethics (N. Rose 2008a) 45 determining the parameters of ‘responsible’ healthy living of individuals and populations, and the gene became a “cultural icon” (Nelkin and Lindee 1995) in its own right. </w:t>
      </w:r>
      <w:r w:rsidRPr="00CF2EF0">
        <w:rPr>
          <w:rStyle w:val="StyleUnderline"/>
        </w:rPr>
        <w:t>A genetic dispositif emerged that contained an all-encompassing genetic reductionist account of the essence of life in the scientific sector and in the cultural</w:t>
      </w:r>
      <w:r>
        <w:rPr>
          <w:rStyle w:val="StyleUnderline"/>
        </w:rPr>
        <w:t xml:space="preserve"> </w:t>
      </w:r>
      <w:r w:rsidRPr="00CF2EF0">
        <w:rPr>
          <w:rStyle w:val="StyleUnderline"/>
        </w:rPr>
        <w:t>realm, promoted by its abstract informational promiscuity.</w:t>
      </w:r>
      <w:r>
        <w:rPr>
          <w:rStyle w:val="StyleUnderline"/>
        </w:rPr>
        <w:t xml:space="preserve"> </w:t>
      </w:r>
      <w:r w:rsidRPr="001030EF">
        <w:rPr>
          <w:sz w:val="16"/>
        </w:rPr>
        <w:t xml:space="preserve">Cooper argues that the connection between the emergence of the informationalised life science sector and neoliberal economy was especially productive, leading to a huge influx of venture capital (Cooper 2008) and increasing the dominance of the genetic-molecular vision of life. This connection has also been noted by other scholars (for example N. Rose 2007b; Dillon and Lobo-Guerrero 2008; 2009). </w:t>
      </w:r>
      <w:r w:rsidRPr="0076785C">
        <w:rPr>
          <w:rStyle w:val="StyleUnderline"/>
        </w:rPr>
        <w:t>The connection between informational-genetic accounts of life and the</w:t>
      </w:r>
      <w:r>
        <w:rPr>
          <w:rStyle w:val="StyleUnderline"/>
        </w:rPr>
        <w:t xml:space="preserve"> </w:t>
      </w:r>
      <w:r w:rsidRPr="0076785C">
        <w:rPr>
          <w:rStyle w:val="StyleUnderline"/>
        </w:rPr>
        <w:t>circulation of this information in the economy has been one of the distinguishing</w:t>
      </w:r>
      <w:r>
        <w:rPr>
          <w:rStyle w:val="StyleUnderline"/>
        </w:rPr>
        <w:t xml:space="preserve"> </w:t>
      </w:r>
      <w:r w:rsidRPr="0076785C">
        <w:rPr>
          <w:rStyle w:val="StyleUnderline"/>
        </w:rPr>
        <w:t>features in the “neoliberal revolution” as Cooper points out</w:t>
      </w:r>
      <w:r w:rsidRPr="001030EF">
        <w:rPr>
          <w:sz w:val="16"/>
        </w:rPr>
        <w:t xml:space="preserve"> (Cooper 2008, 3</w:t>
      </w:r>
      <w:r w:rsidRPr="001030EF">
        <w:rPr>
          <w:rStyle w:val="StyleUnderline"/>
        </w:rPr>
        <w:t>). She</w:t>
      </w:r>
      <w:r>
        <w:rPr>
          <w:rStyle w:val="StyleUnderline"/>
        </w:rPr>
        <w:t xml:space="preserve"> </w:t>
      </w:r>
      <w:r w:rsidRPr="001030EF">
        <w:rPr>
          <w:rStyle w:val="StyleUnderline"/>
        </w:rPr>
        <w:t>understands neoliberalism as a qualitatively different stage of governmental and</w:t>
      </w:r>
      <w:r>
        <w:rPr>
          <w:rStyle w:val="StyleUnderline"/>
        </w:rPr>
        <w:t xml:space="preserve"> </w:t>
      </w:r>
      <w:r w:rsidRPr="001030EF">
        <w:rPr>
          <w:rStyle w:val="StyleUnderline"/>
        </w:rPr>
        <w:t>economic development to that of liberalism, in which an intensified emphasis on</w:t>
      </w:r>
      <w:r>
        <w:rPr>
          <w:rStyle w:val="StyleUnderline"/>
        </w:rPr>
        <w:t xml:space="preserve"> </w:t>
      </w:r>
      <w:r w:rsidRPr="001030EF">
        <w:rPr>
          <w:rStyle w:val="StyleUnderline"/>
        </w:rPr>
        <w:t>financialisation and an enhancement of societal differences are the result of the</w:t>
      </w:r>
      <w:r>
        <w:rPr>
          <w:rStyle w:val="StyleUnderline"/>
        </w:rPr>
        <w:t xml:space="preserve"> </w:t>
      </w:r>
      <w:r w:rsidRPr="001030EF">
        <w:rPr>
          <w:rStyle w:val="StyleUnderline"/>
        </w:rPr>
        <w:t>limitation of the state’s role to the construction and maintenance of the financial</w:t>
      </w:r>
      <w:r>
        <w:rPr>
          <w:rStyle w:val="StyleUnderline"/>
        </w:rPr>
        <w:t xml:space="preserve"> </w:t>
      </w:r>
      <w:r w:rsidRPr="001030EF">
        <w:rPr>
          <w:rStyle w:val="StyleUnderline"/>
        </w:rPr>
        <w:t>markets and the conditions for trade within it.</w:t>
      </w:r>
      <w:r>
        <w:rPr>
          <w:rStyle w:val="StyleUnderline"/>
        </w:rPr>
        <w:t xml:space="preserve"> </w:t>
      </w:r>
      <w:r w:rsidRPr="001030EF">
        <w:rPr>
          <w:sz w:val="16"/>
        </w:rPr>
        <w:t xml:space="preserve">She describes this process as an “ever-tighter alliance between state-funded research, the market in new technologies, and financial capital” (Ibid.), and argues </w:t>
      </w:r>
      <w:r w:rsidRPr="001030EF">
        <w:rPr>
          <w:rStyle w:val="StyleUnderline"/>
        </w:rPr>
        <w:t>“the very value of knowledge […] is the result of a quite deliberate</w:t>
      </w:r>
      <w:r>
        <w:rPr>
          <w:rStyle w:val="StyleUnderline"/>
        </w:rPr>
        <w:t xml:space="preserve"> </w:t>
      </w:r>
      <w:r w:rsidRPr="001030EF">
        <w:rPr>
          <w:rStyle w:val="StyleUnderline"/>
        </w:rPr>
        <w:t>self-transformation of the U.S. economy and that of its allies, one that</w:t>
      </w:r>
      <w:r>
        <w:rPr>
          <w:rStyle w:val="StyleUnderline"/>
        </w:rPr>
        <w:t xml:space="preserve"> </w:t>
      </w:r>
      <w:r w:rsidRPr="001030EF">
        <w:rPr>
          <w:rStyle w:val="StyleUnderline"/>
        </w:rPr>
        <w:t>was pursued through the international organizations created in the</w:t>
      </w:r>
      <w:r>
        <w:rPr>
          <w:rStyle w:val="StyleUnderline"/>
        </w:rPr>
        <w:t xml:space="preserve"> </w:t>
      </w:r>
      <w:r w:rsidRPr="001030EF">
        <w:rPr>
          <w:rStyle w:val="StyleUnderline"/>
        </w:rPr>
        <w:t>post-World War II era, but with the ultimate effect of entirely</w:t>
      </w:r>
      <w:r>
        <w:rPr>
          <w:rStyle w:val="StyleUnderline"/>
        </w:rPr>
        <w:t xml:space="preserve"> </w:t>
      </w:r>
      <w:r w:rsidRPr="001030EF">
        <w:rPr>
          <w:rStyle w:val="StyleUnderline"/>
        </w:rPr>
        <w:t>redefining the landscape of world trade and imperialism.”</w:t>
      </w:r>
      <w:r w:rsidRPr="001030EF">
        <w:rPr>
          <w:sz w:val="16"/>
        </w:rPr>
        <w:t xml:space="preserve"> (Ibid., 57) The effect of this strategy was very noticeable: “[i]n the United States in particular these interventions had a resounding effect on the life sciences. […] The project of U.S. neoliberalism, I argue […], is crucially concerned with the emergent possibilities of the life sciences and related disciplines” (Ibid., 3). </w:t>
      </w:r>
      <w:r w:rsidRPr="001030EF">
        <w:rPr>
          <w:rStyle w:val="StyleUnderline"/>
        </w:rPr>
        <w:t>IP law acted as a central method for the financialisation of life’s potentiality in</w:t>
      </w:r>
      <w:r>
        <w:rPr>
          <w:rStyle w:val="StyleUnderline"/>
        </w:rPr>
        <w:t xml:space="preserve"> </w:t>
      </w:r>
      <w:r w:rsidRPr="001030EF">
        <w:rPr>
          <w:rStyle w:val="StyleUnderline"/>
        </w:rPr>
        <w:t>neoliberalism’s “ever-tighter alliance” between knowledge, the market, and capital. It</w:t>
      </w:r>
      <w:r>
        <w:rPr>
          <w:rStyle w:val="StyleUnderline"/>
        </w:rPr>
        <w:t xml:space="preserve"> </w:t>
      </w:r>
      <w:r w:rsidRPr="001030EF">
        <w:rPr>
          <w:rStyle w:val="StyleUnderline"/>
        </w:rPr>
        <w:t>thus worked for the market – but it also contributed to the structuring of the biotech</w:t>
      </w:r>
      <w:r>
        <w:rPr>
          <w:rStyle w:val="StyleUnderline"/>
        </w:rPr>
        <w:t xml:space="preserve"> </w:t>
      </w:r>
      <w:r w:rsidRPr="001030EF">
        <w:rPr>
          <w:rStyle w:val="StyleUnderline"/>
        </w:rPr>
        <w:t>sector and the promotion of certain research agendas over others. This introduced IP</w:t>
      </w:r>
      <w:r>
        <w:rPr>
          <w:rStyle w:val="StyleUnderline"/>
        </w:rPr>
        <w:t xml:space="preserve"> </w:t>
      </w:r>
      <w:r w:rsidRPr="001030EF">
        <w:rPr>
          <w:rStyle w:val="StyleUnderline"/>
        </w:rPr>
        <w:t>law to the informational-genetic conception of DNA – which resulted in the inevitable adoption of the genetic-informational conception of life in the Myriad decision, even</w:t>
      </w:r>
      <w:r>
        <w:rPr>
          <w:rStyle w:val="StyleUnderline"/>
        </w:rPr>
        <w:t xml:space="preserve"> </w:t>
      </w:r>
      <w:r w:rsidRPr="001030EF">
        <w:rPr>
          <w:rStyle w:val="StyleUnderline"/>
        </w:rPr>
        <w:t>at the expense of some categories of patentability of isolated genetic sequences</w:t>
      </w:r>
      <w:r w:rsidRPr="001030EF">
        <w:rPr>
          <w:sz w:val="16"/>
        </w:rPr>
        <w:t xml:space="preserve">. But Myriad’s uneasy compromise ensuring the continued patentability of some genetic sequences also highlights the persisting relevance of IP for the creation of ‘value’ from life in the economy. It is argued in the last section of this chapter that IP’s relationship with knowledge goes beyond this creation of value, encompassing the promotion of one form of scientific knowledge over other competing accounts of life. </w:t>
      </w:r>
      <w:r w:rsidRPr="001030EF">
        <w:rPr>
          <w:rStyle w:val="StyleUnderline"/>
        </w:rPr>
        <w:t>Rouvroy finds that “[g]enetic reductionism is encouraged by the patentability</w:t>
      </w:r>
      <w:r>
        <w:rPr>
          <w:rStyle w:val="StyleUnderline"/>
        </w:rPr>
        <w:t xml:space="preserve"> </w:t>
      </w:r>
      <w:r w:rsidRPr="001030EF">
        <w:rPr>
          <w:rStyle w:val="StyleUnderline"/>
        </w:rPr>
        <w:t>of genes and gene sequences” (Rouvroy 2008, 41). This draws attention to the way in</w:t>
      </w:r>
      <w:r>
        <w:rPr>
          <w:rStyle w:val="StyleUnderline"/>
        </w:rPr>
        <w:t xml:space="preserve"> </w:t>
      </w:r>
      <w:r w:rsidRPr="001030EF">
        <w:rPr>
          <w:rStyle w:val="StyleUnderline"/>
        </w:rPr>
        <w:t>which IPRs act as an economic device that promotes the predominance and</w:t>
      </w:r>
      <w:r>
        <w:rPr>
          <w:rStyle w:val="StyleUnderline"/>
        </w:rPr>
        <w:t xml:space="preserve"> </w:t>
      </w:r>
      <w:r w:rsidRPr="001030EF">
        <w:rPr>
          <w:rStyle w:val="StyleUnderline"/>
        </w:rPr>
        <w:t>normalisation of genetic truth discourses, encouraged by the criteria of patentability.</w:t>
      </w:r>
      <w:r>
        <w:rPr>
          <w:rStyle w:val="StyleUnderline"/>
        </w:rPr>
        <w:t xml:space="preserve"> </w:t>
      </w:r>
      <w:r w:rsidRPr="001030EF">
        <w:rPr>
          <w:sz w:val="16"/>
        </w:rPr>
        <w:t xml:space="preserve">However, it neglects to point out that this patentability relied on a chemical-molecular understanding of genetics in IP law, and that this patentability was recently limited in the Myriad decision. This not only endangered value creation but also IP’s contribution to the normalisation of an accepted canon of knowledge based on a predominant scientific paradigm. </w:t>
      </w:r>
      <w:r w:rsidRPr="001030EF">
        <w:rPr>
          <w:rStyle w:val="StyleUnderline"/>
        </w:rPr>
        <w:t>Genetic reductionism according to the “central</w:t>
      </w:r>
      <w:r>
        <w:rPr>
          <w:rStyle w:val="StyleUnderline"/>
        </w:rPr>
        <w:t xml:space="preserve"> </w:t>
      </w:r>
      <w:r w:rsidRPr="001030EF">
        <w:rPr>
          <w:rStyle w:val="StyleUnderline"/>
        </w:rPr>
        <w:t>dogma” understands the genetic code’s function as the determining force within the</w:t>
      </w:r>
      <w:r>
        <w:rPr>
          <w:rStyle w:val="StyleUnderline"/>
        </w:rPr>
        <w:t xml:space="preserve"> </w:t>
      </w:r>
      <w:r w:rsidRPr="001030EF">
        <w:rPr>
          <w:rStyle w:val="StyleUnderline"/>
        </w:rPr>
        <w:t>organism instead of allowing for more complex interactions with environmental</w:t>
      </w:r>
      <w:r>
        <w:rPr>
          <w:rStyle w:val="StyleUnderline"/>
        </w:rPr>
        <w:t xml:space="preserve"> </w:t>
      </w:r>
      <w:r w:rsidRPr="001030EF">
        <w:rPr>
          <w:rStyle w:val="StyleUnderline"/>
        </w:rPr>
        <w:t>factors.</w:t>
      </w:r>
      <w:r w:rsidRPr="001030EF">
        <w:rPr>
          <w:sz w:val="16"/>
        </w:rPr>
        <w:t xml:space="preserve"> This produces relatively predictable and stable accounts of the body and illness on the basis of the genetic code. </w:t>
      </w:r>
      <w:r w:rsidRPr="001030EF">
        <w:rPr>
          <w:rStyle w:val="StyleUnderline"/>
        </w:rPr>
        <w:t>A focus on the promotion of predictable</w:t>
      </w:r>
      <w:r>
        <w:rPr>
          <w:rStyle w:val="StyleUnderline"/>
        </w:rPr>
        <w:t xml:space="preserve"> </w:t>
      </w:r>
      <w:r w:rsidRPr="001030EF">
        <w:rPr>
          <w:rStyle w:val="StyleUnderline"/>
        </w:rPr>
        <w:t>knowledge and its connection to patentability highlights another facet of the Myriad</w:t>
      </w:r>
      <w:r>
        <w:rPr>
          <w:rStyle w:val="StyleUnderline"/>
        </w:rPr>
        <w:t xml:space="preserve"> </w:t>
      </w:r>
      <w:r w:rsidRPr="001030EF">
        <w:rPr>
          <w:rStyle w:val="StyleUnderline"/>
        </w:rPr>
        <w:t>decision: it continued to maintain some form of gene patents in the face of competing,</w:t>
      </w:r>
      <w:r>
        <w:rPr>
          <w:rStyle w:val="StyleUnderline"/>
        </w:rPr>
        <w:t xml:space="preserve"> </w:t>
      </w:r>
      <w:r w:rsidRPr="001030EF">
        <w:rPr>
          <w:rStyle w:val="StyleUnderline"/>
        </w:rPr>
        <w:t>more complex accounts of life – which would pose more serious problems for</w:t>
      </w:r>
      <w:r>
        <w:rPr>
          <w:rStyle w:val="StyleUnderline"/>
        </w:rPr>
        <w:t xml:space="preserve"> </w:t>
      </w:r>
      <w:r w:rsidRPr="001030EF">
        <w:rPr>
          <w:rStyle w:val="StyleUnderline"/>
        </w:rPr>
        <w:t>patentability and for questions of governing.</w:t>
      </w:r>
    </w:p>
    <w:p w14:paraId="7657B6CD" w14:textId="4534DEDC" w:rsidR="00543003" w:rsidRDefault="000E092E" w:rsidP="00543003">
      <w:pPr>
        <w:pStyle w:val="Heading4"/>
      </w:pPr>
      <w:r>
        <w:t>G</w:t>
      </w:r>
      <w:r w:rsidR="00543003">
        <w:t>enetic reductionism allows biopolitical control to be internalized—colonialism and patriarchy become tools of the biopolitical state for mass discipline and control</w:t>
      </w:r>
    </w:p>
    <w:p w14:paraId="1E0CBB2E" w14:textId="77777777" w:rsidR="00543003" w:rsidRPr="00B576D3" w:rsidRDefault="00543003" w:rsidP="00543003">
      <w:pPr>
        <w:rPr>
          <w:rStyle w:val="Style13ptBold"/>
        </w:rPr>
      </w:pPr>
      <w:r w:rsidRPr="00B576D3">
        <w:rPr>
          <w:rStyle w:val="Style13ptBold"/>
        </w:rPr>
        <w:t>Coombe and Chapman 20</w:t>
      </w:r>
    </w:p>
    <w:p w14:paraId="69758BFB" w14:textId="77777777" w:rsidR="00543003" w:rsidRDefault="00543003" w:rsidP="00543003">
      <w:r>
        <w:t>Rosemary J., Professor, Canada Research Chair, Graduate Program Director of Anthropology in Law &amp; Society (LASO), Socio-Legal Studies (SLST), and Social and Political Thought (SPTH) @ York University; Susannah, PhD Anthropology from University of Georgia, research fellow @ University of Queensland. “Ethnographic Explorations of Intellectual Propertyfree,” Oxford Research Encyclopedias: Anthropology. 27 August 2020. LJS</w:t>
      </w:r>
    </w:p>
    <w:p w14:paraId="5D8805D5" w14:textId="77777777" w:rsidR="00543003" w:rsidRPr="0043674B" w:rsidRDefault="00543003" w:rsidP="00543003">
      <w:pPr>
        <w:rPr>
          <w:sz w:val="16"/>
        </w:rPr>
      </w:pPr>
      <w:r w:rsidRPr="0043674B">
        <w:rPr>
          <w:sz w:val="16"/>
        </w:rPr>
        <w:t xml:space="preserve">Anthropological attention to the extension of IP into new jurisdictions sparked interest in legal constructions of personhood. </w:t>
      </w:r>
      <w:r w:rsidRPr="004107DD">
        <w:rPr>
          <w:rStyle w:val="StyleUnderline"/>
        </w:rPr>
        <w:t>Recognizing property and personhood to be dialectically related, anthropologists took great interest in the modes of subjectivity that IP relations to intangible cultural goods legitimated, tracing the introduction of the Western concept of individual authorship in diverse societies.5</w:t>
      </w:r>
      <w:r w:rsidRPr="0043674B">
        <w:rPr>
          <w:sz w:val="16"/>
        </w:rPr>
        <w:t xml:space="preserve"> Anthropologists considered how legal technologies fabricated the categories of persons and things that ownership serves to naturalize (Pottage 2004a). New policy emphasis upon communities and traditional goods fostered the articulation of collective identities. </w:t>
      </w:r>
      <w:r w:rsidRPr="004107DD">
        <w:rPr>
          <w:rStyle w:val="StyleUnderline"/>
        </w:rPr>
        <w:t>Ethnographic work on the extension of IP demonstrated that the global policy contexts in which IP was debated also enabled new subject positions of stewardship to be articulated</w:t>
      </w:r>
      <w:r w:rsidRPr="0043674B">
        <w:rPr>
          <w:sz w:val="16"/>
        </w:rPr>
        <w:t xml:space="preserve"> (e.g., Brosius 1999). Where varieties of IP such as publicity rights allowed recognizable features of identity to be claimed as private property, anthropologists explored the social construction of celebrity and emerging public personas. </w:t>
      </w:r>
      <w:r w:rsidRPr="004107DD">
        <w:rPr>
          <w:rStyle w:val="StyleUnderline"/>
        </w:rPr>
        <w:t>Similarly, the growth and extension of branding practices to social collectives from villages to nations, militaries, and even militias opened new avenues of inquiry.</w:t>
      </w:r>
      <w:r>
        <w:rPr>
          <w:rStyle w:val="StyleUnderline"/>
        </w:rPr>
        <w:t xml:space="preserve"> </w:t>
      </w:r>
      <w:r w:rsidRPr="0043674B">
        <w:rPr>
          <w:sz w:val="16"/>
        </w:rPr>
        <w:t xml:space="preserve">Property and Personhood If the introduction of IP in new regions sparked general anthropological interest, its arrival in Melanesia prompted an especially rich body of scholarship exploring encounters between radically different and sometimes surprisingly similar understandings of personhood, ownership, and cultural circulation (Hirsch and Strathern 2004; Strathern 1999). </w:t>
      </w:r>
      <w:r w:rsidRPr="004107DD">
        <w:rPr>
          <w:rStyle w:val="StyleUnderline"/>
        </w:rPr>
        <w:t xml:space="preserve">Moving beyond early disciplinary preoccupations with individual versus communal rights, this work explored how selves were differentially “dividuated” in the region and how </w:t>
      </w:r>
      <w:r w:rsidRPr="0043674B">
        <w:rPr>
          <w:rStyle w:val="Emphasis"/>
        </w:rPr>
        <w:t>people, rather than things, were regarded as “owned” by virtue of their kinship relationships</w:t>
      </w:r>
      <w:r w:rsidRPr="0043674B">
        <w:rPr>
          <w:sz w:val="16"/>
        </w:rPr>
        <w:t xml:space="preserve"> (Strathern 2001). When persons are partible, their relations to others become visible when they take on certain roles that are understood to be “images” both created and controlled by their clans (Strathern 2004). To fulfil kinship obligations, and in ritual practices, people in the region internalize and visualize themselves as images owned or carried by others (Harrison 1992). In Papua New Guinea, for instance, people seemed to entertain understandings consonant with IP’s protection of celebrity personas, commercial trademarks, and patented technologies in performative activities of symbolic exchange, valuation, and commemoration (Strathern 2001). </w:t>
      </w:r>
      <w:r w:rsidRPr="004107DD">
        <w:rPr>
          <w:rStyle w:val="StyleUnderline"/>
        </w:rPr>
        <w:t xml:space="preserve">Although concepts of owning humans are morally repugnant to many religious traditions, body parts and genetic materials are increasingly owned in significant ways </w:t>
      </w:r>
      <w:r w:rsidRPr="0043674B">
        <w:rPr>
          <w:sz w:val="16"/>
        </w:rPr>
        <w:t xml:space="preserve">(Strathern 1999, 2005). Human genomics raises questions: how and why are some human genetic materials considered inalienable aspects of a human universal heritage available to science, while others are personally alienated and may be economically exchanged? </w:t>
      </w:r>
      <w:r w:rsidRPr="004107DD">
        <w:rPr>
          <w:rStyle w:val="StyleUnderline"/>
        </w:rPr>
        <w:t xml:space="preserve">Legal techniques that claim merely to reflect divisions between norm and nature normatively </w:t>
      </w:r>
      <w:r w:rsidRPr="0043674B">
        <w:rPr>
          <w:rStyle w:val="Emphasis"/>
        </w:rPr>
        <w:t>institute the nature they claim</w:t>
      </w:r>
      <w:r w:rsidRPr="0043674B">
        <w:rPr>
          <w:sz w:val="16"/>
        </w:rPr>
        <w:t xml:space="preserve"> (Pottage 2004b). Efforts to protect “our genetic patrimony” against commodification, for example, suggest that the genome is a resource existing independently of the means and activities through which it is visualized and rendered. </w:t>
      </w:r>
      <w:r w:rsidRPr="004107DD">
        <w:rPr>
          <w:rStyle w:val="StyleUnderline"/>
        </w:rPr>
        <w:t>Since IP creates relations of legitimated power by privileging particular forms of inscription, the simple denial of inscription is one of the means by which IP is resisted or refused.</w:t>
      </w:r>
      <w:r>
        <w:rPr>
          <w:rStyle w:val="StyleUnderline"/>
        </w:rPr>
        <w:t xml:space="preserve"> </w:t>
      </w:r>
      <w:r w:rsidRPr="0043674B">
        <w:rPr>
          <w:sz w:val="16"/>
        </w:rPr>
        <w:t xml:space="preserve">Anthropologists have explored the ways in which the legal recognition of some “natural” substances as authored or “cooked,” and others as discovered, or “raw” has social consequences for both persons and things (Hirsch 2010; Pottage and Mundy 2004). </w:t>
      </w:r>
      <w:r w:rsidRPr="004107DD">
        <w:rPr>
          <w:rStyle w:val="StyleUnderline"/>
        </w:rPr>
        <w:t xml:space="preserve">For example, positioning simple DNA as part of the public domain enables rather than discounts its political consequence in terms of the identities people may claim, as debates about DNA testing to confirm tribal identity suggest; conflating ancestry with racial, ethnic, or tribal kinship </w:t>
      </w:r>
      <w:r w:rsidRPr="0043674B">
        <w:rPr>
          <w:rStyle w:val="Emphasis"/>
        </w:rPr>
        <w:t>discounts the cultural and social means</w:t>
      </w:r>
      <w:r w:rsidRPr="004107DD">
        <w:rPr>
          <w:rStyle w:val="StyleUnderline"/>
        </w:rPr>
        <w:t xml:space="preserve"> by which tribal belonging was historically rendered</w:t>
      </w:r>
      <w:r w:rsidRPr="0043674B">
        <w:rPr>
          <w:sz w:val="16"/>
        </w:rPr>
        <w:t xml:space="preserve"> (Tallbear 2013). Contests over the ownership of plants reconstruct them as discoveries or inventions at different moments. The valuable properties of the South African hoodia plant, for example, could be represented as a patented molecule, a solid drug, a liquid food, or a wild or cultivated plant. While the state patent on hoodia hinged upon molecular isolation of the plant’s appetite suppression chemicals, San peoples’ claims to benefit sharing relied upon demonstrating their traditional knowledge of the whole plant’s medicinal properties (Foster 2017). Subjectification: Authors and Stewards </w:t>
      </w:r>
      <w:r w:rsidRPr="004107DD">
        <w:rPr>
          <w:rStyle w:val="StyleUnderline"/>
        </w:rPr>
        <w:t xml:space="preserve">A long tradition of critical theory showed that historical legitimations for IP imagine authorship or innovation as originary individual inscription, relying upon </w:t>
      </w:r>
      <w:r w:rsidRPr="0043674B">
        <w:rPr>
          <w:rStyle w:val="Emphasis"/>
        </w:rPr>
        <w:t>gendered tropes and the naturalization of paternal authority</w:t>
      </w:r>
      <w:r w:rsidRPr="0043674B">
        <w:rPr>
          <w:sz w:val="16"/>
        </w:rPr>
        <w:t xml:space="preserve"> (Rose 1996, 2002; Woodmansee and Jaszi, 1994).6 </w:t>
      </w:r>
      <w:r w:rsidRPr="004107DD">
        <w:rPr>
          <w:rStyle w:val="StyleUnderline"/>
        </w:rPr>
        <w:t xml:space="preserve">Such gendered structuration is replicated in global IP discourses where creative work that is rendered natural rather than cultural, reproductive rather than productive, or social rather than individuated is relegated to an inferior status. In the sphere of digital cultural production, even “hacker culture,” which otherwise flouts IP protections, nonetheless partakes of a similar legitimating logic in which </w:t>
      </w:r>
      <w:r w:rsidRPr="0043674B">
        <w:rPr>
          <w:rStyle w:val="Emphasis"/>
        </w:rPr>
        <w:t>individual male activity is celebrated as transformative expressive work</w:t>
      </w:r>
      <w:r w:rsidRPr="004107DD">
        <w:rPr>
          <w:rStyle w:val="StyleUnderline"/>
        </w:rPr>
        <w:t xml:space="preserve"> rather than “mere” reproductive labor</w:t>
      </w:r>
      <w:r w:rsidRPr="0043674B">
        <w:rPr>
          <w:sz w:val="16"/>
        </w:rPr>
        <w:t xml:space="preserve"> (Liang 2010, 2011). This discursive logic may be traced across diverse fields of activity, stubbornly re-emerging under conditions of technological change. Practices of creolization and hybridization often identify new subject positions and express subjectivity. The global circulation of cultural goods, the ease of their reproduction in new contexts under conditions of digital communications, and the inclination to recombine them may be considered constitutive of conditions of postmodernity (Harvey 1989) as well as indicia of cosmopolitan subjectivities (Novak 2010). Where “remix culture” is naturalized as a form of global cultural identity, however, critics complain that it universalizes the conditions of subjects with particular privileges, discounting the ways that conditions of remediation may allow others to maintain the alternative value systems in which cultural goods figure (Christen 2005). IP, subjects, and moral economies tend to coevolve in complex dialogues and dialectics. A great deal of contemporary scholarship has addressed remix practices as creative acts of “piracy” that express new subject positions. For example, the literary “hack” in India rewrites classical works to engage in contemporary social and political criticism (Poduval 2014). </w:t>
      </w:r>
      <w:r w:rsidRPr="004107DD">
        <w:rPr>
          <w:rStyle w:val="StyleUnderline"/>
        </w:rPr>
        <w:t xml:space="preserve">Expressing knowledge of IP legalities and practices of illegality may be means of mimicking modes of modernity and drawing attention to global entitlements and their relationship to local social exclusions (Dawdy and Bonni 2012). If the contemporary </w:t>
      </w:r>
      <w:r w:rsidRPr="0043674B">
        <w:rPr>
          <w:rStyle w:val="Emphasis"/>
        </w:rPr>
        <w:t>politics of pirate practice tends to criticize global corporate hegemony</w:t>
      </w:r>
      <w:r w:rsidRPr="004107DD">
        <w:rPr>
          <w:rStyle w:val="StyleUnderline"/>
        </w:rPr>
        <w:t>, in Bolivia artists have also found new means of distribution and publicity to support local, independent, small-scale cultural producers</w:t>
      </w:r>
      <w:r w:rsidRPr="0043674B">
        <w:rPr>
          <w:sz w:val="16"/>
        </w:rPr>
        <w:t xml:space="preserve"> (Stobart 2014). Creators of “peripheral” musics in Brazil, for example, not only rely upon remix practices, but work outside of dominant channels of distribution, giving away music on social media in order to build careers and reputations (e.g., Lemos 2014). </w:t>
      </w:r>
      <w:r w:rsidRPr="0043674B">
        <w:rPr>
          <w:rStyle w:val="StyleUnderline"/>
        </w:rPr>
        <w:t>Traditions of cultural expression, medicine, and artisanship require the social maintenance of a production commons that is often overlooked and may well be undermined by efforts to extend IP</w:t>
      </w:r>
      <w:r w:rsidRPr="0043674B">
        <w:rPr>
          <w:sz w:val="16"/>
        </w:rPr>
        <w:t xml:space="preserve">. People are becoming more conscious of their practices of stewardship over both natural and cultural resources. </w:t>
      </w:r>
      <w:r w:rsidRPr="0043674B">
        <w:rPr>
          <w:rStyle w:val="StyleUnderline"/>
        </w:rPr>
        <w:t xml:space="preserve">Many Indigenous communities, in particular, have adopted this subject position with respect to biodiversity congruent with international recognition of the value of their traditional environmental knowledge. They reject IP encroachments and instead emphasize their cultural histories of cultivating plant genetic resources </w:t>
      </w:r>
      <w:r w:rsidRPr="0043674B">
        <w:rPr>
          <w:sz w:val="16"/>
        </w:rPr>
        <w:t xml:space="preserve">(e.g., Coombe and Kisin 2020; Rhoades 2006; Shepherd 2010). Claims of stewardship and rights to exercise ancestral responsibilities over biocultural resources are now routinely asserted by local communities and environmental NGOs (Bavikatte 2014). Certain specialists, like shamans, have been elevated to a new social prominence in this new role, with Brazil, for example, portraying them as bulwarks against corporate biopiracy (Alberts 2015). </w:t>
      </w:r>
      <w:r w:rsidRPr="0043674B">
        <w:rPr>
          <w:rStyle w:val="StyleUnderline"/>
        </w:rPr>
        <w:t>In India, however, the state itself has usurped the position of steward over traditional medicines and therapeutic practices</w:t>
      </w:r>
      <w:r w:rsidRPr="0043674B">
        <w:rPr>
          <w:sz w:val="16"/>
        </w:rPr>
        <w:t xml:space="preserve"> (Fish 2014). Pirates and Their Practices </w:t>
      </w:r>
      <w:r w:rsidRPr="0043674B">
        <w:rPr>
          <w:rStyle w:val="StyleUnderline"/>
        </w:rPr>
        <w:t>A number of ethnographic studies illustrate the various means by which IP and the policing of its violation have constituted new figurations of pirate subjects while simultaneously encouraging reflexivity among subject populations about community identity and the norms that reinforce peoples’ senses of communal belonging in these circumstances</w:t>
      </w:r>
      <w:r w:rsidRPr="0043674B">
        <w:rPr>
          <w:sz w:val="16"/>
        </w:rPr>
        <w:t xml:space="preserve"> (e.g., Reinberg 2015; Thomas 2013). </w:t>
      </w:r>
      <w:r w:rsidRPr="0043674B">
        <w:rPr>
          <w:rStyle w:val="StyleUnderline"/>
        </w:rPr>
        <w:t>The figure of the pirate has re-emerged in the West as a rogue “other” properly subject to industrial demonization, surveillance, and punishment or, alternatively, celebrated as a subaltern challenge to corporate cultural industries. These moral positionings are often gendered and racialized. Acts of piracy that “merely” make copies or reproduce goods are often defamed with tropes of passive imitation and effeminacy contrasted to more muscular “transformative” acts of appropriation</w:t>
      </w:r>
      <w:r w:rsidRPr="0043674B">
        <w:rPr>
          <w:sz w:val="16"/>
        </w:rPr>
        <w:t xml:space="preserve"> (Liang 2011, discussing Larry Lessig; Vats 2020). The omnipresence of informal markets, however, also reveals that different kinds of copies carry distinct values in local moral economies and that a variety of pirate subjectivities may be locally recognized (Dawdy and Bonni 2012). </w:t>
      </w:r>
      <w:r w:rsidRPr="0043674B">
        <w:rPr>
          <w:rStyle w:val="StyleUnderline"/>
        </w:rPr>
        <w:t xml:space="preserve">Antipiracy campaigns attempt to impress upon socially disadvantaged peoples a </w:t>
      </w:r>
      <w:r w:rsidRPr="0043674B">
        <w:rPr>
          <w:rStyle w:val="Emphasis"/>
        </w:rPr>
        <w:t>normalized, universal, and transhistorical human subject</w:t>
      </w:r>
      <w:r w:rsidRPr="0043674B">
        <w:rPr>
          <w:rStyle w:val="StyleUnderline"/>
        </w:rPr>
        <w:t xml:space="preserve"> that puts targeted communities outside the pale of proper ways of life and legitimate economic activity (Thomas 2016). IP piracy is often essential to accessing cultural goods and engaging in cultural reproduction more generally in the Global South</w:t>
      </w:r>
      <w:r w:rsidRPr="0043674B">
        <w:rPr>
          <w:sz w:val="16"/>
        </w:rPr>
        <w:t xml:space="preserve"> (Liang 2011). Local assessments of necessary, permissible, desirable, and blameworthy acts of IP violation tend instead to reflect a wide range of community norms. Accusations of piracy made by local artists in Mali were shown to have more to do with assertions of citizenship and perceptions of state failure than concerns about lost revenues (Skinner 2012). </w:t>
      </w:r>
      <w:r w:rsidRPr="0043674B">
        <w:rPr>
          <w:rStyle w:val="StyleUnderline"/>
        </w:rPr>
        <w:t>The pirate may also locally represent a position of protest against the disintegration of state–subject relations in polities that appear to value cultural resources over human ones (Dawdy 2011), and foreign economic interests over citizens’ social needs.</w:t>
      </w:r>
      <w:r w:rsidRPr="0043674B">
        <w:rPr>
          <w:sz w:val="16"/>
        </w:rPr>
        <w:t xml:space="preserve"> Anthropologists studying the phenomena of piracy have refused to privilege the private property–public domain binary, showing how, why, and to what ends this modern conceptual division is rejected by subjects whose economic circumstances exclude them from IP’s circuits of recognition and exchange (Grassmuck 2014; Poduval 2014). For example, in urban Bamako, piracy has been both the cause of artistic precarity and the rationale for new kinds of cultural governmentality, creating a crisis in political subjectivity where musicians struggle to maintain professional livelihoods amid weak state oversight and a flourishing informal economy in copied music (Skinner 2015). </w:t>
      </w:r>
      <w:r w:rsidRPr="0043674B">
        <w:rPr>
          <w:rStyle w:val="StyleUnderline"/>
        </w:rPr>
        <w:t>Challenging the purported dangers of piracy to mainstream industries, while exploring the politicized nature of creative counterfeiting practices, anthropologists attend to the abject subjects and public anxieties generated by the policing of illegalized cultural goods</w:t>
      </w:r>
      <w:r w:rsidRPr="0043674B">
        <w:rPr>
          <w:sz w:val="16"/>
        </w:rPr>
        <w:t xml:space="preserve"> (Dent 2016, 2020; Eckstein and Schwartz 2014; Thomas 2016). Assessments of piracy exceed considerations of subjectivity when they explore political economies, moral economies, and the policing of cultural circulation in the Global South. </w:t>
      </w:r>
      <w:r w:rsidRPr="0043674B">
        <w:rPr>
          <w:rStyle w:val="StyleUnderline"/>
        </w:rPr>
        <w:t xml:space="preserve">Anthropologists increasingly ask, not who is a pirate and why, but rather, what does piracy do, </w:t>
      </w:r>
      <w:r w:rsidRPr="0043674B">
        <w:rPr>
          <w:rStyle w:val="Emphasis"/>
        </w:rPr>
        <w:t>shifting inquiry to issues of labor, technology, monopoly, cultural consumption, and political representation</w:t>
      </w:r>
      <w:r w:rsidRPr="0043674B">
        <w:rPr>
          <w:rStyle w:val="StyleUnderline"/>
        </w:rPr>
        <w:t xml:space="preserve">. Attending to the productive dynamic between “appropriate” circulation and digital piracy in Brazil, for example, revealed how </w:t>
      </w:r>
      <w:r w:rsidRPr="0043674B">
        <w:rPr>
          <w:rStyle w:val="Emphasis"/>
        </w:rPr>
        <w:t xml:space="preserve">social groups enact, challenge, and, ultimately may modify IP law by exposing its contradictions </w:t>
      </w:r>
      <w:r w:rsidRPr="0043674B">
        <w:rPr>
          <w:rStyle w:val="StyleUnderline"/>
        </w:rPr>
        <w:t>and fault lines (Dent 2016).</w:t>
      </w:r>
      <w:r>
        <w:rPr>
          <w:rStyle w:val="StyleUnderline"/>
        </w:rPr>
        <w:t xml:space="preserve"> </w:t>
      </w:r>
      <w:r w:rsidRPr="0043674B">
        <w:rPr>
          <w:sz w:val="16"/>
        </w:rPr>
        <w:t xml:space="preserve">Although considered illicit by state and international powers, pirate practices in Guatemala were shown to have local legitimacy in communities that rejected police powers exercised on behalf of foreign corporate actors who are clearly unaccountable to the people so governed (Thomas 2016). Antipiracy campaigns, draconian enforcement regimes, and punitive measures amplify antagonisms between emerging classes in informational capitalism, the structuring principles of whose interrelationship are still obscure (Dawdy 2011). Personas, Brands, and Communities Legal anthropologists have long recognized that law does not merely reflect social worlds but constitutes, authorizes, and legitimates social identities and relationships (Dent 2013). </w:t>
      </w:r>
      <w:r w:rsidRPr="0043674B">
        <w:rPr>
          <w:rStyle w:val="StyleUnderline"/>
        </w:rPr>
        <w:t>To the extent that IP promotes forms of recognition, enables streams of royalties, and encourages investments, it fosters practices of individual and collective public subject formation</w:t>
      </w:r>
      <w:r w:rsidRPr="0043674B">
        <w:rPr>
          <w:sz w:val="16"/>
        </w:rPr>
        <w:t xml:space="preserve">. Cultural anthropologists have been particularly interested in public personas and the branding of collective identities (e.g., Bunten 2008; Foster 2007; Mazzarella 2003). </w:t>
      </w:r>
      <w:r w:rsidRPr="0043674B">
        <w:rPr>
          <w:rStyle w:val="StyleUnderline"/>
        </w:rPr>
        <w:t>Public personas are created through expressive investments and particular forms of circulation, both of which are shaped by IP protection of the symbolic attributes of the persona that may artificially freeze fields of connotation and stifle subaltern challenges to dominant meanings</w:t>
      </w:r>
      <w:r w:rsidRPr="0043674B">
        <w:rPr>
          <w:sz w:val="16"/>
        </w:rPr>
        <w:t xml:space="preserve">. Studies of pen names, for example, show how an authorial persona is constructed as a brand to mediate between producers and consumers in mass-market publishing in North America (Taylor 2018). The intersection of different regimes of value for restricting the circulation of iconic imagery also engenders new politics of publicity. Where the commercialization of ritually important Hindu images provoked criticism from diasporic communities, for example, these conversations spurred new aesthetic practices in expressions of shared identity (Ramachandran 2014). The relationships between signs (e.g., trademarks), the virtual commonalities their circulation enables (and their owners capitalize upon), and the social imaginaries they actualize is a rich area of ethnographic inquiry, particularly in post-socialist contexts (e.g., Vann 2006). </w:t>
      </w:r>
      <w:r w:rsidRPr="0043674B">
        <w:rPr>
          <w:rStyle w:val="StyleUnderline"/>
        </w:rPr>
        <w:t>Anthropological approaches to trademark and branding involve semiotic explorations of their fields of meaning as well as explications of the material infrastructures of their production and consumption. Ethnographers explore the folk ontologies and ideologies that are latent in the legal and economic discourses that legitimate brands and their circulation (</w:t>
      </w:r>
      <w:r w:rsidRPr="0043674B">
        <w:rPr>
          <w:sz w:val="16"/>
        </w:rPr>
        <w:t xml:space="preserve">Manning 2010). Subaltern groups in India, for example, were shown to use the repertoire of cultural forms provided by trademarks to express their understanding of and protests against corporate powers, while creating new forms of surplus affective value (e.g., Nakassis 2012, 2013). Anthropologists have been interested in brand behavior—the creative social engagements that trouble a singular social intelligibility for the IP-protected commodity. </w:t>
      </w:r>
      <w:r w:rsidRPr="0043674B">
        <w:rPr>
          <w:rStyle w:val="StyleUnderline"/>
        </w:rPr>
        <w:t xml:space="preserve">Branding takes place on multiple scales and embraces a range of actors beyond corporate producers and individual consumers, and now encompasses </w:t>
      </w:r>
      <w:r w:rsidRPr="0043674B">
        <w:rPr>
          <w:rStyle w:val="Emphasis"/>
        </w:rPr>
        <w:t>issues of statecraft</w:t>
      </w:r>
      <w:r w:rsidRPr="0043674B">
        <w:rPr>
          <w:rStyle w:val="StyleUnderline"/>
        </w:rPr>
        <w:t xml:space="preserve"> (e.g., Thomas 2013). The phenomenon of nation-branding, for example, is a new means of communicating national identities and interests that engages corporate publicists and constitutes the state as an entrepreneurial subject </w:t>
      </w:r>
      <w:r w:rsidRPr="0043674B">
        <w:rPr>
          <w:sz w:val="16"/>
        </w:rPr>
        <w:t>(Aroncyzk 2013; Cao et al. 2019). Advertising and marketing professionals emphasize the need to maintain the singularity (and restrict the diversity) of national collective connotation, which may limit public discourse, channel political conversation, and become a means to discipline everyday social conduct (e.g., Scher 2014). Anthropologists have explored the further extension of branding to European cities (e.g., Graan 2013) and the convergence of marketing and militarism in Colombian peace-building strategies (e.g., Fattal 2018).</w:t>
      </w:r>
    </w:p>
    <w:p w14:paraId="50D89734" w14:textId="77777777" w:rsidR="00543003" w:rsidRPr="008D1160" w:rsidRDefault="00543003" w:rsidP="00543003">
      <w:pPr>
        <w:pStyle w:val="Heading4"/>
        <w:rPr>
          <w:rFonts w:asciiTheme="minorHAnsi" w:hAnsiTheme="minorHAnsi"/>
        </w:rPr>
      </w:pPr>
      <w:r w:rsidRPr="008D1160">
        <w:rPr>
          <w:rFonts w:asciiTheme="minorHAnsi" w:hAnsiTheme="minorHAnsi"/>
        </w:rPr>
        <w:t xml:space="preserve">The terminal impact is </w:t>
      </w:r>
      <w:r w:rsidRPr="008D1160">
        <w:rPr>
          <w:rFonts w:asciiTheme="minorHAnsi" w:hAnsiTheme="minorHAnsi"/>
          <w:u w:val="single"/>
        </w:rPr>
        <w:t>extinction</w:t>
      </w:r>
      <w:r w:rsidRPr="008D1160">
        <w:rPr>
          <w:rFonts w:asciiTheme="minorHAnsi" w:hAnsiTheme="minorHAnsi"/>
        </w:rPr>
        <w:t xml:space="preserve"> --- the politics of exceptionalism drive </w:t>
      </w:r>
      <w:r w:rsidRPr="008D1160">
        <w:rPr>
          <w:rFonts w:asciiTheme="minorHAnsi" w:hAnsiTheme="minorHAnsi"/>
          <w:u w:val="single"/>
        </w:rPr>
        <w:t>global destruction</w:t>
      </w:r>
      <w:r w:rsidRPr="008D1160">
        <w:rPr>
          <w:rFonts w:asciiTheme="minorHAnsi" w:hAnsiTheme="minorHAnsi"/>
        </w:rPr>
        <w:t xml:space="preserve"> and turn </w:t>
      </w:r>
      <w:r w:rsidRPr="008D1160">
        <w:rPr>
          <w:rFonts w:asciiTheme="minorHAnsi" w:hAnsiTheme="minorHAnsi"/>
          <w:u w:val="single"/>
        </w:rPr>
        <w:t>all of their impacts</w:t>
      </w:r>
    </w:p>
    <w:p w14:paraId="202D82F4" w14:textId="77777777" w:rsidR="00543003" w:rsidRPr="001444C9" w:rsidRDefault="00543003" w:rsidP="00543003">
      <w:pPr>
        <w:rPr>
          <w:rFonts w:asciiTheme="minorHAnsi" w:hAnsiTheme="minorHAnsi"/>
        </w:rPr>
      </w:pPr>
      <w:r w:rsidRPr="008D1160">
        <w:rPr>
          <w:rStyle w:val="Style13ptBold"/>
          <w:rFonts w:asciiTheme="minorHAnsi" w:hAnsiTheme="minorHAnsi"/>
        </w:rPr>
        <w:t>Willson, 2k</w:t>
      </w:r>
      <w:r w:rsidRPr="001444C9">
        <w:rPr>
          <w:rFonts w:asciiTheme="minorHAnsi" w:hAnsiTheme="minorHAnsi"/>
        </w:rPr>
        <w:t xml:space="preserve"> [Brian – Ph.D New College San Fransisco, Humanities, JD, American University, “End of Cruel U.S. Policies Demands Radical Healing of the National Ethos”, http://www.brianwillson.com/?q=node/72]</w:t>
      </w:r>
    </w:p>
    <w:p w14:paraId="0D05950C" w14:textId="77777777" w:rsidR="00543003" w:rsidRPr="001444C9" w:rsidRDefault="00543003" w:rsidP="00543003">
      <w:pPr>
        <w:jc w:val="both"/>
        <w:rPr>
          <w:rFonts w:asciiTheme="minorHAnsi" w:hAnsiTheme="minorHAnsi"/>
          <w:sz w:val="16"/>
        </w:rPr>
      </w:pPr>
      <w:r w:rsidRPr="001444C9">
        <w:rPr>
          <w:rFonts w:asciiTheme="minorHAnsi" w:hAnsiTheme="minorHAnsi"/>
          <w:sz w:val="16"/>
        </w:rPr>
        <w:t xml:space="preserve">The attitudes and behaviors exhibited by our Anglo-Saxon ancestors that resulted in the cruel dispossession of the natives who already inhabited the land, formed </w:t>
      </w:r>
      <w:r w:rsidRPr="008D1160">
        <w:rPr>
          <w:rStyle w:val="StyleUnderline"/>
          <w:rFonts w:asciiTheme="minorHAnsi" w:hAnsiTheme="minorHAnsi"/>
        </w:rPr>
        <w:t>the defining experience of the "American" Republic. Our cultural character has enabled a pattern of conduct rooted in deep-seated racism</w:t>
      </w:r>
      <w:r w:rsidRPr="001444C9">
        <w:rPr>
          <w:rFonts w:asciiTheme="minorHAnsi" w:hAnsiTheme="minorHAnsi"/>
          <w:sz w:val="16"/>
        </w:rPr>
        <w:t xml:space="preserve"> (unresolved fear manifesting in hatred</w:t>
      </w:r>
      <w:r w:rsidRPr="008D1160">
        <w:rPr>
          <w:rStyle w:val="StyleUnderline"/>
          <w:rFonts w:asciiTheme="minorHAnsi" w:hAnsiTheme="minorHAnsi"/>
        </w:rPr>
        <w:t>) and arrogant ethnocentrism ("Manifest Destiny") that has never been adequately checked or corrected</w:t>
      </w:r>
      <w:r w:rsidRPr="001444C9">
        <w:rPr>
          <w:rFonts w:asciiTheme="minorHAnsi" w:hAnsiTheme="minorHAnsi"/>
          <w:sz w:val="16"/>
        </w:rPr>
        <w:t xml:space="preserve">. </w:t>
      </w:r>
      <w:r w:rsidRPr="008D1160">
        <w:rPr>
          <w:rStyle w:val="StyleUnderline"/>
          <w:rFonts w:asciiTheme="minorHAnsi" w:hAnsiTheme="minorHAnsi"/>
        </w:rPr>
        <w:t>How else can one explain our long record of rationalized interventions brutally crushing other people's quests for freedom and independence? Our civilization's ethos has been rooted in a delusional sense of moral superiority enabling a persistent pursuit of selfish interests. We have been so drunk with greed and power that we are unable to see straight!</w:t>
      </w:r>
      <w:r w:rsidRPr="001444C9">
        <w:rPr>
          <w:rFonts w:asciiTheme="minorHAnsi" w:hAnsiTheme="minorHAnsi"/>
          <w:sz w:val="16"/>
        </w:rPr>
        <w:t xml:space="preserve"> My personal experiences as a military veteran, including "service" in Vietnam, and from traveling to a number of countries studying the nature of U.S. policies has left me in deep anguish, and intense rage, as I have witnessed the resulting carnage caused by those policies. </w:t>
      </w:r>
      <w:r w:rsidRPr="008D1160">
        <w:rPr>
          <w:rStyle w:val="StyleUnderline"/>
          <w:rFonts w:asciiTheme="minorHAnsi" w:hAnsiTheme="minorHAnsi"/>
        </w:rPr>
        <w:t>Are we so insulated from our own personal feelings and those of human solidarity with others that we are numb? Is it possible that we really don't care</w:t>
      </w:r>
      <w:r w:rsidRPr="001444C9">
        <w:rPr>
          <w:rFonts w:asciiTheme="minorHAnsi" w:hAnsiTheme="minorHAnsi"/>
          <w:sz w:val="16"/>
        </w:rPr>
        <w:t>? Is it possible that we are not astute enough to distinguish the lies of our government from the realities on the ground? Perhaps. Or perhaps there is a collective mental illness that arguably reduces our capacity to determine right from wrong. Whatever the diagnosis--whether a product of criminal intent or mental illness--</w:t>
      </w:r>
      <w:r w:rsidRPr="008D1160">
        <w:rPr>
          <w:rStyle w:val="StyleUnderline"/>
          <w:rFonts w:asciiTheme="minorHAnsi" w:hAnsiTheme="minorHAnsi"/>
        </w:rPr>
        <w:t xml:space="preserve">our conduct as a nation poses a severely </w:t>
      </w:r>
      <w:r w:rsidRPr="008D1160">
        <w:rPr>
          <w:rStyle w:val="Emphasis"/>
          <w:rFonts w:asciiTheme="minorHAnsi" w:hAnsiTheme="minorHAnsi"/>
        </w:rPr>
        <w:t>grave, violent threat</w:t>
      </w:r>
      <w:r w:rsidRPr="008D1160">
        <w:rPr>
          <w:rStyle w:val="StyleUnderline"/>
          <w:rFonts w:asciiTheme="minorHAnsi" w:hAnsiTheme="minorHAnsi"/>
        </w:rPr>
        <w:t xml:space="preserve"> to virtually </w:t>
      </w:r>
      <w:r w:rsidRPr="008D1160">
        <w:rPr>
          <w:rStyle w:val="Emphasis"/>
          <w:rFonts w:asciiTheme="minorHAnsi" w:hAnsiTheme="minorHAnsi"/>
        </w:rPr>
        <w:t>all life on the planet</w:t>
      </w:r>
      <w:r w:rsidRPr="001444C9">
        <w:rPr>
          <w:rFonts w:asciiTheme="minorHAnsi" w:hAnsiTheme="minorHAnsi"/>
          <w:sz w:val="16"/>
        </w:rPr>
        <w:t xml:space="preserve">. The world desperately needs the perpetrators of these crimes to be immediately confronted with the nature and consequences of their behavior, and then to be engaged in a profound process of healing. But who will be able to assure the confrontation and initiate the healing? The World Court? A United Nations international peace force? A new international criminal court? Obviously not. The </w:t>
      </w:r>
      <w:r w:rsidRPr="008D1160">
        <w:rPr>
          <w:rStyle w:val="StyleUnderline"/>
          <w:rFonts w:asciiTheme="minorHAnsi" w:hAnsiTheme="minorHAnsi"/>
        </w:rPr>
        <w:t>amount of power exerted by the U.S. government and the corporations it serves is so overwhelming, protected by historically unprecedented destructive military forces, that there are no human-created institutions able to stop this international bully. It has the power to choose the continuation of policies capable of destroying massive amount of life in an instant, and if not checked it seems intent on doing so</w:t>
      </w:r>
      <w:r w:rsidRPr="001444C9">
        <w:rPr>
          <w:rFonts w:asciiTheme="minorHAnsi" w:hAnsiTheme="minorHAnsi"/>
          <w:sz w:val="16"/>
        </w:rPr>
        <w:t xml:space="preserve">. </w:t>
      </w:r>
      <w:r w:rsidRPr="008D1160">
        <w:rPr>
          <w:rStyle w:val="StyleUnderline"/>
          <w:rFonts w:asciiTheme="minorHAnsi" w:hAnsiTheme="minorHAnsi"/>
        </w:rPr>
        <w:t xml:space="preserve">As one examines U.S. policies from Iraq to Mexico to Colombia, from Korea, Vietnam, and Nicaragua to Cuba and Grenada, it is striking how much </w:t>
      </w:r>
      <w:r w:rsidRPr="008D1160">
        <w:rPr>
          <w:rStyle w:val="Emphasis"/>
          <w:rFonts w:asciiTheme="minorHAnsi" w:hAnsiTheme="minorHAnsi"/>
        </w:rPr>
        <w:t>pain, suffering, and death</w:t>
      </w:r>
      <w:r w:rsidRPr="008D1160">
        <w:rPr>
          <w:rStyle w:val="StyleUnderline"/>
          <w:rFonts w:asciiTheme="minorHAnsi" w:hAnsiTheme="minorHAnsi"/>
        </w:rPr>
        <w:t xml:space="preserve"> these policies have caused, and continue to cause. </w:t>
      </w:r>
      <w:r w:rsidRPr="001444C9">
        <w:rPr>
          <w:rFonts w:asciiTheme="minorHAnsi" w:hAnsiTheme="minorHAnsi"/>
          <w:sz w:val="16"/>
        </w:rPr>
        <w:t xml:space="preserve">Similarly, </w:t>
      </w:r>
      <w:r w:rsidRPr="008D1160">
        <w:rPr>
          <w:rStyle w:val="StyleUnderline"/>
          <w:rFonts w:asciiTheme="minorHAnsi" w:hAnsiTheme="minorHAnsi"/>
        </w:rPr>
        <w:t>as one examines the history of domestic policies relating to poor Whites, "Third World" peoples, women, dissidents, and labor organizers, a tremendous amount of suffering is uncovered. How can an allegedly intelligent, caring people, simply observe this pattern of repression and cruelty, being carried out in our name, without revolting?</w:t>
      </w:r>
      <w:r w:rsidRPr="001444C9">
        <w:rPr>
          <w:rFonts w:asciiTheme="minorHAnsi" w:hAnsiTheme="minorHAnsi"/>
          <w:sz w:val="16"/>
        </w:rPr>
        <w:t xml:space="preserve"> </w:t>
      </w:r>
      <w:r w:rsidRPr="008D1160">
        <w:rPr>
          <w:rStyle w:val="StyleUnderline"/>
          <w:rFonts w:asciiTheme="minorHAnsi" w:hAnsiTheme="minorHAnsi"/>
        </w:rPr>
        <w:t xml:space="preserve">The abhorrent </w:t>
      </w:r>
      <w:r w:rsidRPr="008D1160">
        <w:rPr>
          <w:rStyle w:val="Emphasis"/>
          <w:rFonts w:asciiTheme="minorHAnsi" w:hAnsiTheme="minorHAnsi"/>
        </w:rPr>
        <w:t>atrocities</w:t>
      </w:r>
      <w:r w:rsidRPr="008D1160">
        <w:rPr>
          <w:rStyle w:val="StyleUnderline"/>
          <w:rFonts w:asciiTheme="minorHAnsi" w:hAnsiTheme="minorHAnsi"/>
        </w:rPr>
        <w:t xml:space="preserve"> that have been a trademark of U.S. policies worldwide, when seen up close, would cause a normal person to vomit. And yet we hardly blink. Make no mistake. This pattern of malignant human behavior will be stopped, whether or not we intelligently choose to make the necessary changes</w:t>
      </w:r>
      <w:r w:rsidRPr="001444C9">
        <w:rPr>
          <w:rFonts w:asciiTheme="minorHAnsi" w:hAnsiTheme="minorHAnsi"/>
          <w:sz w:val="16"/>
        </w:rPr>
        <w:t xml:space="preserve">. Ultimately, </w:t>
      </w:r>
      <w:r w:rsidRPr="008D1160">
        <w:rPr>
          <w:rStyle w:val="StyleUnderline"/>
          <w:rFonts w:asciiTheme="minorHAnsi" w:hAnsiTheme="minorHAnsi"/>
        </w:rPr>
        <w:t xml:space="preserve">the balancing forces of the universe, and of Gaia, will assure a continuation of the sacred, evolving cosmos that began some 15 billion years ago. The only question is </w:t>
      </w:r>
      <w:r w:rsidRPr="008D1160">
        <w:rPr>
          <w:rStyle w:val="Emphasis"/>
          <w:rFonts w:asciiTheme="minorHAnsi" w:hAnsiTheme="minorHAnsi"/>
        </w:rPr>
        <w:t>whether we as a species</w:t>
      </w:r>
      <w:r w:rsidRPr="001444C9">
        <w:rPr>
          <w:rFonts w:asciiTheme="minorHAnsi" w:hAnsiTheme="minorHAnsi"/>
          <w:sz w:val="16"/>
        </w:rPr>
        <w:t xml:space="preserve">, but 5 million years old, </w:t>
      </w:r>
      <w:r w:rsidRPr="008D1160">
        <w:rPr>
          <w:rStyle w:val="Emphasis"/>
          <w:rFonts w:asciiTheme="minorHAnsi" w:hAnsiTheme="minorHAnsi"/>
        </w:rPr>
        <w:t>will continue to be part of it</w:t>
      </w:r>
      <w:r w:rsidRPr="008D1160">
        <w:rPr>
          <w:rStyle w:val="StyleUnderline"/>
          <w:rFonts w:asciiTheme="minorHAnsi" w:hAnsiTheme="minorHAnsi"/>
        </w:rPr>
        <w:t>.</w:t>
      </w:r>
      <w:r w:rsidRPr="001444C9">
        <w:rPr>
          <w:rFonts w:asciiTheme="minorHAnsi" w:hAnsiTheme="minorHAnsi"/>
          <w:sz w:val="16"/>
        </w:rPr>
        <w:t xml:space="preserve"> Though we are an intrinsic part of that evolution, by virtue of </w:t>
      </w:r>
      <w:r w:rsidRPr="008D1160">
        <w:rPr>
          <w:rStyle w:val="StyleUnderline"/>
          <w:rFonts w:asciiTheme="minorHAnsi" w:hAnsiTheme="minorHAnsi"/>
        </w:rPr>
        <w:t>our</w:t>
      </w:r>
      <w:r w:rsidRPr="001444C9">
        <w:rPr>
          <w:rFonts w:asciiTheme="minorHAnsi" w:hAnsiTheme="minorHAnsi"/>
          <w:sz w:val="16"/>
        </w:rPr>
        <w:t xml:space="preserve"> terribly </w:t>
      </w:r>
      <w:r w:rsidRPr="008D1160">
        <w:rPr>
          <w:rStyle w:val="StyleUnderline"/>
          <w:rFonts w:asciiTheme="minorHAnsi" w:hAnsiTheme="minorHAnsi"/>
        </w:rPr>
        <w:t>misguided</w:t>
      </w:r>
      <w:r w:rsidRPr="001444C9">
        <w:rPr>
          <w:rFonts w:asciiTheme="minorHAnsi" w:hAnsiTheme="minorHAnsi"/>
          <w:sz w:val="16"/>
        </w:rPr>
        <w:t xml:space="preserve"> ill </w:t>
      </w:r>
      <w:r w:rsidRPr="008D1160">
        <w:rPr>
          <w:rStyle w:val="StyleUnderline"/>
          <w:rFonts w:asciiTheme="minorHAnsi" w:hAnsiTheme="minorHAnsi"/>
        </w:rPr>
        <w:t>behavior</w:t>
      </w:r>
      <w:r w:rsidRPr="001444C9">
        <w:rPr>
          <w:rFonts w:asciiTheme="minorHAnsi" w:hAnsiTheme="minorHAnsi"/>
          <w:sz w:val="16"/>
        </w:rPr>
        <w:t xml:space="preserve">, </w:t>
      </w:r>
      <w:r w:rsidRPr="008D1160">
        <w:rPr>
          <w:rStyle w:val="StyleUnderline"/>
          <w:rFonts w:asciiTheme="minorHAnsi" w:hAnsiTheme="minorHAnsi"/>
        </w:rPr>
        <w:t xml:space="preserve">we may be on a short branch leading to </w:t>
      </w:r>
      <w:r w:rsidRPr="008D1160">
        <w:rPr>
          <w:rStyle w:val="Emphasis"/>
          <w:rFonts w:asciiTheme="minorHAnsi" w:hAnsiTheme="minorHAnsi"/>
        </w:rPr>
        <w:t>early extinction</w:t>
      </w:r>
      <w:r w:rsidRPr="008D1160">
        <w:rPr>
          <w:rStyle w:val="StyleUnderline"/>
          <w:rFonts w:asciiTheme="minorHAnsi" w:hAnsiTheme="minorHAnsi"/>
        </w:rPr>
        <w:t>. We may choose to continue to defer to our inflated egos, unwilling to accept humility, unwilling to recognize the wisdom of abiding by the requirements of cooperative living with the sacred interconnected web of life</w:t>
      </w:r>
      <w:r w:rsidRPr="001444C9">
        <w:rPr>
          <w:rFonts w:asciiTheme="minorHAnsi" w:hAnsiTheme="minorHAnsi"/>
          <w:sz w:val="16"/>
        </w:rPr>
        <w:t xml:space="preserve"> that is already imprinted deeply within us since creation. Or we may choose the painful but liberating path of radical healing, away from selfishness and toward wholeness, while seeking unity through diversity. Fortunately, there are a number of people and organizations, within the United States and elsewhere, who do understand this behavior as a chronic, intentional pattern, not as a series of aberrations or mistakes, that must be addressed at both structural and psychological/emotional levels. </w:t>
      </w:r>
      <w:r w:rsidRPr="008D1160">
        <w:rPr>
          <w:rStyle w:val="StyleUnderline"/>
          <w:rFonts w:asciiTheme="minorHAnsi" w:hAnsiTheme="minorHAnsi"/>
        </w:rPr>
        <w:t xml:space="preserve">The emerging popular movement against the cruel policies of globalization is a reminder of the importance of people power. It is this dynamic force of caring people, and only this force, that has the human capacity to make the "arrests"--to stimulate a profound process of national transformation and healing that just might save humanity </w:t>
      </w:r>
      <w:r w:rsidRPr="001444C9">
        <w:rPr>
          <w:rFonts w:asciiTheme="minorHAnsi" w:hAnsiTheme="minorHAnsi"/>
          <w:sz w:val="16"/>
        </w:rPr>
        <w:t xml:space="preserve">from the continued assaults against its own health and the health of the earth upon which it totally depends for survival. </w:t>
      </w:r>
    </w:p>
    <w:p w14:paraId="04EE1FDE" w14:textId="6CD3F372" w:rsidR="00543003" w:rsidRDefault="00543003" w:rsidP="00543003">
      <w:pPr>
        <w:pStyle w:val="Heading4"/>
      </w:pPr>
      <w:r>
        <w:t xml:space="preserve">The 1AC advocates for a genealogical </w:t>
      </w:r>
      <w:r w:rsidR="007D6535">
        <w:t>interrogation</w:t>
      </w:r>
      <w:r>
        <w:t xml:space="preserve"> of intellectual property rights.</w:t>
      </w:r>
    </w:p>
    <w:p w14:paraId="70BFF721" w14:textId="6D015182" w:rsidR="00543003" w:rsidRDefault="007D6535" w:rsidP="00543003">
      <w:pPr>
        <w:pStyle w:val="Heading4"/>
      </w:pPr>
      <w:r>
        <w:t>Genealogy solves—we disrupt understandings of power and undermine their mythos as a one-way relationship</w:t>
      </w:r>
    </w:p>
    <w:p w14:paraId="0F78A135" w14:textId="77777777" w:rsidR="00543003" w:rsidRPr="00F16713" w:rsidRDefault="00543003" w:rsidP="00543003">
      <w:pPr>
        <w:rPr>
          <w:rStyle w:val="Style13ptBold"/>
        </w:rPr>
      </w:pPr>
      <w:r>
        <w:rPr>
          <w:rStyle w:val="Style13ptBold"/>
        </w:rPr>
        <w:t>Pillow ‘3</w:t>
      </w:r>
    </w:p>
    <w:p w14:paraId="21CD173E" w14:textId="77777777" w:rsidR="00543003" w:rsidRDefault="00543003" w:rsidP="00543003">
      <w:r>
        <w:t>Wanda Pillow (2003): 'Bodies are dangerous': using feminist genealogy as policy studies methodology, Journal of Education Policy, 18:2, 145-159</w:t>
      </w:r>
    </w:p>
    <w:p w14:paraId="540166B6" w14:textId="77777777" w:rsidR="00543003" w:rsidRPr="00344219" w:rsidRDefault="00543003" w:rsidP="00543003">
      <w:pPr>
        <w:rPr>
          <w:sz w:val="16"/>
        </w:rPr>
      </w:pPr>
      <w:r w:rsidRPr="00831549">
        <w:rPr>
          <w:sz w:val="16"/>
        </w:rPr>
        <w:t xml:space="preserve">Foucault’s (1984: 83) discussion of </w:t>
      </w:r>
      <w:r w:rsidRPr="000E092E">
        <w:rPr>
          <w:rStyle w:val="StyleUnderline"/>
          <w:highlight w:val="cyan"/>
        </w:rPr>
        <w:t>genealogy is</w:t>
      </w:r>
      <w:r w:rsidRPr="00831549">
        <w:rPr>
          <w:sz w:val="16"/>
        </w:rPr>
        <w:t xml:space="preserve"> as </w:t>
      </w:r>
      <w:r w:rsidRPr="00434A9B">
        <w:rPr>
          <w:rStyle w:val="StyleUnderline"/>
        </w:rPr>
        <w:t>a methodology that is ‘</w:t>
      </w:r>
      <w:r w:rsidRPr="000E092E">
        <w:rPr>
          <w:rStyle w:val="StyleUnderline"/>
          <w:highlight w:val="cyan"/>
        </w:rPr>
        <w:t>grey, meticulous, and patiently documentary.</w:t>
      </w:r>
      <w:r w:rsidRPr="00434A9B">
        <w:rPr>
          <w:rStyle w:val="StyleUnderline"/>
        </w:rPr>
        <w:t xml:space="preserve"> It operates on a field of entangled and confused parchments, on documents that have been scratched over and recopied many times’</w:t>
      </w:r>
      <w:r w:rsidRPr="00831549">
        <w:rPr>
          <w:sz w:val="16"/>
        </w:rPr>
        <w:t xml:space="preserve">. Foucault (1984: 83) also describes genealogy as an analysis of descent, ‘situated within the articulation of the body and history. Its task is to expose a body totally imprinted by history and the processes of history’s destruction of the body’. This historical tracing of descent (and also emergence) is not about a search for origins, but rather </w:t>
      </w:r>
      <w:r w:rsidRPr="000E092E">
        <w:rPr>
          <w:rStyle w:val="StyleUnderline"/>
          <w:highlight w:val="cyan"/>
        </w:rPr>
        <w:t>genealogy accounts for the ‘disparate details, events and accidents</w:t>
      </w:r>
      <w:r w:rsidRPr="009634EB">
        <w:rPr>
          <w:rStyle w:val="StyleUnderline"/>
        </w:rPr>
        <w:t xml:space="preserve"> </w:t>
      </w:r>
      <w:r w:rsidRPr="00831549">
        <w:rPr>
          <w:sz w:val="16"/>
        </w:rPr>
        <w:t>found at any beginning’ (Mahon 1992: 110). Further, historical work traces and locates conditions not only in macro-level structures but in micro-level practices, within bodies. Genealogy as methodology is not counter to Foucault’s discussion of archaeology, which Scheurich (1994) adapted into a new policy studies methodology in his article in this journal. While an archaeological analysis focuses upon an ‘analysis of unconscious rules of formation’ (Mahon 1992: 104) evident in discourses (see Scheurich 1994),</w:t>
      </w:r>
      <w:r w:rsidRPr="009634EB">
        <w:rPr>
          <w:rStyle w:val="StyleUnderline"/>
        </w:rPr>
        <w:t xml:space="preserve"> </w:t>
      </w:r>
      <w:r w:rsidRPr="000E092E">
        <w:rPr>
          <w:rStyle w:val="StyleUnderline"/>
          <w:highlight w:val="cyan"/>
        </w:rPr>
        <w:t>genealogy, reveals ‘the historical conditions of existence’</w:t>
      </w:r>
      <w:r w:rsidRPr="009634EB">
        <w:rPr>
          <w:rStyle w:val="StyleUnderline"/>
        </w:rPr>
        <w:t xml:space="preserve"> </w:t>
      </w:r>
      <w:r w:rsidRPr="000E092E">
        <w:rPr>
          <w:rStyle w:val="StyleUnderline"/>
          <w:highlight w:val="cyan"/>
        </w:rPr>
        <w:t>and is concerned with ‘technologies of power embodied in social practices’</w:t>
      </w:r>
      <w:r w:rsidRPr="009634EB">
        <w:rPr>
          <w:rStyle w:val="StyleUnderline"/>
        </w:rPr>
        <w:t xml:space="preserve"> </w:t>
      </w:r>
      <w:r w:rsidRPr="00831549">
        <w:rPr>
          <w:sz w:val="16"/>
        </w:rPr>
        <w:t xml:space="preserve">(Mahon 1992: 104). A genealogical analysis may engage in ‘an archaeological analysis of discursive rules’ while focused upon as Foucault states ‘how those discursive events have determined in a certain way what constitutes our present and constitutes ourselves ^ either our knowledge, our practices, our type of rationality, our relationship to ourselves or to others. . .’ (Mahon 1992: 105). Similarly, my use and reformulation of Foucault’s genealogy builds from Scheurich’s work on archaeology as discursive policy studies methodology. Thus, specifically, </w:t>
      </w:r>
      <w:r w:rsidRPr="000E092E">
        <w:rPr>
          <w:rStyle w:val="StyleUnderline"/>
          <w:highlight w:val="cyan"/>
        </w:rPr>
        <w:t>genealogy</w:t>
      </w:r>
      <w:r w:rsidRPr="00B80C33">
        <w:rPr>
          <w:rStyle w:val="StyleUnderline"/>
        </w:rPr>
        <w:t xml:space="preserve"> as policy studies methodology </w:t>
      </w:r>
      <w:r w:rsidRPr="000E092E">
        <w:rPr>
          <w:rStyle w:val="StyleUnderline"/>
          <w:highlight w:val="cyan"/>
        </w:rPr>
        <w:t>offers</w:t>
      </w:r>
      <w:r w:rsidRPr="00B80C33">
        <w:rPr>
          <w:rStyle w:val="StyleUnderline"/>
        </w:rPr>
        <w:t xml:space="preserve"> </w:t>
      </w:r>
      <w:r w:rsidRPr="000E092E">
        <w:rPr>
          <w:rStyle w:val="StyleUnderline"/>
          <w:highlight w:val="cyan"/>
        </w:rPr>
        <w:t>not only an analysis and critique of the policy problem</w:t>
      </w:r>
      <w:r w:rsidRPr="00B80C33">
        <w:rPr>
          <w:rStyle w:val="StyleUnderline"/>
        </w:rPr>
        <w:t xml:space="preserve"> at issue, </w:t>
      </w:r>
      <w:r w:rsidRPr="000E092E">
        <w:rPr>
          <w:rStyle w:val="StyleUnderline"/>
          <w:highlight w:val="cyan"/>
        </w:rPr>
        <w:t>but also an on-going</w:t>
      </w:r>
      <w:r w:rsidRPr="00B80C33">
        <w:rPr>
          <w:rStyle w:val="StyleUnderline"/>
        </w:rPr>
        <w:t xml:space="preserve"> analysis and </w:t>
      </w:r>
      <w:r w:rsidRPr="000E092E">
        <w:rPr>
          <w:rStyle w:val="StyleUnderline"/>
          <w:highlight w:val="cyan"/>
        </w:rPr>
        <w:t>critique of</w:t>
      </w:r>
      <w:r w:rsidRPr="00B80C33">
        <w:rPr>
          <w:rStyle w:val="StyleUnderline"/>
        </w:rPr>
        <w:t xml:space="preserve"> the arena of </w:t>
      </w:r>
      <w:r w:rsidRPr="000E092E">
        <w:rPr>
          <w:rStyle w:val="StyleUnderline"/>
          <w:highlight w:val="cyan"/>
        </w:rPr>
        <w:t>policy studies itself</w:t>
      </w:r>
      <w:r w:rsidRPr="00B80C33">
        <w:rPr>
          <w:rStyle w:val="StyleUnderline"/>
        </w:rPr>
        <w:t>.</w:t>
      </w:r>
      <w:r w:rsidRPr="00831549">
        <w:rPr>
          <w:sz w:val="16"/>
        </w:rPr>
        <w:t xml:space="preserve"> Genealogy specifically challenges policy studies to rethink itself, and its subjects, across four axis: power, truth, rationality and subjectivity. </w:t>
      </w:r>
      <w:r w:rsidRPr="00B80C33">
        <w:rPr>
          <w:rStyle w:val="StyleUnderline"/>
        </w:rPr>
        <w:t xml:space="preserve">Foucault’s reformulation of power under </w:t>
      </w:r>
      <w:r w:rsidRPr="000E092E">
        <w:rPr>
          <w:rStyle w:val="StyleUnderline"/>
          <w:highlight w:val="cyan"/>
        </w:rPr>
        <w:t>genealogy disrupts understandings of power as one-way relationships</w:t>
      </w:r>
      <w:r w:rsidRPr="00831549">
        <w:rPr>
          <w:sz w:val="16"/>
        </w:rPr>
        <w:t xml:space="preserve"> and locates power in bodies. Further</w:t>
      </w:r>
      <w:r w:rsidRPr="00B80C33">
        <w:rPr>
          <w:rStyle w:val="StyleUnderline"/>
        </w:rPr>
        <w:t xml:space="preserve">, genealogical analysis is suspicious of truth claims based upon assumed rationality and disputes understandings of subjects as singular, easily identifiable, linear subjects. </w:t>
      </w:r>
      <w:r w:rsidRPr="000E092E">
        <w:rPr>
          <w:rStyle w:val="StyleUnderline"/>
          <w:highlight w:val="cyan"/>
        </w:rPr>
        <w:t>Genealogy works to interrupt</w:t>
      </w:r>
      <w:r w:rsidRPr="00B80C33">
        <w:rPr>
          <w:rStyle w:val="StyleUnderline"/>
        </w:rPr>
        <w:t xml:space="preserve"> the common trend of commentary supporting ‘</w:t>
      </w:r>
      <w:r w:rsidRPr="000E092E">
        <w:rPr>
          <w:rStyle w:val="StyleUnderline"/>
          <w:highlight w:val="cyan"/>
        </w:rPr>
        <w:t>tidy generalities’</w:t>
      </w:r>
      <w:r w:rsidRPr="00B80C33">
        <w:rPr>
          <w:rStyle w:val="StyleUnderline"/>
        </w:rPr>
        <w:t xml:space="preserve"> while ignoring ‘messy realities’ in policy studies</w:t>
      </w:r>
      <w:r w:rsidRPr="00831549">
        <w:rPr>
          <w:sz w:val="16"/>
        </w:rPr>
        <w:t xml:space="preserve"> (Ball 1990: 9). </w:t>
      </w:r>
      <w:r w:rsidRPr="00B80C33">
        <w:rPr>
          <w:rStyle w:val="StyleUnderline"/>
        </w:rPr>
        <w:t>Feminist genealogy</w:t>
      </w:r>
      <w:r w:rsidRPr="00831549">
        <w:rPr>
          <w:sz w:val="16"/>
        </w:rPr>
        <w:t xml:space="preserve"> </w:t>
      </w:r>
      <w:r w:rsidRPr="00B80C33">
        <w:rPr>
          <w:rStyle w:val="StyleUnderline"/>
        </w:rPr>
        <w:t>builds from Foucault’s work by focusing analysis upon historically and culturally situated decision-making, with particular attention to how gender, race and class shape in this case the policy process</w:t>
      </w:r>
      <w:r w:rsidRPr="00831549">
        <w:rPr>
          <w:sz w:val="16"/>
        </w:rPr>
        <w:t xml:space="preserve">. </w:t>
      </w:r>
      <w:r w:rsidRPr="000E092E">
        <w:rPr>
          <w:rStyle w:val="StyleUnderline"/>
          <w:highlight w:val="cyan"/>
        </w:rPr>
        <w:t>Feminist genealogy pays explicit attention to ‘messy realities’ and questions that which seems the most natural, the most hegemonic</w:t>
      </w:r>
      <w:r w:rsidRPr="006948DD">
        <w:rPr>
          <w:rStyle w:val="StyleUnderline"/>
        </w:rPr>
        <w:t xml:space="preserve">, thus </w:t>
      </w:r>
      <w:r w:rsidRPr="000E092E">
        <w:rPr>
          <w:rStyle w:val="StyleUnderline"/>
          <w:highlight w:val="cyan"/>
        </w:rPr>
        <w:t>providing an ongoing critique</w:t>
      </w:r>
      <w:r w:rsidRPr="006948DD">
        <w:rPr>
          <w:rStyle w:val="StyleUnderline"/>
        </w:rPr>
        <w:t xml:space="preserve"> and questioning </w:t>
      </w:r>
      <w:r w:rsidRPr="000E092E">
        <w:rPr>
          <w:rStyle w:val="StyleUnderline"/>
          <w:highlight w:val="cyan"/>
        </w:rPr>
        <w:t>of</w:t>
      </w:r>
      <w:r w:rsidRPr="006948DD">
        <w:rPr>
          <w:rStyle w:val="StyleUnderline"/>
        </w:rPr>
        <w:t xml:space="preserve"> discourses (re)inscribing </w:t>
      </w:r>
      <w:r w:rsidRPr="000E092E">
        <w:rPr>
          <w:rStyle w:val="StyleUnderline"/>
          <w:highlight w:val="cyan"/>
        </w:rPr>
        <w:t>power, body, knowledge relationships</w:t>
      </w:r>
      <w:r w:rsidRPr="00831549">
        <w:rPr>
          <w:sz w:val="16"/>
        </w:rPr>
        <w:t xml:space="preserve">. Influenced by Foucault’s use and description of genealogy, this work turns repeatedly to the body and theories of the body to interrupt normative practices, unmask liberatory discourses, displace binaries and resist hierarchical arguments. However, a feminist genealogy is also immersed in the work of race-feminist theorists leading to a commitment to conduct analysis in such a way that the ‘agency’ of teen parents, while troubled, is not silenced. Thus, </w:t>
      </w:r>
      <w:r w:rsidRPr="006948DD">
        <w:rPr>
          <w:rStyle w:val="StyleUnderline"/>
        </w:rPr>
        <w:t xml:space="preserve">the analysis utilized in </w:t>
      </w:r>
      <w:r w:rsidRPr="000E092E">
        <w:rPr>
          <w:rStyle w:val="StyleUnderline"/>
          <w:highlight w:val="cyan"/>
        </w:rPr>
        <w:t>feminist genealogy is not simply resistant, but is meticulous in its search for the discursive strategies of power as they are camouflaged in</w:t>
      </w:r>
      <w:r w:rsidRPr="006948DD">
        <w:rPr>
          <w:rStyle w:val="StyleUnderline"/>
        </w:rPr>
        <w:t xml:space="preserve"> the assumptive discourses and </w:t>
      </w:r>
      <w:r w:rsidRPr="000E092E">
        <w:rPr>
          <w:rStyle w:val="StyleUnderline"/>
          <w:highlight w:val="cyan"/>
        </w:rPr>
        <w:t>practices of policy theory, implementation and evaluation</w:t>
      </w:r>
      <w:r w:rsidRPr="00831549">
        <w:rPr>
          <w:sz w:val="16"/>
        </w:rPr>
        <w:t>. A feminist genealogy further explores how these discourses are articulated, regulated, incorporated and resisted in programme discourses, classrooms, architecture, bodies and discourses of the self.</w:t>
      </w:r>
    </w:p>
    <w:p w14:paraId="6B84C5A1" w14:textId="3AE78AB8" w:rsidR="007D6535" w:rsidRPr="00F46FF4" w:rsidRDefault="007D6535" w:rsidP="007D6535">
      <w:pPr>
        <w:pStyle w:val="Heading4"/>
        <w:rPr>
          <w:rFonts w:eastAsia="Times New Roman"/>
        </w:rPr>
      </w:pPr>
      <w:r>
        <w:rPr>
          <w:rFonts w:eastAsia="Times New Roman"/>
        </w:rPr>
        <w:t>Modern movements prove change is possible—biocapitalism sows the seeds of its own destruction—we illuminate cracks in the edifice key to the system’s crumbling</w:t>
      </w:r>
    </w:p>
    <w:p w14:paraId="5F9EA51A" w14:textId="77777777" w:rsidR="007D6535" w:rsidRPr="006A4805" w:rsidRDefault="007D6535" w:rsidP="007D6535">
      <w:pPr>
        <w:rPr>
          <w:rFonts w:eastAsia="Calibri"/>
        </w:rPr>
      </w:pPr>
      <w:r w:rsidRPr="00292282">
        <w:rPr>
          <w:rStyle w:val="Style13ptBold"/>
        </w:rPr>
        <w:t>Murray 20</w:t>
      </w:r>
      <w:r w:rsidRPr="006A4805">
        <w:rPr>
          <w:rFonts w:eastAsia="Calibri"/>
        </w:rPr>
        <w:t>-[Andy Murray is a sociologist and scholar of science and technology studies who focuses on the relationships between emerging biotechnologies, ethics, and social justice. He received his PhD in Sociology from the University of California, Santa Cruz, “Biologics of Resistance: The Open Insulin Project and the Promise of Antibiocapital”, UC Santa Cruz Dissertations and Theses, September 2020, https://www.proquest.com/docview/2459622364?fromopenview=true&amp;pq-origsite=gscholar&amp;sourcetype=Dissertations%20&amp;%20Theses] NA</w:t>
      </w:r>
    </w:p>
    <w:p w14:paraId="6430BAC6" w14:textId="77777777" w:rsidR="007D6535" w:rsidRPr="00292282" w:rsidRDefault="007D6535" w:rsidP="007D6535">
      <w:pPr>
        <w:rPr>
          <w:rFonts w:eastAsia="Calibri"/>
          <w:sz w:val="16"/>
        </w:rPr>
      </w:pPr>
      <w:r w:rsidRPr="00292282">
        <w:rPr>
          <w:rFonts w:eastAsia="Calibri"/>
          <w:sz w:val="16"/>
        </w:rPr>
        <w:t xml:space="preserve">In one of the earliest uses of the portmanteau biocapital, Sarah Franklin (2003) described the emergence of “ethical biocapital.” Thinking in the context of reproductive technologies and the fraught terrain of stem cell research, Franklin described ethical biocapital as a commodity form, a type of innovation, and a market strategy in which “concerns about public opinion are literally being built into biological life forms” (2003:98). </w:t>
      </w:r>
      <w:r w:rsidRPr="00292282">
        <w:rPr>
          <w:rFonts w:eastAsia="Calibri"/>
          <w:u w:val="single"/>
        </w:rPr>
        <w:t xml:space="preserve">Since Franklin’s writing, theorizations of biocapital—succinctly defined as the shift toward the commodification and marketization of the life sciences since about 1980 (see Sunder Rajan 2006)—have proliferated in the social sciences (see Helmreich 2008). Theorists of biocapital call attention to the ways in which </w:t>
      </w:r>
      <w:r w:rsidRPr="000E092E">
        <w:rPr>
          <w:rFonts w:eastAsia="Calibri"/>
          <w:highlight w:val="cyan"/>
          <w:u w:val="single"/>
        </w:rPr>
        <w:t>life</w:t>
      </w:r>
      <w:r w:rsidRPr="00292282">
        <w:rPr>
          <w:rFonts w:eastAsia="Calibri"/>
          <w:u w:val="single"/>
        </w:rPr>
        <w:t xml:space="preserve"> itself </w:t>
      </w:r>
      <w:r w:rsidRPr="000E092E">
        <w:rPr>
          <w:rFonts w:eastAsia="Calibri"/>
          <w:highlight w:val="cyan"/>
          <w:u w:val="single"/>
        </w:rPr>
        <w:t>is increasingly subject</w:t>
      </w:r>
      <w:r w:rsidRPr="00292282">
        <w:rPr>
          <w:rFonts w:eastAsia="Calibri"/>
          <w:u w:val="single"/>
        </w:rPr>
        <w:t xml:space="preserve"> </w:t>
      </w:r>
      <w:r w:rsidRPr="000E092E">
        <w:rPr>
          <w:rFonts w:eastAsia="Calibri"/>
          <w:highlight w:val="cyan"/>
          <w:u w:val="single"/>
        </w:rPr>
        <w:t>to</w:t>
      </w:r>
      <w:r w:rsidRPr="00292282">
        <w:rPr>
          <w:rFonts w:eastAsia="Calibri"/>
          <w:u w:val="single"/>
        </w:rPr>
        <w:t xml:space="preserve"> the demands of </w:t>
      </w:r>
      <w:r w:rsidRPr="000E092E">
        <w:rPr>
          <w:rFonts w:eastAsia="Calibri"/>
          <w:highlight w:val="cyan"/>
          <w:u w:val="single"/>
        </w:rPr>
        <w:t>profit</w:t>
      </w:r>
      <w:r w:rsidRPr="00292282">
        <w:rPr>
          <w:rFonts w:eastAsia="Calibri"/>
          <w:u w:val="single"/>
        </w:rPr>
        <w:t>-seeking enterprise.</w:t>
      </w:r>
      <w:r w:rsidRPr="00292282">
        <w:rPr>
          <w:rFonts w:eastAsia="Calibri"/>
          <w:sz w:val="16"/>
        </w:rPr>
        <w:t xml:space="preserve"> Franklin’s early contribution was to identify how the </w:t>
      </w:r>
      <w:r w:rsidRPr="00292282">
        <w:rPr>
          <w:rFonts w:eastAsia="Calibri"/>
          <w:u w:val="single"/>
        </w:rPr>
        <w:t xml:space="preserve">complex </w:t>
      </w:r>
      <w:r w:rsidRPr="000E092E">
        <w:rPr>
          <w:rFonts w:eastAsia="Calibri"/>
          <w:highlight w:val="cyan"/>
          <w:u w:val="single"/>
        </w:rPr>
        <w:t>ethics</w:t>
      </w:r>
      <w:r w:rsidRPr="00292282">
        <w:rPr>
          <w:rFonts w:eastAsia="Calibri"/>
          <w:u w:val="single"/>
        </w:rPr>
        <w:t xml:space="preserve"> and values </w:t>
      </w:r>
      <w:r w:rsidRPr="000E092E">
        <w:rPr>
          <w:rFonts w:eastAsia="Calibri"/>
          <w:highlight w:val="cyan"/>
          <w:u w:val="single"/>
        </w:rPr>
        <w:t>surrounding</w:t>
      </w:r>
      <w:r w:rsidRPr="00292282">
        <w:rPr>
          <w:rFonts w:eastAsia="Calibri"/>
          <w:u w:val="single"/>
        </w:rPr>
        <w:t xml:space="preserve"> the stuff of </w:t>
      </w:r>
      <w:r w:rsidRPr="000E092E">
        <w:rPr>
          <w:rFonts w:eastAsia="Calibri"/>
          <w:highlight w:val="cyan"/>
          <w:u w:val="single"/>
        </w:rPr>
        <w:t>life are also</w:t>
      </w:r>
      <w:r w:rsidRPr="00292282">
        <w:rPr>
          <w:rFonts w:eastAsia="Calibri"/>
          <w:u w:val="single"/>
        </w:rPr>
        <w:t xml:space="preserve"> </w:t>
      </w:r>
      <w:r w:rsidRPr="000E092E">
        <w:rPr>
          <w:rFonts w:eastAsia="Calibri"/>
          <w:highlight w:val="cyan"/>
          <w:u w:val="single"/>
        </w:rPr>
        <w:t>subject to commodification</w:t>
      </w:r>
      <w:r w:rsidRPr="00292282">
        <w:rPr>
          <w:rFonts w:eastAsia="Calibri"/>
          <w:u w:val="single"/>
        </w:rPr>
        <w:t xml:space="preserve">. </w:t>
      </w:r>
      <w:r w:rsidRPr="000E092E">
        <w:rPr>
          <w:rFonts w:eastAsia="Calibri"/>
          <w:highlight w:val="cyan"/>
          <w:u w:val="single"/>
        </w:rPr>
        <w:t>Widespread objections</w:t>
      </w:r>
      <w:r w:rsidRPr="00292282">
        <w:rPr>
          <w:rFonts w:eastAsia="Calibri"/>
          <w:u w:val="single"/>
        </w:rPr>
        <w:t xml:space="preserve"> to certain ways of handling biological materials—for example, human embryos or seed crops (see Schurman and Kelso 2003)—had </w:t>
      </w:r>
      <w:r w:rsidRPr="000E092E">
        <w:rPr>
          <w:rFonts w:eastAsia="Calibri"/>
          <w:highlight w:val="cyan"/>
          <w:u w:val="single"/>
        </w:rPr>
        <w:t>constituted cultural</w:t>
      </w:r>
      <w:r w:rsidRPr="00292282">
        <w:rPr>
          <w:rFonts w:eastAsia="Calibri"/>
          <w:u w:val="single"/>
        </w:rPr>
        <w:t xml:space="preserve"> </w:t>
      </w:r>
      <w:r w:rsidRPr="000E092E">
        <w:rPr>
          <w:rFonts w:eastAsia="Calibri"/>
          <w:highlight w:val="cyan"/>
          <w:u w:val="single"/>
        </w:rPr>
        <w:t>obstacles to biological commodification</w:t>
      </w:r>
      <w:r w:rsidRPr="00292282">
        <w:rPr>
          <w:rFonts w:eastAsia="Calibri"/>
          <w:u w:val="single"/>
        </w:rPr>
        <w:t xml:space="preserve">. </w:t>
      </w:r>
      <w:r w:rsidRPr="000E092E">
        <w:rPr>
          <w:rFonts w:eastAsia="Calibri"/>
          <w:highlight w:val="cyan"/>
          <w:u w:val="single"/>
        </w:rPr>
        <w:t>The response</w:t>
      </w:r>
      <w:r w:rsidRPr="00292282">
        <w:rPr>
          <w:rFonts w:eastAsia="Calibri"/>
          <w:u w:val="single"/>
        </w:rPr>
        <w:t xml:space="preserve">, Franklin suggested, </w:t>
      </w:r>
      <w:r w:rsidRPr="000E092E">
        <w:rPr>
          <w:rFonts w:eastAsia="Calibri"/>
          <w:highlight w:val="cyan"/>
          <w:u w:val="single"/>
        </w:rPr>
        <w:t>was</w:t>
      </w:r>
      <w:r w:rsidRPr="00292282">
        <w:rPr>
          <w:rFonts w:eastAsia="Calibri"/>
          <w:u w:val="single"/>
        </w:rPr>
        <w:t xml:space="preserve"> to anticipate and incorporate ethics into the biotechnological materials themselves</w:t>
      </w:r>
      <w:r w:rsidRPr="00292282">
        <w:rPr>
          <w:rFonts w:eastAsia="Calibri"/>
          <w:sz w:val="16"/>
        </w:rPr>
        <w:t xml:space="preserve">, such as by engineering ways around the use of embryonic stem cells. In this and other theorizations, the transition to biocapital appears as progressive, inevitable, and overdetermined (Sunder 31 Rajan 2006), capable of leveraging increasingly sophisticated biological control to transform would-be obstacles into new opportunities for accumulation. These obstacles could be ethical or cultural, as in Franklin’s example, or they could arise from the nature of biomaterials themselves (see Boyd, Prudham, and Schurman 2001). While biology was not inherently suited to commodification, an increasingly sophisticated array of engineering techniques capitalized on biology by reshaping biomatter itself. In one sense, Open Insulin fell in line with Franklin’s characterization of ethical biocapital: the Project’s members built ethics into bioengineering. In another important sense, however, Open Insulin was different. Rather than ethical concerns about playing god, </w:t>
      </w:r>
      <w:r w:rsidRPr="00292282">
        <w:rPr>
          <w:rFonts w:eastAsia="Calibri"/>
          <w:u w:val="single"/>
        </w:rPr>
        <w:t xml:space="preserve">Open Insulin members objected to capitalism itself, and especially to biocapitalism,8 positioning themselves as </w:t>
      </w:r>
      <w:r w:rsidRPr="000E092E">
        <w:rPr>
          <w:rFonts w:eastAsia="Calibri"/>
          <w:highlight w:val="cyan"/>
          <w:u w:val="single"/>
        </w:rPr>
        <w:t>a movement of resistance to the commodification</w:t>
      </w:r>
      <w:r w:rsidRPr="00292282">
        <w:rPr>
          <w:rFonts w:eastAsia="Calibri"/>
          <w:u w:val="single"/>
        </w:rPr>
        <w:t xml:space="preserve"> </w:t>
      </w:r>
      <w:r w:rsidRPr="000E092E">
        <w:rPr>
          <w:rFonts w:eastAsia="Calibri"/>
          <w:highlight w:val="cyan"/>
          <w:u w:val="single"/>
        </w:rPr>
        <w:t>of</w:t>
      </w:r>
      <w:r w:rsidRPr="00292282">
        <w:rPr>
          <w:rFonts w:eastAsia="Calibri"/>
          <w:u w:val="single"/>
        </w:rPr>
        <w:t xml:space="preserve"> a </w:t>
      </w:r>
      <w:r w:rsidRPr="000E092E">
        <w:rPr>
          <w:rFonts w:eastAsia="Calibri"/>
          <w:highlight w:val="cyan"/>
          <w:u w:val="single"/>
        </w:rPr>
        <w:t>life</w:t>
      </w:r>
      <w:r w:rsidRPr="00292282">
        <w:rPr>
          <w:rFonts w:eastAsia="Calibri"/>
          <w:u w:val="single"/>
        </w:rPr>
        <w:t xml:space="preserve">-saving medication. They objected to what they described as an “oligopoly,” a “cartel,” or simply, “Big Pharma.” Their approach was not to anticipate and insulate themselves against consumer backlash. Rather, their bioengineering efforts were </w:t>
      </w:r>
      <w:r w:rsidRPr="000E092E">
        <w:rPr>
          <w:rFonts w:eastAsia="Calibri"/>
          <w:highlight w:val="cyan"/>
          <w:u w:val="single"/>
        </w:rPr>
        <w:t>backlash</w:t>
      </w:r>
      <w:r w:rsidRPr="00292282">
        <w:rPr>
          <w:rFonts w:eastAsia="Calibri"/>
          <w:u w:val="single"/>
        </w:rPr>
        <w:t xml:space="preserve"> </w:t>
      </w:r>
      <w:r w:rsidRPr="000E092E">
        <w:rPr>
          <w:rFonts w:eastAsia="Calibri"/>
          <w:highlight w:val="cyan"/>
          <w:u w:val="single"/>
        </w:rPr>
        <w:t>made manifest</w:t>
      </w:r>
      <w:r w:rsidRPr="00292282">
        <w:rPr>
          <w:rFonts w:eastAsia="Calibri"/>
          <w:u w:val="single"/>
        </w:rPr>
        <w:t xml:space="preserve"> </w:t>
      </w:r>
      <w:r w:rsidRPr="000E092E">
        <w:rPr>
          <w:rFonts w:eastAsia="Calibri"/>
          <w:highlight w:val="cyan"/>
          <w:u w:val="single"/>
        </w:rPr>
        <w:t>as the materialized objections of an</w:t>
      </w:r>
      <w:r w:rsidRPr="00292282">
        <w:rPr>
          <w:rFonts w:eastAsia="Calibri"/>
          <w:u w:val="single"/>
        </w:rPr>
        <w:t xml:space="preserve"> </w:t>
      </w:r>
      <w:r w:rsidRPr="000E092E">
        <w:rPr>
          <w:rFonts w:eastAsia="Calibri"/>
          <w:highlight w:val="cyan"/>
          <w:u w:val="single"/>
        </w:rPr>
        <w:t xml:space="preserve">empowered </w:t>
      </w:r>
      <w:r w:rsidRPr="00292282">
        <w:rPr>
          <w:rFonts w:eastAsia="Calibri"/>
          <w:u w:val="single"/>
        </w:rPr>
        <w:t xml:space="preserve">biotechnological </w:t>
      </w:r>
      <w:r w:rsidRPr="000E092E">
        <w:rPr>
          <w:rFonts w:eastAsia="Calibri"/>
          <w:highlight w:val="cyan"/>
          <w:u w:val="single"/>
        </w:rPr>
        <w:t>citizenry</w:t>
      </w:r>
      <w:r w:rsidRPr="00292282">
        <w:rPr>
          <w:rFonts w:eastAsia="Calibri"/>
          <w:sz w:val="16"/>
        </w:rPr>
        <w:t xml:space="preserve">. Open Insulin was less “ethical biocapital” than 8 This is my reading of Open Insulin Project members’ politics, as they did not engage the social science literature on biocapital themselves. Most members of Open Insulin did, however, identify the Project as more broadly anticapitalist. This chapter tells the story, from the vantage of a participant-observer, of the conditions and possibility for the emergence of such a project. This account tends toward the hope and optimism that Open Insulin members, associates, and supporters held for their project and for the future of biotechnology and medicine. It does so in the service of understanding what a project like Open Insulin represents, why it emerged when and where it did, and whether the stage might be set for the emergence of similar efforts. The next few chapters will put this optimism to the test and examine what happened when the Open Insulin Project moved from concept to concrete practice. This trajectory roughly mirrors both the history of Open Insulin as it grew and developed and the course of a new member’s induction into the Project, like the one I went through as I first learned about the Open Insulin Project and began to regularly attend and participate in its meetings. </w:t>
      </w:r>
      <w:r w:rsidRPr="00292282">
        <w:rPr>
          <w:rFonts w:eastAsia="Calibri"/>
          <w:u w:val="single"/>
        </w:rPr>
        <w:t xml:space="preserve">Crucially, </w:t>
      </w:r>
      <w:r w:rsidRPr="000E092E">
        <w:rPr>
          <w:rFonts w:eastAsia="Calibri"/>
          <w:highlight w:val="cyan"/>
          <w:u w:val="single"/>
        </w:rPr>
        <w:t xml:space="preserve">biocapitalism itself created </w:t>
      </w:r>
      <w:r w:rsidRPr="00292282">
        <w:rPr>
          <w:rFonts w:eastAsia="Calibri"/>
          <w:u w:val="single"/>
        </w:rPr>
        <w:t xml:space="preserve">the </w:t>
      </w:r>
      <w:r w:rsidRPr="000E092E">
        <w:rPr>
          <w:rFonts w:eastAsia="Calibri"/>
          <w:highlight w:val="cyan"/>
          <w:u w:val="single"/>
        </w:rPr>
        <w:t>conditions</w:t>
      </w:r>
      <w:r w:rsidRPr="00292282">
        <w:rPr>
          <w:rFonts w:eastAsia="Calibri"/>
          <w:u w:val="single"/>
        </w:rPr>
        <w:t xml:space="preserve"> </w:t>
      </w:r>
      <w:r w:rsidRPr="000E092E">
        <w:rPr>
          <w:rFonts w:eastAsia="Calibri"/>
          <w:highlight w:val="cyan"/>
          <w:u w:val="single"/>
        </w:rPr>
        <w:t>of</w:t>
      </w:r>
      <w:r w:rsidRPr="00292282">
        <w:rPr>
          <w:rFonts w:eastAsia="Calibri"/>
          <w:u w:val="single"/>
        </w:rPr>
        <w:t xml:space="preserve"> </w:t>
      </w:r>
      <w:r w:rsidRPr="000E092E">
        <w:rPr>
          <w:rFonts w:eastAsia="Calibri"/>
          <w:highlight w:val="cyan"/>
          <w:u w:val="single"/>
        </w:rPr>
        <w:t>possibility</w:t>
      </w:r>
      <w:r w:rsidRPr="00292282">
        <w:rPr>
          <w:rFonts w:eastAsia="Calibri"/>
          <w:u w:val="single"/>
        </w:rPr>
        <w:t xml:space="preserve"> for Open Insulin. These </w:t>
      </w:r>
      <w:r w:rsidRPr="000E092E">
        <w:rPr>
          <w:rFonts w:eastAsia="Calibri"/>
          <w:highlight w:val="cyan"/>
          <w:u w:val="single"/>
        </w:rPr>
        <w:t>conditions</w:t>
      </w:r>
      <w:r w:rsidRPr="00292282">
        <w:rPr>
          <w:rFonts w:eastAsia="Calibri"/>
          <w:u w:val="single"/>
        </w:rPr>
        <w:t xml:space="preserve"> were </w:t>
      </w:r>
      <w:r w:rsidRPr="000E092E">
        <w:rPr>
          <w:rFonts w:eastAsia="Calibri"/>
          <w:highlight w:val="cyan"/>
          <w:u w:val="single"/>
        </w:rPr>
        <w:t>characterized by</w:t>
      </w:r>
      <w:r w:rsidRPr="00292282">
        <w:rPr>
          <w:rFonts w:eastAsia="Calibri"/>
          <w:u w:val="single"/>
        </w:rPr>
        <w:t xml:space="preserve"> several different developments at the intersections of biology and capital, especially as they converged in areas of biotechnological concentration like the San Francisco Bay Area. These convergent developments included: the development of a biotechnological industry characterized by </w:t>
      </w:r>
      <w:r w:rsidRPr="000E092E">
        <w:rPr>
          <w:rFonts w:eastAsia="Calibri"/>
          <w:highlight w:val="cyan"/>
          <w:u w:val="single"/>
        </w:rPr>
        <w:t>hope and promise</w:t>
      </w:r>
      <w:r w:rsidRPr="00292282">
        <w:rPr>
          <w:rFonts w:eastAsia="Calibri"/>
          <w:u w:val="single"/>
        </w:rPr>
        <w:t xml:space="preserve">, speculative </w:t>
      </w:r>
      <w:r w:rsidRPr="000E092E">
        <w:rPr>
          <w:rFonts w:eastAsia="Calibri"/>
          <w:highlight w:val="cyan"/>
          <w:u w:val="single"/>
        </w:rPr>
        <w:t>investment</w:t>
      </w:r>
      <w:r w:rsidRPr="00292282">
        <w:rPr>
          <w:rFonts w:eastAsia="Calibri"/>
          <w:u w:val="single"/>
        </w:rPr>
        <w:t xml:space="preserve">, </w:t>
      </w:r>
      <w:r w:rsidRPr="000E092E">
        <w:rPr>
          <w:rFonts w:eastAsia="Calibri"/>
          <w:highlight w:val="cyan"/>
          <w:u w:val="single"/>
        </w:rPr>
        <w:t>volatility</w:t>
      </w:r>
      <w:r w:rsidRPr="00292282">
        <w:rPr>
          <w:rFonts w:eastAsia="Calibri"/>
          <w:u w:val="single"/>
        </w:rPr>
        <w:t xml:space="preserve">, </w:t>
      </w:r>
      <w:r w:rsidRPr="000E092E">
        <w:rPr>
          <w:rFonts w:eastAsia="Calibri"/>
          <w:highlight w:val="cyan"/>
          <w:u w:val="single"/>
        </w:rPr>
        <w:t>and</w:t>
      </w:r>
      <w:r w:rsidRPr="00292282">
        <w:rPr>
          <w:rFonts w:eastAsia="Calibri"/>
          <w:u w:val="single"/>
        </w:rPr>
        <w:t xml:space="preserve"> a focus on </w:t>
      </w:r>
      <w:r w:rsidRPr="000E092E">
        <w:rPr>
          <w:rFonts w:eastAsia="Calibri"/>
          <w:highlight w:val="cyan"/>
          <w:u w:val="single"/>
        </w:rPr>
        <w:t>intellectual property</w:t>
      </w:r>
      <w:r w:rsidRPr="00292282">
        <w:rPr>
          <w:rFonts w:eastAsia="Calibri"/>
          <w:u w:val="single"/>
        </w:rPr>
        <w:t xml:space="preserve"> (Thompson 2005; 33 Sunder Rajan 2006; Fortun 2008; Birch 2017); the emergence of synthetic biology at the nexus of biology, engineering, and informatics (Roosth 2017); </w:t>
      </w:r>
      <w:r w:rsidRPr="000E092E">
        <w:rPr>
          <w:rFonts w:eastAsia="Calibri"/>
          <w:highlight w:val="cyan"/>
          <w:u w:val="single"/>
        </w:rPr>
        <w:t>and</w:t>
      </w:r>
      <w:r w:rsidRPr="00292282">
        <w:rPr>
          <w:rFonts w:eastAsia="Calibri"/>
          <w:u w:val="single"/>
        </w:rPr>
        <w:t xml:space="preserve"> the selective </w:t>
      </w:r>
      <w:r w:rsidRPr="000E092E">
        <w:rPr>
          <w:rFonts w:eastAsia="Calibri"/>
          <w:highlight w:val="cyan"/>
          <w:u w:val="single"/>
        </w:rPr>
        <w:t>empowerment of</w:t>
      </w:r>
      <w:r w:rsidRPr="00292282">
        <w:rPr>
          <w:rFonts w:eastAsia="Calibri"/>
          <w:u w:val="single"/>
        </w:rPr>
        <w:t xml:space="preserve"> patient-</w:t>
      </w:r>
      <w:r w:rsidRPr="000E092E">
        <w:rPr>
          <w:rFonts w:eastAsia="Calibri"/>
          <w:highlight w:val="cyan"/>
          <w:u w:val="single"/>
        </w:rPr>
        <w:t>consumers</w:t>
      </w:r>
      <w:r w:rsidRPr="00292282">
        <w:rPr>
          <w:rFonts w:eastAsia="Calibri"/>
          <w:u w:val="single"/>
        </w:rPr>
        <w:t xml:space="preserve"> </w:t>
      </w:r>
      <w:r w:rsidRPr="000E092E">
        <w:rPr>
          <w:rFonts w:eastAsia="Calibri"/>
          <w:highlight w:val="cyan"/>
          <w:u w:val="single"/>
        </w:rPr>
        <w:t xml:space="preserve">within </w:t>
      </w:r>
      <w:r w:rsidRPr="00292282">
        <w:rPr>
          <w:rFonts w:eastAsia="Calibri"/>
          <w:u w:val="single"/>
        </w:rPr>
        <w:t xml:space="preserve">the </w:t>
      </w:r>
      <w:r w:rsidRPr="000E092E">
        <w:rPr>
          <w:rFonts w:eastAsia="Calibri"/>
          <w:highlight w:val="cyan"/>
          <w:u w:val="single"/>
        </w:rPr>
        <w:t>stratified</w:t>
      </w:r>
      <w:r w:rsidRPr="00292282">
        <w:rPr>
          <w:rFonts w:eastAsia="Calibri"/>
          <w:u w:val="single"/>
        </w:rPr>
        <w:t xml:space="preserve"> patchwork </w:t>
      </w:r>
      <w:r w:rsidRPr="000E092E">
        <w:rPr>
          <w:rFonts w:eastAsia="Calibri"/>
          <w:highlight w:val="cyan"/>
          <w:u w:val="single"/>
        </w:rPr>
        <w:t>systems</w:t>
      </w:r>
      <w:r w:rsidRPr="00292282">
        <w:rPr>
          <w:rFonts w:eastAsia="Calibri"/>
          <w:u w:val="single"/>
        </w:rPr>
        <w:t xml:space="preserve"> of 21st-century biomedicine (Clarke et al. 2010; Rose 2007). These developments interacted with one another, and they were evident in the story of the Project as well as in the stories of the </w:t>
      </w:r>
      <w:r w:rsidRPr="000E092E">
        <w:rPr>
          <w:rFonts w:eastAsia="Calibri"/>
          <w:highlight w:val="cyan"/>
          <w:u w:val="single"/>
        </w:rPr>
        <w:t>individual volunteers</w:t>
      </w:r>
      <w:r w:rsidRPr="00292282">
        <w:rPr>
          <w:rFonts w:eastAsia="Calibri"/>
          <w:u w:val="single"/>
        </w:rPr>
        <w:t xml:space="preserve"> that it </w:t>
      </w:r>
      <w:r w:rsidRPr="000E092E">
        <w:rPr>
          <w:rFonts w:eastAsia="Calibri"/>
          <w:highlight w:val="cyan"/>
          <w:u w:val="single"/>
        </w:rPr>
        <w:t>comprise</w:t>
      </w:r>
      <w:r w:rsidRPr="00292282">
        <w:rPr>
          <w:rFonts w:eastAsia="Calibri"/>
          <w:u w:val="single"/>
        </w:rPr>
        <w:t xml:space="preserve">d. Because Open Insulin was the product of the same conditions that </w:t>
      </w:r>
      <w:r w:rsidRPr="000E092E">
        <w:rPr>
          <w:rFonts w:eastAsia="Calibri"/>
          <w:highlight w:val="cyan"/>
          <w:u w:val="single"/>
        </w:rPr>
        <w:t xml:space="preserve">produced the </w:t>
      </w:r>
      <w:r w:rsidRPr="00292282">
        <w:rPr>
          <w:rFonts w:eastAsia="Calibri"/>
          <w:u w:val="single"/>
        </w:rPr>
        <w:t xml:space="preserve">very expensive and </w:t>
      </w:r>
      <w:r w:rsidRPr="000E092E">
        <w:rPr>
          <w:rFonts w:eastAsia="Calibri"/>
          <w:highlight w:val="cyan"/>
          <w:u w:val="single"/>
        </w:rPr>
        <w:t>inaccessible medicines it opposed</w:t>
      </w:r>
      <w:r w:rsidRPr="00292282">
        <w:rPr>
          <w:rFonts w:eastAsia="Calibri"/>
          <w:u w:val="single"/>
        </w:rPr>
        <w:t xml:space="preserve">, I characterize the Project as </w:t>
      </w:r>
      <w:r w:rsidRPr="000E092E">
        <w:rPr>
          <w:rFonts w:eastAsia="Calibri"/>
          <w:b/>
          <w:bCs/>
          <w:highlight w:val="cyan"/>
          <w:u w:val="single"/>
        </w:rPr>
        <w:t>the product of an internal contradiction of biocapitalism</w:t>
      </w:r>
      <w:r w:rsidRPr="00292282">
        <w:rPr>
          <w:rFonts w:eastAsia="Calibri"/>
          <w:sz w:val="16"/>
        </w:rPr>
        <w:t>. Marx identified the most fundamental contradiction of capitalism as its tendency to generate crises of overproduction: periods in which depressed wages and increased production capacities become incompatible, failing to generate a consumer base capable of sustaining profitability (1990 [1894]; Marx and Engels 2002 [1848]).</w:t>
      </w:r>
      <w:r w:rsidRPr="00292282">
        <w:rPr>
          <w:rFonts w:eastAsia="Calibri"/>
          <w:u w:val="single"/>
        </w:rPr>
        <w:t xml:space="preserve"> In short, capitalism renders labor ever more productive while simultaneously deepening the exploitation of those who perform it. According to Marx, the effects of crises of overproduction, though usually managed by expansion in search of new markets, eventually threaten capitalism itself as they grow in severity and expose the contradiction at the heart of capital accumulation</w:t>
      </w:r>
      <w:r w:rsidRPr="00292282">
        <w:rPr>
          <w:rFonts w:eastAsia="Calibri"/>
          <w:sz w:val="16"/>
        </w:rPr>
        <w:t xml:space="preserve">. Scholars working in the Marxian tradition have identified many more contradictions of capital, including the cultural (Bell 1972), the ecological (O’Connor 1988; 34 Foster 2000), the financial, and the geographical (Harvey 1982), complicating the relationship between capitalism’s forces, relations, and conditions of production. Notably, David Harvey (2014) argues not only that capital is rife with contradictions, but that these contradictions are central to the reproduction of capital. These contradictions rarely resolve but are instead reconfigured and moved around as capital reinvents itself. </w:t>
      </w:r>
      <w:r w:rsidRPr="00292282">
        <w:rPr>
          <w:rFonts w:eastAsia="Calibri"/>
          <w:u w:val="single"/>
        </w:rPr>
        <w:t xml:space="preserve">The state of affairs that produced the Open Insulin Project revealed a contradiction in biocapital: insulin was produced in new, more user-friendly, and more profitable forms, while at the same time, the cost to patients continued to increase steadily, resulting in approximately half of those who needed insulin lacking reliable access (Gotham, Barber, and Hill 2018; Biniek and Johnson 2019). Amid growing upset about </w:t>
      </w:r>
      <w:r w:rsidRPr="000E092E">
        <w:rPr>
          <w:rFonts w:eastAsia="Calibri"/>
          <w:highlight w:val="cyan"/>
          <w:u w:val="single"/>
        </w:rPr>
        <w:t>the unaffordability of healthcare</w:t>
      </w:r>
      <w:r w:rsidRPr="00292282">
        <w:rPr>
          <w:rFonts w:eastAsia="Calibri"/>
          <w:u w:val="single"/>
        </w:rPr>
        <w:t xml:space="preserve">, insulin, a nearly hundred-year-old essential medicine, served as a powerful synecdoche. In the United States, this upset </w:t>
      </w:r>
      <w:r w:rsidRPr="000E092E">
        <w:rPr>
          <w:rFonts w:eastAsia="Calibri"/>
          <w:highlight w:val="cyan"/>
          <w:u w:val="single"/>
        </w:rPr>
        <w:t>drove support for socialized medicine</w:t>
      </w:r>
      <w:r w:rsidRPr="00292282">
        <w:rPr>
          <w:rFonts w:eastAsia="Calibri"/>
          <w:u w:val="single"/>
        </w:rPr>
        <w:t xml:space="preserve">, calls for </w:t>
      </w:r>
      <w:r w:rsidRPr="000E092E">
        <w:rPr>
          <w:rFonts w:eastAsia="Calibri"/>
          <w:highlight w:val="cyan"/>
          <w:u w:val="single"/>
        </w:rPr>
        <w:t>accountability</w:t>
      </w:r>
      <w:r w:rsidRPr="00292282">
        <w:rPr>
          <w:rFonts w:eastAsia="Calibri"/>
          <w:u w:val="single"/>
        </w:rPr>
        <w:t xml:space="preserve"> from public representatives, </w:t>
      </w:r>
      <w:r w:rsidRPr="000E092E">
        <w:rPr>
          <w:rFonts w:eastAsia="Calibri"/>
          <w:highlight w:val="cyan"/>
          <w:u w:val="single"/>
        </w:rPr>
        <w:t>and</w:t>
      </w:r>
      <w:r w:rsidRPr="00292282">
        <w:rPr>
          <w:rFonts w:eastAsia="Calibri"/>
          <w:u w:val="single"/>
        </w:rPr>
        <w:t xml:space="preserve"> </w:t>
      </w:r>
      <w:r w:rsidRPr="000E092E">
        <w:rPr>
          <w:rFonts w:eastAsia="Calibri"/>
          <w:highlight w:val="cyan"/>
          <w:u w:val="single"/>
        </w:rPr>
        <w:t>demonstrations</w:t>
      </w:r>
      <w:r w:rsidRPr="00292282">
        <w:rPr>
          <w:rFonts w:eastAsia="Calibri"/>
          <w:u w:val="single"/>
        </w:rPr>
        <w:t xml:space="preserve"> against the pharmaceutical companies that many members of the concerned public—as well as members of Open Insulin—held accountable</w:t>
      </w:r>
      <w:r w:rsidRPr="00292282">
        <w:rPr>
          <w:rFonts w:eastAsia="Calibri"/>
          <w:sz w:val="16"/>
        </w:rPr>
        <w:t xml:space="preserve"> (Sable-Smith 2018; WBUR 2019; Caffrey 2019; Rowland 2019). Among some biotechnologically inclined residents of the Bay Area with access to the region’s excess biotechnological resources, </w:t>
      </w:r>
      <w:r w:rsidRPr="000E092E">
        <w:rPr>
          <w:rFonts w:eastAsia="Calibri"/>
          <w:highlight w:val="cyan"/>
          <w:u w:val="single"/>
        </w:rPr>
        <w:t>it drove efforts to put the</w:t>
      </w:r>
      <w:r w:rsidRPr="00292282">
        <w:rPr>
          <w:rFonts w:eastAsia="Calibri"/>
          <w:u w:val="single"/>
        </w:rPr>
        <w:t xml:space="preserve">se </w:t>
      </w:r>
      <w:r w:rsidRPr="000E092E">
        <w:rPr>
          <w:rFonts w:eastAsia="Calibri"/>
          <w:highlight w:val="cyan"/>
          <w:u w:val="single"/>
        </w:rPr>
        <w:t>means of production</w:t>
      </w:r>
      <w:r w:rsidRPr="00292282">
        <w:rPr>
          <w:rFonts w:eastAsia="Calibri"/>
          <w:u w:val="single"/>
        </w:rPr>
        <w:t xml:space="preserve"> </w:t>
      </w:r>
      <w:r w:rsidRPr="000E092E">
        <w:rPr>
          <w:rFonts w:eastAsia="Calibri"/>
          <w:highlight w:val="cyan"/>
          <w:u w:val="single"/>
        </w:rPr>
        <w:t>to work</w:t>
      </w:r>
      <w:r w:rsidRPr="00292282">
        <w:rPr>
          <w:rFonts w:eastAsia="Calibri"/>
          <w:u w:val="single"/>
        </w:rPr>
        <w:t xml:space="preserve"> </w:t>
      </w:r>
      <w:r w:rsidRPr="000E092E">
        <w:rPr>
          <w:rFonts w:eastAsia="Calibri"/>
          <w:highlight w:val="cyan"/>
          <w:u w:val="single"/>
        </w:rPr>
        <w:t>and</w:t>
      </w:r>
      <w:r w:rsidRPr="00292282">
        <w:rPr>
          <w:rFonts w:eastAsia="Calibri"/>
          <w:u w:val="single"/>
        </w:rPr>
        <w:t xml:space="preserve"> actually </w:t>
      </w:r>
      <w:r w:rsidRPr="000E092E">
        <w:rPr>
          <w:rFonts w:eastAsia="Calibri"/>
          <w:highlight w:val="cyan"/>
          <w:u w:val="single"/>
        </w:rPr>
        <w:t>make medicine</w:t>
      </w:r>
      <w:r w:rsidRPr="00292282">
        <w:rPr>
          <w:rFonts w:eastAsia="Calibri"/>
          <w:u w:val="single"/>
        </w:rPr>
        <w:t xml:space="preserve">. These efforts addressed 35 the insulin affordability crisis by challenging the entanglement of biology and capital. Biology, Capital, Medicine As </w:t>
      </w:r>
      <w:r w:rsidRPr="000E092E">
        <w:rPr>
          <w:rFonts w:eastAsia="Calibri"/>
          <w:highlight w:val="cyan"/>
          <w:u w:val="single"/>
        </w:rPr>
        <w:t>a</w:t>
      </w:r>
      <w:r w:rsidRPr="00292282">
        <w:rPr>
          <w:rFonts w:eastAsia="Calibri"/>
          <w:u w:val="single"/>
        </w:rPr>
        <w:t xml:space="preserve"> self-identified </w:t>
      </w:r>
      <w:r w:rsidRPr="000E092E">
        <w:rPr>
          <w:rFonts w:eastAsia="Calibri"/>
          <w:highlight w:val="cyan"/>
          <w:u w:val="single"/>
        </w:rPr>
        <w:t>radical</w:t>
      </w:r>
      <w:r w:rsidRPr="00292282">
        <w:rPr>
          <w:rFonts w:eastAsia="Calibri"/>
          <w:u w:val="single"/>
        </w:rPr>
        <w:t xml:space="preserve">, </w:t>
      </w:r>
      <w:r w:rsidRPr="000E092E">
        <w:rPr>
          <w:rFonts w:eastAsia="Calibri"/>
          <w:highlight w:val="cyan"/>
          <w:u w:val="single"/>
        </w:rPr>
        <w:t>anticapitalist project</w:t>
      </w:r>
      <w:r w:rsidRPr="00292282">
        <w:rPr>
          <w:rFonts w:eastAsia="Calibri"/>
          <w:u w:val="single"/>
        </w:rPr>
        <w:t xml:space="preserve">, Open Insulin </w:t>
      </w:r>
      <w:r w:rsidRPr="000E092E">
        <w:rPr>
          <w:rFonts w:eastAsia="Calibri"/>
          <w:highlight w:val="cyan"/>
          <w:u w:val="single"/>
        </w:rPr>
        <w:t>serves as a counterexample</w:t>
      </w:r>
      <w:r w:rsidRPr="00292282">
        <w:rPr>
          <w:rFonts w:eastAsia="Calibri"/>
          <w:u w:val="single"/>
        </w:rPr>
        <w:t xml:space="preserve"> </w:t>
      </w:r>
      <w:r w:rsidRPr="000E092E">
        <w:rPr>
          <w:rFonts w:eastAsia="Calibri"/>
          <w:highlight w:val="cyan"/>
          <w:u w:val="single"/>
        </w:rPr>
        <w:t>to</w:t>
      </w:r>
      <w:r w:rsidRPr="00292282">
        <w:rPr>
          <w:rFonts w:eastAsia="Calibri"/>
          <w:u w:val="single"/>
        </w:rPr>
        <w:t xml:space="preserve"> </w:t>
      </w:r>
      <w:r w:rsidRPr="000E092E">
        <w:rPr>
          <w:rFonts w:eastAsia="Calibri"/>
          <w:highlight w:val="cyan"/>
          <w:u w:val="single"/>
        </w:rPr>
        <w:t>the ways</w:t>
      </w:r>
      <w:r w:rsidRPr="00292282">
        <w:rPr>
          <w:rFonts w:eastAsia="Calibri"/>
          <w:u w:val="single"/>
        </w:rPr>
        <w:t xml:space="preserve"> in which </w:t>
      </w:r>
      <w:r w:rsidRPr="000E092E">
        <w:rPr>
          <w:rFonts w:eastAsia="Calibri"/>
          <w:highlight w:val="cyan"/>
          <w:u w:val="single"/>
        </w:rPr>
        <w:t>biology</w:t>
      </w:r>
      <w:r w:rsidRPr="00292282">
        <w:rPr>
          <w:rFonts w:eastAsia="Calibri"/>
          <w:u w:val="single"/>
        </w:rPr>
        <w:t xml:space="preserve"> </w:t>
      </w:r>
      <w:r w:rsidRPr="000E092E">
        <w:rPr>
          <w:rFonts w:eastAsia="Calibri"/>
          <w:highlight w:val="cyan"/>
          <w:u w:val="single"/>
        </w:rPr>
        <w:t>is</w:t>
      </w:r>
      <w:r w:rsidRPr="00292282">
        <w:rPr>
          <w:rFonts w:eastAsia="Calibri"/>
          <w:u w:val="single"/>
        </w:rPr>
        <w:t xml:space="preserve"> increasingly “</w:t>
      </w:r>
      <w:r w:rsidRPr="000E092E">
        <w:rPr>
          <w:rFonts w:eastAsia="Calibri"/>
          <w:highlight w:val="cyan"/>
          <w:u w:val="single"/>
        </w:rPr>
        <w:t>enterprised</w:t>
      </w:r>
      <w:r w:rsidRPr="00292282">
        <w:rPr>
          <w:rFonts w:eastAsia="Calibri"/>
          <w:u w:val="single"/>
        </w:rPr>
        <w:t>up”</w:t>
      </w:r>
      <w:r w:rsidRPr="00292282">
        <w:rPr>
          <w:rFonts w:eastAsia="Calibri"/>
          <w:sz w:val="16"/>
        </w:rPr>
        <w:t xml:space="preserve"> </w:t>
      </w:r>
      <w:r w:rsidRPr="00292282">
        <w:rPr>
          <w:rFonts w:eastAsia="Calibri"/>
          <w:u w:val="single"/>
        </w:rPr>
        <w:t xml:space="preserve">(Strathern 1992) </w:t>
      </w:r>
      <w:r w:rsidRPr="000E092E">
        <w:rPr>
          <w:rFonts w:eastAsia="Calibri"/>
          <w:highlight w:val="cyan"/>
          <w:u w:val="single"/>
        </w:rPr>
        <w:t>and</w:t>
      </w:r>
      <w:r w:rsidRPr="00292282">
        <w:rPr>
          <w:rFonts w:eastAsia="Calibri"/>
          <w:u w:val="single"/>
        </w:rPr>
        <w:t xml:space="preserve"> converted into forms of capital</w:t>
      </w:r>
      <w:r w:rsidRPr="00292282">
        <w:rPr>
          <w:rFonts w:eastAsia="Calibri"/>
          <w:sz w:val="16"/>
        </w:rPr>
        <w:t xml:space="preserve">. As an empirical case, it helps demonstrate that biology and its values are neither fully subsumed by capital, nor are developments in the biosciences readily explained by economic </w:t>
      </w:r>
      <w:r w:rsidRPr="00292282">
        <w:rPr>
          <w:rFonts w:eastAsia="Calibri"/>
          <w:u w:val="single"/>
        </w:rPr>
        <w:t xml:space="preserve">developments independent of the biosciences. Rather, Open Insulin both </w:t>
      </w:r>
      <w:r w:rsidRPr="000E092E">
        <w:rPr>
          <w:rFonts w:eastAsia="Calibri"/>
          <w:highlight w:val="cyan"/>
          <w:u w:val="single"/>
        </w:rPr>
        <w:t>emerges as a response to</w:t>
      </w:r>
      <w:r w:rsidRPr="00292282">
        <w:rPr>
          <w:rFonts w:eastAsia="Calibri"/>
          <w:u w:val="single"/>
        </w:rPr>
        <w:t xml:space="preserve"> the </w:t>
      </w:r>
      <w:r w:rsidRPr="000E092E">
        <w:rPr>
          <w:rFonts w:eastAsia="Calibri"/>
          <w:highlight w:val="cyan"/>
          <w:u w:val="single"/>
        </w:rPr>
        <w:t>entanglement</w:t>
      </w:r>
      <w:r w:rsidRPr="00292282">
        <w:rPr>
          <w:rFonts w:eastAsia="Calibri"/>
          <w:u w:val="single"/>
        </w:rPr>
        <w:t xml:space="preserve"> </w:t>
      </w:r>
      <w:r w:rsidRPr="000E092E">
        <w:rPr>
          <w:rFonts w:eastAsia="Calibri"/>
          <w:highlight w:val="cyan"/>
          <w:u w:val="single"/>
        </w:rPr>
        <w:t>of the biological,</w:t>
      </w:r>
      <w:r w:rsidRPr="00292282">
        <w:rPr>
          <w:rFonts w:eastAsia="Calibri"/>
          <w:u w:val="single"/>
        </w:rPr>
        <w:t xml:space="preserve"> the </w:t>
      </w:r>
      <w:r w:rsidRPr="000E092E">
        <w:rPr>
          <w:rFonts w:eastAsia="Calibri"/>
          <w:highlight w:val="cyan"/>
          <w:u w:val="single"/>
        </w:rPr>
        <w:t>medical,</w:t>
      </w:r>
      <w:r w:rsidRPr="00292282">
        <w:rPr>
          <w:rFonts w:eastAsia="Calibri"/>
          <w:u w:val="single"/>
        </w:rPr>
        <w:t xml:space="preserve"> </w:t>
      </w:r>
      <w:r w:rsidRPr="000E092E">
        <w:rPr>
          <w:rFonts w:eastAsia="Calibri"/>
          <w:highlight w:val="cyan"/>
          <w:u w:val="single"/>
        </w:rPr>
        <w:t>and</w:t>
      </w:r>
      <w:r w:rsidRPr="00292282">
        <w:rPr>
          <w:rFonts w:eastAsia="Calibri"/>
          <w:u w:val="single"/>
        </w:rPr>
        <w:t xml:space="preserve"> the </w:t>
      </w:r>
      <w:r w:rsidRPr="000E092E">
        <w:rPr>
          <w:rFonts w:eastAsia="Calibri"/>
          <w:highlight w:val="cyan"/>
          <w:u w:val="single"/>
        </w:rPr>
        <w:t>commercial</w:t>
      </w:r>
      <w:r w:rsidRPr="00292282">
        <w:rPr>
          <w:rFonts w:eastAsia="Calibri"/>
          <w:u w:val="single"/>
        </w:rPr>
        <w:t xml:space="preserve"> </w:t>
      </w:r>
      <w:r w:rsidRPr="000E092E">
        <w:rPr>
          <w:rFonts w:eastAsia="Calibri"/>
          <w:highlight w:val="cyan"/>
          <w:u w:val="single"/>
        </w:rPr>
        <w:t>and</w:t>
      </w:r>
      <w:r w:rsidRPr="00292282">
        <w:rPr>
          <w:rFonts w:eastAsia="Calibri"/>
          <w:u w:val="single"/>
        </w:rPr>
        <w:t xml:space="preserve"> </w:t>
      </w:r>
      <w:r w:rsidRPr="000E092E">
        <w:rPr>
          <w:rFonts w:eastAsia="Calibri"/>
          <w:highlight w:val="cyan"/>
          <w:u w:val="single"/>
        </w:rPr>
        <w:t>is</w:t>
      </w:r>
      <w:r w:rsidRPr="00292282">
        <w:rPr>
          <w:rFonts w:eastAsia="Calibri"/>
          <w:u w:val="single"/>
        </w:rPr>
        <w:t xml:space="preserve"> uniquely </w:t>
      </w:r>
      <w:r w:rsidRPr="000E092E">
        <w:rPr>
          <w:rFonts w:eastAsia="Calibri"/>
          <w:highlight w:val="cyan"/>
          <w:u w:val="single"/>
        </w:rPr>
        <w:t>empowered</w:t>
      </w:r>
      <w:r w:rsidRPr="00292282">
        <w:rPr>
          <w:rFonts w:eastAsia="Calibri"/>
          <w:u w:val="single"/>
        </w:rPr>
        <w:t xml:space="preserve"> </w:t>
      </w:r>
      <w:r w:rsidRPr="000E092E">
        <w:rPr>
          <w:rFonts w:eastAsia="Calibri"/>
          <w:highlight w:val="cyan"/>
          <w:u w:val="single"/>
        </w:rPr>
        <w:t>by</w:t>
      </w:r>
      <w:r w:rsidRPr="00292282">
        <w:rPr>
          <w:rFonts w:eastAsia="Calibri"/>
          <w:u w:val="single"/>
        </w:rPr>
        <w:t xml:space="preserve"> the features of </w:t>
      </w:r>
      <w:r w:rsidRPr="000E092E">
        <w:rPr>
          <w:rFonts w:eastAsia="Calibri"/>
          <w:highlight w:val="cyan"/>
          <w:u w:val="single"/>
        </w:rPr>
        <w:t>this</w:t>
      </w:r>
      <w:r w:rsidRPr="00292282">
        <w:rPr>
          <w:rFonts w:eastAsia="Calibri"/>
          <w:u w:val="single"/>
        </w:rPr>
        <w:t xml:space="preserve"> </w:t>
      </w:r>
      <w:r w:rsidRPr="000E092E">
        <w:rPr>
          <w:rFonts w:eastAsia="Calibri"/>
          <w:highlight w:val="cyan"/>
          <w:u w:val="single"/>
        </w:rPr>
        <w:t>entanglement</w:t>
      </w:r>
      <w:r w:rsidRPr="00292282">
        <w:rPr>
          <w:rFonts w:eastAsia="Calibri"/>
          <w:u w:val="single"/>
        </w:rPr>
        <w:t>.</w:t>
      </w:r>
      <w:r w:rsidRPr="00292282">
        <w:rPr>
          <w:rFonts w:eastAsia="Calibri"/>
          <w:sz w:val="16"/>
        </w:rPr>
        <w:t xml:space="preserve"> Scholars of science and technology studies studying diverse areas of biology—including molecular biology and genomics, plant and animal breeding, assisted reproduction technologies, tissue engineering, regenerative medicine, and pharmaceuticals—have identified a shift since roughly 1980 toward the mutual entanglement of biology and capital. Sunder Rajan (2006) explains this transition as the dawn of the biocapital era. For Sunder Rajan the transition is neither total nor complete, but rather piecemeal and tendential: “the relationship between ‘capitalism’ (itself not a unitary category) and… biocapital is one where the latter is, simultaneously, a 36 continuation of, an evolution of, a subset of, and form distinct from, the former</w:t>
      </w:r>
      <w:r w:rsidRPr="00292282">
        <w:rPr>
          <w:rFonts w:eastAsia="Calibri"/>
          <w:u w:val="single"/>
        </w:rPr>
        <w:t>. Further, biocapital itself takes shape in incongruent fashion across the multiple sites of its global emergence” (2006:10). Sunder Rajan (2006) ethnographically explores this emergence in the contexts of American and Indian pharmaceutical development. He leaves us with the sense that biotechnology does indeed represent a new phase of capitalism.</w:t>
      </w:r>
      <w:r w:rsidRPr="00292282">
        <w:rPr>
          <w:rFonts w:eastAsia="Calibri"/>
          <w:sz w:val="16"/>
        </w:rPr>
        <w:t xml:space="preserve"> This phase varies across contexts, including the contexts Sunder Rajan explicates, but he nonetheless identifies trends. Many of these trends stem from changes in the American life sciences that have subsequently become models for emerging life sciences industries like India’s. </w:t>
      </w:r>
      <w:r w:rsidRPr="000E092E">
        <w:rPr>
          <w:rFonts w:eastAsia="Calibri"/>
          <w:highlight w:val="cyan"/>
          <w:u w:val="single"/>
        </w:rPr>
        <w:t>In</w:t>
      </w:r>
      <w:r w:rsidRPr="00292282">
        <w:rPr>
          <w:rFonts w:eastAsia="Calibri"/>
          <w:u w:val="single"/>
        </w:rPr>
        <w:t xml:space="preserve"> the </w:t>
      </w:r>
      <w:r w:rsidRPr="000E092E">
        <w:rPr>
          <w:rFonts w:eastAsia="Calibri"/>
          <w:highlight w:val="cyan"/>
          <w:u w:val="single"/>
        </w:rPr>
        <w:t>America</w:t>
      </w:r>
      <w:r w:rsidRPr="00292282">
        <w:rPr>
          <w:rFonts w:eastAsia="Calibri"/>
          <w:u w:val="single"/>
        </w:rPr>
        <w:t xml:space="preserve">n context, policy changes at the dawn of the 1980s—most notably, the Supreme Court Case Diamond v. Chakrabarty and </w:t>
      </w:r>
      <w:r w:rsidRPr="000E092E">
        <w:rPr>
          <w:rFonts w:eastAsia="Calibri"/>
          <w:highlight w:val="cyan"/>
          <w:u w:val="single"/>
        </w:rPr>
        <w:t>the Bayh-Dole Act</w:t>
      </w:r>
      <w:r w:rsidRPr="00292282">
        <w:rPr>
          <w:rFonts w:eastAsia="Calibri"/>
          <w:u w:val="single"/>
        </w:rPr>
        <w:t xml:space="preserve">— </w:t>
      </w:r>
      <w:r w:rsidRPr="000E092E">
        <w:rPr>
          <w:rFonts w:eastAsia="Calibri"/>
          <w:highlight w:val="cyan"/>
          <w:u w:val="single"/>
        </w:rPr>
        <w:t>subjected</w:t>
      </w:r>
      <w:r w:rsidRPr="00292282">
        <w:rPr>
          <w:rFonts w:eastAsia="Calibri"/>
          <w:u w:val="single"/>
        </w:rPr>
        <w:t xml:space="preserve"> biological </w:t>
      </w:r>
      <w:r w:rsidRPr="000E092E">
        <w:rPr>
          <w:rFonts w:eastAsia="Calibri"/>
          <w:highlight w:val="cyan"/>
          <w:u w:val="single"/>
        </w:rPr>
        <w:t>life</w:t>
      </w:r>
      <w:r w:rsidRPr="00292282">
        <w:rPr>
          <w:rFonts w:eastAsia="Calibri"/>
          <w:u w:val="single"/>
        </w:rPr>
        <w:t xml:space="preserve"> and matter </w:t>
      </w:r>
      <w:r w:rsidRPr="000E092E">
        <w:rPr>
          <w:rFonts w:eastAsia="Calibri"/>
          <w:highlight w:val="cyan"/>
          <w:u w:val="single"/>
        </w:rPr>
        <w:t>to</w:t>
      </w:r>
      <w:r w:rsidRPr="00292282">
        <w:rPr>
          <w:rFonts w:eastAsia="Calibri"/>
          <w:u w:val="single"/>
        </w:rPr>
        <w:t xml:space="preserve"> </w:t>
      </w:r>
      <w:r w:rsidRPr="000E092E">
        <w:rPr>
          <w:rFonts w:eastAsia="Calibri"/>
          <w:highlight w:val="cyan"/>
          <w:u w:val="single"/>
        </w:rPr>
        <w:t>intellectual property</w:t>
      </w:r>
      <w:r w:rsidRPr="00292282">
        <w:rPr>
          <w:rFonts w:eastAsia="Calibri"/>
          <w:u w:val="single"/>
        </w:rPr>
        <w:t xml:space="preserve"> </w:t>
      </w:r>
      <w:r w:rsidRPr="000E092E">
        <w:rPr>
          <w:rFonts w:eastAsia="Calibri"/>
          <w:highlight w:val="cyan"/>
          <w:u w:val="single"/>
        </w:rPr>
        <w:t>protections</w:t>
      </w:r>
      <w:r w:rsidRPr="00292282">
        <w:rPr>
          <w:rFonts w:eastAsia="Calibri"/>
          <w:u w:val="single"/>
        </w:rPr>
        <w:t xml:space="preserve"> and rendered the boundary between academic and industrial life sciences progressively porous. </w:t>
      </w:r>
      <w:r w:rsidRPr="000E092E">
        <w:rPr>
          <w:rFonts w:eastAsia="Calibri"/>
          <w:highlight w:val="cyan"/>
          <w:u w:val="single"/>
        </w:rPr>
        <w:t>As a result</w:t>
      </w:r>
      <w:r w:rsidRPr="00292282">
        <w:rPr>
          <w:rFonts w:eastAsia="Calibri"/>
          <w:u w:val="single"/>
        </w:rPr>
        <w:t xml:space="preserve">, the </w:t>
      </w:r>
      <w:r w:rsidRPr="000E092E">
        <w:rPr>
          <w:rFonts w:eastAsia="Calibri"/>
          <w:highlight w:val="cyan"/>
          <w:u w:val="single"/>
        </w:rPr>
        <w:t>life sciences</w:t>
      </w:r>
      <w:r w:rsidRPr="00292282">
        <w:rPr>
          <w:rFonts w:eastAsia="Calibri"/>
          <w:u w:val="single"/>
        </w:rPr>
        <w:t xml:space="preserve"> have </w:t>
      </w:r>
      <w:r w:rsidRPr="000E092E">
        <w:rPr>
          <w:rFonts w:eastAsia="Calibri"/>
          <w:highlight w:val="cyan"/>
          <w:u w:val="single"/>
        </w:rPr>
        <w:t>increasingly adopted</w:t>
      </w:r>
      <w:r w:rsidRPr="00292282">
        <w:rPr>
          <w:rFonts w:eastAsia="Calibri"/>
          <w:u w:val="single"/>
        </w:rPr>
        <w:t xml:space="preserve"> a </w:t>
      </w:r>
      <w:r w:rsidRPr="000E092E">
        <w:rPr>
          <w:rFonts w:eastAsia="Calibri"/>
          <w:highlight w:val="cyan"/>
          <w:u w:val="single"/>
        </w:rPr>
        <w:t>speculative</w:t>
      </w:r>
      <w:r w:rsidRPr="00292282">
        <w:rPr>
          <w:rFonts w:eastAsia="Calibri"/>
          <w:u w:val="single"/>
        </w:rPr>
        <w:t xml:space="preserve">, future-oriented </w:t>
      </w:r>
      <w:r w:rsidRPr="000E092E">
        <w:rPr>
          <w:rFonts w:eastAsia="Calibri"/>
          <w:highlight w:val="cyan"/>
          <w:u w:val="single"/>
        </w:rPr>
        <w:t>grammar</w:t>
      </w:r>
      <w:r w:rsidRPr="00292282">
        <w:rPr>
          <w:rFonts w:eastAsia="Calibri"/>
          <w:u w:val="single"/>
        </w:rPr>
        <w:t xml:space="preserve">, </w:t>
      </w:r>
      <w:r w:rsidRPr="000E092E">
        <w:rPr>
          <w:rFonts w:eastAsia="Calibri"/>
          <w:highlight w:val="cyan"/>
          <w:u w:val="single"/>
        </w:rPr>
        <w:t>focused on hope, hype, and salvation</w:t>
      </w:r>
      <w:r w:rsidRPr="00292282">
        <w:rPr>
          <w:rFonts w:eastAsia="Calibri"/>
          <w:sz w:val="16"/>
        </w:rPr>
        <w:t xml:space="preserve">. Biocapital does not merely describe the influence of capital on the biosciences and biotechnology; it also describes the ways in which contemporary capital is increasingly biological and biopolitical (Sunder Rajan 2006). </w:t>
      </w:r>
      <w:r w:rsidRPr="00292282">
        <w:rPr>
          <w:rFonts w:eastAsia="Calibri"/>
          <w:u w:val="single"/>
        </w:rPr>
        <w:t xml:space="preserve">In other words, </w:t>
      </w:r>
      <w:r w:rsidRPr="000E092E">
        <w:rPr>
          <w:rFonts w:eastAsia="Calibri"/>
          <w:highlight w:val="cyan"/>
          <w:u w:val="single"/>
        </w:rPr>
        <w:t>our ways of thinking about value</w:t>
      </w:r>
      <w:r w:rsidRPr="00292282">
        <w:rPr>
          <w:rFonts w:eastAsia="Calibri"/>
          <w:u w:val="single"/>
        </w:rPr>
        <w:t xml:space="preserve"> </w:t>
      </w:r>
      <w:r w:rsidRPr="000E092E">
        <w:rPr>
          <w:rFonts w:eastAsia="Calibri"/>
          <w:highlight w:val="cyan"/>
          <w:u w:val="single"/>
        </w:rPr>
        <w:t>are</w:t>
      </w:r>
      <w:r w:rsidRPr="00292282">
        <w:rPr>
          <w:rFonts w:eastAsia="Calibri"/>
          <w:u w:val="single"/>
        </w:rPr>
        <w:t xml:space="preserve"> also increasingly </w:t>
      </w:r>
      <w:r w:rsidRPr="000E092E">
        <w:rPr>
          <w:rFonts w:eastAsia="Calibri"/>
          <w:highlight w:val="cyan"/>
          <w:u w:val="single"/>
        </w:rPr>
        <w:t>informed</w:t>
      </w:r>
      <w:r w:rsidRPr="00292282">
        <w:rPr>
          <w:rFonts w:eastAsia="Calibri"/>
          <w:u w:val="single"/>
        </w:rPr>
        <w:t xml:space="preserve"> </w:t>
      </w:r>
      <w:r w:rsidRPr="000E092E">
        <w:rPr>
          <w:rFonts w:eastAsia="Calibri"/>
          <w:highlight w:val="cyan"/>
          <w:u w:val="single"/>
        </w:rPr>
        <w:t>by</w:t>
      </w:r>
      <w:r w:rsidRPr="00292282">
        <w:rPr>
          <w:rFonts w:eastAsia="Calibri"/>
          <w:u w:val="single"/>
        </w:rPr>
        <w:t xml:space="preserve"> </w:t>
      </w:r>
      <w:r w:rsidRPr="000E092E">
        <w:rPr>
          <w:rFonts w:eastAsia="Calibri"/>
          <w:highlight w:val="cyan"/>
          <w:u w:val="single"/>
        </w:rPr>
        <w:t>our</w:t>
      </w:r>
      <w:r w:rsidRPr="00292282">
        <w:rPr>
          <w:rFonts w:eastAsia="Calibri"/>
          <w:u w:val="single"/>
        </w:rPr>
        <w:t xml:space="preserve"> ways of </w:t>
      </w:r>
      <w:r w:rsidRPr="000E092E">
        <w:rPr>
          <w:rFonts w:eastAsia="Calibri"/>
          <w:highlight w:val="cyan"/>
          <w:u w:val="single"/>
        </w:rPr>
        <w:t>thinking about life</w:t>
      </w:r>
      <w:r w:rsidRPr="00292282">
        <w:rPr>
          <w:rFonts w:eastAsia="Calibri"/>
          <w:u w:val="single"/>
        </w:rPr>
        <w:t>.</w:t>
      </w:r>
      <w:r w:rsidRPr="00292282">
        <w:rPr>
          <w:rFonts w:eastAsia="Calibri"/>
          <w:sz w:val="16"/>
        </w:rPr>
        <w:t xml:space="preserve"> While in some ways Sunder Rajan takes pains to illustrate the symmetry of this mutual transformation of 37 biology and capital, he does argue that “the life sciences are overdetermined by the capitalist political economic structures in which they emerge” (2006:6). </w:t>
      </w:r>
      <w:r w:rsidRPr="00292282">
        <w:rPr>
          <w:rFonts w:eastAsia="Calibri"/>
          <w:u w:val="single"/>
        </w:rPr>
        <w:t xml:space="preserve">He makes the case that </w:t>
      </w:r>
      <w:r w:rsidRPr="000E092E">
        <w:rPr>
          <w:rFonts w:eastAsia="Calibri"/>
          <w:highlight w:val="cyan"/>
          <w:u w:val="single"/>
        </w:rPr>
        <w:t>political-economic formations</w:t>
      </w:r>
      <w:r w:rsidRPr="00292282">
        <w:rPr>
          <w:rFonts w:eastAsia="Calibri"/>
          <w:u w:val="single"/>
        </w:rPr>
        <w:t>, while they may not determine the course of the life sciences in any straightforward sense, nonetheless “</w:t>
      </w:r>
      <w:r w:rsidRPr="000E092E">
        <w:rPr>
          <w:rFonts w:eastAsia="Calibri"/>
          <w:highlight w:val="cyan"/>
          <w:u w:val="single"/>
        </w:rPr>
        <w:t>disproportionately set the stage</w:t>
      </w:r>
      <w:r w:rsidRPr="00292282">
        <w:rPr>
          <w:rFonts w:eastAsia="Calibri"/>
          <w:u w:val="single"/>
        </w:rPr>
        <w:t xml:space="preserve">” (2006:6) </w:t>
      </w:r>
      <w:r w:rsidRPr="000E092E">
        <w:rPr>
          <w:rFonts w:eastAsia="Calibri"/>
          <w:highlight w:val="cyan"/>
          <w:u w:val="single"/>
        </w:rPr>
        <w:t>for</w:t>
      </w:r>
      <w:r w:rsidRPr="00292282">
        <w:rPr>
          <w:rFonts w:eastAsia="Calibri"/>
          <w:u w:val="single"/>
        </w:rPr>
        <w:t xml:space="preserve"> their </w:t>
      </w:r>
      <w:r w:rsidRPr="000E092E">
        <w:rPr>
          <w:rFonts w:eastAsia="Calibri"/>
          <w:highlight w:val="cyan"/>
          <w:u w:val="single"/>
        </w:rPr>
        <w:t>developments</w:t>
      </w:r>
      <w:r w:rsidRPr="00292282">
        <w:rPr>
          <w:rFonts w:eastAsia="Calibri"/>
          <w:sz w:val="16"/>
        </w:rPr>
        <w:t>. Other scholars who have explored dimensions of the phenomenon that Sunder Rajan calls biocapital have identified similar features. Stefan Helmreich (2008) taxonomized the work in this area when he catalogued the “species of biocapital.” The theories in this vein call attention to how biology, biotechnology, and biomedicine increasingly subject life itself at the molecular level to the speculation and financialization; collectivized risk and individualized risk management; flexibility and de-standardization; and commercialization in pursuit of added surplus value. Melinda Cooper argues that these processes have brought biology, and specifically biotechnology, into line with the advance of neoliberal capitalism: “</w:t>
      </w:r>
      <w:r w:rsidRPr="00292282">
        <w:rPr>
          <w:rFonts w:eastAsia="Calibri"/>
          <w:u w:val="single"/>
        </w:rPr>
        <w:t>the biotech revolution… is the result of a whole series of legislative and regulatory measures designed to relocate economic production at the genetic, microbial, and cellular level, so that life becomes, literally, annexed within capitalist processes of accumulation” (2011:19). 38 By arguing both that biology has been capitalized and that capital has been biologized—even if, as Sunder Rajan (2006) argues, the former overdetermines the latter in the last instance—theorists of biocapital emphasize biology’s unique features.</w:t>
      </w:r>
      <w:r w:rsidRPr="00292282">
        <w:rPr>
          <w:rFonts w:eastAsia="Calibri"/>
          <w:sz w:val="16"/>
        </w:rPr>
        <w:t xml:space="preserve"> Those who apply a “Marxist-feminist” lens (Helmreich 2008), place special emphasis on biological materiality, specifically biomatter’s generative and reproductive capacities. </w:t>
      </w:r>
      <w:r w:rsidRPr="000E092E">
        <w:rPr>
          <w:rFonts w:eastAsia="Calibri"/>
          <w:highlight w:val="cyan"/>
          <w:u w:val="single"/>
        </w:rPr>
        <w:t>Reproduction</w:t>
      </w:r>
      <w:r w:rsidRPr="00292282">
        <w:rPr>
          <w:rFonts w:eastAsia="Calibri"/>
          <w:u w:val="single"/>
        </w:rPr>
        <w:t>—as opposed to production—</w:t>
      </w:r>
      <w:r w:rsidRPr="000E092E">
        <w:rPr>
          <w:rFonts w:eastAsia="Calibri"/>
          <w:highlight w:val="cyan"/>
          <w:u w:val="single"/>
        </w:rPr>
        <w:t>has</w:t>
      </w:r>
      <w:r w:rsidRPr="00292282">
        <w:rPr>
          <w:rFonts w:eastAsia="Calibri"/>
          <w:u w:val="single"/>
        </w:rPr>
        <w:t xml:space="preserve"> historically </w:t>
      </w:r>
      <w:r w:rsidRPr="000E092E">
        <w:rPr>
          <w:rFonts w:eastAsia="Calibri"/>
          <w:highlight w:val="cyan"/>
          <w:u w:val="single"/>
        </w:rPr>
        <w:t>been taken for granted</w:t>
      </w:r>
      <w:r w:rsidRPr="00292282">
        <w:rPr>
          <w:rFonts w:eastAsia="Calibri"/>
          <w:u w:val="single"/>
        </w:rPr>
        <w:t xml:space="preserve"> </w:t>
      </w:r>
      <w:r w:rsidRPr="000E092E">
        <w:rPr>
          <w:rFonts w:eastAsia="Calibri"/>
          <w:highlight w:val="cyan"/>
          <w:u w:val="single"/>
        </w:rPr>
        <w:t>within capitalist economies</w:t>
      </w:r>
      <w:r w:rsidRPr="00292282">
        <w:rPr>
          <w:rFonts w:eastAsia="Calibri"/>
          <w:u w:val="single"/>
        </w:rPr>
        <w:t>, but the development of new forms of control over these capacities (see Franklin 2007; Landecker 2007) has helped to generate surplus value from them. The separation between production and reproduction breaks down under biocapitalism, and “life itself” becomes the objective (Rose 2007; Cooper and Waldby 2014). And a powerful objective it is; in medicine, a focus on the pursuit and optimization of health has enabled the growth of massive technoscientific industries of surveillance and intervention</w:t>
      </w:r>
      <w:r w:rsidRPr="00292282">
        <w:rPr>
          <w:rFonts w:eastAsia="Calibri"/>
          <w:sz w:val="16"/>
        </w:rPr>
        <w:t xml:space="preserve"> (Clarke et al. 2010). In these industries, patients become active consumers of technoscientific information and products, empowered agents in their ongoing pursuits of the horizon of healthfulness. </w:t>
      </w:r>
      <w:r w:rsidRPr="00292282">
        <w:rPr>
          <w:rFonts w:eastAsia="Calibri"/>
          <w:u w:val="single"/>
        </w:rPr>
        <w:t xml:space="preserve">The power of “life itself” and the </w:t>
      </w:r>
      <w:r w:rsidRPr="000E092E">
        <w:rPr>
          <w:rFonts w:eastAsia="Calibri"/>
          <w:highlight w:val="cyan"/>
          <w:u w:val="single"/>
        </w:rPr>
        <w:t>economies</w:t>
      </w:r>
      <w:r w:rsidRPr="00292282">
        <w:rPr>
          <w:rFonts w:eastAsia="Calibri"/>
          <w:u w:val="single"/>
        </w:rPr>
        <w:t xml:space="preserve"> </w:t>
      </w:r>
      <w:r w:rsidRPr="000E092E">
        <w:rPr>
          <w:rFonts w:eastAsia="Calibri"/>
          <w:highlight w:val="cyan"/>
          <w:u w:val="single"/>
        </w:rPr>
        <w:t>of hope</w:t>
      </w:r>
      <w:r w:rsidRPr="00292282">
        <w:rPr>
          <w:rFonts w:eastAsia="Calibri"/>
          <w:u w:val="single"/>
        </w:rPr>
        <w:t xml:space="preserve"> that they </w:t>
      </w:r>
      <w:r w:rsidRPr="000E092E">
        <w:rPr>
          <w:rFonts w:eastAsia="Calibri"/>
          <w:highlight w:val="cyan"/>
          <w:u w:val="single"/>
        </w:rPr>
        <w:t>inspire</w:t>
      </w:r>
      <w:r w:rsidRPr="00292282">
        <w:rPr>
          <w:rFonts w:eastAsia="Calibri"/>
          <w:u w:val="single"/>
        </w:rPr>
        <w:t xml:space="preserve"> further speak to </w:t>
      </w:r>
      <w:r w:rsidRPr="000E092E">
        <w:rPr>
          <w:rFonts w:eastAsia="Calibri"/>
          <w:highlight w:val="cyan"/>
          <w:u w:val="single"/>
        </w:rPr>
        <w:t>the</w:t>
      </w:r>
      <w:r w:rsidRPr="00292282">
        <w:rPr>
          <w:rFonts w:eastAsia="Calibri"/>
          <w:u w:val="single"/>
        </w:rPr>
        <w:t xml:space="preserve"> unique </w:t>
      </w:r>
      <w:r w:rsidRPr="000E092E">
        <w:rPr>
          <w:rFonts w:eastAsia="Calibri"/>
          <w:highlight w:val="cyan"/>
          <w:u w:val="single"/>
        </w:rPr>
        <w:t>cultural power</w:t>
      </w:r>
      <w:r w:rsidRPr="00292282">
        <w:rPr>
          <w:rFonts w:eastAsia="Calibri"/>
          <w:u w:val="single"/>
        </w:rPr>
        <w:t xml:space="preserve"> </w:t>
      </w:r>
      <w:r w:rsidRPr="000E092E">
        <w:rPr>
          <w:rFonts w:eastAsia="Calibri"/>
          <w:highlight w:val="cyan"/>
          <w:u w:val="single"/>
        </w:rPr>
        <w:t>of</w:t>
      </w:r>
      <w:r w:rsidRPr="00292282">
        <w:rPr>
          <w:rFonts w:eastAsia="Calibri"/>
          <w:u w:val="single"/>
        </w:rPr>
        <w:t xml:space="preserve"> the </w:t>
      </w:r>
      <w:r w:rsidRPr="000E092E">
        <w:rPr>
          <w:rFonts w:eastAsia="Calibri"/>
          <w:highlight w:val="cyan"/>
          <w:u w:val="single"/>
        </w:rPr>
        <w:t>biosciences</w:t>
      </w:r>
      <w:r w:rsidRPr="00292282">
        <w:rPr>
          <w:rFonts w:eastAsia="Calibri"/>
          <w:u w:val="single"/>
        </w:rPr>
        <w:t>, which profoundly shape what it means to live and die in the 21st century</w:t>
      </w:r>
      <w:r w:rsidRPr="00292282">
        <w:rPr>
          <w:rFonts w:eastAsia="Calibri"/>
          <w:sz w:val="16"/>
        </w:rPr>
        <w:t xml:space="preserve">. In contrast to these suggestions of biology’s distinctiveness, Kean Birch (Birch and Tyfield 2013; Birch 2017a, 2017b) notably criticizes the concept of 39 biocapital and, even more widely, the tendency in science and technology studies to append “bio-” onto existing theoretical concepts. Birch and Tyfield characterize this tendency as a “fetishization of everything ‘bio’” (2013:299). Birch’s most significant concerns with the proliferation of bio-concepts stem from the biological overshadowing and overwhelming the concepts to which it becomes attached (2017b). Birch and Tyfield fear that in the process, a tendency to attribute too much power to biological matter and technoscience displaces sophisticated analytical work, sacrificing attention to how economic and financial processes of modern capitalism are changing independently (2013). A key example of the latter is the shift Birch observes toward assetization and rent-seeking in the life sciences, as opposed to the Marx-influenced analyses of the commodity form that tend to dominate the STS biocapital literature. For Birch, the end result is analyses that are unable to grasp the complex, evolving relationships between biology, economies, knowledges, and societies (2017b). Against these tendencies, </w:t>
      </w:r>
      <w:r w:rsidRPr="00292282">
        <w:rPr>
          <w:rFonts w:eastAsia="Calibri"/>
          <w:u w:val="single"/>
        </w:rPr>
        <w:t xml:space="preserve">Birch argues for the need to examine the practices, political-economic actors, and knowledges involved in the creation and management of value in bio-economies.10 </w:t>
      </w:r>
      <w:r w:rsidRPr="000E092E">
        <w:rPr>
          <w:rFonts w:eastAsia="Calibri"/>
          <w:highlight w:val="cyan"/>
          <w:u w:val="single"/>
        </w:rPr>
        <w:t>The Open Insulin</w:t>
      </w:r>
      <w:r w:rsidRPr="00292282">
        <w:rPr>
          <w:rFonts w:eastAsia="Calibri"/>
          <w:u w:val="single"/>
        </w:rPr>
        <w:t xml:space="preserve"> </w:t>
      </w:r>
      <w:r w:rsidRPr="000E092E">
        <w:rPr>
          <w:rFonts w:eastAsia="Calibri"/>
          <w:highlight w:val="cyan"/>
          <w:u w:val="single"/>
        </w:rPr>
        <w:t>Project</w:t>
      </w:r>
      <w:r w:rsidRPr="00292282">
        <w:rPr>
          <w:rFonts w:eastAsia="Calibri"/>
          <w:u w:val="single"/>
        </w:rPr>
        <w:t xml:space="preserve"> </w:t>
      </w:r>
      <w:r w:rsidRPr="000E092E">
        <w:rPr>
          <w:rFonts w:eastAsia="Calibri"/>
          <w:highlight w:val="cyan"/>
          <w:u w:val="single"/>
        </w:rPr>
        <w:t>could not exist if</w:t>
      </w:r>
      <w:r w:rsidRPr="00292282">
        <w:rPr>
          <w:rFonts w:eastAsia="Calibri"/>
          <w:u w:val="single"/>
        </w:rPr>
        <w:t xml:space="preserve"> </w:t>
      </w:r>
      <w:r w:rsidRPr="000E092E">
        <w:rPr>
          <w:rFonts w:eastAsia="Calibri"/>
          <w:highlight w:val="cyan"/>
          <w:u w:val="single"/>
        </w:rPr>
        <w:t>not for</w:t>
      </w:r>
      <w:r w:rsidRPr="00292282">
        <w:rPr>
          <w:rFonts w:eastAsia="Calibri"/>
          <w:u w:val="single"/>
        </w:rPr>
        <w:t xml:space="preserve"> the </w:t>
      </w:r>
      <w:r w:rsidRPr="000E092E">
        <w:rPr>
          <w:rFonts w:eastAsia="Calibri"/>
          <w:highlight w:val="cyan"/>
          <w:u w:val="single"/>
        </w:rPr>
        <w:t>developments</w:t>
      </w:r>
      <w:r w:rsidRPr="00292282">
        <w:rPr>
          <w:rFonts w:eastAsia="Calibri"/>
          <w:u w:val="single"/>
        </w:rPr>
        <w:t xml:space="preserve"> characterized </w:t>
      </w:r>
      <w:r w:rsidRPr="000E092E">
        <w:rPr>
          <w:rFonts w:eastAsia="Calibri"/>
          <w:highlight w:val="cyan"/>
          <w:u w:val="single"/>
        </w:rPr>
        <w:t>in</w:t>
      </w:r>
      <w:r w:rsidRPr="00292282">
        <w:rPr>
          <w:rFonts w:eastAsia="Calibri"/>
          <w:u w:val="single"/>
        </w:rPr>
        <w:t xml:space="preserve"> the </w:t>
      </w:r>
      <w:r w:rsidRPr="000E092E">
        <w:rPr>
          <w:rFonts w:eastAsia="Calibri"/>
          <w:highlight w:val="cyan"/>
          <w:u w:val="single"/>
        </w:rPr>
        <w:t>biocapital</w:t>
      </w:r>
      <w:r w:rsidRPr="00292282">
        <w:rPr>
          <w:rFonts w:eastAsia="Calibri"/>
          <w:u w:val="single"/>
        </w:rPr>
        <w:t xml:space="preserve"> literature, developments it relies </w:t>
      </w:r>
      <w:r w:rsidRPr="000E092E">
        <w:rPr>
          <w:rFonts w:eastAsia="Calibri"/>
          <w:highlight w:val="cyan"/>
          <w:u w:val="single"/>
        </w:rPr>
        <w:t>on</w:t>
      </w:r>
      <w:r w:rsidRPr="00292282">
        <w:rPr>
          <w:rFonts w:eastAsia="Calibri"/>
          <w:u w:val="single"/>
        </w:rPr>
        <w:t xml:space="preserve"> for </w:t>
      </w:r>
      <w:r w:rsidRPr="000E092E">
        <w:rPr>
          <w:rFonts w:eastAsia="Calibri"/>
          <w:highlight w:val="cyan"/>
          <w:u w:val="single"/>
        </w:rPr>
        <w:t>knowledge</w:t>
      </w:r>
      <w:r w:rsidRPr="00292282">
        <w:rPr>
          <w:rFonts w:eastAsia="Calibri"/>
          <w:u w:val="single"/>
        </w:rPr>
        <w:t xml:space="preserve">, </w:t>
      </w:r>
      <w:r w:rsidRPr="000E092E">
        <w:rPr>
          <w:rFonts w:eastAsia="Calibri"/>
          <w:highlight w:val="cyan"/>
          <w:u w:val="single"/>
        </w:rPr>
        <w:t>resources</w:t>
      </w:r>
      <w:r w:rsidRPr="00292282">
        <w:rPr>
          <w:rFonts w:eastAsia="Calibri"/>
          <w:u w:val="single"/>
        </w:rPr>
        <w:t xml:space="preserve">, </w:t>
      </w:r>
      <w:r w:rsidRPr="000E092E">
        <w:rPr>
          <w:rFonts w:eastAsia="Calibri"/>
          <w:highlight w:val="cyan"/>
          <w:u w:val="single"/>
        </w:rPr>
        <w:t>and</w:t>
      </w:r>
      <w:r w:rsidRPr="00292282">
        <w:rPr>
          <w:rFonts w:eastAsia="Calibri"/>
          <w:u w:val="single"/>
        </w:rPr>
        <w:t xml:space="preserve"> </w:t>
      </w:r>
      <w:r w:rsidRPr="000E092E">
        <w:rPr>
          <w:rFonts w:eastAsia="Calibri"/>
          <w:highlight w:val="cyan"/>
          <w:u w:val="single"/>
        </w:rPr>
        <w:t>intelligibility</w:t>
      </w:r>
      <w:r w:rsidRPr="00292282">
        <w:rPr>
          <w:rFonts w:eastAsia="Calibri"/>
          <w:u w:val="single"/>
        </w:rPr>
        <w:t xml:space="preserve">. </w:t>
      </w:r>
      <w:r w:rsidRPr="00292282">
        <w:rPr>
          <w:rFonts w:eastAsia="Calibri"/>
          <w:sz w:val="16"/>
        </w:rPr>
        <w:t xml:space="preserve">While my analysis of the Open Insulin Project draws heavily on the existing biocapital literature, I aim to 10 Birch and Tyfield (2013) do refer to the bioeconomy, acknowledging that in so doing, they fall into the same “bio-everything” trap. 40 avoid Sunder Rajan’s, Cooper’s, and Marx’s (over)deterministic interpretations and to find, through the example of Open Insulin, more room for alternative formations. Employing ethnography and empiricism as advocated by both Sunder Rajan and Birch, I strive to stay grounded among the actors and practices that produce the value of the Open Insulin Project, looking at how they craft and characterize their approach. This approach emerges specifically from the bioengineering and biomedical landscapes of the Bay Area, enabled by a persistent desire for increasing control over biomatter and from strong ethical objections to the capitalization of health and medicine in particular. </w:t>
      </w:r>
      <w:r w:rsidRPr="00292282">
        <w:rPr>
          <w:rFonts w:eastAsia="Calibri"/>
          <w:u w:val="single"/>
        </w:rPr>
        <w:t xml:space="preserve">My study of Open Insulin suggests that if </w:t>
      </w:r>
      <w:r w:rsidRPr="000E092E">
        <w:rPr>
          <w:rFonts w:eastAsia="Calibri"/>
          <w:highlight w:val="cyan"/>
          <w:u w:val="single"/>
        </w:rPr>
        <w:t>the entanglement of biology, biotechnology, and capital</w:t>
      </w:r>
      <w:r w:rsidRPr="00292282">
        <w:rPr>
          <w:rFonts w:eastAsia="Calibri"/>
          <w:u w:val="single"/>
        </w:rPr>
        <w:t xml:space="preserve"> </w:t>
      </w:r>
      <w:r w:rsidRPr="000E092E">
        <w:rPr>
          <w:rFonts w:eastAsia="Calibri"/>
          <w:highlight w:val="cyan"/>
          <w:u w:val="single"/>
        </w:rPr>
        <w:t>is</w:t>
      </w:r>
      <w:r w:rsidRPr="00292282">
        <w:rPr>
          <w:rFonts w:eastAsia="Calibri"/>
          <w:u w:val="single"/>
        </w:rPr>
        <w:t xml:space="preserve"> indeed an overdetermination of the life sciences by capitalist political economy (Sunder Rajan 2006) or their annexation within capitalist forms of accumulation (Cooper 2011), it is incomplete, contestable, and perhaps, </w:t>
      </w:r>
      <w:r w:rsidRPr="000E092E">
        <w:rPr>
          <w:rFonts w:eastAsia="Calibri"/>
          <w:highlight w:val="cyan"/>
          <w:u w:val="single"/>
        </w:rPr>
        <w:t>extricable</w:t>
      </w:r>
      <w:r w:rsidRPr="00292282">
        <w:rPr>
          <w:rFonts w:eastAsia="Calibri"/>
          <w:u w:val="single"/>
        </w:rPr>
        <w:t xml:space="preserve">. </w:t>
      </w:r>
      <w:r w:rsidRPr="00292282">
        <w:rPr>
          <w:rFonts w:eastAsia="Calibri"/>
          <w:sz w:val="16"/>
        </w:rPr>
        <w:t xml:space="preserve">Making Open Insulin The Open Insulin Project is a volunteer team comprising—among others—self-proclaimed “biohackers” and “mad scientists”; community activists; computer hardware and software engineers; students, retirees, PhDs, and professionals; and the gainfully, self-, un-, and under-employed. These folks took different paths to get involved with the project, but there are some clear running themes among its founders and most consistent members. These themes reflect the conditions that make the Project possible, providing the materials, the labor, and the will that Open Insulin needs to operate; they also carry within them some of the tensions that made Open Insulin challenging. Members were generally well educated, often in computer and information sciences, indicative of the way biology is increasingly tied not only to engineering, but to computer engineering specifically. This has allowed open-source and hacker activists to identify biotechnological interventions. Several of the Project’s volunteer members were between jobs or splitting their time between Open Insulin and other commitments in the Bay Area’s tech-oriented economy. These members felt qualified and compelled to intervene in healthcare economies by becoming producers of biomedicine, and they did so as a vehicle for their moral objections to the capitalization of healthcare. These individual stories of involvement—“community bios”—are woven into the history of the Project itself, from its foundation to approximately four years into its existence. This “community bio” illustrates how Open Insulin was conceived, how its home, Counter Culture Labs, was built in the shadow of Bay Area’s biotech industry. It also illustrates how the Project drew on synthetic biology and its particular fusion of biology and engineering. Finally, it demonstrates how Open Insulin engaged the existing biomedical system using a calculated strategy of circumvention based largely on precedents in software. While this strategy provided an empowering sort of roadmap for the 42 Project, it also implicitly accepted many of the features of biocapitalist order (see Chapter 2). </w:t>
      </w:r>
      <w:r w:rsidRPr="00292282">
        <w:rPr>
          <w:rFonts w:eastAsia="Calibri"/>
          <w:u w:val="single"/>
        </w:rPr>
        <w:t xml:space="preserve">Overall, the collective story of the Project further demonstrates how </w:t>
      </w:r>
      <w:r w:rsidRPr="000E092E">
        <w:rPr>
          <w:rFonts w:eastAsia="Calibri"/>
          <w:highlight w:val="cyan"/>
          <w:u w:val="single"/>
        </w:rPr>
        <w:t>biocapital</w:t>
      </w:r>
      <w:r w:rsidRPr="00292282">
        <w:rPr>
          <w:rFonts w:eastAsia="Calibri"/>
          <w:u w:val="single"/>
        </w:rPr>
        <w:t xml:space="preserve"> </w:t>
      </w:r>
      <w:r w:rsidRPr="000E092E">
        <w:rPr>
          <w:rFonts w:eastAsia="Calibri"/>
          <w:highlight w:val="cyan"/>
          <w:u w:val="single"/>
        </w:rPr>
        <w:t>underwrote</w:t>
      </w:r>
      <w:r w:rsidRPr="00292282">
        <w:rPr>
          <w:rFonts w:eastAsia="Calibri"/>
          <w:u w:val="single"/>
        </w:rPr>
        <w:t xml:space="preserve"> Open Insulin’s </w:t>
      </w:r>
      <w:r w:rsidRPr="000E092E">
        <w:rPr>
          <w:rFonts w:eastAsia="Calibri"/>
          <w:highlight w:val="cyan"/>
          <w:u w:val="single"/>
        </w:rPr>
        <w:t>antibiocapitalism</w:t>
      </w:r>
      <w:r w:rsidRPr="00292282">
        <w:rPr>
          <w:rFonts w:eastAsia="Calibri"/>
          <w:u w:val="single"/>
        </w:rPr>
        <w:t>. This “</w:t>
      </w:r>
      <w:r w:rsidRPr="000E092E">
        <w:rPr>
          <w:rFonts w:eastAsia="Calibri"/>
          <w:highlight w:val="cyan"/>
          <w:u w:val="single"/>
        </w:rPr>
        <w:t>community</w:t>
      </w:r>
      <w:r w:rsidRPr="00292282">
        <w:rPr>
          <w:rFonts w:eastAsia="Calibri"/>
          <w:u w:val="single"/>
        </w:rPr>
        <w:t xml:space="preserve"> </w:t>
      </w:r>
      <w:r w:rsidRPr="000E092E">
        <w:rPr>
          <w:rFonts w:eastAsia="Calibri"/>
          <w:highlight w:val="cyan"/>
          <w:u w:val="single"/>
        </w:rPr>
        <w:t>bio</w:t>
      </w:r>
      <w:r w:rsidRPr="00292282">
        <w:rPr>
          <w:rFonts w:eastAsia="Calibri"/>
          <w:u w:val="single"/>
        </w:rPr>
        <w:t xml:space="preserve">” </w:t>
      </w:r>
      <w:r w:rsidRPr="000E092E">
        <w:rPr>
          <w:rFonts w:eastAsia="Calibri"/>
          <w:highlight w:val="cyan"/>
          <w:u w:val="single"/>
        </w:rPr>
        <w:t>shows</w:t>
      </w:r>
      <w:r w:rsidRPr="00292282">
        <w:rPr>
          <w:rFonts w:eastAsia="Calibri"/>
          <w:u w:val="single"/>
        </w:rPr>
        <w:t xml:space="preserve"> </w:t>
      </w:r>
      <w:r w:rsidRPr="000E092E">
        <w:rPr>
          <w:rFonts w:eastAsia="Calibri"/>
          <w:highlight w:val="cyan"/>
          <w:u w:val="single"/>
        </w:rPr>
        <w:t>how</w:t>
      </w:r>
      <w:r w:rsidRPr="00292282">
        <w:rPr>
          <w:rFonts w:eastAsia="Calibri"/>
          <w:u w:val="single"/>
        </w:rPr>
        <w:t xml:space="preserve"> Open Insulin developed from its inception and the </w:t>
      </w:r>
      <w:r w:rsidRPr="000E092E">
        <w:rPr>
          <w:rFonts w:eastAsia="Calibri"/>
          <w:highlight w:val="cyan"/>
          <w:u w:val="single"/>
        </w:rPr>
        <w:t>factors</w:t>
      </w:r>
      <w:r w:rsidRPr="00292282">
        <w:rPr>
          <w:rFonts w:eastAsia="Calibri"/>
          <w:u w:val="single"/>
        </w:rPr>
        <w:t xml:space="preserve"> that </w:t>
      </w:r>
      <w:r w:rsidRPr="000E092E">
        <w:rPr>
          <w:rFonts w:eastAsia="Calibri"/>
          <w:highlight w:val="cyan"/>
          <w:u w:val="single"/>
        </w:rPr>
        <w:t>enabled its progress while</w:t>
      </w:r>
      <w:r w:rsidRPr="00292282">
        <w:rPr>
          <w:rFonts w:eastAsia="Calibri"/>
          <w:u w:val="single"/>
        </w:rPr>
        <w:t xml:space="preserve"> also </w:t>
      </w:r>
      <w:r w:rsidRPr="000E092E">
        <w:rPr>
          <w:rFonts w:eastAsia="Calibri"/>
          <w:highlight w:val="cyan"/>
          <w:u w:val="single"/>
        </w:rPr>
        <w:t>gesturing</w:t>
      </w:r>
      <w:r w:rsidRPr="00292282">
        <w:rPr>
          <w:rFonts w:eastAsia="Calibri"/>
          <w:u w:val="single"/>
        </w:rPr>
        <w:t xml:space="preserve"> toward some of the </w:t>
      </w:r>
      <w:r w:rsidRPr="000E092E">
        <w:rPr>
          <w:rFonts w:eastAsia="Calibri"/>
          <w:highlight w:val="cyan"/>
          <w:u w:val="single"/>
        </w:rPr>
        <w:t>difficulties</w:t>
      </w:r>
      <w:r w:rsidRPr="00292282">
        <w:rPr>
          <w:rFonts w:eastAsia="Calibri"/>
          <w:u w:val="single"/>
        </w:rPr>
        <w:t xml:space="preserve"> and hurdles it encountered along the way.</w:t>
      </w:r>
    </w:p>
    <w:p w14:paraId="68BA38B6" w14:textId="77777777" w:rsidR="000E092E" w:rsidRDefault="000E092E" w:rsidP="006C0B77">
      <w:pPr>
        <w:pStyle w:val="Heading1"/>
      </w:pPr>
      <w:r>
        <w:t>Theory of Power</w:t>
      </w:r>
    </w:p>
    <w:p w14:paraId="4B1E8CA3" w14:textId="77777777" w:rsidR="000E092E" w:rsidRDefault="000E092E" w:rsidP="006C0B77">
      <w:pPr>
        <w:pStyle w:val="Heading2"/>
      </w:pPr>
      <w:r>
        <w:t>IP</w:t>
      </w:r>
    </w:p>
    <w:p w14:paraId="7D035A71" w14:textId="77777777" w:rsidR="006C0B77" w:rsidRDefault="006C0B77" w:rsidP="006C0B77">
      <w:pPr>
        <w:pStyle w:val="Heading3"/>
        <w:rPr>
          <w:rFonts w:eastAsia="Times New Roman"/>
        </w:rPr>
      </w:pPr>
      <w:r>
        <w:rPr>
          <w:rFonts w:eastAsia="Times New Roman"/>
        </w:rPr>
        <w:t>Generic</w:t>
      </w:r>
    </w:p>
    <w:p w14:paraId="04B18FE0" w14:textId="77777777" w:rsidR="006C0B77" w:rsidRPr="00543003" w:rsidRDefault="006C0B77" w:rsidP="006C0B77">
      <w:pPr>
        <w:pStyle w:val="Heading4"/>
        <w:rPr>
          <w:rFonts w:eastAsia="Times New Roman"/>
        </w:rPr>
      </w:pPr>
      <w:r>
        <w:rPr>
          <w:rFonts w:eastAsia="Times New Roman"/>
        </w:rPr>
        <w:t>Intellectual property regimes are insidious international networks of biopolitical power—ipr gives ownership rights to imperialists, manufacturing consent for its system—rights concerning ownership of life itself are now on the table</w:t>
      </w:r>
    </w:p>
    <w:p w14:paraId="2AE92A5E" w14:textId="77777777" w:rsidR="006C0B77" w:rsidRDefault="006C0B77" w:rsidP="006C0B77">
      <w:pPr>
        <w:rPr>
          <w:b/>
          <w:bCs/>
        </w:rPr>
      </w:pPr>
      <w:r w:rsidRPr="006A4805">
        <w:t xml:space="preserve">Daphne </w:t>
      </w:r>
      <w:r>
        <w:rPr>
          <w:rStyle w:val="Style13ptBold"/>
        </w:rPr>
        <w:t>Esquivel-Sada 2022</w:t>
      </w:r>
    </w:p>
    <w:p w14:paraId="4E0B0F25" w14:textId="77777777" w:rsidR="006C0B77" w:rsidRPr="006A4805" w:rsidRDefault="006C0B77" w:rsidP="006C0B77">
      <w:r w:rsidRPr="006A4805">
        <w:t>Sociologist, Centre of Genomics and Policy and Faculty at the School of Sociological &amp; Anthropological Studies, University of Ottawa, Canada Responsible intellectual property rights? Untangling open-source biotech adherence to intellectual property rights through DIYbio, (</w:t>
      </w:r>
      <w:hyperlink r:id="rId9" w:history="1">
        <w:r>
          <w:rPr>
            <w:rStyle w:val="Hyperlink"/>
          </w:rPr>
          <w:t>https://www.sciencedirect.com/science/article/pii/S0160791X22001464</w:t>
        </w:r>
      </w:hyperlink>
      <w:r w:rsidRPr="006A4805">
        <w:t>)</w:t>
      </w:r>
    </w:p>
    <w:p w14:paraId="1950E4B9" w14:textId="77777777" w:rsidR="006C0B77" w:rsidRPr="006A4805" w:rsidRDefault="006C0B77" w:rsidP="006C0B77">
      <w:pPr>
        <w:rPr>
          <w:sz w:val="16"/>
        </w:rPr>
      </w:pPr>
      <w:r w:rsidRPr="006A4805">
        <w:rPr>
          <w:sz w:val="16"/>
        </w:rPr>
        <w:t xml:space="preserve">Why in America, country of democracy par excellence, does no one raise against property in general the complaints that often resound in Europe? Is it necessary to say? In America there are no proletarians. Each person, having an individual possession to defend, recognizes in principle the right of property. Alexis de Tocqueville, Democracy in America Since Louis Pasteur was granted a patent, both in U.S. and Europe, on a process for beer fermentation in 1873, the realm of the living has been directly affected by intellectual property (IP) rights [1]. However, </w:t>
      </w:r>
      <w:r>
        <w:rPr>
          <w:b/>
          <w:bCs/>
          <w:u w:val="single"/>
        </w:rPr>
        <w:t>the biological organism</w:t>
      </w:r>
      <w:r>
        <w:rPr>
          <w:u w:val="single"/>
        </w:rPr>
        <w:t xml:space="preserve">, recognized as neither machine nor factory, </w:t>
      </w:r>
      <w:r>
        <w:rPr>
          <w:b/>
          <w:bCs/>
          <w:u w:val="single"/>
        </w:rPr>
        <w:t>remained unpatentable as an individual entity for over a century</w:t>
      </w:r>
      <w:r>
        <w:rPr>
          <w:u w:val="single"/>
        </w:rPr>
        <w:t>.</w:t>
      </w:r>
      <w:r w:rsidRPr="006A4805">
        <w:rPr>
          <w:sz w:val="16"/>
        </w:rPr>
        <w:t xml:space="preserve">1 </w:t>
      </w:r>
      <w:r>
        <w:rPr>
          <w:u w:val="single"/>
        </w:rPr>
        <w:t xml:space="preserve">In 1980, the conclusion of the </w:t>
      </w:r>
      <w:r>
        <w:rPr>
          <w:b/>
          <w:bCs/>
          <w:u w:val="single"/>
        </w:rPr>
        <w:t>Diamond v. Chakrabarty</w:t>
      </w:r>
      <w:r>
        <w:rPr>
          <w:u w:val="single"/>
        </w:rPr>
        <w:t xml:space="preserve"> case put an </w:t>
      </w:r>
      <w:r>
        <w:rPr>
          <w:b/>
          <w:bCs/>
          <w:u w:val="single"/>
        </w:rPr>
        <w:t>end</w:t>
      </w:r>
      <w:r>
        <w:rPr>
          <w:u w:val="single"/>
        </w:rPr>
        <w:t xml:space="preserve"> to said social consensus. It broadened the legal scope of the theory of manufacture, underpinning patent law, so as to </w:t>
      </w:r>
      <w:r>
        <w:rPr>
          <w:b/>
          <w:bCs/>
          <w:u w:val="single"/>
        </w:rPr>
        <w:t>allow the inclusion of biological entities</w:t>
      </w:r>
      <w:r w:rsidRPr="006A4805">
        <w:rPr>
          <w:sz w:val="16"/>
        </w:rPr>
        <w:t xml:space="preserve"> [2]:269). In the same year, the promulgation of the Bayh-Dole Act led to a dramatic extension of the scope of IP rights, whose effects TRIPS (trade-related aspects of intellectual property) agreement has globalized [3]. </w:t>
      </w:r>
      <w:r>
        <w:rPr>
          <w:u w:val="single"/>
        </w:rPr>
        <w:t>A new age for IP rights on life forms began, reshaping both the biotechnology industry and public research.</w:t>
      </w:r>
      <w:r w:rsidRPr="006A4805">
        <w:rPr>
          <w:sz w:val="16"/>
        </w:rPr>
        <w:t xml:space="preserve"> In the wake of such social, cultural, ethical, and legal transformations, the technoscientific-industrial complex of biotechnologies entered the twentieth century under a sword of Damocles: the “tragedy of the anti-commons” [4]. On the threshold of the purported post-genomic era, eyes turned to the hacker ethos, as formalized in the figure of the distributed/open-innovation paradigm of open-source framework [5], as an antidote to this state of affairs [[6], [7], [8], [9], [10], [11], [12]].2 The open-source model emerged as a lifeline allegedly providing transparency and publicity—and thus "morality" [13]—lacking in biotechnology since the neoliberalization of technoscience [14,15]. Gaining institutional shape at the turn of the century, synthetic biology represents the first biotechnoscientific effort to have, from the very beginning, trumpeted loudly and widely its will to model its organization and production after an open-source approach to innovation [10,16]. The inspiration drawn from open-source philosophy, frameworks, and licensing was paramount to the point that its founders considered christening it “open-source biology” [17]:116). It has also fuelled crucial discussions “about the right mix of proprietary control and open access in the field” [18]:34). As the historian of science Luis Campos notes, “[m]atters of IP have been a characteristic and recurring concern of synthetic biology since its very birth” [17]:116). This concern has given rise to a substantial literature drawing on ethnographic, theoretical and documentary approaches to tackle IP issues in synthetic biology from perspectives as varied as sociological [[18], [19], [20], [21]], legal [10,22,23], historical [17], and technological development [24]. I aim to contribute to this body of work with a different approach and analytical focus: qualitative interviews with enthusiasts of Do-It-Yourself biology (DIYbio), a. k.a. bio-hackers. How practitioners of the most active and evolved endeavour of an open-source biology biotechnology, which can be defined as the public arm of synthetic biology, see and think about IP rights system? How do supporters of a hacker-approach to biotechnology conceive the patenting of life forms and the IP regime in general? How biohackers' attachments to open-source interrelate with their conceptions of the IP system more broadly? Grounded in science studies, and drawing principally on scholarship on hacking and biotechnology, this paper probes these questions through a discursive analysis of biohackers' perspectives on IP rights system. After an overview of the DIYbio phenomenon and the methodology adopted in the study, the paper delves into interviewees’ relationship to the IP system. The analysis highlights an unstable stance, oscillating between, and at times hybridising, compliance-disapproval. I propose to grasp this perspective through the concept of responsible IP rights (RIPR). Related to responsible innovation (RI), the latter is particularly committed to (bio)technological innovation through normative ideals of open-source such as inclusiveness, horizontality, participatory practices, and individual autonomy. The conclusion sketches some implications ensuing from this relationship to the IP system. 1. Open-sourcing biotechnology with do-it-yourself bio Founded in 2008 in the neighbourhoods of the Massachusetts Institute of Technology (MIT), DIYbio may be said to be the most advanced effort to date seeking to translate the hacker approach of software development into biotechnosciences ([13,25]:242).3 This global network of wet-laboratory initiatives aims to “do biology” as hackers have done informatics: in an “open,” collaborative, egalitarian and nonconformist way, accessible to neophytes and to anyone else willing to practice molecular biology and biotechnology in a non-institutional setting [26]. DIYbio positions itself in the genealogical lineage of two major U.S. cultural phenomena: computer hacking, which under the form of open-source [25,27] has spread since the 1990s, and the DIY (Do-it-yourself) tradition of individual empowerment [28,29], also evolving under the Maker logo ([30]; see also [31]).4 Aligned with a bio-making regime ([32]; see also [33]), bio-hackers claim the right to experiment with molecular biology and biotechnologies [34,35]:104–144; [36], as they tinker with equipment, reagents, protocols and microbes in harmony with hacker norms [13]. From geeks to artists, to students, to curious neophytes, and higher education graduates in biotechnosciences more or less weary of academic or corporate world, DIYbio laboratories bring together people with the most heterogeneous tastes, backgrounds and objectives. Like in hacker culture, where technological innovation, exaltation of personal autonomy, and democratic markers become entangled [[37], [38], [39]], DIYbio activities may be undertaken with educational, personal, entertainment, entrepreneurial, expressive, or artistic purposes, in unison with a utilitarian bioeconomy, or as an end in themselves [40]. In the same vein as personal computing, DIYbio strives to convert biotechnologies into “personal biotech” [30]; see also [13] by instilling the ideal of individual autonomy into the practice of biotechnologies [13].5 DIYbio is thus seen as biotech “produced by and for the people” [13]:240; see also [32,41]. </w:t>
      </w:r>
      <w:r>
        <w:rPr>
          <w:rStyle w:val="StyleUnderline"/>
        </w:rPr>
        <w:t xml:space="preserve">Thanks to the development of bio-hacking, artisans, inventors, and tinkerers would be able to appropriate genomics, microorganism cloning, microbiology, and genetic engineering for their own sake. Biotechnologies would then no longer be “received” as they are now (because born according to the standards of institutions and corporations), but designed by everyone for bespoke purposes (such as microbes modified to shine a singular color, or to synthesize a specific nutrient or pharmaceutical, or designed to make art). </w:t>
      </w:r>
      <w:r w:rsidRPr="006A4805">
        <w:rPr>
          <w:sz w:val="16"/>
        </w:rPr>
        <w:t xml:space="preserve">The DIYbio project is also beholden to its contemporary biotechnoscientific underwriter, synthetic biology. This discipline combines, in its own way, a penchant for bio-manufacturing [42] with a hacker ethos [43].6 Institutionalised </w:t>
      </w:r>
      <w:r>
        <w:rPr>
          <w:rStyle w:val="StyleUnderline"/>
        </w:rPr>
        <w:t>in the early 2000s in the cradle of MIT's hacker culture, synthetic biology leaders have strived to find technical, legal, social, and material ways through their wishful “</w:t>
      </w:r>
      <w:r>
        <w:rPr>
          <w:rStyle w:val="Emphasis"/>
        </w:rPr>
        <w:t>open-source biology</w:t>
      </w:r>
      <w:r w:rsidRPr="006A4805">
        <w:rPr>
          <w:sz w:val="16"/>
        </w:rPr>
        <w:t xml:space="preserve">” [17]. Notably, </w:t>
      </w:r>
      <w:r>
        <w:rPr>
          <w:rStyle w:val="StyleUnderline"/>
        </w:rPr>
        <w:t>open-source openness ideals have been infused into the trademarked socio-genetic object that has given it a unique identity</w:t>
      </w:r>
      <w:r w:rsidRPr="006A4805">
        <w:rPr>
          <w:sz w:val="16"/>
        </w:rPr>
        <w:t xml:space="preserve">, i.e., BioBricks parts: standardized, functionalized, modularized, and interchangeable DNA sequences made to fit electronic engineering construction principles [20,35]:61, 129). </w:t>
      </w:r>
      <w:r>
        <w:rPr>
          <w:rStyle w:val="StyleUnderline"/>
        </w:rPr>
        <w:t>Its promise to transform biology into a tool and a platform for innovation, creation, and design accessible to all [44], inclusively along the lines of a personal biotech</w:t>
      </w:r>
      <w:r w:rsidRPr="006A4805">
        <w:rPr>
          <w:sz w:val="16"/>
        </w:rPr>
        <w:t xml:space="preserve"> (see [21]), lends DIYbio's mission technoscientific plausibility: “As </w:t>
      </w:r>
      <w:r>
        <w:rPr>
          <w:rStyle w:val="StyleUnderline"/>
        </w:rPr>
        <w:t>synthetic biologists made bioengineering technology easier and more accessible</w:t>
      </w:r>
      <w:r w:rsidRPr="006A4805">
        <w:rPr>
          <w:sz w:val="16"/>
        </w:rPr>
        <w:t xml:space="preserve">, [the cofounders of DIYbio] promoted wider adoption among the public” [40]:5). More precisely, DIYbio and synthetic biology are conceived here as entangled and symbiotic objects.7 Genealogically, DIYbio network counts on the support and encouragement of synthetic biologists [35,42]. Socio-culturally, synthetic biology's annual competition of MIT, i.e. iGEM (International Genetically Engineered Machine competition), produces (and welcomes) a significant number of DIYbio enthusiasts [42,45]:130). Techno-epistemically, they share a desire to deskill bioengineering [42,46,47]. Their common allegiance to the open-source model, as the grounds of their promise for a user-friendly bioengineering accessible to all [20]:177), weaves them together ideologically as well. The hacker ethos of software development was given legal form in 1985, by Richard Stallman, under the figure of free software. However, it was as of 1998, under the less business-off-putting open-source label, that the hacker ethos was acknowledged as a felicitous framework for independent and collaborative work, capacious enough to encompass norms as accessibility, transparency, sharing, co-production, freedom, self-determination, horizontality, egalitarianism, and participation [39,48]. Thanks to its political neutrality and ideological elasticity, open-source may be appropriated by allegiances as diverse as incompatible [38]:185–205), which grants it a place in the productive-system of the open-market economy [48,49]; see also [50]. </w:t>
      </w:r>
      <w:r>
        <w:rPr>
          <w:rStyle w:val="StyleUnderline"/>
        </w:rPr>
        <w:t>As individualists who are neither possessive nor selfish, hackers have forged an IP model to their image</w:t>
      </w:r>
      <w:r w:rsidRPr="006A4805">
        <w:rPr>
          <w:sz w:val="16"/>
        </w:rPr>
        <w:t xml:space="preserve">, one which allows them to innovate by sharing, following a cumulative and collective approach, while retaining individual freedom and autonomy [[37], [38], [39]]. </w:t>
      </w:r>
      <w:r>
        <w:rPr>
          <w:u w:val="single"/>
        </w:rPr>
        <w:t>The hacker model of technological production proceeds from a “</w:t>
      </w:r>
      <w:r>
        <w:rPr>
          <w:rStyle w:val="Emphasis"/>
        </w:rPr>
        <w:t>recursive loop</w:t>
      </w:r>
      <w:r>
        <w:rPr>
          <w:u w:val="single"/>
        </w:rPr>
        <w:t>” [51] of re-creation, repurposing, and betterment, “which above all requires access to other people's work” [38]:118). For my purposes here, IP system can be divided into two main figures: copyright, which protects the expressive value of creations, and patent law, which is applied to instrumentally tangible inventions.</w:t>
      </w:r>
      <w:r w:rsidRPr="006A4805">
        <w:rPr>
          <w:sz w:val="16"/>
        </w:rPr>
        <w:t xml:space="preserve"> Patent rights were designed to act as a drive in the invention process8: as a social recognition of, and compensation for the efforts undertaken, they grant patent holders a temporary monopoly right over their inventions, and the corollary “right to sue” [3]:145). For their part, open-source software protection licenses, popularly known as copyleft, are distinctive. Firstly, </w:t>
      </w:r>
      <w:r>
        <w:rPr>
          <w:u w:val="single"/>
        </w:rPr>
        <w:t>software is in a legal limbo with IP: source code consists both of “[…] an expressive medium, like writing or speech, and a tool that performs concrete actions” [39]:118). Secondly, in open-source, property is conceived as distribution</w:t>
      </w:r>
      <w:r w:rsidRPr="006A4805">
        <w:rPr>
          <w:sz w:val="16"/>
        </w:rPr>
        <w:t xml:space="preserve"> [52]: IP copyrights are claimed to guarantee holder's distribution rights over software source codes and the necessary freewheeling in the unrestricted and unlimited modifications-to-come, rather than to enforce the holder's protection rights over authorship work. The redistribution of agency, power, and knowledge [39] that emerges from open-source publicity devices, conceived for sharing information and development methods of a digital technology, endows </w:t>
      </w:r>
      <w:r>
        <w:rPr>
          <w:rStyle w:val="StyleUnderline"/>
        </w:rPr>
        <w:t>the hacker paradigm with much of a visceral cultural power: “</w:t>
      </w:r>
      <w:r>
        <w:rPr>
          <w:rStyle w:val="Emphasis"/>
        </w:rPr>
        <w:t>It is about making things public</w:t>
      </w:r>
      <w:r w:rsidRPr="006A4805">
        <w:rPr>
          <w:sz w:val="16"/>
        </w:rPr>
        <w:t xml:space="preserve">,” emphasizes cultural anthropologist Christopher Kelty [39]:x). Sociologist Jane Calvert has scrutinized the motivations underpinning the adoption of the open-source model by synthetic biology. The drivers appear as manifold: she observes a pragmatic desire to bring bio-innovation to its full potential by opening/distributing innovation agency, often conjoined with a democratic aspiration of claiming a political right to access biotechnologies (2012; see also [44]. DIYbio, by framing biotechnological practice and innovation9 as a matter of public rights and “a mode of political speech” [35]:105–144; also [41], tightly weaves democratic/biotechnological development threads.37 Consonant with the typical duality of open-source, </w:t>
      </w:r>
      <w:r>
        <w:rPr>
          <w:u w:val="single"/>
        </w:rPr>
        <w:t>bio-hacking is seen as standing “between activism and entrepreneurship</w:t>
      </w:r>
      <w:r w:rsidRPr="006A4805">
        <w:rPr>
          <w:sz w:val="16"/>
        </w:rPr>
        <w:t xml:space="preserve">” [53]: while several DIYbio projects evolve towards entrepreneurial ventures, and DIYbio labs incubate and coach start-ups [54], other DIYbio teams nourish market-free intentions [55]. The relationship of DIYbio world to the IP system tends to convey a similar tension as the one driving the adoption of the open-source approach. On the one hand, the extant literature shows that patent rights tend to jeopardize the pursuit of DIYbio projects [56]:163–171 [55,57]:32–35; [58], on the other hand, it pinpoints that the questioning of IP rights within DIYbio communities remains open or should not be taken for granted [25,30,55]:169,172). To be sure, the plurality of actors, the heterogeneity of local communities and projects, the normative ambivalence, and the political ambiguity that surrounds DIYbio [13,59] advise against generalisations. Without losing that of sight, I introduce the concept of RIPR in an attempt to allow us to get beyond the apparent tension and make sense of it, while accounting for the fuzziness of DIYbio stances. 2. Methodological considerations The analysis presented here stems from broader research on bio-hackers’ worldviews. By that I mean the set of ideas, values, norms, and representations on a variety of pivotal topics involving their practices. </w:t>
      </w:r>
      <w:r>
        <w:rPr>
          <w:u w:val="single"/>
        </w:rPr>
        <w:t xml:space="preserve">The focus is thus not on the legal soundness of their perspectives with regard to the legislative apparatus of IP rights, nor in sketching a socio-legal synopsis of what could be an </w:t>
      </w:r>
      <w:r>
        <w:rPr>
          <w:rStyle w:val="Emphasis"/>
        </w:rPr>
        <w:t>open-source IP</w:t>
      </w:r>
      <w:r>
        <w:rPr>
          <w:u w:val="single"/>
        </w:rPr>
        <w:t xml:space="preserve"> </w:t>
      </w:r>
      <w:r w:rsidRPr="006A4805">
        <w:rPr>
          <w:sz w:val="16"/>
        </w:rPr>
        <w:t>in biotechnosciences. Instead, the goal is to expand the understanding of the symbolic pool that loads biohacking practice with meaning, contributing thus to a synthetic understanding of the socio-historical transformation underlying “open-source biotech.” With this in mind</w:t>
      </w:r>
      <w:r>
        <w:rPr>
          <w:u w:val="single"/>
        </w:rPr>
        <w:t xml:space="preserve">, a semi-structured interview guide was designed following a comprehensive-sociological approach </w:t>
      </w:r>
      <w:r w:rsidRPr="006A4805">
        <w:rPr>
          <w:sz w:val="16"/>
        </w:rPr>
        <w:t xml:space="preserve">[60]. In addition to a question on interviewees’ trajectory, it included six main themes defined </w:t>
      </w:r>
      <w:r>
        <w:rPr>
          <w:rStyle w:val="StyleUnderline"/>
        </w:rPr>
        <w:t>on the basis of the research goal, the extant scholarship on bio-hacking and DIYbio literature as well as on issues surrounding the biotechnology field more broadly</w:t>
      </w:r>
      <w:r w:rsidRPr="006A4805">
        <w:rPr>
          <w:sz w:val="16"/>
        </w:rPr>
        <w:t xml:space="preserve">. The themes were the following: the personal interests in DIYbio (1), the use of the term bio-hacking and the DIYbio claim of hacker lineage (2), ethical implications involving the biotechnoscientific manipulation of life forms (3), contemporary science issues identified by participants and the DIYbio hands-on </w:t>
      </w:r>
      <w:r>
        <w:rPr>
          <w:rStyle w:val="StyleUnderline"/>
        </w:rPr>
        <w:t xml:space="preserve">approach to </w:t>
      </w:r>
      <w:r>
        <w:rPr>
          <w:rStyle w:val="Emphasis"/>
        </w:rPr>
        <w:t>scientific democratization</w:t>
      </w:r>
      <w:r w:rsidRPr="006A4805">
        <w:rPr>
          <w:sz w:val="16"/>
        </w:rPr>
        <w:t xml:space="preserve"> (4), the relationship between DIYbio and synthetic biology (5), IP and patent systems, the open-source alternative and entrepreneurship in DIYbio (6). The recruitment process sought to account for different views: those of the founders of the Canadian DIYbio initiatives, the members of the DIYbio network with hacker and synthetic biology backgrounds, and the dissonant voices within the communities. In respect to the latter, observations of meetings of two community initiatives were paramount, because these allowed me to identify DIYbio enthusiasts whose positioning or trajectory stood-out, making them potential participants. Of the fifty-nine direct and indirect members of the DIYbio network10 invited to participate in interviews, twenty-six took part, and one subsequently asked to withdraw. The twenty-five interviewees (eight women and seventeen men) are active in art, ICT (information &amp; communication technology), media studies, software development, life and medical sciences.11 All interviews were conducted in person with participants located in Canada, with three exceptions (which resulted from the so-called snowball strategy and gave rise to three interviews with video support with one participant located in the US and two in a South American country). Recorded with permission of the participants, the interviews were conducted between July 2013 and June 2015, and lasted between 1 and 3 h. Most took place in English, a few in French. Interviews were analysed following semantic-structural methods as conceived in the sociology of knowledge by, among others, Paul Sabourin [60].12 The analytical framework was both theoretically grounded and reoriented in the light of empirical data, in a cyclical dynamic [61]. Over the process of segmentation of the excerpts , I gradually identified contents relevant to the research object and defined empirical categories. Consistent with a comprehensive approach, the contents of the empirical categories were first examined on a monographic level, in an attempt to delve into each participant's socio-symbolic universe. Then I engaged in the transversal analysis, focused on the relationships between categories which allowed me to find a cognitive organization of the discourses and obtain a synthetic view of the object (in this case, IP). Despite a concern for identifying commonalities and discrepancies in interviewees’ perspectives according to the various socio-cultural backgrounds mentioned above (art, ICT, media studies, software development, life and medical sciences), with regard to the discussions on IP rights and patenting no identity boundaries between the groups have proved productive within the limits of the research corpus. However, as some socio-cultural backgrounds are only singly-represented, for anonymity protection, I make use here of a threefold identity typology that did prove productive with respect to other dimensions of the research. It consists of biotechnoscience academics (referred to as academics in the following, and composed of fifteen undergraduate and graduate students, university professors, doctoral and postdoctoral researchers), techies (savvy technologists assembling seven computer scientists and ITC people, hackers, communication, and medical science participants, who express an axiological valorisation of the hacker ethos and a need for personal and intensive contact with various technological devices), and artists (three).13 3. A responsible IP In the interviews, the question on traditional IP and the patent system is the one eliciting the most nuanced responses. Frequently preceded by sighs, laughter, or expressions suggesting a certain despondency (such as “this is a complicated question”), the answers are grey-hued: the participants only rarely express firm positions. </w:t>
      </w:r>
      <w:r>
        <w:rPr>
          <w:u w:val="single"/>
        </w:rPr>
        <w:t>In contrast, with few exceptions,14 their attachment to the open-source property model is straightforward. The analysis reveals a relationship to the IP regime that is simultaneously resistant to and compliant with IP rights.</w:t>
      </w:r>
      <w:r w:rsidRPr="006A4805">
        <w:rPr>
          <w:sz w:val="16"/>
        </w:rPr>
        <w:t xml:space="preserve"> I use the heuristic concept of RIPR to grasp the contours of the tension underlying their critical adherence to IP regime. RIPR echoes RI. Forged in the wake of nanotechnologies public-investment hype, RI is the current modulation of (expanding) European policy-making for democratic governance of Research &amp; Innovation [62]. RI discourse may be understood as an attempt to frame a more democratic and efficient technoscientific innovation process, from research to distribution, </w:t>
      </w:r>
      <w:r>
        <w:rPr>
          <w:u w:val="single"/>
        </w:rPr>
        <w:t>while being responsive to values such as inclusiveness, social acceptability and desirability, “</w:t>
      </w:r>
      <w:r>
        <w:rPr>
          <w:rStyle w:val="Emphasis"/>
        </w:rPr>
        <w:t>openness</w:t>
      </w:r>
      <w:r>
        <w:rPr>
          <w:u w:val="single"/>
        </w:rPr>
        <w:t>,” and sharing</w:t>
      </w:r>
      <w:r w:rsidRPr="006A4805">
        <w:rPr>
          <w:sz w:val="16"/>
        </w:rPr>
        <w:t xml:space="preserve"> [63,64]:420–421). RIPR encompasses these values,15 but it goes beyond the RI claim of innovation “for” and “in” society (shaped by citizenry standards and preferences) [65], fully engaging with innovation by society (shaped by the hand of its citizenry). Said otherwise, biohacker individuals and communities (elsewhere also identified as players in synthetic biology RI [66] sharpen the extant tension between collective-individual responsibility palpable in RI [62].16 Interviewees tend to approve of IP rights over living things as long as these rights allow others to access and do not halt the typical hacker innovation spiral process dependent on free/open reappropriation. This idea comes up eloquently in techie Laetitia's narrative: “[…] I don’t see anything wrong with someone having a patent, but you know, still having it ‘usable.’ […] you can have free licensing, you can say: ‘Yes, I patented this, but here: anyone can use it,’ or ‘yes, I patented this, but you can use it as long as you don’t [make profit] from it’ […]. Cause I think, there is definitely that aspect of it: […] if you create a new species or some sort of patentable item, I don’t think there’s anything wrong17 with wanting to protect your intellectual property from being stolen from Monsanto or some larger company. But I do think that </w:t>
      </w:r>
      <w:r>
        <w:rPr>
          <w:u w:val="single"/>
        </w:rPr>
        <w:t xml:space="preserve">you should remain true to the </w:t>
      </w:r>
      <w:r>
        <w:rPr>
          <w:rStyle w:val="Emphasis"/>
        </w:rPr>
        <w:t xml:space="preserve">spirit of openness </w:t>
      </w:r>
      <w:r>
        <w:rPr>
          <w:u w:val="single"/>
        </w:rPr>
        <w:t>within the do-it-yourself community because we’re obviously cash-limited</w:t>
      </w:r>
      <w:r w:rsidRPr="006A4805">
        <w:rPr>
          <w:sz w:val="16"/>
        </w:rPr>
        <w:t xml:space="preserve">. And prohibiting someone from using some types of DNA is just ridiculous! So, I think there is a balance between abusing intellectual property rights and, I think, […] just a responsible level of ownership …” Laetitia transposes a central commitment of the open-source licence-based ownership regimes (the protection of users’ rights to access and appropriate a technical object, discussed in section 1) to patent rights. Accordingly, the application of IP rights over living things can have an “ethical” status provided that it does not prevent public access to a biotechnical property. Indeed, patenting-ensuing legal ban on use of basic bio-entities, such as DNA, is roundly denounced by many interviewees. Laetitia points to BioBricks as one of the solutions addressing such challenges. The BioBricks IP regime is one of a kind. Falling neither into patents nor copyrights,18 BioBricks use is framed by the BioBricks Public Agreement (BPA), a legal contract that merges both “openness” and “closeness”: on the one hand, BPA guarantees BioBricks’ users legal immunity in the appropriation of these genetic sequences (section 1), which may or may not be protected by IP rights, notably patents; on the other hand, it allows patent filing on “new materials and applications” built with these same genetic sequences [67,68]—however flimsy may be such a distinction.19 In fact, because BPA constructs the “creative users-innovators” as “the most important subject [individual or collective] to empower” [21]:199), it frames their autonomy as deserving full protection. Furthermore, the synthetic biologists fostering BioBricks regime state: “We're not against patents per se” [67,68]: their concern is rather to instil “diversity” into the IP and innovation ecosystem [20]. Likewise, for some participants, the problems generated by the IP regime are not inherent to the “closed” ownership modality (which keeps data and tools relating to the reproduction and appropriation of innovations secret or protected ); instead, they are seen as pertaining to the lack of balance between closed and open ownership modalities that puts the productive system under the yoke of the former. Such is techie Tomas' vision, for whom a hybrid regime, where closed and open IP regimes co-exist, “clearly is a good spectrum."20 Academic Colbert elaborates on this perspective. For him, a balance is to be found between innovation “stimulation” and “rewarding,” between ensuring the non-enclosure of “essential parts” and the commercial protection of final products: “[ …] I think, it’s always this balance between stimulating innovation and rewarding innovation. But, yeah, I think it's good that certain things, especially the essential parts should be always open access […]. But then, specific uses of these, if somebody combines seven genes with certain regulatory elements and creates a new product that serves a certain purpose, I think that should be protectable because probably it has cost a lot of money, somebody had to invest time on that, and these also probably provide some kind of benefit to society. So I think it's understandable that these should be protectable. But </w:t>
      </w:r>
      <w:r>
        <w:rPr>
          <w:rStyle w:val="StyleUnderline"/>
        </w:rPr>
        <w:t xml:space="preserve">there's always this balance: protecting final products but never protect the tools to create these final products." </w:t>
      </w:r>
      <w:r w:rsidRPr="006A4805">
        <w:rPr>
          <w:sz w:val="16"/>
        </w:rPr>
        <w:t xml:space="preserve">In its “effort to prevent overly broad patenting of parts” [21]:190), which could culminate in patent thickets [17]:137), the normative-legal arrangement set up by Biobricks regime actually conveys how many interviewees tend to frame the scope of IP rights over life-forms: patenting of final biotechnological devices is acceptable, but the enabling resources and tools required for </w:t>
      </w:r>
      <w:r>
        <w:rPr>
          <w:rStyle w:val="StyleUnderline"/>
        </w:rPr>
        <w:t>bio-innovation, such as DNA sequences, genes and regulatory networks, must remain “accessible to all” in order not to disrupt the bio-innovation spiral.</w:t>
      </w:r>
      <w:r w:rsidRPr="006A4805">
        <w:rPr>
          <w:sz w:val="16"/>
        </w:rPr>
        <w:t xml:space="preserve"> RIPR, I argue, shall conform to such norms. </w:t>
      </w:r>
      <w:r>
        <w:rPr>
          <w:rStyle w:val="StyleUnderline"/>
        </w:rPr>
        <w:t xml:space="preserve">Each of the following subsections unfolds the rationale underpinning participants’ peculiar and syncretic conception of IP rights, </w:t>
      </w:r>
      <w:r>
        <w:rPr>
          <w:rStyle w:val="Emphasis"/>
        </w:rPr>
        <w:t>grasped through the lens</w:t>
      </w:r>
      <w:r>
        <w:rPr>
          <w:rStyle w:val="StyleUnderline"/>
        </w:rPr>
        <w:t xml:space="preserve"> of RIPR. </w:t>
      </w:r>
      <w:r w:rsidRPr="006A4805">
        <w:rPr>
          <w:sz w:val="16"/>
        </w:rPr>
        <w:t xml:space="preserve">The first two explore why, instead of an outright rejection, interviewees express a sympathetic attachment to the IP system, and the latter, why RIPR implies restraint on the scope of some IP rights. 3.1. Patent rights as a dysfunctional imperative Interviewees are not full-throated supporters of the traditional IP rights system, or of the patent system in particular. Yet, they remain on the side of reform. This is due, notably, to the pivotal role they ascribe such rights in innovation regime. The qualifier responsible in RIPR aims at accounting for such ambivalence. It is not uncommon for participants to preface their responses to the question of IP and patent systems with formulas that at first glance suggest an absolute refusal of the patent production system, such as “I hate the patent system,” or “in principle, I am against patenting.” However, little by little, they come to admit the legitimacy of patents' original raison d’être, or at the very least to narrow their initial criticism to particular practices, such as patent trolls.21 Melding together critique and necessity, the case of academic Taiyp stands out: “Huh … ! I hate patents. They are necessary, but they are also absolutely absurd. They’re absurd because a lot of people, [the] ‘patent trolls,’ [they simply write a theoretical document with no experimental research being made].” </w:t>
      </w:r>
      <w:r>
        <w:rPr>
          <w:rStyle w:val="StyleUnderline"/>
        </w:rPr>
        <w:t xml:space="preserve">The idea that the issues with the patent system rest in the way it is applied is virtually unanimous among the participants. Corrupted with regard to its original mission to feed invention processes, the </w:t>
      </w:r>
      <w:r>
        <w:rPr>
          <w:rStyle w:val="Emphasis"/>
        </w:rPr>
        <w:t>patent system</w:t>
      </w:r>
      <w:r>
        <w:rPr>
          <w:rStyle w:val="StyleUnderline"/>
        </w:rPr>
        <w:t xml:space="preserve"> has become </w:t>
      </w:r>
      <w:r>
        <w:rPr>
          <w:rStyle w:val="Emphasis"/>
        </w:rPr>
        <w:t>dysfunctional</w:t>
      </w:r>
      <w:r w:rsidRPr="006A4805">
        <w:rPr>
          <w:sz w:val="16"/>
        </w:rPr>
        <w:t xml:space="preserve">, explains techie Harry: “[…] </w:t>
      </w:r>
      <w:r>
        <w:rPr>
          <w:rStyle w:val="StyleUnderline"/>
        </w:rPr>
        <w:t>the patent system is really broken in high-tech, like fundamentally broken, really fucked up</w:t>
      </w:r>
      <w:r w:rsidRPr="006A4805">
        <w:rPr>
          <w:sz w:val="16"/>
        </w:rPr>
        <w:t xml:space="preserve">. […] it’s being used in an anti-competitively way, in a way totally counter to the original idea of a patent, [that is] to reward inventors for doing the hard work of inventing […]. [Now,] basically, huge hipping piles of money, instead of being spent on more innovation—which is what the patent system is supposed to be doing—, is spent on lawyers and ridiculous lawsuits, [fines, penalties, trade injunctions].” At the core of the dispute between the biohackers interviewed and IP rights rests what can be called a perverted use of the latter: “So I think it's a good idea, but a very bad implementation what we have on patents [rights now],” sums up academic Mateo. </w:t>
      </w:r>
      <w:r>
        <w:rPr>
          <w:rStyle w:val="StyleUnderline"/>
        </w:rPr>
        <w:t>IP regime is decried to the extent that it allows acknowledged shady practices—e.g., patent trolls, patent thickets</w:t>
      </w:r>
      <w:r w:rsidRPr="006A4805">
        <w:rPr>
          <w:sz w:val="16"/>
        </w:rPr>
        <w:t xml:space="preserve"> [69], granting protection rights for “trivial changes,"22—in a situation of financial and temporal inequity between oligopolies and small players (see [7]:266–267).23 </w:t>
      </w:r>
      <w:r>
        <w:rPr>
          <w:rStyle w:val="StyleUnderline"/>
        </w:rPr>
        <w:t>There tends to be a consensus on the need to reform the patent and IP systems</w:t>
      </w:r>
      <w:r w:rsidRPr="006A4805">
        <w:rPr>
          <w:sz w:val="16"/>
        </w:rPr>
        <w:t xml:space="preserve">, but there is no question of abandoning them as such, including when the subject matter is biological.24 The issue of bio-patenting also brings interviewees to side with grey discursive areas.25 Artist Theodora's positioning illustrates the common hesitation and reluctance among participants to take a strong stand on the subject as ethical stances get diluted by pragmatic considerations. </w:t>
      </w:r>
      <w:r>
        <w:rPr>
          <w:rStyle w:val="StyleUnderline"/>
        </w:rPr>
        <w:t xml:space="preserve">Theodora declares from the outset to be against the patenting of organisms, while conceding that the troublesome protection granted by the patent system may be required for the survival of small innovators. However, given that the system typically works in reverse, she claims that it must be modified: </w:t>
      </w:r>
      <w:r w:rsidRPr="006A4805">
        <w:rPr>
          <w:sz w:val="16"/>
        </w:rPr>
        <w:t xml:space="preserve">“That’s a complicated issue [the patent system and IP] … That’s quite complicated … [long pause] I mean, I’m definitely not for patenting organisms […], but I’m also not, I mean … </w:t>
      </w:r>
      <w:r>
        <w:rPr>
          <w:rStyle w:val="StyleUnderline"/>
        </w:rPr>
        <w:t>the problem with patenting is not to protect somebody’s right, is to protect somebody’s business. So although I do realize that patenting some stuff may protect a small business from the big business, most of times is the other way around.</w:t>
      </w:r>
      <w:r w:rsidRPr="006A4805">
        <w:rPr>
          <w:sz w:val="16"/>
        </w:rPr>
        <w:t xml:space="preserve"> I think it should be modified in some way.” Teodora's case illustrates another tendency among the interviewees: to portray bio-innovators as hostages of a system they must call upon for the sake of protecting themselves. </w:t>
      </w:r>
      <w:r>
        <w:rPr>
          <w:rStyle w:val="StyleUnderline"/>
        </w:rPr>
        <w:t>The idea of bio-innovators taking part in the patent system under constraint is grounded on a common belief that “protection” of inventions against the cornering of bio-innovations by competitors is non-negotiable in the market</w:t>
      </w:r>
      <w:r w:rsidRPr="006A4805">
        <w:rPr>
          <w:sz w:val="16"/>
        </w:rPr>
        <w:t xml:space="preserve">. In the words of the academic Birame: “I realized if you can't patent something […] someone can just copy you and take it from you.” For techie Laetitia, if the innovator wants to ensure that the access to her/his innovation remains “open,” </w:t>
      </w:r>
      <w:r>
        <w:rPr>
          <w:rStyle w:val="StyleUnderline"/>
        </w:rPr>
        <w:t>the claiming of IP rights is also required as a way of protecting inventions against the exercise of possessive ownership regimes</w:t>
      </w:r>
      <w:r w:rsidRPr="006A4805">
        <w:rPr>
          <w:sz w:val="16"/>
        </w:rPr>
        <w:t xml:space="preserve">: “[…] if you don’t patent ever [your invention], or have any kind of copyright over it [because you want to make it open], someone else can do it [patenting] and make it close.” Known as “self-defence” patenting, this strategy is practiced and to some extent encouraged in the open-source milieu [58]:205–206). Free software hackers also faced this cul-de-sac, having had to resign themselves to “the absolutely essential nature of the license—without it, software can be made proprietary again” [70]. </w:t>
      </w:r>
      <w:r>
        <w:rPr>
          <w:rStyle w:val="StyleUnderline"/>
        </w:rPr>
        <w:t xml:space="preserve">This explains </w:t>
      </w:r>
      <w:r>
        <w:rPr>
          <w:rStyle w:val="Emphasis"/>
        </w:rPr>
        <w:t>the open-source paradoxical</w:t>
      </w:r>
      <w:r>
        <w:rPr>
          <w:rStyle w:val="StyleUnderline"/>
        </w:rPr>
        <w:t xml:space="preserve"> modus operandi in its creation of a pool of “common goods”: it can only build a “commons” by legally enforcing IP rights; its licenses disrupt IP rights without knowing how to do without them.</w:t>
      </w:r>
      <w:r w:rsidRPr="006A4805">
        <w:rPr>
          <w:sz w:val="16"/>
        </w:rPr>
        <w:t>26 T</w:t>
      </w:r>
      <w:r>
        <w:rPr>
          <w:rStyle w:val="StyleUnderline"/>
        </w:rPr>
        <w:t xml:space="preserve">he feeling of having to take part in the patent system </w:t>
      </w:r>
      <w:r>
        <w:rPr>
          <w:rStyle w:val="Emphasis"/>
        </w:rPr>
        <w:t>unwillingly</w:t>
      </w:r>
      <w:r>
        <w:rPr>
          <w:rStyle w:val="StyleUnderline"/>
        </w:rPr>
        <w:t xml:space="preserve"> is even more evident in the accounts of two academics well advanced in their careers.</w:t>
      </w:r>
      <w:r w:rsidRPr="006A4805">
        <w:rPr>
          <w:sz w:val="16"/>
        </w:rPr>
        <w:t xml:space="preserve"> Senia is one of the few participants, of the three groups, to declare herself unconditionally against the patent system.27 Yet, should a researcher want her/his discoveries to end up as a pharmaco-innovation, she explains, </w:t>
      </w:r>
      <w:r>
        <w:rPr>
          <w:rStyle w:val="StyleUnderline"/>
        </w:rPr>
        <w:t>there exists no choice but to claim IP rights</w:t>
      </w:r>
      <w:r w:rsidRPr="006A4805">
        <w:rPr>
          <w:sz w:val="16"/>
        </w:rPr>
        <w:t xml:space="preserve">: “In general, I am absolutely against [patents and IP]. […] I agree with </w:t>
      </w:r>
      <w:r>
        <w:rPr>
          <w:rStyle w:val="StyleUnderline"/>
          <w:sz w:val="28"/>
          <w:szCs w:val="28"/>
        </w:rPr>
        <w:t>[the inventor of the polio vaccine, who refused to patent it saying that it belongs to everyone].28 [However,] if you create drugs [and] you want the drug to be available to everyone, [you must have IP rights] […] because only the big pharmaceutical companies are able to do all required tests to get the drug approved, [and the big companies only buy the drug when IP has been claimed</w:t>
      </w:r>
      <w:r w:rsidRPr="006A4805">
        <w:rPr>
          <w:sz w:val="16"/>
        </w:rPr>
        <w:t xml:space="preserve">]."29 As we see, </w:t>
      </w:r>
      <w:r>
        <w:rPr>
          <w:rStyle w:val="StyleUnderline"/>
        </w:rPr>
        <w:t xml:space="preserve">even those participants arguing against the patent system remain </w:t>
      </w:r>
      <w:r>
        <w:rPr>
          <w:rStyle w:val="Emphasis"/>
        </w:rPr>
        <w:t xml:space="preserve">trapped </w:t>
      </w:r>
      <w:r>
        <w:rPr>
          <w:rStyle w:val="StyleUnderline"/>
        </w:rPr>
        <w:t xml:space="preserve">in its </w:t>
      </w:r>
      <w:r>
        <w:rPr>
          <w:rStyle w:val="Emphasis"/>
        </w:rPr>
        <w:t>infrastructural and symbolic fabrics</w:t>
      </w:r>
      <w:r>
        <w:rPr>
          <w:rStyle w:val="StyleUnderline"/>
        </w:rPr>
        <w:t>.</w:t>
      </w:r>
      <w:r w:rsidRPr="006A4805">
        <w:rPr>
          <w:sz w:val="16"/>
        </w:rPr>
        <w:t xml:space="preserve"> To be sure, participants' despair encompasses to some extent artist Theodora's despondency when she envisions the future of innovation in DIYbio: “I mean, we're living in a capitalist system, so …” </w:t>
      </w:r>
      <w:r>
        <w:rPr>
          <w:rStyle w:val="StyleUnderline"/>
        </w:rPr>
        <w:t xml:space="preserve">The reasons for the fatalism are beyond the scope of this analysis; more intriguing here is the weight, or burden, of the current </w:t>
      </w:r>
      <w:r>
        <w:rPr>
          <w:rStyle w:val="Emphasis"/>
        </w:rPr>
        <w:t>biotech political-economy</w:t>
      </w:r>
      <w:r>
        <w:rPr>
          <w:rStyle w:val="StyleUnderline"/>
        </w:rPr>
        <w:t xml:space="preserve"> on DIYbio enthusiasts, so much so it seems to narrow their imagination of a </w:t>
      </w:r>
      <w:r>
        <w:rPr>
          <w:rStyle w:val="Emphasis"/>
        </w:rPr>
        <w:t>bio-innovation regime unleashed from IP rights</w:t>
      </w:r>
      <w:r>
        <w:rPr>
          <w:rStyle w:val="StyleUnderline"/>
        </w:rPr>
        <w:t xml:space="preserve"> supra/infrastructure. </w:t>
      </w:r>
      <w:r w:rsidRPr="006A4805">
        <w:rPr>
          <w:sz w:val="16"/>
        </w:rPr>
        <w:t xml:space="preserve">That being said, it is also telling that participants barely elaborate criticism on the principles of the patenting production system (such as the competition model [71]).30 As the next section shows, their priorities appear to lie elsewhere. 3.2. For Innovation's sake If moderation may qualify most interviewees' stance on patents, this is not to say that this family of rights does not run counter to the skein of values of some of them. Curiously though, even in those cases, </w:t>
      </w:r>
      <w:r>
        <w:rPr>
          <w:rStyle w:val="StyleUnderline"/>
        </w:rPr>
        <w:t xml:space="preserve">the participants come to express an indulgent attitude towards patenting. I suggest that in the DIYbio world, an even more fundamental commitment than an individual's ethical (in)disposition towards patenting exists, namely, innovation. </w:t>
      </w:r>
      <w:r>
        <w:rPr>
          <w:rStyle w:val="Emphasis"/>
        </w:rPr>
        <w:t>In the name of innovation</w:t>
      </w:r>
      <w:r>
        <w:rPr>
          <w:rStyle w:val="StyleUnderline"/>
        </w:rPr>
        <w:t xml:space="preserve">, interviewees are willing to make </w:t>
      </w:r>
      <w:r>
        <w:rPr>
          <w:rStyle w:val="Emphasis"/>
        </w:rPr>
        <w:t>concessions</w:t>
      </w:r>
      <w:r>
        <w:rPr>
          <w:rStyle w:val="StyleUnderline"/>
        </w:rPr>
        <w:t xml:space="preserve"> with respect to </w:t>
      </w:r>
      <w:r>
        <w:rPr>
          <w:rStyle w:val="Emphasis"/>
        </w:rPr>
        <w:t>possessive IP rights</w:t>
      </w:r>
      <w:r w:rsidRPr="006A4805">
        <w:rPr>
          <w:sz w:val="16"/>
        </w:rPr>
        <w:t>. This chief-component of RIPR discourse is observed in a crystalline way especially among techies. Techie Vania spoke eloquently in this regard at various times. Here she argues that to the extent that lives are at stake, the field of biology is unique in the high-tech innovation regime: “</w:t>
      </w:r>
      <w:r>
        <w:rPr>
          <w:rStyle w:val="StyleUnderline"/>
        </w:rPr>
        <w:t>The potential for do-it-yourself bio […] is so huge and could mean so much to humanity and the other species on the planet that […] … I can’t even think of a strong enough word. I think</w:t>
      </w:r>
      <w:r w:rsidRPr="006A4805">
        <w:rPr>
          <w:sz w:val="16"/>
        </w:rPr>
        <w:t xml:space="preserve"> </w:t>
      </w:r>
      <w:r>
        <w:rPr>
          <w:rStyle w:val="Emphasis"/>
        </w:rPr>
        <w:t>it’s horribly, horribly unethical to try to profit from things that we should all have access to</w:t>
      </w:r>
      <w:r>
        <w:rPr>
          <w:rStyle w:val="StyleUnderline"/>
        </w:rPr>
        <w:t xml:space="preserve"> [such as life-saving drugs]. […] anything that I do, in technology, in biology, I open-source. Because I want everyone to have access to it.”</w:t>
      </w:r>
      <w:r>
        <w:rPr>
          <w:u w:val="single"/>
        </w:rPr>
        <w:t xml:space="preserve"> </w:t>
      </w:r>
      <w:r w:rsidRPr="006A4805">
        <w:rPr>
          <w:sz w:val="16"/>
        </w:rPr>
        <w:t xml:space="preserve">Later, a politico-normative softening takes place: “[…] the fact that it [the patent system] is not something that I enjoy and value doesn’t mean that it shouldn’t be valued, you know […]. I have my personal preference, which is that I’d like to see everyone to give stuff away for free, but I know that’s not reasonable [laughs]. […] because I know people who are using the DIYbio tools to build a company. And I think that’s great, that’s awesome! Just not […] for me, but it doesn’t mean they shouldn’t do it.” Vania's case is telling. It indicates that </w:t>
      </w:r>
      <w:r>
        <w:rPr>
          <w:rStyle w:val="StyleUnderline"/>
        </w:rPr>
        <w:t>even biohackers most-convinced about the ethical deficit of IP rights over biotechnological products can accommodate the principles, norms, and effects of the system</w:t>
      </w:r>
      <w:r w:rsidRPr="006A4805">
        <w:rPr>
          <w:sz w:val="16"/>
        </w:rPr>
        <w:t xml:space="preserve">. Even though Vania rejects the private appropriation of innovations, particularly biotechnological, </w:t>
      </w:r>
      <w:r>
        <w:rPr>
          <w:rStyle w:val="StyleUnderline"/>
        </w:rPr>
        <w:t>her ethical position remains confined to a matter of personal disposition</w:t>
      </w:r>
      <w:r w:rsidRPr="006A4805">
        <w:rPr>
          <w:sz w:val="16"/>
        </w:rPr>
        <w:t xml:space="preserve">. As such, it is unable to reach the political-claim threshold necessary to ground a collective contest of IP rights over living forms. On the contrary, Vania emphasizes that even though she holds this system in low esteem, she respects its use among her peers.31 I see a twofold imbricated-spring at play here. </w:t>
      </w:r>
      <w:r>
        <w:rPr>
          <w:rStyle w:val="StyleUnderline"/>
        </w:rPr>
        <w:t xml:space="preserve">The first relates to the conception of innovation as a sovereign good—the sacralisation of invention and innovation activities as a value and as a right </w:t>
      </w:r>
      <w:r w:rsidRPr="006A4805">
        <w:rPr>
          <w:sz w:val="16"/>
        </w:rPr>
        <w:t xml:space="preserve">[72]:209). Biohackers’ autonomy in biotechnological practice can be said to be proportional to their capacity to innovate32: from gaining independence from commercial products and the academic system, to obtaining political support from governments and financial support from investors and communities, they must leverage their artistic, creative, inventive and entrepreneurial potential. The development of (bio)innovations appears to produce such a fascination effect that it casts a shadow on personal ethical, moral, and ideological considerations. This trend can be observed also unfolding in well-known DIYbio projects such as Real Vegan Cheese, which, while self-declared as an “anti-Monsanto” avatar, opens itself up to contributions from large bio-corporations [74]:166). The second amounts to the normative individualism, in the sense of self-determination and subjective autonomy, that infuses hacker culture [37,38,75]; see also [31]:61, 127–172). </w:t>
      </w:r>
      <w:r>
        <w:rPr>
          <w:rStyle w:val="StyleUnderline"/>
        </w:rPr>
        <w:t xml:space="preserve">By commanding each subject to stand up for the right of others to embrace their rights to patenting, it makes unlikely the collective construction of a utopian project that might socially, politically and economically call into question </w:t>
      </w:r>
      <w:r>
        <w:rPr>
          <w:rStyle w:val="Emphasis"/>
        </w:rPr>
        <w:t>IP rights over bio-entities</w:t>
      </w:r>
      <w:r w:rsidRPr="006A4805">
        <w:rPr>
          <w:sz w:val="16"/>
        </w:rPr>
        <w:t xml:space="preserve">. It encompasses communication scholar Alessandro Delfanti's claim that the animosity the Bayh-Dole Act sparks in some DIYbio enthusiasts is due to its interference with individual rights, not to its role in knowledge commodification or academic capitalism (2013:125). As we see, </w:t>
      </w:r>
      <w:r>
        <w:rPr>
          <w:rStyle w:val="StyleUnderline"/>
        </w:rPr>
        <w:t>biohackers may consent to IP system by proxy, because even when they happen to personally disapprove of it, the prominence of individualistic liberal philosophy entails respect for the right of others to make use of their legal rights to patenting. Here it is relevant to recall that the issues raised by the IP regime reach into the ideas of individual rights and property</w:t>
      </w:r>
      <w:r w:rsidRPr="006A4805">
        <w:rPr>
          <w:sz w:val="16"/>
        </w:rPr>
        <w:t xml:space="preserve">, and in this sense, Mario Biagioli argues, addressing the contemporary challenges raised by this </w:t>
      </w:r>
      <w:r>
        <w:rPr>
          <w:rStyle w:val="StyleUnderline"/>
        </w:rPr>
        <w:t>system calls less for the implementation of new ad hoc policies than for confronting the historical transformation of what used to be a privilege into a new “right”</w:t>
      </w:r>
      <w:r w:rsidRPr="006A4805">
        <w:rPr>
          <w:sz w:val="16"/>
        </w:rPr>
        <w:t xml:space="preserve"> ([76]:36). </w:t>
      </w:r>
      <w:r>
        <w:rPr>
          <w:rStyle w:val="StyleUnderline"/>
        </w:rPr>
        <w:t>Yet, the path taken by DIYbio phenomenon appears to be at odds with such an approach.</w:t>
      </w:r>
      <w:r>
        <w:rPr>
          <w:u w:val="single"/>
        </w:rPr>
        <w:t xml:space="preserve"> </w:t>
      </w:r>
      <w:r w:rsidRPr="006A4805">
        <w:rPr>
          <w:sz w:val="16"/>
        </w:rPr>
        <w:t xml:space="preserve">Signs of this individualistic philosophy also surface expressively in techie Laetitia's discourse (herself a computer hacker). Below she exposes the dissonant stances on patent rights extant within the open-source community as a matter of personal preferences. Her own positioning with regard to the patent system and her argumentative starting point contrasts with Vania's, but the arrival point is an analogous conciliatory posture: “Hmm, that’s really a tough question [the patent system] … […] I don’t think there’s anything intrinsically wrong with patents. Which is not something that a lot of people in the open-source community say, [there is a bit of a divide in the community about patents, most of us say ‘we don’t want it, at all’]. […] </w:t>
      </w:r>
      <w:r>
        <w:rPr>
          <w:rStyle w:val="StyleUnderline"/>
        </w:rPr>
        <w:t>of course we want to keep things as open as possible, but there’s still the looming fear of being taken advantage of by larger companies</w:t>
      </w:r>
      <w:r w:rsidRPr="006A4805">
        <w:rPr>
          <w:sz w:val="16"/>
        </w:rPr>
        <w:t xml:space="preserve"> […]. Some people don’t mind [being taken advantage of]. So that’s cool [and it] is totally acceptable too […].” The paramountcy of the ideal of individual self-determination and the reformism, rather than a revolutionary spirit [39]:65), observed in hackers, surfaces in DIYbio adepts political restraint. As with computer hackers, interviewees appear to be more inclined to an individualistic stance, </w:t>
      </w:r>
      <w:r>
        <w:rPr>
          <w:rStyle w:val="StyleUnderline"/>
        </w:rPr>
        <w:t>based on normative and prescriptive constraint, than to a clear political positioning on eminently ideological, axiological, political and disruptive issues such as IP on living</w:t>
      </w:r>
      <w:r w:rsidRPr="006A4805">
        <w:rPr>
          <w:sz w:val="16"/>
        </w:rPr>
        <w:t>. Even teams behind DIYbio projects described as “antibiocapitalist” are willing to limit their action to the (bio)technique realm, “[avoiding] directly or systematically confronting the established political institutions of biocapital” [55]:88). More precisely, the commitment to the defence of personal stances on IP rights resonates with the “political agnosticism” of hacker culture [38]:187–190). According to cultural anthropologist Gabriella Coleman, the typical “political denial” observed in hacker culture actually functions as a bulwark against political “conflict”: pragmatic, hackers focus their energies on the common project that is of primary importance to them. Typically, this is the development of high-quality open software (2013:185–200). Something similar appears to be at play in the North American biohacking world, where the equation, for one of the co-founders of DIYbio, is rather simple: “</w:t>
      </w:r>
      <w:r>
        <w:rPr>
          <w:rStyle w:val="StyleUnderline"/>
        </w:rPr>
        <w:t>The more actors you have, the more innovation can occur</w:t>
      </w:r>
      <w:r w:rsidRPr="006A4805">
        <w:rPr>
          <w:sz w:val="16"/>
        </w:rPr>
        <w:t xml:space="preserve">” (Mac Cowell quoted in [36]:25). Said </w:t>
      </w:r>
      <w:r>
        <w:rPr>
          <w:rStyle w:val="StyleUnderline"/>
        </w:rPr>
        <w:t>otherwise, a relativistic moral-philosophy conjures the promised-land of DIYbio where biotechnologies become new “personal technologies”</w:t>
      </w:r>
      <w:r w:rsidRPr="006A4805">
        <w:rPr>
          <w:sz w:val="16"/>
        </w:rPr>
        <w:t xml:space="preserve"> (section 1). In a thought experiment of sorts, techie Humbert depicts how </w:t>
      </w:r>
      <w:r>
        <w:rPr>
          <w:rStyle w:val="StyleUnderline"/>
        </w:rPr>
        <w:t>such innovation-driven pragmatism, if pushed to its limits, may turn the normative issues involved in IP over bio-entities into a bookkeeper-expertise issue: “The only real excuse and justification for patents is if they promote innovation. That is the only reason for monopoly</w:t>
      </w:r>
      <w:r w:rsidRPr="006A4805">
        <w:rPr>
          <w:sz w:val="16"/>
        </w:rPr>
        <w:t xml:space="preserve"> [of products like pharmaceuticals]. And so then, that becomes a practical question [about patents], of ‘do they or don’t they [promote innovation]?‘, or rather, to ‘what extent do they increase it, and to what extent do they slow innovation down?’” Such a radical commitment to bio-innovation may be a biohackers' strength or Achilles heel, depending on the point of view. One way or another, somewhat paradoxically (considering that the program of “distributed biotech” is conditioned by the public release of biotechnological resources and the exchange and transparency of materials and data), DIYbio is unlikely to epitomize a resurrection of an “anti-patent campaigns” movement as witnessed in the past.33 It is believed that open-source biotech can lead to the disruption or circumventing of IP monopolies [7]:167; [25]:117–133; [77], and theoretically, we may observe a logical and “[…] a strong tension between the open nature of biohacking and the closed nature of the formal IP system” [57]:32); however, this study suggests that at play is not so much a tension as a critical adherence. The “current balance of power” in industrial and academic institutions [13] is at issue for them. </w:t>
      </w:r>
      <w:r>
        <w:rPr>
          <w:rStyle w:val="StyleUnderline"/>
        </w:rPr>
        <w:t xml:space="preserve">For many biohackers’, the contention over IP regime involves the fact that this ownership right is </w:t>
      </w:r>
      <w:r>
        <w:rPr>
          <w:rStyle w:val="Emphasis"/>
        </w:rPr>
        <w:t>monopolized</w:t>
      </w:r>
      <w:r>
        <w:rPr>
          <w:rStyle w:val="StyleUnderline"/>
        </w:rPr>
        <w:t xml:space="preserve"> by a few players, rather than its fundamentals. Their battle horse is to spread the access to IP rights and their realm.</w:t>
      </w:r>
      <w:r>
        <w:rPr>
          <w:u w:val="single"/>
        </w:rPr>
        <w:t xml:space="preserve"> </w:t>
      </w:r>
      <w:r w:rsidRPr="006A4805">
        <w:rPr>
          <w:sz w:val="16"/>
        </w:rPr>
        <w:t xml:space="preserve">3.3. Making is owning: expanding ownership modalities </w:t>
      </w:r>
      <w:r>
        <w:rPr>
          <w:rStyle w:val="StyleUnderline"/>
        </w:rPr>
        <w:t>The use that open-source licenses make of property rights definitely breaks with the classic representation of a private property reserved for the exclusive use of the property rights holder</w:t>
      </w:r>
      <w:r w:rsidRPr="006A4805">
        <w:rPr>
          <w:sz w:val="16"/>
        </w:rPr>
        <w:t xml:space="preserve"> (section 1). Because they demonstrate that a private intellectual good can be made freely available to others to be reproduced, modified, reinvented and shared, the notion of property may appear to lose its meaning somewhat. Yet, as counter-intuitive as it may seem</w:t>
      </w:r>
      <w:r>
        <w:rPr>
          <w:rStyle w:val="StyleUnderline"/>
        </w:rPr>
        <w:t>, this study indicates that the open-source approach inspires, on the contrary, a pronounced feeling of possession. For this to happen, innovators must be granted unrestricted freedom to act, so as to mold the (bio)technology to their normative designs</w:t>
      </w:r>
      <w:r w:rsidRPr="006A4805">
        <w:rPr>
          <w:sz w:val="16"/>
        </w:rPr>
        <w:t xml:space="preserve">. This circles us back to open-source property regime as the ultimate enabler for distributed innovation. This section expands on the latter by delving into another token of biohackers’ overwhelming commitment to innovation. While above we explored why participants often nurture ties to IP system principles, here we peruse why RIPR also imply a certain restraint on IP rights. This is so, especially, when core resources for bio-innovation are at stake. Techies Tomas' and academic Colbert's cases are telling in this regard. </w:t>
      </w:r>
      <w:r>
        <w:rPr>
          <w:rStyle w:val="StyleUnderline"/>
        </w:rPr>
        <w:t>On the one hand, both defend a better “balance” between possessive and open-source IP rights</w:t>
      </w:r>
      <w:r w:rsidRPr="006A4805">
        <w:rPr>
          <w:sz w:val="16"/>
        </w:rPr>
        <w:t xml:space="preserve"> (section 3). On the other hand, their allegiance to open-source becomes full-throated when the cornering of enabling bio-resources through patent rights is at stake. Tomas says: “[Despite my hesitancy regarding open source, given insufficient creators' rewarding,] I’d like to see a lot more open source in biology, that’s for sure. And it’s very dangerous the way that it’s going right now. </w:t>
      </w:r>
      <w:r>
        <w:rPr>
          <w:rStyle w:val="StyleUnderline"/>
        </w:rPr>
        <w:t xml:space="preserve">There are some very basic things being patented and policed. To the point where, basically, from what I can tell, [it would now be virtually] </w:t>
      </w:r>
      <w:r>
        <w:rPr>
          <w:rStyle w:val="Emphasis"/>
        </w:rPr>
        <w:t>impossible to do anything without breaking some kind of law</w:t>
      </w:r>
      <w:r>
        <w:rPr>
          <w:rStyle w:val="StyleUnderline"/>
        </w:rPr>
        <w:t>, nominally, and that is bad news</w:t>
      </w:r>
      <w:r w:rsidRPr="006A4805">
        <w:rPr>
          <w:sz w:val="16"/>
        </w:rPr>
        <w:t xml:space="preserve">. So I think that’s disgusting, and I think it has no place there, and it should be as open as possible.” While Colbert declares: “I think basic libraries, so meaning, basic genetic parts [and genetic sequences] should be available for everybody […]. I would be very strong on that. And then, I think, also, all the components of the genomes, like, specific genes and specific regulatory elements, I'm also very convinced that these should be open access 100%.” This unequivocal support of open-source regime as a way to ensure the free circulation of foundational resources can be understood in light of the uncommon relationship that hackers nourish towards the idea of technological control and appropriation [37, 75]. Tomas addresses this topic explicitly at different times during the interview. Below, he defines the term hacking. He explains that within this culture, true ownership consists of an emergent feature arising through the practices of subverting, repurposing and designing a technical object: “[Hacking] is about taking things out of the shrink wrap, subverting the purpose and controlling them in a way that […] makes you truly own them […].34 Real ownership. It’s not something that’s being given to you on its own terms, [a tool that you bought which you must accept as is]. It becomes something that is a tool to do what you would like it to do […].” Employing different words to formulate this idea, techie Humbert arrives at a similar conclusion: hacking allows to “make something yours.” “[…] the whole GPL thing [the free-software licensing] [was about pushing] back against patenting, against softwares, and service models, and all of these things [that companies use to lock data down, to prevent people from being able to control the devices that they own]. To prevent you from being able to see what is happening in your software and hack it, and change it, and make it yours.” The valuing of technology-personalisation practices is at the core of hacker and maker/DIY cultures' axiology. Within movements promoting autonomous/distributed manufacturing, a paramount requisite is the individual capacity to exercise full power over the technology in order to best meet one's needs and creative urges [78]. Either acting as prosumer, innovator or entrepreneur [79]:19), creativeness and expressiveness remain prominent values. In The Maker Movement Manifesto, one reads that self-made artifacts amount to self-materialization: “There is something unique about making physical things. These things are like little pieces of us and seem to embody portions of our souls” [80]:11). In computer hacking, more particularly, the stake may be less substantial, but no less engaging subjectively. Hackers entangle their normative ideal of self-determination to the creative practices of software improvement and repurposing [39]:116; see also [75], which are framed as a subjective and expressive work (a feature spanning hacker studies since the seminal work by Steven Levy). In addition, as “amateur legal thinkers and tinkerers,” paraphrasing Gabriella Coleman, they have put together a “corpus of legal theory” where they assert the expressive value of their practices and ascribe to source code writing the legal and philosophical stature of a free speech right (2013:159–202). </w:t>
      </w:r>
      <w:r>
        <w:rPr>
          <w:rStyle w:val="StyleUnderline"/>
        </w:rPr>
        <w:t>Under the aegis of free speech doctrine, the practices of software coding/improving/subversion are reframed as speech.</w:t>
      </w:r>
      <w:r w:rsidRPr="006A4805">
        <w:rPr>
          <w:sz w:val="16"/>
        </w:rPr>
        <w:t xml:space="preserve"> </w:t>
      </w:r>
      <w:r>
        <w:rPr>
          <w:rStyle w:val="StyleUnderline"/>
        </w:rPr>
        <w:t xml:space="preserve">The claimed software-speech-freedom bond (which thrives not without </w:t>
      </w:r>
      <w:r>
        <w:rPr>
          <w:rStyle w:val="Emphasis"/>
        </w:rPr>
        <w:t>epistemological</w:t>
      </w:r>
      <w:r>
        <w:rPr>
          <w:rStyle w:val="StyleUnderline"/>
        </w:rPr>
        <w:t xml:space="preserve">, political, and </w:t>
      </w:r>
      <w:r>
        <w:rPr>
          <w:rStyle w:val="Emphasis"/>
        </w:rPr>
        <w:t>ethical pitfalls</w:t>
      </w:r>
      <w:r w:rsidRPr="006A4805">
        <w:rPr>
          <w:sz w:val="16"/>
        </w:rPr>
        <w:t xml:space="preserve">) entails that the freedom to share/circulate/modify source codes must prevail over any constraining law, such as restrictive IP rights [38]. Returning to bio-hacking, IP interference in the free circulation of enabling biotechnological resources also appears to engage more than “the normative ideal of the freedom to create” [21]:199, also [18]:47). Self-determination and self-fashioning may be at stake. </w:t>
      </w:r>
      <w:r>
        <w:rPr>
          <w:rStyle w:val="StyleUnderline"/>
        </w:rPr>
        <w:t xml:space="preserve">In Tomas’ eyes, the peculiar hacker relationship to property, where the subversion and repurposing of a technical object enacts a “real ownership,” also applies to bio-objects. His view rests on the premise of the lack of differentiation between living and non-living matter that grounds both the patent law </w:t>
      </w:r>
      <w:r w:rsidRPr="006A4805">
        <w:rPr>
          <w:sz w:val="16"/>
        </w:rPr>
        <w:t xml:space="preserve">since the Diamond v. Chakrabarty case and the techno-epistemic project of synthetic biology [42]:88). For him, biological artifacts also call for being modified, re-appropriated and, above all, “truly possessed” like any other technology: “I don’t see the difference between a cell phone and a tree in terms of whether it’s legitimate technology or not. </w:t>
      </w:r>
      <w:r>
        <w:rPr>
          <w:rStyle w:val="StyleUnderline"/>
        </w:rPr>
        <w:t>I think that everything which we modify to try to produce an effect becomes technology</w:t>
      </w:r>
      <w:r w:rsidRPr="006A4805">
        <w:rPr>
          <w:sz w:val="16"/>
        </w:rPr>
        <w:t xml:space="preserve"> […]. And so, [I] understand biology as something that has come out of this magical, almost religious realm of things that just are, and [now is] into this realm of things which can be manipulated, and built, and improved upon, and truly owned by societies and people. And ownership is a strange term there. But </w:t>
      </w:r>
      <w:r>
        <w:rPr>
          <w:rStyle w:val="StyleUnderline"/>
        </w:rPr>
        <w:t xml:space="preserve">ownership to me is very similar to Richard Stallman’s idea of free software […]. It’s the idea that if you have something, you should understand how it works and be able to modify it yourself. And biology is particularly promising there.” </w:t>
      </w:r>
      <w:r w:rsidRPr="006A4805">
        <w:rPr>
          <w:sz w:val="16"/>
        </w:rPr>
        <w:t xml:space="preserve">Ultimately Tomas unveils what seems to be a rather overlooked dimension of hacking practice. </w:t>
      </w:r>
      <w:r>
        <w:rPr>
          <w:rStyle w:val="StyleUnderline"/>
        </w:rPr>
        <w:t xml:space="preserve">If personalizing a technology generates a sense of possession over it, to the extent that hacking consists of a hands-on exploration of the plasticity of technical objects in order to forge them after one's own needs, tastes and desires, hacking itself can be defined as a practice of manufacturing subjective property. </w:t>
      </w:r>
      <w:r w:rsidRPr="006A4805">
        <w:rPr>
          <w:sz w:val="16"/>
        </w:rPr>
        <w:t xml:space="preserve">Indeed, the hacker premise of the virtually bottomless perfectibility of technical systems calls for a virtually endless circle of autonomous individual (re)appropriation and recreation of technical objects in accordance with one's desires and needs [37,75,81]. For hackers, Gabriella Coleman clarifies, </w:t>
      </w:r>
      <w:r>
        <w:rPr>
          <w:rStyle w:val="StyleUnderline"/>
        </w:rPr>
        <w:t>“freedom is understood foremost to be about personal control and autonomous production</w:t>
      </w:r>
      <w:r w:rsidRPr="006A4805">
        <w:rPr>
          <w:sz w:val="16"/>
        </w:rPr>
        <w:t xml:space="preserve">” (2013:164). </w:t>
      </w:r>
      <w:r>
        <w:rPr>
          <w:rStyle w:val="StyleUnderline"/>
        </w:rPr>
        <w:t xml:space="preserve">A quest of self-determination in technological innovation, hacking may be said to exist to the extent that a person is free to make a technical object conform to their idiosyncratic velleities, needs, norms, and interests; through this appropriation process emerges a sense of symbolic, qualitative </w:t>
      </w:r>
      <w:r>
        <w:rPr>
          <w:rStyle w:val="Emphasis"/>
        </w:rPr>
        <w:t>possession over the given object</w:t>
      </w:r>
      <w:r w:rsidRPr="006A4805">
        <w:rPr>
          <w:sz w:val="16"/>
        </w:rPr>
        <w:t>. The open-source framework paves the way to this identity relationship to property. It grants access to the range of resources that creators/contributors/innovators require to unleash their freedom in the (re)shaping of (bio)technologies. Scholarship on synthetic biology inventories the plethora of techno-epistemic avatars that swarm from the verb making: “knowing through making” [82]:54), “making is knowing, and knowing is making” [83]:292), “making to know, knowing to make” [84]:637), “knowing as making, making as knowing” [85]. In light of this study, I suggest that in the “</w:t>
      </w:r>
      <w:r>
        <w:rPr>
          <w:rStyle w:val="StyleUnderline"/>
        </w:rPr>
        <w:t>age of making” [78], manufacturing is not just an epistemic vehicle, but also a proprietary vehicle: making is owning, and owning is making.</w:t>
      </w:r>
      <w:r w:rsidRPr="006A4805">
        <w:rPr>
          <w:sz w:val="16"/>
        </w:rPr>
        <w:t xml:space="preserve"> The only echo of this issue in studies on DIYbio and the maker/DIY movement, to my knowledge, presents bio-hacking activities on personal bio-manufacturing as an emancipatory approach for the appropriation of biology: “[</w:t>
      </w:r>
      <w:r>
        <w:rPr>
          <w:rStyle w:val="StyleUnderline"/>
        </w:rPr>
        <w:t xml:space="preserve">Biology hacking, that is, transforming it into a low-cost and creative technical practice] is done by producing a way of </w:t>
      </w:r>
      <w:r>
        <w:rPr>
          <w:rStyle w:val="Emphasis"/>
        </w:rPr>
        <w:t>relating to biology and technology</w:t>
      </w:r>
      <w:r>
        <w:rPr>
          <w:rStyle w:val="StyleUnderline"/>
        </w:rPr>
        <w:t xml:space="preserve"> that is not delegated but ‘</w:t>
      </w:r>
      <w:r>
        <w:rPr>
          <w:rStyle w:val="Emphasis"/>
        </w:rPr>
        <w:t>owned</w:t>
      </w:r>
      <w:r>
        <w:rPr>
          <w:rStyle w:val="StyleUnderline"/>
        </w:rPr>
        <w:t>’</w:t>
      </w:r>
      <w:r w:rsidRPr="006A4805">
        <w:rPr>
          <w:sz w:val="16"/>
        </w:rPr>
        <w:t xml:space="preserve"> (not necessarily in a proprietary sense, but in the sense of ‘appropriated’). As Hackteria35 [says], </w:t>
      </w:r>
      <w:r>
        <w:rPr>
          <w:rStyle w:val="StyleUnderline"/>
        </w:rPr>
        <w:t>‘If you can’t build your Lab you don’t own the Lab’</w:t>
      </w:r>
      <w:r w:rsidRPr="006A4805">
        <w:rPr>
          <w:sz w:val="16"/>
        </w:rPr>
        <w:t>” [86]:7). To dismiss swiftly any question involving the notion of ownership and property in such “appropriation” as a vector for empowerment appears to me as to miss substantial features of the DIYbio phenomenon and its kindred movements. With respect to hacking, Gabriella Coleman suggests that by hitching their creations to the speech freedom doctrine, hackers also distance themselves from notions of property (2013:10). Yet</w:t>
      </w:r>
      <w:r>
        <w:rPr>
          <w:rStyle w:val="StyleUnderline"/>
        </w:rPr>
        <w:t>, etymologically at least, the practices of individual appropriation and shaping of technologies to the image of a person's wills manifest the primary meaning of the noun property</w:t>
      </w:r>
      <w:r w:rsidRPr="006A4805">
        <w:rPr>
          <w:sz w:val="16"/>
        </w:rPr>
        <w:t xml:space="preserve">: a borrowing from the French propriété, whose radical, propre, from the Latin proprius, counts among its meanings “what belongs in its own.” In light of its root, “property” refers in the first instance to what is “proper” and “exclusive” to oneself and “to her/him alone,” as in “a proper identity” (“ownership” inheriting the meaning of proper from the Germanic eigen).36 </w:t>
      </w:r>
      <w:r>
        <w:rPr>
          <w:rStyle w:val="StyleUnderline"/>
        </w:rPr>
        <w:t>The legal aspect of ownership as “right of possession</w:t>
      </w:r>
      <w:r w:rsidRPr="006A4805">
        <w:rPr>
          <w:sz w:val="16"/>
        </w:rPr>
        <w:t xml:space="preserve">” then becomes a derivative. What does that tell us? </w:t>
      </w:r>
      <w:r>
        <w:rPr>
          <w:rStyle w:val="StyleUnderline"/>
        </w:rPr>
        <w:t>Unlike the sheer enforceable legal right to exclusivity in the use of a given property, the open-source approach embraces and facilitates the attainment of a symbolic and qualitative dimension to ownership</w:t>
      </w:r>
      <w:r w:rsidRPr="006A4805">
        <w:rPr>
          <w:sz w:val="16"/>
        </w:rPr>
        <w:t xml:space="preserve">. Thanks to open-source, one may aspire to mold a technical object to embed one's norms/needs/desires, lending it “distinctive attributes” that make it a novel artifact “belonging in its own” to a person. </w:t>
      </w:r>
      <w:r>
        <w:rPr>
          <w:rStyle w:val="StyleUnderline"/>
        </w:rPr>
        <w:t xml:space="preserve">Such symbolic relationship to property, as the fruit and reflection of one's idiosyncratic norms, is irreducible to any legal right. </w:t>
      </w:r>
      <w:r>
        <w:rPr>
          <w:rStyle w:val="Emphasis"/>
        </w:rPr>
        <w:t>Only an ownership paradigm rooted in the promotion of freedom</w:t>
      </w:r>
      <w:r>
        <w:rPr>
          <w:rStyle w:val="StyleUnderline"/>
        </w:rPr>
        <w:t xml:space="preserve"> and autonomy in self-manufacturing/-innovation, as is open-source, makes possible, as Tomas puts it, to “</w:t>
      </w:r>
      <w:r>
        <w:rPr>
          <w:rStyle w:val="Emphasis"/>
        </w:rPr>
        <w:t>truly own</w:t>
      </w:r>
      <w:r w:rsidRPr="006A4805">
        <w:rPr>
          <w:sz w:val="16"/>
        </w:rPr>
        <w:t xml:space="preserve">” a (bio)technology. 4. Conclusion: towards a dual-use system In his study of the Biobricks regime, </w:t>
      </w:r>
      <w:r>
        <w:rPr>
          <w:rStyle w:val="StyleUnderline"/>
        </w:rPr>
        <w:t>Stephen Hilgartner identifies the typical features of an IP-minimalist strategy for boosting innovation (i.e. “</w:t>
      </w:r>
      <w:r>
        <w:rPr>
          <w:rStyle w:val="Emphasis"/>
        </w:rPr>
        <w:t>fewer and weaker rights</w:t>
      </w:r>
      <w:r>
        <w:rPr>
          <w:rStyle w:val="StyleUnderline"/>
        </w:rPr>
        <w:t>”</w:t>
      </w:r>
      <w:r w:rsidRPr="006A4805">
        <w:rPr>
          <w:sz w:val="16"/>
        </w:rPr>
        <w:t xml:space="preserve">); a “relatively conservative approach” (2012:203–205) to open-biotech after all, he concludes. Contrastingly, Hilgartner shifts expectation to new open-source “collective subjects for shaping the direction of innovation […] in ways that distribute configuration power in new and more inclusive ways” [21]:205; see also [57]. While fitting the description of such collective, the portrait of DIYbio emerging from my fieldwork also appears as more conservative than it may be expected. </w:t>
      </w:r>
      <w:r>
        <w:rPr>
          <w:rStyle w:val="StyleUnderline"/>
        </w:rPr>
        <w:t xml:space="preserve">Whether through technological pragmatism, ideological sympathy, or socio-political fatalism—biohackers’ skein of values is definitely far from monolithic—this study indicates that </w:t>
      </w:r>
      <w:r>
        <w:rPr>
          <w:rStyle w:val="Emphasis"/>
        </w:rPr>
        <w:t>a relationship of complicity exists between the IP regime and the DIYbio community</w:t>
      </w:r>
      <w:r>
        <w:rPr>
          <w:rStyle w:val="StyleUnderline"/>
        </w:rPr>
        <w:t>.</w:t>
      </w:r>
      <w:r w:rsidRPr="006A4805">
        <w:rPr>
          <w:sz w:val="16"/>
        </w:rPr>
        <w:t xml:space="preserve"> </w:t>
      </w:r>
      <w:r>
        <w:rPr>
          <w:rStyle w:val="StyleUnderline"/>
        </w:rPr>
        <w:t>Even among the minority of the interviewees positioning themselves ethically and ideologically opposed to the principle of IP on biological entities, some come to manifest moderation with regard to practices at odds with their values</w:t>
      </w:r>
      <w:r w:rsidRPr="006A4805">
        <w:rPr>
          <w:sz w:val="16"/>
        </w:rPr>
        <w:t xml:space="preserve">. The purpose of the concept of RIPR is intended to grasp the underlying axiological, ideological, and technical complexity of DIYbio critical adherence to the IP regime. </w:t>
      </w:r>
      <w:r>
        <w:rPr>
          <w:rStyle w:val="StyleUnderline"/>
        </w:rPr>
        <w:t>RIPR draws our attention to a combination of receptiveness to the enforcement of IP rights either when desired</w:t>
      </w:r>
      <w:r w:rsidRPr="006A4805">
        <w:rPr>
          <w:sz w:val="16"/>
        </w:rPr>
        <w:t xml:space="preserve"> (individual choices) or needed (as techno-legal devices necessary to enforce market protection against competition, </w:t>
      </w:r>
      <w:r>
        <w:rPr>
          <w:rStyle w:val="StyleUnderline"/>
        </w:rPr>
        <w:t>in particular, vis-à-vis the major players), with the objection to the enforcement of IP rights when these imperil access to core biotechnological resources</w:t>
      </w:r>
      <w:r w:rsidRPr="006A4805">
        <w:rPr>
          <w:sz w:val="16"/>
        </w:rPr>
        <w:t xml:space="preserve">. Clearly, substantial questions remain. Not least, the challenging distinction between parts and products. The concept of RIPR (and hence, this paper) therefore does not pretend to exhaust the issue; quite the contrary, it is a call for further inquiry into open-source biotech practitioners’ representations, valences and ideas of the IP system at large. </w:t>
      </w:r>
      <w:r>
        <w:rPr>
          <w:rStyle w:val="StyleUnderline"/>
        </w:rPr>
        <w:t>Bitter critics of the traditional IP system, participants speak against the degradation in the use of IP rights as an engine of innovation.</w:t>
      </w:r>
      <w:r w:rsidRPr="006A4805">
        <w:rPr>
          <w:sz w:val="16"/>
        </w:rPr>
        <w:t xml:space="preserve"> By almost unanimously arguing that the problems involving IP are in fact a matter of degrees and of “context” of its misuses, interviewees’ discourses, and the deriving RIPR concept, presuppose that </w:t>
      </w:r>
      <w:r>
        <w:rPr>
          <w:rStyle w:val="StyleUnderline"/>
        </w:rPr>
        <w:t>IP rights on life are neutral</w:t>
      </w:r>
      <w:r w:rsidRPr="006A4805">
        <w:rPr>
          <w:sz w:val="16"/>
        </w:rPr>
        <w:t xml:space="preserve">, or dual-use. I refer here analogically to the notion of technological duality, where technological outcomes are framed as emanations from the (phenomenological) intentionality driving their uses [87]; consequently, it is up to societies to implement sound policies to manage potential misuses while leveraging the “good uses” [88]. Similarly, RIPR is built on an idealization of a “good use” of the IP system: one which commits to the protection of both the innovation process and the public hands-on participation in it. </w:t>
      </w:r>
      <w:r>
        <w:rPr>
          <w:rStyle w:val="StyleUnderline"/>
        </w:rPr>
        <w:t>The instillation of duality into IP regime raises significant issues</w:t>
      </w:r>
      <w:r w:rsidRPr="006A4805">
        <w:rPr>
          <w:sz w:val="16"/>
        </w:rPr>
        <w:t xml:space="preserve">. Two main points are worth mentioning. The first is that in doing so, </w:t>
      </w:r>
      <w:r>
        <w:rPr>
          <w:rStyle w:val="StyleUnderline"/>
        </w:rPr>
        <w:t>biohackers contribute to the naturalization of the socio-cultural cornerstones of the current patent system</w:t>
      </w:r>
      <w:r w:rsidRPr="006A4805">
        <w:rPr>
          <w:sz w:val="16"/>
        </w:rPr>
        <w:t xml:space="preserve"> (such as its extension to life forms), and of </w:t>
      </w:r>
      <w:r>
        <w:rPr>
          <w:rStyle w:val="StyleUnderline"/>
        </w:rPr>
        <w:t xml:space="preserve">the </w:t>
      </w:r>
      <w:r>
        <w:rPr>
          <w:rStyle w:val="Emphasis"/>
        </w:rPr>
        <w:t>ideology</w:t>
      </w:r>
      <w:r>
        <w:rPr>
          <w:rStyle w:val="StyleUnderline"/>
        </w:rPr>
        <w:t xml:space="preserve"> to which it serves as a </w:t>
      </w:r>
      <w:r>
        <w:rPr>
          <w:rStyle w:val="Emphasis"/>
        </w:rPr>
        <w:t>political tool</w:t>
      </w:r>
      <w:r>
        <w:rPr>
          <w:rStyle w:val="StyleUnderline"/>
        </w:rPr>
        <w:t xml:space="preserve"> (such as the legal right to monopoly as an instrument of power gain in the market</w:t>
      </w:r>
      <w:r w:rsidRPr="006A4805">
        <w:rPr>
          <w:sz w:val="16"/>
        </w:rPr>
        <w:t xml:space="preserve"> (see [89]. The second is related to RIPR′ responsiveness to the open-source innovation regime. </w:t>
      </w:r>
      <w:r>
        <w:rPr>
          <w:rStyle w:val="StyleUnderline"/>
        </w:rPr>
        <w:t>The interviews brought to the fore a sui generis paradox in the open-source approach to innovation</w:t>
      </w:r>
      <w:r w:rsidRPr="006A4805">
        <w:rPr>
          <w:sz w:val="16"/>
        </w:rPr>
        <w:t xml:space="preserve">. On the one hand, its distributed innovation paradigm represents for most an “ideal” IP regime: deemed ethical and socially desirable because it ensures transparency and the sharing of data involving the development of a (bio)technological good, the free individual disposition, and the non-obstruction of the innovation process. On the other hand, </w:t>
      </w:r>
      <w:r>
        <w:rPr>
          <w:rStyle w:val="StyleUnderline"/>
        </w:rPr>
        <w:t xml:space="preserve">by intertwining personal autonomy, creative freedom and (bio)technological appropriation/innovation, the same approach tends to act as </w:t>
      </w:r>
      <w:r>
        <w:rPr>
          <w:rStyle w:val="Emphasis"/>
        </w:rPr>
        <w:t>a driver for the sense of property over living things</w:t>
      </w:r>
      <w:r w:rsidRPr="006A4805">
        <w:rPr>
          <w:sz w:val="16"/>
        </w:rPr>
        <w:t xml:space="preserve">. Tailored to innovator's idiosyncrasies, life forms can finally belong to someone “properly” in open-source biology. The ultimate expression of ownership feeling—possession—over a (bio-)artifact encompasses a type of ownership that is disproportionate to any legal right to property. This identification-based ownership appears to be overlooked in studies on </w:t>
      </w:r>
      <w:r>
        <w:rPr>
          <w:rStyle w:val="StyleUnderline"/>
        </w:rPr>
        <w:t xml:space="preserve">DIYbio (and hacker culture), and should be explored in its socio-cultural and epistemological roots, and symbolic and ethical implications. </w:t>
      </w:r>
      <w:r w:rsidRPr="006A4805">
        <w:rPr>
          <w:sz w:val="16"/>
        </w:rPr>
        <w:t xml:space="preserve">That being said, it might be that DIYbio's impact turns out to be foremost cultural—alike to its alter-ego, synthetic biology, whose effects may lie more in the construction of a new ethos of the researcher [90]:47 [91]:36), than in the manufacture and commercialisation of bio-artifacts. Should DIYbio remain confined to some ad infinitum variations of basic biotechnological techniques re-appropriated in loop for recreational purposes—such as the conversion of microbes into pictorial tools—, </w:t>
      </w:r>
      <w:r>
        <w:rPr>
          <w:rStyle w:val="StyleUnderline"/>
        </w:rPr>
        <w:t>biohackers might still be well on the verge of dismantling one of the most biting criticisms of genetic engineering, given its socio-political relevance: the granting of IP rights over life forms</w:t>
      </w:r>
      <w:r w:rsidRPr="006A4805">
        <w:rPr>
          <w:sz w:val="16"/>
        </w:rPr>
        <w:t xml:space="preserve"> [92,93,94]. The well-known Irish biohacker, Cathal Garvey, claims it explicitly with some words now familiar to us: “In my experience, hatred of GMO crops more often than not begins to crumble when the possibility of true ownership emerges” (quoted in [91]:35). Regardless of the legal and techno-practical uncertainties surrounding DIYbio future and projects, in the light of the interviews, one can expect our biological horizon to mirror our present, increasingly moving away from Linnaean nomenclature and closer to IP logos [95]:161–162), be they industrial or individual. If the stoic reductionism of molecular biology and its biotechnological offspring would doom technical-life-forms to commodification and appropriation ([19]; see also [72]:224), should societies content themselves to “[free] biology from possessive ownership”? [42]:96) To the extent that </w:t>
      </w:r>
      <w:r>
        <w:rPr>
          <w:rStyle w:val="StyleUnderline"/>
        </w:rPr>
        <w:t>DIYbio is rooted in a bio-making regime in tune with synthetic biology's bioeconomic project of transforming “useless materials in very added-valued materials</w:t>
      </w:r>
      <w:r w:rsidRPr="006A4805">
        <w:rPr>
          <w:sz w:val="16"/>
        </w:rPr>
        <w:t xml:space="preserve">” (to use the words of one of the interviewees), </w:t>
      </w:r>
      <w:r>
        <w:rPr>
          <w:rStyle w:val="StyleUnderline"/>
        </w:rPr>
        <w:t>these IP issues remain most pressing</w:t>
      </w:r>
      <w:r w:rsidRPr="006A4805">
        <w:rPr>
          <w:sz w:val="16"/>
        </w:rPr>
        <w:t xml:space="preserve">. Being responsive to them requires us to turn our eyes and bend our ears to subjectivities and societies from elsewhere, unlike the essentially Canadian corpus of this study. Societies where relations woven with life and property can afford, maybe, other biotechnological futures. Yet, </w:t>
      </w:r>
      <w:r>
        <w:rPr>
          <w:rStyle w:val="StyleUnderline"/>
        </w:rPr>
        <w:t>as non-Western countries may unveil a less shining face of the emancipatory and progressive values attached in the West to notions of open access and public domain</w:t>
      </w:r>
      <w:r w:rsidRPr="006A4805">
        <w:rPr>
          <w:sz w:val="16"/>
        </w:rPr>
        <w:t xml:space="preserve"> ([96]:4–5, 20–21), the IP maze is likely to gain even more subtleties. Ethics approval The project was approved by the ethics review board of the University of Montreal. Declaration of competing interest None. </w:t>
      </w:r>
    </w:p>
    <w:p w14:paraId="538120BD" w14:textId="243714C9" w:rsidR="006C0B77" w:rsidRDefault="006C0B77" w:rsidP="006C0B77">
      <w:pPr>
        <w:pStyle w:val="Heading3"/>
      </w:pPr>
      <w:r>
        <w:t>G</w:t>
      </w:r>
      <w:r>
        <w:t xml:space="preserve">enetic </w:t>
      </w:r>
      <w:r>
        <w:t>D</w:t>
      </w:r>
      <w:r>
        <w:t>ispositif</w:t>
      </w:r>
    </w:p>
    <w:p w14:paraId="6E061FFB" w14:textId="247C66D1" w:rsidR="000E092E" w:rsidRDefault="000E092E" w:rsidP="000E092E">
      <w:pPr>
        <w:pStyle w:val="Heading4"/>
      </w:pPr>
      <w:r>
        <w:t>IP must be viewed as part of a genetic dispo</w:t>
      </w:r>
      <w:r w:rsidR="006C0B77">
        <w:t>sitif</w:t>
      </w:r>
      <w:r>
        <w:t>—disciplinary anatomo-politics and biopolitical management</w:t>
      </w:r>
    </w:p>
    <w:p w14:paraId="7C05C70F" w14:textId="77777777" w:rsidR="000E092E" w:rsidRPr="006A4805" w:rsidRDefault="000E092E" w:rsidP="000E092E">
      <w:pPr>
        <w:rPr>
          <w:rStyle w:val="Style13ptBold"/>
        </w:rPr>
      </w:pPr>
      <w:r w:rsidRPr="006A4805">
        <w:rPr>
          <w:rStyle w:val="Style13ptBold"/>
        </w:rPr>
        <w:t>Hilberg 15</w:t>
      </w:r>
    </w:p>
    <w:p w14:paraId="04B2736D" w14:textId="77777777" w:rsidR="000E092E" w:rsidRPr="006A4805" w:rsidRDefault="000E092E" w:rsidP="000E092E">
      <w:r w:rsidRPr="006A4805">
        <w:t xml:space="preserve">Eva, phD candidate at the University of Sussex. “Intellectual Property and the Genetic Dispositif of Life: The Changing Role of Intellectual Property Law in Governing Participation and Knowledge in the Bioeconomy.” Submitted for the Degree of Doctor of Philosophy University of Sussex, May 2015. Pp </w:t>
      </w:r>
      <w:r>
        <w:t>77-81</w:t>
      </w:r>
      <w:r w:rsidRPr="006A4805">
        <w:t>. LJS</w:t>
      </w:r>
    </w:p>
    <w:p w14:paraId="4D02E281" w14:textId="77777777" w:rsidR="000E092E" w:rsidRPr="00C92A72" w:rsidRDefault="000E092E" w:rsidP="000E092E">
      <w:pPr>
        <w:rPr>
          <w:rStyle w:val="StyleUnderline"/>
        </w:rPr>
      </w:pPr>
      <w:r w:rsidRPr="00C92A72">
        <w:rPr>
          <w:sz w:val="16"/>
        </w:rPr>
        <w:t xml:space="preserve">Much has changed since the beginnings of statistical measurements of population phenomena. </w:t>
      </w:r>
      <w:r w:rsidRPr="00C92A72">
        <w:rPr>
          <w:rStyle w:val="StyleUnderline"/>
        </w:rPr>
        <w:t>This section argues that in the light of scientific advances since the</w:t>
      </w:r>
      <w:r>
        <w:rPr>
          <w:rStyle w:val="StyleUnderline"/>
        </w:rPr>
        <w:t xml:space="preserve"> </w:t>
      </w:r>
      <w:r w:rsidRPr="00C92A72">
        <w:rPr>
          <w:rStyle w:val="StyleUnderline"/>
        </w:rPr>
        <w:t>discovery of the genetic code, and the formation of a much more institutionalized</w:t>
      </w:r>
      <w:r>
        <w:rPr>
          <w:rStyle w:val="StyleUnderline"/>
        </w:rPr>
        <w:t xml:space="preserve"> </w:t>
      </w:r>
      <w:r w:rsidRPr="00C92A72">
        <w:rPr>
          <w:rStyle w:val="StyleUnderline"/>
        </w:rPr>
        <w:t>form of international trade with the WTO, Foucault’s original studies have to be</w:t>
      </w:r>
      <w:r>
        <w:rPr>
          <w:rStyle w:val="StyleUnderline"/>
        </w:rPr>
        <w:t xml:space="preserve"> </w:t>
      </w:r>
      <w:r w:rsidRPr="00C92A72">
        <w:rPr>
          <w:rStyle w:val="StyleUnderline"/>
        </w:rPr>
        <w:t>adapted to new exigencies raised by an economy of governing based on knowledge of</w:t>
      </w:r>
      <w:r>
        <w:rPr>
          <w:rStyle w:val="StyleUnderline"/>
        </w:rPr>
        <w:t xml:space="preserve"> </w:t>
      </w:r>
      <w:r w:rsidRPr="00C92A72">
        <w:rPr>
          <w:rStyle w:val="StyleUnderline"/>
        </w:rPr>
        <w:t>life formed at the molecular-genetic level</w:t>
      </w:r>
      <w:r w:rsidRPr="00C92A72">
        <w:rPr>
          <w:sz w:val="16"/>
        </w:rPr>
        <w:t xml:space="preserve">. The shift to the molecular level of life led to the body being conceived of “on a different scale” (N. Rose 2007b, 44) – which was much more than a mere change of scale in the way that medicine could analyse the processes within the body. </w:t>
      </w:r>
      <w:r w:rsidRPr="00C92A72">
        <w:rPr>
          <w:rStyle w:val="StyleUnderline"/>
        </w:rPr>
        <w:t>Dillon and Lobo-Guerrero argue that this led to the</w:t>
      </w:r>
      <w:r>
        <w:rPr>
          <w:rStyle w:val="StyleUnderline"/>
        </w:rPr>
        <w:t xml:space="preserve"> </w:t>
      </w:r>
      <w:r w:rsidRPr="00C92A72">
        <w:rPr>
          <w:rStyle w:val="StyleUnderline"/>
        </w:rPr>
        <w:t>emergence of a “new order of the real”, which consisted of two transformations: of</w:t>
      </w:r>
      <w:r>
        <w:rPr>
          <w:rStyle w:val="StyleUnderline"/>
        </w:rPr>
        <w:t xml:space="preserve"> </w:t>
      </w:r>
      <w:r w:rsidRPr="00C92A72">
        <w:rPr>
          <w:rStyle w:val="StyleUnderline"/>
        </w:rPr>
        <w:t>the subject and of the integration of life into the economy</w:t>
      </w:r>
      <w:r w:rsidRPr="00C92A72">
        <w:rPr>
          <w:sz w:val="16"/>
        </w:rPr>
        <w:t xml:space="preserve"> (Dillon and Lobo-Guerrero 2009, 9). This section points out that the transformation of the conception of life intensified the governance of individuals and populations, and argues that it is helpful to conceive of the far-reaching effects and influence of the change to the molecular level by introducing the notion of a genetic dispositif.</w:t>
      </w:r>
      <w:r w:rsidRPr="00C92A72">
        <w:rPr>
          <w:rStyle w:val="StyleUnderline"/>
        </w:rPr>
        <w:t xml:space="preserve"> The second transformation of</w:t>
      </w:r>
      <w:r>
        <w:rPr>
          <w:rStyle w:val="StyleUnderline"/>
        </w:rPr>
        <w:t xml:space="preserve"> </w:t>
      </w:r>
      <w:r w:rsidRPr="00C92A72">
        <w:rPr>
          <w:rStyle w:val="StyleUnderline"/>
        </w:rPr>
        <w:t>life into value intensified the tensions between the creation of speculative value from</w:t>
      </w:r>
      <w:r>
        <w:rPr>
          <w:rStyle w:val="StyleUnderline"/>
        </w:rPr>
        <w:t xml:space="preserve"> </w:t>
      </w:r>
      <w:r w:rsidRPr="00C92A72">
        <w:rPr>
          <w:rStyle w:val="StyleUnderline"/>
        </w:rPr>
        <w:t xml:space="preserve">life and </w:t>
      </w:r>
      <w:r w:rsidRPr="003823AF">
        <w:rPr>
          <w:rStyle w:val="Emphasis"/>
        </w:rPr>
        <w:t>legal regimes such as IP, which enable this integration</w:t>
      </w:r>
      <w:r w:rsidRPr="00C92A72">
        <w:rPr>
          <w:sz w:val="16"/>
        </w:rPr>
        <w:t xml:space="preserve">. These two transformations, which are particular to the informational-genetic conception of life’s relation to the neoliberal economy, problematize the governing of life beyond Foucault’s original notion, and can better explain the increasing significance of and controversies around IP law. On the basis of these transformations, this section then introduces a framework of analysis that accounts for these contestations and tensions by interrogating changes on the level of truth, the subject, and emerging strategies for contestation. 2.1. The molecular transformation of life and the emergence of a ‘genetic dispositif’ </w:t>
      </w:r>
      <w:r w:rsidRPr="00C92A72">
        <w:rPr>
          <w:rStyle w:val="StyleUnderline"/>
        </w:rPr>
        <w:t>The scientifically accepted definition of the essential content of ‘life’ has undergone</w:t>
      </w:r>
      <w:r>
        <w:rPr>
          <w:rStyle w:val="StyleUnderline"/>
        </w:rPr>
        <w:t xml:space="preserve"> </w:t>
      </w:r>
      <w:r w:rsidRPr="00C92A72">
        <w:rPr>
          <w:rStyle w:val="StyleUnderline"/>
        </w:rPr>
        <w:t>dramatic change since the discovery of the genetic code</w:t>
      </w:r>
      <w:r w:rsidRPr="00C92A72">
        <w:rPr>
          <w:sz w:val="16"/>
        </w:rPr>
        <w:t xml:space="preserve">. The magnitude of this change is akin to that described by Foucault at the emergence of 19th century observational methods in the “clinic”, transforming the clinical “gaze” (N. Rose 2007b, 44).16 </w:t>
      </w:r>
      <w:r w:rsidRPr="00C92A72">
        <w:rPr>
          <w:rStyle w:val="StyleUnderline"/>
        </w:rPr>
        <w:t>This transformation of observation adjusts “[n]ot only the names of</w:t>
      </w:r>
      <w:r>
        <w:rPr>
          <w:rStyle w:val="StyleUnderline"/>
        </w:rPr>
        <w:t xml:space="preserve"> </w:t>
      </w:r>
      <w:r w:rsidRPr="00C92A72">
        <w:rPr>
          <w:rStyle w:val="StyleUnderline"/>
        </w:rPr>
        <w:t>diseases, not only the grouping of systems[…]; but the fundamental perceptual codes</w:t>
      </w:r>
      <w:r>
        <w:rPr>
          <w:rStyle w:val="StyleUnderline"/>
        </w:rPr>
        <w:t xml:space="preserve"> </w:t>
      </w:r>
      <w:r w:rsidRPr="00C92A72">
        <w:rPr>
          <w:rStyle w:val="StyleUnderline"/>
        </w:rPr>
        <w:t xml:space="preserve">that were applied to patients’ bodies, </w:t>
      </w:r>
      <w:r w:rsidRPr="003823AF">
        <w:rPr>
          <w:rStyle w:val="Emphasis"/>
        </w:rPr>
        <w:t>the field of objects to which observation addressed itself</w:t>
      </w:r>
      <w:r w:rsidRPr="00C92A72">
        <w:rPr>
          <w:rStyle w:val="StyleUnderline"/>
        </w:rPr>
        <w:t xml:space="preserve">, the surfaces and depths traversed by the doctor’s gaze, the </w:t>
      </w:r>
      <w:r w:rsidRPr="003823AF">
        <w:rPr>
          <w:rStyle w:val="Emphasis"/>
        </w:rPr>
        <w:t>whole system of orientation of this gaze</w:t>
      </w:r>
      <w:r w:rsidRPr="00C92A72">
        <w:rPr>
          <w:rStyle w:val="StyleUnderline"/>
        </w:rPr>
        <w:t>”</w:t>
      </w:r>
      <w:r w:rsidRPr="00C92A72">
        <w:rPr>
          <w:sz w:val="16"/>
        </w:rPr>
        <w:t xml:space="preserve"> (Foucault 1963, 64). The shift to observations of the molecular-genetic constitution of patients entails a “transformation of what it is to be a living thing” (Dillon and Lobo-Guerrero 2009, 2), and in extension also what it is to be a patient, as shown in the emergence of the “pre-symptomatic ill” based on genetic definitions of risk (Wehling 2011, 234). Now, instead of curing illness, medicine can “transform its basic logic […] to one engaged in the molecular reengineering of life itself” (Rabinow and Rose 2006, 212; emphasis in original). This turn also involves a change from a chemical conceptualisation of the body to an informational-genetic one, which has a strong scriptural element: “[c]ontemporary biology has ‘dropped the vocabulary of classical mechanics, physics and chemistry […] in favor of the vocabulary of linguistics and communication theory. Messages, information, programs, codes, instructions, decoding: these are the new concepts of the life sciences’ […] If we are to understand life, its message must be decoded before it can be read” (Canguilhem 1994, 316–317; quoted after N. Rose 2007b, 44). In this way, the shift brought about “a redefinition of life: life as meaning” (Ibid., 44) – interpreted as a somatic destiny which gives rise to new rights and responsibilities of the individual (N. Rose 2008a; McNay 2009; Metzl and Kirkland 2010). </w:t>
      </w:r>
      <w:r w:rsidRPr="00C92A72">
        <w:rPr>
          <w:rStyle w:val="StyleUnderline"/>
        </w:rPr>
        <w:t>In a new somatic ethics “[h]uman beings identify and interpret much</w:t>
      </w:r>
      <w:r>
        <w:rPr>
          <w:rStyle w:val="StyleUnderline"/>
        </w:rPr>
        <w:t xml:space="preserve"> </w:t>
      </w:r>
      <w:r w:rsidRPr="00C92A72">
        <w:rPr>
          <w:rStyle w:val="StyleUnderline"/>
        </w:rPr>
        <w:t>of their unease in terms of the health, vitality, and morbidity of their bodies; they</w:t>
      </w:r>
      <w:r>
        <w:rPr>
          <w:rStyle w:val="StyleUnderline"/>
        </w:rPr>
        <w:t xml:space="preserve"> </w:t>
      </w:r>
      <w:r w:rsidRPr="00C92A72">
        <w:rPr>
          <w:rStyle w:val="StyleUnderline"/>
        </w:rPr>
        <w:t>judge and act upon their soma in their attempts to make themselves not just physically</w:t>
      </w:r>
      <w:r>
        <w:rPr>
          <w:rStyle w:val="StyleUnderline"/>
        </w:rPr>
        <w:t xml:space="preserve"> </w:t>
      </w:r>
      <w:r w:rsidRPr="00C92A72">
        <w:rPr>
          <w:rStyle w:val="StyleUnderline"/>
        </w:rPr>
        <w:t>better, but also to make themselves better persons</w:t>
      </w:r>
      <w:r w:rsidRPr="00C92A72">
        <w:rPr>
          <w:sz w:val="16"/>
        </w:rPr>
        <w:t xml:space="preserve">” (N. Rose 2008a, 46). This somatic reinterpretation of identity however also poses a political challenge, as governing has to adjust to new knowledge of the population determined by genetic science, and the demands of (pre-symptomatic) patients made on the basis of new conceptions of wellbeing and illness.17 </w:t>
      </w:r>
      <w:r w:rsidRPr="00C92A72">
        <w:rPr>
          <w:rStyle w:val="StyleUnderline"/>
        </w:rPr>
        <w:t>This transformation of “what it is to be a living thing” (Dillon and LoboGuerrero 2009, 2) led to an intensification of the problematization of life and thus to</w:t>
      </w:r>
      <w:r>
        <w:rPr>
          <w:rStyle w:val="StyleUnderline"/>
        </w:rPr>
        <w:t xml:space="preserve"> </w:t>
      </w:r>
      <w:r w:rsidRPr="00C92A72">
        <w:rPr>
          <w:rStyle w:val="StyleUnderline"/>
        </w:rPr>
        <w:t>an increasing emphasis on strategies for the governmental management of tensions</w:t>
      </w:r>
      <w:r>
        <w:rPr>
          <w:rStyle w:val="StyleUnderline"/>
        </w:rPr>
        <w:t xml:space="preserve"> </w:t>
      </w:r>
      <w:r w:rsidRPr="00C92A72">
        <w:rPr>
          <w:rStyle w:val="StyleUnderline"/>
        </w:rPr>
        <w:t>arising around the informational-genetic conception of life – which has a far-reaching</w:t>
      </w:r>
      <w:r>
        <w:rPr>
          <w:rStyle w:val="StyleUnderline"/>
        </w:rPr>
        <w:t xml:space="preserve"> </w:t>
      </w:r>
      <w:r w:rsidRPr="00C92A72">
        <w:rPr>
          <w:rStyle w:val="StyleUnderline"/>
        </w:rPr>
        <w:t>influence on the subject and throughout society. It is argued here that this central</w:t>
      </w:r>
      <w:r>
        <w:rPr>
          <w:rStyle w:val="StyleUnderline"/>
        </w:rPr>
        <w:t xml:space="preserve"> </w:t>
      </w:r>
      <w:r w:rsidRPr="003823AF">
        <w:rPr>
          <w:rStyle w:val="Emphasis"/>
        </w:rPr>
        <w:t>influence can usefully be subsumed under the notion of a ‘genetic dispositif’.</w:t>
      </w:r>
      <w:r w:rsidRPr="00C92A72">
        <w:rPr>
          <w:rStyle w:val="StyleUnderline"/>
        </w:rPr>
        <w:t xml:space="preserve"> As</w:t>
      </w:r>
      <w:r>
        <w:rPr>
          <w:rStyle w:val="StyleUnderline"/>
        </w:rPr>
        <w:t xml:space="preserve"> </w:t>
      </w:r>
      <w:r w:rsidRPr="00C92A72">
        <w:rPr>
          <w:rStyle w:val="StyleUnderline"/>
        </w:rPr>
        <w:t>already pointed out above, the study of governmentality shows how the body is</w:t>
      </w:r>
      <w:r>
        <w:rPr>
          <w:rStyle w:val="StyleUnderline"/>
        </w:rPr>
        <w:t xml:space="preserve"> </w:t>
      </w:r>
      <w:r w:rsidRPr="00C92A72">
        <w:rPr>
          <w:rStyle w:val="StyleUnderline"/>
        </w:rPr>
        <w:t>governed on two different levels: individual disciplinary anatomo-politics, and</w:t>
      </w:r>
      <w:r>
        <w:rPr>
          <w:rStyle w:val="StyleUnderline"/>
        </w:rPr>
        <w:t xml:space="preserve"> </w:t>
      </w:r>
      <w:r w:rsidRPr="00C92A72">
        <w:rPr>
          <w:rStyle w:val="StyleUnderline"/>
        </w:rPr>
        <w:t>biopolitical strategies aimed at the population directly and indirectly</w:t>
      </w:r>
      <w:r w:rsidRPr="00C92A72">
        <w:rPr>
          <w:sz w:val="16"/>
        </w:rPr>
        <w:t xml:space="preserve">. These different levels of power exercise often come together in Foucault’s work as “concrete arrangements (agencements concrets)” (Foucault 2008, 140; Muhle 2008, 30), or ‘dispositifs’18. </w:t>
      </w:r>
      <w:r w:rsidRPr="00C92A72">
        <w:rPr>
          <w:rStyle w:val="StyleUnderline"/>
        </w:rPr>
        <w:t>Agamben defines the term dispositif as “a heterogeneous set that includes</w:t>
      </w:r>
      <w:r>
        <w:rPr>
          <w:rStyle w:val="StyleUnderline"/>
        </w:rPr>
        <w:t xml:space="preserve"> </w:t>
      </w:r>
      <w:r w:rsidRPr="00C92A72">
        <w:rPr>
          <w:rStyle w:val="StyleUnderline"/>
        </w:rPr>
        <w:t>virtually anything, linguistic and non-linguistic, under the same heading: discourses,</w:t>
      </w:r>
      <w:r>
        <w:rPr>
          <w:rStyle w:val="StyleUnderline"/>
        </w:rPr>
        <w:t xml:space="preserve"> </w:t>
      </w:r>
      <w:r w:rsidRPr="00C92A72">
        <w:rPr>
          <w:rStyle w:val="StyleUnderline"/>
        </w:rPr>
        <w:t>institutions, buildings, laws, police measures, philosophical propositions, and so on.</w:t>
      </w:r>
      <w:r>
        <w:rPr>
          <w:rStyle w:val="StyleUnderline"/>
        </w:rPr>
        <w:t xml:space="preserve"> </w:t>
      </w:r>
      <w:r w:rsidRPr="00C92A72">
        <w:rPr>
          <w:sz w:val="16"/>
        </w:rPr>
        <w:t xml:space="preserve">The apparatus itself is the network that is established between these elements” (Agamben 2009a, 2). He points out that Foucault never defined the term in detail, even though it is central to many of his works on governmentality. Foucault stated: “The apparatus is precisely this: a set of strategies of the relations of forces supporting, and supported by, certain types of knowledge” (quoted after Agamben Ibid.). The “deployment of sexuality” is an example of such a dispositif (Foucault 1978, 140, emphasis in original), where “sexuality allows for the accessing of life in both conditionalities, the individual life of the body and the global life of the species”, sexuality being “at the same time essentially individual (…) and essentially global”, and “functioning thus as a political dispositif, which connects the individualising techniques of discipline with the globalising mechanisms of regulation” (Muhle 2008, 31, my translation; also Foucault 1977, 149). This thesis argues that the concept of the gene (and genetic knowledge in general) is ideally situated on the axis between the individual and the population, as a central code that enables the formulation of individual disciplinary actions and collective biopolitical strategies in the name of life. </w:t>
      </w:r>
      <w:r w:rsidRPr="00C92A72">
        <w:rPr>
          <w:rStyle w:val="StyleUnderline"/>
        </w:rPr>
        <w:t>Genetic information gives on the</w:t>
      </w:r>
      <w:r>
        <w:rPr>
          <w:rStyle w:val="StyleUnderline"/>
        </w:rPr>
        <w:t xml:space="preserve"> </w:t>
      </w:r>
      <w:r w:rsidRPr="00C92A72">
        <w:rPr>
          <w:rStyle w:val="StyleUnderline"/>
        </w:rPr>
        <w:t>one hand a very individual account of ‘life’, but at the same time the interpretation of</w:t>
      </w:r>
      <w:r>
        <w:rPr>
          <w:rStyle w:val="StyleUnderline"/>
        </w:rPr>
        <w:t xml:space="preserve"> </w:t>
      </w:r>
      <w:r w:rsidRPr="00C92A72">
        <w:rPr>
          <w:rStyle w:val="StyleUnderline"/>
        </w:rPr>
        <w:t>its implications in terms of likely illnesses involves a large amount of statistical data</w:t>
      </w:r>
      <w:r>
        <w:rPr>
          <w:rStyle w:val="StyleUnderline"/>
        </w:rPr>
        <w:t xml:space="preserve"> </w:t>
      </w:r>
      <w:r w:rsidRPr="00C92A72">
        <w:rPr>
          <w:rStyle w:val="StyleUnderline"/>
        </w:rPr>
        <w:t>gathered on a population or even global level</w:t>
      </w:r>
      <w:r w:rsidRPr="00C92A72">
        <w:rPr>
          <w:sz w:val="16"/>
        </w:rPr>
        <w:t xml:space="preserve"> (Rouvroy 2008, 3; Raman and Tutton 2010, 721).19 Deciphering an individual’s personal genetic code provides knowledge about future risk potentialities that incite individuals to more responsible conduct, and to act on themselves in order to better their condition (N. Rose 2008a; Rouvroy 2008, 55 ff. - Rouvroy refers to this as the gene’s “disciplinary” power). The generation of genetic knowledge on the population level enables the evaluation of the individual sample – but it also provides a valuable dataset of the population’s genetic make-up, which can be used for the targeted deployment of biopolitical strategies</w:t>
      </w:r>
      <w:r w:rsidRPr="00C92A72">
        <w:rPr>
          <w:rStyle w:val="StyleUnderline"/>
        </w:rPr>
        <w:t>. Thus this</w:t>
      </w:r>
      <w:r>
        <w:rPr>
          <w:rStyle w:val="StyleUnderline"/>
        </w:rPr>
        <w:t xml:space="preserve"> </w:t>
      </w:r>
      <w:r w:rsidRPr="00C92A72">
        <w:rPr>
          <w:rStyle w:val="StyleUnderline"/>
        </w:rPr>
        <w:t>thesis argues that the genetic code can be seen as a dispositif in the Foucauldian sense</w:t>
      </w:r>
      <w:r>
        <w:rPr>
          <w:rStyle w:val="StyleUnderline"/>
        </w:rPr>
        <w:t xml:space="preserve"> </w:t>
      </w:r>
      <w:r w:rsidRPr="00C92A72">
        <w:rPr>
          <w:rStyle w:val="StyleUnderline"/>
        </w:rPr>
        <w:t xml:space="preserve">– addressing life in collective and individual “conditionalities”. Understanding </w:t>
      </w:r>
      <w:r w:rsidRPr="003823AF">
        <w:rPr>
          <w:rStyle w:val="Emphasis"/>
        </w:rPr>
        <w:t>the genetic dispositif as such a power/knowledge apparatus draws attention to its intensifying potential</w:t>
      </w:r>
      <w:r w:rsidRPr="00C92A72">
        <w:rPr>
          <w:rStyle w:val="StyleUnderline"/>
        </w:rPr>
        <w:t xml:space="preserve"> to bring about far-reaching effects and amplify modes of</w:t>
      </w:r>
      <w:r>
        <w:rPr>
          <w:rStyle w:val="StyleUnderline"/>
        </w:rPr>
        <w:t xml:space="preserve"> </w:t>
      </w:r>
      <w:r w:rsidRPr="00C92A72">
        <w:rPr>
          <w:rStyle w:val="StyleUnderline"/>
        </w:rPr>
        <w:t>individual and collective governance.</w:t>
      </w:r>
      <w:r>
        <w:rPr>
          <w:rStyle w:val="StyleUnderline"/>
        </w:rPr>
        <w:t xml:space="preserve"> </w:t>
      </w:r>
      <w:r w:rsidRPr="00C92A72">
        <w:rPr>
          <w:rStyle w:val="StyleUnderline"/>
        </w:rPr>
        <w:t>Re-reading the relation between IP and conceptions of life in this context</w:t>
      </w:r>
      <w:r>
        <w:rPr>
          <w:rStyle w:val="StyleUnderline"/>
        </w:rPr>
        <w:t xml:space="preserve"> </w:t>
      </w:r>
      <w:r w:rsidRPr="00C92A72">
        <w:rPr>
          <w:rStyle w:val="StyleUnderline"/>
        </w:rPr>
        <w:t>reveals how they are centrally placed at a very significant intersection between</w:t>
      </w:r>
      <w:r>
        <w:rPr>
          <w:rStyle w:val="StyleUnderline"/>
        </w:rPr>
        <w:t xml:space="preserve"> </w:t>
      </w:r>
      <w:r w:rsidRPr="00C92A72">
        <w:rPr>
          <w:rStyle w:val="StyleUnderline"/>
        </w:rPr>
        <w:t>increasingly important technical knowledge for governing, and an intensified</w:t>
      </w:r>
      <w:r>
        <w:rPr>
          <w:rStyle w:val="StyleUnderline"/>
        </w:rPr>
        <w:t xml:space="preserve"> </w:t>
      </w:r>
      <w:r w:rsidRPr="00C92A72">
        <w:rPr>
          <w:rStyle w:val="StyleUnderline"/>
        </w:rPr>
        <w:t>problematization of life for questions of governing, enhanced by the influence of the</w:t>
      </w:r>
      <w:r>
        <w:rPr>
          <w:rStyle w:val="StyleUnderline"/>
        </w:rPr>
        <w:t xml:space="preserve"> </w:t>
      </w:r>
      <w:r w:rsidRPr="00C92A72">
        <w:rPr>
          <w:rStyle w:val="StyleUnderline"/>
        </w:rPr>
        <w:t>genetic dispositif</w:t>
      </w:r>
      <w:r w:rsidRPr="00C92A72">
        <w:rPr>
          <w:sz w:val="16"/>
        </w:rPr>
        <w:t xml:space="preserve">. This influences and redefines individual and collective identities, as for example pre-symptomatic patients join interest groups demanding greater control over the direction of research on their condition, and individuals are encouraged to contribute to the formation of profitable ventures such as population biobanks. </w:t>
      </w:r>
      <w:r w:rsidRPr="00C92A72">
        <w:rPr>
          <w:rStyle w:val="StyleUnderline"/>
        </w:rPr>
        <w:t>IPRs</w:t>
      </w:r>
      <w:r>
        <w:rPr>
          <w:rStyle w:val="StyleUnderline"/>
        </w:rPr>
        <w:t xml:space="preserve"> </w:t>
      </w:r>
      <w:r w:rsidRPr="00C92A72">
        <w:rPr>
          <w:rStyle w:val="StyleUnderline"/>
        </w:rPr>
        <w:t>thus have to govern the economic use of technical knowledge in a political sphere that</w:t>
      </w:r>
      <w:r>
        <w:rPr>
          <w:rStyle w:val="StyleUnderline"/>
        </w:rPr>
        <w:t xml:space="preserve"> </w:t>
      </w:r>
      <w:r w:rsidRPr="00C92A72">
        <w:rPr>
          <w:rStyle w:val="StyleUnderline"/>
        </w:rPr>
        <w:t>is marked by the increasing influence of the informational-genetic conception of life.</w:t>
      </w:r>
      <w:r>
        <w:rPr>
          <w:rStyle w:val="StyleUnderline"/>
        </w:rPr>
        <w:t xml:space="preserve"> </w:t>
      </w:r>
      <w:r w:rsidRPr="00C92A72">
        <w:rPr>
          <w:sz w:val="16"/>
        </w:rPr>
        <w:t xml:space="preserve">This growing influence of the genetic dispositif however also complicates the function of IPRs. The informational-genetic understanding of DNA has only recently been formally accepted by IP law (in Assoc. for Molecular Pathology v. Myriad [2013]), threatening to unsettle IP’s economic role as information alone is not patentable (see chapter IV). </w:t>
      </w:r>
      <w:r w:rsidRPr="00C92A72">
        <w:rPr>
          <w:rStyle w:val="StyleUnderline"/>
        </w:rPr>
        <w:t>As IP negotiates tensions between patentability and the</w:t>
      </w:r>
      <w:r>
        <w:rPr>
          <w:rStyle w:val="StyleUnderline"/>
        </w:rPr>
        <w:t xml:space="preserve"> </w:t>
      </w:r>
      <w:r w:rsidRPr="00C92A72">
        <w:rPr>
          <w:rStyle w:val="StyleUnderline"/>
        </w:rPr>
        <w:t>normalisation of informational-genetic conceptions of life, it also plays particularly</w:t>
      </w:r>
      <w:r>
        <w:rPr>
          <w:rStyle w:val="StyleUnderline"/>
        </w:rPr>
        <w:t xml:space="preserve"> </w:t>
      </w:r>
      <w:r w:rsidRPr="00C92A72">
        <w:rPr>
          <w:rStyle w:val="StyleUnderline"/>
        </w:rPr>
        <w:t>important other roles in a neoliberal economy, as the second transformation of life</w:t>
      </w:r>
      <w:r>
        <w:rPr>
          <w:rStyle w:val="StyleUnderline"/>
        </w:rPr>
        <w:t xml:space="preserve"> </w:t>
      </w:r>
      <w:r w:rsidRPr="00C92A72">
        <w:rPr>
          <w:rStyle w:val="StyleUnderline"/>
        </w:rPr>
        <w:t>into value shows.</w:t>
      </w:r>
    </w:p>
    <w:p w14:paraId="0F682DC0" w14:textId="77777777" w:rsidR="000E092E" w:rsidRDefault="000E092E" w:rsidP="006C0B77">
      <w:pPr>
        <w:pStyle w:val="Heading2"/>
      </w:pPr>
      <w:r>
        <w:t>Biopower</w:t>
      </w:r>
    </w:p>
    <w:p w14:paraId="2D5C2F42" w14:textId="0BA580BC" w:rsidR="006C0B77" w:rsidRPr="006C0B77" w:rsidRDefault="006C0B77" w:rsidP="006C0B77">
      <w:pPr>
        <w:pStyle w:val="Heading3"/>
      </w:pPr>
      <w:r>
        <w:t>IP</w:t>
      </w:r>
    </w:p>
    <w:p w14:paraId="2AAFD66C" w14:textId="77777777" w:rsidR="000E092E" w:rsidRDefault="000E092E" w:rsidP="000E092E">
      <w:pPr>
        <w:pStyle w:val="Heading4"/>
      </w:pPr>
      <w:r>
        <w:t>Biopolitics is the best explicatory framework for IP—national, international, economic, political, and imperial dimensions</w:t>
      </w:r>
    </w:p>
    <w:p w14:paraId="36C1C580" w14:textId="77777777" w:rsidR="000E092E" w:rsidRPr="006A4805" w:rsidRDefault="000E092E" w:rsidP="000E092E">
      <w:pPr>
        <w:rPr>
          <w:rStyle w:val="Style13ptBold"/>
        </w:rPr>
      </w:pPr>
      <w:r w:rsidRPr="006A4805">
        <w:rPr>
          <w:rStyle w:val="Style13ptBold"/>
        </w:rPr>
        <w:t>Hilberg 15</w:t>
      </w:r>
    </w:p>
    <w:p w14:paraId="42C2984A" w14:textId="77777777" w:rsidR="000E092E" w:rsidRPr="006A4805" w:rsidRDefault="000E092E" w:rsidP="000E092E">
      <w:r w:rsidRPr="006A4805">
        <w:t xml:space="preserve">Eva, phD candidate at the University of Sussex. “Intellectual Property and the Genetic Dispositif of Life: The Changing Role of Intellectual Property Law in Governing Participation and Knowledge in the Bioeconomy.” Submitted for the Degree of Doctor of Philosophy University of Sussex, May 2015. Pp </w:t>
      </w:r>
      <w:r>
        <w:t>74-77</w:t>
      </w:r>
      <w:r w:rsidRPr="006A4805">
        <w:t>. LJS</w:t>
      </w:r>
    </w:p>
    <w:p w14:paraId="3E593217" w14:textId="77777777" w:rsidR="000E092E" w:rsidRPr="00275480" w:rsidRDefault="000E092E" w:rsidP="000E092E">
      <w:pPr>
        <w:rPr>
          <w:sz w:val="16"/>
        </w:rPr>
      </w:pPr>
      <w:r w:rsidRPr="00275480">
        <w:rPr>
          <w:sz w:val="16"/>
        </w:rPr>
        <w:t xml:space="preserve">The exclusionary and destructive effects of the productive logic of biopolitics are especially noticeable within the IP regime on the international level, as chapter VI of this thesis argues. 14 </w:t>
      </w:r>
      <w:r w:rsidRPr="00275480">
        <w:rPr>
          <w:rStyle w:val="StyleUnderline"/>
        </w:rPr>
        <w:t>Here, the fostering of some populations is taking precedent over</w:t>
      </w:r>
      <w:r>
        <w:rPr>
          <w:rStyle w:val="StyleUnderline"/>
        </w:rPr>
        <w:t xml:space="preserve"> </w:t>
      </w:r>
      <w:r w:rsidRPr="00275480">
        <w:rPr>
          <w:rStyle w:val="StyleUnderline"/>
        </w:rPr>
        <w:t>that of others, one of the foundational conditions of biopolitical governing according</w:t>
      </w:r>
      <w:r>
        <w:rPr>
          <w:rStyle w:val="StyleUnderline"/>
        </w:rPr>
        <w:t xml:space="preserve"> </w:t>
      </w:r>
      <w:r w:rsidRPr="00275480">
        <w:rPr>
          <w:rStyle w:val="StyleUnderline"/>
        </w:rPr>
        <w:t>to the critical use of the concept of biopower.</w:t>
      </w:r>
      <w:r w:rsidRPr="00275480">
        <w:rPr>
          <w:sz w:val="16"/>
        </w:rPr>
        <w:t xml:space="preserve"> However, tensions are emerging at the core of the international neoliberal economy, questioning the effects of the IP regime on the lives and health of disadvantaged parts of the (global) population (see WTO 2001; WTO 2002; CIPIH 2006; CEWG 2012a; WHO, WIPO, and WTO 2013). This thesis traces these emerging contestations and the way in which IP here “engage[s] responsively with exteriority, with an outside made up of resistances and transgressions” (Golder and Fitzpatrick 2009, 56). This does not declare the emergence of a global biopolitics in the manner of Hardt and Negri’s comprehensive Empire, in which “a new global form of sovereignty” is ruling “social life in its entirety” in a “paradigmatic form of Biopower” (Hardt and Negri 2000, xii and xv). </w:t>
      </w:r>
      <w:r w:rsidRPr="00275480">
        <w:rPr>
          <w:rStyle w:val="StyleUnderline"/>
        </w:rPr>
        <w:t>The analysis rather focuses on tensions within a specific legal regime that operates on</w:t>
      </w:r>
      <w:r>
        <w:rPr>
          <w:rStyle w:val="StyleUnderline"/>
        </w:rPr>
        <w:t xml:space="preserve"> </w:t>
      </w:r>
      <w:r w:rsidRPr="00275480">
        <w:rPr>
          <w:rStyle w:val="StyleUnderline"/>
        </w:rPr>
        <w:t xml:space="preserve">the intersection of the economy and genetic conceptions of life – </w:t>
      </w:r>
      <w:r w:rsidRPr="00275480">
        <w:rPr>
          <w:rStyle w:val="Emphasis"/>
        </w:rPr>
        <w:t>uniquely connecting national jurisdictions with international organisations</w:t>
      </w:r>
      <w:r w:rsidRPr="00275480">
        <w:rPr>
          <w:rStyle w:val="StyleUnderline"/>
        </w:rPr>
        <w:t xml:space="preserve"> and standards, and giving rise to</w:t>
      </w:r>
      <w:r>
        <w:rPr>
          <w:rStyle w:val="StyleUnderline"/>
        </w:rPr>
        <w:t xml:space="preserve"> </w:t>
      </w:r>
      <w:r w:rsidRPr="00275480">
        <w:rPr>
          <w:rStyle w:val="StyleUnderline"/>
        </w:rPr>
        <w:t>debates on the relation of IP and life especially within international organisations at</w:t>
      </w:r>
      <w:r>
        <w:rPr>
          <w:rStyle w:val="StyleUnderline"/>
        </w:rPr>
        <w:t xml:space="preserve"> </w:t>
      </w:r>
      <w:r w:rsidRPr="00275480">
        <w:rPr>
          <w:rStyle w:val="StyleUnderline"/>
        </w:rPr>
        <w:t>the core of the neoliberal international economy.</w:t>
      </w:r>
      <w:r>
        <w:rPr>
          <w:rStyle w:val="StyleUnderline"/>
        </w:rPr>
        <w:t xml:space="preserve"> </w:t>
      </w:r>
      <w:r w:rsidRPr="00275480">
        <w:rPr>
          <w:sz w:val="16"/>
        </w:rPr>
        <w:t xml:space="preserve">This specific focus on a particular legal regime seeks to contribute to recent debates about the defensibility of claims about global governmentality and biopolitics (see Kiersey 2009; Chandler 2010; Rosenow 2009; Kiersey, Weidner, and Rosenow 2010; Selby 2007). Selby for example argues that the “scaling-up” of Foucauldian ideas involves a “double reading”, where “[international political relations] are read first as liberal and, on the strength of this, these global liberal realities are analysed as the products of disciplinary and bio-political power” (Ibid., 334; see also Chandler 2010 for a critique of reaching beyond the liberal state). This, he finds, “support[s] what are in essence reworked and reworded liberal accounts of international politics” (Selby 2007, 334). </w:t>
      </w:r>
      <w:r w:rsidRPr="00275480">
        <w:rPr>
          <w:rStyle w:val="StyleUnderline"/>
        </w:rPr>
        <w:t>While “global” versions of governmentality and biopolitics are</w:t>
      </w:r>
      <w:r>
        <w:rPr>
          <w:rStyle w:val="StyleUnderline"/>
        </w:rPr>
        <w:t xml:space="preserve"> </w:t>
      </w:r>
      <w:r w:rsidRPr="00275480">
        <w:rPr>
          <w:rStyle w:val="StyleUnderline"/>
        </w:rPr>
        <w:t>thus criticised for neglecting “the specificity of the international”, some analyses are</w:t>
      </w:r>
      <w:r>
        <w:rPr>
          <w:rStyle w:val="StyleUnderline"/>
        </w:rPr>
        <w:t xml:space="preserve"> </w:t>
      </w:r>
      <w:r w:rsidRPr="00275480">
        <w:rPr>
          <w:rStyle w:val="StyleUnderline"/>
        </w:rPr>
        <w:t xml:space="preserve">however endorsed as “bringing to the fore, the </w:t>
      </w:r>
      <w:r w:rsidRPr="00275480">
        <w:rPr>
          <w:rStyle w:val="Emphasis"/>
        </w:rPr>
        <w:t>diverse liberal discourses, practices and techniques of international politics</w:t>
      </w:r>
      <w:r w:rsidRPr="00275480">
        <w:rPr>
          <w:rStyle w:val="StyleUnderline"/>
        </w:rPr>
        <w:t>” (Ibid., 332).</w:t>
      </w:r>
      <w:r>
        <w:rPr>
          <w:rStyle w:val="StyleUnderline"/>
        </w:rPr>
        <w:t xml:space="preserve"> </w:t>
      </w:r>
      <w:r w:rsidRPr="00275480">
        <w:rPr>
          <w:sz w:val="16"/>
        </w:rPr>
        <w:t xml:space="preserve">Instead of putting forward an understanding of ‘global biopolitics’ in general, in response Kiersey emphasises the potential of Foucault’s work on governmentality and biopolitics to “address the role of economic ideology in contemporary globalisation” (Kiersey 2009, 365). </w:t>
      </w:r>
      <w:r w:rsidRPr="00275480">
        <w:rPr>
          <w:rStyle w:val="StyleUnderline"/>
        </w:rPr>
        <w:t>He argues that Foucault’s recently published</w:t>
      </w:r>
      <w:r>
        <w:rPr>
          <w:rStyle w:val="StyleUnderline"/>
        </w:rPr>
        <w:t xml:space="preserve"> </w:t>
      </w:r>
      <w:r w:rsidRPr="00275480">
        <w:rPr>
          <w:rStyle w:val="StyleUnderline"/>
        </w:rPr>
        <w:t>lectures in particular can provide an understanding of how “contemporary capitalism</w:t>
      </w:r>
      <w:r>
        <w:rPr>
          <w:rStyle w:val="StyleUnderline"/>
        </w:rPr>
        <w:t xml:space="preserve"> </w:t>
      </w:r>
      <w:r w:rsidRPr="00275480">
        <w:rPr>
          <w:rStyle w:val="StyleUnderline"/>
        </w:rPr>
        <w:t>relies on the market as a potential vector for the solicitation of specific norms of</w:t>
      </w:r>
      <w:r>
        <w:rPr>
          <w:rStyle w:val="StyleUnderline"/>
        </w:rPr>
        <w:t xml:space="preserve"> </w:t>
      </w:r>
      <w:r w:rsidRPr="00275480">
        <w:rPr>
          <w:rStyle w:val="StyleUnderline"/>
        </w:rPr>
        <w:t>individual responsibility</w:t>
      </w:r>
      <w:r w:rsidRPr="00275480">
        <w:rPr>
          <w:sz w:val="16"/>
        </w:rPr>
        <w:t xml:space="preserve">” (Ibid.). Rosenow furthermore argues that governmentality’s strength in analyses of decentred relations of power radically questions the validity of universal categories such as “the international” (Rosenow 2009, 500). </w:t>
      </w:r>
      <w:r w:rsidRPr="00275480">
        <w:rPr>
          <w:rStyle w:val="StyleUnderline"/>
        </w:rPr>
        <w:t>She advocates</w:t>
      </w:r>
      <w:r>
        <w:rPr>
          <w:rStyle w:val="StyleUnderline"/>
        </w:rPr>
        <w:t xml:space="preserve"> </w:t>
      </w:r>
      <w:r w:rsidRPr="00275480">
        <w:rPr>
          <w:rStyle w:val="StyleUnderline"/>
        </w:rPr>
        <w:t xml:space="preserve">the analysis of “a particular set of practices at a particular site” </w:t>
      </w:r>
      <w:r w:rsidRPr="00275480">
        <w:rPr>
          <w:rStyle w:val="Emphasis"/>
        </w:rPr>
        <w:t>rather than being drawn into statements of a universalist nature</w:t>
      </w:r>
      <w:r w:rsidRPr="00275480">
        <w:rPr>
          <w:rStyle w:val="StyleUnderline"/>
        </w:rPr>
        <w:t xml:space="preserve"> – and shows how different forms of</w:t>
      </w:r>
      <w:r>
        <w:rPr>
          <w:rStyle w:val="StyleUnderline"/>
        </w:rPr>
        <w:t xml:space="preserve"> </w:t>
      </w:r>
      <w:r w:rsidRPr="00275480">
        <w:rPr>
          <w:rStyle w:val="StyleUnderline"/>
        </w:rPr>
        <w:t>neoliberalism can be found at different international sites, for example in negotiations</w:t>
      </w:r>
      <w:r>
        <w:rPr>
          <w:rStyle w:val="StyleUnderline"/>
        </w:rPr>
        <w:t xml:space="preserve"> </w:t>
      </w:r>
      <w:r w:rsidRPr="00275480">
        <w:rPr>
          <w:rStyle w:val="StyleUnderline"/>
        </w:rPr>
        <w:t>at the WTO on the import of genetically modified organisms to the European</w:t>
      </w:r>
      <w:r>
        <w:rPr>
          <w:rStyle w:val="StyleUnderline"/>
        </w:rPr>
        <w:t xml:space="preserve"> </w:t>
      </w:r>
      <w:r w:rsidRPr="00275480">
        <w:rPr>
          <w:rStyle w:val="StyleUnderline"/>
        </w:rPr>
        <w:t>Community (Ibid., 502 ff.).</w:t>
      </w:r>
      <w:r>
        <w:rPr>
          <w:rStyle w:val="StyleUnderline"/>
        </w:rPr>
        <w:t xml:space="preserve"> </w:t>
      </w:r>
      <w:r w:rsidRPr="00275480">
        <w:rPr>
          <w:sz w:val="16"/>
        </w:rPr>
        <w:t>This thesis argues for the use of Foucauldian concepts in analyses of specific debates within core organisations at the intersection of the international neoliberal economy and the international administration of health</w:t>
      </w:r>
      <w:r w:rsidRPr="00275480">
        <w:rPr>
          <w:rStyle w:val="StyleUnderline"/>
        </w:rPr>
        <w:t>. IP law is particularly unique</w:t>
      </w:r>
      <w:r>
        <w:rPr>
          <w:rStyle w:val="StyleUnderline"/>
        </w:rPr>
        <w:t xml:space="preserve"> </w:t>
      </w:r>
      <w:r w:rsidRPr="00275480">
        <w:rPr>
          <w:rStyle w:val="StyleUnderline"/>
        </w:rPr>
        <w:t xml:space="preserve">due to its connection between the international and the national level, with the </w:t>
      </w:r>
      <w:r w:rsidRPr="00275480">
        <w:rPr>
          <w:rStyle w:val="Emphasis"/>
        </w:rPr>
        <w:t>US exerting an especially strong influence</w:t>
      </w:r>
      <w:r w:rsidRPr="00275480">
        <w:rPr>
          <w:sz w:val="16"/>
        </w:rPr>
        <w:t xml:space="preserve"> (Sell 2003; Tyfield 2008). It thus has strong connections to the neoliberal variant of the US as described in Foucault’s recently published lectures (Foucault 2008). </w:t>
      </w:r>
      <w:r w:rsidRPr="00275480">
        <w:rPr>
          <w:rStyle w:val="StyleUnderline"/>
        </w:rPr>
        <w:t>This US version of neoliberalism connects life</w:t>
      </w:r>
      <w:r>
        <w:rPr>
          <w:rStyle w:val="StyleUnderline"/>
        </w:rPr>
        <w:t xml:space="preserve"> </w:t>
      </w:r>
      <w:r w:rsidRPr="00275480">
        <w:rPr>
          <w:rStyle w:val="StyleUnderline"/>
        </w:rPr>
        <w:t>and economic relations in a “theory of political economic practices that proposes that</w:t>
      </w:r>
      <w:r>
        <w:rPr>
          <w:rStyle w:val="StyleUnderline"/>
        </w:rPr>
        <w:t xml:space="preserve"> </w:t>
      </w:r>
      <w:r w:rsidRPr="00275480">
        <w:rPr>
          <w:rStyle w:val="StyleUnderline"/>
        </w:rPr>
        <w:t>human well-being can best be advanced by liberating individual entrepreneurial</w:t>
      </w:r>
      <w:r>
        <w:rPr>
          <w:rStyle w:val="StyleUnderline"/>
        </w:rPr>
        <w:t xml:space="preserve"> </w:t>
      </w:r>
      <w:r w:rsidRPr="00275480">
        <w:rPr>
          <w:rStyle w:val="StyleUnderline"/>
        </w:rPr>
        <w:t>freedoms and skills within an institutional framework characterized by strong private</w:t>
      </w:r>
      <w:r>
        <w:rPr>
          <w:rStyle w:val="StyleUnderline"/>
        </w:rPr>
        <w:t xml:space="preserve"> </w:t>
      </w:r>
      <w:r w:rsidRPr="00275480">
        <w:rPr>
          <w:rStyle w:val="StyleUnderline"/>
        </w:rPr>
        <w:t>property rights, free markets, and free trade” (Harvey 2005, 2). But the IP system’s</w:t>
      </w:r>
      <w:r>
        <w:rPr>
          <w:rStyle w:val="StyleUnderline"/>
        </w:rPr>
        <w:t xml:space="preserve"> </w:t>
      </w:r>
      <w:r w:rsidRPr="00275480">
        <w:rPr>
          <w:rStyle w:val="StyleUnderline"/>
        </w:rPr>
        <w:t>exclusion of large parts of the global population is also strongly reminiscent of</w:t>
      </w:r>
      <w:r>
        <w:rPr>
          <w:rStyle w:val="StyleUnderline"/>
        </w:rPr>
        <w:t xml:space="preserve"> </w:t>
      </w:r>
      <w:r w:rsidRPr="00275480">
        <w:rPr>
          <w:rStyle w:val="StyleUnderline"/>
        </w:rPr>
        <w:t>Foucault’s statements on the global dimension of the earlier liberal notion of limitless</w:t>
      </w:r>
      <w:r>
        <w:rPr>
          <w:rStyle w:val="StyleUnderline"/>
        </w:rPr>
        <w:t xml:space="preserve"> </w:t>
      </w:r>
      <w:r w:rsidRPr="00275480">
        <w:rPr>
          <w:rStyle w:val="StyleUnderline"/>
        </w:rPr>
        <w:t>European progress, which made it “necessary to summon around Europe, and for</w:t>
      </w:r>
      <w:r>
        <w:rPr>
          <w:rStyle w:val="StyleUnderline"/>
        </w:rPr>
        <w:t xml:space="preserve"> </w:t>
      </w:r>
      <w:r w:rsidRPr="00275480">
        <w:rPr>
          <w:rStyle w:val="StyleUnderline"/>
        </w:rPr>
        <w:t>Europe, an increasingly extended market and […] everything in the world that can be</w:t>
      </w:r>
      <w:r>
        <w:rPr>
          <w:rStyle w:val="StyleUnderline"/>
        </w:rPr>
        <w:t xml:space="preserve"> </w:t>
      </w:r>
      <w:r w:rsidRPr="00275480">
        <w:rPr>
          <w:rStyle w:val="StyleUnderline"/>
        </w:rPr>
        <w:t>put on the market” (Foucault 2008, 55).</w:t>
      </w:r>
      <w:r w:rsidRPr="00275480">
        <w:rPr>
          <w:sz w:val="16"/>
        </w:rPr>
        <w:t xml:space="preserve"> In this sense, “[t]he game is in Europe, but the stake is the world” – with “Europe on the one side, with Europeans as the players, and then the world on the other, which will be the stake” (Ibid., 55 and 56). </w:t>
      </w:r>
      <w:r w:rsidRPr="00275480">
        <w:rPr>
          <w:rStyle w:val="StyleUnderline"/>
        </w:rPr>
        <w:t>Thus the IP regime stands uneasily between liberal and neoliberal priorities of</w:t>
      </w:r>
      <w:r>
        <w:rPr>
          <w:rStyle w:val="StyleUnderline"/>
        </w:rPr>
        <w:t xml:space="preserve"> </w:t>
      </w:r>
      <w:r w:rsidRPr="00275480">
        <w:rPr>
          <w:rStyle w:val="StyleUnderline"/>
        </w:rPr>
        <w:t>governing. 15 The exclusion of large parts of the world’s population from any</w:t>
      </w:r>
      <w:r>
        <w:rPr>
          <w:rStyle w:val="StyleUnderline"/>
        </w:rPr>
        <w:t xml:space="preserve"> </w:t>
      </w:r>
      <w:r w:rsidRPr="00275480">
        <w:rPr>
          <w:rStyle w:val="StyleUnderline"/>
        </w:rPr>
        <w:t>meaningful participation in the making of IP policy, or in the proceeds (be they</w:t>
      </w:r>
      <w:r>
        <w:rPr>
          <w:rStyle w:val="StyleUnderline"/>
        </w:rPr>
        <w:t xml:space="preserve"> </w:t>
      </w:r>
      <w:r w:rsidRPr="00275480">
        <w:rPr>
          <w:rStyle w:val="StyleUnderline"/>
        </w:rPr>
        <w:t>medicines, knowledge, or profits) asserts a version of 19th century liberalism’s “global</w:t>
      </w:r>
      <w:r>
        <w:rPr>
          <w:rStyle w:val="StyleUnderline"/>
        </w:rPr>
        <w:t xml:space="preserve"> </w:t>
      </w:r>
      <w:r w:rsidRPr="00275480">
        <w:rPr>
          <w:rStyle w:val="StyleUnderline"/>
        </w:rPr>
        <w:t>calculation” of governmentality promoting European and US progress – comparable</w:t>
      </w:r>
      <w:r>
        <w:rPr>
          <w:rStyle w:val="StyleUnderline"/>
        </w:rPr>
        <w:t xml:space="preserve"> </w:t>
      </w:r>
      <w:r w:rsidRPr="00275480">
        <w:rPr>
          <w:rStyle w:val="StyleUnderline"/>
        </w:rPr>
        <w:t>to Foucault’s example of maritime law (Ibid., 55). But the extension of IP law to</w:t>
      </w:r>
      <w:r>
        <w:rPr>
          <w:rStyle w:val="StyleUnderline"/>
        </w:rPr>
        <w:t xml:space="preserve"> </w:t>
      </w:r>
      <w:r w:rsidRPr="00275480">
        <w:rPr>
          <w:rStyle w:val="StyleUnderline"/>
        </w:rPr>
        <w:t>genetic materials and IP’s foundational significance for the raising of speculative</w:t>
      </w:r>
      <w:r>
        <w:rPr>
          <w:rStyle w:val="StyleUnderline"/>
        </w:rPr>
        <w:t xml:space="preserve"> </w:t>
      </w:r>
      <w:r w:rsidRPr="00275480">
        <w:rPr>
          <w:rStyle w:val="StyleUnderline"/>
        </w:rPr>
        <w:t>capital for the biotech sector (Cooper 2008) increasingly intensify tensions around the</w:t>
      </w:r>
      <w:r>
        <w:rPr>
          <w:rStyle w:val="StyleUnderline"/>
        </w:rPr>
        <w:t xml:space="preserve"> </w:t>
      </w:r>
      <w:r w:rsidRPr="00275480">
        <w:rPr>
          <w:rStyle w:val="StyleUnderline"/>
        </w:rPr>
        <w:t>ownership of molecular knowledge over life – even on the international level.</w:t>
      </w:r>
      <w:r>
        <w:rPr>
          <w:rStyle w:val="StyleUnderline"/>
        </w:rPr>
        <w:t xml:space="preserve"> </w:t>
      </w:r>
      <w:r w:rsidRPr="00275480">
        <w:rPr>
          <w:sz w:val="16"/>
        </w:rPr>
        <w:t xml:space="preserve">Importantly, the influence of genetic knowledge reaches far beyond this economic function, as the genetic dispositif redefines life, identity, and well-being pervasively. </w:t>
      </w:r>
      <w:r w:rsidRPr="00275480">
        <w:rPr>
          <w:rStyle w:val="StyleUnderline"/>
        </w:rPr>
        <w:t xml:space="preserve">The molecularisation of life thus also </w:t>
      </w:r>
      <w:r w:rsidRPr="00275480">
        <w:rPr>
          <w:rStyle w:val="Emphasis"/>
        </w:rPr>
        <w:t>further intensifies tensions around IP on genetic materials</w:t>
      </w:r>
      <w:r w:rsidRPr="00275480">
        <w:rPr>
          <w:sz w:val="16"/>
        </w:rPr>
        <w:t xml:space="preserve">. The following sections first turn to these two transformations and the pervasive influence of the genetic dispositif, and then highlight this dispositif’s governmentalising effects on IP law. This generates a framework for analysis that provides a deeper understanding of the changing role of law in a governmental system. The following chapters then illuminate IP’s responsive engagement with challenges, and its function as a “tactics” of government in managing emerging tensions and challenges specifically within this international legal regime. </w:t>
      </w:r>
    </w:p>
    <w:p w14:paraId="7EE362B6" w14:textId="77777777" w:rsidR="000E092E" w:rsidRDefault="000E092E" w:rsidP="000E092E">
      <w:pPr>
        <w:pStyle w:val="Heading4"/>
      </w:pPr>
      <w:r>
        <w:t>Biopolitics is the best explicatory lens to view intellectual property—it’s the only system that explains who gets commodified when</w:t>
      </w:r>
    </w:p>
    <w:p w14:paraId="744ECF75" w14:textId="77777777" w:rsidR="000E092E" w:rsidRPr="006A4805" w:rsidRDefault="000E092E" w:rsidP="000E092E">
      <w:r w:rsidRPr="00411D18">
        <w:rPr>
          <w:rStyle w:val="Style13ptBold"/>
        </w:rPr>
        <w:t>Foster 12</w:t>
      </w:r>
      <w:r w:rsidRPr="006A4805">
        <w:t xml:space="preserve"> (Laura A. Foster, assistant professor of gender studies and affiliate faculty of the Maurer School of Law at Indiana University, Bloomington, “Patents, Biopolitics, and Feminisms: Locating Patent Law Struggles over Breast Cancer Genes and the Hoodia Plant”, International Journal of Cultural Property, December 07, 2012, https://doi.org/10.1017/S0940739112000215) VQ</w:t>
      </w:r>
    </w:p>
    <w:p w14:paraId="0E79B8B6" w14:textId="77777777" w:rsidR="000E092E" w:rsidRPr="006A4805" w:rsidRDefault="000E092E" w:rsidP="000E092E">
      <w:pPr>
        <w:rPr>
          <w:sz w:val="16"/>
        </w:rPr>
      </w:pPr>
      <w:r w:rsidRPr="006A4805">
        <w:rPr>
          <w:sz w:val="16"/>
        </w:rPr>
        <w:t xml:space="preserve">PATENT LAW AND GENDERED FORMS OF REPRODUCTIVE AND INTELLECTUAL LABOR </w:t>
      </w:r>
      <w:r w:rsidRPr="00E040E3">
        <w:rPr>
          <w:rStyle w:val="StyleUnderline"/>
        </w:rPr>
        <w:t>Given the variable impact of patent ownership on women’s lives, developing a feminist analysis of patent law is a complex endeavor</w:t>
      </w:r>
      <w:r w:rsidRPr="006A4805">
        <w:rPr>
          <w:sz w:val="16"/>
        </w:rPr>
        <w:t>. Patent ownership rights benefit some women and their families, but not others.</w:t>
      </w:r>
      <w:r w:rsidRPr="00E040E3">
        <w:rPr>
          <w:rStyle w:val="StyleUnderline"/>
        </w:rPr>
        <w:t xml:space="preserve"> </w:t>
      </w:r>
      <w:r w:rsidRPr="00B34D80">
        <w:rPr>
          <w:rStyle w:val="StyleUnderline"/>
        </w:rPr>
        <w:t>Patentable subject matter derived from human bodily tissues and plant knowledge are extracted from the bodies and minds of some women, while other women become the beneficiaries of such acts of corporeal and incorporeal appropriation leading to patented medical technologies</w:t>
      </w:r>
      <w:r w:rsidRPr="006A4805">
        <w:rPr>
          <w:sz w:val="16"/>
        </w:rPr>
        <w:t xml:space="preserve">. Social relations of gender, race, class, ethnicity, indigeneity, nation, citizenship, and colonialism all shape and are shaped by a politics of patent law. </w:t>
      </w:r>
      <w:r w:rsidRPr="00FF6D66">
        <w:rPr>
          <w:rStyle w:val="StyleUnderline"/>
        </w:rPr>
        <w:t xml:space="preserve">Understanding patent ownership as embedded within neoliberal, biopolitical modes of governing clarifies how different groups, and their genetic information and knowledge, are being regulated through such privatization. It </w:t>
      </w:r>
      <w:r w:rsidRPr="0090797B">
        <w:rPr>
          <w:rStyle w:val="StyleUnderline"/>
        </w:rPr>
        <w:t>enables understandings</w:t>
      </w:r>
      <w:r w:rsidRPr="00FF6D66">
        <w:rPr>
          <w:rStyle w:val="StyleUnderline"/>
        </w:rPr>
        <w:t xml:space="preserve"> of how the benefits, appropriations, and exploitations of intellectual properties and patent ownership are distributed unequally.</w:t>
      </w:r>
      <w:r w:rsidRPr="006A4805">
        <w:rPr>
          <w:sz w:val="16"/>
        </w:rPr>
        <w:t xml:space="preserve"> In particular, an analysis of the public domain can illuminate how women’s reproductive and intellectual labor is operationalized, in variegated ways, within new bioeconomies regulated by patent ownership. For example, </w:t>
      </w:r>
      <w:r w:rsidRPr="00861833">
        <w:rPr>
          <w:rStyle w:val="StyleUnderline"/>
        </w:rPr>
        <w:t xml:space="preserve">stem cell researchers deploy oocytes taken from certain women participating in the fertility industry. Cancer researchers study the BRCA1 and BRCA2 gene mutations from women with family histories of breast cancer. Additionally, pharmaceutical companies appropriate indigenous women’s medicinal plant knowledge with the hope that it may lead to the next blockbuster drug. </w:t>
      </w:r>
      <w:r w:rsidRPr="00861833">
        <w:rPr>
          <w:rStyle w:val="Emphasis"/>
        </w:rPr>
        <w:t>Women’s bodies and minds are thus put into service and animated for scientific production</w:t>
      </w:r>
      <w:r w:rsidRPr="00861833">
        <w:rPr>
          <w:rStyle w:val="StyleUnderline"/>
        </w:rPr>
        <w:t xml:space="preserve"> as new meanings around reproduction and labor emerge.</w:t>
      </w:r>
      <w:r w:rsidRPr="006A4805">
        <w:rPr>
          <w:sz w:val="16"/>
        </w:rPr>
        <w:t xml:space="preserve"> The material conditions and scientific realities of these examples differ, however the specter of patent ownership resides within each. </w:t>
      </w:r>
      <w:r w:rsidRPr="000E53AB">
        <w:rPr>
          <w:rStyle w:val="StyleUnderline"/>
        </w:rPr>
        <w:t>Material derived from women’s bodies and minds has the potential to become the object of patent ownership and control by inventor scientists</w:t>
      </w:r>
      <w:r w:rsidRPr="006A4805">
        <w:rPr>
          <w:sz w:val="16"/>
        </w:rPr>
        <w:t xml:space="preserve">. Yet, patent ownership does not haunt everyone equally. Many women will likely benefit from and take advantage of such patented inventions. </w:t>
      </w:r>
      <w:r w:rsidRPr="000714BA">
        <w:rPr>
          <w:rStyle w:val="StyleUnderline"/>
        </w:rPr>
        <w:t xml:space="preserve">Such patented technologies may be utilized in the </w:t>
      </w:r>
      <w:r w:rsidRPr="000714BA">
        <w:rPr>
          <w:rStyle w:val="Emphasis"/>
        </w:rPr>
        <w:t>performing of gendered caretaking work</w:t>
      </w:r>
      <w:r w:rsidRPr="000714BA">
        <w:rPr>
          <w:rStyle w:val="StyleUnderline"/>
        </w:rPr>
        <w:t xml:space="preserve"> for the health and wellbeing of their families as obliged through constraints of biopower.</w:t>
      </w:r>
      <w:r w:rsidRPr="006A4805">
        <w:rPr>
          <w:sz w:val="16"/>
        </w:rPr>
        <w:t xml:space="preserve"> The histories, interests, needs, and stakes of each of these groups of women differs dramatically, but a link between them is their labor. </w:t>
      </w:r>
      <w:r w:rsidRPr="00593AE5">
        <w:rPr>
          <w:rStyle w:val="StyleUnderline"/>
        </w:rPr>
        <w:t xml:space="preserve">Women are performing new modes of work within </w:t>
      </w:r>
      <w:r w:rsidRPr="00593AE5">
        <w:rPr>
          <w:rStyle w:val="Emphasis"/>
        </w:rPr>
        <w:t>bioeconomies</w:t>
      </w:r>
      <w:r w:rsidRPr="00593AE5">
        <w:rPr>
          <w:rStyle w:val="StyleUnderline"/>
        </w:rPr>
        <w:t xml:space="preserve"> structured by patent law rights</w:t>
      </w:r>
      <w:r w:rsidRPr="006A4805">
        <w:rPr>
          <w:sz w:val="16"/>
        </w:rPr>
        <w:t>. Analyzing patent law struggles through the lens of their labor and work enables an examination of how those conditions of labor are diverging, converging, and contradicting as mediated by patent law. To be sure, materials and ideas are also extracted from the bodies of men. Indigenous women in particular share much of the same struggles as the men in their communities against patent law rights. Histories of individual and structural systems of power, however, make it necessary to address gendered social relations and forms of labor within new bioeconomies. Emphasizing conditions of labor admittedly evokes Marxist theories of alienation and Marxist-feminist conceptions of the sex-gender system. Marxist-feminists bring attention to the ways in which females become sources of raw material in the sex and gender division of labor through producing children and conducting domestic work, which results in hierarchal social relations subordinating women.60 Feminist critiques by “women of color” also demonstrates how forms of labor and the sex and gender system differ according to race, nationality, sex, and class.61 Waldby and Cooper argue that examining women’s participation in the bioeconomy as labor helps establish connections between the appropriation of women’s reproductive and intellectual labor</w:t>
      </w:r>
      <w:r w:rsidRPr="00FA575D">
        <w:rPr>
          <w:rStyle w:val="StyleUnderline"/>
        </w:rPr>
        <w:t>.</w:t>
      </w:r>
      <w:r w:rsidRPr="006A4805">
        <w:rPr>
          <w:sz w:val="16"/>
        </w:rPr>
        <w:t xml:space="preserve">62 I would argue that it also helps with understanding how patent law ownership structures such forms of labor in different and inequitable ways. I would also contend, however, that the line between reproductive and intellectual labor is blurred and unstable. </w:t>
      </w:r>
      <w:r w:rsidRPr="00FA575D">
        <w:rPr>
          <w:rStyle w:val="StyleUnderline"/>
        </w:rPr>
        <w:t xml:space="preserve">Women who </w:t>
      </w:r>
      <w:r w:rsidRPr="00FA575D">
        <w:rPr>
          <w:rStyle w:val="Emphasis"/>
        </w:rPr>
        <w:t>“donate”</w:t>
      </w:r>
      <w:r w:rsidRPr="00FA575D">
        <w:rPr>
          <w:rStyle w:val="StyleUnderline"/>
        </w:rPr>
        <w:t xml:space="preserve"> oocytes for fertility or stem cell research give up their genetic information, knowledge produced by their body for telling cells how to work. Women who </w:t>
      </w:r>
      <w:r w:rsidRPr="00FA575D">
        <w:rPr>
          <w:rStyle w:val="Emphasis"/>
        </w:rPr>
        <w:t>“share”</w:t>
      </w:r>
      <w:r w:rsidRPr="00FA575D">
        <w:rPr>
          <w:rStyle w:val="StyleUnderline"/>
        </w:rPr>
        <w:t xml:space="preserve"> their indigenous medicinal knowledge give up their reproductive labor concerning the cultivation and dissemination of plants. Such practices can be understood as forms of labor, albeit variegated</w:t>
      </w:r>
      <w:r w:rsidRPr="00C27949">
        <w:rPr>
          <w:rStyle w:val="StyleUnderline"/>
        </w:rPr>
        <w:t>. A focus on labor is thus also meant to encourage a distributive justice approach that allocates the burdens and benefits of patent ownership by ensuring the protection of women whose bodily tissue and medicinal knowledge is characterized as public domain material and transformed into patentable subject matter.</w:t>
      </w:r>
      <w:r w:rsidRPr="006A4805">
        <w:rPr>
          <w:sz w:val="16"/>
        </w:rPr>
        <w:t xml:space="preserve"> In this section, I further develop such understandings by conducting a feminist analysis of two seemingly different patent law struggles. The first involves the patenting of breast cancer genes; the second concerns the patenting of a succulent plant. Although dissimilar, each case represents an important site of inquiry for a feminist analysis and politics of patent law ownership.</w:t>
      </w:r>
    </w:p>
    <w:p w14:paraId="488DC1E4" w14:textId="48585833" w:rsidR="000E092E" w:rsidRDefault="000E092E" w:rsidP="000E092E">
      <w:pPr>
        <w:pStyle w:val="Heading3"/>
      </w:pPr>
      <w:r>
        <w:t>AT Biopower Wrong</w:t>
      </w:r>
    </w:p>
    <w:p w14:paraId="5166A9F3" w14:textId="77777777" w:rsidR="000E092E" w:rsidRDefault="000E092E" w:rsidP="000E092E">
      <w:pPr>
        <w:pStyle w:val="Heading4"/>
      </w:pPr>
      <w:r>
        <w:t>Genomic governmentality only magnifies the “make live or let die” paradigm of modern biopolitics—what counts as “life” and “good” are contingent on biopolitical paradigms</w:t>
      </w:r>
    </w:p>
    <w:p w14:paraId="6A92BBD9" w14:textId="77777777" w:rsidR="000E092E" w:rsidRPr="006A4805" w:rsidRDefault="000E092E" w:rsidP="000E092E">
      <w:pPr>
        <w:rPr>
          <w:rStyle w:val="Style13ptBold"/>
        </w:rPr>
      </w:pPr>
      <w:r w:rsidRPr="006A4805">
        <w:rPr>
          <w:rStyle w:val="Style13ptBold"/>
        </w:rPr>
        <w:t>Hilberg 15</w:t>
      </w:r>
    </w:p>
    <w:p w14:paraId="1A3D553E" w14:textId="77777777" w:rsidR="000E092E" w:rsidRPr="006A4805" w:rsidRDefault="000E092E" w:rsidP="000E092E">
      <w:r w:rsidRPr="006A4805">
        <w:t xml:space="preserve">Eva, phD candidate at the University of Sussex. “Intellectual Property and the Genetic Dispositif of Life: The Changing Role of Intellectual Property Law in Governing Participation and Knowledge in the Bioeconomy.” Submitted for the Degree of Doctor of Philosophy University of Sussex, May 2015. Pp </w:t>
      </w:r>
      <w:r>
        <w:t>65-70</w:t>
      </w:r>
      <w:r w:rsidRPr="006A4805">
        <w:t>. LJS</w:t>
      </w:r>
    </w:p>
    <w:p w14:paraId="3DFBE418" w14:textId="77777777" w:rsidR="000E092E" w:rsidRPr="00B97CA1" w:rsidRDefault="000E092E" w:rsidP="000E092E">
      <w:pPr>
        <w:rPr>
          <w:rStyle w:val="StyleUnderline"/>
        </w:rPr>
      </w:pPr>
      <w:r w:rsidRPr="00007E70">
        <w:rPr>
          <w:rStyle w:val="StyleUnderline"/>
        </w:rPr>
        <w:t>In his books and lectures at the end of seventies, Foucault famously argued that from</w:t>
      </w:r>
      <w:r>
        <w:rPr>
          <w:rStyle w:val="StyleUnderline"/>
        </w:rPr>
        <w:t xml:space="preserve"> </w:t>
      </w:r>
      <w:r w:rsidRPr="00007E70">
        <w:rPr>
          <w:rStyle w:val="StyleUnderline"/>
        </w:rPr>
        <w:t>the seventeenth century onwards, “</w:t>
      </w:r>
      <w:r w:rsidRPr="00B97CA1">
        <w:rPr>
          <w:rStyle w:val="Emphasis"/>
        </w:rPr>
        <w:t>the ancient right to take life or let live</w:t>
      </w:r>
      <w:r w:rsidRPr="00007E70">
        <w:rPr>
          <w:rStyle w:val="StyleUnderline"/>
        </w:rPr>
        <w:t xml:space="preserve"> was replaced</w:t>
      </w:r>
      <w:r>
        <w:rPr>
          <w:rStyle w:val="StyleUnderline"/>
        </w:rPr>
        <w:t xml:space="preserve"> </w:t>
      </w:r>
      <w:r w:rsidRPr="00007E70">
        <w:rPr>
          <w:rStyle w:val="StyleUnderline"/>
        </w:rPr>
        <w:t xml:space="preserve">by a power to </w:t>
      </w:r>
      <w:r w:rsidRPr="00B97CA1">
        <w:rPr>
          <w:rStyle w:val="Emphasis"/>
        </w:rPr>
        <w:t>foster life or disallow it to the point of death</w:t>
      </w:r>
      <w:r w:rsidRPr="00007E70">
        <w:rPr>
          <w:rStyle w:val="StyleUnderline"/>
        </w:rPr>
        <w:t>” (Foucault 1978, 138,</w:t>
      </w:r>
      <w:r>
        <w:rPr>
          <w:rStyle w:val="StyleUnderline"/>
        </w:rPr>
        <w:t xml:space="preserve"> </w:t>
      </w:r>
      <w:r w:rsidRPr="00007E70">
        <w:rPr>
          <w:rStyle w:val="StyleUnderline"/>
        </w:rPr>
        <w:t>emphases in original).</w:t>
      </w:r>
      <w:r w:rsidRPr="00B97CA1">
        <w:rPr>
          <w:sz w:val="16"/>
        </w:rPr>
        <w:t xml:space="preserve"> He traced the increasing turn of the art of governing towards the life of populations in a fostering or productive9 manner, and charted the historical emergence of this logic in the development of the liberal system and the later neoliberal variant. This ‘productive’ way of governing stood in opposition to the restrictive character of sovereign power exercises, which mainly governed by directly imposing punishments for undesirable behaviour. </w:t>
      </w:r>
      <w:r w:rsidRPr="00B97CA1">
        <w:rPr>
          <w:rStyle w:val="StyleUnderline"/>
        </w:rPr>
        <w:t>In this process of change, medical</w:t>
      </w:r>
      <w:r>
        <w:rPr>
          <w:rStyle w:val="StyleUnderline"/>
        </w:rPr>
        <w:t xml:space="preserve"> </w:t>
      </w:r>
      <w:r w:rsidRPr="00B97CA1">
        <w:rPr>
          <w:rStyle w:val="StyleUnderline"/>
        </w:rPr>
        <w:t>and technical knowledges became crucial sources of information for the formulation</w:t>
      </w:r>
      <w:r>
        <w:rPr>
          <w:rStyle w:val="StyleUnderline"/>
        </w:rPr>
        <w:t xml:space="preserve"> </w:t>
      </w:r>
      <w:r w:rsidRPr="00B97CA1">
        <w:rPr>
          <w:rStyle w:val="StyleUnderline"/>
        </w:rPr>
        <w:t>of governmental strategies</w:t>
      </w:r>
      <w:r w:rsidRPr="00B97CA1">
        <w:rPr>
          <w:sz w:val="16"/>
        </w:rPr>
        <w:t xml:space="preserve">. However, this connection entailed a wider “problematization” of conceptions of life, meaning that it gave rise to “the development of a domain of acts, practices, and thoughts that […] pose problems for politics” (Foucault 1994, 114): </w:t>
      </w:r>
      <w:r w:rsidRPr="00B97CA1">
        <w:rPr>
          <w:rStyle w:val="Emphasis"/>
        </w:rPr>
        <w:t>life became a political problem</w:t>
      </w:r>
      <w:r w:rsidRPr="00B97CA1">
        <w:rPr>
          <w:sz w:val="16"/>
        </w:rPr>
        <w:t xml:space="preserve">. This chapter argues that the relevance of knowledge over life for questions of governing was even more intensified by the emergence of the informationalised and molecularised vision of life. </w:t>
      </w:r>
      <w:r w:rsidRPr="00B97CA1">
        <w:rPr>
          <w:rStyle w:val="StyleUnderline"/>
        </w:rPr>
        <w:t>Laws establishing property over these forms of knowledge gained in significance as a</w:t>
      </w:r>
      <w:r>
        <w:rPr>
          <w:rStyle w:val="StyleUnderline"/>
        </w:rPr>
        <w:t xml:space="preserve"> </w:t>
      </w:r>
      <w:r w:rsidRPr="00B97CA1">
        <w:rPr>
          <w:rStyle w:val="StyleUnderline"/>
        </w:rPr>
        <w:t>result</w:t>
      </w:r>
      <w:r w:rsidRPr="00B97CA1">
        <w:rPr>
          <w:sz w:val="16"/>
        </w:rPr>
        <w:t xml:space="preserve">. A better understanding of the changing role of law in a new way of governing thus can highlight intellectual property’s complex engagement with a politics produced by a molecular conception of life. 1.1. Governmentality’s productive relation to ‘life’ Foucault’s fragmentary conceptions of governmentality and biopolitics were based on his analysis of the emerging bureaucratic state apparatus of the 18th century, in which advances in medical science and statistical method coalesced with newly centralised state power. This opened up an entirely new field of political intervention: the population. </w:t>
      </w:r>
      <w:r w:rsidRPr="00B97CA1">
        <w:rPr>
          <w:rStyle w:val="StyleUnderline"/>
        </w:rPr>
        <w:t>Foucault argues that the new emphasis on the life of populations, a</w:t>
      </w:r>
      <w:r>
        <w:rPr>
          <w:rStyle w:val="StyleUnderline"/>
        </w:rPr>
        <w:t xml:space="preserve"> </w:t>
      </w:r>
      <w:r w:rsidRPr="00B97CA1">
        <w:rPr>
          <w:rStyle w:val="Emphasis"/>
        </w:rPr>
        <w:t>biopolitics, was part of the emergence of</w:t>
      </w:r>
      <w:r w:rsidRPr="00B97CA1">
        <w:rPr>
          <w:rStyle w:val="StyleUnderline"/>
        </w:rPr>
        <w:t xml:space="preserve"> a new art of governing, or</w:t>
      </w:r>
      <w:r>
        <w:rPr>
          <w:rStyle w:val="StyleUnderline"/>
        </w:rPr>
        <w:t xml:space="preserve"> </w:t>
      </w:r>
      <w:r w:rsidRPr="00B97CA1">
        <w:rPr>
          <w:rStyle w:val="StyleUnderline"/>
        </w:rPr>
        <w:t>“</w:t>
      </w:r>
      <w:r w:rsidRPr="00B97CA1">
        <w:rPr>
          <w:rStyle w:val="Emphasis"/>
        </w:rPr>
        <w:t>governmentality</w:t>
      </w:r>
      <w:r w:rsidRPr="00B97CA1">
        <w:rPr>
          <w:rStyle w:val="StyleUnderline"/>
        </w:rPr>
        <w:t>”, which “has as its purpose not the act of government itself, but the</w:t>
      </w:r>
      <w:r>
        <w:rPr>
          <w:rStyle w:val="StyleUnderline"/>
        </w:rPr>
        <w:t xml:space="preserve"> </w:t>
      </w:r>
      <w:r w:rsidRPr="00B97CA1">
        <w:rPr>
          <w:rStyle w:val="StyleUnderline"/>
        </w:rPr>
        <w:t>welfare of the population, the improvement of its condition, the increase of its</w:t>
      </w:r>
      <w:r>
        <w:rPr>
          <w:rStyle w:val="StyleUnderline"/>
        </w:rPr>
        <w:t xml:space="preserve"> </w:t>
      </w:r>
      <w:r w:rsidRPr="00B97CA1">
        <w:rPr>
          <w:rStyle w:val="StyleUnderline"/>
        </w:rPr>
        <w:t>wealth”, which is achieved by means of “[direct] large-scale campaigns” or</w:t>
      </w:r>
      <w:r>
        <w:rPr>
          <w:rStyle w:val="StyleUnderline"/>
        </w:rPr>
        <w:t xml:space="preserve"> </w:t>
      </w:r>
      <w:r w:rsidRPr="00B97CA1">
        <w:rPr>
          <w:rStyle w:val="StyleUnderline"/>
        </w:rPr>
        <w:t>“[indirect] techniques that will make possible, without the full awareness of the</w:t>
      </w:r>
      <w:r>
        <w:rPr>
          <w:rStyle w:val="StyleUnderline"/>
        </w:rPr>
        <w:t xml:space="preserve"> </w:t>
      </w:r>
      <w:r w:rsidRPr="00B97CA1">
        <w:rPr>
          <w:rStyle w:val="StyleUnderline"/>
        </w:rPr>
        <w:t>people, the stimulation of birthrates, the directing of the flow of population into</w:t>
      </w:r>
      <w:r>
        <w:rPr>
          <w:rStyle w:val="StyleUnderline"/>
        </w:rPr>
        <w:t xml:space="preserve"> </w:t>
      </w:r>
      <w:r w:rsidRPr="00B97CA1">
        <w:rPr>
          <w:rStyle w:val="StyleUnderline"/>
        </w:rPr>
        <w:t xml:space="preserve">certain regions and activities” </w:t>
      </w:r>
      <w:r w:rsidRPr="00B97CA1">
        <w:rPr>
          <w:sz w:val="16"/>
        </w:rPr>
        <w:t xml:space="preserve">(Foucault 2000, 217; see also Dean 2010; 2013; N. Rose, O’Malley, and Valverde 2006; Lemke 2007; 2011; Elbe 2005; 2009; T. C. Campbell and Sitze 2013; Muhle 2008; N. Rose 2007b; Rabinow and Rose 2006; Dillon and Reid 2001; 2009; Dillon and Lobo-Guerrero 2008; 2009). </w:t>
      </w:r>
      <w:r w:rsidRPr="00B97CA1">
        <w:rPr>
          <w:rStyle w:val="StyleUnderline"/>
        </w:rPr>
        <w:t>In this sense, the</w:t>
      </w:r>
      <w:r>
        <w:rPr>
          <w:rStyle w:val="StyleUnderline"/>
        </w:rPr>
        <w:t xml:space="preserve"> </w:t>
      </w:r>
      <w:r w:rsidRPr="00B97CA1">
        <w:rPr>
          <w:rStyle w:val="StyleUnderline"/>
        </w:rPr>
        <w:t xml:space="preserve">art of governing sought to put into place </w:t>
      </w:r>
      <w:r w:rsidRPr="00B97CA1">
        <w:rPr>
          <w:rStyle w:val="Emphasis"/>
        </w:rPr>
        <w:t>parameters that would ‘produce’ improved conditions of life</w:t>
      </w:r>
      <w:r w:rsidRPr="00B97CA1">
        <w:rPr>
          <w:rStyle w:val="StyleUnderline"/>
        </w:rPr>
        <w:t xml:space="preserve"> – in a sense, “produce what you need to be free”</w:t>
      </w:r>
      <w:r w:rsidRPr="00B97CA1">
        <w:rPr>
          <w:sz w:val="16"/>
        </w:rPr>
        <w:t xml:space="preserve"> (Foucault 2008, 63). </w:t>
      </w:r>
      <w:r w:rsidRPr="00B97CA1">
        <w:rPr>
          <w:rStyle w:val="StyleUnderline"/>
        </w:rPr>
        <w:t>But this very need to produce the conditions of freedom “entails the</w:t>
      </w:r>
      <w:r>
        <w:rPr>
          <w:rStyle w:val="StyleUnderline"/>
        </w:rPr>
        <w:t xml:space="preserve"> </w:t>
      </w:r>
      <w:r w:rsidRPr="00B97CA1">
        <w:rPr>
          <w:rStyle w:val="StyleUnderline"/>
        </w:rPr>
        <w:t>establishment of limitations, controls, forms of coercion, and obligations</w:t>
      </w:r>
      <w:r w:rsidRPr="00B97CA1">
        <w:rPr>
          <w:sz w:val="16"/>
        </w:rPr>
        <w:t xml:space="preserve">” (Ibid., 64). Direct interventions consisted for example of the developments of new norms for the construction of cities (Foucault 2007, 18), and indirect interventions consisted of new social norms for the individual’s responsible and healthy conduct, enforced not centrally, but in a decentralised “capillary” manner (Foucault 1977, 198). </w:t>
      </w:r>
      <w:r w:rsidRPr="00B97CA1">
        <w:rPr>
          <w:rStyle w:val="StyleUnderline"/>
        </w:rPr>
        <w:t xml:space="preserve">In this new art of governing, </w:t>
      </w:r>
      <w:r w:rsidRPr="00B97CA1">
        <w:rPr>
          <w:rStyle w:val="Emphasis"/>
        </w:rPr>
        <w:t>the population is directly and indirectly incited</w:t>
      </w:r>
      <w:r w:rsidRPr="00B97CA1">
        <w:rPr>
          <w:rStyle w:val="StyleUnderline"/>
        </w:rPr>
        <w:t xml:space="preserve"> to</w:t>
      </w:r>
      <w:r>
        <w:rPr>
          <w:rStyle w:val="StyleUnderline"/>
        </w:rPr>
        <w:t xml:space="preserve"> </w:t>
      </w:r>
      <w:r w:rsidRPr="00B97CA1">
        <w:rPr>
          <w:rStyle w:val="StyleUnderline"/>
        </w:rPr>
        <w:t>contribute to the improvement of two different yet increasingly intertwined priorities</w:t>
      </w:r>
      <w:r>
        <w:rPr>
          <w:rStyle w:val="StyleUnderline"/>
        </w:rPr>
        <w:t xml:space="preserve"> </w:t>
      </w:r>
      <w:r w:rsidRPr="00B97CA1">
        <w:rPr>
          <w:rStyle w:val="StyleUnderline"/>
        </w:rPr>
        <w:t>of governing – life and the market.</w:t>
      </w:r>
      <w:r w:rsidRPr="00B97CA1">
        <w:rPr>
          <w:sz w:val="16"/>
        </w:rPr>
        <w:t xml:space="preserve"> Instead of intervening with direct force, government rather “conducts the conduct of men” indirectly (Foucault 2008, 186), thus puts into place arrangements that “govern at a distance” – for example through the intermediary function of the expert translating the goals of government to the individual and incorporating individual demands into advice to policy makers (Miller and Rose 1992; 2008). </w:t>
      </w:r>
      <w:r w:rsidRPr="00B97CA1">
        <w:rPr>
          <w:rStyle w:val="StyleUnderline"/>
        </w:rPr>
        <w:t>The epistemological conditions according to which conduct is</w:t>
      </w:r>
      <w:r>
        <w:rPr>
          <w:rStyle w:val="StyleUnderline"/>
        </w:rPr>
        <w:t xml:space="preserve"> </w:t>
      </w:r>
      <w:r w:rsidRPr="00B97CA1">
        <w:rPr>
          <w:rStyle w:val="StyleUnderline"/>
        </w:rPr>
        <w:t>judged to be appropriate, or conducive to the “right disposition of things” (Foucault</w:t>
      </w:r>
      <w:r>
        <w:rPr>
          <w:rStyle w:val="StyleUnderline"/>
        </w:rPr>
        <w:t xml:space="preserve"> </w:t>
      </w:r>
      <w:r w:rsidRPr="00B97CA1">
        <w:rPr>
          <w:rStyle w:val="StyleUnderline"/>
        </w:rPr>
        <w:t>2000, 208), are influenced by the notion of an “economical way of governing”, in</w:t>
      </w:r>
      <w:r>
        <w:rPr>
          <w:rStyle w:val="StyleUnderline"/>
        </w:rPr>
        <w:t xml:space="preserve"> </w:t>
      </w:r>
      <w:r w:rsidRPr="00B97CA1">
        <w:rPr>
          <w:rStyle w:val="StyleUnderline"/>
        </w:rPr>
        <w:t>which the “constitution of knowledge [savoir] of government is absolutely</w:t>
      </w:r>
      <w:r>
        <w:rPr>
          <w:rStyle w:val="StyleUnderline"/>
        </w:rPr>
        <w:t xml:space="preserve"> </w:t>
      </w:r>
      <w:r w:rsidRPr="00B97CA1">
        <w:rPr>
          <w:rStyle w:val="StyleUnderline"/>
        </w:rPr>
        <w:t>inseparable from that of knowledge of all the processes related to population in its</w:t>
      </w:r>
      <w:r>
        <w:rPr>
          <w:rStyle w:val="StyleUnderline"/>
        </w:rPr>
        <w:t xml:space="preserve"> </w:t>
      </w:r>
      <w:r w:rsidRPr="00B97CA1">
        <w:rPr>
          <w:rStyle w:val="StyleUnderline"/>
        </w:rPr>
        <w:t>larger sense – that is, what we now call the economy” (Ibid., 217).</w:t>
      </w:r>
      <w:r>
        <w:rPr>
          <w:rStyle w:val="StyleUnderline"/>
        </w:rPr>
        <w:t xml:space="preserve"> </w:t>
      </w:r>
      <w:r w:rsidRPr="00B97CA1">
        <w:rPr>
          <w:rStyle w:val="StyleUnderline"/>
        </w:rPr>
        <w:t>This meaning of the term economy 10 encompasses and presupposes the</w:t>
      </w:r>
      <w:r>
        <w:rPr>
          <w:rStyle w:val="StyleUnderline"/>
        </w:rPr>
        <w:t xml:space="preserve"> </w:t>
      </w:r>
      <w:r w:rsidRPr="00B97CA1">
        <w:rPr>
          <w:rStyle w:val="Emphasis"/>
        </w:rPr>
        <w:t>production of different knowledges as basis for appropriate actions of government</w:t>
      </w:r>
      <w:r w:rsidRPr="00B97CA1">
        <w:rPr>
          <w:rStyle w:val="StyleUnderline"/>
        </w:rPr>
        <w:t>.</w:t>
      </w:r>
      <w:r>
        <w:rPr>
          <w:rStyle w:val="StyleUnderline"/>
        </w:rPr>
        <w:t xml:space="preserve"> </w:t>
      </w:r>
      <w:r w:rsidRPr="00B97CA1">
        <w:rPr>
          <w:sz w:val="16"/>
        </w:rPr>
        <w:t>Rose, O’Malley &amp; Valverde point out that “[t]o govern […] it was necessary to know that which was to be governed, and to govern in the light of that knowledge” (2006, 87). Scientific knowledge of the ‘nature’ of life became increasingly important, as biopolitical priorities began to determine the “border between the too much and too little […]” of governmental intervention according to “the nature of things” (Foucault 2008, 19). ‘</w:t>
      </w:r>
      <w:r w:rsidRPr="00B97CA1">
        <w:rPr>
          <w:rStyle w:val="StyleUnderline"/>
        </w:rPr>
        <w:t>Economic’ governing thus had to adapt to appear appropriate according to</w:t>
      </w:r>
      <w:r>
        <w:rPr>
          <w:rStyle w:val="StyleUnderline"/>
        </w:rPr>
        <w:t xml:space="preserve"> </w:t>
      </w:r>
      <w:r w:rsidRPr="00B97CA1">
        <w:rPr>
          <w:rStyle w:val="StyleUnderline"/>
        </w:rPr>
        <w:t>the scientific knowledges of life. However, knowledge “of all the processes related to</w:t>
      </w:r>
      <w:r>
        <w:rPr>
          <w:rStyle w:val="StyleUnderline"/>
        </w:rPr>
        <w:t xml:space="preserve"> </w:t>
      </w:r>
      <w:r w:rsidRPr="00B97CA1">
        <w:rPr>
          <w:rStyle w:val="StyleUnderline"/>
        </w:rPr>
        <w:t>population in its larger sense” (Foucault 2000, 217) also enabled an evaluation of</w:t>
      </w:r>
      <w:r>
        <w:rPr>
          <w:rStyle w:val="StyleUnderline"/>
        </w:rPr>
        <w:t xml:space="preserve"> </w:t>
      </w:r>
      <w:r w:rsidRPr="00B97CA1">
        <w:rPr>
          <w:rStyle w:val="StyleUnderline"/>
        </w:rPr>
        <w:t>potential strategies according to “the principle of the self-limitation of government”</w:t>
      </w:r>
      <w:r>
        <w:rPr>
          <w:rStyle w:val="StyleUnderline"/>
        </w:rPr>
        <w:t xml:space="preserve"> </w:t>
      </w:r>
      <w:r w:rsidRPr="00B97CA1">
        <w:rPr>
          <w:sz w:val="16"/>
        </w:rPr>
        <w:t xml:space="preserve">(Foucault 2008, 19). The neoliberal economic critique thus poses a limit to biopolitical strategies emphasising the welfare of populations, as governmentality “will not be content to derive norms of the optimal conditions for the population to expand and prosper. It will balance these considerations against another set of norms […] derived from the delicate, unstable disequilibrium between the population and the resources necessary for its maintenance” (Dean 2010, 137). In this sense, Dean points out that “[a]t one level, liberalism is a version of bio-politics; at another, it exists in a kind of permanent tension with bio-political imperatives” (Ibid., 133). </w:t>
      </w:r>
      <w:r w:rsidRPr="00B97CA1">
        <w:rPr>
          <w:rStyle w:val="StyleUnderline"/>
        </w:rPr>
        <w:t>The</w:t>
      </w:r>
      <w:r>
        <w:rPr>
          <w:rStyle w:val="StyleUnderline"/>
        </w:rPr>
        <w:t xml:space="preserve"> </w:t>
      </w:r>
      <w:r w:rsidRPr="00B97CA1">
        <w:rPr>
          <w:rStyle w:val="StyleUnderline"/>
        </w:rPr>
        <w:t xml:space="preserve">two priorities of governmentality – </w:t>
      </w:r>
      <w:r w:rsidRPr="00B97CA1">
        <w:rPr>
          <w:rStyle w:val="Emphasis"/>
        </w:rPr>
        <w:t xml:space="preserve">life and the market </w:t>
      </w:r>
      <w:r w:rsidRPr="00B97CA1">
        <w:rPr>
          <w:rStyle w:val="StyleUnderline"/>
        </w:rPr>
        <w:t>– are exerting challenges to</w:t>
      </w:r>
      <w:r>
        <w:rPr>
          <w:rStyle w:val="StyleUnderline"/>
        </w:rPr>
        <w:t xml:space="preserve"> </w:t>
      </w:r>
      <w:r w:rsidRPr="00B97CA1">
        <w:rPr>
          <w:rStyle w:val="StyleUnderline"/>
        </w:rPr>
        <w:t xml:space="preserve">and </w:t>
      </w:r>
      <w:r w:rsidRPr="00B97CA1">
        <w:rPr>
          <w:rStyle w:val="Emphasis"/>
        </w:rPr>
        <w:t>act as limiting critiques on each other</w:t>
      </w:r>
      <w:r w:rsidRPr="00B97CA1">
        <w:rPr>
          <w:rStyle w:val="StyleUnderline"/>
        </w:rPr>
        <w:t xml:space="preserve"> (Ibid., 120).</w:t>
      </w:r>
      <w:r>
        <w:rPr>
          <w:rStyle w:val="StyleUnderline"/>
        </w:rPr>
        <w:t xml:space="preserve"> </w:t>
      </w:r>
      <w:r w:rsidRPr="00B97CA1">
        <w:rPr>
          <w:sz w:val="16"/>
        </w:rPr>
        <w:t xml:space="preserve">The ‘market’ acts as a central site of this economic critique of governance, acting as “a site of veridiction, […] a site of verification-falsification for governmental practice” (Foucault 2008, 32). </w:t>
      </w:r>
      <w:r w:rsidRPr="00B97CA1">
        <w:rPr>
          <w:rStyle w:val="StyleUnderline"/>
        </w:rPr>
        <w:t xml:space="preserve">Here, an </w:t>
      </w:r>
      <w:r w:rsidRPr="00B97CA1">
        <w:rPr>
          <w:rStyle w:val="Emphasis"/>
        </w:rPr>
        <w:t>economic calculus replaces</w:t>
      </w:r>
      <w:r w:rsidRPr="00B97CA1">
        <w:rPr>
          <w:rStyle w:val="StyleUnderline"/>
        </w:rPr>
        <w:t xml:space="preserve"> the</w:t>
      </w:r>
      <w:r>
        <w:rPr>
          <w:rStyle w:val="StyleUnderline"/>
        </w:rPr>
        <w:t xml:space="preserve"> </w:t>
      </w:r>
      <w:r w:rsidRPr="00B97CA1">
        <w:rPr>
          <w:rStyle w:val="StyleUnderline"/>
        </w:rPr>
        <w:t>(</w:t>
      </w:r>
      <w:r w:rsidRPr="00B97CA1">
        <w:rPr>
          <w:rStyle w:val="Emphasis"/>
        </w:rPr>
        <w:t>moral) determination of true and false</w:t>
      </w:r>
      <w:r w:rsidRPr="00B97CA1">
        <w:rPr>
          <w:rStyle w:val="StyleUnderline"/>
        </w:rPr>
        <w:t xml:space="preserve"> made by the previous “juridico-disciplinary</w:t>
      </w:r>
      <w:r>
        <w:rPr>
          <w:rStyle w:val="StyleUnderline"/>
        </w:rPr>
        <w:t xml:space="preserve"> </w:t>
      </w:r>
      <w:r w:rsidRPr="00B97CA1">
        <w:rPr>
          <w:rStyle w:val="StyleUnderline"/>
        </w:rPr>
        <w:t>model” (see for example Foucault 2007, 37 ff.) with “the question of the too much</w:t>
      </w:r>
      <w:r>
        <w:rPr>
          <w:rStyle w:val="StyleUnderline"/>
        </w:rPr>
        <w:t xml:space="preserve"> </w:t>
      </w:r>
      <w:r w:rsidRPr="00B97CA1">
        <w:rPr>
          <w:rStyle w:val="StyleUnderline"/>
        </w:rPr>
        <w:t>and the too little” of governmental intervention</w:t>
      </w:r>
      <w:r w:rsidRPr="00B97CA1">
        <w:rPr>
          <w:sz w:val="16"/>
        </w:rPr>
        <w:t xml:space="preserve"> (Foucault 2008, 28). The influence of this calculus on the realisation of biopolitical strategies means that “[population phenomena] are considered as natural phenomena in relation to which one needs to calculate the costs, the required level of expenditure to manage these costs, and the likelihood that the expenditure will achieve the desired ends” (Elbe 2009, 67). </w:t>
      </w:r>
      <w:r w:rsidRPr="00B97CA1">
        <w:rPr>
          <w:rStyle w:val="StyleUnderline"/>
        </w:rPr>
        <w:t>This</w:t>
      </w:r>
      <w:r>
        <w:rPr>
          <w:rStyle w:val="StyleUnderline"/>
        </w:rPr>
        <w:t xml:space="preserve"> </w:t>
      </w:r>
      <w:r w:rsidRPr="00B97CA1">
        <w:rPr>
          <w:rStyle w:val="StyleUnderline"/>
        </w:rPr>
        <w:t>highlights that in governmentality, life is understood in economically contingent ways</w:t>
      </w:r>
      <w:r>
        <w:rPr>
          <w:rStyle w:val="StyleUnderline"/>
        </w:rPr>
        <w:t xml:space="preserve"> </w:t>
      </w:r>
      <w:r w:rsidRPr="00B97CA1">
        <w:rPr>
          <w:rStyle w:val="StyleUnderline"/>
        </w:rPr>
        <w:t>– and that particular biopolitical strategies are not necessarily primarily beneficial for</w:t>
      </w:r>
      <w:r>
        <w:rPr>
          <w:rStyle w:val="StyleUnderline"/>
        </w:rPr>
        <w:t xml:space="preserve"> </w:t>
      </w:r>
      <w:r w:rsidRPr="00B97CA1">
        <w:rPr>
          <w:rStyle w:val="StyleUnderline"/>
        </w:rPr>
        <w:t>health as such.11 While a greater priority is placed on the promotion of life and health</w:t>
      </w:r>
      <w:r>
        <w:rPr>
          <w:rStyle w:val="StyleUnderline"/>
        </w:rPr>
        <w:t xml:space="preserve"> </w:t>
      </w:r>
      <w:r w:rsidRPr="00B97CA1">
        <w:rPr>
          <w:rStyle w:val="StyleUnderline"/>
        </w:rPr>
        <w:t xml:space="preserve">through governing, any </w:t>
      </w:r>
      <w:r w:rsidRPr="00B97CA1">
        <w:rPr>
          <w:rStyle w:val="Emphasis"/>
        </w:rPr>
        <w:t>definitions of life are also increasingly understood in terms of economic “cost-benefit” calculations</w:t>
      </w:r>
      <w:r w:rsidRPr="00B97CA1">
        <w:rPr>
          <w:rStyle w:val="StyleUnderline"/>
        </w:rPr>
        <w:t xml:space="preserve"> (Ibid.).12 Furthermore, </w:t>
      </w:r>
      <w:r w:rsidRPr="00B97CA1">
        <w:rPr>
          <w:rStyle w:val="Emphasis"/>
        </w:rPr>
        <w:t>what is judged to be ‘good’ for the population is also extremely contingent on social context</w:t>
      </w:r>
      <w:r w:rsidRPr="00B97CA1">
        <w:rPr>
          <w:rStyle w:val="StyleUnderline"/>
        </w:rPr>
        <w:t xml:space="preserve"> and the value</w:t>
      </w:r>
      <w:r>
        <w:rPr>
          <w:rStyle w:val="StyleUnderline"/>
        </w:rPr>
        <w:t xml:space="preserve"> </w:t>
      </w:r>
      <w:r w:rsidRPr="00B97CA1">
        <w:rPr>
          <w:rStyle w:val="StyleUnderline"/>
        </w:rPr>
        <w:t>judgements made within this context – which is also the underlying argument of</w:t>
      </w:r>
      <w:r>
        <w:rPr>
          <w:rStyle w:val="StyleUnderline"/>
        </w:rPr>
        <w:t xml:space="preserve"> </w:t>
      </w:r>
      <w:r w:rsidRPr="00B97CA1">
        <w:rPr>
          <w:rStyle w:val="StyleUnderline"/>
        </w:rPr>
        <w:t>Foucault’s explorations of the foundations of contemporary power structures.</w:t>
      </w:r>
      <w:r>
        <w:rPr>
          <w:rStyle w:val="StyleUnderline"/>
        </w:rPr>
        <w:t xml:space="preserve"> </w:t>
      </w:r>
      <w:r w:rsidRPr="00B97CA1">
        <w:rPr>
          <w:sz w:val="16"/>
        </w:rPr>
        <w:t xml:space="preserve">Scientific knowledge of ‘life’ thus became decisive to the determination of appropriate interventions, which were based on the knowledge of the “regularities” within the population (Foucault 2000, 216). The original conception of life of the population arose from the close study of the individual in the institutions of the penal system and the clinic – where individuals were physically re-educated or disciplined into new modes of conduct (see for example Foucault 1963; 1977). This knowledge of the individual was compiled in an “apparatus of writing” and analysed according to a new comparative system “that made possible the measurement of overall phenomena, […] the calculation of the gaps between individuals, their distribution in a given ‘population’” (1977 Ibid., 190). These observations of the physical body created the notion of the population, and opened up the processes of life to the intervention of politics on the physical level. In this way, the definition of life became “problematised” for questions of governing – resulting in an ongoing process of definition and contestation that continues to raise new questions for political interventions. Foucault highlights similar ongoing problematizations concerning the issue of madness, sexuality, and crime and punishment, and argues that these can never be resolved “completely” by government (Foucault 1994, 114). Governmental interventions in the area of life and the body comprise an individualizing and a collectivizing method (Muhle 2008, 27; Foucault 1978, 139). </w:t>
      </w:r>
      <w:r w:rsidRPr="00B97CA1">
        <w:rPr>
          <w:rStyle w:val="StyleUnderline"/>
        </w:rPr>
        <w:t>Two series of power technologies operate “in a double mechanism” on the human</w:t>
      </w:r>
      <w:r>
        <w:rPr>
          <w:rStyle w:val="StyleUnderline"/>
        </w:rPr>
        <w:t xml:space="preserve"> </w:t>
      </w:r>
      <w:r w:rsidRPr="00B97CA1">
        <w:rPr>
          <w:rStyle w:val="StyleUnderline"/>
        </w:rPr>
        <w:t>body: as a “thorough administration of the individual body as machine” in the case of</w:t>
      </w:r>
      <w:r>
        <w:rPr>
          <w:rStyle w:val="StyleUnderline"/>
        </w:rPr>
        <w:t xml:space="preserve"> </w:t>
      </w:r>
      <w:r w:rsidRPr="00B97CA1">
        <w:rPr>
          <w:rStyle w:val="StyleUnderline"/>
        </w:rPr>
        <w:t>“the body-organism-discipline-institutions series” of “anatomo-politics”, and in “a</w:t>
      </w:r>
      <w:r>
        <w:rPr>
          <w:rStyle w:val="StyleUnderline"/>
        </w:rPr>
        <w:t xml:space="preserve"> </w:t>
      </w:r>
      <w:r w:rsidRPr="00B97CA1">
        <w:rPr>
          <w:rStyle w:val="StyleUnderline"/>
        </w:rPr>
        <w:t>planning of life as a biological process according to calculations” in the case of the</w:t>
      </w:r>
      <w:r>
        <w:rPr>
          <w:rStyle w:val="StyleUnderline"/>
        </w:rPr>
        <w:t xml:space="preserve"> </w:t>
      </w:r>
      <w:r w:rsidRPr="00B97CA1">
        <w:rPr>
          <w:rStyle w:val="StyleUnderline"/>
        </w:rPr>
        <w:t>“population-biological processes-regulatory mechanisms-State” series of “biopolitics”</w:t>
      </w:r>
      <w:r>
        <w:rPr>
          <w:rStyle w:val="StyleUnderline"/>
        </w:rPr>
        <w:t xml:space="preserve"> </w:t>
      </w:r>
      <w:r w:rsidRPr="00B97CA1">
        <w:rPr>
          <w:sz w:val="16"/>
        </w:rPr>
        <w:t xml:space="preserve">(Muhle 2008, 27 emphasis in original, my translation; Foucault 1997, 250; originally taken from Foucault 1978, 139). Importantly, both levels remain tied to the new logic of “power that has a positive relation to life, that fosters and protects it” (Muhle 2008, 27, my translation). </w:t>
      </w:r>
      <w:r w:rsidRPr="00B97CA1">
        <w:rPr>
          <w:rStyle w:val="StyleUnderline"/>
        </w:rPr>
        <w:t>It is argued below that these methods, which address either the body of the</w:t>
      </w:r>
      <w:r>
        <w:rPr>
          <w:rStyle w:val="StyleUnderline"/>
        </w:rPr>
        <w:t xml:space="preserve"> </w:t>
      </w:r>
      <w:r w:rsidRPr="00B97CA1">
        <w:rPr>
          <w:rStyle w:val="StyleUnderline"/>
        </w:rPr>
        <w:t xml:space="preserve">individual or the biological processes of the population, are </w:t>
      </w:r>
      <w:r w:rsidRPr="00B97CA1">
        <w:rPr>
          <w:rStyle w:val="Emphasis"/>
        </w:rPr>
        <w:t>intensified by the new molecular ‘truth’ about life</w:t>
      </w:r>
      <w:r w:rsidRPr="00B97CA1">
        <w:rPr>
          <w:sz w:val="16"/>
        </w:rPr>
        <w:t xml:space="preserve">. The genetic code of the individual contains information that can only be interpreted with reference to databases of knowledge compiled from large numbers of people – thus with reference to a new “apparatus of writing” in the language of DNA – but address the body of the individual on the sub-cellular, molecular level, which goes beyond Foucault’s original analysis of the disciplined bodies of soldiers. </w:t>
      </w:r>
      <w:r w:rsidRPr="00B97CA1">
        <w:rPr>
          <w:rStyle w:val="StyleUnderline"/>
        </w:rPr>
        <w:t>It is argued that genetic knowledge thus has a more profound effect</w:t>
      </w:r>
      <w:r>
        <w:rPr>
          <w:rStyle w:val="StyleUnderline"/>
        </w:rPr>
        <w:t xml:space="preserve"> </w:t>
      </w:r>
      <w:r w:rsidRPr="00B97CA1">
        <w:rPr>
          <w:rStyle w:val="StyleUnderline"/>
        </w:rPr>
        <w:t>on the conduct of the individual and also on interventions on the collective body of</w:t>
      </w:r>
      <w:r>
        <w:rPr>
          <w:rStyle w:val="StyleUnderline"/>
        </w:rPr>
        <w:t xml:space="preserve"> </w:t>
      </w:r>
      <w:r w:rsidRPr="00B97CA1">
        <w:rPr>
          <w:rStyle w:val="StyleUnderline"/>
        </w:rPr>
        <w:t xml:space="preserve">the population, </w:t>
      </w:r>
      <w:r w:rsidRPr="00B97CA1">
        <w:rPr>
          <w:rStyle w:val="Emphasis"/>
        </w:rPr>
        <w:t>producing new norms for behaviour</w:t>
      </w:r>
      <w:r w:rsidRPr="00B97CA1">
        <w:rPr>
          <w:rStyle w:val="StyleUnderline"/>
        </w:rPr>
        <w:t xml:space="preserve"> but also new problems for governing in the process. Before this chapter turns to this reinterpretation of</w:t>
      </w:r>
      <w:r>
        <w:rPr>
          <w:rStyle w:val="StyleUnderline"/>
        </w:rPr>
        <w:t xml:space="preserve"> </w:t>
      </w:r>
      <w:r w:rsidRPr="00B97CA1">
        <w:rPr>
          <w:rStyle w:val="StyleUnderline"/>
        </w:rPr>
        <w:t>Foucault’s ideas in the light of the influence of the genetic dispositif, it first sets out</w:t>
      </w:r>
      <w:r>
        <w:rPr>
          <w:rStyle w:val="StyleUnderline"/>
        </w:rPr>
        <w:t xml:space="preserve"> </w:t>
      </w:r>
      <w:r w:rsidRPr="00B97CA1">
        <w:rPr>
          <w:rStyle w:val="StyleUnderline"/>
        </w:rPr>
        <w:t>how ‘governmentalisation’ manages tensions in an unfolding process of</w:t>
      </w:r>
      <w:r>
        <w:rPr>
          <w:rStyle w:val="StyleUnderline"/>
        </w:rPr>
        <w:t xml:space="preserve"> </w:t>
      </w:r>
      <w:r w:rsidRPr="00B97CA1">
        <w:rPr>
          <w:rStyle w:val="StyleUnderline"/>
        </w:rPr>
        <w:t>accommodation, and briefly explores the limits of this productive way of governing.</w:t>
      </w:r>
    </w:p>
    <w:p w14:paraId="036A4BE2" w14:textId="77777777" w:rsidR="000E092E" w:rsidRPr="00DB5946" w:rsidRDefault="000E092E" w:rsidP="000E092E"/>
    <w:p w14:paraId="6CA34976" w14:textId="7959A44E" w:rsidR="006A4805" w:rsidRDefault="006A4805" w:rsidP="006C0B77">
      <w:pPr>
        <w:pStyle w:val="Heading1"/>
      </w:pPr>
      <w:r>
        <w:t>Impacts</w:t>
      </w:r>
    </w:p>
    <w:p w14:paraId="5F2E11AD" w14:textId="3F9C0976" w:rsidR="00B15BF2" w:rsidRDefault="00B15BF2" w:rsidP="006A4805">
      <w:pPr>
        <w:pStyle w:val="Heading3"/>
      </w:pPr>
      <w:r>
        <w:t>Dehumanization</w:t>
      </w:r>
    </w:p>
    <w:p w14:paraId="0E8ED18E" w14:textId="77777777" w:rsidR="00B15BF2" w:rsidRDefault="00B15BF2" w:rsidP="00B15BF2">
      <w:pPr>
        <w:pStyle w:val="Heading4"/>
      </w:pPr>
      <w:r>
        <w:t>Biopolitical modes of property organization cause desubjectification—as property law attempts to make intangible objects legible, our own bodies become more easily commodified</w:t>
      </w:r>
    </w:p>
    <w:p w14:paraId="1809F5ED" w14:textId="77777777" w:rsidR="00B15BF2" w:rsidRDefault="00B15BF2" w:rsidP="00B15BF2">
      <w:pPr>
        <w:rPr>
          <w:rStyle w:val="Style13ptBold"/>
        </w:rPr>
      </w:pPr>
      <w:r>
        <w:rPr>
          <w:rStyle w:val="Style13ptBold"/>
        </w:rPr>
        <w:t>Stone 14</w:t>
      </w:r>
    </w:p>
    <w:p w14:paraId="512C478F" w14:textId="77777777" w:rsidR="00B15BF2" w:rsidRPr="00723E80" w:rsidRDefault="00B15BF2" w:rsidP="00B15BF2">
      <w:r>
        <w:t>Matthew, University of Essex, UK. “Roberto Esposito and the Biopolitics of Property Rights.” Social &amp; Legal Studies 2015, Vol. 24(3) 381–398. LJS</w:t>
      </w:r>
    </w:p>
    <w:p w14:paraId="595AE1A1" w14:textId="7301396C" w:rsidR="00B15BF2" w:rsidRPr="00B15BF2" w:rsidRDefault="00B15BF2" w:rsidP="00B15BF2">
      <w:pPr>
        <w:rPr>
          <w:sz w:val="16"/>
        </w:rPr>
      </w:pPr>
      <w:r w:rsidRPr="006911DE">
        <w:rPr>
          <w:sz w:val="16"/>
        </w:rPr>
        <w:t xml:space="preserve">The reason for an excursus on Kant in particular here is not merely because Kant expresses most fundamentally the liberal bond between property and freedom. It is also because Kant understood that the ontological essence of modern property is its separa- tion from the proprietor (as discussed previously in the ‘Property and Subjectivity in Lib- eral Theory’ section). </w:t>
      </w:r>
      <w:r w:rsidRPr="00723E80">
        <w:rPr>
          <w:rStyle w:val="StyleUnderline"/>
        </w:rPr>
        <w:t>The true condition of such property is being able to own something that is not in one’s physical possession; this is the principle of rightful possession. Once this is acknowledged, as Esposito (2008: 69) puts it, ‘the contradiction implicit in proprietary logic fully emerges’. It is this contradiction, examined in the subsequent section, which sets the liberal property-owning subject upon a trajectory of its own unravelling.</w:t>
      </w:r>
      <w:r w:rsidRPr="006911DE">
        <w:rPr>
          <w:sz w:val="16"/>
        </w:rPr>
        <w:t xml:space="preserve"> Property and Immunity In the initial balance between communitas and immunitas described thus far, one can appreciate how the subject is protected in its proprietary separation from others, that is, its identity is dependent upon itself in a self-referential relation that enables its pos- sessory characteristic. </w:t>
      </w:r>
      <w:r w:rsidRPr="00723E80">
        <w:rPr>
          <w:rStyle w:val="StyleUnderline"/>
        </w:rPr>
        <w:t>The subject is because it has. Ownership defines</w:t>
      </w:r>
      <w:r w:rsidRPr="00C01C11">
        <w:rPr>
          <w:rStyle w:val="StyleUnderline"/>
        </w:rPr>
        <w:t xml:space="preserve"> a principal status</w:t>
      </w:r>
      <w:r>
        <w:rPr>
          <w:rStyle w:val="StyleUnderline"/>
        </w:rPr>
        <w:t xml:space="preserve"> </w:t>
      </w:r>
      <w:r w:rsidRPr="00C01C11">
        <w:rPr>
          <w:rStyle w:val="StyleUnderline"/>
        </w:rPr>
        <w:t xml:space="preserve">of individuals’ presence in modern political </w:t>
      </w:r>
      <w:r w:rsidRPr="00723E80">
        <w:rPr>
          <w:rStyle w:val="StyleUnderline"/>
        </w:rPr>
        <w:t>community, and this veneer of liberal equality is capable of fulfilling its underlying protective agenda so long as there is some assurance of proportionality and balance in the dichotomy of subject and object (Esposito, 2008: 68). This is</w:t>
      </w:r>
      <w:r w:rsidRPr="00C01C11">
        <w:rPr>
          <w:rStyle w:val="StyleUnderline"/>
        </w:rPr>
        <w:t xml:space="preserve"> the balance between the individual as subjective possessor on the one</w:t>
      </w:r>
      <w:r>
        <w:rPr>
          <w:rStyle w:val="StyleUnderline"/>
        </w:rPr>
        <w:t xml:space="preserve"> </w:t>
      </w:r>
      <w:r w:rsidRPr="00C01C11">
        <w:rPr>
          <w:rStyle w:val="StyleUnderline"/>
        </w:rPr>
        <w:t>hand and its objective property on the other, both poles being mutually constitutive of the</w:t>
      </w:r>
      <w:r>
        <w:rPr>
          <w:rStyle w:val="StyleUnderline"/>
        </w:rPr>
        <w:t xml:space="preserve"> </w:t>
      </w:r>
      <w:r w:rsidRPr="00C01C11">
        <w:rPr>
          <w:rStyle w:val="StyleUnderline"/>
        </w:rPr>
        <w:t xml:space="preserve">modern </w:t>
      </w:r>
      <w:r w:rsidRPr="00723E80">
        <w:rPr>
          <w:rStyle w:val="StyleUnderline"/>
        </w:rPr>
        <w:t>proprietary subject. However, the balance of this structure begins to</w:t>
      </w:r>
      <w:r w:rsidRPr="00C01C11">
        <w:rPr>
          <w:rStyle w:val="StyleUnderline"/>
        </w:rPr>
        <w:t xml:space="preserve"> weaken with the advent of two phenomena that flow from property’s immunitary basis</w:t>
      </w:r>
      <w:r w:rsidRPr="006911DE">
        <w:rPr>
          <w:sz w:val="16"/>
        </w:rPr>
        <w:t xml:space="preserve">. One, which is explicitly described in Esposito’s analysis, is the increasing distance between subject and object. This distance is ultimately the consequence of what Kant saw as rightful possession (that which does not require physical dominion) being the true measure of property, as it delineates ownership from mere control and enables property to take on an entirely incorporeal nature (Esposito, 2008: 68–69). </w:t>
      </w:r>
      <w:r w:rsidRPr="00723E80">
        <w:rPr>
          <w:rStyle w:val="StyleUnderline"/>
        </w:rPr>
        <w:t>The other phenomenon, which is not as explicit in Esposito’s analysis but which is a natural elaboration of his argument, is the proliferation of new forms of property</w:t>
      </w:r>
      <w:r w:rsidRPr="006911DE">
        <w:rPr>
          <w:sz w:val="16"/>
        </w:rPr>
        <w:t xml:space="preserve">. This is of course most evident in the advent of money as an abstract, substitutable signifier for property, but also includes the extension of our horizons of ownership further, notably in the burgeoning realm of intellectual property. It is inevitable that the two phenomena coincide. New taxonomies of property are intrinsically likely to operate at greater separation from the subject than old (e.g. an intangible investment property such as a shareholding operates at a greater ontological distance to its owner than, say, their house). </w:t>
      </w:r>
      <w:r w:rsidRPr="00C01C11">
        <w:rPr>
          <w:rStyle w:val="StyleUnderline"/>
        </w:rPr>
        <w:t xml:space="preserve">The impact of these trends in property has an </w:t>
      </w:r>
      <w:r w:rsidRPr="00723E80">
        <w:rPr>
          <w:rStyle w:val="StyleUnderline"/>
        </w:rPr>
        <w:t>unequivocal effect, which Esposito describes as desubjectification. As will be explained, the increasing separation of the subject and their property inverts the effect of the protective immunitary structure, such that subject begins to dissolve into object. The culmination of this progression is unavoidably an affirmation of Marx’s diagnosis: Esposito (2008: 67) sees Marx’s description of people’s objectification in property as an immunitary consequence of the common claim that property is an extension of the subject</w:t>
      </w:r>
      <w:r w:rsidRPr="006911DE">
        <w:rPr>
          <w:sz w:val="16"/>
        </w:rPr>
        <w:t xml:space="preserve">. In Esposito’s (2008: 69) words, it marks ‘the reification of the person, disembodied of its subjective substance’. </w:t>
      </w:r>
      <w:r w:rsidRPr="00723E80">
        <w:rPr>
          <w:rStyle w:val="StyleUnderline"/>
        </w:rPr>
        <w:t>As such, the very subjectivity produced by the immunitary apparatus of modernity begins to weaken once its proprietary character is realized and intensified. By affirming itself in property, with its immunitary structure, the individual is advanced on a path of its own negation. The qualities we associate with the liberal individual, such as self-possession, personal sovereignty, autonomy, etc, find their expression to be diminished as the property upon which such expression is predicated becomes increasingly distanced and diffuse. What is stretched apart in this process is, ultimately, the individual’s relation with itself, the separation of its subjective possessory character and the objective property it needs to support its status as a property owner.</w:t>
      </w:r>
      <w:r w:rsidRPr="006911DE">
        <w:rPr>
          <w:sz w:val="16"/>
        </w:rPr>
        <w:t xml:space="preserve"> This, of course, is the very struc- ture that constituted modern proprietary subjectivity in the first place. </w:t>
      </w:r>
      <w:r w:rsidRPr="00723E80">
        <w:rPr>
          <w:rStyle w:val="StyleUnderline"/>
        </w:rPr>
        <w:t>What previously manifested as subjective capacities become appropriated by the objective realm, such that identity, choice and expression become determined through a world of objects, a world that also happens to be governed, principally, by the market</w:t>
      </w:r>
      <w:r w:rsidRPr="006911DE">
        <w:rPr>
          <w:sz w:val="16"/>
        </w:rPr>
        <w:t xml:space="preserve">. In order to consider these trajectories of property, it is worth initially considering the processes of juridification that arose at the time that Esposito identifies the most forceful ascendance of immunitary practices. In particular, one should be mindful of the enclosure movement, which saw the rationalization of land rights and the shift from a feudal model to one resembling liberal, market-compatible holdings. </w:t>
      </w:r>
      <w:r w:rsidRPr="00C01C11">
        <w:rPr>
          <w:rStyle w:val="StyleUnderline"/>
        </w:rPr>
        <w:t>From very early in English legal history, the structure of land law had a determining influence on people’s political subjectivity</w:t>
      </w:r>
      <w:r w:rsidRPr="006911DE">
        <w:rPr>
          <w:sz w:val="16"/>
        </w:rPr>
        <w:t xml:space="preserve">. The precursor to the recognizably modern landowner, the feudal tenant, was a product of the late Anglo-Saxon, pre-common law relation between a person and their lord. As observed in Digby’s (1875: 15) legal history, this bond developed into ‘a tie of mutual service, responsibility, and protection in every relation of life, and is regarded as one of the principal bases of social order’. That this duty was attached to territory ensured that one’s political being – in this case determined by servitude – was constitutively linked to the control of property by another. The processes of land enclosure, by which land was separated and tied to individual owners both geographically and through the construction of new legal concepts, was a consequence of a burgeoning socio-economic individualism. The most apparent losers in the process of enclosure were those whose landholdings were so small that they depended on the advantages of common land rights and who were subsequently forced to take up wage labour to make a living; ‘it would transform them and the labourers from upright members of a community, with a distinct set of rights, into inferiors dependent on the rich’ (Hobsbawm, 1999: 80). </w:t>
      </w:r>
      <w:r w:rsidRPr="00723E80">
        <w:rPr>
          <w:rStyle w:val="StyleUnderline"/>
        </w:rPr>
        <w:t>What ought to be added to this analysis of Eric Hobsbawm’s is that the rights lacked among this class are specifically land rights. If, as many argue, enclosure entailed significant social division between propertied and ‘unpropertied’ people, it is important to observe how parallel processes of individualization (which both include a proprietary logic) occur on either side of the rift.</w:t>
      </w:r>
      <w:r w:rsidRPr="006911DE">
        <w:rPr>
          <w:sz w:val="16"/>
        </w:rPr>
        <w:t xml:space="preserve"> On the one hand, private ownership becomes the principal manner of holding land; on the other, for those without real property, one’s enfranchisement within society is achieved by the sale of one’s individual labour. </w:t>
      </w:r>
      <w:r w:rsidRPr="00723E80">
        <w:rPr>
          <w:rStyle w:val="StyleUnderline"/>
        </w:rPr>
        <w:t>In both cases, the construction of property rights holds an immunitary effect, in that the link between the subject and community is mediated through a form of self-referential pos</w:t>
      </w:r>
      <w:r>
        <w:rPr>
          <w:rStyle w:val="StyleUnderline"/>
        </w:rPr>
        <w:t xml:space="preserve"> </w:t>
      </w:r>
      <w:r w:rsidRPr="00723E80">
        <w:rPr>
          <w:rStyle w:val="StyleUnderline"/>
        </w:rPr>
        <w:t xml:space="preserve">session (ownership of one’s land and ownership of one’s labour). By contrast, the idea of common rights over a single resource is gradually eroded (although not erased) in law. Thompson (1976: 341) interpreted this as a transition from common rights to use property, </w:t>
      </w:r>
      <w:r w:rsidRPr="006911DE">
        <w:rPr>
          <w:rStyle w:val="StyleUnderline"/>
        </w:rPr>
        <w:t xml:space="preserve">which imply mutualism and indeterminacy, to property being a determinate, own- able entity and one which can be rationally exposed to market principles. It is important to note that, as is often the case, </w:t>
      </w:r>
      <w:r w:rsidRPr="006911DE">
        <w:rPr>
          <w:rStyle w:val="Emphasis"/>
        </w:rPr>
        <w:t>law tends to be a reflector rather than a cause of social change</w:t>
      </w:r>
      <w:r w:rsidRPr="006911DE">
        <w:rPr>
          <w:sz w:val="16"/>
        </w:rPr>
        <w:t xml:space="preserve">. As Daunton (1995: 104) claims, enclosure was not, in itself, ‘a dramatic shift from communal to individual ownership so much as the emergence of a more precise definition of what constituted an individual’s property’. Reinterpreted in the light of Esposito’s work, land enclosure should be recognized as a paradigmatic process of immunitary property relations, as it represents a seismic example of that crucial moment in any appropriation of private property, in </w:t>
      </w:r>
      <w:r w:rsidRPr="006911DE">
        <w:rPr>
          <w:rStyle w:val="StyleUnderline"/>
        </w:rPr>
        <w:t>which ‘the negative clearly begins to prevail over the positive’ (Esposito, 2008: 68). This represents the way in which the possessory act allows for social identity to be determined autonomously and individually and furthermore by the act of excluding other people</w:t>
      </w:r>
      <w:r w:rsidRPr="006911DE">
        <w:rPr>
          <w:sz w:val="16"/>
        </w:rPr>
        <w:t xml:space="preserve">. The twin trajectories of property, its proliferation and distancing, find their continued expression in what has been termed by some as a second movement of enclosure, in which there has been a similar effort to rationalize and individualize the ownership of new types of property (Boyle, 2002, 2003; Hunter, 2003). </w:t>
      </w:r>
      <w:r w:rsidRPr="006911DE">
        <w:rPr>
          <w:rStyle w:val="StyleUnderline"/>
        </w:rPr>
        <w:t>Primarily, such new property is intangible, intellectual property, but it could also cover the recognition of new interests in tangible matter, such as private property rights in isolated human body tissue. Recalling that the immunitary subject is one that is folded back to constitute itself self-referentially, it becomes apparent that these new technologies of property provide an explosion of channels through which such subjectivity can express itself – and ultimately negate itself</w:t>
      </w:r>
      <w:r w:rsidRPr="006911DE">
        <w:rPr>
          <w:sz w:val="16"/>
        </w:rPr>
        <w:t xml:space="preserve">. The ‘commons’ that is at risk of, or is in the process of, becoming enclosed should be familiar to us all in the way that the Internet has opened an entire new realm of virtual spaces, dwellings and marketplaces. (Although still resisting the pressure of enclosure are crowdsourced information resources such as Wikipedia, open-source software and ‘peer-to-peer’ methods of data sharing, for instance.) For some these spaces represent knowledge resources (Hess and Ostrom, 2007); others prefer to think of them as intangible places (McBeath and Webb, 2007) – understandable given the common semantics of the Internet, such as ‘cyberspace’, ‘to go online’ and web‘sites’. Whilst there are arguments against conceiving of digital communications networks through spatial and proprietary metaphors, our reality is of their relentless popular adoption (Lemley, 2003). </w:t>
      </w:r>
      <w:r w:rsidRPr="006911DE">
        <w:rPr>
          <w:rStyle w:val="StyleUnderline"/>
        </w:rPr>
        <w:t>Just as digital data is conceived as an ownable entity, networks for data transfer have been instantly understood as places which can be enclosed as property</w:t>
      </w:r>
      <w:r w:rsidRPr="006911DE">
        <w:rPr>
          <w:sz w:val="16"/>
        </w:rPr>
        <w:t xml:space="preserve">. A specific example to be considered is social media and the role it plays in the construction of identity. Newly ubiquitous online services such as Facebook and Twitter do consid- erably more than offer a repository of photographs and the means of communicating with others. More significantly, they operate as avatars that allow the subject to have a form of existence in a virtual space online, in which identity is performed through a choice of words and images (Jones and Holmes, 2011; Thomas, 2007). This allows users to refine their iden- tity deliberately, concealing some aspects whilst promoting or inventing others, but it also entails that identity construction can be conditioned through social norms (e.g. surrounding gender and sexuality; see Thomas, 2007: 35). Furthermore, it is necessary to recognize how online identities tend to be packaged for ‘public consumption’ (Gardner and Davis, 2013: 71) in a way that mirrors commercial content. Some services, such as YouTube, allow a platform to monetize one’s profile, facilitating a direct commodification of one’s online persona. Whilst some might be optimistic about the generation of new and creative forms of virtual subjectivity, it is also crucial to note that whilst such sites provide a place for the subject, they are ultimately owned and controlled by typically large commercial entities, who police the spaces according to their own rules and scatter them with revenue- generating advertisements. </w:t>
      </w:r>
      <w:r w:rsidRPr="006911DE">
        <w:rPr>
          <w:rStyle w:val="StyleUnderline"/>
        </w:rPr>
        <w:t>Therefore, whilst such new forms of subjectivity appear self-authored, it would be naive to think that the subject has their unfettered ownership. The line of analysis pursued here demands a cynicism about the utopianism that accompanied much of the hype around cyberspace as an emancipatory social platform</w:t>
      </w:r>
      <w:r w:rsidRPr="006911DE">
        <w:rPr>
          <w:sz w:val="16"/>
        </w:rPr>
        <w:t xml:space="preserve">. Whilst there are clear opportunities for creative self-expression here that are harder to find in the offline world, the freedom presented to the subject is typically quite narrow, principally, freedom to be a consumer. The almost limitless potential for enclosing objects of virtual property is set to enable their increasing supremacy in how we under- stand ourselves as subjects. </w:t>
      </w:r>
      <w:r w:rsidRPr="006911DE">
        <w:rPr>
          <w:rStyle w:val="StyleUnderline"/>
        </w:rPr>
        <w:t>Rather than operating as the basis of politically enfranchised subjective capacity, this trajectory leads to an imbalance in the mechanics of modern proprietary self-representation, such that the subject’s objective counterpart becomes distorted and distanced in a realm that is not only separated from the body but which is also entirely intangible and entwined with the interests of the market</w:t>
      </w:r>
      <w:r w:rsidRPr="006911DE">
        <w:rPr>
          <w:sz w:val="16"/>
        </w:rPr>
        <w:t xml:space="preserve">. This is an exam- ple of what Esposito (2008: 68) calls the breakdown in the proportionality ‘which unites the owner of property to himself’, weakening our sense of selfhood and capacity within political community, creating increasing reliance on these new enclosures to effectuate ever more fragile experiences of social and political identity. A further example of the trajectories under analysis is the proprietary status of body matter, such as cells for use in medical research, organs for transplants or reproductive body materials. Traditionally this has posed a problem for the law as humans are not nor- mally treated as legal property (slavery being an obvious historical counterexample), meaning that isolated body matter take on a necessarily peculiar status. As such, special rules have arisen to govern property interests in such cases (see Hardcastle, 2009), and there is nevertheless a discernible trend towards the assertion of rights in human mate- rial, increasingly for commercial gain. For example, the landmark Moore v. Regents P 2d 479 (Cal SC 1990) case, in which </w:t>
      </w:r>
      <w:r w:rsidRPr="009D6882">
        <w:rPr>
          <w:rStyle w:val="StyleUnderline"/>
        </w:rPr>
        <w:t xml:space="preserve">an American leukaemia </w:t>
      </w:r>
      <w:r w:rsidRPr="009D6882">
        <w:rPr>
          <w:rStyle w:val="Emphasis"/>
        </w:rPr>
        <w:t>patient entered into a</w:t>
      </w:r>
      <w:r>
        <w:rPr>
          <w:rStyle w:val="Emphasis"/>
        </w:rPr>
        <w:t xml:space="preserve"> </w:t>
      </w:r>
      <w:r w:rsidRPr="009D6882">
        <w:rPr>
          <w:rStyle w:val="Emphasis"/>
        </w:rPr>
        <w:t>legal battle over ownership of cells taken from his body during hospital treatment</w:t>
      </w:r>
      <w:r w:rsidRPr="009D6882">
        <w:rPr>
          <w:rStyle w:val="StyleUnderline"/>
        </w:rPr>
        <w:t>. The</w:t>
      </w:r>
      <w:r>
        <w:rPr>
          <w:rStyle w:val="StyleUnderline"/>
        </w:rPr>
        <w:t xml:space="preserve"> </w:t>
      </w:r>
      <w:r w:rsidRPr="009D6882">
        <w:rPr>
          <w:rStyle w:val="StyleUnderline"/>
        </w:rPr>
        <w:t xml:space="preserve">Supreme Court of California held that whilst a third party can </w:t>
      </w:r>
      <w:r w:rsidRPr="009D6882">
        <w:rPr>
          <w:rStyle w:val="Emphasis"/>
        </w:rPr>
        <w:t>assert rights in body mate-</w:t>
      </w:r>
      <w:r>
        <w:rPr>
          <w:rStyle w:val="Emphasis"/>
        </w:rPr>
        <w:t xml:space="preserve"> </w:t>
      </w:r>
      <w:r w:rsidRPr="009D6882">
        <w:rPr>
          <w:rStyle w:val="Emphasis"/>
        </w:rPr>
        <w:t>rials</w:t>
      </w:r>
      <w:r w:rsidRPr="009D6882">
        <w:rPr>
          <w:rStyle w:val="StyleUnderline"/>
        </w:rPr>
        <w:t>, these rights are available upon the excision of the material, not through a transfer of</w:t>
      </w:r>
      <w:r>
        <w:rPr>
          <w:rStyle w:val="StyleUnderline"/>
        </w:rPr>
        <w:t xml:space="preserve"> </w:t>
      </w:r>
      <w:r w:rsidRPr="009D6882">
        <w:rPr>
          <w:rStyle w:val="StyleUnderline"/>
        </w:rPr>
        <w:t>ownership from one owner to the next</w:t>
      </w:r>
      <w:r w:rsidRPr="006911DE">
        <w:rPr>
          <w:sz w:val="16"/>
        </w:rPr>
        <w:t xml:space="preserve">. In other words, </w:t>
      </w:r>
      <w:r w:rsidRPr="009D6882">
        <w:rPr>
          <w:rStyle w:val="StyleUnderline"/>
        </w:rPr>
        <w:t>the first point at which such mate-</w:t>
      </w:r>
      <w:r>
        <w:rPr>
          <w:rStyle w:val="StyleUnderline"/>
        </w:rPr>
        <w:t xml:space="preserve"> </w:t>
      </w:r>
      <w:r w:rsidRPr="009D6882">
        <w:rPr>
          <w:rStyle w:val="StyleUnderline"/>
        </w:rPr>
        <w:t>rial becomes property is the point at which it is alienated from the host</w:t>
      </w:r>
      <w:r w:rsidRPr="006911DE">
        <w:rPr>
          <w:sz w:val="16"/>
        </w:rPr>
        <w:t xml:space="preserve">. As Dickenson (2007: 37–38) has observed, arguments that </w:t>
      </w:r>
      <w:r w:rsidRPr="009D6882">
        <w:rPr>
          <w:rStyle w:val="Emphasis"/>
        </w:rPr>
        <w:t>individuals should have more pervasive rights</w:t>
      </w:r>
      <w:r>
        <w:rPr>
          <w:rStyle w:val="Emphasis"/>
        </w:rPr>
        <w:t xml:space="preserve"> </w:t>
      </w:r>
      <w:r w:rsidRPr="009D6882">
        <w:rPr>
          <w:rStyle w:val="Emphasis"/>
        </w:rPr>
        <w:t>over their own body material</w:t>
      </w:r>
      <w:r w:rsidRPr="006911DE">
        <w:rPr>
          <w:sz w:val="16"/>
        </w:rPr>
        <w:t xml:space="preserve">, in response to cases like Moore v. Regents, tend to be </w:t>
      </w:r>
      <w:r w:rsidRPr="009D6882">
        <w:rPr>
          <w:rStyle w:val="StyleUnderline"/>
        </w:rPr>
        <w:t>articu-</w:t>
      </w:r>
      <w:r>
        <w:rPr>
          <w:rStyle w:val="StyleUnderline"/>
        </w:rPr>
        <w:t xml:space="preserve"> </w:t>
      </w:r>
      <w:r w:rsidRPr="009D6882">
        <w:rPr>
          <w:rStyle w:val="StyleUnderline"/>
        </w:rPr>
        <w:t>lated from a liberal contortion of the Lockean principle of self-ownership</w:t>
      </w:r>
      <w:r w:rsidRPr="006911DE">
        <w:rPr>
          <w:sz w:val="16"/>
        </w:rPr>
        <w:t xml:space="preserve"> (Locke argues that we own ourselves in the sense of agency, not simply as a material body). Despite the evident commercialization of human body tissue, </w:t>
      </w:r>
      <w:r w:rsidRPr="009D6882">
        <w:rPr>
          <w:rStyle w:val="Emphasis"/>
        </w:rPr>
        <w:t>the line between human</w:t>
      </w:r>
      <w:r>
        <w:rPr>
          <w:rStyle w:val="Emphasis"/>
        </w:rPr>
        <w:t xml:space="preserve"> </w:t>
      </w:r>
      <w:r w:rsidRPr="009D6882">
        <w:rPr>
          <w:rStyle w:val="Emphasis"/>
        </w:rPr>
        <w:t>and property, between subject and object, still lacks full clarity in law</w:t>
      </w:r>
      <w:r w:rsidRPr="006911DE">
        <w:rPr>
          <w:sz w:val="16"/>
        </w:rPr>
        <w:t xml:space="preserve">. Identifying a clear threshold of separability is discussed by some, such as Penner (1997), Harris (2003) and Hardcastle (2009), as a possible way through this area of ambiguity (Quigly, 2012). Such separation evokes a crucial aspect of Kant’s idea of property discussed earlier; it is only rightful possession, not physical possession, which represents property’s necessary condi- tion. </w:t>
      </w:r>
      <w:r w:rsidRPr="006911DE">
        <w:rPr>
          <w:rStyle w:val="StyleUnderline"/>
        </w:rPr>
        <w:t>But such separation, which suggests that anything that can be isolated from the body becomes just another object of property whose ownership may be contested,8 inevitably entails the alienation of the very thing our legal subjectivity holds dominium over. Insofar as such subjectivity is a product of this proprietary relation, such intensified separation is, again, entwined with what Esposito (2008: 69) calls desubjectification, which is the shift in the power dynamic between subject and object, such that the market-orientated domain of objects determines our ever diminishing sphere of subjecthood.</w:t>
      </w:r>
      <w:r w:rsidRPr="006911DE">
        <w:rPr>
          <w:sz w:val="16"/>
        </w:rPr>
        <w:t xml:space="preserve"> This is most marked in this example of body materials, in which the individual not only loses a position of mastery over the realm of objects but is also subjugated by that realm, which turns to appropriate – quite literally – part of the body and absorb it into the market. The ethical debate about the commodification of body matter is of course already well established (see e.g. Munzer, 1994; Phillips, 2013; Radin, 1996). There are myriad reasons as to why one might object to the marketization of human tissue and data, from con- cern about unequal access to medical procedures, to principled worries about the sanctity of human dignity, to dystopian anxieties of people harvesting their own body parts – or worse, being harvested by others – for financial reward. </w:t>
      </w:r>
      <w:r w:rsidRPr="006911DE">
        <w:rPr>
          <w:rStyle w:val="StyleUnderline"/>
        </w:rPr>
        <w:t>But what is also crucial for the purposes of this article is the impact this commodification has on our subjecthood. Instead of the objective body providing a secure platform for the subjective agency of the individual, it provides the material for much more insecure relations in the market</w:t>
      </w:r>
      <w:r w:rsidRPr="006911DE">
        <w:rPr>
          <w:sz w:val="16"/>
        </w:rPr>
        <w:t xml:space="preserve">. On the one hand, it might require people to reconceptualize themselves as economic agents of their own bodily commodities. For those who hold extreme faith in the market and who are less morally squeamish about this prospect, there might appear something empowering about this. But on the other hand, as already evinced in cases like Moore v. Regents, it means that this platform is also to be increasingly contested with third parties. </w:t>
      </w:r>
      <w:r w:rsidRPr="006911DE">
        <w:rPr>
          <w:rStyle w:val="StyleUnderline"/>
        </w:rPr>
        <w:t>Where such battles are lost, when third parties gain legal ownership of individuals’ bodily materials and data, not only do we see an obvious disempowerment of that person’s eco- nomic agency over their body but also a partial loss of the very grounds of their subjectivity.</w:t>
      </w:r>
      <w:r>
        <w:rPr>
          <w:rStyle w:val="StyleUnderline"/>
        </w:rPr>
        <w:t xml:space="preserve"> </w:t>
      </w:r>
      <w:r w:rsidRPr="006911DE">
        <w:rPr>
          <w:sz w:val="16"/>
        </w:rPr>
        <w:t xml:space="preserve">Esposito’s insights therefore demand that we question the ‘separability thesis’, that is, the claim that we can arrive at a legitimate means of identifying ‘ownable’ body materials by focusing on their capacity to be separated from the person. The theoretical and practical coherence of this position has already been critiqued sharply (Quigly, 2012), and Esposito lends further weight to such criticism, </w:t>
      </w:r>
      <w:r w:rsidRPr="009D6882">
        <w:rPr>
          <w:rStyle w:val="StyleUnderline"/>
        </w:rPr>
        <w:t>prompting us to question the</w:t>
      </w:r>
      <w:r>
        <w:rPr>
          <w:rStyle w:val="StyleUnderline"/>
        </w:rPr>
        <w:t xml:space="preserve"> </w:t>
      </w:r>
      <w:r w:rsidRPr="009D6882">
        <w:rPr>
          <w:rStyle w:val="StyleUnderline"/>
        </w:rPr>
        <w:t>neat separability of owner and owned as well as our ability to determine and comprehend</w:t>
      </w:r>
      <w:r>
        <w:rPr>
          <w:rStyle w:val="StyleUnderline"/>
        </w:rPr>
        <w:t xml:space="preserve"> </w:t>
      </w:r>
      <w:r w:rsidRPr="009D6882">
        <w:rPr>
          <w:rStyle w:val="StyleUnderline"/>
        </w:rPr>
        <w:t>each independently of the other</w:t>
      </w:r>
      <w:r w:rsidRPr="006911DE">
        <w:rPr>
          <w:sz w:val="16"/>
        </w:rPr>
        <w:t xml:space="preserve">. Instead, we ought to understand that our proprietary subjectivity stands to be continually drawn, manipulated and ultimately potentially dis- solved in response to property claims over the body. What Esposito also allows us to appreciate is that this </w:t>
      </w:r>
      <w:r w:rsidRPr="009D6882">
        <w:rPr>
          <w:rStyle w:val="Emphasis"/>
        </w:rPr>
        <w:t>commodification of the body</w:t>
      </w:r>
      <w:r w:rsidRPr="009D6882">
        <w:rPr>
          <w:rStyle w:val="StyleUnderline"/>
        </w:rPr>
        <w:t xml:space="preserve"> is</w:t>
      </w:r>
      <w:r>
        <w:rPr>
          <w:rStyle w:val="StyleUnderline"/>
        </w:rPr>
        <w:t xml:space="preserve"> </w:t>
      </w:r>
      <w:r w:rsidRPr="009D6882">
        <w:rPr>
          <w:rStyle w:val="StyleUnderline"/>
        </w:rPr>
        <w:t>not a relatively recent invention of late capitalism but is part of a ‘general transition of</w:t>
      </w:r>
      <w:r>
        <w:rPr>
          <w:rStyle w:val="StyleUnderline"/>
        </w:rPr>
        <w:t xml:space="preserve"> </w:t>
      </w:r>
      <w:r w:rsidRPr="009D6882">
        <w:rPr>
          <w:rStyle w:val="StyleUnderline"/>
        </w:rPr>
        <w:t>humankind towards thingness</w:t>
      </w:r>
      <w:r w:rsidRPr="006911DE">
        <w:rPr>
          <w:sz w:val="16"/>
        </w:rPr>
        <w:t xml:space="preserve">’ (Esposito, 2012: 96) determined in advance by the contra- dictory structure of property itself. In the liberal model, the world of ownable objects pro- vides a terrain upon which we can achieve the individualizing experience of being a proprietor. </w:t>
      </w:r>
      <w:r w:rsidRPr="006911DE">
        <w:rPr>
          <w:rStyle w:val="StyleUnderline"/>
        </w:rPr>
        <w:t>A negative relationship not merely exists with respect to other people (my subjectivity is affirmed by my property not belonging to others) but also more fundamentally within the proprietary fold itself: my identity is determined by the dichotomous relation between proprietor and property.</w:t>
      </w:r>
      <w:r w:rsidRPr="006911DE">
        <w:rPr>
          <w:sz w:val="16"/>
        </w:rPr>
        <w:t xml:space="preserve"> However, as the realm of objects proliferates outwards into new virtual technologies and back inwards through the body, one sees an ever decreas- ing scope for the subject to differentiate itself from the objects upon which it depends. Between these two sets of examples we therefore see a twin effect. </w:t>
      </w:r>
      <w:r w:rsidRPr="006911DE">
        <w:rPr>
          <w:rStyle w:val="StyleUnderline"/>
        </w:rPr>
        <w:t>First, we see the subject extending itself into the virtual world and ending up increasingly reliant upon its new enclosures of property to give itself an enfeebled sense of identity and capacity in the modern world. Second, in the body parts example, we see a movement in the other direction, that is, the world of objects pushes back into the domain of the subject, appropriating what was previously thought to be an inalienable part of the human</w:t>
      </w:r>
      <w:r w:rsidRPr="006911DE">
        <w:rPr>
          <w:sz w:val="16"/>
        </w:rPr>
        <w:t xml:space="preserve">. Both can be drawn back to Esposito’s (2012: 95) concern about ‘the gradual reification of life’, the manner in which the living element of </w:t>
      </w:r>
      <w:r w:rsidRPr="009D6882">
        <w:rPr>
          <w:rStyle w:val="Emphasis"/>
        </w:rPr>
        <w:t>the human species is increasingly colonized by a</w:t>
      </w:r>
      <w:r>
        <w:rPr>
          <w:rStyle w:val="Emphasis"/>
        </w:rPr>
        <w:t xml:space="preserve"> </w:t>
      </w:r>
      <w:r w:rsidRPr="006911DE">
        <w:rPr>
          <w:rStyle w:val="StyleUnderline"/>
        </w:rPr>
        <w:t>proprietary logic. For the pragmatist, resisting these processes of desubjectification entails seeking to restore a sense of proportionality between property and person. This might involve, for instance, pushing back against the increasing colonization of the body by property claims and joining those who ask that we actively seek to limit by law what can be absorbed into market relations</w:t>
      </w:r>
      <w:r w:rsidRPr="006911DE">
        <w:rPr>
          <w:sz w:val="16"/>
        </w:rPr>
        <w:t xml:space="preserve">. Practically speaking, this argument could lend tentative support to the promotion of inalienable categories of property, for example, in the work of Radin (1982, 1987, 1993) (whilst being mindful of the critique signposted earlier in the article). </w:t>
      </w:r>
      <w:r w:rsidRPr="006911DE">
        <w:rPr>
          <w:rStyle w:val="StyleUnderline"/>
        </w:rPr>
        <w:t>But a more radical agenda involves recognizing that what is at stake here is not merely economic disparity caused by the virulent work of capitalism but also the very parameters of subjectivity. This position prompts us not simply to reappraise what objects we see as property but also how we see ourselves and how we understand the original forms of community that immunitary structures have inverted. Challenging this trajectory of property at its root means questioning the most basic Lockean conflation</w:t>
      </w:r>
      <w:r w:rsidRPr="00014408">
        <w:rPr>
          <w:rStyle w:val="StyleUnderline"/>
        </w:rPr>
        <w:t xml:space="preserve"> of having and</w:t>
      </w:r>
      <w:r>
        <w:rPr>
          <w:rStyle w:val="StyleUnderline"/>
        </w:rPr>
        <w:t xml:space="preserve"> </w:t>
      </w:r>
      <w:r w:rsidRPr="00014408">
        <w:rPr>
          <w:rStyle w:val="StyleUnderline"/>
        </w:rPr>
        <w:t>being and asking ourselves of the ways our personhood might be delineated not by self-</w:t>
      </w:r>
      <w:r>
        <w:rPr>
          <w:rStyle w:val="StyleUnderline"/>
        </w:rPr>
        <w:t xml:space="preserve"> </w:t>
      </w:r>
      <w:r w:rsidRPr="00014408">
        <w:rPr>
          <w:rStyle w:val="StyleUnderline"/>
        </w:rPr>
        <w:t xml:space="preserve">possession but by the ethical and moral responsibilities of existing </w:t>
      </w:r>
      <w:r w:rsidRPr="006911DE">
        <w:rPr>
          <w:rStyle w:val="StyleUnderline"/>
        </w:rPr>
        <w:t>as part of a community. This is to ask how a more meaningful subjectivity might not be defined by what we have but by the way the very proprietary boundaries of the self, the boundaries that make sense of having, are continually undone in our relations with others.</w:t>
      </w:r>
    </w:p>
    <w:p w14:paraId="14D8F3D0" w14:textId="2833D357" w:rsidR="00511E26" w:rsidRDefault="00511E26" w:rsidP="006A4805">
      <w:pPr>
        <w:pStyle w:val="Heading3"/>
      </w:pPr>
      <w:r>
        <w:t>Endless War</w:t>
      </w:r>
    </w:p>
    <w:p w14:paraId="206B3997" w14:textId="77777777" w:rsidR="00511E26" w:rsidRPr="0029045F" w:rsidRDefault="00511E26" w:rsidP="00511E26">
      <w:pPr>
        <w:pStyle w:val="Heading4"/>
      </w:pPr>
      <w:r w:rsidRPr="0029045F">
        <w:t>Yes, endless war!</w:t>
      </w:r>
    </w:p>
    <w:p w14:paraId="4C8D1E89" w14:textId="77777777" w:rsidR="00511E26" w:rsidRPr="0029045F" w:rsidRDefault="00511E26" w:rsidP="00511E26">
      <w:r w:rsidRPr="0029045F">
        <w:rPr>
          <w:rStyle w:val="Style13ptBold"/>
        </w:rPr>
        <w:t>Bandow, 11-19</w:t>
      </w:r>
      <w:r w:rsidRPr="0029045F">
        <w:t xml:space="preserve">—truly a jack of all trades (Doug, “Endless War Is No Honor to America's Veterans,” </w:t>
      </w:r>
      <w:hyperlink r:id="rId10" w:history="1">
        <w:r w:rsidRPr="0029045F">
          <w:rPr>
            <w:rStyle w:val="Hyperlink"/>
          </w:rPr>
          <w:t>http://nationalinterest.org/blog/the-skeptics/endless-war-no-honor-americas-veterans-23261?page=show</w:t>
        </w:r>
      </w:hyperlink>
      <w:r w:rsidRPr="0029045F">
        <w:t>, dml)</w:t>
      </w:r>
    </w:p>
    <w:p w14:paraId="5CD94EF3" w14:textId="77777777" w:rsidR="00511E26" w:rsidRPr="0029045F" w:rsidRDefault="00511E26" w:rsidP="00511E26"/>
    <w:p w14:paraId="17B6B0AC" w14:textId="77777777" w:rsidR="00511E26" w:rsidRPr="0029045F" w:rsidRDefault="00511E26" w:rsidP="00511E26">
      <w:pPr>
        <w:rPr>
          <w:sz w:val="16"/>
        </w:rPr>
      </w:pPr>
      <w:r w:rsidRPr="0029045F">
        <w:rPr>
          <w:sz w:val="16"/>
        </w:rPr>
        <w:t xml:space="preserve">Yet </w:t>
      </w:r>
      <w:r w:rsidRPr="0029045F">
        <w:rPr>
          <w:rStyle w:val="StyleUnderline"/>
        </w:rPr>
        <w:t xml:space="preserve">the United States is </w:t>
      </w:r>
      <w:r w:rsidRPr="0029045F">
        <w:rPr>
          <w:rStyle w:val="Emphasis"/>
        </w:rPr>
        <w:t>constantly at war</w:t>
      </w:r>
      <w:r w:rsidRPr="0029045F">
        <w:rPr>
          <w:rStyle w:val="StyleUnderline"/>
        </w:rPr>
        <w:t xml:space="preserve">, and in </w:t>
      </w:r>
      <w:r w:rsidRPr="0029045F">
        <w:rPr>
          <w:rStyle w:val="Emphasis"/>
        </w:rPr>
        <w:t>far more nations</w:t>
      </w:r>
      <w:r w:rsidRPr="0029045F">
        <w:rPr>
          <w:rStyle w:val="StyleUnderline"/>
        </w:rPr>
        <w:t xml:space="preserve"> than most Americans realize. Combat in Afghanistan is </w:t>
      </w:r>
      <w:r w:rsidRPr="0029045F">
        <w:rPr>
          <w:rStyle w:val="Emphasis"/>
        </w:rPr>
        <w:t>entering its seventeenth year</w:t>
      </w:r>
      <w:r w:rsidRPr="0029045F">
        <w:rPr>
          <w:rStyle w:val="StyleUnderline"/>
        </w:rPr>
        <w:t xml:space="preserve">. U.S. personnel are </w:t>
      </w:r>
      <w:r w:rsidRPr="0029045F">
        <w:rPr>
          <w:rStyle w:val="Emphasis"/>
        </w:rPr>
        <w:t>back in Iraq</w:t>
      </w:r>
      <w:r w:rsidRPr="0029045F">
        <w:rPr>
          <w:rStyle w:val="StyleUnderline"/>
        </w:rPr>
        <w:t xml:space="preserve">. They are </w:t>
      </w:r>
      <w:r w:rsidRPr="0029045F">
        <w:rPr>
          <w:rStyle w:val="Emphasis"/>
        </w:rPr>
        <w:t>fighting in Syria</w:t>
      </w:r>
      <w:r w:rsidRPr="0029045F">
        <w:rPr>
          <w:rStyle w:val="StyleUnderline"/>
        </w:rPr>
        <w:t xml:space="preserve">, the </w:t>
      </w:r>
      <w:r w:rsidRPr="0029045F">
        <w:rPr>
          <w:rStyle w:val="Emphasis"/>
        </w:rPr>
        <w:t>Philippines</w:t>
      </w:r>
      <w:r w:rsidRPr="0029045F">
        <w:rPr>
          <w:rStyle w:val="StyleUnderline"/>
        </w:rPr>
        <w:t xml:space="preserve"> and </w:t>
      </w:r>
      <w:r w:rsidRPr="0029045F">
        <w:rPr>
          <w:rStyle w:val="Emphasis"/>
        </w:rPr>
        <w:t>across Africa</w:t>
      </w:r>
      <w:r w:rsidRPr="0029045F">
        <w:rPr>
          <w:rStyle w:val="StyleUnderline"/>
        </w:rPr>
        <w:t xml:space="preserve">, including </w:t>
      </w:r>
      <w:r w:rsidRPr="0029045F">
        <w:rPr>
          <w:rStyle w:val="Emphasis"/>
        </w:rPr>
        <w:t>Niger</w:t>
      </w:r>
      <w:r w:rsidRPr="0029045F">
        <w:rPr>
          <w:sz w:val="16"/>
        </w:rPr>
        <w:t xml:space="preserve">, where four American servicemen recently died. </w:t>
      </w:r>
      <w:r w:rsidRPr="0029045F">
        <w:rPr>
          <w:rStyle w:val="Emphasis"/>
        </w:rPr>
        <w:t>Drone campaigns</w:t>
      </w:r>
      <w:r w:rsidRPr="0029045F">
        <w:rPr>
          <w:rStyle w:val="StyleUnderline"/>
        </w:rPr>
        <w:t xml:space="preserve"> and </w:t>
      </w:r>
      <w:r w:rsidRPr="0029045F">
        <w:rPr>
          <w:rStyle w:val="Emphasis"/>
        </w:rPr>
        <w:t>special operations forces</w:t>
      </w:r>
      <w:r w:rsidRPr="0029045F">
        <w:rPr>
          <w:rStyle w:val="StyleUnderline"/>
        </w:rPr>
        <w:t xml:space="preserve"> have been particularly active in </w:t>
      </w:r>
      <w:r w:rsidRPr="0029045F">
        <w:rPr>
          <w:rStyle w:val="Emphasis"/>
        </w:rPr>
        <w:t>Pakistan</w:t>
      </w:r>
      <w:r w:rsidRPr="0029045F">
        <w:rPr>
          <w:rStyle w:val="StyleUnderline"/>
        </w:rPr>
        <w:t xml:space="preserve">, </w:t>
      </w:r>
      <w:r w:rsidRPr="0029045F">
        <w:rPr>
          <w:rStyle w:val="Emphasis"/>
        </w:rPr>
        <w:t>Somalia</w:t>
      </w:r>
      <w:r w:rsidRPr="0029045F">
        <w:rPr>
          <w:rStyle w:val="StyleUnderline"/>
        </w:rPr>
        <w:t xml:space="preserve"> and </w:t>
      </w:r>
      <w:r w:rsidRPr="0029045F">
        <w:rPr>
          <w:rStyle w:val="Emphasis"/>
        </w:rPr>
        <w:t>Yemen</w:t>
      </w:r>
      <w:r w:rsidRPr="0029045F">
        <w:rPr>
          <w:sz w:val="16"/>
        </w:rPr>
        <w:t xml:space="preserve">. As noted earlier, </w:t>
      </w:r>
      <w:r w:rsidRPr="0029045F">
        <w:rPr>
          <w:rStyle w:val="StyleUnderline"/>
        </w:rPr>
        <w:t xml:space="preserve">the United States is also </w:t>
      </w:r>
      <w:r w:rsidRPr="0029045F">
        <w:rPr>
          <w:rStyle w:val="Emphasis"/>
        </w:rPr>
        <w:t>underwriting Saudi Arabia’s aggressive war</w:t>
      </w:r>
      <w:r w:rsidRPr="0029045F">
        <w:rPr>
          <w:rStyle w:val="StyleUnderline"/>
        </w:rPr>
        <w:t xml:space="preserve"> against Yemen</w:t>
      </w:r>
      <w:r w:rsidRPr="0029045F">
        <w:rPr>
          <w:sz w:val="16"/>
        </w:rPr>
        <w:t xml:space="preserve">. Worse, </w:t>
      </w:r>
      <w:r w:rsidRPr="0029045F">
        <w:rPr>
          <w:rStyle w:val="StyleUnderline"/>
        </w:rPr>
        <w:t xml:space="preserve">Washington is </w:t>
      </w:r>
      <w:r w:rsidRPr="0029045F">
        <w:rPr>
          <w:rStyle w:val="Emphasis"/>
        </w:rPr>
        <w:t>prepared to battle China</w:t>
      </w:r>
      <w:r w:rsidRPr="0029045F">
        <w:rPr>
          <w:rStyle w:val="StyleUnderline"/>
        </w:rPr>
        <w:t xml:space="preserve">, </w:t>
      </w:r>
      <w:r w:rsidRPr="0029045F">
        <w:rPr>
          <w:rStyle w:val="Emphasis"/>
        </w:rPr>
        <w:t>Russia</w:t>
      </w:r>
      <w:r w:rsidRPr="0029045F">
        <w:rPr>
          <w:rStyle w:val="StyleUnderline"/>
        </w:rPr>
        <w:t xml:space="preserve"> and </w:t>
      </w:r>
      <w:r w:rsidRPr="0029045F">
        <w:rPr>
          <w:rStyle w:val="Emphasis"/>
        </w:rPr>
        <w:t>North Korea</w:t>
      </w:r>
      <w:r w:rsidRPr="0029045F">
        <w:rPr>
          <w:rStyle w:val="StyleUnderline"/>
        </w:rPr>
        <w:t xml:space="preserve"> to defend prosperous and populous allies</w:t>
      </w:r>
      <w:r w:rsidRPr="0029045F">
        <w:rPr>
          <w:sz w:val="16"/>
        </w:rPr>
        <w:t>, which could defend themselves.</w:t>
      </w:r>
    </w:p>
    <w:p w14:paraId="56A47BA4" w14:textId="77777777" w:rsidR="00511E26" w:rsidRPr="0029045F" w:rsidRDefault="00511E26" w:rsidP="00511E26">
      <w:pPr>
        <w:rPr>
          <w:sz w:val="16"/>
        </w:rPr>
      </w:pPr>
      <w:r w:rsidRPr="0029045F">
        <w:rPr>
          <w:sz w:val="16"/>
        </w:rPr>
        <w:t>Perha</w:t>
      </w:r>
      <w:r w:rsidRPr="0029045F">
        <w:rPr>
          <w:sz w:val="16"/>
          <w:szCs w:val="16"/>
        </w:rPr>
        <w:t>ps most striking is how few of America’s “big wars” are justifiable</w:t>
      </w:r>
      <w:r w:rsidRPr="0029045F">
        <w:rPr>
          <w:sz w:val="16"/>
        </w:rPr>
        <w:t>. Most were conflicts of choice undermining rather than sustaining American liberties. The revolution created the nation. But while Washington was justified in defending itself from Great Britain in the War of 1812, the most serious casus belli, an attack on an American warship, took place years before. In 1812, war fever mostly reflected the desire to annex Britain’s Canadian possessions.</w:t>
      </w:r>
    </w:p>
    <w:p w14:paraId="7F283584" w14:textId="77777777" w:rsidR="00511E26" w:rsidRPr="0029045F" w:rsidRDefault="00511E26" w:rsidP="00511E26">
      <w:pPr>
        <w:rPr>
          <w:sz w:val="16"/>
        </w:rPr>
      </w:pPr>
      <w:r w:rsidRPr="0029045F">
        <w:rPr>
          <w:rStyle w:val="StyleUnderline"/>
        </w:rPr>
        <w:t xml:space="preserve">The Mexican-American War was an </w:t>
      </w:r>
      <w:r w:rsidRPr="0029045F">
        <w:rPr>
          <w:rStyle w:val="Emphasis"/>
        </w:rPr>
        <w:t>imperialistic bonanza</w:t>
      </w:r>
      <w:r w:rsidRPr="0029045F">
        <w:rPr>
          <w:sz w:val="16"/>
        </w:rPr>
        <w:t xml:space="preserve">, in which Washington used a dubious territorial claim as an excuse to seize half of its neighbor. Some U.S. officials desired to take the whole nation. </w:t>
      </w:r>
      <w:r w:rsidRPr="0029045F">
        <w:rPr>
          <w:rStyle w:val="StyleUnderline"/>
        </w:rPr>
        <w:t xml:space="preserve">The Spanish-American War was </w:t>
      </w:r>
      <w:r w:rsidRPr="0029045F">
        <w:rPr>
          <w:rStyle w:val="Emphasis"/>
        </w:rPr>
        <w:t>equally misguided</w:t>
      </w:r>
      <w:r w:rsidRPr="0029045F">
        <w:rPr>
          <w:rStyle w:val="StyleUnderline"/>
        </w:rPr>
        <w:t xml:space="preserve">: Spain brutalized its colony of Cuba, but </w:t>
      </w:r>
      <w:r w:rsidRPr="0029045F">
        <w:rPr>
          <w:rStyle w:val="Emphasis"/>
        </w:rPr>
        <w:t>no worse than Americans treated their native population</w:t>
      </w:r>
      <w:r w:rsidRPr="0029045F">
        <w:rPr>
          <w:sz w:val="16"/>
        </w:rPr>
        <w:t xml:space="preserve">. Moreover, </w:t>
      </w:r>
      <w:r w:rsidRPr="0029045F">
        <w:rPr>
          <w:rStyle w:val="StyleUnderline"/>
        </w:rPr>
        <w:t xml:space="preserve">Washington </w:t>
      </w:r>
      <w:r w:rsidRPr="0029045F">
        <w:rPr>
          <w:rStyle w:val="Emphasis"/>
        </w:rPr>
        <w:t>seized the Philippines</w:t>
      </w:r>
      <w:r w:rsidRPr="0029045F">
        <w:rPr>
          <w:rStyle w:val="StyleUnderline"/>
        </w:rPr>
        <w:t xml:space="preserve"> as well, even though it had nothing to do with the initial dispute. The United States suppressed an indigenous independence movement with </w:t>
      </w:r>
      <w:r w:rsidRPr="0029045F">
        <w:rPr>
          <w:rStyle w:val="Emphasis"/>
        </w:rPr>
        <w:t>enormous brutality</w:t>
      </w:r>
      <w:r w:rsidRPr="0029045F">
        <w:rPr>
          <w:sz w:val="16"/>
        </w:rPr>
        <w:t>; some two hundred thousand Filipinos died in the process.</w:t>
      </w:r>
    </w:p>
    <w:p w14:paraId="4499FB38" w14:textId="77777777" w:rsidR="00511E26" w:rsidRPr="0029045F" w:rsidRDefault="00511E26" w:rsidP="00511E26">
      <w:pPr>
        <w:rPr>
          <w:sz w:val="16"/>
        </w:rPr>
      </w:pPr>
      <w:r w:rsidRPr="0029045F">
        <w:rPr>
          <w:rStyle w:val="StyleUnderline"/>
        </w:rPr>
        <w:t xml:space="preserve">World War I was a </w:t>
      </w:r>
      <w:r w:rsidRPr="0029045F">
        <w:rPr>
          <w:rStyle w:val="Emphasis"/>
        </w:rPr>
        <w:t>foolish</w:t>
      </w:r>
      <w:r w:rsidRPr="0029045F">
        <w:rPr>
          <w:rStyle w:val="StyleUnderline"/>
        </w:rPr>
        <w:t xml:space="preserve">, </w:t>
      </w:r>
      <w:r w:rsidRPr="0029045F">
        <w:rPr>
          <w:rStyle w:val="Emphasis"/>
        </w:rPr>
        <w:t>unnecessary war</w:t>
      </w:r>
      <w:r w:rsidRPr="0029045F">
        <w:rPr>
          <w:sz w:val="16"/>
        </w:rPr>
        <w:t xml:space="preserve">. Washington joined with the so-called Entente, which included the anti-Semitic despotism of the Russian Empire, and defended Serbia, whose murderous rulers triggered the conflict by engaging in an act of state terrorism. Aiding them did nothing to “make the world safe for democracy.” Rather, President Woodrow </w:t>
      </w:r>
      <w:r w:rsidRPr="0029045F">
        <w:rPr>
          <w:rStyle w:val="StyleUnderline"/>
        </w:rPr>
        <w:t xml:space="preserve">Wilson imagined himself </w:t>
      </w:r>
      <w:r w:rsidRPr="0029045F">
        <w:rPr>
          <w:rStyle w:val="Emphasis"/>
        </w:rPr>
        <w:t>anointed from on high to remake the globe</w:t>
      </w:r>
      <w:r w:rsidRPr="0029045F">
        <w:rPr>
          <w:sz w:val="16"/>
        </w:rPr>
        <w:t>.</w:t>
      </w:r>
    </w:p>
    <w:p w14:paraId="62476D55" w14:textId="77777777" w:rsidR="00511E26" w:rsidRPr="0029045F" w:rsidRDefault="00511E26" w:rsidP="00511E26">
      <w:pPr>
        <w:rPr>
          <w:rStyle w:val="StyleUnderline"/>
        </w:rPr>
      </w:pPr>
      <w:r w:rsidRPr="0029045F">
        <w:rPr>
          <w:sz w:val="16"/>
        </w:rPr>
        <w:t xml:space="preserve">Alas, </w:t>
      </w:r>
      <w:r w:rsidRPr="0029045F">
        <w:rPr>
          <w:rStyle w:val="StyleUnderline"/>
        </w:rPr>
        <w:t xml:space="preserve">World War II was the </w:t>
      </w:r>
      <w:r w:rsidRPr="0029045F">
        <w:rPr>
          <w:rStyle w:val="Emphasis"/>
        </w:rPr>
        <w:t>inevitable result</w:t>
      </w:r>
      <w:r w:rsidRPr="0029045F">
        <w:rPr>
          <w:sz w:val="16"/>
        </w:rPr>
        <w:t xml:space="preserve"> of Wilson’s folly, the unfinished business from the so-called Great War. </w:t>
      </w:r>
      <w:r w:rsidRPr="0029045F">
        <w:rPr>
          <w:rStyle w:val="StyleUnderline"/>
        </w:rPr>
        <w:t xml:space="preserve">World War II is usually considered the “good war,” with </w:t>
      </w:r>
      <w:r w:rsidRPr="0029045F">
        <w:rPr>
          <w:rStyle w:val="Emphasis"/>
        </w:rPr>
        <w:t>clear</w:t>
      </w:r>
      <w:r w:rsidRPr="0029045F">
        <w:rPr>
          <w:rStyle w:val="StyleUnderline"/>
        </w:rPr>
        <w:t xml:space="preserve"> and </w:t>
      </w:r>
      <w:r w:rsidRPr="0029045F">
        <w:rPr>
          <w:rStyle w:val="Emphasis"/>
        </w:rPr>
        <w:t>evil enemies</w:t>
      </w:r>
      <w:r w:rsidRPr="0029045F">
        <w:rPr>
          <w:rStyle w:val="StyleUnderline"/>
        </w:rPr>
        <w:t xml:space="preserve">. But it </w:t>
      </w:r>
      <w:r w:rsidRPr="0029045F">
        <w:rPr>
          <w:rStyle w:val="Emphasis"/>
        </w:rPr>
        <w:t>likely would not have occurred</w:t>
      </w:r>
      <w:r w:rsidRPr="0029045F">
        <w:rPr>
          <w:rStyle w:val="StyleUnderline"/>
        </w:rPr>
        <w:t xml:space="preserve"> had the United States not </w:t>
      </w:r>
      <w:r w:rsidRPr="0029045F">
        <w:rPr>
          <w:rStyle w:val="Emphasis"/>
        </w:rPr>
        <w:t>previously unbalanced</w:t>
      </w:r>
      <w:r w:rsidRPr="0029045F">
        <w:rPr>
          <w:rStyle w:val="StyleUnderline"/>
        </w:rPr>
        <w:t xml:space="preserve"> the European balance of power and promoted an unsustainable “settlement,” which broke down almost immediately.</w:t>
      </w:r>
    </w:p>
    <w:p w14:paraId="693A357C" w14:textId="77777777" w:rsidR="00511E26" w:rsidRPr="0029045F" w:rsidRDefault="00511E26" w:rsidP="00511E26">
      <w:pPr>
        <w:rPr>
          <w:sz w:val="16"/>
        </w:rPr>
      </w:pPr>
      <w:r w:rsidRPr="0029045F">
        <w:rPr>
          <w:sz w:val="16"/>
        </w:rPr>
        <w:t>In the Korean War, Washington had little choice but to intervene, having helped set up the conflict; the Cold War context made the heretofore irrelevant peninsula important to U.S. security. But not Vietnam. Washington took over from the French colonial empire and fought an extended war in an area of no great geopolitical significance to America. The conflict’s end demonstrated that the battle was unnecessary. The dominoes ultimately fell, but stopped with Laos and Cambodia. A decade later, Vietnam was seeking to improve relations with America as a counterweight to China, with which it fought a short war.</w:t>
      </w:r>
    </w:p>
    <w:p w14:paraId="7922CD8E" w14:textId="77777777" w:rsidR="00511E26" w:rsidRPr="0029045F" w:rsidRDefault="00511E26" w:rsidP="00511E26">
      <w:pPr>
        <w:rPr>
          <w:sz w:val="16"/>
        </w:rPr>
      </w:pPr>
      <w:r w:rsidRPr="0029045F">
        <w:rPr>
          <w:sz w:val="16"/>
        </w:rPr>
        <w:t>Ronald Reagan used the military sparingly. His intervention in Lebanon’s civil war was folly, which he recognized after the attacks on the U.S. embassy and Marine Corps barracks. Grenada provided attractive visuals of American medical students arriving home, but mattered little for U.S. security.</w:t>
      </w:r>
    </w:p>
    <w:p w14:paraId="4734B5EC" w14:textId="77777777" w:rsidR="00511E26" w:rsidRPr="0029045F" w:rsidRDefault="00511E26" w:rsidP="00511E26">
      <w:pPr>
        <w:rPr>
          <w:sz w:val="16"/>
        </w:rPr>
      </w:pPr>
      <w:r w:rsidRPr="0029045F">
        <w:rPr>
          <w:rStyle w:val="StyleUnderline"/>
        </w:rPr>
        <w:t>Most of Washington’s “</w:t>
      </w:r>
      <w:r w:rsidRPr="0029045F">
        <w:rPr>
          <w:rStyle w:val="Emphasis"/>
        </w:rPr>
        <w:t>little wars</w:t>
      </w:r>
      <w:r w:rsidRPr="0029045F">
        <w:rPr>
          <w:rStyle w:val="StyleUnderline"/>
        </w:rPr>
        <w:t>”</w:t>
      </w:r>
      <w:r w:rsidRPr="0029045F">
        <w:rPr>
          <w:sz w:val="16"/>
        </w:rPr>
        <w:t xml:space="preserve"> after the Cold War </w:t>
      </w:r>
      <w:r w:rsidRPr="0029045F">
        <w:rPr>
          <w:rStyle w:val="Emphasis"/>
        </w:rPr>
        <w:t>did not make America safer</w:t>
      </w:r>
      <w:r w:rsidRPr="0029045F">
        <w:rPr>
          <w:rStyle w:val="StyleUnderline"/>
        </w:rPr>
        <w:t>. Ousting</w:t>
      </w:r>
      <w:r w:rsidRPr="0029045F">
        <w:rPr>
          <w:sz w:val="16"/>
        </w:rPr>
        <w:t xml:space="preserve"> Panama’s Manuel </w:t>
      </w:r>
      <w:r w:rsidRPr="0029045F">
        <w:rPr>
          <w:rStyle w:val="Emphasis"/>
        </w:rPr>
        <w:t>Noriega</w:t>
      </w:r>
      <w:r w:rsidRPr="0029045F">
        <w:rPr>
          <w:rStyle w:val="StyleUnderline"/>
        </w:rPr>
        <w:t xml:space="preserve">, forcing out the </w:t>
      </w:r>
      <w:r w:rsidRPr="0029045F">
        <w:rPr>
          <w:rStyle w:val="Emphasis"/>
        </w:rPr>
        <w:t>Haitian military junta</w:t>
      </w:r>
      <w:r w:rsidRPr="0029045F">
        <w:rPr>
          <w:rStyle w:val="StyleUnderline"/>
        </w:rPr>
        <w:t xml:space="preserve">, intervening in the </w:t>
      </w:r>
      <w:r w:rsidRPr="0029045F">
        <w:rPr>
          <w:rStyle w:val="Emphasis"/>
        </w:rPr>
        <w:t>Bosnian civil war</w:t>
      </w:r>
      <w:r w:rsidRPr="0029045F">
        <w:rPr>
          <w:rStyle w:val="StyleUnderline"/>
        </w:rPr>
        <w:t xml:space="preserve">, dismantling </w:t>
      </w:r>
      <w:r w:rsidRPr="0029045F">
        <w:rPr>
          <w:rStyle w:val="Emphasis"/>
        </w:rPr>
        <w:t>Serbia</w:t>
      </w:r>
      <w:r w:rsidRPr="0029045F">
        <w:rPr>
          <w:rStyle w:val="StyleUnderline"/>
        </w:rPr>
        <w:t xml:space="preserve"> and tracking down warlords in </w:t>
      </w:r>
      <w:r w:rsidRPr="0029045F">
        <w:rPr>
          <w:rStyle w:val="Emphasis"/>
        </w:rPr>
        <w:t>Somalia</w:t>
      </w:r>
      <w:r w:rsidRPr="0029045F">
        <w:rPr>
          <w:rStyle w:val="StyleUnderline"/>
        </w:rPr>
        <w:t xml:space="preserve"> were essentially international social work</w:t>
      </w:r>
      <w:r w:rsidRPr="0029045F">
        <w:rPr>
          <w:sz w:val="16"/>
        </w:rPr>
        <w:t>. At least the first Gulf War was limited in scope and effect, though Washington’s previous support for Saddam Hussein’s dictatorship, most notably his war of aggression against Iran, likely confused him about America’s intentions.</w:t>
      </w:r>
    </w:p>
    <w:p w14:paraId="4C3409F5" w14:textId="77777777" w:rsidR="00511E26" w:rsidRPr="0029045F" w:rsidRDefault="00511E26" w:rsidP="00511E26">
      <w:pPr>
        <w:rPr>
          <w:sz w:val="16"/>
        </w:rPr>
      </w:pPr>
      <w:r w:rsidRPr="0029045F">
        <w:rPr>
          <w:sz w:val="16"/>
        </w:rPr>
        <w:t xml:space="preserve">George W. </w:t>
      </w:r>
      <w:r w:rsidRPr="0029045F">
        <w:rPr>
          <w:rStyle w:val="StyleUnderline"/>
        </w:rPr>
        <w:t xml:space="preserve">Bush’s invasion of Iraq was </w:t>
      </w:r>
      <w:r w:rsidRPr="0029045F">
        <w:rPr>
          <w:rStyle w:val="Emphasis"/>
        </w:rPr>
        <w:t>catastrophically foolhardy</w:t>
      </w:r>
      <w:r w:rsidRPr="0029045F">
        <w:rPr>
          <w:sz w:val="16"/>
        </w:rPr>
        <w:t xml:space="preserve">, spreading sectarian war, victimizing religious minorities, expanding Iran’s influence and setting loose vicious Islamist forces, which morphed into the Islamic State. Presidents </w:t>
      </w:r>
      <w:r w:rsidRPr="0029045F">
        <w:rPr>
          <w:rStyle w:val="StyleUnderline"/>
        </w:rPr>
        <w:t xml:space="preserve">Bush, Obama and Trump each took a mission that started as destroying the terrorist group that attacked Americans at home and turned it into an </w:t>
      </w:r>
      <w:r w:rsidRPr="0029045F">
        <w:rPr>
          <w:rStyle w:val="Emphasis"/>
        </w:rPr>
        <w:t>interminable nation-building mission</w:t>
      </w:r>
      <w:r w:rsidRPr="0029045F">
        <w:rPr>
          <w:rStyle w:val="StyleUnderline"/>
        </w:rPr>
        <w:t xml:space="preserve"> that has become a </w:t>
      </w:r>
      <w:r w:rsidRPr="0029045F">
        <w:rPr>
          <w:rStyle w:val="Emphasis"/>
        </w:rPr>
        <w:t>black hole</w:t>
      </w:r>
      <w:r w:rsidRPr="0029045F">
        <w:rPr>
          <w:sz w:val="16"/>
        </w:rPr>
        <w:t xml:space="preserve"> for U.S. lives and resources. President </w:t>
      </w:r>
      <w:r w:rsidRPr="0029045F">
        <w:rPr>
          <w:rStyle w:val="StyleUnderline"/>
        </w:rPr>
        <w:t xml:space="preserve">Obama initiated his own war in </w:t>
      </w:r>
      <w:r w:rsidRPr="0029045F">
        <w:rPr>
          <w:rStyle w:val="Emphasis"/>
        </w:rPr>
        <w:t>Libya</w:t>
      </w:r>
      <w:r w:rsidRPr="0029045F">
        <w:rPr>
          <w:rStyle w:val="StyleUnderline"/>
        </w:rPr>
        <w:t xml:space="preserve">, which he refused to call by that name. The resulting violent overflow </w:t>
      </w:r>
      <w:r w:rsidRPr="0029045F">
        <w:rPr>
          <w:rStyle w:val="Emphasis"/>
        </w:rPr>
        <w:t>inflamed conflict in neighboring countries</w:t>
      </w:r>
      <w:r w:rsidRPr="0029045F">
        <w:rPr>
          <w:rStyle w:val="StyleUnderline"/>
        </w:rPr>
        <w:t xml:space="preserve"> such as </w:t>
      </w:r>
      <w:r w:rsidRPr="0029045F">
        <w:rPr>
          <w:rStyle w:val="Emphasis"/>
        </w:rPr>
        <w:t>Chad</w:t>
      </w:r>
      <w:r w:rsidRPr="0029045F">
        <w:rPr>
          <w:rStyle w:val="StyleUnderline"/>
        </w:rPr>
        <w:t xml:space="preserve"> and </w:t>
      </w:r>
      <w:r w:rsidRPr="0029045F">
        <w:rPr>
          <w:rStyle w:val="Emphasis"/>
        </w:rPr>
        <w:t>Niger</w:t>
      </w:r>
      <w:r w:rsidRPr="0029045F">
        <w:rPr>
          <w:sz w:val="16"/>
        </w:rPr>
        <w:t>.</w:t>
      </w:r>
    </w:p>
    <w:p w14:paraId="036ED313" w14:textId="77777777" w:rsidR="00511E26" w:rsidRPr="0029045F" w:rsidRDefault="00511E26" w:rsidP="00511E26">
      <w:pPr>
        <w:rPr>
          <w:sz w:val="16"/>
        </w:rPr>
      </w:pPr>
      <w:r w:rsidRPr="0029045F">
        <w:rPr>
          <w:rStyle w:val="StyleUnderline"/>
        </w:rPr>
        <w:t xml:space="preserve">Why this </w:t>
      </w:r>
      <w:r w:rsidRPr="0029045F">
        <w:rPr>
          <w:rStyle w:val="Emphasis"/>
        </w:rPr>
        <w:t>enthusiasm</w:t>
      </w:r>
      <w:r w:rsidRPr="0029045F">
        <w:rPr>
          <w:rStyle w:val="StyleUnderline"/>
        </w:rPr>
        <w:t xml:space="preserve">, even </w:t>
      </w:r>
      <w:r w:rsidRPr="0029045F">
        <w:rPr>
          <w:rStyle w:val="Emphasis"/>
        </w:rPr>
        <w:t>addiction to war</w:t>
      </w:r>
      <w:r w:rsidRPr="0029045F">
        <w:rPr>
          <w:rStyle w:val="StyleUnderline"/>
        </w:rPr>
        <w:t>?</w:t>
      </w:r>
      <w:r w:rsidRPr="0029045F">
        <w:rPr>
          <w:sz w:val="16"/>
        </w:rPr>
        <w:t xml:space="preserve"> The dominance of U.S. foreign policy by elites ever ready to sacrifice their countrymen’s lives is one factor. Indeed, </w:t>
      </w:r>
      <w:r w:rsidRPr="0029045F">
        <w:rPr>
          <w:rStyle w:val="StyleUnderline"/>
        </w:rPr>
        <w:t xml:space="preserve">the bipartisan commitment to intervene </w:t>
      </w:r>
      <w:r w:rsidRPr="0029045F">
        <w:rPr>
          <w:rStyle w:val="Emphasis"/>
        </w:rPr>
        <w:t>survived President Trump</w:t>
      </w:r>
      <w:r w:rsidRPr="0029045F">
        <w:rPr>
          <w:rStyle w:val="StyleUnderline"/>
        </w:rPr>
        <w:t>, who had criticized</w:t>
      </w:r>
      <w:r w:rsidRPr="0029045F">
        <w:rPr>
          <w:sz w:val="16"/>
        </w:rPr>
        <w:t xml:space="preserve"> Hillary </w:t>
      </w:r>
      <w:r w:rsidRPr="0029045F">
        <w:rPr>
          <w:rStyle w:val="StyleUnderline"/>
        </w:rPr>
        <w:t>Clinton’s proclivity for war</w:t>
      </w:r>
      <w:r w:rsidRPr="0029045F">
        <w:rPr>
          <w:sz w:val="16"/>
        </w:rPr>
        <w:t xml:space="preserve">, said the United States should not have invaded Iraq, blasted subsidies for wealthy allies, called Afghanistan “a total and complete disaster” and more. </w:t>
      </w:r>
      <w:r w:rsidRPr="0029045F">
        <w:rPr>
          <w:rStyle w:val="Emphasis"/>
        </w:rPr>
        <w:t>In practice</w:t>
      </w:r>
      <w:r w:rsidRPr="0029045F">
        <w:rPr>
          <w:rStyle w:val="StyleUnderline"/>
        </w:rPr>
        <w:t xml:space="preserve">, </w:t>
      </w:r>
      <w:r w:rsidRPr="0029045F">
        <w:rPr>
          <w:rStyle w:val="Emphasis"/>
        </w:rPr>
        <w:t>little has changed</w:t>
      </w:r>
      <w:r w:rsidRPr="0029045F">
        <w:rPr>
          <w:rStyle w:val="StyleUnderline"/>
        </w:rPr>
        <w:t xml:space="preserve">. </w:t>
      </w:r>
      <w:r w:rsidRPr="0029045F">
        <w:rPr>
          <w:rStyle w:val="Emphasis"/>
        </w:rPr>
        <w:t>More troops</w:t>
      </w:r>
      <w:r w:rsidRPr="0029045F">
        <w:rPr>
          <w:rStyle w:val="StyleUnderline"/>
        </w:rPr>
        <w:t xml:space="preserve"> have gone to </w:t>
      </w:r>
      <w:r w:rsidRPr="0029045F">
        <w:rPr>
          <w:rStyle w:val="Emphasis"/>
        </w:rPr>
        <w:t>Afghanistan</w:t>
      </w:r>
      <w:r w:rsidRPr="0029045F">
        <w:rPr>
          <w:rStyle w:val="StyleUnderline"/>
        </w:rPr>
        <w:t xml:space="preserve">, </w:t>
      </w:r>
      <w:r w:rsidRPr="0029045F">
        <w:rPr>
          <w:rStyle w:val="Emphasis"/>
        </w:rPr>
        <w:t>Iraq</w:t>
      </w:r>
      <w:r w:rsidRPr="0029045F">
        <w:rPr>
          <w:rStyle w:val="StyleUnderline"/>
        </w:rPr>
        <w:t xml:space="preserve"> and </w:t>
      </w:r>
      <w:r w:rsidRPr="0029045F">
        <w:rPr>
          <w:rStyle w:val="Emphasis"/>
        </w:rPr>
        <w:t>Syria</w:t>
      </w:r>
      <w:r w:rsidRPr="0029045F">
        <w:rPr>
          <w:rStyle w:val="StyleUnderline"/>
        </w:rPr>
        <w:t xml:space="preserve"> on this president’s watch. The </w:t>
      </w:r>
      <w:r w:rsidRPr="0029045F">
        <w:rPr>
          <w:rStyle w:val="Emphasis"/>
        </w:rPr>
        <w:t>blank check</w:t>
      </w:r>
      <w:r w:rsidRPr="0029045F">
        <w:rPr>
          <w:rStyle w:val="StyleUnderline"/>
        </w:rPr>
        <w:t xml:space="preserve"> for Saudi Arabia has </w:t>
      </w:r>
      <w:r w:rsidRPr="0029045F">
        <w:rPr>
          <w:rStyle w:val="Emphasis"/>
        </w:rPr>
        <w:t>gotten bigger</w:t>
      </w:r>
      <w:r w:rsidRPr="0029045F">
        <w:rPr>
          <w:rStyle w:val="StyleUnderline"/>
        </w:rPr>
        <w:t xml:space="preserve">. He is </w:t>
      </w:r>
      <w:r w:rsidRPr="0029045F">
        <w:rPr>
          <w:rStyle w:val="Emphasis"/>
        </w:rPr>
        <w:t>threatening war against North Korea</w:t>
      </w:r>
      <w:r w:rsidRPr="0029045F">
        <w:rPr>
          <w:rStyle w:val="StyleUnderline"/>
        </w:rPr>
        <w:t>.</w:t>
      </w:r>
    </w:p>
    <w:p w14:paraId="4DA435ED" w14:textId="77777777" w:rsidR="00511E26" w:rsidRPr="0029045F" w:rsidRDefault="00511E26" w:rsidP="00511E26">
      <w:pPr>
        <w:rPr>
          <w:rStyle w:val="StyleUnderline"/>
        </w:rPr>
      </w:pPr>
      <w:r w:rsidRPr="0029045F">
        <w:rPr>
          <w:rStyle w:val="StyleUnderline"/>
        </w:rPr>
        <w:t xml:space="preserve">Congress’s </w:t>
      </w:r>
      <w:r w:rsidRPr="0029045F">
        <w:rPr>
          <w:rStyle w:val="Emphasis"/>
        </w:rPr>
        <w:t>de facto abandonment</w:t>
      </w:r>
      <w:r w:rsidRPr="0029045F">
        <w:rPr>
          <w:rStyle w:val="StyleUnderline"/>
        </w:rPr>
        <w:t xml:space="preserve"> of its power to declare war is another factor</w:t>
      </w:r>
      <w:r w:rsidRPr="0029045F">
        <w:rPr>
          <w:sz w:val="16"/>
        </w:rPr>
        <w:t xml:space="preserve">. </w:t>
      </w:r>
      <w:r w:rsidRPr="0029045F">
        <w:rPr>
          <w:rStyle w:val="StyleUnderline"/>
        </w:rPr>
        <w:t xml:space="preserve">America’s founders </w:t>
      </w:r>
      <w:r w:rsidRPr="0029045F">
        <w:rPr>
          <w:rStyle w:val="Emphasis"/>
        </w:rPr>
        <w:t>consciously sought to ensure</w:t>
      </w:r>
      <w:r w:rsidRPr="0029045F">
        <w:rPr>
          <w:rStyle w:val="StyleUnderline"/>
        </w:rPr>
        <w:t xml:space="preserve"> that </w:t>
      </w:r>
      <w:r w:rsidRPr="0029045F">
        <w:rPr>
          <w:rStyle w:val="Emphasis"/>
        </w:rPr>
        <w:t>no one</w:t>
      </w:r>
      <w:r w:rsidRPr="0029045F">
        <w:rPr>
          <w:sz w:val="16"/>
        </w:rPr>
        <w:t xml:space="preserve"> man </w:t>
      </w:r>
      <w:r w:rsidRPr="0029045F">
        <w:rPr>
          <w:rStyle w:val="StyleUnderline"/>
        </w:rPr>
        <w:t xml:space="preserve">could </w:t>
      </w:r>
      <w:r w:rsidRPr="0029045F">
        <w:rPr>
          <w:rStyle w:val="Emphasis"/>
        </w:rPr>
        <w:t>let slip the dogs of war</w:t>
      </w:r>
      <w:r w:rsidRPr="0029045F">
        <w:rPr>
          <w:rStyle w:val="StyleUnderline"/>
        </w:rPr>
        <w:t xml:space="preserve">. But </w:t>
      </w:r>
      <w:r w:rsidRPr="0029045F">
        <w:rPr>
          <w:rStyle w:val="Emphasis"/>
        </w:rPr>
        <w:t>legislators prefer not to take on the responsibility</w:t>
      </w:r>
      <w:r w:rsidRPr="0029045F">
        <w:rPr>
          <w:rStyle w:val="StyleUnderline"/>
        </w:rPr>
        <w:t xml:space="preserve">. </w:t>
      </w:r>
      <w:r w:rsidRPr="0029045F">
        <w:rPr>
          <w:rStyle w:val="Emphasis"/>
        </w:rPr>
        <w:t>Let presidents do the dirty work</w:t>
      </w:r>
      <w:r w:rsidRPr="0029045F">
        <w:rPr>
          <w:rStyle w:val="StyleUnderline"/>
        </w:rPr>
        <w:t xml:space="preserve">, and members of Congress can </w:t>
      </w:r>
      <w:r w:rsidRPr="0029045F">
        <w:rPr>
          <w:rStyle w:val="Emphasis"/>
        </w:rPr>
        <w:t>applaud</w:t>
      </w:r>
      <w:r w:rsidRPr="0029045F">
        <w:rPr>
          <w:rStyle w:val="StyleUnderline"/>
        </w:rPr>
        <w:t xml:space="preserve"> or </w:t>
      </w:r>
      <w:r w:rsidRPr="0029045F">
        <w:rPr>
          <w:rStyle w:val="Emphasis"/>
        </w:rPr>
        <w:t>carp</w:t>
      </w:r>
      <w:r w:rsidRPr="0029045F">
        <w:rPr>
          <w:sz w:val="16"/>
        </w:rPr>
        <w:t xml:space="preserve">, depending on the result. </w:t>
      </w:r>
      <w:r w:rsidRPr="0029045F">
        <w:rPr>
          <w:rStyle w:val="StyleUnderline"/>
        </w:rPr>
        <w:t xml:space="preserve">There is </w:t>
      </w:r>
      <w:r w:rsidRPr="0029045F">
        <w:rPr>
          <w:rStyle w:val="Emphasis"/>
        </w:rPr>
        <w:t>little popular accountability</w:t>
      </w:r>
      <w:r w:rsidRPr="0029045F">
        <w:rPr>
          <w:rStyle w:val="StyleUnderline"/>
        </w:rPr>
        <w:t xml:space="preserve"> for presidents, at least until body bags start coming home. Even then, attempts to hold executive officials accountable for their bad decisions are </w:t>
      </w:r>
      <w:r w:rsidRPr="0029045F">
        <w:rPr>
          <w:rStyle w:val="Emphasis"/>
        </w:rPr>
        <w:t>drowned out by demands</w:t>
      </w:r>
      <w:r w:rsidRPr="0029045F">
        <w:rPr>
          <w:rStyle w:val="StyleUnderline"/>
        </w:rPr>
        <w:t xml:space="preserve"> to “</w:t>
      </w:r>
      <w:r w:rsidRPr="0029045F">
        <w:rPr>
          <w:rStyle w:val="Emphasis"/>
        </w:rPr>
        <w:t>support the troops</w:t>
      </w:r>
      <w:r w:rsidRPr="0029045F">
        <w:rPr>
          <w:rStyle w:val="StyleUnderline"/>
        </w:rPr>
        <w:t xml:space="preserve">,” which really means </w:t>
      </w:r>
      <w:r w:rsidRPr="0029045F">
        <w:rPr>
          <w:rStyle w:val="Emphasis"/>
        </w:rPr>
        <w:t>insulating warmongering politicians from responsibility</w:t>
      </w:r>
      <w:r w:rsidRPr="0029045F">
        <w:rPr>
          <w:rStyle w:val="StyleUnderline"/>
        </w:rPr>
        <w:t>.</w:t>
      </w:r>
    </w:p>
    <w:p w14:paraId="2FB59D84" w14:textId="77777777" w:rsidR="00511E26" w:rsidRPr="0029045F" w:rsidRDefault="00511E26" w:rsidP="00511E26">
      <w:pPr>
        <w:rPr>
          <w:sz w:val="16"/>
        </w:rPr>
      </w:pPr>
      <w:r w:rsidRPr="0029045F">
        <w:rPr>
          <w:rStyle w:val="StyleUnderline"/>
        </w:rPr>
        <w:t xml:space="preserve">U.S. military power </w:t>
      </w:r>
      <w:r w:rsidRPr="0029045F">
        <w:rPr>
          <w:rStyle w:val="Emphasis"/>
        </w:rPr>
        <w:t>makes intervention easy</w:t>
      </w:r>
      <w:r w:rsidRPr="0029045F">
        <w:rPr>
          <w:sz w:val="16"/>
        </w:rPr>
        <w:t xml:space="preserve">. No country, especially the small, Third World states that usually end up in Washington’s crosshairs, can resist America’s armed forces. </w:t>
      </w:r>
      <w:r w:rsidRPr="0029045F">
        <w:rPr>
          <w:rStyle w:val="StyleUnderline"/>
        </w:rPr>
        <w:t xml:space="preserve">For a president able to </w:t>
      </w:r>
      <w:r w:rsidRPr="0029045F">
        <w:rPr>
          <w:rStyle w:val="Emphasis"/>
        </w:rPr>
        <w:t>unilaterally deploy the military</w:t>
      </w:r>
      <w:r w:rsidRPr="0029045F">
        <w:rPr>
          <w:rStyle w:val="StyleUnderline"/>
        </w:rPr>
        <w:t xml:space="preserve">, the world is a </w:t>
      </w:r>
      <w:r w:rsidRPr="0029045F">
        <w:rPr>
          <w:rStyle w:val="Emphasis"/>
        </w:rPr>
        <w:t>target-rich environment</w:t>
      </w:r>
      <w:r w:rsidRPr="0029045F">
        <w:rPr>
          <w:sz w:val="16"/>
        </w:rPr>
        <w:t>. As then Secretary of State Madeleine Albright said to Joint Chiefs of Staff chairman Colin Powell: “What’s the use of this great military you keep talking about if we never use it?”</w:t>
      </w:r>
    </w:p>
    <w:p w14:paraId="65689151" w14:textId="77777777" w:rsidR="00511E26" w:rsidRPr="0029045F" w:rsidRDefault="00511E26" w:rsidP="00511E26">
      <w:pPr>
        <w:rPr>
          <w:sz w:val="16"/>
        </w:rPr>
      </w:pPr>
      <w:r w:rsidRPr="0029045F">
        <w:rPr>
          <w:sz w:val="16"/>
        </w:rPr>
        <w:t>Policymakers are increasingly unlikely to have served in the military or have family members or friends who do so. The problem is not the volunteer military, but an armed forces that is relatively small compared to the population. Inevitably, fewer people will serve in the military. Even with conscription, few children of elites would be forced into the service, and an even smaller proportion would serve in combat arms. Politicians disconnected from the realities of war are more likely to view the military as the answer to just about every geopolitical problem.</w:t>
      </w:r>
    </w:p>
    <w:p w14:paraId="779BAB63" w14:textId="77777777" w:rsidR="00511E26" w:rsidRPr="0029045F" w:rsidRDefault="00511E26" w:rsidP="00511E26">
      <w:pPr>
        <w:rPr>
          <w:rStyle w:val="StyleUnderline"/>
        </w:rPr>
      </w:pPr>
      <w:r w:rsidRPr="0029045F">
        <w:rPr>
          <w:rStyle w:val="Emphasis"/>
        </w:rPr>
        <w:t>Extraordinary hubris</w:t>
      </w:r>
      <w:r w:rsidRPr="0029045F">
        <w:rPr>
          <w:sz w:val="16"/>
        </w:rPr>
        <w:t xml:space="preserve">, born of America’s unique founding and present dominance, </w:t>
      </w:r>
      <w:r w:rsidRPr="0029045F">
        <w:rPr>
          <w:rStyle w:val="StyleUnderline"/>
        </w:rPr>
        <w:t xml:space="preserve">encourages Washington policymakers to </w:t>
      </w:r>
      <w:r w:rsidRPr="0029045F">
        <w:rPr>
          <w:rStyle w:val="Emphasis"/>
        </w:rPr>
        <w:t>engage in international social engineering</w:t>
      </w:r>
      <w:r w:rsidRPr="0029045F">
        <w:rPr>
          <w:rStyle w:val="StyleUnderline"/>
        </w:rPr>
        <w:t xml:space="preserve">. With </w:t>
      </w:r>
      <w:r w:rsidRPr="0029045F">
        <w:rPr>
          <w:rStyle w:val="Emphasis"/>
        </w:rPr>
        <w:t>sufficient military power</w:t>
      </w:r>
      <w:r w:rsidRPr="0029045F">
        <w:rPr>
          <w:rStyle w:val="StyleUnderline"/>
        </w:rPr>
        <w:t xml:space="preserve">, they believe, they can </w:t>
      </w:r>
      <w:r w:rsidRPr="0029045F">
        <w:rPr>
          <w:rStyle w:val="Emphasis"/>
        </w:rPr>
        <w:t>overcome differences</w:t>
      </w:r>
      <w:r w:rsidRPr="0029045F">
        <w:rPr>
          <w:sz w:val="16"/>
        </w:rPr>
        <w:t xml:space="preserve"> in history, religion, geography, ethnicity, culture, politics and more, </w:t>
      </w:r>
      <w:r w:rsidRPr="0029045F">
        <w:rPr>
          <w:rStyle w:val="StyleUnderline"/>
        </w:rPr>
        <w:t xml:space="preserve">and </w:t>
      </w:r>
      <w:r w:rsidRPr="0029045F">
        <w:rPr>
          <w:rStyle w:val="Emphasis"/>
        </w:rPr>
        <w:t>remold the world to their liking</w:t>
      </w:r>
      <w:r w:rsidRPr="0029045F">
        <w:rPr>
          <w:rStyle w:val="StyleUnderline"/>
        </w:rPr>
        <w:t xml:space="preserve">. </w:t>
      </w:r>
      <w:r w:rsidRPr="0029045F">
        <w:rPr>
          <w:rStyle w:val="Emphasis"/>
        </w:rPr>
        <w:t>Every failure merely causes them to overreach more</w:t>
      </w:r>
      <w:r w:rsidRPr="0029045F">
        <w:rPr>
          <w:rStyle w:val="StyleUnderline"/>
        </w:rPr>
        <w:t xml:space="preserve"> next time.</w:t>
      </w:r>
    </w:p>
    <w:p w14:paraId="2A0AE270" w14:textId="77777777" w:rsidR="00511E26" w:rsidRPr="0029045F" w:rsidRDefault="00511E26" w:rsidP="00511E26">
      <w:pPr>
        <w:rPr>
          <w:sz w:val="16"/>
        </w:rPr>
      </w:pPr>
      <w:r w:rsidRPr="0029045F">
        <w:rPr>
          <w:sz w:val="16"/>
        </w:rPr>
        <w:t>Also important is the recent affection of supposedly limited-government conservatives for international social engineering. Once skeptical of participation in foreign wars, the conservative movement shifted because of the Cold War. After the collapse of the Soviet Union, some on the right reverted to their historic commitment to a foreign policy fit for a republic. But the majority seemed to glory in the prospect of an American-style empire, in which the very federal politicians they reviled at home would spread capitalism, liberty and democracy abroad.</w:t>
      </w:r>
    </w:p>
    <w:p w14:paraId="7E9DA4B2" w14:textId="77777777" w:rsidR="00511E26" w:rsidRPr="0029045F" w:rsidRDefault="00511E26" w:rsidP="00511E26">
      <w:pPr>
        <w:rPr>
          <w:rStyle w:val="StyleUnderline"/>
        </w:rPr>
      </w:pPr>
      <w:r w:rsidRPr="0029045F">
        <w:rPr>
          <w:rStyle w:val="StyleUnderline"/>
        </w:rPr>
        <w:t xml:space="preserve">Costs to others are </w:t>
      </w:r>
      <w:r w:rsidRPr="0029045F">
        <w:rPr>
          <w:rStyle w:val="Emphasis"/>
        </w:rPr>
        <w:t>simply ignored</w:t>
      </w:r>
      <w:r w:rsidRPr="0029045F">
        <w:rPr>
          <w:rStyle w:val="StyleUnderline"/>
        </w:rPr>
        <w:t xml:space="preserve">, and maybe </w:t>
      </w:r>
      <w:r w:rsidRPr="0029045F">
        <w:rPr>
          <w:rStyle w:val="Emphasis"/>
        </w:rPr>
        <w:t>not even noticed</w:t>
      </w:r>
      <w:r w:rsidRPr="0029045F">
        <w:rPr>
          <w:rStyle w:val="StyleUnderline"/>
        </w:rPr>
        <w:t xml:space="preserve">. A </w:t>
      </w:r>
      <w:r w:rsidRPr="0029045F">
        <w:rPr>
          <w:rStyle w:val="Emphasis"/>
        </w:rPr>
        <w:t>few hundred thousand dead Iraqis</w:t>
      </w:r>
      <w:r w:rsidRPr="0029045F">
        <w:rPr>
          <w:rStyle w:val="StyleUnderline"/>
        </w:rPr>
        <w:t xml:space="preserve">? Well, </w:t>
      </w:r>
      <w:r w:rsidRPr="0029045F">
        <w:rPr>
          <w:rStyle w:val="Emphasis"/>
        </w:rPr>
        <w:t>one must break eggs to make an omelet</w:t>
      </w:r>
      <w:r w:rsidRPr="0029045F">
        <w:rPr>
          <w:sz w:val="16"/>
        </w:rPr>
        <w:t xml:space="preserve">. Sen. Lindsey Graham has been surprisingly blunt in advocating war against North Korea since, he explained, it would not occur “over here.” </w:t>
      </w:r>
      <w:r w:rsidRPr="0029045F">
        <w:rPr>
          <w:rStyle w:val="Emphasis"/>
        </w:rPr>
        <w:t>So what</w:t>
      </w:r>
      <w:r w:rsidRPr="0029045F">
        <w:rPr>
          <w:rStyle w:val="StyleUnderline"/>
        </w:rPr>
        <w:t xml:space="preserve"> if South Korea would be </w:t>
      </w:r>
      <w:r w:rsidRPr="0029045F">
        <w:rPr>
          <w:rStyle w:val="Emphasis"/>
        </w:rPr>
        <w:t>turned into a battleground</w:t>
      </w:r>
      <w:r w:rsidRPr="0029045F">
        <w:rPr>
          <w:rStyle w:val="StyleUnderline"/>
        </w:rPr>
        <w:t xml:space="preserve">? Offloading the costs on others </w:t>
      </w:r>
      <w:r w:rsidRPr="0029045F">
        <w:rPr>
          <w:rStyle w:val="Emphasis"/>
        </w:rPr>
        <w:t>makes it easier</w:t>
      </w:r>
      <w:r w:rsidRPr="0029045F">
        <w:rPr>
          <w:rStyle w:val="StyleUnderline"/>
        </w:rPr>
        <w:t xml:space="preserve"> for Washington to conduct wars.</w:t>
      </w:r>
    </w:p>
    <w:p w14:paraId="081172BC" w14:textId="3202046B" w:rsidR="00511E26" w:rsidRPr="00511E26" w:rsidRDefault="00511E26" w:rsidP="00511E26">
      <w:pPr>
        <w:rPr>
          <w:u w:val="single"/>
        </w:rPr>
      </w:pPr>
      <w:r w:rsidRPr="0029045F">
        <w:rPr>
          <w:sz w:val="16"/>
        </w:rPr>
        <w:t xml:space="preserve">Most important may be the fact that the United States is so secure. Republican presidential candidates last year acted as if America was a small, beleaguered, Third World country threatened by such global behemoths as Iran and North Korea. However, </w:t>
      </w:r>
      <w:r w:rsidRPr="0029045F">
        <w:rPr>
          <w:rStyle w:val="StyleUnderline"/>
        </w:rPr>
        <w:t xml:space="preserve">Washington is a colossus. It can </w:t>
      </w:r>
      <w:r w:rsidRPr="0029045F">
        <w:rPr>
          <w:rStyle w:val="Emphasis"/>
        </w:rPr>
        <w:t>waste lives</w:t>
      </w:r>
      <w:r w:rsidRPr="0029045F">
        <w:rPr>
          <w:rStyle w:val="StyleUnderline"/>
        </w:rPr>
        <w:t xml:space="preserve"> and </w:t>
      </w:r>
      <w:r w:rsidRPr="0029045F">
        <w:rPr>
          <w:rStyle w:val="Emphasis"/>
        </w:rPr>
        <w:t>money with wild abandon</w:t>
      </w:r>
      <w:r w:rsidRPr="0029045F">
        <w:rPr>
          <w:rStyle w:val="StyleUnderline"/>
        </w:rPr>
        <w:t xml:space="preserve"> with </w:t>
      </w:r>
      <w:r w:rsidRPr="0029045F">
        <w:rPr>
          <w:rStyle w:val="Emphasis"/>
        </w:rPr>
        <w:t>few ill effects at home</w:t>
      </w:r>
      <w:r w:rsidRPr="0029045F">
        <w:rPr>
          <w:rStyle w:val="StyleUnderline"/>
        </w:rPr>
        <w:t xml:space="preserve">, other than on the service members who are killed or injured. The ill impact is </w:t>
      </w:r>
      <w:r w:rsidRPr="0029045F">
        <w:rPr>
          <w:rStyle w:val="Emphasis"/>
        </w:rPr>
        <w:t>mostly on others</w:t>
      </w:r>
      <w:r w:rsidRPr="0029045F">
        <w:rPr>
          <w:rStyle w:val="StyleUnderline"/>
        </w:rPr>
        <w:t xml:space="preserve">: </w:t>
      </w:r>
      <w:r w:rsidRPr="0029045F">
        <w:rPr>
          <w:rStyle w:val="Emphasis"/>
        </w:rPr>
        <w:t>hapless Libyans</w:t>
      </w:r>
      <w:r w:rsidRPr="0029045F">
        <w:rPr>
          <w:rStyle w:val="StyleUnderline"/>
        </w:rPr>
        <w:t xml:space="preserve">, </w:t>
      </w:r>
      <w:r w:rsidRPr="0029045F">
        <w:rPr>
          <w:rStyle w:val="Emphasis"/>
        </w:rPr>
        <w:t>Iraqis</w:t>
      </w:r>
      <w:r w:rsidRPr="0029045F">
        <w:rPr>
          <w:rStyle w:val="StyleUnderline"/>
        </w:rPr>
        <w:t xml:space="preserve">, </w:t>
      </w:r>
      <w:r w:rsidRPr="0029045F">
        <w:rPr>
          <w:rStyle w:val="Emphasis"/>
        </w:rPr>
        <w:t>Syrians</w:t>
      </w:r>
      <w:r w:rsidRPr="0029045F">
        <w:rPr>
          <w:rStyle w:val="StyleUnderline"/>
        </w:rPr>
        <w:t xml:space="preserve"> and </w:t>
      </w:r>
      <w:r w:rsidRPr="0029045F">
        <w:rPr>
          <w:rStyle w:val="Emphasis"/>
        </w:rPr>
        <w:t>Yemenis</w:t>
      </w:r>
      <w:r w:rsidRPr="0029045F">
        <w:rPr>
          <w:rStyle w:val="StyleUnderline"/>
        </w:rPr>
        <w:t xml:space="preserve">, for instance, who </w:t>
      </w:r>
      <w:r w:rsidRPr="0029045F">
        <w:rPr>
          <w:rStyle w:val="Emphasis"/>
        </w:rPr>
        <w:t>suffer through devastation</w:t>
      </w:r>
      <w:r w:rsidRPr="0029045F">
        <w:rPr>
          <w:rStyle w:val="StyleUnderline"/>
        </w:rPr>
        <w:t xml:space="preserve">, </w:t>
      </w:r>
      <w:r w:rsidRPr="0029045F">
        <w:rPr>
          <w:rStyle w:val="Emphasis"/>
        </w:rPr>
        <w:t>chaos</w:t>
      </w:r>
      <w:r w:rsidRPr="0029045F">
        <w:rPr>
          <w:rStyle w:val="StyleUnderline"/>
        </w:rPr>
        <w:t xml:space="preserve"> and </w:t>
      </w:r>
      <w:r w:rsidRPr="0029045F">
        <w:rPr>
          <w:rStyle w:val="Emphasis"/>
        </w:rPr>
        <w:t>hardship</w:t>
      </w:r>
      <w:r w:rsidRPr="0029045F">
        <w:rPr>
          <w:rStyle w:val="StyleUnderline"/>
        </w:rPr>
        <w:t xml:space="preserve"> created by Washington’s blundering.</w:t>
      </w:r>
    </w:p>
    <w:p w14:paraId="2B617A3A" w14:textId="044E3964" w:rsidR="006A4805" w:rsidRDefault="006A4805" w:rsidP="006A4805">
      <w:pPr>
        <w:pStyle w:val="Heading3"/>
      </w:pPr>
      <w:r>
        <w:t>Imperialism</w:t>
      </w:r>
    </w:p>
    <w:p w14:paraId="7EFD511E" w14:textId="77777777" w:rsidR="006A4805" w:rsidRDefault="006A4805" w:rsidP="006A4805">
      <w:pPr>
        <w:pStyle w:val="Heading4"/>
      </w:pPr>
      <w:r>
        <w:t>Intellectual property rights are a system of governmentality designed to uphold the US’s domestic and international strategic interests</w:t>
      </w:r>
    </w:p>
    <w:p w14:paraId="571DEFEC" w14:textId="77777777" w:rsidR="006A4805" w:rsidRPr="006A4805" w:rsidRDefault="006A4805" w:rsidP="006A4805">
      <w:pPr>
        <w:rPr>
          <w:rStyle w:val="Style13ptBold"/>
        </w:rPr>
      </w:pPr>
      <w:r w:rsidRPr="006A4805">
        <w:rPr>
          <w:rStyle w:val="Style13ptBold"/>
        </w:rPr>
        <w:t>Hilberg 15</w:t>
      </w:r>
    </w:p>
    <w:p w14:paraId="328A0CAC" w14:textId="77777777" w:rsidR="006A4805" w:rsidRDefault="006A4805" w:rsidP="006A4805">
      <w:r>
        <w:t>Eva, phD candidate at the University of Sussex. “Intellectual Property and the Genetic Dispositif of Life: The Changing Role of Intellectual Property Law in Governing Participation and Knowledge in the Bioeconomy.” Submitted for the Degree of Doctor of Philosophy University of Sussex, May 2015. Pp 34-38. LJS</w:t>
      </w:r>
    </w:p>
    <w:p w14:paraId="6499E544" w14:textId="4065F63B" w:rsidR="006A4805" w:rsidRPr="006A4805" w:rsidRDefault="006A4805" w:rsidP="006A4805">
      <w:pPr>
        <w:rPr>
          <w:sz w:val="16"/>
        </w:rPr>
      </w:pPr>
      <w:r w:rsidRPr="006B1A78">
        <w:rPr>
          <w:rStyle w:val="StyleUnderline"/>
        </w:rPr>
        <w:t>Roughly at the same time as the rise of the gene, a new form of intellectual</w:t>
      </w:r>
      <w:r>
        <w:rPr>
          <w:rStyle w:val="StyleUnderline"/>
        </w:rPr>
        <w:t xml:space="preserve"> </w:t>
      </w:r>
      <w:r w:rsidRPr="006B1A78">
        <w:rPr>
          <w:rStyle w:val="StyleUnderline"/>
        </w:rPr>
        <w:t>property emerged: the gene patent. This form of intellectual property on information</w:t>
      </w:r>
      <w:r>
        <w:rPr>
          <w:rStyle w:val="StyleUnderline"/>
        </w:rPr>
        <w:t xml:space="preserve"> </w:t>
      </w:r>
      <w:r w:rsidRPr="006B1A78">
        <w:rPr>
          <w:rStyle w:val="StyleUnderline"/>
        </w:rPr>
        <w:t>derived from human, plant, animal, or micro-organism genetic materials was highly</w:t>
      </w:r>
      <w:r>
        <w:rPr>
          <w:rStyle w:val="StyleUnderline"/>
        </w:rPr>
        <w:t xml:space="preserve"> </w:t>
      </w:r>
      <w:r w:rsidRPr="006B1A78">
        <w:rPr>
          <w:rStyle w:val="StyleUnderline"/>
        </w:rPr>
        <w:t>controversial since its inception in the 1980s, beginning with the patenting of an oildissolving micro-organism (Diamond v. Chakrabarty (1980) 447 U.S. 303).</w:t>
      </w:r>
      <w:r>
        <w:rPr>
          <w:rStyle w:val="StyleUnderline"/>
        </w:rPr>
        <w:t xml:space="preserve"> </w:t>
      </w:r>
      <w:r w:rsidRPr="006A4805">
        <w:rPr>
          <w:sz w:val="16"/>
        </w:rPr>
        <w:t xml:space="preserve">Subsequent very broad patent claims such as the OncoMouse™ raised concerns about the exclusionary effects of this practice, claiming in this case an entire “transgenic non-human mammal all of whose germ cells and somatic cells contain a recombinant activated Onco gene sequence introduced into said mammal, or an ancestor of said mammal, at an embryonic stage” (Jaenichen, McDonell, and Haley Jr. 2002, 8). </w:t>
      </w:r>
      <w:r w:rsidRPr="006B1A78">
        <w:rPr>
          <w:rStyle w:val="StyleUnderline"/>
        </w:rPr>
        <w:t>Further notorious examples consisted of patents applications on basmati rice,</w:t>
      </w:r>
      <w:r>
        <w:rPr>
          <w:rStyle w:val="StyleUnderline"/>
        </w:rPr>
        <w:t xml:space="preserve"> </w:t>
      </w:r>
      <w:r w:rsidRPr="006B1A78">
        <w:rPr>
          <w:rStyle w:val="StyleUnderline"/>
        </w:rPr>
        <w:t>traditional indigenous herbal remedies, agricultural seed materials, and also human</w:t>
      </w:r>
      <w:r>
        <w:rPr>
          <w:rStyle w:val="StyleUnderline"/>
        </w:rPr>
        <w:t xml:space="preserve"> </w:t>
      </w:r>
      <w:r w:rsidRPr="006B1A78">
        <w:rPr>
          <w:rStyle w:val="StyleUnderline"/>
        </w:rPr>
        <w:t>genetic materials, as for example in the case of the surreptitious patenting of John</w:t>
      </w:r>
      <w:r>
        <w:rPr>
          <w:rStyle w:val="StyleUnderline"/>
        </w:rPr>
        <w:t xml:space="preserve"> </w:t>
      </w:r>
      <w:r w:rsidRPr="006B1A78">
        <w:rPr>
          <w:rStyle w:val="StyleUnderline"/>
        </w:rPr>
        <w:t>Moore’s genetic material (Moore v. Board of Regents [1990]).</w:t>
      </w:r>
      <w:r>
        <w:rPr>
          <w:rStyle w:val="StyleUnderline"/>
        </w:rPr>
        <w:t xml:space="preserve"> </w:t>
      </w:r>
      <w:r w:rsidRPr="006A4805">
        <w:rPr>
          <w:sz w:val="16"/>
        </w:rPr>
        <w:t xml:space="preserve">In the unfolding debates about the implications of genetic research and the ownership of genetic materials, the pharmaceutical industry, researchers, philosophers, ‘bioethicists’, patients, IP lawyers, politicians, and national governments all contributed to ethical arguments. These debates resulted in slightly different regional approaches to the regulation of the patentability of human genetic materials, in which in theory every country can establish its own particular regime. </w:t>
      </w:r>
      <w:r w:rsidRPr="006B1A78">
        <w:rPr>
          <w:rStyle w:val="StyleUnderline"/>
        </w:rPr>
        <w:t>However, this changed in 1994 with the introduction of international minimum</w:t>
      </w:r>
      <w:r>
        <w:rPr>
          <w:rStyle w:val="StyleUnderline"/>
        </w:rPr>
        <w:t xml:space="preserve"> </w:t>
      </w:r>
      <w:r w:rsidRPr="006B1A78">
        <w:rPr>
          <w:rStyle w:val="StyleUnderline"/>
        </w:rPr>
        <w:t>standards of patentability laid down in the Agreement on Trade-related Aspects of</w:t>
      </w:r>
      <w:r>
        <w:rPr>
          <w:rStyle w:val="StyleUnderline"/>
        </w:rPr>
        <w:t xml:space="preserve"> </w:t>
      </w:r>
      <w:r w:rsidRPr="006B1A78">
        <w:rPr>
          <w:rStyle w:val="StyleUnderline"/>
        </w:rPr>
        <w:t>Intellectual Property Rights (TRIPS) as part of the World Trade Organization (WTO).</w:t>
      </w:r>
      <w:r>
        <w:rPr>
          <w:rStyle w:val="StyleUnderline"/>
        </w:rPr>
        <w:t xml:space="preserve"> </w:t>
      </w:r>
      <w:r w:rsidRPr="006B1A78">
        <w:rPr>
          <w:rStyle w:val="StyleUnderline"/>
        </w:rPr>
        <w:t>In this treaty, a US model of IP law was implemented worldwide, at the behest of</w:t>
      </w:r>
      <w:r>
        <w:rPr>
          <w:rStyle w:val="StyleUnderline"/>
        </w:rPr>
        <w:t xml:space="preserve"> </w:t>
      </w:r>
      <w:r w:rsidRPr="006B1A78">
        <w:rPr>
          <w:rStyle w:val="StyleUnderline"/>
        </w:rPr>
        <w:t>influential US industry interests (Sell 2003). IP has since become a highly charged</w:t>
      </w:r>
      <w:r>
        <w:rPr>
          <w:rStyle w:val="StyleUnderline"/>
        </w:rPr>
        <w:t xml:space="preserve"> </w:t>
      </w:r>
      <w:r w:rsidRPr="006B1A78">
        <w:rPr>
          <w:rStyle w:val="StyleUnderline"/>
        </w:rPr>
        <w:t>topic in international negotiations, as these legal standards are mostly perceived to be</w:t>
      </w:r>
      <w:r>
        <w:rPr>
          <w:rStyle w:val="StyleUnderline"/>
        </w:rPr>
        <w:t xml:space="preserve"> </w:t>
      </w:r>
      <w:r w:rsidRPr="006B1A78">
        <w:rPr>
          <w:rStyle w:val="StyleUnderline"/>
        </w:rPr>
        <w:t>in the interest of industrial countries, and are widely criticised for their detrimental</w:t>
      </w:r>
      <w:r>
        <w:rPr>
          <w:rStyle w:val="StyleUnderline"/>
        </w:rPr>
        <w:t xml:space="preserve"> </w:t>
      </w:r>
      <w:r w:rsidRPr="006B1A78">
        <w:rPr>
          <w:rStyle w:val="StyleUnderline"/>
        </w:rPr>
        <w:t>effects on developing countries – especially in the context of pharmaceuticals and</w:t>
      </w:r>
      <w:r>
        <w:rPr>
          <w:rStyle w:val="StyleUnderline"/>
        </w:rPr>
        <w:t xml:space="preserve"> </w:t>
      </w:r>
      <w:r w:rsidRPr="006B1A78">
        <w:rPr>
          <w:rStyle w:val="StyleUnderline"/>
        </w:rPr>
        <w:t>health (Hestermeyer 2007).</w:t>
      </w:r>
      <w:r>
        <w:rPr>
          <w:rStyle w:val="StyleUnderline"/>
        </w:rPr>
        <w:t xml:space="preserve"> </w:t>
      </w:r>
      <w:r w:rsidRPr="006A4805">
        <w:rPr>
          <w:sz w:val="16"/>
        </w:rPr>
        <w:t xml:space="preserve">This chapter presents an evaluation of critiques made of IP’s treatment of genetic conceptions of life, and argues that they are overly focused on the role of IPs within the economy, and do not take into account the wider political dimensions of the emergence of the gene (referred to later as “the genetic dispositif”) and the establishment of exclusive ownership over this knowledge. These dimensions will then be explored throughout the thesis, on the level of contestations over the recognized “truth” of life, of demands for participation and openness voiced by “active patients”, and of critical interventions made upon the international level, seeking to challenge the IP system’s exclusivity in the name of health. This section first briefly explains the legal concepts establishing intellectual property rights especially in the form of patents, and then shows how the national and the international intersect in the IP regime guaranteed by TRIPS. After establishing this background, this chapter then turns to an evaluation of several strands of critiques. 1.1. IPRs in human genetic materials – ‘Inventing’ a commodity </w:t>
      </w:r>
      <w:r w:rsidRPr="006B1A78">
        <w:rPr>
          <w:rStyle w:val="StyleUnderline"/>
        </w:rPr>
        <w:t>Intellectual Property Rights comprise a range of different legal mechanisms for</w:t>
      </w:r>
      <w:r>
        <w:rPr>
          <w:rStyle w:val="StyleUnderline"/>
        </w:rPr>
        <w:t xml:space="preserve"> </w:t>
      </w:r>
      <w:r w:rsidRPr="006B1A78">
        <w:rPr>
          <w:rStyle w:val="StyleUnderline"/>
        </w:rPr>
        <w:t>establishing ownership over abstract ‘intellectual’ creations – thus making an abstract</w:t>
      </w:r>
      <w:r>
        <w:rPr>
          <w:rStyle w:val="StyleUnderline"/>
        </w:rPr>
        <w:t xml:space="preserve"> </w:t>
      </w:r>
      <w:r w:rsidRPr="006B1A78">
        <w:rPr>
          <w:rStyle w:val="StyleUnderline"/>
        </w:rPr>
        <w:t>idea or invention into a tradeable commodity. Without this, the distribution of</w:t>
      </w:r>
      <w:r>
        <w:rPr>
          <w:rStyle w:val="StyleUnderline"/>
        </w:rPr>
        <w:t xml:space="preserve"> </w:t>
      </w:r>
      <w:r w:rsidRPr="006B1A78">
        <w:rPr>
          <w:rStyle w:val="StyleUnderline"/>
        </w:rPr>
        <w:t>knowledge would remain “non-rivalrous”, as knowledge does not diminish when it is</w:t>
      </w:r>
      <w:r>
        <w:rPr>
          <w:rStyle w:val="StyleUnderline"/>
        </w:rPr>
        <w:t xml:space="preserve"> </w:t>
      </w:r>
      <w:r w:rsidRPr="006B1A78">
        <w:rPr>
          <w:rStyle w:val="StyleUnderline"/>
        </w:rPr>
        <w:t xml:space="preserve">distributed, unlike more conventional objects (Boyle 2008, 3). </w:t>
      </w:r>
      <w:r w:rsidRPr="006A4805">
        <w:rPr>
          <w:sz w:val="16"/>
        </w:rPr>
        <w:t xml:space="preserve">Making commodities out of information derived from ‘life’ pushes the boundaries of intellectual property, as the subsequent discussion shows. In this, the focus of this work rests predominantly on patents, which are the most important means of ‘owning’ information derived from human genetic materials. Copyright is involved in this area to a much more limited extent.4 Patents are the tool that assure ownership over an idea, whereas Copyright is the means by which ownership of a particular way of expressing an idea is established, as for example in a novel or a computer programme (see May 2010, 5). Copyright is not in itself a new invention but rather creative usage of pre-existing concepts such a language. Patents confer a “limited monopoly” on the patentee “in return for the disclosure of technical information” (Bently and Sherman 2009, 335). Patents are usually defined as “a monopoly which is granted for an invention after application to, and examination for patentability by, the Patent Office and lasts for a maximum of 20 years. To be patentable, an invention must be new, show an inventive step, be industrially applicable and not fall into one of the excluded categories of invention” (Colston and Galloway 2010, 4). Most important for IPRs in human genetic materials is the notion of the inventive step, which seeks to ensure that patents are granted for inventions, not discoveries. An invention is the creation of a novel product by a scientist/ inventor, whose creative effort warrants reward (see for example Jasanoff 2012, 165f.). Mere discoveries, on the other hand, are fundamental ‘truths’ that cannot be owned, as this would “inhibit competition and deprive the public of a truth that had always existed, only waiting to be uncovered” (Colston and Galloway 2010, 126; they give an example of the discovery of a new chemical element as one such “truth”). </w:t>
      </w:r>
      <w:r w:rsidRPr="00CF61CD">
        <w:rPr>
          <w:rStyle w:val="StyleUnderline"/>
        </w:rPr>
        <w:t>This distinction may seem straightforward at first, but becomes most</w:t>
      </w:r>
      <w:r>
        <w:rPr>
          <w:rStyle w:val="StyleUnderline"/>
        </w:rPr>
        <w:t xml:space="preserve"> </w:t>
      </w:r>
      <w:r w:rsidRPr="00CF61CD">
        <w:rPr>
          <w:rStyle w:val="StyleUnderline"/>
        </w:rPr>
        <w:t>problematic in the context of human genetic materials, where a determination has to</w:t>
      </w:r>
      <w:r>
        <w:rPr>
          <w:rStyle w:val="StyleUnderline"/>
        </w:rPr>
        <w:t xml:space="preserve"> </w:t>
      </w:r>
      <w:r w:rsidRPr="00CF61CD">
        <w:rPr>
          <w:rStyle w:val="StyleUnderline"/>
        </w:rPr>
        <w:t>be made whether the human genome or individual genetic sequences constitute a</w:t>
      </w:r>
      <w:r>
        <w:rPr>
          <w:rStyle w:val="StyleUnderline"/>
        </w:rPr>
        <w:t xml:space="preserve"> </w:t>
      </w:r>
      <w:r w:rsidRPr="00CF61CD">
        <w:rPr>
          <w:rStyle w:val="StyleUnderline"/>
        </w:rPr>
        <w:t>discovery or an invention (see discussion in chapter IV). Even IP’s most basic</w:t>
      </w:r>
      <w:r>
        <w:rPr>
          <w:rStyle w:val="StyleUnderline"/>
        </w:rPr>
        <w:t xml:space="preserve"> </w:t>
      </w:r>
      <w:r w:rsidRPr="00CF61CD">
        <w:rPr>
          <w:rStyle w:val="StyleUnderline"/>
        </w:rPr>
        <w:t>precondition of the ‘inventive step’ is immersed in debates involving different</w:t>
      </w:r>
      <w:r>
        <w:rPr>
          <w:rStyle w:val="StyleUnderline"/>
        </w:rPr>
        <w:t xml:space="preserve"> </w:t>
      </w:r>
      <w:r w:rsidRPr="00CF61CD">
        <w:rPr>
          <w:rStyle w:val="StyleUnderline"/>
        </w:rPr>
        <w:t>interests and different interpretations of the truth over life</w:t>
      </w:r>
      <w:r w:rsidRPr="006A4805">
        <w:rPr>
          <w:sz w:val="16"/>
        </w:rPr>
        <w:t xml:space="preserve">. At stake in these debates is nothing less than the question of IP’s legitimacy in this area – and an entire economy of funding for research. This thesis does not seek to normatively decide this debate, but rather to provide an analytical perspective on debates surrounding parameters of IP that foregrounds contestations about truth contained in technical assumptions such as the inventive step, industrial applicability, or ‘novelty’. </w:t>
      </w:r>
      <w:r w:rsidRPr="00CF61CD">
        <w:rPr>
          <w:rStyle w:val="StyleUnderline"/>
        </w:rPr>
        <w:t>Rather than focusing</w:t>
      </w:r>
      <w:r>
        <w:rPr>
          <w:rStyle w:val="StyleUnderline"/>
        </w:rPr>
        <w:t xml:space="preserve"> </w:t>
      </w:r>
      <w:r w:rsidRPr="00CF61CD">
        <w:rPr>
          <w:rStyle w:val="StyleUnderline"/>
        </w:rPr>
        <w:t>predominantly on the economic role of IPRs in human genetic materials and their making of the commodity, this perspective can account for a wider variety of power</w:t>
      </w:r>
      <w:r>
        <w:rPr>
          <w:rStyle w:val="StyleUnderline"/>
        </w:rPr>
        <w:t xml:space="preserve"> </w:t>
      </w:r>
      <w:r w:rsidRPr="00CF61CD">
        <w:rPr>
          <w:rStyle w:val="StyleUnderline"/>
        </w:rPr>
        <w:t>exercises surrounding the creation of intellectual property over life – especially IP’s</w:t>
      </w:r>
      <w:r>
        <w:rPr>
          <w:rStyle w:val="StyleUnderline"/>
        </w:rPr>
        <w:t xml:space="preserve"> </w:t>
      </w:r>
      <w:r w:rsidRPr="00CF61CD">
        <w:rPr>
          <w:rStyle w:val="StyleUnderline"/>
        </w:rPr>
        <w:t>role in the normalization of knowledge and in the management of political challenges</w:t>
      </w:r>
      <w:r>
        <w:rPr>
          <w:rStyle w:val="StyleUnderline"/>
        </w:rPr>
        <w:t xml:space="preserve"> </w:t>
      </w:r>
      <w:r w:rsidRPr="00CF61CD">
        <w:rPr>
          <w:rStyle w:val="StyleUnderline"/>
        </w:rPr>
        <w:t>emerging from the predominance of genetic conceptions of life.</w:t>
      </w:r>
      <w:r>
        <w:rPr>
          <w:rStyle w:val="StyleUnderline"/>
        </w:rPr>
        <w:t xml:space="preserve"> </w:t>
      </w:r>
      <w:r w:rsidRPr="006A4805">
        <w:rPr>
          <w:sz w:val="16"/>
        </w:rPr>
        <w:t xml:space="preserve">This analysis of the different roles of IP does, however, not seek to argue that IPRs do not fulfill the function of providing commodities. It rather argues against a primary focus on this role, which interprets tensions surrounding IPRs with reference to this role alone. </w:t>
      </w:r>
      <w:r w:rsidRPr="00CF61CD">
        <w:rPr>
          <w:rStyle w:val="StyleUnderline"/>
        </w:rPr>
        <w:t>This chapter shows that emphasis on the creation of commodities</w:t>
      </w:r>
      <w:r>
        <w:rPr>
          <w:rStyle w:val="StyleUnderline"/>
        </w:rPr>
        <w:t xml:space="preserve"> </w:t>
      </w:r>
      <w:r w:rsidRPr="00CF61CD">
        <w:rPr>
          <w:rStyle w:val="StyleUnderline"/>
        </w:rPr>
        <w:t>comes at the expense of a more detailed appreciation of the rise of genetic</w:t>
      </w:r>
      <w:r>
        <w:rPr>
          <w:rStyle w:val="StyleUnderline"/>
        </w:rPr>
        <w:t xml:space="preserve"> </w:t>
      </w:r>
      <w:r w:rsidRPr="00CF61CD">
        <w:rPr>
          <w:rStyle w:val="StyleUnderline"/>
        </w:rPr>
        <w:t>conceptions of life’s wider political implications – and the way in which this account</w:t>
      </w:r>
      <w:r>
        <w:rPr>
          <w:rStyle w:val="StyleUnderline"/>
        </w:rPr>
        <w:t xml:space="preserve"> </w:t>
      </w:r>
      <w:r w:rsidRPr="00CF61CD">
        <w:rPr>
          <w:rStyle w:val="StyleUnderline"/>
        </w:rPr>
        <w:t>of life presents problems for governing, negotiated especially in this legal field</w:t>
      </w:r>
      <w:r>
        <w:rPr>
          <w:rStyle w:val="StyleUnderline"/>
        </w:rPr>
        <w:t xml:space="preserve"> </w:t>
      </w:r>
      <w:r w:rsidRPr="00CF61CD">
        <w:rPr>
          <w:rStyle w:val="StyleUnderline"/>
        </w:rPr>
        <w:t>situated at the intersection of genetic accounts of life and the economy. The economy</w:t>
      </w:r>
      <w:r>
        <w:rPr>
          <w:rStyle w:val="StyleUnderline"/>
        </w:rPr>
        <w:t xml:space="preserve"> </w:t>
      </w:r>
      <w:r w:rsidRPr="00CF61CD">
        <w:rPr>
          <w:rStyle w:val="StyleUnderline"/>
        </w:rPr>
        <w:t>here becomes a project of government, which puts into place the parameters of the</w:t>
      </w:r>
      <w:r>
        <w:rPr>
          <w:rStyle w:val="StyleUnderline"/>
        </w:rPr>
        <w:t xml:space="preserve"> </w:t>
      </w:r>
      <w:r w:rsidRPr="00CF61CD">
        <w:rPr>
          <w:rStyle w:val="StyleUnderline"/>
        </w:rPr>
        <w:t>‘free market’ and regimes such as IPRs, which can be used to ensure the appropriate</w:t>
      </w:r>
      <w:r>
        <w:rPr>
          <w:rStyle w:val="StyleUnderline"/>
        </w:rPr>
        <w:t xml:space="preserve"> </w:t>
      </w:r>
      <w:r w:rsidRPr="00CF61CD">
        <w:rPr>
          <w:rStyle w:val="StyleUnderline"/>
        </w:rPr>
        <w:t>functioning of this market. Thus, rather than arguing that IPRs are “commodifying</w:t>
      </w:r>
      <w:r>
        <w:rPr>
          <w:rStyle w:val="StyleUnderline"/>
        </w:rPr>
        <w:t xml:space="preserve"> </w:t>
      </w:r>
      <w:r w:rsidRPr="00CF61CD">
        <w:rPr>
          <w:rStyle w:val="StyleUnderline"/>
        </w:rPr>
        <w:t>life” because of demands of the market, this thesis reverses the analysis on IPRs as a</w:t>
      </w:r>
      <w:r>
        <w:rPr>
          <w:rStyle w:val="StyleUnderline"/>
        </w:rPr>
        <w:t xml:space="preserve"> </w:t>
      </w:r>
      <w:r w:rsidRPr="00CF61CD">
        <w:rPr>
          <w:rStyle w:val="StyleUnderline"/>
        </w:rPr>
        <w:t>constitutive part of laws governing for the market (see next chapter), arguing that they</w:t>
      </w:r>
      <w:r>
        <w:rPr>
          <w:rStyle w:val="StyleUnderline"/>
        </w:rPr>
        <w:t xml:space="preserve"> </w:t>
      </w:r>
      <w:r w:rsidRPr="00CF61CD">
        <w:rPr>
          <w:rStyle w:val="StyleUnderline"/>
        </w:rPr>
        <w:t>fulfill more functions in this process than the provision of commodities alone. In this,</w:t>
      </w:r>
      <w:r>
        <w:rPr>
          <w:rStyle w:val="StyleUnderline"/>
        </w:rPr>
        <w:t xml:space="preserve"> </w:t>
      </w:r>
      <w:r w:rsidRPr="00CF61CD">
        <w:rPr>
          <w:rStyle w:val="StyleUnderline"/>
        </w:rPr>
        <w:t>IPRs contribute to the management of problems for the governing of life while</w:t>
      </w:r>
      <w:r>
        <w:rPr>
          <w:rStyle w:val="StyleUnderline"/>
        </w:rPr>
        <w:t xml:space="preserve"> </w:t>
      </w:r>
      <w:r w:rsidRPr="00CF61CD">
        <w:rPr>
          <w:rStyle w:val="StyleUnderline"/>
        </w:rPr>
        <w:t>simultaneously maintaining objects for circulation in the economy.</w:t>
      </w:r>
      <w:r>
        <w:rPr>
          <w:rStyle w:val="StyleUnderline"/>
        </w:rPr>
        <w:t xml:space="preserve"> </w:t>
      </w:r>
      <w:r w:rsidRPr="006A4805">
        <w:rPr>
          <w:sz w:val="16"/>
        </w:rPr>
        <w:t xml:space="preserve">1.2. IP: Connecting the national and international context The establishment of an international IP system built on enforceable minimum standards in the early nineties gave soon rise to fierce criticism and controversy, as later negotiation rounds on WTO treaty amendments showed. The next few decades saw this previously relatively obscure technical area of economic law develop into a hotly debated issue, challenging for example its connection to health concerns and the relative imbalance of interests served by IP. Developing countries succeeded in securing a declaration on the relation between IPRs and public health in the Doha Round of WTO negotiations commencing in 2001, but this declaration fell short of actually introducing new options into the already established system (WTO 2001, see also chapter VI for details of changes that were nonetheless enabled by this declaration). In the field of genetic resources and traditional knowledge, indigenous peoples increasingly challenged the use of IPRs on traditional indigenous knowledge and genetic resources gathered by bioprospecting operations across the globe. Separate treaties were drafted to respond to such concerns, for example the Convention on Biological Diversity (CBD) and its Nagoya Protocol on Access to Genetic Resources and the Fair and Equitable Sharing of Benefits Arising from their Utilization to the Convention on Biological Diversity (2010), but are still not (to date) endorsed by some of the most important industrialised countries such as the US – which are most in favour of high IP standards and strong enforcement measures. </w:t>
      </w:r>
      <w:r w:rsidRPr="00CF61CD">
        <w:rPr>
          <w:rStyle w:val="StyleUnderline"/>
        </w:rPr>
        <w:t>The history of TRIPS and the uneven distribution of IP-producing industries</w:t>
      </w:r>
      <w:r>
        <w:rPr>
          <w:rStyle w:val="StyleUnderline"/>
        </w:rPr>
        <w:t xml:space="preserve"> </w:t>
      </w:r>
      <w:r w:rsidRPr="00CF61CD">
        <w:rPr>
          <w:rStyle w:val="StyleUnderline"/>
        </w:rPr>
        <w:t>world-wide reveal a very strong interconnection between national and international</w:t>
      </w:r>
      <w:r>
        <w:rPr>
          <w:rStyle w:val="StyleUnderline"/>
        </w:rPr>
        <w:t xml:space="preserve"> </w:t>
      </w:r>
      <w:r w:rsidRPr="00CF61CD">
        <w:rPr>
          <w:rStyle w:val="StyleUnderline"/>
        </w:rPr>
        <w:t>agendas within the field of IP policy – especially where it comes to the influence of</w:t>
      </w:r>
      <w:r>
        <w:rPr>
          <w:rStyle w:val="StyleUnderline"/>
        </w:rPr>
        <w:t xml:space="preserve"> </w:t>
      </w:r>
      <w:r w:rsidRPr="00CF61CD">
        <w:rPr>
          <w:rStyle w:val="StyleUnderline"/>
        </w:rPr>
        <w:t>some very powerful industrialised countries such as the US</w:t>
      </w:r>
      <w:r w:rsidRPr="006A4805">
        <w:rPr>
          <w:sz w:val="16"/>
        </w:rPr>
        <w:t xml:space="preserve">. The standardisation in the field of IP law brought about by TRIPS was heavily influenced by these interests, which also continue to push for more stringent (‘TRIPS Plus’) agreements. As Sell points out, the TRIPS agreement was substantially drafted by a private pressure group called Intellectual Property Committee (IPC), consisting of chief executive officers of pharmaceutical, entertainment and software industries in the US, Europe and Japan (Sell 2003, 2; Tyfield 2008). </w:t>
      </w:r>
      <w:r w:rsidRPr="00CF61CD">
        <w:rPr>
          <w:rStyle w:val="StyleUnderline"/>
        </w:rPr>
        <w:t>In the TRIPS agreement’s negotiation, these lobbyists</w:t>
      </w:r>
      <w:r>
        <w:rPr>
          <w:rStyle w:val="StyleUnderline"/>
        </w:rPr>
        <w:t xml:space="preserve"> </w:t>
      </w:r>
      <w:r w:rsidRPr="00CF61CD">
        <w:rPr>
          <w:rStyle w:val="StyleUnderline"/>
        </w:rPr>
        <w:t>set out to strengthen existing protection measures and succeeded in gaining</w:t>
      </w:r>
      <w:r>
        <w:rPr>
          <w:rStyle w:val="StyleUnderline"/>
        </w:rPr>
        <w:t xml:space="preserve"> </w:t>
      </w:r>
      <w:r w:rsidRPr="00CF61CD">
        <w:rPr>
          <w:rStyle w:val="StyleUnderline"/>
        </w:rPr>
        <w:t>government support for a highly protectionist new agreement based on already</w:t>
      </w:r>
      <w:r>
        <w:rPr>
          <w:rStyle w:val="StyleUnderline"/>
        </w:rPr>
        <w:t xml:space="preserve"> </w:t>
      </w:r>
      <w:r w:rsidRPr="00CF61CD">
        <w:rPr>
          <w:rStyle w:val="StyleUnderline"/>
        </w:rPr>
        <w:t>existing IP laws of industrialised countries, thus effectively globalising a previously</w:t>
      </w:r>
      <w:r>
        <w:rPr>
          <w:rStyle w:val="StyleUnderline"/>
        </w:rPr>
        <w:t xml:space="preserve"> </w:t>
      </w:r>
      <w:r w:rsidRPr="00CF61CD">
        <w:rPr>
          <w:rStyle w:val="StyleUnderline"/>
        </w:rPr>
        <w:t>predominantly national system reflecting the interests of industrialised states (Sell</w:t>
      </w:r>
      <w:r>
        <w:rPr>
          <w:rStyle w:val="StyleUnderline"/>
        </w:rPr>
        <w:t xml:space="preserve"> </w:t>
      </w:r>
      <w:r w:rsidRPr="00CF61CD">
        <w:rPr>
          <w:rStyle w:val="StyleUnderline"/>
        </w:rPr>
        <w:t>2003, 2).</w:t>
      </w:r>
      <w:r w:rsidRPr="006A4805">
        <w:rPr>
          <w:sz w:val="16"/>
        </w:rPr>
        <w:t xml:space="preserve"> A similar US-led undertaking can currently be witnessed in the negotiations seeking to introduce TRIPS Plus standards in international agreements such as the Anti-Counterfeiting Trade Agreement (ACTA), the Transpacific Partnership (TPP), and to some extent also in the current negotiations between the US and the EU as part of the Transatlantic Trade and Investment Partnership (TTIP) (Sell 2008; Abbott 2009; UNAIDS 2011; Geist 2010). </w:t>
      </w:r>
      <w:r w:rsidRPr="00CF61CD">
        <w:rPr>
          <w:rStyle w:val="StyleUnderline"/>
        </w:rPr>
        <w:t>The biotech sector also traverses national boundaries in a variety of other</w:t>
      </w:r>
      <w:r>
        <w:rPr>
          <w:rStyle w:val="StyleUnderline"/>
        </w:rPr>
        <w:t xml:space="preserve"> </w:t>
      </w:r>
      <w:r w:rsidRPr="00CF61CD">
        <w:rPr>
          <w:rStyle w:val="StyleUnderline"/>
        </w:rPr>
        <w:t>ways. Biotech companies, for instance, are most likely based within countries with a</w:t>
      </w:r>
      <w:r>
        <w:rPr>
          <w:rStyle w:val="StyleUnderline"/>
        </w:rPr>
        <w:t xml:space="preserve"> </w:t>
      </w:r>
      <w:r w:rsidRPr="00CF61CD">
        <w:rPr>
          <w:rStyle w:val="StyleUnderline"/>
        </w:rPr>
        <w:t>beneficial IP system.</w:t>
      </w:r>
      <w:r w:rsidRPr="006A4805">
        <w:rPr>
          <w:sz w:val="16"/>
        </w:rPr>
        <w:t xml:space="preserve"> One early high-profile example is deCode Genetics, which set up and ran the Icelandic Biobank – a private corporation formed under US law but with its physical location in Iceland. This is a common occurrence in the biotech sector, where “most biotech companies in the world are given a fictitious Delaware location for legal, tax and patent advantages” (Pálsson and Rabinow 1999, 14). A</w:t>
      </w:r>
      <w:r>
        <w:rPr>
          <w:rStyle w:val="StyleUnderline"/>
        </w:rPr>
        <w:t xml:space="preserve"> </w:t>
      </w:r>
      <w:r w:rsidRPr="00CF61CD">
        <w:rPr>
          <w:rStyle w:val="StyleUnderline"/>
        </w:rPr>
        <w:t>large proportion of biotech companies are thus actively seeking out the US IP system,</w:t>
      </w:r>
      <w:r>
        <w:rPr>
          <w:rStyle w:val="StyleUnderline"/>
        </w:rPr>
        <w:t xml:space="preserve"> </w:t>
      </w:r>
      <w:r w:rsidRPr="00CF61CD">
        <w:rPr>
          <w:rStyle w:val="StyleUnderline"/>
        </w:rPr>
        <w:t>which is less restrictive than the European approach especially in the area of human</w:t>
      </w:r>
      <w:r>
        <w:rPr>
          <w:rStyle w:val="StyleUnderline"/>
        </w:rPr>
        <w:t xml:space="preserve"> </w:t>
      </w:r>
      <w:r w:rsidRPr="00CF61CD">
        <w:rPr>
          <w:rStyle w:val="StyleUnderline"/>
        </w:rPr>
        <w:t>genetic materials.</w:t>
      </w:r>
      <w:r w:rsidRPr="006A4805">
        <w:rPr>
          <w:sz w:val="16"/>
        </w:rPr>
        <w:t xml:space="preserve"> For example, since the Bayh-Dole Act (1980), the US system allowed for IPRs being derived from publicly funded research projects, “[facilitating] the transfer of technology between academe and industry in the United States, and thereby [enabling] rapid commercialization of basic research problems” (Rajan 2012, 2). This gave rise to the “entrepreneurial university” such as Stanford, which gave a “huge spur to the overall commercialization of biotechnology, and specifically to the development of Silicon Valley”, and has “a full-fledged technology-licensing office that focused exclusively on marketing university inventions” (Ibid., 3, this notion of the entrepreneurial university is now also being implemented outside of the US). </w:t>
      </w:r>
      <w:r w:rsidRPr="00CF61CD">
        <w:rPr>
          <w:rStyle w:val="StyleUnderline"/>
        </w:rPr>
        <w:t>Generous IP provisions such as these gave rise to an extraordinary influence of the</w:t>
      </w:r>
      <w:r>
        <w:rPr>
          <w:rStyle w:val="StyleUnderline"/>
        </w:rPr>
        <w:t xml:space="preserve"> </w:t>
      </w:r>
      <w:r w:rsidRPr="00CF61CD">
        <w:rPr>
          <w:rStyle w:val="StyleUnderline"/>
        </w:rPr>
        <w:t>US within the international biotech sector. Beyond this particular expansion of private</w:t>
      </w:r>
      <w:r>
        <w:rPr>
          <w:rStyle w:val="StyleUnderline"/>
        </w:rPr>
        <w:t xml:space="preserve"> </w:t>
      </w:r>
      <w:r w:rsidRPr="00CF61CD">
        <w:rPr>
          <w:rStyle w:val="StyleUnderline"/>
        </w:rPr>
        <w:t>interests, medical research in general has also become internationalized, as drug trials</w:t>
      </w:r>
      <w:r>
        <w:rPr>
          <w:rStyle w:val="StyleUnderline"/>
        </w:rPr>
        <w:t xml:space="preserve"> </w:t>
      </w:r>
      <w:r w:rsidRPr="00CF61CD">
        <w:rPr>
          <w:rStyle w:val="StyleUnderline"/>
        </w:rPr>
        <w:t>are increasingly recruiting test subjects from countries in which the population is not</w:t>
      </w:r>
      <w:r>
        <w:rPr>
          <w:rStyle w:val="StyleUnderline"/>
        </w:rPr>
        <w:t xml:space="preserve"> </w:t>
      </w:r>
      <w:r w:rsidRPr="00CF61CD">
        <w:rPr>
          <w:rStyle w:val="StyleUnderline"/>
        </w:rPr>
        <w:t>already exposed to a large number of pharmaceuticals, trials can be conducted more</w:t>
      </w:r>
      <w:r>
        <w:rPr>
          <w:rStyle w:val="StyleUnderline"/>
        </w:rPr>
        <w:t xml:space="preserve"> </w:t>
      </w:r>
      <w:r w:rsidRPr="00CF61CD">
        <w:rPr>
          <w:rStyle w:val="StyleUnderline"/>
        </w:rPr>
        <w:t>cheaply, and ethical standards are less strictly enforced (Petryna 2006, 37 and 42).</w:t>
      </w:r>
      <w:r>
        <w:rPr>
          <w:rStyle w:val="StyleUnderline"/>
        </w:rPr>
        <w:t xml:space="preserve"> </w:t>
      </w:r>
      <w:r w:rsidRPr="006A4805">
        <w:rPr>
          <w:sz w:val="16"/>
        </w:rPr>
        <w:t>Within this complex intersection of national and international private and public interests, IPRs’ economic role has been analysed from a variety of perspectives, as the next section shows.</w:t>
      </w:r>
    </w:p>
    <w:p w14:paraId="17D3029F" w14:textId="3E9530B6" w:rsidR="00F37505" w:rsidRDefault="00F37505" w:rsidP="00F37505">
      <w:pPr>
        <w:pStyle w:val="Heading3"/>
      </w:pPr>
      <w:r>
        <w:t>Self-Determination</w:t>
      </w:r>
    </w:p>
    <w:p w14:paraId="6C948A33" w14:textId="77777777" w:rsidR="00F37505" w:rsidRDefault="00F37505" w:rsidP="00F37505">
      <w:pPr>
        <w:pStyle w:val="Heading4"/>
      </w:pPr>
      <w:r>
        <w:t>IP is the bulwark against self-determination—ipr structures discipline citizen demands towards neoliberal ends</w:t>
      </w:r>
    </w:p>
    <w:p w14:paraId="1986C2C3" w14:textId="77777777" w:rsidR="00F37505" w:rsidRPr="006A4805" w:rsidRDefault="00F37505" w:rsidP="00F37505">
      <w:pPr>
        <w:rPr>
          <w:rStyle w:val="Style13ptBold"/>
        </w:rPr>
      </w:pPr>
      <w:r w:rsidRPr="006A4805">
        <w:rPr>
          <w:rStyle w:val="Style13ptBold"/>
        </w:rPr>
        <w:t>Hilberg 15</w:t>
      </w:r>
    </w:p>
    <w:p w14:paraId="61EA6C9C" w14:textId="77777777" w:rsidR="00F37505" w:rsidRPr="006A4805" w:rsidRDefault="00F37505" w:rsidP="00F37505">
      <w:r w:rsidRPr="006A4805">
        <w:t xml:space="preserve">Eva, phD candidate at the University of Sussex. “Intellectual Property and the Genetic Dispositif of Life: The Changing Role of Intellectual Property Law in Governing Participation and Knowledge in the Bioeconomy.” Submitted for the Degree of Doctor of Philosophy University of Sussex, May 2015. Pp </w:t>
      </w:r>
      <w:r>
        <w:t>137-140</w:t>
      </w:r>
      <w:r w:rsidRPr="006A4805">
        <w:t>. LJS</w:t>
      </w:r>
    </w:p>
    <w:p w14:paraId="0405C649" w14:textId="5EF26E49" w:rsidR="00F37505" w:rsidRPr="00F37505" w:rsidRDefault="00F37505" w:rsidP="00F37505">
      <w:pPr>
        <w:rPr>
          <w:u w:val="single"/>
        </w:rPr>
      </w:pPr>
      <w:r w:rsidRPr="00F37505">
        <w:rPr>
          <w:sz w:val="16"/>
        </w:rPr>
        <w:t xml:space="preserve">The “molecularisation” of life (see for example Novas and Rose 2000) shifts the understanding of the ‘nature’ of the subject to a different level, marking a shift of the medical gaze similar to the change in the eighteenth century (see N. Rose 2007b, 4 f.), changing “[n]ot only the names of diseases, not only the grouping of systems were not the same; but the fundamental perceptual codes that were applied to patients’ bodies” (Foucault 1963, 64). </w:t>
      </w:r>
      <w:r w:rsidRPr="00F37505">
        <w:rPr>
          <w:rStyle w:val="StyleUnderline"/>
        </w:rPr>
        <w:t>Novas &amp; Rose term these molecularised concepts of life</w:t>
      </w:r>
      <w:r>
        <w:rPr>
          <w:rStyle w:val="StyleUnderline"/>
        </w:rPr>
        <w:t xml:space="preserve"> </w:t>
      </w:r>
      <w:r w:rsidRPr="00F37505">
        <w:rPr>
          <w:rStyle w:val="StyleUnderline"/>
        </w:rPr>
        <w:t>and of disease a “new ‘molecular optics’” (2000, 48), while Heath, Rapp &amp; Taussig</w:t>
      </w:r>
      <w:r>
        <w:rPr>
          <w:rStyle w:val="StyleUnderline"/>
        </w:rPr>
        <w:t xml:space="preserve"> </w:t>
      </w:r>
      <w:r w:rsidRPr="00F37505">
        <w:rPr>
          <w:rStyle w:val="StyleUnderline"/>
        </w:rPr>
        <w:t>refer to the development of new forms of self-understanding of the individual,</w:t>
      </w:r>
      <w:r>
        <w:rPr>
          <w:rStyle w:val="StyleUnderline"/>
        </w:rPr>
        <w:t xml:space="preserve"> </w:t>
      </w:r>
      <w:r w:rsidRPr="00F37505">
        <w:rPr>
          <w:rStyle w:val="StyleUnderline"/>
        </w:rPr>
        <w:t>adapting to the new ‘truth’ about his/her medical destiny contained in his/her genetic</w:t>
      </w:r>
      <w:r>
        <w:rPr>
          <w:rStyle w:val="StyleUnderline"/>
        </w:rPr>
        <w:t xml:space="preserve"> </w:t>
      </w:r>
      <w:r w:rsidRPr="00F37505">
        <w:rPr>
          <w:rStyle w:val="StyleUnderline"/>
        </w:rPr>
        <w:t>code as “a genetic ‘micro-anatomo-politics’</w:t>
      </w:r>
      <w:r w:rsidRPr="00F37505">
        <w:rPr>
          <w:sz w:val="16"/>
        </w:rPr>
        <w:t xml:space="preserve">” (2004, 154). Importantly, Novas and Rose point out that “[t]hese developments [...] re-shape the ways in which we are governed, and the ways in which we govern ourselves”, “creat[ing] an obligation to act in the present in relation to the potential futures that now come into view” (Novas and Rose 2000, 486). </w:t>
      </w:r>
      <w:r w:rsidRPr="00F37505">
        <w:rPr>
          <w:rStyle w:val="StyleUnderline"/>
        </w:rPr>
        <w:t>This obligation to act in the present according to the demands of potential</w:t>
      </w:r>
      <w:r>
        <w:rPr>
          <w:rStyle w:val="StyleUnderline"/>
        </w:rPr>
        <w:t xml:space="preserve"> </w:t>
      </w:r>
      <w:r w:rsidRPr="00F37505">
        <w:rPr>
          <w:rStyle w:val="StyleUnderline"/>
        </w:rPr>
        <w:t>futures “come[s] into an association with all the other shifts that are assembling</w:t>
      </w:r>
      <w:r>
        <w:rPr>
          <w:rStyle w:val="StyleUnderline"/>
        </w:rPr>
        <w:t xml:space="preserve"> </w:t>
      </w:r>
      <w:r w:rsidRPr="00F37505">
        <w:rPr>
          <w:rStyle w:val="StyleUnderline"/>
        </w:rPr>
        <w:t>somatic individuality, with the norms of enterprising, self-actualizing, responsible</w:t>
      </w:r>
      <w:r>
        <w:rPr>
          <w:rStyle w:val="StyleUnderline"/>
        </w:rPr>
        <w:t xml:space="preserve"> </w:t>
      </w:r>
      <w:r w:rsidRPr="00F37505">
        <w:rPr>
          <w:rStyle w:val="StyleUnderline"/>
        </w:rPr>
        <w:t>personhood that characterize ‘advanced liberal’ societies</w:t>
      </w:r>
      <w:r w:rsidRPr="00F37505">
        <w:rPr>
          <w:sz w:val="16"/>
        </w:rPr>
        <w:t xml:space="preserve">” (Ibid., 488). Subjects are thus incited to operate with reference to these connected identities (or modes of subjectification) of the genetic and enterprising individual. </w:t>
      </w:r>
      <w:r w:rsidRPr="00F37505">
        <w:rPr>
          <w:rStyle w:val="StyleUnderline"/>
        </w:rPr>
        <w:t>In contrast with Novas and</w:t>
      </w:r>
      <w:r>
        <w:rPr>
          <w:rStyle w:val="StyleUnderline"/>
        </w:rPr>
        <w:t xml:space="preserve"> </w:t>
      </w:r>
      <w:r w:rsidRPr="00F37505">
        <w:rPr>
          <w:rStyle w:val="StyleUnderline"/>
        </w:rPr>
        <w:t>Rose’s focus on the individual, Raman and Tutton stress that the influence of the life sciences does not only amount to a ‘disciplining’ of the individual’s conduct, but still</w:t>
      </w:r>
      <w:r>
        <w:rPr>
          <w:rStyle w:val="StyleUnderline"/>
        </w:rPr>
        <w:t xml:space="preserve"> </w:t>
      </w:r>
      <w:r w:rsidRPr="00F37505">
        <w:rPr>
          <w:rStyle w:val="StyleUnderline"/>
        </w:rPr>
        <w:t>remains connected to knowledge generated at the level of the population</w:t>
      </w:r>
      <w:r w:rsidRPr="00F37505">
        <w:rPr>
          <w:sz w:val="16"/>
        </w:rPr>
        <w:t xml:space="preserve"> (Raman and Tutton 2010, 721). Critiquing notions of a wholesale transformation of Foucault’s “old biopolitics from above” to a “new biopolitics from below”, they argue that “truth discourses about life contain a hybrid of molecular and population categories” (Ibid., 722). </w:t>
      </w:r>
      <w:r w:rsidRPr="00F37505">
        <w:rPr>
          <w:rStyle w:val="StyleUnderline"/>
        </w:rPr>
        <w:t>Thus “old” and “new” modes of biopolitics coexist in the molecular age, giving</w:t>
      </w:r>
      <w:r>
        <w:rPr>
          <w:rStyle w:val="StyleUnderline"/>
        </w:rPr>
        <w:t xml:space="preserve"> </w:t>
      </w:r>
      <w:r w:rsidRPr="00F37505">
        <w:rPr>
          <w:rStyle w:val="StyleUnderline"/>
        </w:rPr>
        <w:t>rise to population-based governmental interventions such as national biobanks and</w:t>
      </w:r>
      <w:r>
        <w:rPr>
          <w:rStyle w:val="StyleUnderline"/>
        </w:rPr>
        <w:t xml:space="preserve"> </w:t>
      </w:r>
      <w:r w:rsidRPr="00F37505">
        <w:rPr>
          <w:rStyle w:val="StyleUnderline"/>
        </w:rPr>
        <w:t>“strategies for infection control”, as well as a new “pastoral or enabling” role of the</w:t>
      </w:r>
      <w:r>
        <w:rPr>
          <w:rStyle w:val="StyleUnderline"/>
        </w:rPr>
        <w:t xml:space="preserve"> </w:t>
      </w:r>
      <w:r w:rsidRPr="00F37505">
        <w:rPr>
          <w:rStyle w:val="StyleUnderline"/>
        </w:rPr>
        <w:t>state (Ibid.).</w:t>
      </w:r>
      <w:r>
        <w:rPr>
          <w:rStyle w:val="StyleUnderline"/>
        </w:rPr>
        <w:t xml:space="preserve"> </w:t>
      </w:r>
      <w:r w:rsidRPr="00F37505">
        <w:rPr>
          <w:sz w:val="16"/>
        </w:rPr>
        <w:t xml:space="preserve">At the heart of a new biopolitics “from below”, the concept of biological citizenship (or genetic citizenship)66 encapsulates the rights claimed by the active patient within this new somatic ethics. Based on the biological condition of the entrepreneur of the self, these rights have the potential to challenge governance and health providers, “[articulating] claims to participation in social and political life and to the recognition of certain individuals’ or groups’ identities, expertise and specific needs based on their (supposedly) biological or genetic conditions” (Wehling 2011, 225).67 In particular, “these practices challenge conventional notions of a divide between lay people and experts” (Heath, Rapp, and Taussig 2004, 152). </w:t>
      </w:r>
      <w:r w:rsidRPr="00F37505">
        <w:rPr>
          <w:rStyle w:val="StyleUnderline"/>
        </w:rPr>
        <w:t>While Novas</w:t>
      </w:r>
      <w:r>
        <w:rPr>
          <w:rStyle w:val="StyleUnderline"/>
        </w:rPr>
        <w:t xml:space="preserve"> </w:t>
      </w:r>
      <w:r w:rsidRPr="00F37505">
        <w:rPr>
          <w:rStyle w:val="StyleUnderline"/>
        </w:rPr>
        <w:t>(2006) and Rose (2007b) respectively emphasise the power of ‘hope’ in generating</w:t>
      </w:r>
      <w:r>
        <w:rPr>
          <w:rStyle w:val="StyleUnderline"/>
        </w:rPr>
        <w:t xml:space="preserve"> </w:t>
      </w:r>
      <w:r w:rsidRPr="00F37505">
        <w:rPr>
          <w:rStyle w:val="StyleUnderline"/>
        </w:rPr>
        <w:t>demands made by patients and patient organisations, Wehling cautions against</w:t>
      </w:r>
      <w:r>
        <w:rPr>
          <w:rStyle w:val="StyleUnderline"/>
        </w:rPr>
        <w:t xml:space="preserve"> </w:t>
      </w:r>
      <w:r w:rsidRPr="00F37505">
        <w:rPr>
          <w:rStyle w:val="StyleUnderline"/>
        </w:rPr>
        <w:t>overstatements in this direction by drawing attention to the contrast between new</w:t>
      </w:r>
      <w:r>
        <w:rPr>
          <w:rStyle w:val="StyleUnderline"/>
        </w:rPr>
        <w:t xml:space="preserve"> </w:t>
      </w:r>
      <w:r w:rsidRPr="00F37505">
        <w:rPr>
          <w:rStyle w:val="StyleUnderline"/>
        </w:rPr>
        <w:t>demands and the amount of new responsibilities imposed on the individual “to</w:t>
      </w:r>
      <w:r>
        <w:rPr>
          <w:rStyle w:val="StyleUnderline"/>
        </w:rPr>
        <w:t xml:space="preserve"> </w:t>
      </w:r>
      <w:r w:rsidRPr="00F37505">
        <w:rPr>
          <w:rStyle w:val="StyleUnderline"/>
        </w:rPr>
        <w:t>optimize ‘healthy’ bodies and minds” (Wehling 2011, 227).</w:t>
      </w:r>
      <w:r>
        <w:rPr>
          <w:rStyle w:val="StyleUnderline"/>
        </w:rPr>
        <w:t xml:space="preserve"> </w:t>
      </w:r>
      <w:r w:rsidRPr="00F37505">
        <w:rPr>
          <w:sz w:val="16"/>
        </w:rPr>
        <w:t xml:space="preserve">The clearest examples of biological citizens are for instance patient groups, which are formed around a common genetic condition (such as Huntington’s disease or PXE). These patient groups can organise support for their condition more effectively and make more successful demands for research on that condition than any individual patient would be able to make. They can liaise with pharmaceutical companies and serve as research repositories for them, which also can improve the amount of research done with regards to their particular condition. Patients of more complex diseases such as arthritis and diabetes are also increasingly organising in this way (Heath, Rapp, and Taussig 2004, 159). </w:t>
      </w:r>
      <w:r w:rsidRPr="00F37505">
        <w:rPr>
          <w:rStyle w:val="StyleUnderline"/>
        </w:rPr>
        <w:t>At its most successful point, this</w:t>
      </w:r>
      <w:r>
        <w:rPr>
          <w:rStyle w:val="StyleUnderline"/>
        </w:rPr>
        <w:t xml:space="preserve"> </w:t>
      </w:r>
      <w:r w:rsidRPr="00F37505">
        <w:rPr>
          <w:rStyle w:val="StyleUnderline"/>
        </w:rPr>
        <w:t>activation of patients has the potential to radically reverse the roles between experts</w:t>
      </w:r>
      <w:r>
        <w:rPr>
          <w:rStyle w:val="StyleUnderline"/>
        </w:rPr>
        <w:t xml:space="preserve"> </w:t>
      </w:r>
      <w:r w:rsidRPr="00F37505">
        <w:rPr>
          <w:rStyle w:val="StyleUnderline"/>
        </w:rPr>
        <w:t>and patients, as Novas &amp; Rose find: “the ill patients themselves, those</w:t>
      </w:r>
      <w:r>
        <w:rPr>
          <w:rStyle w:val="StyleUnderline"/>
        </w:rPr>
        <w:t xml:space="preserve"> </w:t>
      </w:r>
      <w:r w:rsidRPr="00F37505">
        <w:rPr>
          <w:rStyle w:val="StyleUnderline"/>
        </w:rPr>
        <w:t>‘asymptomatically ill’ and their families [...] are increasingly demanding control over</w:t>
      </w:r>
      <w:r>
        <w:rPr>
          <w:rStyle w:val="StyleUnderline"/>
        </w:rPr>
        <w:t xml:space="preserve"> </w:t>
      </w:r>
      <w:r w:rsidRPr="00F37505">
        <w:rPr>
          <w:rStyle w:val="StyleUnderline"/>
        </w:rPr>
        <w:t>the practices linked to their own health, seeking multiple forms of expert and nonexpert advice in devising their life strategies, and asking of medics that they act as the</w:t>
      </w:r>
      <w:r>
        <w:rPr>
          <w:rStyle w:val="StyleUnderline"/>
        </w:rPr>
        <w:t xml:space="preserve"> </w:t>
      </w:r>
      <w:r w:rsidRPr="00F37505">
        <w:rPr>
          <w:rStyle w:val="StyleUnderline"/>
        </w:rPr>
        <w:t>servants and not the masters of this process” (Novas and Rose 2000, 490).68 However,</w:t>
      </w:r>
      <w:r>
        <w:rPr>
          <w:rStyle w:val="StyleUnderline"/>
        </w:rPr>
        <w:t xml:space="preserve"> </w:t>
      </w:r>
      <w:r w:rsidRPr="00F37505">
        <w:rPr>
          <w:rStyle w:val="StyleUnderline"/>
        </w:rPr>
        <w:t>this radical potential is limited by the simultaneously increasing moral duties of the</w:t>
      </w:r>
      <w:r>
        <w:rPr>
          <w:rStyle w:val="StyleUnderline"/>
        </w:rPr>
        <w:t xml:space="preserve"> </w:t>
      </w:r>
      <w:r w:rsidRPr="00F37505">
        <w:rPr>
          <w:rStyle w:val="StyleUnderline"/>
        </w:rPr>
        <w:t>individual, as Wehling points out.</w:t>
      </w:r>
      <w:r>
        <w:rPr>
          <w:rStyle w:val="StyleUnderline"/>
        </w:rPr>
        <w:t xml:space="preserve"> </w:t>
      </w:r>
      <w:r w:rsidRPr="00F37505">
        <w:rPr>
          <w:rStyle w:val="StyleUnderline"/>
        </w:rPr>
        <w:t>Most critically, the mobilising influence of hope for new treatments further</w:t>
      </w:r>
      <w:r>
        <w:rPr>
          <w:rStyle w:val="StyleUnderline"/>
        </w:rPr>
        <w:t xml:space="preserve"> </w:t>
      </w:r>
      <w:r w:rsidRPr="00F37505">
        <w:rPr>
          <w:rStyle w:val="StyleUnderline"/>
        </w:rPr>
        <w:t>essentialises conceptions of ‘good’ patients, which actively participate in</w:t>
      </w:r>
      <w:r>
        <w:rPr>
          <w:rStyle w:val="StyleUnderline"/>
        </w:rPr>
        <w:t xml:space="preserve"> </w:t>
      </w:r>
      <w:r w:rsidRPr="00F37505">
        <w:rPr>
          <w:rStyle w:val="StyleUnderline"/>
        </w:rPr>
        <w:t>pharmaceutical trials and the formation of biobanks etc., and thus are contributing to</w:t>
      </w:r>
      <w:r>
        <w:rPr>
          <w:rStyle w:val="StyleUnderline"/>
        </w:rPr>
        <w:t xml:space="preserve"> </w:t>
      </w:r>
      <w:r w:rsidRPr="00F37505">
        <w:rPr>
          <w:rStyle w:val="StyleUnderline"/>
        </w:rPr>
        <w:t>the generation of knowledge – but also of economic value</w:t>
      </w:r>
      <w:r w:rsidRPr="00F37505">
        <w:rPr>
          <w:sz w:val="16"/>
        </w:rPr>
        <w:t xml:space="preserve">. In particular, “deeply emotional representations of the fears and hopes of sufferers, and their expectations that new medical technologies will deliver them from their suffering, structure many popular representations of patients and their illnesses, and are often deployed by medical charities, support groups and others in seeking to raise funds to keep that hope alive.” (N. Rose 2007b, 136, quoting from Nik Brown) </w:t>
      </w:r>
      <w:r w:rsidRPr="00F37505">
        <w:rPr>
          <w:rStyle w:val="StyleUnderline"/>
        </w:rPr>
        <w:t>The power of hope thus not only gives rise to biopolitical challenges, but also</w:t>
      </w:r>
      <w:r>
        <w:rPr>
          <w:rStyle w:val="StyleUnderline"/>
        </w:rPr>
        <w:t xml:space="preserve"> </w:t>
      </w:r>
      <w:r w:rsidRPr="00F37505">
        <w:rPr>
          <w:rStyle w:val="StyleUnderline"/>
        </w:rPr>
        <w:t>engenders subjectivities that contribute to the production of economic value. The</w:t>
      </w:r>
      <w:r>
        <w:rPr>
          <w:rStyle w:val="StyleUnderline"/>
        </w:rPr>
        <w:t xml:space="preserve"> </w:t>
      </w:r>
      <w:r w:rsidRPr="00F37505">
        <w:rPr>
          <w:rStyle w:val="StyleUnderline"/>
        </w:rPr>
        <w:t>invocation of the power of biological citizens is in this way tempered by an “‘elective</w:t>
      </w:r>
      <w:r>
        <w:rPr>
          <w:rStyle w:val="StyleUnderline"/>
        </w:rPr>
        <w:t xml:space="preserve"> </w:t>
      </w:r>
      <w:r w:rsidRPr="00F37505">
        <w:rPr>
          <w:rStyle w:val="StyleUnderline"/>
        </w:rPr>
        <w:t>affinity’ between the spirit of biocapital and our contemporary somatic ethic</w:t>
      </w:r>
      <w:r w:rsidRPr="00F37505">
        <w:rPr>
          <w:sz w:val="16"/>
        </w:rPr>
        <w:t xml:space="preserve">” (N. Rose 2007a, 5). </w:t>
      </w:r>
      <w:r w:rsidRPr="00F37505">
        <w:rPr>
          <w:rStyle w:val="StyleUnderline"/>
        </w:rPr>
        <w:t>The remainder of this chapter argues that IP is central to the management of</w:t>
      </w:r>
      <w:r>
        <w:rPr>
          <w:rStyle w:val="StyleUnderline"/>
        </w:rPr>
        <w:t xml:space="preserve"> </w:t>
      </w:r>
      <w:r w:rsidRPr="00F37505">
        <w:rPr>
          <w:rStyle w:val="StyleUnderline"/>
        </w:rPr>
        <w:t>this “elective affinity” and contributes to the governing of demands made by patients</w:t>
      </w:r>
      <w:r>
        <w:rPr>
          <w:rStyle w:val="StyleUnderline"/>
        </w:rPr>
        <w:t xml:space="preserve"> </w:t>
      </w:r>
      <w:r w:rsidRPr="00F37505">
        <w:rPr>
          <w:rStyle w:val="StyleUnderline"/>
        </w:rPr>
        <w:t>by maintaining a division between the realm of economic relations and the</w:t>
      </w:r>
      <w:r>
        <w:rPr>
          <w:rStyle w:val="StyleUnderline"/>
        </w:rPr>
        <w:t xml:space="preserve"> </w:t>
      </w:r>
      <w:r w:rsidRPr="00F37505">
        <w:rPr>
          <w:rStyle w:val="StyleUnderline"/>
        </w:rPr>
        <w:t>biopolitical challenge of active patients. This exclusionary function prevents the bioeconomy from being affected by a potentially radical role reversal between</w:t>
      </w:r>
      <w:r>
        <w:rPr>
          <w:rStyle w:val="StyleUnderline"/>
        </w:rPr>
        <w:t xml:space="preserve"> </w:t>
      </w:r>
      <w:r w:rsidRPr="00F37505">
        <w:rPr>
          <w:rStyle w:val="StyleUnderline"/>
        </w:rPr>
        <w:t>patients and experts</w:t>
      </w:r>
      <w:r w:rsidRPr="00F37505">
        <w:rPr>
          <w:sz w:val="16"/>
        </w:rPr>
        <w:t xml:space="preserve">. The next section of this chapter shows how the IP regime maintains a separate sphere of (bio)economic value by structuring the participation of active patients (or biological citizens) in this area. </w:t>
      </w:r>
      <w:r w:rsidRPr="00F37505">
        <w:rPr>
          <w:rStyle w:val="StyleUnderline"/>
        </w:rPr>
        <w:t>While alternative models of</w:t>
      </w:r>
      <w:r>
        <w:rPr>
          <w:rStyle w:val="StyleUnderline"/>
        </w:rPr>
        <w:t xml:space="preserve"> </w:t>
      </w:r>
      <w:r w:rsidRPr="00F37505">
        <w:rPr>
          <w:rStyle w:val="StyleUnderline"/>
        </w:rPr>
        <w:t>participation are explored in examples of citizens’ science, an analysis of debates</w:t>
      </w:r>
      <w:r>
        <w:rPr>
          <w:rStyle w:val="StyleUnderline"/>
        </w:rPr>
        <w:t xml:space="preserve"> </w:t>
      </w:r>
      <w:r w:rsidRPr="00F37505">
        <w:rPr>
          <w:rStyle w:val="StyleUnderline"/>
        </w:rPr>
        <w:t>around participation by “research patients” or “research citizens” shows how the</w:t>
      </w:r>
      <w:r>
        <w:rPr>
          <w:rStyle w:val="StyleUnderline"/>
        </w:rPr>
        <w:t xml:space="preserve"> </w:t>
      </w:r>
      <w:r w:rsidRPr="00F37505">
        <w:rPr>
          <w:rStyle w:val="StyleUnderline"/>
        </w:rPr>
        <w:t>demands of genetic citizens are being controlled. While patients are increasingly</w:t>
      </w:r>
      <w:r>
        <w:rPr>
          <w:rStyle w:val="StyleUnderline"/>
        </w:rPr>
        <w:t xml:space="preserve"> </w:t>
      </w:r>
      <w:r w:rsidRPr="00F37505">
        <w:rPr>
          <w:rStyle w:val="StyleUnderline"/>
        </w:rPr>
        <w:t>incited to fulfil a new responsibility of voluntary participation in trials and research,</w:t>
      </w:r>
      <w:r>
        <w:rPr>
          <w:rStyle w:val="StyleUnderline"/>
        </w:rPr>
        <w:t xml:space="preserve"> </w:t>
      </w:r>
      <w:r w:rsidRPr="00F37505">
        <w:rPr>
          <w:rStyle w:val="StyleUnderline"/>
        </w:rPr>
        <w:t>the bioeconomy still functions by remaining largely closed off from decisive</w:t>
      </w:r>
      <w:r>
        <w:rPr>
          <w:rStyle w:val="StyleUnderline"/>
        </w:rPr>
        <w:t xml:space="preserve"> </w:t>
      </w:r>
      <w:r w:rsidRPr="00F37505">
        <w:rPr>
          <w:rStyle w:val="StyleUnderline"/>
        </w:rPr>
        <w:t>influence exerted by patients on the use of donated materials in Rose’s “transnational</w:t>
      </w:r>
      <w:r>
        <w:rPr>
          <w:rStyle w:val="StyleUnderline"/>
        </w:rPr>
        <w:t xml:space="preserve"> </w:t>
      </w:r>
      <w:r w:rsidRPr="00F37505">
        <w:rPr>
          <w:rStyle w:val="StyleUnderline"/>
        </w:rPr>
        <w:t>circuits of vitality” (N. Rose 2008a, 46). This management of biopolitical challenges</w:t>
      </w:r>
      <w:r>
        <w:rPr>
          <w:rStyle w:val="StyleUnderline"/>
        </w:rPr>
        <w:t xml:space="preserve"> </w:t>
      </w:r>
      <w:r w:rsidRPr="00F37505">
        <w:rPr>
          <w:rStyle w:val="StyleUnderline"/>
        </w:rPr>
        <w:t>“from below” (Raman and Tutton 2010, 722) is then also traced in emerging</w:t>
      </w:r>
      <w:r>
        <w:rPr>
          <w:rStyle w:val="StyleUnderline"/>
        </w:rPr>
        <w:t xml:space="preserve"> </w:t>
      </w:r>
      <w:r w:rsidRPr="00F37505">
        <w:rPr>
          <w:rStyle w:val="StyleUnderline"/>
        </w:rPr>
        <w:t>challenges to the exclusionary function of IP in an international version of a “new</w:t>
      </w:r>
      <w:r>
        <w:rPr>
          <w:rStyle w:val="StyleUnderline"/>
        </w:rPr>
        <w:t xml:space="preserve"> </w:t>
      </w:r>
      <w:r w:rsidRPr="00F37505">
        <w:rPr>
          <w:rStyle w:val="StyleUnderline"/>
        </w:rPr>
        <w:t>moral economy of R&amp;D” (Lezaun and Montgomery 2015, 5) – representing an</w:t>
      </w:r>
      <w:r>
        <w:rPr>
          <w:rStyle w:val="StyleUnderline"/>
        </w:rPr>
        <w:t xml:space="preserve"> </w:t>
      </w:r>
      <w:r w:rsidRPr="00F37505">
        <w:rPr>
          <w:rStyle w:val="StyleUnderline"/>
        </w:rPr>
        <w:t>international version of the “biopolitics from above”.</w:t>
      </w:r>
    </w:p>
    <w:p w14:paraId="0D6E374E" w14:textId="77777777" w:rsidR="00D75E79" w:rsidRDefault="00D75E79" w:rsidP="00D75E79">
      <w:pPr>
        <w:pStyle w:val="Heading3"/>
      </w:pPr>
      <w:r>
        <w:t>AT Biopower Good</w:t>
      </w:r>
    </w:p>
    <w:p w14:paraId="584C701E" w14:textId="77777777" w:rsidR="00D75E79" w:rsidRPr="00464679" w:rsidRDefault="00D75E79" w:rsidP="00D75E79">
      <w:pPr>
        <w:pStyle w:val="Heading4"/>
        <w:rPr>
          <w:rFonts w:eastAsia="Times New Roman" w:cs="Calibri"/>
        </w:rPr>
      </w:pPr>
      <w:r w:rsidRPr="00464679">
        <w:rPr>
          <w:rFonts w:eastAsia="Times New Roman" w:cs="Calibri"/>
        </w:rPr>
        <w:t>The idea of a possible utopian state leads to mass failure.</w:t>
      </w:r>
    </w:p>
    <w:p w14:paraId="0776255D" w14:textId="77777777" w:rsidR="00D75E79" w:rsidRPr="00464679" w:rsidRDefault="00D75E79" w:rsidP="00D75E79">
      <w:pPr>
        <w:rPr>
          <w:rStyle w:val="Style13ptBold"/>
          <w:b w:val="0"/>
          <w:bCs w:val="0"/>
        </w:rPr>
      </w:pPr>
      <w:r w:rsidRPr="00464679">
        <w:rPr>
          <w:rStyle w:val="Style13ptBold"/>
        </w:rPr>
        <w:t>Ellis 16</w:t>
      </w:r>
      <w:r w:rsidRPr="00464679">
        <w:rPr>
          <w:rStyle w:val="Style13ptBold"/>
          <w:b w:val="0"/>
          <w:bCs w:val="0"/>
        </w:rPr>
        <w:t xml:space="preserve"> [Cameron Ellis, Assistant Professor at Stanford University, “The Ethics of Unseeing: Exploring Utopia between Miéville and Agamben”, Trent University,</w:t>
      </w:r>
      <w:r w:rsidRPr="00464679">
        <w:t xml:space="preserve"> </w:t>
      </w:r>
      <w:r w:rsidRPr="00464679">
        <w:rPr>
          <w:rStyle w:val="Style13ptBold"/>
          <w:b w:val="0"/>
          <w:bCs w:val="0"/>
        </w:rPr>
        <w:t>https://www.routledge.com/The-Ethics-of-a-Potential-Urbanism-RPD-Critical-encounters-between-Giorgio/Boano/p/book/9781138616608, DSB]</w:t>
      </w:r>
    </w:p>
    <w:p w14:paraId="5A841AEE" w14:textId="77777777" w:rsidR="00D75E79" w:rsidRPr="00D75E79" w:rsidRDefault="00D75E79" w:rsidP="00D75E79">
      <w:pPr>
        <w:pStyle w:val="NormalWeb"/>
        <w:rPr>
          <w:u w:val="single"/>
        </w:rPr>
      </w:pPr>
      <w:r w:rsidRPr="00464679">
        <w:rPr>
          <w:rFonts w:eastAsia="Times New Roman"/>
          <w:sz w:val="16"/>
        </w:rPr>
        <w:t xml:space="preserve">This article is not grounded in sociological theory </w:t>
      </w:r>
      <w:r w:rsidRPr="00464679">
        <w:rPr>
          <w:rFonts w:eastAsia="Times New Roman"/>
          <w:i/>
          <w:iCs/>
          <w:sz w:val="16"/>
        </w:rPr>
        <w:t>per se</w:t>
      </w:r>
      <w:r w:rsidRPr="00464679">
        <w:rPr>
          <w:rFonts w:eastAsia="Times New Roman"/>
          <w:sz w:val="16"/>
        </w:rPr>
        <w:t xml:space="preserve">; however, it does argue that a contribution to the field itself may be found in otherwise strictly literary or philosophical texts. </w:t>
      </w:r>
      <w:r w:rsidRPr="00464679">
        <w:rPr>
          <w:rFonts w:eastAsia="Times New Roman"/>
          <w:u w:val="single"/>
        </w:rPr>
        <w:t>Recent sociopolitical uprisings have again demonstrated the tendency to think that genuine change can only be enacted through mass revol</w:t>
      </w:r>
      <w:r w:rsidRPr="00464679">
        <w:rPr>
          <w:rFonts w:eastAsia="Times New Roman"/>
          <w:sz w:val="16"/>
        </w:rPr>
        <w:t xml:space="preserve">t. Critics and opponents of these movements have pejoratively declared them failure because they </w:t>
      </w:r>
      <w:r w:rsidRPr="00464679">
        <w:rPr>
          <w:rFonts w:eastAsia="Times New Roman"/>
          <w:u w:val="single"/>
        </w:rPr>
        <w:t>lack a “</w:t>
      </w:r>
      <w:r w:rsidRPr="00464679">
        <w:rPr>
          <w:rFonts w:eastAsia="Times New Roman"/>
          <w:b/>
          <w:bCs/>
          <w:u w:val="single"/>
        </w:rPr>
        <w:t>positive vision</w:t>
      </w:r>
      <w:r w:rsidRPr="00464679">
        <w:rPr>
          <w:rFonts w:eastAsia="Times New Roman"/>
          <w:sz w:val="16"/>
        </w:rPr>
        <w:t xml:space="preserve">”. </w:t>
      </w:r>
      <w:r w:rsidRPr="00464679">
        <w:rPr>
          <w:rFonts w:eastAsia="Times New Roman"/>
          <w:u w:val="single"/>
        </w:rPr>
        <w:t xml:space="preserve">Is there a crisis in </w:t>
      </w:r>
      <w:r w:rsidRPr="00464679">
        <w:rPr>
          <w:rFonts w:eastAsia="Times New Roman"/>
          <w:b/>
          <w:bCs/>
          <w:u w:val="single"/>
        </w:rPr>
        <w:t>utopian</w:t>
      </w:r>
      <w:r w:rsidRPr="00464679">
        <w:rPr>
          <w:rFonts w:eastAsia="Times New Roman"/>
          <w:u w:val="single"/>
        </w:rPr>
        <w:t xml:space="preserve"> thinking today?</w:t>
      </w:r>
      <w:r w:rsidRPr="00464679">
        <w:rPr>
          <w:rFonts w:eastAsia="Times New Roman"/>
          <w:sz w:val="16"/>
        </w:rPr>
        <w:t xml:space="preserve"> Perhaps. </w:t>
      </w:r>
      <w:r w:rsidRPr="00464679">
        <w:rPr>
          <w:rFonts w:eastAsia="Times New Roman"/>
          <w:u w:val="single"/>
        </w:rPr>
        <w:t xml:space="preserve">It is thought that mass movements constitute a power onto themselves capable of bringing about </w:t>
      </w:r>
      <w:r w:rsidRPr="00464679">
        <w:rPr>
          <w:rFonts w:eastAsia="Times New Roman"/>
          <w:b/>
          <w:bCs/>
          <w:u w:val="single"/>
        </w:rPr>
        <w:t>genuine change</w:t>
      </w:r>
      <w:r w:rsidRPr="00464679">
        <w:rPr>
          <w:rFonts w:eastAsia="Times New Roman"/>
          <w:u w:val="single"/>
        </w:rPr>
        <w:t xml:space="preserve"> in the world. However, these movements are eventually met with what Slavoj Žižek calls “the </w:t>
      </w:r>
      <w:r w:rsidRPr="00464679">
        <w:rPr>
          <w:rFonts w:eastAsia="Times New Roman"/>
          <w:b/>
          <w:bCs/>
          <w:u w:val="single"/>
        </w:rPr>
        <w:t xml:space="preserve">proverbial </w:t>
      </w:r>
      <w:r w:rsidRPr="00464679">
        <w:rPr>
          <w:rFonts w:eastAsia="Times New Roman"/>
          <w:u w:val="single"/>
        </w:rPr>
        <w:t>morning after question” (What happens tomorrow morning?)</w:t>
      </w:r>
      <w:r w:rsidRPr="00464679">
        <w:rPr>
          <w:rFonts w:eastAsia="Times New Roman"/>
          <w:sz w:val="16"/>
        </w:rPr>
        <w:t xml:space="preserve"> (see Žižek, 2012). Maybe the masses are not the only valid conduit by which to change the system; </w:t>
      </w:r>
      <w:r w:rsidRPr="00464679">
        <w:rPr>
          <w:rFonts w:eastAsia="Times New Roman"/>
          <w:u w:val="single"/>
        </w:rPr>
        <w:t>what is needed is a personal comportment to the world which allows for continuous utopian potential to be lived through and change enacted through</w:t>
      </w:r>
      <w:r w:rsidRPr="00464679">
        <w:rPr>
          <w:rFonts w:eastAsia="Times New Roman"/>
          <w:sz w:val="16"/>
        </w:rPr>
        <w:t xml:space="preserve">. Perhaps one ought to revisit the site of the individual for a possible analysis of overlooked utopian potential. To begin the return to the individual I propose a quasi-hermeneutic move </w:t>
      </w:r>
      <w:r w:rsidRPr="00464679">
        <w:rPr>
          <w:rFonts w:eastAsia="Times New Roman"/>
          <w:u w:val="single"/>
        </w:rPr>
        <w:t>to address the concept of utopia itself, originating as it did with the work of Thomas More in 1516.</w:t>
      </w:r>
      <w:r w:rsidRPr="00464679">
        <w:rPr>
          <w:sz w:val="16"/>
        </w:rPr>
        <w:t xml:space="preserve"> Fátima Vieira writes that More’s </w:t>
      </w:r>
      <w:r w:rsidRPr="00464679">
        <w:rPr>
          <w:b/>
          <w:bCs/>
          <w:sz w:val="16"/>
        </w:rPr>
        <w:t>imaginary island</w:t>
      </w:r>
      <w:r w:rsidRPr="00464679">
        <w:rPr>
          <w:sz w:val="16"/>
        </w:rPr>
        <w:t xml:space="preserve"> was originally to be called “Nusquama”, from the Latin word “Nusquam”, which means “nowhere”, “no place”, “on no occasion”.</w:t>
      </w:r>
      <w:r w:rsidRPr="00464679">
        <w:rPr>
          <w:u w:val="single"/>
        </w:rPr>
        <w:t xml:space="preserve"> However, More wanted to convey a meaning that exceeded this notion. Inspired by the travel/imperial expeditions of his time (e.g., Amerigo Vespucci, Christopher Columbus, and Angelo Poliziano) and the then blossoming capitalist markets, More wanted the name of his fictional island to</w:t>
      </w:r>
      <w:r w:rsidRPr="00464679">
        <w:rPr>
          <w:sz w:val="16"/>
        </w:rPr>
        <w:t xml:space="preserve"> </w:t>
      </w:r>
      <w:r w:rsidRPr="00464679">
        <w:rPr>
          <w:u w:val="single"/>
        </w:rPr>
        <w:t xml:space="preserve">reflect a sense of possibility and </w:t>
      </w:r>
      <w:r w:rsidRPr="00464679">
        <w:rPr>
          <w:b/>
          <w:bCs/>
          <w:u w:val="single"/>
        </w:rPr>
        <w:t>hope</w:t>
      </w:r>
      <w:r w:rsidRPr="00464679">
        <w:rPr>
          <w:u w:val="single"/>
        </w:rPr>
        <w:t xml:space="preserve"> that the Otherness of these new lands</w:t>
      </w:r>
      <w:r w:rsidRPr="00464679">
        <w:rPr>
          <w:sz w:val="16"/>
        </w:rPr>
        <w:t xml:space="preserve"> (the New World) would bring for Europe. Furthermore, More wanted to convey the idea of an ideal society that “existed” somehow without being reified </w:t>
      </w:r>
      <w:r w:rsidRPr="00464679">
        <w:rPr>
          <w:i/>
          <w:iCs/>
          <w:sz w:val="16"/>
        </w:rPr>
        <w:t xml:space="preserve">qua </w:t>
      </w:r>
      <w:r w:rsidRPr="00464679">
        <w:rPr>
          <w:sz w:val="16"/>
        </w:rPr>
        <w:t xml:space="preserve">plan as in the </w:t>
      </w:r>
      <w:r w:rsidRPr="00464679">
        <w:rPr>
          <w:i/>
          <w:iCs/>
          <w:sz w:val="16"/>
        </w:rPr>
        <w:t xml:space="preserve">Republic </w:t>
      </w:r>
      <w:r w:rsidRPr="00464679">
        <w:rPr>
          <w:sz w:val="16"/>
        </w:rPr>
        <w:t xml:space="preserve">or </w:t>
      </w:r>
      <w:r w:rsidRPr="00464679">
        <w:rPr>
          <w:i/>
          <w:iCs/>
          <w:sz w:val="16"/>
        </w:rPr>
        <w:t xml:space="preserve">Laws </w:t>
      </w:r>
      <w:r w:rsidRPr="00464679">
        <w:rPr>
          <w:sz w:val="16"/>
        </w:rPr>
        <w:t xml:space="preserve">of Plato (Vieira, 2010: 3-4). As such the Western tradition was indelibly marked by what I will call – echoing Alain Badiou – </w:t>
      </w:r>
      <w:r w:rsidRPr="00464679">
        <w:rPr>
          <w:u w:val="single"/>
        </w:rPr>
        <w:t>the More-Event: the invention of the word “</w:t>
      </w:r>
      <w:r w:rsidRPr="00464679">
        <w:rPr>
          <w:b/>
          <w:bCs/>
          <w:u w:val="single"/>
        </w:rPr>
        <w:t>utopia</w:t>
      </w:r>
      <w:r w:rsidRPr="00464679">
        <w:rPr>
          <w:u w:val="single"/>
        </w:rPr>
        <w:t>”: “derived from the Greek ‘</w:t>
      </w:r>
      <w:r w:rsidRPr="00464679">
        <w:rPr>
          <w:i/>
          <w:iCs/>
          <w:u w:val="single"/>
        </w:rPr>
        <w:t>ou</w:t>
      </w:r>
      <w:r w:rsidRPr="00464679">
        <w:rPr>
          <w:u w:val="single"/>
        </w:rPr>
        <w:t>’ (‘non-’) and ‘</w:t>
      </w:r>
      <w:r w:rsidRPr="00464679">
        <w:rPr>
          <w:i/>
          <w:iCs/>
          <w:u w:val="single"/>
        </w:rPr>
        <w:t>topos</w:t>
      </w:r>
      <w:r w:rsidRPr="00464679">
        <w:rPr>
          <w:u w:val="single"/>
        </w:rPr>
        <w:t>’ (‘place’), means ‘</w:t>
      </w:r>
      <w:r w:rsidRPr="00464679">
        <w:rPr>
          <w:b/>
          <w:bCs/>
          <w:u w:val="single"/>
        </w:rPr>
        <w:t>no-place’</w:t>
      </w:r>
      <w:r w:rsidRPr="00464679">
        <w:rPr>
          <w:u w:val="single"/>
        </w:rPr>
        <w:t xml:space="preserve"> (with a possible pun on ‘</w:t>
      </w:r>
      <w:r w:rsidRPr="00464679">
        <w:rPr>
          <w:i/>
          <w:iCs/>
          <w:u w:val="single"/>
        </w:rPr>
        <w:t>eu</w:t>
      </w:r>
      <w:r w:rsidRPr="00464679">
        <w:rPr>
          <w:u w:val="single"/>
        </w:rPr>
        <w:t>’ (‘good’): ‘good-place’)</w:t>
      </w:r>
      <w:r w:rsidRPr="00464679">
        <w:rPr>
          <w:sz w:val="16"/>
        </w:rPr>
        <w:t xml:space="preserve">” (Bruce, 2008: xxi). The use of the Greek over the Latin in the naming of Utopia was also intended as a homage to the Classical Ancient period of the Greeks that was thought by those </w:t>
      </w:r>
      <w:r w:rsidRPr="00464679">
        <w:rPr>
          <w:u w:val="single"/>
        </w:rPr>
        <w:t xml:space="preserve">Renaissance Humanists – of which More is counted – as the height of human achievement and culture. </w:t>
      </w:r>
      <w:r w:rsidRPr="00464679">
        <w:rPr>
          <w:sz w:val="16"/>
        </w:rPr>
        <w:t xml:space="preserve">But what of this no-place today? How might it to be interpreted today? I believe that insight might be gained </w:t>
      </w:r>
      <w:r w:rsidRPr="00464679">
        <w:rPr>
          <w:u w:val="single"/>
        </w:rPr>
        <w:t>if no-place (utopia) is thought of as an always-already being-in-</w:t>
      </w:r>
      <w:r w:rsidRPr="00464679">
        <w:rPr>
          <w:b/>
          <w:bCs/>
          <w:u w:val="single"/>
        </w:rPr>
        <w:t xml:space="preserve">no- </w:t>
      </w:r>
      <w:r w:rsidRPr="00464679">
        <w:rPr>
          <w:u w:val="single"/>
        </w:rPr>
        <w:t>place as opposed to no-place as such dwelling just behind the horizon (but close enough that one senses its presence) as it is commonly understood today.</w:t>
      </w:r>
      <w:r w:rsidRPr="00464679">
        <w:rPr>
          <w:sz w:val="16"/>
        </w:rPr>
        <w:t xml:space="preserve"> This amounts to a veritable involution of no-place from an “out-there” to an “interior” (i.e., subjective) comportment with respect to the world. Indeed there are some contemporary cultural markers which point to the gradual awareness of this involution of the notion of no-place. My argument can be sensed in the words of the nineteenth-century historian Jacob Burckhardt: </w:t>
      </w:r>
      <w:r w:rsidRPr="00464679">
        <w:rPr>
          <w:u w:val="single"/>
        </w:rPr>
        <w:t>“We would like to know the waves on which we sail across the ocean; but we ourselves are these waves”</w:t>
      </w:r>
      <w:r w:rsidRPr="00464679">
        <w:rPr>
          <w:sz w:val="16"/>
        </w:rPr>
        <w:t xml:space="preserve"> (qtd. in Blumenberg, 1997: 69). Here </w:t>
      </w:r>
      <w:r w:rsidRPr="00464679">
        <w:rPr>
          <w:u w:val="single"/>
        </w:rPr>
        <w:t>Burckhardt alludes to the limitless frontier that is the face of all that is possible and encourages the recognition that one is already that frontier. It is the responsibility of the subject to “</w:t>
      </w:r>
      <w:r w:rsidRPr="00464679">
        <w:rPr>
          <w:b/>
          <w:bCs/>
          <w:u w:val="single"/>
        </w:rPr>
        <w:t>float</w:t>
      </w:r>
      <w:r w:rsidRPr="00464679">
        <w:rPr>
          <w:u w:val="single"/>
        </w:rPr>
        <w:t>” upon the “waves” to the point where, like Burckhardt, “</w:t>
      </w:r>
      <w:r w:rsidRPr="00464679">
        <w:rPr>
          <w:b/>
          <w:bCs/>
          <w:u w:val="single"/>
        </w:rPr>
        <w:t>we ourselves are these waves</w:t>
      </w:r>
      <w:r w:rsidRPr="00464679">
        <w:rPr>
          <w:u w:val="single"/>
        </w:rPr>
        <w:t>”.</w:t>
      </w:r>
      <w:r w:rsidRPr="00464679">
        <w:rPr>
          <w:sz w:val="16"/>
        </w:rPr>
        <w:t xml:space="preserve"> Jacques Rancière helps clarify this sentiment when he tells of Wordsworth’s experience of the festivals of revolutionary France: “</w:t>
      </w:r>
      <w:r w:rsidRPr="00464679">
        <w:rPr>
          <w:u w:val="single"/>
        </w:rPr>
        <w:t>Wordsworth’s path is the poetry of the humble, dedicated to glorifying, in the language of the simple, the most modest of wildflowers that the walker ignores or steps on</w:t>
      </w:r>
      <w:r w:rsidRPr="00464679">
        <w:rPr>
          <w:sz w:val="16"/>
        </w:rPr>
        <w:t xml:space="preserve">” (Rancière, 2003: 23). For Wordsworth, one was able to experience the utopian nature of the moment, the here-and- now. Wordsworth writes, Not in Utopia, subterranean fields, Or some secreted island, Heaven knows where! But in the very world, which is the world Of all of us. (qtd. in Rancière, 2003: 11) It may appear that what Wordsworth presents his reader with is the very thing Marx and his followers wanted to abject from the consciousness of man; that is, </w:t>
      </w:r>
      <w:r w:rsidRPr="00464679">
        <w:rPr>
          <w:u w:val="single"/>
        </w:rPr>
        <w:t xml:space="preserve">a form of utopianism which descends </w:t>
      </w:r>
      <w:r w:rsidRPr="00464679">
        <w:rPr>
          <w:b/>
          <w:bCs/>
          <w:u w:val="single"/>
        </w:rPr>
        <w:t>into idle daydream and lack of political efficacy</w:t>
      </w:r>
      <w:r w:rsidRPr="00464679">
        <w:rPr>
          <w:u w:val="single"/>
        </w:rPr>
        <w:t>.</w:t>
      </w:r>
      <w:r w:rsidRPr="00464679">
        <w:rPr>
          <w:sz w:val="16"/>
        </w:rPr>
        <w:t xml:space="preserve"> In the words of Žižek – and to reverse Marx – perhaps “the only way to stop the system from working is to stop resisting it” (Žižek, 2012: 108). One may rightly be skeptical of this proposition. </w:t>
      </w:r>
      <w:r w:rsidRPr="00464679">
        <w:rPr>
          <w:u w:val="single"/>
        </w:rPr>
        <w:t>However, there is a politically disruptive aspect or potential in perceiving utopia as embedded in the real of the here and now</w:t>
      </w:r>
      <w:r w:rsidRPr="00464679">
        <w:rPr>
          <w:sz w:val="16"/>
        </w:rPr>
        <w:t xml:space="preserve">. M. H. (Behooz) Tamdgidi has perhaps argued for this point strongest in the recent literature. Tamdgidi’s claim is that </w:t>
      </w:r>
      <w:r w:rsidRPr="00464679">
        <w:rPr>
          <w:u w:val="single"/>
        </w:rPr>
        <w:t xml:space="preserve">utopia is not a (no-)place properly speaking, nor is it strictly speaking a “desire” for something better; rather, </w:t>
      </w:r>
      <w:r w:rsidRPr="00464679">
        <w:rPr>
          <w:b/>
          <w:bCs/>
          <w:u w:val="single"/>
        </w:rPr>
        <w:t>utopia is an “attitude</w:t>
      </w:r>
      <w:r w:rsidRPr="00464679">
        <w:rPr>
          <w:u w:val="single"/>
        </w:rPr>
        <w:t>”</w:t>
      </w:r>
      <w:r w:rsidRPr="00464679">
        <w:rPr>
          <w:sz w:val="16"/>
        </w:rPr>
        <w:t xml:space="preserve">: In contrast to reactive modes of anti-systemic behavior that concentrate on building a movement that instrumentally focuses on the destruction of the old order in order to reach a good life projected into the future (be that future distant or near, illusively or “realistically” conceived), </w:t>
      </w:r>
      <w:r w:rsidRPr="00464679">
        <w:rPr>
          <w:u w:val="single"/>
        </w:rPr>
        <w:t>the utopian attitude involves making effort, whatever their scope, towards imagining, theorizing and/or practically realizing that future goal in the here and now.</w:t>
      </w:r>
      <w:r w:rsidRPr="00464679">
        <w:rPr>
          <w:sz w:val="16"/>
        </w:rPr>
        <w:t xml:space="preserve"> (Tamdgidi, 2003: 131) My argument is one that espouses a form of Quixotism, where “inns must be castles” (De Unamuno, 1954: 327), or, like the response to Billy’s questions “where am I?” and “how did I get here?” upon being abducted by the Tralfamadorians in Kurt Vonnegut’s </w:t>
      </w:r>
      <w:r w:rsidRPr="00464679">
        <w:rPr>
          <w:i/>
          <w:iCs/>
          <w:sz w:val="16"/>
        </w:rPr>
        <w:t>Slaughterhouse Five</w:t>
      </w:r>
      <w:r w:rsidRPr="00464679">
        <w:rPr>
          <w:sz w:val="16"/>
        </w:rPr>
        <w:t xml:space="preserve">: It would take another Earthling to explain it to you. Earthlings are the great explainers, explaining why this event is structured as it is, telling how other events may be achieved or avoided. I am a Tralfamadorian, seeing all time as you might see a stretch of the Rocky Mountains. All time is all time. It does not change. It does not lend itself to warnings or explanations. It simply </w:t>
      </w:r>
      <w:r w:rsidRPr="00464679">
        <w:rPr>
          <w:i/>
          <w:iCs/>
          <w:sz w:val="16"/>
        </w:rPr>
        <w:t>is</w:t>
      </w:r>
      <w:r w:rsidRPr="00464679">
        <w:rPr>
          <w:sz w:val="16"/>
        </w:rPr>
        <w:t xml:space="preserve">. Take it moment by moment, and you will find that we are all, as I’ve said before, bugs in amber. (Vonnegut, 1991: 85-86) </w:t>
      </w:r>
      <w:r w:rsidRPr="00464679">
        <w:rPr>
          <w:b/>
          <w:bCs/>
          <w:u w:val="single"/>
        </w:rPr>
        <w:t>Utopia is to be sensed and developed as such from the non-signifying experiences of the individual</w:t>
      </w:r>
      <w:r w:rsidRPr="00464679">
        <w:rPr>
          <w:sz w:val="16"/>
        </w:rPr>
        <w:t xml:space="preserve">. </w:t>
      </w:r>
      <w:r w:rsidRPr="00464679">
        <w:rPr>
          <w:u w:val="single"/>
        </w:rPr>
        <w:t>This sensation is an affective quality inherent to one’s comportment with respect to the world that can then be emitted outward into the greater social body, continuing to balloon outward until “</w:t>
      </w:r>
      <w:r w:rsidRPr="00464679">
        <w:rPr>
          <w:b/>
          <w:bCs/>
          <w:u w:val="single"/>
        </w:rPr>
        <w:t>utopia</w:t>
      </w:r>
      <w:r w:rsidRPr="00464679">
        <w:rPr>
          <w:u w:val="single"/>
        </w:rPr>
        <w:t>”</w:t>
      </w:r>
      <w:r w:rsidRPr="00464679">
        <w:rPr>
          <w:sz w:val="16"/>
        </w:rPr>
        <w:t xml:space="preserve"> comes to affect all things in the cosmos. The catch, however, is that, much like Vonnegut’s Tralfamadorians, Tamdgidi’s seemingly expanding balloon of utopia does not begin in the individual and end with the cosmos; it simply </w:t>
      </w:r>
      <w:r w:rsidRPr="00464679">
        <w:rPr>
          <w:i/>
          <w:iCs/>
          <w:sz w:val="16"/>
        </w:rPr>
        <w:t>is</w:t>
      </w:r>
      <w:r w:rsidRPr="00464679">
        <w:rPr>
          <w:sz w:val="16"/>
        </w:rPr>
        <w:t xml:space="preserve">. At this point I will transition to a working example or case study through which I hope to develop a more concrete interpretation of the conception of an interior foundation for utopia. I think China Miéville’s </w:t>
      </w:r>
      <w:r w:rsidRPr="00464679">
        <w:rPr>
          <w:i/>
          <w:iCs/>
          <w:sz w:val="16"/>
        </w:rPr>
        <w:t xml:space="preserve">The City and the City </w:t>
      </w:r>
      <w:r w:rsidRPr="00464679">
        <w:rPr>
          <w:sz w:val="16"/>
        </w:rPr>
        <w:t xml:space="preserve">beautifully expresses the intimate connection between the cosmic and the non-signifying – </w:t>
      </w:r>
      <w:r w:rsidRPr="00464679">
        <w:rPr>
          <w:u w:val="single"/>
        </w:rPr>
        <w:t>“silent utopias” – which “never find expression in any tangible literary or communal forms” (Tamdgidi, 2003: 137) and yet no less constitute Utopia.</w:t>
      </w:r>
      <w:r w:rsidRPr="00464679">
        <w:rPr>
          <w:sz w:val="16"/>
        </w:rPr>
        <w:t xml:space="preserve"> </w:t>
      </w:r>
      <w:r w:rsidRPr="00464679">
        <w:rPr>
          <w:u w:val="single"/>
        </w:rPr>
        <w:t>This potential is located in Miéville’s brilliantly weird concept of “</w:t>
      </w:r>
      <w:r w:rsidRPr="00464679">
        <w:rPr>
          <w:b/>
          <w:bCs/>
          <w:u w:val="single"/>
        </w:rPr>
        <w:t>unseeing</w:t>
      </w:r>
      <w:r w:rsidRPr="00464679">
        <w:rPr>
          <w:u w:val="single"/>
        </w:rPr>
        <w:t xml:space="preserve">”. </w:t>
      </w:r>
    </w:p>
    <w:p w14:paraId="1ED5E73F" w14:textId="77777777" w:rsidR="00D75E79" w:rsidRPr="00464679" w:rsidRDefault="00D75E79" w:rsidP="00D75E79">
      <w:pPr>
        <w:pStyle w:val="Heading4"/>
        <w:rPr>
          <w:rFonts w:cs="Calibri"/>
        </w:rPr>
      </w:pPr>
      <w:r w:rsidRPr="00464679">
        <w:rPr>
          <w:rFonts w:cs="Calibri"/>
        </w:rPr>
        <w:t xml:space="preserve">Don’t believe their benign articulation of neoliberalism. Biopolitical protection of capital markets can always find a justification for its interventions that circumvent the possibility of community building. </w:t>
      </w:r>
    </w:p>
    <w:p w14:paraId="0F151489" w14:textId="77777777" w:rsidR="00D75E79" w:rsidRPr="00464679" w:rsidRDefault="00D75E79" w:rsidP="00D75E79">
      <w:pPr>
        <w:rPr>
          <w:color w:val="000000"/>
          <w:sz w:val="16"/>
          <w:shd w:val="clear" w:color="auto" w:fill="FFFFFF"/>
        </w:rPr>
      </w:pPr>
      <w:r w:rsidRPr="00464679">
        <w:rPr>
          <w:rFonts w:eastAsiaTheme="majorEastAsia"/>
          <w:b/>
          <w:iCs/>
          <w:sz w:val="26"/>
        </w:rPr>
        <w:t xml:space="preserve">Sani 2012 </w:t>
      </w:r>
      <w:r w:rsidRPr="00464679">
        <w:rPr>
          <w:rFonts w:eastAsiaTheme="majorEastAsia"/>
          <w:bCs/>
          <w:iCs/>
        </w:rPr>
        <w:t xml:space="preserve">[Giorgo, </w:t>
      </w:r>
      <w:r w:rsidRPr="00464679">
        <w:t>Professor and Chair of the Department of Politics and International Studies at International Christian University (ICU) in Japan,</w:t>
      </w:r>
      <w:r w:rsidRPr="00464679">
        <w:rPr>
          <w:rFonts w:eastAsiaTheme="majorEastAsia"/>
          <w:bCs/>
          <w:iCs/>
        </w:rPr>
        <w:t xml:space="preserve"> Development Dialogue, April “Empowering the Disposable? Biopolitics, Race, and Human Developement” IV</w:t>
      </w:r>
      <w:r w:rsidRPr="00464679">
        <w:rPr>
          <w:bCs/>
          <w:shd w:val="clear" w:color="auto" w:fill="FFFFFF"/>
        </w:rPr>
        <w:t>, https://www.academia.edu/2621970/Empowering_the_Disposable_Biopolitics_Race_and_Human_Development]</w:t>
      </w:r>
    </w:p>
    <w:p w14:paraId="36C18B89" w14:textId="77777777" w:rsidR="00D75E79" w:rsidRPr="00464679" w:rsidRDefault="00D75E79" w:rsidP="00D75E79">
      <w:pPr>
        <w:rPr>
          <w:b/>
          <w:bCs/>
          <w:u w:val="single"/>
        </w:rPr>
      </w:pPr>
      <w:r w:rsidRPr="00464679">
        <w:rPr>
          <w:sz w:val="16"/>
        </w:rPr>
        <w:t xml:space="preserve">Sen’s methodological individualism and belief in the naturalness of the market is consistent with </w:t>
      </w:r>
      <w:r w:rsidRPr="00464679">
        <w:rPr>
          <w:rStyle w:val="Emphasis"/>
        </w:rPr>
        <w:t>the ‘biopolitics’</w:t>
      </w:r>
      <w:r w:rsidRPr="00464679">
        <w:rPr>
          <w:sz w:val="16"/>
        </w:rPr>
        <w:t xml:space="preserve"> (Foucault 2007, 2008) </w:t>
      </w:r>
      <w:r w:rsidRPr="00464679">
        <w:rPr>
          <w:rStyle w:val="Emphasis"/>
        </w:rPr>
        <w:t>of liberal ‘governmentality’</w:t>
      </w:r>
      <w:r w:rsidRPr="00464679">
        <w:rPr>
          <w:sz w:val="16"/>
        </w:rPr>
        <w:t xml:space="preserve"> (Foucault 1991, 2008), which </w:t>
      </w:r>
      <w:r w:rsidRPr="00464679">
        <w:rPr>
          <w:rStyle w:val="Emphasis"/>
        </w:rPr>
        <w:t>seeks, through the construction of rational, self-interested autonomous individuals, to reduce the great mass of culturally differentiated humanity to ‘bare life</w:t>
      </w:r>
      <w:r w:rsidRPr="00464679">
        <w:rPr>
          <w:sz w:val="16"/>
        </w:rPr>
        <w:t xml:space="preserve">’ (Agamben 1998; Shani 2010). Defined as ‘the set of mechanisms through which the basic biological features of the human species become the object of a political strategy’, </w:t>
      </w:r>
      <w:r w:rsidRPr="00464679">
        <w:rPr>
          <w:rStyle w:val="Emphasis"/>
        </w:rPr>
        <w:t>the origins of biopower or biopolitics, go back to the attempt</w:t>
      </w:r>
      <w:r w:rsidRPr="00464679">
        <w:rPr>
          <w:sz w:val="16"/>
        </w:rPr>
        <w:t xml:space="preserve">, starting in Europe in the 18th century, </w:t>
      </w:r>
      <w:r w:rsidRPr="00464679">
        <w:rPr>
          <w:rStyle w:val="Emphasis"/>
        </w:rPr>
        <w:t>‘to rationalize the problems posed to governmental practice by phenomena characteristic of a set of living beings forming a population: health, hygiene, birth rate, life expectancy, race’</w:t>
      </w:r>
      <w:r w:rsidRPr="00464679">
        <w:rPr>
          <w:sz w:val="16"/>
        </w:rPr>
        <w:t xml:space="preserve"> (Foucault 2008: 1). These problems, Foucault argues, are inseparable ‘from the framework of political rationality within which they appeared’: liberalism (Foucault 2008: 317). Liberalism, for Foucault, is neither an ideology nor a theory but a practice: ‘a principle and method of the rationalization of the exercise of government, a rationalization which obeys…the internal rule of maximum economy’ (Foucault 2008: 318). As a form of critical reflection on governmental practice, </w:t>
      </w:r>
      <w:r w:rsidRPr="00464679">
        <w:rPr>
          <w:rStyle w:val="Emphasis"/>
        </w:rPr>
        <w:t>liberalism is based on the principle that ‘one always governs too much’</w:t>
      </w:r>
      <w:r w:rsidRPr="00464679">
        <w:rPr>
          <w:sz w:val="16"/>
        </w:rPr>
        <w:t xml:space="preserve"> (Foucault 2008: 321, 319). This qualifies the pastoral impulse implicit in governmental rationality: the power to ‘make live’ which is itself a legacy of the pastoral individualising power of the Christian ecclesiastical pastorate (Foucault 2007: 364). Consequently, </w:t>
      </w:r>
      <w:r w:rsidRPr="00464679">
        <w:rPr>
          <w:rStyle w:val="Emphasis"/>
        </w:rPr>
        <w:t>the ‘market’ role is crucial in deciding who lives and who is disposable</w:t>
      </w:r>
      <w:r w:rsidRPr="00464679">
        <w:rPr>
          <w:sz w:val="16"/>
        </w:rPr>
        <w:t xml:space="preserve">. In Foucault’s words, </w:t>
      </w:r>
      <w:r w:rsidRPr="00464679">
        <w:rPr>
          <w:rStyle w:val="Emphasis"/>
        </w:rPr>
        <w:t>it enters the governmentalising processes as ‘privileged site of experiment in which one can pinpoint the effects of excessive governmentality’</w:t>
      </w:r>
      <w:r w:rsidRPr="00464679">
        <w:rPr>
          <w:sz w:val="16"/>
        </w:rPr>
        <w:t xml:space="preserve"> (Foucault 2008: 320). The market was considered by the classical political economists of the 18th century to be directed by natural forces. For Adam Smith, the development of a market economy is the outcome of a natural propensity within people to ‘truck, barter and exchange’ in pursuit of their material self-interest. Our instinctive desire to better our condition produces mutually beneicial outcomes through the operation of (God’s) ‘invisible hand’ and universal laws governing prices and wages (Smith 1976). </w:t>
      </w:r>
      <w:r w:rsidRPr="00464679">
        <w:rPr>
          <w:u w:val="single"/>
        </w:rPr>
        <w:t>Through concepts such as the ‘true price’ that is formulated by the natural workings of the economy, the market appears as a site of ‘veridiction’. Since the sovereign is thought of as incapable of fully grasping the ‘truth’ of the market, classical economists were therefore opposed to mercantilist restrictions on the free low of goods and service and considered the proper role of government to ‘let things follow their course’ (Foucault 2007: 48).</w:t>
      </w:r>
      <w:r w:rsidRPr="00464679">
        <w:rPr>
          <w:sz w:val="16"/>
        </w:rPr>
        <w:t xml:space="preserve"> Although they appeared as ‘external’, the limitations on sovereign power imposed by the ‘market’ were, consequently, internal to the process of governmentality. Consequently, liberalism appears as ‘the principle of the self-limitation of governmental reason’ (Foucault 2008: 20). Like Adam Smith and the other classical economists, Sen accepts the (internal) limitations placed on governmentality as ‘natural’ and, therefore, external to it. </w:t>
      </w:r>
      <w:r w:rsidRPr="00464679">
        <w:rPr>
          <w:u w:val="single"/>
        </w:rPr>
        <w:t>Human development, he argues, can only take place through participation in a market economy, which is the best guarantee of freedom.</w:t>
      </w:r>
      <w:r w:rsidRPr="00464679">
        <w:rPr>
          <w:sz w:val="16"/>
        </w:rPr>
        <w:t xml:space="preserve"> Where he departs from the neoliberal (but not the classical) tradition is in his insistence that the state and other governmentalising agencies can – and should – play an active role in the developmental process within the constraints imposed by the market. </w:t>
      </w:r>
      <w:r w:rsidRPr="00464679">
        <w:rPr>
          <w:u w:val="single"/>
        </w:rPr>
        <w:t>Whereas Smith and the other political economists considered homo oeconomicus to be a natural description of the human individual under conditions of freedom, Sen – in common with contemporary neoliberalism – believes that he or she has to be constructed through a discourse of ‘empowerment’</w:t>
      </w:r>
      <w:r w:rsidRPr="00464679">
        <w:rPr>
          <w:sz w:val="16"/>
        </w:rPr>
        <w:t xml:space="preserve">. As a strategy of governmentality, ‘empowerment’ creates the liberal subjectivity needed for capitalism by ‘emancipating’ the individual from prior social and cultural arrangements and inculcating the skills and resources needed to participate in a market economy. </w:t>
      </w:r>
      <w:r w:rsidRPr="00464679">
        <w:rPr>
          <w:u w:val="single"/>
        </w:rPr>
        <w:t xml:space="preserve">The state, in Sen’s view, is pri marily responsible for the production of this liberal subjectivity through the dissemination, via compulsory education, of what Smith referred to as ‘habits of industry’: autonomy, calculation and relexivity. </w:t>
      </w:r>
      <w:r w:rsidRPr="00464679">
        <w:rPr>
          <w:sz w:val="16"/>
        </w:rPr>
        <w:t xml:space="preserve">The ‘empowered’ individual is expected to be ‘unencumbered’ (Hopgood 2000) by communal and social ties and to possess the ability to calculate and the capacity for relexivity. </w:t>
      </w:r>
      <w:r w:rsidRPr="00464679">
        <w:rPr>
          <w:u w:val="single"/>
        </w:rPr>
        <w:t>A well-educated, healthy workforce made up of autonomous, calculating and relexive individuals will thus have the ‘capability’ (neoliberals prefer ‘capital’) to attract foreign direct investment and to generate economic development.</w:t>
      </w:r>
      <w:r w:rsidRPr="00464679">
        <w:rPr>
          <w:sz w:val="16"/>
        </w:rPr>
        <w:t xml:space="preserve"> For neoliberals, however, the state – particularly in the global South – has become a signiicant barrier to development. The state’s responsibility for executing the liberal project of modernity is entrusted instead to the private sector and a plethora of international, non-governmental and quasi-governmental organisations. This new institutional architecture is designed to allow neoliberal ‘governmentality’ (Ong 2006) to operate on a global scale. </w:t>
      </w:r>
      <w:r w:rsidRPr="00464679">
        <w:rPr>
          <w:rStyle w:val="Emphasis"/>
        </w:rPr>
        <w:t xml:space="preserve">Neoliberal governmentality seeks to maximise market allocation at the expense of the state </w:t>
      </w:r>
      <w:r w:rsidRPr="00464679">
        <w:rPr>
          <w:sz w:val="16"/>
        </w:rPr>
        <w:t>by making the market mechanism the sole legitimate means of allocating resources in society, thus</w:t>
      </w:r>
      <w:r w:rsidRPr="00464679">
        <w:rPr>
          <w:rStyle w:val="Emphasis"/>
        </w:rPr>
        <w:t xml:space="preserve"> rejecting the fundamentals of classical and ‘embedded’ liberalism. It responds to the biopolitical problems which beset human beings collectively as ‘a set of living beings forming a population’ by individualising them: as active informed citizens, individuals, and not the state, are made primarily responsible for their own welfare.</w:t>
      </w:r>
      <w:r w:rsidRPr="00464679">
        <w:rPr>
          <w:sz w:val="16"/>
        </w:rPr>
        <w:t xml:space="preserve"> Furthermore, the dominant ‘Chicago School’ of neoliberalism seeks ‘to extend the rationality of the market…to domains which are not exclusively or primarily economic’ (Foucault 2008: 323). </w:t>
      </w:r>
      <w:r w:rsidRPr="00464679">
        <w:rPr>
          <w:u w:val="single"/>
        </w:rPr>
        <w:t>This includes forcibly imposing ‘the rationality of the market’ on ‘populations’ living in indebted ‘developing’ societies through IMF/World Bank structural adjustment programmes (SAPs).</w:t>
      </w:r>
      <w:r w:rsidRPr="00464679">
        <w:rPr>
          <w:sz w:val="16"/>
        </w:rPr>
        <w:t xml:space="preserve"> SAPs seek to create the disciplinary mechanisms needed for the construction of homo oeconomicus by transforming institutional structures and creating autonomy; inculcating certain habits such as calculation and relexivity, and developing the capacity of the state so that it can undertake these tasks (Williams 1999: 90). </w:t>
      </w:r>
      <w:r w:rsidRPr="00464679">
        <w:rPr>
          <w:u w:val="single"/>
        </w:rPr>
        <w:t xml:space="preserve">Speciically, this entails ‘disciplining’ the state through privatisation of state-run industries, economic liberalisation, deregulation of the economy, rolling back of welfare, reduction of expenditures on public goods, tightening of fiscal discipline, favouring of free lows of capital in order to attract foreign direct investment, strict controls on organised labour, tax reduction and unrestricted currency repatriation. </w:t>
      </w:r>
      <w:r w:rsidRPr="00464679">
        <w:rPr>
          <w:sz w:val="16"/>
        </w:rPr>
        <w:t xml:space="preserve">The disciplined neoliberal state consequently favours strong individual property rights, the rule of law and the institutions of freely functioning markets and free trade (Harvey 2007: 64) This ‘global disciplinary’ neoliberalism, as Stephen Gill has pointed out, requires a juridical-political dimension in order for it to appear as hegemonic: a ‘new constitutionalism’ that seeks to ‘lock in’ the ‘rights’ of investors and privilege the ‘security of capital’ over ‘human security’ (Gill 2003). </w:t>
      </w:r>
      <w:r w:rsidRPr="00464679">
        <w:rPr>
          <w:u w:val="single"/>
        </w:rPr>
        <w:t xml:space="preserve">The new political architecture of the global political economy is provided by international institutions such as the World Trade Organisation (WTO), which ‘disciplines’ member states for pursuing policies detrimental to the interests of (multinational) capital, the World Economic Forum at Davos, which provides an arena where government, business and media leaders can meet and coordinate policy goals, and, perhaps most importantly, the Group of Eight (G8) and now the Group of Twenty (G-20) inance ministers and central bank governors, who met in London in April 2009 to discuss the world-wide economic crisis. </w:t>
      </w:r>
      <w:r w:rsidRPr="00464679">
        <w:rPr>
          <w:b/>
          <w:bCs/>
          <w:u w:val="single"/>
        </w:rPr>
        <w:t>Their objectives are ‘to create a set of long-term economic and political reforms that gain constitutional status, thus underpinning the extension of the disciplinary power of capital on a world scale’ (Gill 2000).</w:t>
      </w:r>
    </w:p>
    <w:p w14:paraId="3A12D05A" w14:textId="77777777" w:rsidR="00D75E79" w:rsidRPr="00464679" w:rsidRDefault="00D75E79" w:rsidP="00D75E79"/>
    <w:p w14:paraId="5BCD607C" w14:textId="2B48E6E9" w:rsidR="00511E26" w:rsidRDefault="00511E26" w:rsidP="00511E26">
      <w:pPr>
        <w:pStyle w:val="Heading3"/>
      </w:pPr>
      <w:r>
        <w:t>AT Extinction OW</w:t>
      </w:r>
    </w:p>
    <w:p w14:paraId="6149005D" w14:textId="77777777" w:rsidR="00511E26" w:rsidRPr="0029045F" w:rsidRDefault="00511E26" w:rsidP="00511E26">
      <w:pPr>
        <w:pStyle w:val="Heading4"/>
      </w:pPr>
      <w:bookmarkStart w:id="0" w:name="_Hlk492988177"/>
      <w:r w:rsidRPr="0029045F">
        <w:t xml:space="preserve">The traditional debate impulse to rely on body counts for impact calc is an </w:t>
      </w:r>
      <w:r w:rsidRPr="0029045F">
        <w:rPr>
          <w:u w:val="single"/>
        </w:rPr>
        <w:t>example</w:t>
      </w:r>
      <w:r w:rsidRPr="0029045F">
        <w:t xml:space="preserve"> of our impact---it relies on the continual imagination of external threats to the social order and teaches students to be constantly </w:t>
      </w:r>
      <w:r w:rsidRPr="0029045F">
        <w:rPr>
          <w:u w:val="single"/>
        </w:rPr>
        <w:t>searching</w:t>
      </w:r>
      <w:r w:rsidRPr="0029045F">
        <w:t xml:space="preserve"> for the best way to describe those threats, </w:t>
      </w:r>
      <w:r w:rsidRPr="0029045F">
        <w:rPr>
          <w:u w:val="single"/>
        </w:rPr>
        <w:t>instead</w:t>
      </w:r>
      <w:r w:rsidRPr="0029045F">
        <w:t xml:space="preserve"> of examining the structural conditions that enable violence. This enables a system of governance that elides the </w:t>
      </w:r>
      <w:r w:rsidRPr="0029045F">
        <w:rPr>
          <w:u w:val="single"/>
        </w:rPr>
        <w:t>endless war</w:t>
      </w:r>
      <w:r w:rsidRPr="0029045F">
        <w:t xml:space="preserve"> present in incarceration, global policing, and more by insisting on narrow chains of causality and the most catastrophic impacts possible</w:t>
      </w:r>
    </w:p>
    <w:p w14:paraId="489FD7B6" w14:textId="77777777" w:rsidR="00511E26" w:rsidRPr="0029045F" w:rsidRDefault="00511E26" w:rsidP="00511E26">
      <w:r w:rsidRPr="0029045F">
        <w:t xml:space="preserve">Kevin </w:t>
      </w:r>
      <w:r w:rsidRPr="0029045F">
        <w:rPr>
          <w:b/>
          <w:bCs/>
        </w:rPr>
        <w:t>McDonald 13</w:t>
      </w:r>
      <w:r w:rsidRPr="0029045F">
        <w:t xml:space="preserve">, Professor and Director of the Centre for Cultural Diversity and Wellbeing at Victoria University, </w:t>
      </w:r>
      <w:r w:rsidRPr="0029045F">
        <w:rPr>
          <w:i/>
        </w:rPr>
        <w:t>Our Violent World: Terrorism in Society</w:t>
      </w:r>
      <w:r w:rsidRPr="0029045F">
        <w:t>, 2013, pp. 1-4</w:t>
      </w:r>
    </w:p>
    <w:p w14:paraId="77ED2FA0" w14:textId="36947D4A" w:rsidR="00511E26" w:rsidRPr="00511E26" w:rsidRDefault="00511E26" w:rsidP="00511E26">
      <w:pPr>
        <w:rPr>
          <w:sz w:val="12"/>
        </w:rPr>
      </w:pPr>
      <w:r w:rsidRPr="0029045F">
        <w:rPr>
          <w:sz w:val="12"/>
        </w:rPr>
        <w:t xml:space="preserve">Among the most significant Of these changes are transformations in forms Of social and political violence, the kinds Of violence recently described by the philosopher Charles Taylor as 'categorial', directed towards people whom the protagonists do not personally know (2011). Often such violence is contrasted to the violence that takes place within personal relationships, but as we will see as this book develops, this distinction is not as clear as it once may have been. The chapters that follow attempt to explore a con- text that has become increasingly evident, as </w:t>
      </w:r>
      <w:r w:rsidRPr="0029045F">
        <w:rPr>
          <w:u w:val="single"/>
        </w:rPr>
        <w:t>violence that once appeared to be 'contained'</w:t>
      </w:r>
      <w:r w:rsidRPr="0029045F">
        <w:rPr>
          <w:sz w:val="12"/>
        </w:rPr>
        <w:t xml:space="preserve"> by key dimensions of modern society </w:t>
      </w:r>
      <w:r w:rsidRPr="0029045F">
        <w:rPr>
          <w:u w:val="single"/>
        </w:rPr>
        <w:t>is now much more fluid, increasingly part of the flows making up a global world</w:t>
      </w:r>
      <w:r w:rsidRPr="0029045F">
        <w:rPr>
          <w:sz w:val="12"/>
        </w:rPr>
        <w:t xml:space="preserve"> (Urry 2005). But such violence is not a 'thing' or an object. It is a form of agency, an embodied relationship and human experience. As such, </w:t>
      </w:r>
      <w:r w:rsidRPr="0029045F">
        <w:rPr>
          <w:u w:val="single"/>
        </w:rPr>
        <w:t>it is a critical lens through which to explore</w:t>
      </w:r>
      <w:r w:rsidRPr="0029045F">
        <w:t xml:space="preserve"> wider </w:t>
      </w:r>
      <w:r w:rsidRPr="0029045F">
        <w:rPr>
          <w:u w:val="single"/>
        </w:rPr>
        <w:t>transformations of social life</w:t>
      </w:r>
      <w:r w:rsidRPr="0029045F">
        <w:rPr>
          <w:sz w:val="12"/>
        </w:rPr>
        <w:t xml:space="preserve">. On the Other hand, </w:t>
      </w:r>
      <w:r w:rsidRPr="0029045F">
        <w:rPr>
          <w:u w:val="single"/>
        </w:rPr>
        <w:t xml:space="preserve">to separate violence from such transformations </w:t>
      </w:r>
      <w:r w:rsidRPr="0029045F">
        <w:rPr>
          <w:rStyle w:val="Emphasis"/>
        </w:rPr>
        <w:t>profoundly limits our capacity to understand, and respond to</w:t>
      </w:r>
      <w:r w:rsidRPr="0029045F">
        <w:rPr>
          <w:u w:val="single"/>
        </w:rPr>
        <w:t xml:space="preserve">, one of the most urgent questions shaping the twenty-first century. </w:t>
      </w:r>
      <w:r w:rsidR="008E74A1" w:rsidRPr="008E74A1">
        <w:rPr>
          <w:sz w:val="12"/>
        </w:rPr>
        <w:t>¶</w:t>
      </w:r>
      <w:r w:rsidRPr="0029045F">
        <w:rPr>
          <w:sz w:val="12"/>
          <w:u w:val="single"/>
        </w:rPr>
        <w:t xml:space="preserve"> </w:t>
      </w:r>
      <w:r w:rsidRPr="0029045F">
        <w:rPr>
          <w:sz w:val="12"/>
        </w:rPr>
        <w:t xml:space="preserve">The Surveillance Society </w:t>
      </w:r>
      <w:r w:rsidR="008E74A1" w:rsidRPr="008E74A1">
        <w:rPr>
          <w:sz w:val="12"/>
        </w:rPr>
        <w:t>¶</w:t>
      </w:r>
      <w:r w:rsidRPr="0029045F">
        <w:rPr>
          <w:sz w:val="12"/>
        </w:rPr>
        <w:t xml:space="preserve"> </w:t>
      </w:r>
      <w:r w:rsidRPr="0029045F">
        <w:rPr>
          <w:u w:val="single"/>
        </w:rPr>
        <w:t>Most of us are aware of changing</w:t>
      </w:r>
      <w:r w:rsidRPr="0029045F">
        <w:rPr>
          <w:sz w:val="12"/>
        </w:rPr>
        <w:t xml:space="preserve"> forms or potentials of </w:t>
      </w:r>
      <w:r w:rsidRPr="0029045F">
        <w:rPr>
          <w:u w:val="single"/>
        </w:rPr>
        <w:t>violence through the growth of security and surveillance (</w:t>
      </w:r>
      <w:r w:rsidRPr="0029045F">
        <w:rPr>
          <w:sz w:val="12"/>
        </w:rPr>
        <w:t xml:space="preserve">Crelinsten 2009). Some developments are obvious, such as airport security. Others are less so, </w:t>
      </w:r>
      <w:r w:rsidRPr="0029045F">
        <w:rPr>
          <w:u w:val="single"/>
        </w:rPr>
        <w:t xml:space="preserve">such as passport tracking systems, </w:t>
      </w:r>
      <w:r w:rsidRPr="0029045F">
        <w:rPr>
          <w:rStyle w:val="Emphasis"/>
        </w:rPr>
        <w:t>internment camps</w:t>
      </w:r>
      <w:r w:rsidRPr="0029045F">
        <w:rPr>
          <w:u w:val="single"/>
        </w:rPr>
        <w:t>, control orders and detention without trial, or erosion of the distinction between immigration policy and security policy</w:t>
      </w:r>
      <w:r w:rsidRPr="0029045F">
        <w:rPr>
          <w:sz w:val="12"/>
        </w:rPr>
        <w:t xml:space="preserve"> (Connolly 2005: 54). Some receive extensive debate in the press and social media, while Other developments are less discussed. Over recent years, for example, states as different as Iran, Saudi Arabia, Israel and the United States have been engaged in the construction Of thousands Of kilometres Of walls along national bor- ders, a development that the political scientist Wendy Brown calls 'walling', something she contends is driven by 'waning sovereignty' (2010). </w:t>
      </w:r>
      <w:r w:rsidRPr="0029045F">
        <w:rPr>
          <w:u w:val="single"/>
        </w:rPr>
        <w:t>Global military expenditure</w:t>
      </w:r>
      <w:r w:rsidRPr="0029045F">
        <w:rPr>
          <w:sz w:val="12"/>
        </w:rPr>
        <w:t xml:space="preserve">, which had declined in the years following the end of the Cold War in 1989, </w:t>
      </w:r>
      <w:r w:rsidRPr="0029045F">
        <w:rPr>
          <w:u w:val="single"/>
        </w:rPr>
        <w:t>expanded rapidly over the first decade of the new century</w:t>
      </w:r>
      <w:r w:rsidRPr="0029045F">
        <w:rPr>
          <w:sz w:val="12"/>
        </w:rPr>
        <w:t xml:space="preserve">, increasing by some 49 per cent to reach US$1.53 tril- lion in 2009 (Stockholm International Peace Research Institute 2011). New types of public surveillance involve pervasive but ambiguous categories Of 'pre-crime' as public policy seeks to identify groups and individuals 'at risk' of committing criminal acts (Zedner 2007). </w:t>
      </w:r>
      <w:r w:rsidRPr="0029045F">
        <w:rPr>
          <w:u w:val="single"/>
        </w:rPr>
        <w:t>The changing role of the criminal justice system has become evident in the relentless increase in the number of people imprisoned in the world</w:t>
      </w:r>
      <w:r w:rsidRPr="0029045F">
        <w:rPr>
          <w:sz w:val="12"/>
        </w:rPr>
        <w:t xml:space="preserve">, a figure that reached some 10.65 million in 2009 (Walmsley 2010). </w:t>
      </w:r>
      <w:r w:rsidR="008E74A1" w:rsidRPr="008E74A1">
        <w:rPr>
          <w:sz w:val="12"/>
        </w:rPr>
        <w:t>¶</w:t>
      </w:r>
      <w:r w:rsidRPr="0029045F">
        <w:rPr>
          <w:sz w:val="12"/>
        </w:rPr>
        <w:t xml:space="preserve"> Political theorists in particular have been aware of the ways </w:t>
      </w:r>
      <w:r w:rsidRPr="0029045F">
        <w:rPr>
          <w:u w:val="single"/>
        </w:rPr>
        <w:t xml:space="preserve">these transformations </w:t>
      </w:r>
      <w:r w:rsidRPr="0029045F">
        <w:rPr>
          <w:rStyle w:val="Emphasis"/>
        </w:rPr>
        <w:t>'resonate'</w:t>
      </w:r>
      <w:r w:rsidRPr="0029045F">
        <w:rPr>
          <w:u w:val="single"/>
        </w:rPr>
        <w:t xml:space="preserve">, </w:t>
      </w:r>
      <w:r w:rsidRPr="0029045F">
        <w:rPr>
          <w:rStyle w:val="Emphasis"/>
        </w:rPr>
        <w:t>mutually amplifying each other</w:t>
      </w:r>
      <w:r w:rsidRPr="0029045F">
        <w:rPr>
          <w:sz w:val="12"/>
        </w:rPr>
        <w:t xml:space="preserve"> (Connolly 2005: 54). Brian Massumi (2007) argues that </w:t>
      </w:r>
      <w:r w:rsidRPr="0029045F">
        <w:rPr>
          <w:u w:val="single"/>
        </w:rPr>
        <w:t>we are witnessing the emergence of a new type of governance in complex societies</w:t>
      </w:r>
      <w:r w:rsidRPr="0029045F">
        <w:rPr>
          <w:sz w:val="12"/>
        </w:rPr>
        <w:t xml:space="preserve">, one shaped by a shift from a model Of prevention, which operates in an 'objectively knowable world', to a model of pre-emption, which involves the attempt to wield power in a world based on uncertainty. Brad </w:t>
      </w:r>
      <w:r w:rsidRPr="0029045F">
        <w:rPr>
          <w:u w:val="single"/>
        </w:rPr>
        <w:t>Evans</w:t>
      </w:r>
      <w:r w:rsidRPr="0029045F">
        <w:rPr>
          <w:sz w:val="12"/>
        </w:rPr>
        <w:t xml:space="preserve"> (2010) </w:t>
      </w:r>
      <w:r w:rsidRPr="0029045F">
        <w:rPr>
          <w:u w:val="single"/>
        </w:rPr>
        <w:t xml:space="preserve">points to the rise of </w:t>
      </w:r>
      <w:r w:rsidRPr="0029045F">
        <w:rPr>
          <w:rStyle w:val="Emphasis"/>
        </w:rPr>
        <w:t>'consequentialist ethics'</w:t>
      </w:r>
      <w:r w:rsidRPr="0029045F">
        <w:rPr>
          <w:sz w:val="12"/>
        </w:rPr>
        <w:t xml:space="preserve"> involved in this development, </w:t>
      </w:r>
      <w:r w:rsidRPr="0029045F">
        <w:rPr>
          <w:u w:val="single"/>
        </w:rPr>
        <w:t>where</w:t>
      </w:r>
      <w:r w:rsidRPr="0029045F">
        <w:rPr>
          <w:sz w:val="12"/>
        </w:rPr>
        <w:t xml:space="preserve"> forms of moral </w:t>
      </w:r>
      <w:r w:rsidRPr="0029045F">
        <w:rPr>
          <w:u w:val="single"/>
        </w:rPr>
        <w:t xml:space="preserve">judgement framed in terms of 'right' and 'wrong' are becoming </w:t>
      </w:r>
      <w:r w:rsidRPr="0029045F">
        <w:rPr>
          <w:rStyle w:val="Emphasis"/>
        </w:rPr>
        <w:t>redefined as calculations</w:t>
      </w:r>
      <w:r w:rsidRPr="0029045F">
        <w:rPr>
          <w:u w:val="single"/>
        </w:rPr>
        <w:t xml:space="preserve"> to determine </w:t>
      </w:r>
      <w:r w:rsidRPr="0029045F">
        <w:rPr>
          <w:rStyle w:val="Emphasis"/>
        </w:rPr>
        <w:t>whether a situation is to be judged better or worse as a result of a course of action</w:t>
      </w:r>
      <w:r w:rsidRPr="0029045F">
        <w:rPr>
          <w:u w:val="single"/>
        </w:rPr>
        <w:t>.</w:t>
      </w:r>
      <w:r w:rsidRPr="0029045F">
        <w:rPr>
          <w:sz w:val="12"/>
        </w:rPr>
        <w:t xml:space="preserve"> These are not minor trans- formations. The OECD argues that 'security' has become a major area Of economic activity, a driver Of modern economies (OECD 2004), while the sociologist David Lyon traces the contours of a surveillance society increasingly based on digital technologies (Lyon 2004). The political philosopher William Connolly argues that </w:t>
      </w:r>
      <w:r w:rsidRPr="0029045F">
        <w:rPr>
          <w:u w:val="single"/>
        </w:rPr>
        <w:t xml:space="preserve">this new social and political model involves an </w:t>
      </w:r>
      <w:r w:rsidRPr="0029045F">
        <w:rPr>
          <w:rStyle w:val="Emphasis"/>
        </w:rPr>
        <w:t>increasing mobilization of the population against 'unspecified enemies'</w:t>
      </w:r>
      <w:r w:rsidRPr="0029045F">
        <w:rPr>
          <w:sz w:val="12"/>
        </w:rPr>
        <w:t xml:space="preserve"> (2005: 54). </w:t>
      </w:r>
      <w:r w:rsidR="008E74A1" w:rsidRPr="008E74A1">
        <w:rPr>
          <w:sz w:val="12"/>
        </w:rPr>
        <w:t>¶</w:t>
      </w:r>
      <w:r w:rsidRPr="0029045F">
        <w:rPr>
          <w:sz w:val="12"/>
        </w:rPr>
        <w:t xml:space="preserve"> The Blurring of War and Peace </w:t>
      </w:r>
      <w:r w:rsidR="008E74A1" w:rsidRPr="008E74A1">
        <w:rPr>
          <w:sz w:val="12"/>
        </w:rPr>
        <w:t>¶</w:t>
      </w:r>
      <w:r w:rsidRPr="0029045F">
        <w:rPr>
          <w:sz w:val="12"/>
        </w:rPr>
        <w:t xml:space="preserve"> One Way to think about this transformation is in terms Of a changing relationship between peace and war. The historical sociologist Charles Tilly argues that the emergence Of </w:t>
      </w:r>
      <w:r w:rsidRPr="0029045F">
        <w:rPr>
          <w:u w:val="single"/>
        </w:rPr>
        <w:t>modern societies</w:t>
      </w:r>
      <w:r w:rsidRPr="0029045F">
        <w:rPr>
          <w:sz w:val="12"/>
        </w:rPr>
        <w:t xml:space="preserve"> from the seventeenth century to the Second World War Saw violence moving in two directions: increasingly deadly inter-state confrontations and increasingly peaceful domestic societies, evident in the disarming Of populations and the rise Of peaceful forms Of protest and conflict (Tilly 2002, 2003). This constituted </w:t>
      </w:r>
      <w:r w:rsidRPr="0029045F">
        <w:rPr>
          <w:u w:val="single"/>
        </w:rPr>
        <w:t>an increasingly clear separation between zones of war and zones of peace</w:t>
      </w:r>
      <w:r w:rsidRPr="0029045F">
        <w:rPr>
          <w:sz w:val="12"/>
        </w:rPr>
        <w:t xml:space="preserve">, a separation that for the philosopher Immanuel Kant constituted the very basis Of modern society (Kleingold 2006: ix). </w:t>
      </w:r>
      <w:r w:rsidRPr="0029045F">
        <w:rPr>
          <w:u w:val="single"/>
        </w:rPr>
        <w:t>This account</w:t>
      </w:r>
      <w:r w:rsidRPr="0029045F">
        <w:rPr>
          <w:sz w:val="12"/>
        </w:rPr>
        <w:t xml:space="preserve"> of the birth Of modernity </w:t>
      </w:r>
      <w:r w:rsidRPr="0029045F">
        <w:rPr>
          <w:u w:val="single"/>
        </w:rPr>
        <w:t>locates violence beyond the borders of increasingly peaceful societies, and</w:t>
      </w:r>
      <w:r w:rsidRPr="0029045F">
        <w:rPr>
          <w:sz w:val="12"/>
        </w:rPr>
        <w:t xml:space="preserve"> to a significant extent </w:t>
      </w:r>
      <w:r w:rsidRPr="0029045F">
        <w:rPr>
          <w:u w:val="single"/>
        </w:rPr>
        <w:t xml:space="preserve">has established itself as a </w:t>
      </w:r>
      <w:r w:rsidRPr="0029045F">
        <w:rPr>
          <w:rStyle w:val="Emphasis"/>
        </w:rPr>
        <w:t>structure of thought preventing any significant exploration</w:t>
      </w:r>
      <w:r w:rsidRPr="0029045F">
        <w:rPr>
          <w:u w:val="single"/>
        </w:rPr>
        <w:t xml:space="preserve"> of the violence at the heart of modern societies, in particular the violence present in </w:t>
      </w:r>
      <w:r w:rsidRPr="0029045F">
        <w:rPr>
          <w:rStyle w:val="Emphasis"/>
        </w:rPr>
        <w:t>colonial expansion</w:t>
      </w:r>
      <w:r w:rsidRPr="0029045F">
        <w:rPr>
          <w:sz w:val="12"/>
        </w:rPr>
        <w:t xml:space="preserve">, or in the extent of atrocities and extreme violence undertaken by the colonizers in the process Of decolonization (Bennett 2011). </w:t>
      </w:r>
      <w:r w:rsidRPr="0029045F">
        <w:rPr>
          <w:u w:val="single"/>
        </w:rPr>
        <w:t>Within this modern self-understanding,</w:t>
      </w:r>
      <w:r w:rsidRPr="0029045F">
        <w:rPr>
          <w:sz w:val="12"/>
        </w:rPr>
        <w:t xml:space="preserve"> </w:t>
      </w:r>
      <w:r w:rsidRPr="0029045F">
        <w:rPr>
          <w:u w:val="single"/>
        </w:rPr>
        <w:t xml:space="preserve">the capacity for extreme </w:t>
      </w:r>
      <w:r w:rsidRPr="0029045F">
        <w:rPr>
          <w:rStyle w:val="Emphasis"/>
        </w:rPr>
        <w:t>violence has always been associated with 'the Other</w:t>
      </w:r>
      <w:r w:rsidRPr="0029045F">
        <w:rPr>
          <w:u w:val="single"/>
        </w:rPr>
        <w:t xml:space="preserve"> with modern society, by definition, understood as being inherently peaceful.</w:t>
      </w:r>
      <w:r w:rsidRPr="0029045F">
        <w:rPr>
          <w:sz w:val="12"/>
        </w:rPr>
        <w:t xml:space="preserve"> </w:t>
      </w:r>
      <w:r w:rsidR="008E74A1" w:rsidRPr="008E74A1">
        <w:rPr>
          <w:sz w:val="12"/>
        </w:rPr>
        <w:t>¶</w:t>
      </w:r>
      <w:r w:rsidRPr="0029045F">
        <w:rPr>
          <w:sz w:val="12"/>
        </w:rPr>
        <w:t xml:space="preserve"> The securitization we have referred to above signals two related transformations: </w:t>
      </w:r>
      <w:r w:rsidRPr="0029045F">
        <w:rPr>
          <w:u w:val="single"/>
        </w:rPr>
        <w:t>the separation between war and peace is becoming less and less clear</w:t>
      </w:r>
      <w:r w:rsidRPr="0029045F">
        <w:rPr>
          <w:sz w:val="12"/>
        </w:rPr>
        <w:t xml:space="preserve">, while the state's monopoly of violence is becoming less and less certain. </w:t>
      </w:r>
      <w:r w:rsidRPr="0029045F">
        <w:rPr>
          <w:u w:val="single"/>
        </w:rPr>
        <w:t>Rather than war being an external event</w:t>
      </w:r>
      <w:r w:rsidRPr="0029045F">
        <w:rPr>
          <w:sz w:val="12"/>
        </w:rPr>
        <w:t xml:space="preserve">, the cultural geographer Nigel Thrift argues that contemporary, </w:t>
      </w:r>
      <w:r w:rsidRPr="0029045F">
        <w:rPr>
          <w:u w:val="single"/>
        </w:rPr>
        <w:t xml:space="preserve">globalizing societies have entered an 'era of </w:t>
      </w:r>
      <w:r w:rsidRPr="0029045F">
        <w:rPr>
          <w:rStyle w:val="Emphasis"/>
        </w:rPr>
        <w:t>permanent and pervasive war</w:t>
      </w:r>
      <w:r w:rsidRPr="0029045F">
        <w:rPr>
          <w:u w:val="single"/>
        </w:rPr>
        <w:t>'</w:t>
      </w:r>
      <w:r w:rsidRPr="0029045F">
        <w:rPr>
          <w:sz w:val="12"/>
        </w:rPr>
        <w:t xml:space="preserve"> (2011: 11), </w:t>
      </w:r>
      <w:r w:rsidRPr="0029045F">
        <w:rPr>
          <w:u w:val="single"/>
        </w:rPr>
        <w:t>with war no longer understood as taking place beyond borders, but across all areas of social life</w:t>
      </w:r>
      <w:r w:rsidRPr="0029045F">
        <w:rPr>
          <w:sz w:val="12"/>
        </w:rPr>
        <w:t xml:space="preserve">. This shift seems particularly evident when we 100k at urban design, where we encounter not simply the increasing integration of blast proofing and other defensive systems into buildings, but </w:t>
      </w:r>
      <w:r w:rsidRPr="0029045F">
        <w:rPr>
          <w:u w:val="single"/>
        </w:rPr>
        <w:t>the actual militarization of urban space</w:t>
      </w:r>
      <w:r w:rsidRPr="0029045F">
        <w:rPr>
          <w:sz w:val="12"/>
        </w:rPr>
        <w:t xml:space="preserve">, evident in particular in contemporary military theory where older conceptions of 'battlefield' are giving way to new models of 'battle space' (see Graham 2012) where the space of warfare </w:t>
      </w:r>
      <w:r w:rsidRPr="0029045F">
        <w:rPr>
          <w:u w:val="single"/>
        </w:rPr>
        <w:t>becomes 'cotermi- nus with the space of civil society itself'</w:t>
      </w:r>
      <w:r w:rsidRPr="0029045F">
        <w:rPr>
          <w:sz w:val="12"/>
        </w:rPr>
        <w:t xml:space="preserve"> (Dillon and Reid 2009: 128). This pattern is evident in the extent that conceptions of urban security devel- oped in a warzone such as post-2003 Baghdad have established themselves as paradigms for policing and security in the cities Of North American and Europe (Graham 2010). </w:t>
      </w:r>
      <w:r w:rsidR="008E74A1" w:rsidRPr="008E74A1">
        <w:rPr>
          <w:sz w:val="12"/>
        </w:rPr>
        <w:t>¶</w:t>
      </w:r>
      <w:r w:rsidRPr="0029045F">
        <w:rPr>
          <w:sz w:val="12"/>
        </w:rPr>
        <w:t xml:space="preserve"> </w:t>
      </w:r>
      <w:r w:rsidRPr="0029045F">
        <w:rPr>
          <w:u w:val="single"/>
        </w:rPr>
        <w:t xml:space="preserve">War, from this perspective, rather than being an activity beyond the borders Of modern society, becomes instead </w:t>
      </w:r>
      <w:r w:rsidRPr="0029045F">
        <w:rPr>
          <w:rStyle w:val="Emphasis"/>
        </w:rPr>
        <w:t>a lens with which to conceive</w:t>
      </w:r>
      <w:r w:rsidRPr="0029045F">
        <w:t xml:space="preserve"> </w:t>
      </w:r>
      <w:r w:rsidRPr="0029045F">
        <w:rPr>
          <w:u w:val="single"/>
        </w:rPr>
        <w:t>of the core organization of such societies.</w:t>
      </w:r>
      <w:r w:rsidRPr="0029045F">
        <w:rPr>
          <w:sz w:val="12"/>
        </w:rPr>
        <w:t xml:space="preserve"> The rise of war as a lens to frame social life has been particularly evident in military theory. William Lind, for example, argues that the world has entered an age of 'fourth generation war', characterized by the loss Of the state's monopoly over the exercise Of War. Today states find themselves at war with non-state opponents, wars he argues that states are losing. Writing in a respected journal, Lind argues 'invasion by immigration can be at least as dangerous as invasion by a state army' (2004: 14). We do not need to embrace this type Of argument to rec- ognize that the twenty-first century has been shaped by an awareness of a new vulnerability. </w:t>
      </w:r>
      <w:bookmarkEnd w:id="0"/>
    </w:p>
    <w:p w14:paraId="3A321106" w14:textId="77777777" w:rsidR="006C0B77" w:rsidRDefault="006C0B77" w:rsidP="006C0B77">
      <w:pPr>
        <w:pStyle w:val="Heading2"/>
      </w:pPr>
      <w:r>
        <w:t>AT IP Good</w:t>
      </w:r>
    </w:p>
    <w:p w14:paraId="2DC3EE38" w14:textId="77777777" w:rsidR="006C0B77" w:rsidRDefault="006C0B77" w:rsidP="006C0B77">
      <w:pPr>
        <w:pStyle w:val="Heading3"/>
      </w:pPr>
      <w:r>
        <w:t>AT Competition</w:t>
      </w:r>
    </w:p>
    <w:p w14:paraId="5096A86B" w14:textId="77777777" w:rsidR="006C0B77" w:rsidRPr="00DA2906" w:rsidRDefault="006C0B77" w:rsidP="006C0B77">
      <w:pPr>
        <w:keepNext/>
        <w:keepLines/>
        <w:spacing w:before="40" w:after="0"/>
        <w:outlineLvl w:val="3"/>
        <w:rPr>
          <w:rFonts w:eastAsia="Times New Roman" w:cs="Times New Roman"/>
          <w:b/>
          <w:iCs/>
          <w:sz w:val="26"/>
        </w:rPr>
      </w:pPr>
      <w:r w:rsidRPr="00DA2906">
        <w:rPr>
          <w:rFonts w:eastAsia="Times New Roman" w:cs="Times New Roman"/>
          <w:b/>
          <w:iCs/>
          <w:sz w:val="26"/>
        </w:rPr>
        <w:t xml:space="preserve">Western modernity is commodifying IP to be socially and economically profitable—especially through categorizing private and public domains in society. </w:t>
      </w:r>
    </w:p>
    <w:p w14:paraId="3EC7F50D" w14:textId="77777777" w:rsidR="006C0B77" w:rsidRPr="006A4805" w:rsidRDefault="006C0B77" w:rsidP="006C0B77">
      <w:pPr>
        <w:rPr>
          <w:rFonts w:eastAsia="Aptos"/>
        </w:rPr>
      </w:pPr>
      <w:r w:rsidRPr="00DA2906">
        <w:rPr>
          <w:rFonts w:eastAsia="Times New Roman" w:cs="Times New Roman"/>
          <w:b/>
          <w:iCs/>
          <w:sz w:val="26"/>
        </w:rPr>
        <w:t xml:space="preserve">Coombe and Chapman 20 </w:t>
      </w:r>
      <w:r w:rsidRPr="006A4805">
        <w:rPr>
          <w:rFonts w:eastAsia="Aptos"/>
        </w:rPr>
        <w:t xml:space="preserve">(Rosemary J Coombe- anthropologist and lawyer, professor in the Department of Anthropology at York University and Tier 1 Canada Research Chair in Law, Communication and Cultural Studies, and Susannah Chapman- PhD in Anthropology from the University of Georgia, Research Fellow at The University of Queensland, 8-27-2020,  "Ethnographic Explorations of Intellectual Property," </w:t>
      </w:r>
      <w:hyperlink r:id="rId11" w:history="1">
        <w:r w:rsidRPr="00DA2906">
          <w:rPr>
            <w:rFonts w:eastAsia="Aptos"/>
            <w:color w:val="467886"/>
            <w:u w:val="single"/>
          </w:rPr>
          <w:t>https://doi.org/10.1093/acrefore/9780190854584.013.115</w:t>
        </w:r>
      </w:hyperlink>
      <w:r w:rsidRPr="006A4805">
        <w:rPr>
          <w:rFonts w:eastAsia="Aptos"/>
        </w:rPr>
        <w:t>) SD</w:t>
      </w:r>
    </w:p>
    <w:p w14:paraId="1810C7F2" w14:textId="77777777" w:rsidR="006C0B77" w:rsidRPr="00B15BF2" w:rsidRDefault="006C0B77" w:rsidP="006C0B77">
      <w:pPr>
        <w:rPr>
          <w:rFonts w:eastAsia="Aptos"/>
          <w:sz w:val="16"/>
        </w:rPr>
      </w:pPr>
      <w:r w:rsidRPr="00B15BF2">
        <w:rPr>
          <w:rFonts w:eastAsia="Aptos"/>
          <w:sz w:val="16"/>
        </w:rPr>
        <w:t xml:space="preserve">Anthropological considerations of intellectual property (IP) have a short history; </w:t>
      </w:r>
      <w:r w:rsidRPr="00DA2906">
        <w:rPr>
          <w:rFonts w:eastAsia="Aptos"/>
          <w:u w:val="single"/>
        </w:rPr>
        <w:t>only since the mid-1990s and the incorporation of IP into international trade regimes has it become a major field of concern</w:t>
      </w:r>
      <w:r w:rsidRPr="00B15BF2">
        <w:rPr>
          <w:rFonts w:eastAsia="Aptos"/>
          <w:sz w:val="16"/>
        </w:rPr>
        <w:t>. What may have been a topic of narrow interest to legal anthropologists has attracted attention across the discipline because of the range of the law’s social and economic impacts. In market economies,</w:t>
      </w:r>
      <w:r w:rsidRPr="00DA2906">
        <w:rPr>
          <w:rFonts w:eastAsia="Aptos"/>
          <w:sz w:val="14"/>
          <w:u w:val="single"/>
        </w:rPr>
        <w:t xml:space="preserve"> </w:t>
      </w:r>
      <w:r w:rsidRPr="00DA2906">
        <w:rPr>
          <w:rFonts w:eastAsia="Aptos"/>
          <w:u w:val="single"/>
        </w:rPr>
        <w:t>IP protects many intangible cultural goods</w:t>
      </w:r>
      <w:r w:rsidRPr="00B15BF2">
        <w:rPr>
          <w:rFonts w:eastAsia="Aptos"/>
          <w:sz w:val="16"/>
        </w:rPr>
        <w:t xml:space="preserve"> (e.g., aesthetic works, trademarks, designs, modes of manufacture and composition, genetic resources</w:t>
      </w:r>
      <w:r w:rsidRPr="00DA2906">
        <w:rPr>
          <w:rFonts w:eastAsia="Aptos"/>
          <w:u w:val="single"/>
        </w:rPr>
        <w:t>) from unauthorized reproduction through material means of enforcement.</w:t>
      </w:r>
      <w:r w:rsidRPr="00B15BF2">
        <w:rPr>
          <w:rFonts w:eastAsia="Aptos"/>
          <w:sz w:val="16"/>
        </w:rPr>
        <w:t xml:space="preserve"> </w:t>
      </w:r>
      <w:r w:rsidRPr="00DA2906">
        <w:rPr>
          <w:rFonts w:eastAsia="Aptos"/>
          <w:u w:val="single"/>
        </w:rPr>
        <w:t>Protected informational or cultural goods are manifest in material and digital forms of fixation</w:t>
      </w:r>
      <w:r w:rsidRPr="00B15BF2">
        <w:rPr>
          <w:rFonts w:eastAsia="Aptos"/>
          <w:sz w:val="16"/>
        </w:rPr>
        <w:t xml:space="preserve"> (books, films, posters, songs, fertilizers, machines, plants, medicine, software, pesticides) </w:t>
      </w:r>
      <w:r w:rsidRPr="00DA2906">
        <w:rPr>
          <w:rFonts w:eastAsia="Aptos"/>
          <w:u w:val="single"/>
        </w:rPr>
        <w:t>that circulate as publicly accessible</w:t>
      </w:r>
      <w:r w:rsidRPr="00B15BF2">
        <w:rPr>
          <w:rFonts w:eastAsia="Aptos"/>
          <w:sz w:val="16"/>
        </w:rPr>
        <w:t xml:space="preserve"> (if not freely available) </w:t>
      </w:r>
      <w:r w:rsidRPr="00DA2906">
        <w:rPr>
          <w:rFonts w:eastAsia="Aptos"/>
          <w:u w:val="single"/>
        </w:rPr>
        <w:t>goods</w:t>
      </w:r>
      <w:r w:rsidRPr="00B15BF2">
        <w:rPr>
          <w:rFonts w:eastAsia="Aptos"/>
          <w:sz w:val="16"/>
        </w:rPr>
        <w:t xml:space="preserve">. </w:t>
      </w:r>
      <w:r w:rsidRPr="00DA2906">
        <w:rPr>
          <w:rFonts w:eastAsia="Aptos"/>
          <w:u w:val="single"/>
        </w:rPr>
        <w:t xml:space="preserve">Such goods are so pervasive and socially significant that restricting access to them via IP provokes concerns about </w:t>
      </w:r>
      <w:r w:rsidRPr="00B15BF2">
        <w:rPr>
          <w:rFonts w:eastAsia="Aptos"/>
          <w:sz w:val="16"/>
        </w:rPr>
        <w:t>the scope of powerful economic interests, the state’s capacity to meet vital human needs and provide critical infrastructures, and</w:t>
      </w:r>
      <w:r w:rsidRPr="00DA2906">
        <w:rPr>
          <w:rFonts w:eastAsia="Aptos"/>
          <w:sz w:val="14"/>
          <w:u w:val="single"/>
        </w:rPr>
        <w:t xml:space="preserve"> </w:t>
      </w:r>
      <w:r w:rsidRPr="00DA2906">
        <w:rPr>
          <w:rFonts w:eastAsia="Aptos"/>
          <w:u w:val="single"/>
        </w:rPr>
        <w:t>the protection of citizens’ democratic entitlements and minority cultural traditions.</w:t>
      </w:r>
      <w:r w:rsidRPr="00B15BF2">
        <w:rPr>
          <w:rFonts w:eastAsia="Aptos"/>
          <w:sz w:val="16"/>
        </w:rPr>
        <w:t xml:space="preserve"> </w:t>
      </w:r>
      <w:r w:rsidRPr="00DA2906">
        <w:rPr>
          <w:rFonts w:eastAsia="Aptos"/>
          <w:b/>
          <w:iCs/>
          <w:u w:val="single"/>
        </w:rPr>
        <w:t xml:space="preserve">IP protections are understood to be both economically and socially productive: </w:t>
      </w:r>
      <w:r w:rsidRPr="00B15BF2">
        <w:rPr>
          <w:rFonts w:eastAsia="Aptos"/>
          <w:sz w:val="16"/>
        </w:rPr>
        <w:t xml:space="preserve">not only do </w:t>
      </w:r>
      <w:r w:rsidRPr="00DA2906">
        <w:rPr>
          <w:rFonts w:eastAsia="Aptos"/>
          <w:u w:val="single"/>
        </w:rPr>
        <w:t>they yield revenue in the form of royalties for their holders</w:t>
      </w:r>
      <w:r w:rsidRPr="00DA2906">
        <w:rPr>
          <w:rFonts w:eastAsia="Aptos"/>
          <w:b/>
          <w:iCs/>
          <w:u w:val="single"/>
        </w:rPr>
        <w:t>, they legitimate certain actors as creators and delegitimize others</w:t>
      </w:r>
      <w:r w:rsidRPr="00DA2906">
        <w:rPr>
          <w:rFonts w:eastAsia="Aptos"/>
          <w:u w:val="single"/>
        </w:rPr>
        <w:t>, including counterfeiters who may be deemed “terrorists” and “pirates.” As the scope and range of IP protection expanded, so did its capacity to restrict access to goods</w:t>
      </w:r>
      <w:r w:rsidRPr="00B15BF2">
        <w:rPr>
          <w:rFonts w:eastAsia="Aptos"/>
          <w:sz w:val="16"/>
        </w:rPr>
        <w:t xml:space="preserve"> as diverse as music, communications technologies, seeds, pharmaceuticals, and academic scholarship. </w:t>
      </w:r>
      <w:r w:rsidRPr="00DA2906">
        <w:rPr>
          <w:rFonts w:eastAsia="Aptos"/>
          <w:u w:val="single"/>
        </w:rPr>
        <w:t>The new forms of capital accumulation and cultural influence generated by these legal changes attracted the attention of diverse subfields of anthropology</w:t>
      </w:r>
      <w:r w:rsidRPr="00B15BF2">
        <w:rPr>
          <w:rFonts w:eastAsia="Aptos"/>
          <w:sz w:val="16"/>
        </w:rPr>
        <w:t xml:space="preserve">, prompting scholarship that </w:t>
      </w:r>
      <w:r w:rsidRPr="00DA2906">
        <w:rPr>
          <w:rFonts w:eastAsia="Aptos"/>
          <w:u w:val="single"/>
        </w:rPr>
        <w:t>added feminist, new materialist, and</w:t>
      </w:r>
      <w:r w:rsidRPr="00B15BF2">
        <w:rPr>
          <w:rFonts w:eastAsia="Aptos"/>
          <w:sz w:val="16"/>
        </w:rPr>
        <w:t xml:space="preserve"> science and technology studies (</w:t>
      </w:r>
      <w:r w:rsidRPr="00DA2906">
        <w:rPr>
          <w:rFonts w:eastAsia="Aptos"/>
          <w:u w:val="single"/>
        </w:rPr>
        <w:t>STS</w:t>
      </w:r>
      <w:r w:rsidRPr="00B15BF2">
        <w:rPr>
          <w:rFonts w:eastAsia="Aptos"/>
          <w:sz w:val="16"/>
        </w:rPr>
        <w:t xml:space="preserve">) </w:t>
      </w:r>
      <w:r w:rsidRPr="00DA2906">
        <w:rPr>
          <w:rFonts w:eastAsia="Aptos"/>
          <w:u w:val="single"/>
        </w:rPr>
        <w:t>methodologies to conventional approaches</w:t>
      </w:r>
      <w:r w:rsidRPr="00B15BF2">
        <w:rPr>
          <w:rFonts w:eastAsia="Aptos"/>
          <w:sz w:val="16"/>
        </w:rPr>
        <w:t xml:space="preserve"> drawn from political economy, social constructionism, and interpretive legal anthropology. From these different theoretical perspectives, anthropologists addressed the IP vehicles of copyright, patent, trademark, design, plant variety protection, and publicity rights alongside emerging protections for traditional knowledges, traditional cultural expressions, and genetic resources. When ethnographically tracking these legal mechanisms, anthropologists explored questions of property and commodification, representation </w:t>
      </w:r>
      <w:r w:rsidRPr="00DA2906">
        <w:rPr>
          <w:rFonts w:eastAsia="Aptos"/>
          <w:u w:val="single"/>
        </w:rPr>
        <w:t>and</w:t>
      </w:r>
      <w:r w:rsidRPr="00B15BF2">
        <w:rPr>
          <w:rFonts w:eastAsia="Aptos"/>
          <w:sz w:val="16"/>
        </w:rPr>
        <w:t xml:space="preserve"> translation, research and ethics, personhood and subjectivity, and place and territorialization, which are the major themes of this article. Anthropologists regularly engage with interlocutors in law, cultural studies, communications, and media studies; this article references scholars outside of the discipline whose work has been influential for anthropological engagements with IP.Anthropologists recognize</w:t>
      </w:r>
      <w:r w:rsidRPr="00DA2906">
        <w:rPr>
          <w:rFonts w:eastAsia="Aptos"/>
          <w:u w:val="single"/>
        </w:rPr>
        <w:t xml:space="preserve"> IP as a form of commodification rooted in </w:t>
      </w:r>
      <w:r w:rsidRPr="00DA2906">
        <w:rPr>
          <w:rFonts w:eastAsia="Aptos"/>
          <w:b/>
          <w:iCs/>
          <w:u w:val="single"/>
        </w:rPr>
        <w:t>Western liberal philosophy that creates regimes of scarcity</w:t>
      </w:r>
      <w:r w:rsidRPr="00DA2906">
        <w:rPr>
          <w:rFonts w:eastAsia="Aptos"/>
          <w:u w:val="single"/>
        </w:rPr>
        <w:t xml:space="preserve"> by recognizing some types of material expression as the property of individual, collective, and corporate actors.</w:t>
      </w:r>
      <w:r w:rsidRPr="00B15BF2">
        <w:rPr>
          <w:rFonts w:eastAsia="Aptos"/>
          <w:sz w:val="16"/>
        </w:rPr>
        <w:t xml:space="preserve"> Using rationales such as the valorization of original individuated expression (copyright), novel innovation (patent), investments in creating fields of commercial meaning (trademark), and the making and merchandising of distinctive personas (celebrity), </w:t>
      </w:r>
      <w:r w:rsidRPr="00DA2906">
        <w:rPr>
          <w:rFonts w:eastAsia="Aptos"/>
          <w:u w:val="single"/>
        </w:rPr>
        <w:t xml:space="preserve">the law legitimates various entitlements. Such legal recognitions are selective in the kinds of cultural creativity they encompass, routinely finding certain forms of human expressive and innovative work to be legible and legitimate while </w:t>
      </w:r>
      <w:r w:rsidRPr="00DA2906">
        <w:rPr>
          <w:rFonts w:eastAsia="Aptos"/>
          <w:b/>
          <w:iCs/>
          <w:u w:val="single"/>
        </w:rPr>
        <w:t>excluding</w:t>
      </w:r>
      <w:r w:rsidRPr="00DA2906">
        <w:rPr>
          <w:rFonts w:eastAsia="Aptos"/>
          <w:u w:val="single"/>
        </w:rPr>
        <w:t xml:space="preserve"> or taking for granted </w:t>
      </w:r>
      <w:r w:rsidRPr="00DA2906">
        <w:rPr>
          <w:rFonts w:eastAsia="Aptos"/>
          <w:b/>
          <w:iCs/>
          <w:u w:val="single"/>
        </w:rPr>
        <w:t>other similar, socially valuable activities performed by people with less political power</w:t>
      </w:r>
      <w:r w:rsidRPr="00DA2906">
        <w:rPr>
          <w:rFonts w:eastAsia="Aptos"/>
          <w:u w:val="single"/>
        </w:rPr>
        <w:t>.</w:t>
      </w:r>
      <w:r w:rsidRPr="00B15BF2">
        <w:rPr>
          <w:rFonts w:eastAsia="Aptos"/>
          <w:sz w:val="16"/>
        </w:rPr>
        <w:t xml:space="preserve"> Although anthropologists insisted that there were some similar types of exclusive protection in non-market societies</w:t>
      </w:r>
      <w:r w:rsidRPr="00DA2906">
        <w:rPr>
          <w:rFonts w:eastAsia="Aptos"/>
          <w:u w:val="single"/>
        </w:rPr>
        <w:t xml:space="preserve">, the global consolidation of such protections was largely understood to be a product </w:t>
      </w:r>
      <w:r w:rsidRPr="00DA2906">
        <w:rPr>
          <w:rFonts w:eastAsia="Aptos"/>
          <w:b/>
          <w:iCs/>
          <w:u w:val="single"/>
        </w:rPr>
        <w:t>of liberal capitalist modernity</w:t>
      </w:r>
      <w:r w:rsidRPr="00DA2906">
        <w:rPr>
          <w:rFonts w:eastAsia="Aptos"/>
          <w:u w:val="single"/>
        </w:rPr>
        <w:t>, ideologically premised upon the naturalization of social categories dividing private and public zones of social life.</w:t>
      </w:r>
    </w:p>
    <w:p w14:paraId="56D348AF" w14:textId="77777777" w:rsidR="006C0B77" w:rsidRDefault="006C0B77" w:rsidP="006C0B77">
      <w:pPr>
        <w:pStyle w:val="Heading3"/>
      </w:pPr>
      <w:r>
        <w:t>AT Developing Countries</w:t>
      </w:r>
    </w:p>
    <w:p w14:paraId="02983D24" w14:textId="77777777" w:rsidR="006C0B77" w:rsidRDefault="006C0B77" w:rsidP="006C0B77">
      <w:pPr>
        <w:pStyle w:val="Heading4"/>
      </w:pPr>
      <w:r>
        <w:t>Intellectual property is historically and contemporarily an extension of US imperialism</w:t>
      </w:r>
    </w:p>
    <w:p w14:paraId="256E4035" w14:textId="77777777" w:rsidR="006C0B77" w:rsidRPr="006A4805" w:rsidRDefault="006C0B77" w:rsidP="006C0B77">
      <w:pPr>
        <w:rPr>
          <w:rStyle w:val="Style13ptBold"/>
        </w:rPr>
      </w:pPr>
      <w:r w:rsidRPr="006A4805">
        <w:rPr>
          <w:rStyle w:val="Style13ptBold"/>
        </w:rPr>
        <w:t>Hilberg 15</w:t>
      </w:r>
    </w:p>
    <w:p w14:paraId="11A1F897" w14:textId="77777777" w:rsidR="006C0B77" w:rsidRDefault="006C0B77" w:rsidP="006C0B77">
      <w:r w:rsidRPr="006A4805">
        <w:t xml:space="preserve">Eva, phD candidate at the University of Sussex. “Intellectual Property and the Genetic Dispositif of Life: The Changing Role of Intellectual Property Law in Governing Participation and Knowledge in the Bioeconomy.” Submitted for the Degree of Doctor of Philosophy University of Sussex, May 2015. Pp </w:t>
      </w:r>
      <w:r>
        <w:t>16-18</w:t>
      </w:r>
      <w:r w:rsidRPr="006A4805">
        <w:t>. LJS</w:t>
      </w:r>
    </w:p>
    <w:p w14:paraId="0DCA8057" w14:textId="77777777" w:rsidR="006C0B77" w:rsidRPr="007D6535" w:rsidRDefault="006C0B77" w:rsidP="006C0B77">
      <w:pPr>
        <w:rPr>
          <w:sz w:val="16"/>
        </w:rPr>
      </w:pPr>
      <w:r w:rsidRPr="00B21093">
        <w:rPr>
          <w:rStyle w:val="StyleUnderline"/>
        </w:rPr>
        <w:t>The analysis of IP’s exclusionary function connects the international and the national</w:t>
      </w:r>
      <w:r>
        <w:rPr>
          <w:rStyle w:val="StyleUnderline"/>
        </w:rPr>
        <w:t xml:space="preserve"> </w:t>
      </w:r>
      <w:r w:rsidRPr="00B21093">
        <w:rPr>
          <w:rStyle w:val="StyleUnderline"/>
        </w:rPr>
        <w:t>level of IP law, with particular attention to the US IP system</w:t>
      </w:r>
      <w:r w:rsidRPr="0064010D">
        <w:rPr>
          <w:sz w:val="16"/>
        </w:rPr>
        <w:t xml:space="preserve">. This reflects the unique connection between the national and the international level contained in the current IP system. Here, the TRIPS agreement sets minimum standards on the international level, but their implementation depends on the particular national legal system – thus giving rise to national variations within an internationally guaranteed framework. Some larger regional bodies, such as the European Patent Office (EPO), harmonise rules within regions to some extent, but beyond that countries can form their own approaches. However, the TRIPS agreement created an internationally recognised standard of protection containing a very wide definition of patentable subject matter (i.e. any ‘invention’), and set out accepted exemptions to this. These definitions are very closely connected to the content given to them within the US patent system, as this section will briefly set out. </w:t>
      </w:r>
      <w:r w:rsidRPr="00F605E7">
        <w:rPr>
          <w:rStyle w:val="StyleUnderline"/>
        </w:rPr>
        <w:t>Despite existing regional differences (see Rajan 2006</w:t>
      </w:r>
      <w:r>
        <w:rPr>
          <w:rStyle w:val="StyleUnderline"/>
        </w:rPr>
        <w:t xml:space="preserve"> </w:t>
      </w:r>
      <w:r w:rsidRPr="00F605E7">
        <w:rPr>
          <w:rStyle w:val="StyleUnderline"/>
        </w:rPr>
        <w:t>on India), the US approach thus remains the most relevant for an analysis of the</w:t>
      </w:r>
      <w:r>
        <w:rPr>
          <w:rStyle w:val="StyleUnderline"/>
        </w:rPr>
        <w:t xml:space="preserve"> </w:t>
      </w:r>
      <w:r w:rsidRPr="00F605E7">
        <w:rPr>
          <w:rStyle w:val="StyleUnderline"/>
        </w:rPr>
        <w:t>parameters of international IP law contained in TRIPS – not least because of its very</w:t>
      </w:r>
      <w:r>
        <w:rPr>
          <w:rStyle w:val="StyleUnderline"/>
        </w:rPr>
        <w:t xml:space="preserve"> </w:t>
      </w:r>
      <w:r w:rsidRPr="00F605E7">
        <w:rPr>
          <w:rStyle w:val="StyleUnderline"/>
        </w:rPr>
        <w:t>strong biotech sector. The history of the TRIPS agreement is clearly dominated by the</w:t>
      </w:r>
      <w:r>
        <w:rPr>
          <w:rStyle w:val="StyleUnderline"/>
        </w:rPr>
        <w:t xml:space="preserve"> </w:t>
      </w:r>
      <w:r w:rsidRPr="00F605E7">
        <w:rPr>
          <w:rStyle w:val="StyleUnderline"/>
        </w:rPr>
        <w:t>influence of US industry and the IP systems of industrial countries (Sell 2003).</w:t>
      </w:r>
      <w:r>
        <w:rPr>
          <w:rStyle w:val="StyleUnderline"/>
        </w:rPr>
        <w:t xml:space="preserve"> </w:t>
      </w:r>
      <w:r w:rsidRPr="0064010D">
        <w:rPr>
          <w:sz w:val="16"/>
        </w:rPr>
        <w:t>The TRIPS Agreement added to an international system of IP standards already contained in the World Intellectual Property Organisation (WIPO), which was established in 1967 as a United Nations agency administering the Paris Convention for the Protection of Industrial Property of 1882, and the Berne Convention for the Protection of Literary and Artistic Work of 1886, which constituted the first attempts to introduce an international dimension of IPRs (Matthews 2002, 10). These agreements set out minimum standards in this area and introduced the concept of ‘national treatment’, which is the concept of providing the same “national treatment for foreign works under domestic laws for patents, trademarks […]” as for domestic works – but these treaties did not provide any effective mechanisms for enforcement of these standards (Ibid.). The TRIPS agreement incorporated most of the Paris and Berne conventions, but also tried to overcome their shortcomings, which were: “first, the absence of detailed rules on enforcement rights […] and second, the absence of a binding and effective mechanism to settle disputes between states” (Ibid</w:t>
      </w:r>
      <w:r w:rsidRPr="00F605E7">
        <w:rPr>
          <w:rStyle w:val="StyleUnderline"/>
        </w:rPr>
        <w:t>.). Intellectual</w:t>
      </w:r>
      <w:r>
        <w:rPr>
          <w:rStyle w:val="StyleUnderline"/>
        </w:rPr>
        <w:t xml:space="preserve"> </w:t>
      </w:r>
      <w:r w:rsidRPr="00F605E7">
        <w:rPr>
          <w:rStyle w:val="StyleUnderline"/>
        </w:rPr>
        <w:t>Property Rights under this agreement are private rights, backed up by the principle of</w:t>
      </w:r>
      <w:r>
        <w:rPr>
          <w:rStyle w:val="StyleUnderline"/>
        </w:rPr>
        <w:t xml:space="preserve"> </w:t>
      </w:r>
      <w:r w:rsidRPr="00F605E7">
        <w:rPr>
          <w:rStyle w:val="StyleUnderline"/>
        </w:rPr>
        <w:t>national treatment within courts, thus relying in their enforcement on public power as</w:t>
      </w:r>
      <w:r>
        <w:rPr>
          <w:rStyle w:val="StyleUnderline"/>
        </w:rPr>
        <w:t xml:space="preserve"> </w:t>
      </w:r>
      <w:r w:rsidRPr="00F605E7">
        <w:rPr>
          <w:rStyle w:val="StyleUnderline"/>
        </w:rPr>
        <w:t>well.</w:t>
      </w:r>
      <w:r>
        <w:rPr>
          <w:rStyle w:val="StyleUnderline"/>
        </w:rPr>
        <w:t xml:space="preserve"> </w:t>
      </w:r>
      <w:r w:rsidRPr="0064010D">
        <w:rPr>
          <w:rStyle w:val="StyleUnderline"/>
        </w:rPr>
        <w:t>The TRIPS agreement was substantially influenced by the private pressure</w:t>
      </w:r>
      <w:r>
        <w:rPr>
          <w:rStyle w:val="StyleUnderline"/>
        </w:rPr>
        <w:t xml:space="preserve"> </w:t>
      </w:r>
      <w:r w:rsidRPr="0064010D">
        <w:rPr>
          <w:rStyle w:val="StyleUnderline"/>
        </w:rPr>
        <w:t>group called the Intellectual Property Committee (IPC), consisting of chief executive</w:t>
      </w:r>
      <w:r>
        <w:rPr>
          <w:rStyle w:val="StyleUnderline"/>
        </w:rPr>
        <w:t xml:space="preserve"> </w:t>
      </w:r>
      <w:r w:rsidRPr="0064010D">
        <w:rPr>
          <w:rStyle w:val="StyleUnderline"/>
        </w:rPr>
        <w:t>officers of pharmaceutical, entertainment and software industries in the US, Europe</w:t>
      </w:r>
      <w:r>
        <w:rPr>
          <w:rStyle w:val="StyleUnderline"/>
        </w:rPr>
        <w:t xml:space="preserve"> </w:t>
      </w:r>
      <w:r w:rsidRPr="0064010D">
        <w:rPr>
          <w:rStyle w:val="StyleUnderline"/>
        </w:rPr>
        <w:t>and Japan (Sell 2003, 2; Tyfield 2008). They set out to strengthen existing protection</w:t>
      </w:r>
      <w:r>
        <w:rPr>
          <w:rStyle w:val="StyleUnderline"/>
        </w:rPr>
        <w:t xml:space="preserve"> </w:t>
      </w:r>
      <w:r w:rsidRPr="0064010D">
        <w:rPr>
          <w:rStyle w:val="StyleUnderline"/>
        </w:rPr>
        <w:t>measures and succeeded in gaining government support for a highly protectionist new</w:t>
      </w:r>
      <w:r>
        <w:rPr>
          <w:rStyle w:val="StyleUnderline"/>
        </w:rPr>
        <w:t xml:space="preserve"> </w:t>
      </w:r>
      <w:r w:rsidRPr="0064010D">
        <w:rPr>
          <w:rStyle w:val="StyleUnderline"/>
        </w:rPr>
        <w:t>agreement based on the already existing IP laws of industrialised countries, and thus</w:t>
      </w:r>
      <w:r>
        <w:rPr>
          <w:rStyle w:val="StyleUnderline"/>
        </w:rPr>
        <w:t xml:space="preserve"> </w:t>
      </w:r>
      <w:r w:rsidRPr="0064010D">
        <w:rPr>
          <w:rStyle w:val="StyleUnderline"/>
        </w:rPr>
        <w:t>globalised a previously national system reflecting the interests of industrialised states</w:t>
      </w:r>
      <w:r>
        <w:rPr>
          <w:rStyle w:val="StyleUnderline"/>
        </w:rPr>
        <w:t xml:space="preserve"> </w:t>
      </w:r>
      <w:r w:rsidRPr="0064010D">
        <w:rPr>
          <w:rStyle w:val="StyleUnderline"/>
        </w:rPr>
        <w:t>(Sell 2003, 2). Developing countries were then effectively coerced into accepting this</w:t>
      </w:r>
      <w:r>
        <w:rPr>
          <w:rStyle w:val="StyleUnderline"/>
        </w:rPr>
        <w:t xml:space="preserve"> </w:t>
      </w:r>
      <w:r w:rsidRPr="0064010D">
        <w:rPr>
          <w:rStyle w:val="StyleUnderline"/>
        </w:rPr>
        <w:t>regime as an obligatory part of the WTO, making the protection of IP a precondition</w:t>
      </w:r>
      <w:r>
        <w:rPr>
          <w:rStyle w:val="StyleUnderline"/>
        </w:rPr>
        <w:t xml:space="preserve"> </w:t>
      </w:r>
      <w:r w:rsidRPr="0064010D">
        <w:rPr>
          <w:rStyle w:val="StyleUnderline"/>
        </w:rPr>
        <w:t>for their own exports (Aoki 1998, 20). Correa argues that this “was also an expression</w:t>
      </w:r>
      <w:r>
        <w:rPr>
          <w:rStyle w:val="StyleUnderline"/>
        </w:rPr>
        <w:t xml:space="preserve"> </w:t>
      </w:r>
      <w:r w:rsidRPr="0064010D">
        <w:rPr>
          <w:rStyle w:val="StyleUnderline"/>
        </w:rPr>
        <w:t>of an aggressive action by the US industries to establish international rules that</w:t>
      </w:r>
      <w:r>
        <w:rPr>
          <w:rStyle w:val="StyleUnderline"/>
        </w:rPr>
        <w:t xml:space="preserve"> </w:t>
      </w:r>
      <w:r w:rsidRPr="0064010D">
        <w:rPr>
          <w:rStyle w:val="StyleUnderline"/>
        </w:rPr>
        <w:t>counter their declining competitive position in world markets” (Correa 2000, 5) –</w:t>
      </w:r>
      <w:r>
        <w:rPr>
          <w:rStyle w:val="StyleUnderline"/>
        </w:rPr>
        <w:t xml:space="preserve"> </w:t>
      </w:r>
      <w:r w:rsidRPr="0064010D">
        <w:rPr>
          <w:rStyle w:val="StyleUnderline"/>
        </w:rPr>
        <w:t>showing in how far this agreement was highly politicised from its inception (see also</w:t>
      </w:r>
      <w:r>
        <w:rPr>
          <w:rStyle w:val="StyleUnderline"/>
        </w:rPr>
        <w:t xml:space="preserve"> </w:t>
      </w:r>
      <w:r w:rsidRPr="0064010D">
        <w:rPr>
          <w:rStyle w:val="StyleUnderline"/>
        </w:rPr>
        <w:t>chapter VI for further discussion).</w:t>
      </w:r>
      <w:r w:rsidRPr="0064010D">
        <w:rPr>
          <w:sz w:val="16"/>
        </w:rPr>
        <w:t xml:space="preserve"> National industrial interests were foundational to this international system, and are continuing to influence its development, as the US and a number of countries with an IP producing industry are pushing for even higher international standards of IP enforcement in ‘TRIPS Plus’ agreements such as the Anti-Counterfeiting Trade Agreement (ACTA), the Transpacific Partnership (TPP), and to some extent also in the current negotiations between the US and the EU as part of the Transatlantic Trade and Investment Partnership (TTIP) (Sell 2008; Abbott 2009; UNAIDS 2011; Geist 2010). </w:t>
      </w:r>
      <w:r w:rsidRPr="0064010D">
        <w:rPr>
          <w:rStyle w:val="StyleUnderline"/>
        </w:rPr>
        <w:t>Foucault once argued in a lecture on the international dimension of the liberal</w:t>
      </w:r>
      <w:r>
        <w:rPr>
          <w:rStyle w:val="StyleUnderline"/>
        </w:rPr>
        <w:t xml:space="preserve"> </w:t>
      </w:r>
      <w:r w:rsidRPr="0064010D">
        <w:rPr>
          <w:rStyle w:val="StyleUnderline"/>
        </w:rPr>
        <w:t>system that “[t]he game is in Europe, but the stake is the world” (Foucault 2008, 56) –</w:t>
      </w:r>
      <w:r>
        <w:rPr>
          <w:rStyle w:val="StyleUnderline"/>
        </w:rPr>
        <w:t xml:space="preserve"> </w:t>
      </w:r>
      <w:r w:rsidRPr="0064010D">
        <w:rPr>
          <w:rStyle w:val="StyleUnderline"/>
        </w:rPr>
        <w:t>this thesis argues that this is particularly true in the case of the IP system, where the</w:t>
      </w:r>
      <w:r>
        <w:rPr>
          <w:rStyle w:val="StyleUnderline"/>
        </w:rPr>
        <w:t xml:space="preserve"> </w:t>
      </w:r>
      <w:r w:rsidRPr="0064010D">
        <w:rPr>
          <w:rStyle w:val="StyleUnderline"/>
        </w:rPr>
        <w:t>game is mostly in the US, while its ‘stake’ has become the world due to the global</w:t>
      </w:r>
      <w:r>
        <w:rPr>
          <w:rStyle w:val="StyleUnderline"/>
        </w:rPr>
        <w:t xml:space="preserve"> </w:t>
      </w:r>
      <w:r w:rsidRPr="0064010D">
        <w:rPr>
          <w:rStyle w:val="StyleUnderline"/>
        </w:rPr>
        <w:t>reach of TRIPS and the WTO. However, as chapter III demonstrates, in a neoliberal</w:t>
      </w:r>
      <w:r>
        <w:rPr>
          <w:rStyle w:val="StyleUnderline"/>
        </w:rPr>
        <w:t xml:space="preserve"> </w:t>
      </w:r>
      <w:r w:rsidRPr="0064010D">
        <w:rPr>
          <w:rStyle w:val="StyleUnderline"/>
        </w:rPr>
        <w:t>economy the IP regime has become even more crucial for the maintenance of the</w:t>
      </w:r>
      <w:r>
        <w:rPr>
          <w:rStyle w:val="StyleUnderline"/>
        </w:rPr>
        <w:t xml:space="preserve"> </w:t>
      </w:r>
      <w:r w:rsidRPr="0064010D">
        <w:rPr>
          <w:rStyle w:val="StyleUnderline"/>
        </w:rPr>
        <w:t>biotech’s industry’s interests – which rest on a functioning IP system for the raising of</w:t>
      </w:r>
      <w:r>
        <w:rPr>
          <w:rStyle w:val="StyleUnderline"/>
        </w:rPr>
        <w:t xml:space="preserve"> </w:t>
      </w:r>
      <w:r w:rsidRPr="0064010D">
        <w:rPr>
          <w:rStyle w:val="StyleUnderline"/>
        </w:rPr>
        <w:t>“speculative capital” (Cooper 2008). The international IP system thus is still very</w:t>
      </w:r>
      <w:r>
        <w:rPr>
          <w:rStyle w:val="StyleUnderline"/>
        </w:rPr>
        <w:t xml:space="preserve"> </w:t>
      </w:r>
      <w:r w:rsidRPr="0064010D">
        <w:rPr>
          <w:rStyle w:val="StyleUnderline"/>
        </w:rPr>
        <w:t>much determined by the expansive reach of US legislation and jurisdiction, tempered</w:t>
      </w:r>
      <w:r>
        <w:rPr>
          <w:rStyle w:val="StyleUnderline"/>
        </w:rPr>
        <w:t xml:space="preserve"> </w:t>
      </w:r>
      <w:r w:rsidRPr="0064010D">
        <w:rPr>
          <w:rStyle w:val="StyleUnderline"/>
        </w:rPr>
        <w:t>to some extent by the influence of other industrial countries or regional systems such</w:t>
      </w:r>
      <w:r>
        <w:rPr>
          <w:rStyle w:val="StyleUnderline"/>
        </w:rPr>
        <w:t xml:space="preserve"> </w:t>
      </w:r>
      <w:r w:rsidRPr="0064010D">
        <w:rPr>
          <w:rStyle w:val="StyleUnderline"/>
        </w:rPr>
        <w:t xml:space="preserve">as the EPO and to a lesser degree EU institutions. </w:t>
      </w:r>
      <w:r w:rsidRPr="0064010D">
        <w:rPr>
          <w:sz w:val="16"/>
        </w:rPr>
        <w:t>This thesis discusses contestations and debates occurring on the international level with a focus on the three most influential international organisations operating at the intersection of IP and life: the WTO, WIPO, and the World Health Organisation (WHO). Where relevant, it also considers tensions between the US and the EU approach (see chapter IV). In this, it focuses on an analysis of the IP system’s relation to genetic conceptions of life, which goes beyond the mere unidirectional ‘commodification’ of life, and creates increasing challenges for the IP system. In the negotiation of these challenges IP law becomes a central site for the governing of life.</w:t>
      </w:r>
    </w:p>
    <w:p w14:paraId="2CAA4806" w14:textId="77777777" w:rsidR="006C0B77" w:rsidRDefault="006C0B77" w:rsidP="006C0B77">
      <w:pPr>
        <w:pStyle w:val="Heading3"/>
      </w:pPr>
      <w:r>
        <w:t>AT Disease</w:t>
      </w:r>
    </w:p>
    <w:p w14:paraId="1B99CD6C" w14:textId="77777777" w:rsidR="006C0B77" w:rsidRDefault="006C0B77" w:rsidP="006C0B77">
      <w:pPr>
        <w:pStyle w:val="Heading4"/>
      </w:pPr>
      <w:r>
        <w:t>Pharma link—their pharma impacts are an expansion of the bioeconomization of life</w:t>
      </w:r>
    </w:p>
    <w:p w14:paraId="766A6765" w14:textId="77777777" w:rsidR="006C0B77" w:rsidRPr="006A4805" w:rsidRDefault="006C0B77" w:rsidP="006C0B77">
      <w:pPr>
        <w:rPr>
          <w:rStyle w:val="Style13ptBold"/>
        </w:rPr>
      </w:pPr>
      <w:r w:rsidRPr="006A4805">
        <w:rPr>
          <w:rStyle w:val="Style13ptBold"/>
        </w:rPr>
        <w:t>Hilberg 15</w:t>
      </w:r>
    </w:p>
    <w:p w14:paraId="6B0D929D" w14:textId="77777777" w:rsidR="006C0B77" w:rsidRPr="006A4805" w:rsidRDefault="006C0B77" w:rsidP="006C0B77">
      <w:r w:rsidRPr="006A4805">
        <w:t xml:space="preserve">Eva, phD candidate at the University of Sussex. “Intellectual Property and the Genetic Dispositif of Life: The Changing Role of Intellectual Property Law in Governing Participation and Knowledge in the Bioeconomy.” Submitted for the Degree of Doctor of Philosophy University of Sussex, May 2015. Pp </w:t>
      </w:r>
      <w:r>
        <w:t>81-86</w:t>
      </w:r>
      <w:r w:rsidRPr="006A4805">
        <w:t>. LJS</w:t>
      </w:r>
    </w:p>
    <w:p w14:paraId="02BE73DF" w14:textId="77777777" w:rsidR="006C0B77" w:rsidRPr="00784C54" w:rsidRDefault="006C0B77" w:rsidP="006C0B77">
      <w:pPr>
        <w:rPr>
          <w:sz w:val="16"/>
        </w:rPr>
      </w:pPr>
      <w:r w:rsidRPr="003823AF">
        <w:rPr>
          <w:rStyle w:val="StyleUnderline"/>
        </w:rPr>
        <w:t>The second transformation integrated this genetic account of ‘life’ into the economy,</w:t>
      </w:r>
      <w:r>
        <w:rPr>
          <w:rStyle w:val="StyleUnderline"/>
        </w:rPr>
        <w:t xml:space="preserve"> </w:t>
      </w:r>
      <w:r w:rsidRPr="003823AF">
        <w:rPr>
          <w:rStyle w:val="StyleUnderline"/>
        </w:rPr>
        <w:t>in “the transformation of life into value, into the form of commodity and capital,</w:t>
      </w:r>
      <w:r>
        <w:rPr>
          <w:rStyle w:val="StyleUnderline"/>
        </w:rPr>
        <w:t xml:space="preserve"> </w:t>
      </w:r>
      <w:r w:rsidRPr="003823AF">
        <w:rPr>
          <w:rStyle w:val="StyleUnderline"/>
        </w:rPr>
        <w:t>which is taking place under the globalization of capital” (Dillon and Lobo-Guerrero</w:t>
      </w:r>
      <w:r>
        <w:rPr>
          <w:rStyle w:val="StyleUnderline"/>
        </w:rPr>
        <w:t xml:space="preserve"> </w:t>
      </w:r>
      <w:r w:rsidRPr="003823AF">
        <w:rPr>
          <w:rStyle w:val="StyleUnderline"/>
        </w:rPr>
        <w:t>2009, 2). This transformation was aided by the informational paradigm, which made the genetic code easily transferrable to the economic sphere, in a proliferation of</w:t>
      </w:r>
      <w:r>
        <w:rPr>
          <w:rStyle w:val="StyleUnderline"/>
        </w:rPr>
        <w:t xml:space="preserve"> </w:t>
      </w:r>
      <w:r w:rsidRPr="003823AF">
        <w:rPr>
          <w:rStyle w:val="StyleUnderline"/>
        </w:rPr>
        <w:t>various “bioinformatic artifacts” (Thacker 2005a, 52). Cooper argues that this</w:t>
      </w:r>
      <w:r>
        <w:rPr>
          <w:rStyle w:val="StyleUnderline"/>
        </w:rPr>
        <w:t xml:space="preserve"> </w:t>
      </w:r>
      <w:r w:rsidRPr="003823AF">
        <w:rPr>
          <w:rStyle w:val="StyleUnderline"/>
        </w:rPr>
        <w:t>merging of the life sciences and the economy was further intensified by their</w:t>
      </w:r>
      <w:r>
        <w:rPr>
          <w:rStyle w:val="StyleUnderline"/>
        </w:rPr>
        <w:t xml:space="preserve"> </w:t>
      </w:r>
      <w:r w:rsidRPr="003823AF">
        <w:rPr>
          <w:rStyle w:val="StyleUnderline"/>
        </w:rPr>
        <w:t>“common ambition to overcome the ecological and economic limits to growth</w:t>
      </w:r>
      <w:r>
        <w:rPr>
          <w:rStyle w:val="StyleUnderline"/>
        </w:rPr>
        <w:t xml:space="preserve"> </w:t>
      </w:r>
      <w:r w:rsidRPr="003823AF">
        <w:rPr>
          <w:rStyle w:val="StyleUnderline"/>
        </w:rPr>
        <w:t>associated with the end of industrial production, through a speculative invention of</w:t>
      </w:r>
      <w:r>
        <w:rPr>
          <w:rStyle w:val="StyleUnderline"/>
        </w:rPr>
        <w:t xml:space="preserve"> </w:t>
      </w:r>
      <w:r w:rsidRPr="003823AF">
        <w:rPr>
          <w:rStyle w:val="StyleUnderline"/>
        </w:rPr>
        <w:t>the future”</w:t>
      </w:r>
      <w:r w:rsidRPr="00784C54">
        <w:rPr>
          <w:sz w:val="16"/>
        </w:rPr>
        <w:t xml:space="preserve"> (Cooper 2008, 11). </w:t>
      </w:r>
      <w:r w:rsidRPr="003823AF">
        <w:rPr>
          <w:rStyle w:val="StyleUnderline"/>
        </w:rPr>
        <w:t>This unlocking of speculative value, she points out, is</w:t>
      </w:r>
      <w:r>
        <w:rPr>
          <w:rStyle w:val="StyleUnderline"/>
        </w:rPr>
        <w:t xml:space="preserve"> </w:t>
      </w:r>
      <w:r w:rsidRPr="003823AF">
        <w:rPr>
          <w:rStyle w:val="StyleUnderline"/>
        </w:rPr>
        <w:t>part of the neoliberal financialization of life - which does “not so much [seek] the</w:t>
      </w:r>
      <w:r>
        <w:rPr>
          <w:rStyle w:val="StyleUnderline"/>
        </w:rPr>
        <w:t xml:space="preserve"> </w:t>
      </w:r>
      <w:r w:rsidRPr="003823AF">
        <w:rPr>
          <w:rStyle w:val="StyleUnderline"/>
        </w:rPr>
        <w:t>generalized commodification of daily life” but in a departure from the previous liberal</w:t>
      </w:r>
      <w:r>
        <w:rPr>
          <w:rStyle w:val="StyleUnderline"/>
        </w:rPr>
        <w:t xml:space="preserve"> </w:t>
      </w:r>
      <w:r w:rsidRPr="003823AF">
        <w:rPr>
          <w:rStyle w:val="StyleUnderline"/>
        </w:rPr>
        <w:t>model rather “installs speculation at the very core of production” (Ibid.).</w:t>
      </w:r>
      <w:r>
        <w:rPr>
          <w:rStyle w:val="StyleUnderline"/>
        </w:rPr>
        <w:t xml:space="preserve"> </w:t>
      </w:r>
      <w:r w:rsidRPr="00784C54">
        <w:rPr>
          <w:sz w:val="16"/>
        </w:rPr>
        <w:t xml:space="preserve">Cooper highlights IP’s central position in this neoliberal financialisation of life using the example of the contested patentability of pluripotent stem cells, which contain the potential of developing into virtually any cell in the human body. In contrast to the emphasis on the commodification of life, she argues that the patenting of stem cells does not aim at establishing “an exchangeable equivalent” value, but rather lays claim to “a self-regenerative surplus value, a biological promise whose future self-valorizations cannot be predetermined or calculated in advance” (Ibid., 148). This turns “biological life […] into speculative surplus value” (Ibid.), and results in an unprecedented preoccupation of IP law with “the ontological problem of our humanness” (Ibid., 146). </w:t>
      </w:r>
      <w:r w:rsidRPr="003823AF">
        <w:rPr>
          <w:rStyle w:val="StyleUnderline"/>
        </w:rPr>
        <w:t>In this neoliberal economy of speculative surplus value</w:t>
      </w:r>
      <w:r>
        <w:rPr>
          <w:rStyle w:val="StyleUnderline"/>
        </w:rPr>
        <w:t xml:space="preserve"> </w:t>
      </w:r>
      <w:r w:rsidRPr="003823AF">
        <w:rPr>
          <w:rStyle w:val="StyleUnderline"/>
        </w:rPr>
        <w:t>derived from biological life, the field of IP law has emerged as a central site</w:t>
      </w:r>
      <w:r>
        <w:rPr>
          <w:rStyle w:val="StyleUnderline"/>
        </w:rPr>
        <w:t xml:space="preserve"> </w:t>
      </w:r>
      <w:r w:rsidRPr="003823AF">
        <w:rPr>
          <w:rStyle w:val="StyleUnderline"/>
        </w:rPr>
        <w:t>establishing the control of intellectual (potential) value – life’s “future powers of</w:t>
      </w:r>
      <w:r>
        <w:rPr>
          <w:rStyle w:val="StyleUnderline"/>
        </w:rPr>
        <w:t xml:space="preserve"> </w:t>
      </w:r>
      <w:r w:rsidRPr="003823AF">
        <w:rPr>
          <w:rStyle w:val="StyleUnderline"/>
        </w:rPr>
        <w:t>emergence”</w:t>
      </w:r>
      <w:r w:rsidRPr="00784C54">
        <w:rPr>
          <w:sz w:val="16"/>
        </w:rPr>
        <w:t xml:space="preserve"> (Ibid., 190). However, while highlighting this particular relevance of IP for the neoliberal economy, Cooper does not question the relation of IPRs to different genetic conceptions of life in more detail. </w:t>
      </w:r>
      <w:r w:rsidRPr="003823AF">
        <w:rPr>
          <w:rStyle w:val="StyleUnderline"/>
        </w:rPr>
        <w:t>As IP law becomes fundamentally involved</w:t>
      </w:r>
      <w:r>
        <w:rPr>
          <w:rStyle w:val="StyleUnderline"/>
        </w:rPr>
        <w:t xml:space="preserve"> </w:t>
      </w:r>
      <w:r w:rsidRPr="003823AF">
        <w:rPr>
          <w:rStyle w:val="StyleUnderline"/>
        </w:rPr>
        <w:t>with defining the essence of “humanness” it also normalises predictable</w:t>
      </w:r>
      <w:r>
        <w:rPr>
          <w:rStyle w:val="StyleUnderline"/>
        </w:rPr>
        <w:t xml:space="preserve"> </w:t>
      </w:r>
      <w:r w:rsidRPr="003823AF">
        <w:rPr>
          <w:rStyle w:val="StyleUnderline"/>
        </w:rPr>
        <w:t>informational-genetic conceptions of life at the expense of complexity and</w:t>
      </w:r>
      <w:r>
        <w:rPr>
          <w:rStyle w:val="StyleUnderline"/>
        </w:rPr>
        <w:t xml:space="preserve"> </w:t>
      </w:r>
      <w:r w:rsidRPr="003823AF">
        <w:rPr>
          <w:rStyle w:val="StyleUnderline"/>
        </w:rPr>
        <w:t>environmental influence (see chapter IV). Thus IP contributes to the governing of</w:t>
      </w:r>
      <w:r>
        <w:rPr>
          <w:rStyle w:val="StyleUnderline"/>
        </w:rPr>
        <w:t xml:space="preserve"> </w:t>
      </w:r>
      <w:r w:rsidRPr="003823AF">
        <w:rPr>
          <w:rStyle w:val="StyleUnderline"/>
        </w:rPr>
        <w:t>knowledge and manages tensions between complexity and control in a neoliberal</w:t>
      </w:r>
      <w:r>
        <w:rPr>
          <w:rStyle w:val="StyleUnderline"/>
        </w:rPr>
        <w:t xml:space="preserve"> </w:t>
      </w:r>
      <w:r w:rsidRPr="003823AF">
        <w:rPr>
          <w:rStyle w:val="StyleUnderline"/>
        </w:rPr>
        <w:t>economy.</w:t>
      </w:r>
      <w:r>
        <w:rPr>
          <w:rStyle w:val="StyleUnderline"/>
        </w:rPr>
        <w:t xml:space="preserve"> </w:t>
      </w:r>
      <w:r w:rsidRPr="00FB4AD7">
        <w:rPr>
          <w:rStyle w:val="StyleUnderline"/>
        </w:rPr>
        <w:t>This thesis argues that the emphasis on IPRs and their role in the appropriation</w:t>
      </w:r>
      <w:r>
        <w:rPr>
          <w:rStyle w:val="StyleUnderline"/>
        </w:rPr>
        <w:t xml:space="preserve"> </w:t>
      </w:r>
      <w:r w:rsidRPr="00FB4AD7">
        <w:rPr>
          <w:rStyle w:val="StyleUnderline"/>
        </w:rPr>
        <w:t>of surplus potential value renders them central to the question of the governing of life,</w:t>
      </w:r>
      <w:r>
        <w:rPr>
          <w:rStyle w:val="StyleUnderline"/>
        </w:rPr>
        <w:t xml:space="preserve"> </w:t>
      </w:r>
      <w:r w:rsidRPr="00FB4AD7">
        <w:rPr>
          <w:rStyle w:val="StyleUnderline"/>
        </w:rPr>
        <w:t>where they for example accommodate the challenge of genetic complexity while they</w:t>
      </w:r>
      <w:r>
        <w:rPr>
          <w:rStyle w:val="StyleUnderline"/>
        </w:rPr>
        <w:t xml:space="preserve"> </w:t>
      </w:r>
      <w:r w:rsidRPr="00FB4AD7">
        <w:rPr>
          <w:rStyle w:val="StyleUnderline"/>
        </w:rPr>
        <w:t>also ensure the continued function of economic exchange.</w:t>
      </w:r>
      <w:r w:rsidRPr="00784C54">
        <w:rPr>
          <w:sz w:val="16"/>
        </w:rPr>
        <w:t xml:space="preserve"> The following chapters approach the question of the governing of genetic life on three different levels in a framework that conceptualises this confrontation as an encounter with biopower. Of course, this thesis does not seek to argue that IPRs are not generating commodities for trade, but finds that the problem with IP’s relation to life goes far beyond this function, and rather involves questions of the normalisation of certain types of knowledge and managing challenges to the exclusive power over this knowledge. </w:t>
      </w:r>
      <w:r w:rsidRPr="00FB4AD7">
        <w:rPr>
          <w:rStyle w:val="StyleUnderline"/>
        </w:rPr>
        <w:t>This analysis re-evaluates the role of law at the intersection of life and the economy</w:t>
      </w:r>
      <w:r>
        <w:rPr>
          <w:rStyle w:val="StyleUnderline"/>
        </w:rPr>
        <w:t xml:space="preserve"> </w:t>
      </w:r>
      <w:r w:rsidRPr="00FB4AD7">
        <w:rPr>
          <w:rStyle w:val="StyleUnderline"/>
        </w:rPr>
        <w:t>using the understanding of an increasing governmentalisation of IP law. The</w:t>
      </w:r>
      <w:r>
        <w:rPr>
          <w:rStyle w:val="StyleUnderline"/>
        </w:rPr>
        <w:t xml:space="preserve"> </w:t>
      </w:r>
      <w:r w:rsidRPr="00FB4AD7">
        <w:rPr>
          <w:rStyle w:val="StyleUnderline"/>
        </w:rPr>
        <w:t>conceptual framework for analysis traces tensions between IP and the productive</w:t>
      </w:r>
      <w:r>
        <w:rPr>
          <w:rStyle w:val="StyleUnderline"/>
        </w:rPr>
        <w:t xml:space="preserve"> </w:t>
      </w:r>
      <w:r w:rsidRPr="00FB4AD7">
        <w:rPr>
          <w:rStyle w:val="StyleUnderline"/>
        </w:rPr>
        <w:t>capacity of life in three different ways. The use of this perspective can show how</w:t>
      </w:r>
      <w:r>
        <w:rPr>
          <w:rStyle w:val="StyleUnderline"/>
        </w:rPr>
        <w:t xml:space="preserve"> </w:t>
      </w:r>
      <w:r w:rsidRPr="00FB4AD7">
        <w:rPr>
          <w:rStyle w:val="StyleUnderline"/>
        </w:rPr>
        <w:t>tensions created by a neoliberal economy of life are met by a changed “responsive”</w:t>
      </w:r>
      <w:r>
        <w:rPr>
          <w:rStyle w:val="StyleUnderline"/>
        </w:rPr>
        <w:t xml:space="preserve"> </w:t>
      </w:r>
      <w:r w:rsidRPr="00FB4AD7">
        <w:rPr>
          <w:rStyle w:val="StyleUnderline"/>
        </w:rPr>
        <w:t>role of law within neoliberal governmentality, in which a deregulation of economy</w:t>
      </w:r>
      <w:r>
        <w:rPr>
          <w:rStyle w:val="StyleUnderline"/>
        </w:rPr>
        <w:t xml:space="preserve"> </w:t>
      </w:r>
      <w:r w:rsidRPr="00FB4AD7">
        <w:rPr>
          <w:rStyle w:val="StyleUnderline"/>
        </w:rPr>
        <w:t>paradoxically caused “regulatory activities of government [to become] hyperactive”</w:t>
      </w:r>
      <w:r>
        <w:rPr>
          <w:rStyle w:val="StyleUnderline"/>
        </w:rPr>
        <w:t xml:space="preserve"> </w:t>
      </w:r>
      <w:r w:rsidRPr="00784C54">
        <w:rPr>
          <w:sz w:val="16"/>
        </w:rPr>
        <w:t xml:space="preserve">(Martin 2011, 271; see last section below). 2.3. Analysing IP’s role(s) in governing ‘life’ - A conceptual framework The two transformations of life into an informational-genetic code and of life into value thus have resulted in IPRs’ increased importance for the economic circulation of life, but also rendered it more central to questions of the governing of life. </w:t>
      </w:r>
      <w:r w:rsidRPr="00FB4AD7">
        <w:rPr>
          <w:rStyle w:val="StyleUnderline"/>
        </w:rPr>
        <w:t>Both</w:t>
      </w:r>
      <w:r>
        <w:rPr>
          <w:rStyle w:val="StyleUnderline"/>
        </w:rPr>
        <w:t xml:space="preserve"> </w:t>
      </w:r>
      <w:r w:rsidRPr="00FB4AD7">
        <w:rPr>
          <w:rStyle w:val="StyleUnderline"/>
        </w:rPr>
        <w:t>these developments can explain increasing challenges to IP in the name of life, as the</w:t>
      </w:r>
      <w:r>
        <w:rPr>
          <w:rStyle w:val="StyleUnderline"/>
        </w:rPr>
        <w:t xml:space="preserve"> </w:t>
      </w:r>
      <w:r w:rsidRPr="00FB4AD7">
        <w:rPr>
          <w:rStyle w:val="StyleUnderline"/>
        </w:rPr>
        <w:t>growing influence of knowledge over life leads to contestations over its control by</w:t>
      </w:r>
      <w:r>
        <w:rPr>
          <w:rStyle w:val="StyleUnderline"/>
        </w:rPr>
        <w:t xml:space="preserve"> </w:t>
      </w:r>
      <w:r w:rsidRPr="00FB4AD7">
        <w:rPr>
          <w:rStyle w:val="StyleUnderline"/>
        </w:rPr>
        <w:t>‘genetic’ subjects, while IP’s role in the financialisation of life continues to increase</w:t>
      </w:r>
      <w:r>
        <w:rPr>
          <w:rStyle w:val="StyleUnderline"/>
        </w:rPr>
        <w:t xml:space="preserve"> </w:t>
      </w:r>
      <w:r w:rsidRPr="00FB4AD7">
        <w:rPr>
          <w:rStyle w:val="StyleUnderline"/>
        </w:rPr>
        <w:t>the economic relevance of this control. IPRs have thus become a central site of</w:t>
      </w:r>
      <w:r>
        <w:rPr>
          <w:rStyle w:val="StyleUnderline"/>
        </w:rPr>
        <w:t xml:space="preserve"> </w:t>
      </w:r>
      <w:r w:rsidRPr="00FB4AD7">
        <w:rPr>
          <w:rStyle w:val="StyleUnderline"/>
        </w:rPr>
        <w:t>negotiation of tensions in what Rose terms new “economies of vitality”, where</w:t>
      </w:r>
      <w:r>
        <w:rPr>
          <w:rStyle w:val="StyleUnderline"/>
        </w:rPr>
        <w:t xml:space="preserve"> </w:t>
      </w:r>
      <w:r w:rsidRPr="00FB4AD7">
        <w:rPr>
          <w:rStyle w:val="StyleUnderline"/>
        </w:rPr>
        <w:t>“biopolitics [have] become inextricably intertwined with bioeconomics”</w:t>
      </w:r>
      <w:r w:rsidRPr="00784C54">
        <w:rPr>
          <w:sz w:val="16"/>
        </w:rPr>
        <w:t xml:space="preserve"> (N. Rose 2007b, 6). The question of the government of life thus intensifies not only the relevance of genetic knowledge of the individual and the population, but its relation to the economy. </w:t>
      </w:r>
      <w:r w:rsidRPr="00784C54">
        <w:rPr>
          <w:rStyle w:val="StyleUnderline"/>
        </w:rPr>
        <w:t>This gives rise to a novel political field that traverses traditional</w:t>
      </w:r>
      <w:r>
        <w:rPr>
          <w:rStyle w:val="StyleUnderline"/>
        </w:rPr>
        <w:t xml:space="preserve"> </w:t>
      </w:r>
      <w:r w:rsidRPr="00784C54">
        <w:rPr>
          <w:rStyle w:val="StyleUnderline"/>
        </w:rPr>
        <w:t>divisions between biology and economy, and between the national and the</w:t>
      </w:r>
      <w:r>
        <w:rPr>
          <w:rStyle w:val="StyleUnderline"/>
        </w:rPr>
        <w:t xml:space="preserve"> </w:t>
      </w:r>
      <w:r w:rsidRPr="00784C54">
        <w:rPr>
          <w:rStyle w:val="StyleUnderline"/>
        </w:rPr>
        <w:t>international as “transnational flows of knowledge, cells, tissues and intellectual</w:t>
      </w:r>
      <w:r>
        <w:rPr>
          <w:rStyle w:val="StyleUnderline"/>
        </w:rPr>
        <w:t xml:space="preserve"> </w:t>
      </w:r>
      <w:r w:rsidRPr="00784C54">
        <w:rPr>
          <w:rStyle w:val="StyleUnderline"/>
        </w:rPr>
        <w:t>property are coupled with local intensifications and regulated by supranational</w:t>
      </w:r>
      <w:r>
        <w:rPr>
          <w:rStyle w:val="StyleUnderline"/>
        </w:rPr>
        <w:t xml:space="preserve"> </w:t>
      </w:r>
      <w:r w:rsidRPr="00784C54">
        <w:rPr>
          <w:rStyle w:val="StyleUnderline"/>
        </w:rPr>
        <w:t>institutions”</w:t>
      </w:r>
      <w:r w:rsidRPr="00784C54">
        <w:rPr>
          <w:sz w:val="16"/>
        </w:rPr>
        <w:t xml:space="preserve"> (Rabinow and Rose 2006, 215). </w:t>
      </w:r>
      <w:r w:rsidRPr="00784C54">
        <w:rPr>
          <w:rStyle w:val="StyleUnderline"/>
        </w:rPr>
        <w:t>IPRs are a central “power relation” at the</w:t>
      </w:r>
      <w:r>
        <w:rPr>
          <w:rStyle w:val="StyleUnderline"/>
        </w:rPr>
        <w:t xml:space="preserve"> </w:t>
      </w:r>
      <w:r w:rsidRPr="00784C54">
        <w:rPr>
          <w:rStyle w:val="StyleUnderline"/>
        </w:rPr>
        <w:t>intersection of this emerging transnational “economy of vitality”, and the genetic dispositif, and this thesis argues that their function at this intersection needs urgent</w:t>
      </w:r>
      <w:r>
        <w:rPr>
          <w:rStyle w:val="StyleUnderline"/>
        </w:rPr>
        <w:t xml:space="preserve"> </w:t>
      </w:r>
      <w:r w:rsidRPr="00784C54">
        <w:rPr>
          <w:rStyle w:val="StyleUnderline"/>
        </w:rPr>
        <w:t>attention beyond the focus on their role in commodification.</w:t>
      </w:r>
      <w:r>
        <w:rPr>
          <w:rStyle w:val="StyleUnderline"/>
        </w:rPr>
        <w:t xml:space="preserve"> </w:t>
      </w:r>
      <w:r w:rsidRPr="00784C54">
        <w:rPr>
          <w:sz w:val="16"/>
        </w:rPr>
        <w:t xml:space="preserve">The roles of IPRs within this economy and the challenges they are encountering will be analysed in the coming three chapters, which argue that in their confrontation with genetic conceptions of life, IPRs are undergoing a process of governmentalisation in which they are becoming a tactics of government. The chapters investigate IPRs’ exposure to the problematization of life on three separate yet connected levels, in an “analytic”, which seeks to “[detail] the operational logics, forces and dynamics at play in a specific configuration of power relations” (Dillon and Lobo-Guerrero 2008, 272). IPRs are here treated as “epistemic objects”20 that are “constituted through practices of power” (Lobo-Guerrero 2011, 9). They for example reflect struggles between scientific truth discourses, and are involved in and challenged by the formation of new responsibilities and duties. This thesis interrogates contestations of IP as an exposure to biopower and its productive logic as a part of govermentality. </w:t>
      </w:r>
      <w:r w:rsidRPr="00784C54">
        <w:rPr>
          <w:rStyle w:val="StyleUnderline"/>
        </w:rPr>
        <w:t>A conceptual framework for analysis</w:t>
      </w:r>
      <w:r>
        <w:rPr>
          <w:rStyle w:val="StyleUnderline"/>
        </w:rPr>
        <w:t xml:space="preserve"> </w:t>
      </w:r>
      <w:r w:rsidRPr="00784C54">
        <w:rPr>
          <w:rStyle w:val="StyleUnderline"/>
        </w:rPr>
        <w:t>accounts for the ways in which biopower problematizes life for questions of</w:t>
      </w:r>
      <w:r>
        <w:rPr>
          <w:rStyle w:val="StyleUnderline"/>
        </w:rPr>
        <w:t xml:space="preserve"> </w:t>
      </w:r>
      <w:r w:rsidRPr="00784C54">
        <w:rPr>
          <w:rStyle w:val="StyleUnderline"/>
        </w:rPr>
        <w:t>governing, following Rabinow and Rose’s rigorous examination of biopower’s</w:t>
      </w:r>
      <w:r>
        <w:rPr>
          <w:rStyle w:val="StyleUnderline"/>
        </w:rPr>
        <w:t xml:space="preserve"> </w:t>
      </w:r>
      <w:r w:rsidRPr="00784C54">
        <w:rPr>
          <w:rStyle w:val="StyleUnderline"/>
        </w:rPr>
        <w:t>relation to a neoliberal economic context, specifically with regards to informational genetic conceptions of life and their productive capacity. They point out that at its</w:t>
      </w:r>
      <w:r>
        <w:rPr>
          <w:rStyle w:val="StyleUnderline"/>
        </w:rPr>
        <w:t xml:space="preserve"> </w:t>
      </w:r>
      <w:r w:rsidRPr="00784C54">
        <w:rPr>
          <w:rStyle w:val="StyleUnderline"/>
        </w:rPr>
        <w:t>basic level, the governing of life (or the engagement with biopower) encompasses a</w:t>
      </w:r>
      <w:r>
        <w:rPr>
          <w:rStyle w:val="StyleUnderline"/>
        </w:rPr>
        <w:t xml:space="preserve"> </w:t>
      </w:r>
      <w:r w:rsidRPr="00784C54">
        <w:rPr>
          <w:rStyle w:val="StyleUnderline"/>
        </w:rPr>
        <w:t>“configuration of knowledge, power and subjectivity”</w:t>
      </w:r>
      <w:r w:rsidRPr="00784C54">
        <w:rPr>
          <w:sz w:val="16"/>
        </w:rPr>
        <w:t xml:space="preserve"> (Rabinow and Rose 2006, 212). In a definition of biopower that is “not trans-historical or metaphoric, but precisely grounded in historical, or genealogical, analysis” (Ibid., 199), they state: “the concept of biopower designates a plane of actuality that must include, at a minimum, the following elements: [1] One or more truth discourses about the ‘vital’ character of living human beings, and an array of authorities considered competent to speak that truth. […] [2] Strategies for intervention upon collective existence in the name of life and health, initially addressed to populations that may or may not be territorialized upon the nation [….] [3] Modes of subjectification, 20 through which individuals are brought to work on themselves […] by means of practices of the self, in the name of their own life or health [….]” (Ibid., 197). This thesis uses this constellation of elements involved in the exercise of biopower as a framework structuring the analysis of the conflicts and contestations of IP’s relation to life in order to grasp the productive capacity of the political sphere surrounding genetic conceptions of life. The following chapters analyse the problematization of life and the role of IP in the governing of life on the level of truth discourses, modes of subjectification, and strategies for intervention. This thesis does not argue that this analysis will show that the IPR apparatus changing beyond recognition or undergoing a radical overhaul – it rather focuses on a persistent area of debates about legitimacy and reform of IPRs’ relation to life and health. </w:t>
      </w:r>
      <w:r w:rsidRPr="00784C54">
        <w:rPr>
          <w:rStyle w:val="StyleUnderline"/>
        </w:rPr>
        <w:t>Challenges giving rise to small changes and surprising developments that are</w:t>
      </w:r>
      <w:r>
        <w:rPr>
          <w:rStyle w:val="StyleUnderline"/>
        </w:rPr>
        <w:t xml:space="preserve"> </w:t>
      </w:r>
      <w:r w:rsidRPr="00784C54">
        <w:rPr>
          <w:rStyle w:val="StyleUnderline"/>
        </w:rPr>
        <w:t>not explained by the question of ‘commodification’ can thus be reinterpreted as part</w:t>
      </w:r>
      <w:r>
        <w:rPr>
          <w:rStyle w:val="StyleUnderline"/>
        </w:rPr>
        <w:t xml:space="preserve"> </w:t>
      </w:r>
      <w:r w:rsidRPr="00784C54">
        <w:rPr>
          <w:rStyle w:val="StyleUnderline"/>
        </w:rPr>
        <w:t>of a process of accommodation to demands produced by a new point of reference:</w:t>
      </w:r>
      <w:r>
        <w:rPr>
          <w:rStyle w:val="StyleUnderline"/>
        </w:rPr>
        <w:t xml:space="preserve"> </w:t>
      </w:r>
      <w:r w:rsidRPr="00784C54">
        <w:rPr>
          <w:rStyle w:val="StyleUnderline"/>
        </w:rPr>
        <w:t>molecular life. IP’s involvement in the definition of truth over life shows how the IP</w:t>
      </w:r>
      <w:r>
        <w:rPr>
          <w:rStyle w:val="StyleUnderline"/>
        </w:rPr>
        <w:t xml:space="preserve"> </w:t>
      </w:r>
      <w:r w:rsidRPr="00784C54">
        <w:rPr>
          <w:rStyle w:val="StyleUnderline"/>
        </w:rPr>
        <w:t>system attempts to accommodate the overwhelming influence of the informational</w:t>
      </w:r>
      <w:r>
        <w:rPr>
          <w:rStyle w:val="StyleUnderline"/>
        </w:rPr>
        <w:t xml:space="preserve"> </w:t>
      </w:r>
      <w:r w:rsidRPr="00784C54">
        <w:rPr>
          <w:rStyle w:val="StyleUnderline"/>
        </w:rPr>
        <w:t>genetic dispositif while still ensuring its patentability, in an otherwise inexplicable US</w:t>
      </w:r>
      <w:r>
        <w:rPr>
          <w:rStyle w:val="StyleUnderline"/>
        </w:rPr>
        <w:t xml:space="preserve"> </w:t>
      </w:r>
      <w:r w:rsidRPr="00784C54">
        <w:rPr>
          <w:rStyle w:val="StyleUnderline"/>
        </w:rPr>
        <w:t>decision against the patenting of certain information derived from human genetic</w:t>
      </w:r>
      <w:r>
        <w:rPr>
          <w:rStyle w:val="StyleUnderline"/>
        </w:rPr>
        <w:t xml:space="preserve"> </w:t>
      </w:r>
      <w:r w:rsidRPr="00784C54">
        <w:rPr>
          <w:rStyle w:val="StyleUnderline"/>
        </w:rPr>
        <w:t>sequences</w:t>
      </w:r>
      <w:r w:rsidRPr="00784C54">
        <w:rPr>
          <w:sz w:val="16"/>
        </w:rPr>
        <w:t xml:space="preserve"> (Assoc. for Molecular Pathology v. Myriad [2013], chapter IV). The relation of IP to the subject can be analysed with reference to demands incited by a new “somatic ethics” (N. Rose 2008a) or notions of “biological citizenship” based on genetic conceptions of life (N. Rose 2007b). </w:t>
      </w:r>
      <w:r w:rsidRPr="00784C54">
        <w:rPr>
          <w:rStyle w:val="StyleUnderline"/>
        </w:rPr>
        <w:t>These are shown to contest options for</w:t>
      </w:r>
      <w:r>
        <w:rPr>
          <w:rStyle w:val="StyleUnderline"/>
        </w:rPr>
        <w:t xml:space="preserve"> </w:t>
      </w:r>
      <w:r w:rsidRPr="00784C54">
        <w:rPr>
          <w:rStyle w:val="StyleUnderline"/>
        </w:rPr>
        <w:t>participation in the bioeconomy but also to work alongside the IP regime, as subjects</w:t>
      </w:r>
      <w:r>
        <w:rPr>
          <w:rStyle w:val="StyleUnderline"/>
        </w:rPr>
        <w:t xml:space="preserve"> </w:t>
      </w:r>
      <w:r w:rsidRPr="00784C54">
        <w:rPr>
          <w:rStyle w:val="StyleUnderline"/>
        </w:rPr>
        <w:t>are encouraged to voluntarily contribute to research but are prevented by means of IP</w:t>
      </w:r>
      <w:r>
        <w:rPr>
          <w:rStyle w:val="StyleUnderline"/>
        </w:rPr>
        <w:t xml:space="preserve"> </w:t>
      </w:r>
      <w:r w:rsidRPr="00784C54">
        <w:rPr>
          <w:rStyle w:val="StyleUnderline"/>
        </w:rPr>
        <w:t>transfer from any further participation in the use of results</w:t>
      </w:r>
      <w:r w:rsidRPr="00784C54">
        <w:rPr>
          <w:sz w:val="16"/>
        </w:rPr>
        <w:t xml:space="preserve"> (chapter V). On the international level, the question of participation appears even more starkly, but the exclusionary function of the IP apparatus is also increasingly challenged by means of the right to health and within Global Health agendas. These new strategies for intervention are explored in contestation of IP’s centrality to an economy deriving value from life from different peoples across the globe (chapter VI). </w:t>
      </w:r>
      <w:r w:rsidRPr="00784C54">
        <w:rPr>
          <w:rStyle w:val="StyleUnderline"/>
        </w:rPr>
        <w:t>Thus, while there are of course many ways in which IPRs are still</w:t>
      </w:r>
      <w:r>
        <w:rPr>
          <w:rStyle w:val="StyleUnderline"/>
        </w:rPr>
        <w:t xml:space="preserve"> </w:t>
      </w:r>
      <w:r w:rsidRPr="00784C54">
        <w:rPr>
          <w:rStyle w:val="StyleUnderline"/>
        </w:rPr>
        <w:t>representative of interests of sovereign power and enforced by means of disciplinary</w:t>
      </w:r>
      <w:r>
        <w:rPr>
          <w:rStyle w:val="StyleUnderline"/>
        </w:rPr>
        <w:t xml:space="preserve"> </w:t>
      </w:r>
      <w:r w:rsidRPr="00784C54">
        <w:rPr>
          <w:rStyle w:val="StyleUnderline"/>
        </w:rPr>
        <w:t>power, it is shown that they have several roles to play – and that these roles are</w:t>
      </w:r>
      <w:r>
        <w:rPr>
          <w:rStyle w:val="StyleUnderline"/>
        </w:rPr>
        <w:t xml:space="preserve"> </w:t>
      </w:r>
      <w:r w:rsidRPr="00784C54">
        <w:rPr>
          <w:rStyle w:val="StyleUnderline"/>
        </w:rPr>
        <w:t>undergoing change as they are ever more centrally involved in the governing of life.</w:t>
      </w:r>
      <w:r>
        <w:rPr>
          <w:rStyle w:val="StyleUnderline"/>
        </w:rPr>
        <w:t xml:space="preserve"> </w:t>
      </w:r>
      <w:r w:rsidRPr="00784C54">
        <w:rPr>
          <w:sz w:val="16"/>
        </w:rPr>
        <w:t>The last section of this chapter explores in more detail how an understanding of the productive capacity of a political sphere of life can trace changes in the previously entirely sovereign apparatus of law. This understanding of the governmentalisation of law departs from some conceptions of law in Foucault’s work, and advances the analysis of law’s function in governmentality by arguing that its operation as a “norm” (Ewald 2010, 146) entails it becoming a “tactics” (Foucault 2000, 211; Odysseos 2010, 755; Sokhi-Bulley 2013) of government, ensuring the right disposition of things – especially at the intersection of life and the economy.</w:t>
      </w:r>
    </w:p>
    <w:p w14:paraId="5F6FD59A" w14:textId="77777777" w:rsidR="006C0B77" w:rsidRDefault="006C0B77" w:rsidP="006C0B77">
      <w:pPr>
        <w:pStyle w:val="Heading3"/>
      </w:pPr>
      <w:r>
        <w:t>AT Health Access</w:t>
      </w:r>
    </w:p>
    <w:p w14:paraId="60625980" w14:textId="77777777" w:rsidR="006C0B77" w:rsidRDefault="006C0B77" w:rsidP="006C0B77">
      <w:pPr>
        <w:pStyle w:val="Heading4"/>
      </w:pPr>
      <w:r>
        <w:t>Modern medical structures are biopolitical tools that individualize responsibilities instead of collectivizing solutions</w:t>
      </w:r>
    </w:p>
    <w:p w14:paraId="38106B34" w14:textId="77777777" w:rsidR="006C0B77" w:rsidRPr="006A4805" w:rsidRDefault="006C0B77" w:rsidP="006C0B77">
      <w:pPr>
        <w:rPr>
          <w:rStyle w:val="Style13ptBold"/>
        </w:rPr>
      </w:pPr>
      <w:r w:rsidRPr="006A4805">
        <w:rPr>
          <w:rStyle w:val="Style13ptBold"/>
        </w:rPr>
        <w:t>Hilberg 15</w:t>
      </w:r>
    </w:p>
    <w:p w14:paraId="68ED6C5A" w14:textId="77777777" w:rsidR="006C0B77" w:rsidRPr="006A4805" w:rsidRDefault="006C0B77" w:rsidP="006C0B77">
      <w:r w:rsidRPr="006A4805">
        <w:t xml:space="preserve">Eva, phD candidate at the University of Sussex. “Intellectual Property and the Genetic Dispositif of Life: The Changing Role of Intellectual Property Law in Governing Participation and Knowledge in the Bioeconomy.” Submitted for the Degree of Doctor of Philosophy University of Sussex, May 2015. Pp </w:t>
      </w:r>
      <w:r>
        <w:t>134-136</w:t>
      </w:r>
      <w:r w:rsidRPr="006A4805">
        <w:t>. LJS</w:t>
      </w:r>
    </w:p>
    <w:p w14:paraId="776296F4" w14:textId="77777777" w:rsidR="006C0B77" w:rsidRPr="00F37505" w:rsidRDefault="006C0B77" w:rsidP="006C0B77">
      <w:pPr>
        <w:rPr>
          <w:sz w:val="16"/>
        </w:rPr>
      </w:pPr>
      <w:r w:rsidRPr="00F37505">
        <w:rPr>
          <w:rStyle w:val="StyleUnderline"/>
        </w:rPr>
        <w:t>Analyses of governmentality look at the constitution of the subject as a part of the</w:t>
      </w:r>
      <w:r>
        <w:rPr>
          <w:rStyle w:val="StyleUnderline"/>
        </w:rPr>
        <w:t xml:space="preserve"> </w:t>
      </w:r>
      <w:r w:rsidRPr="00F37505">
        <w:rPr>
          <w:rStyle w:val="StyleUnderline"/>
        </w:rPr>
        <w:t>reproduction of relations of power</w:t>
      </w:r>
      <w:r w:rsidRPr="00F37505">
        <w:rPr>
          <w:sz w:val="16"/>
        </w:rPr>
        <w:t xml:space="preserve">. This raises questions about the relation between norms for the conduct of the individual and the subject’s freedom of action within governmentality. Rose, O’Malley &amp; Valverde draw attention to the particular connection between “techniques of the self”, freedom, and forms of governmentality: “[...] technologies of the self were formed alongside the technologies of domination such as discipline. The subjects so created would produce the ends of government by fulfilling themselves rather than being merely obedient, and in Rose’s phrase (Rose 1989) would be obliged to be free in specific ways.” (N. Rose, O’Malley, and Valverde 2006, 89) </w:t>
      </w:r>
      <w:r w:rsidRPr="00F37505">
        <w:rPr>
          <w:rStyle w:val="StyleUnderline"/>
        </w:rPr>
        <w:t>This highlights the way in which the ‘fulfillment’ of the self becomes conducive to</w:t>
      </w:r>
      <w:r>
        <w:rPr>
          <w:rStyle w:val="StyleUnderline"/>
        </w:rPr>
        <w:t xml:space="preserve"> </w:t>
      </w:r>
      <w:r w:rsidRPr="00F37505">
        <w:rPr>
          <w:rStyle w:val="StyleUnderline"/>
        </w:rPr>
        <w:t>the maintenance of governmental goals, incited by processes that “govern at a</w:t>
      </w:r>
      <w:r>
        <w:rPr>
          <w:rStyle w:val="StyleUnderline"/>
        </w:rPr>
        <w:t xml:space="preserve"> </w:t>
      </w:r>
      <w:r w:rsidRPr="00F37505">
        <w:rPr>
          <w:rStyle w:val="StyleUnderline"/>
        </w:rPr>
        <w:t>distance” (Miller and Rose 1992) through “regulated self-responsibility” (McNay</w:t>
      </w:r>
      <w:r>
        <w:rPr>
          <w:rStyle w:val="StyleUnderline"/>
        </w:rPr>
        <w:t xml:space="preserve"> </w:t>
      </w:r>
      <w:r w:rsidRPr="00F37505">
        <w:rPr>
          <w:rStyle w:val="StyleUnderline"/>
        </w:rPr>
        <w:t>2009, 62).64</w:t>
      </w:r>
      <w:r w:rsidRPr="00F37505">
        <w:rPr>
          <w:sz w:val="16"/>
        </w:rPr>
        <w:t xml:space="preserve"> As Foucault points out, the analysis of governmentality is fundamentally concerned with “the way in which one conducts the conduct of men” (Foucault 2008, 186) – showing how power is exercised in order to produce subjects that are “open and amenable to governmental interventions and techniques” (Odysseos 2011, 445). </w:t>
      </w:r>
      <w:r w:rsidRPr="00F37505">
        <w:rPr>
          <w:rStyle w:val="StyleUnderline"/>
        </w:rPr>
        <w:t>The economic subject, homo oeconomicus, constitutes “the interface of government</w:t>
      </w:r>
      <w:r>
        <w:rPr>
          <w:rStyle w:val="StyleUnderline"/>
        </w:rPr>
        <w:t xml:space="preserve"> </w:t>
      </w:r>
      <w:r w:rsidRPr="00F37505">
        <w:rPr>
          <w:rStyle w:val="StyleUnderline"/>
        </w:rPr>
        <w:t>and the individual” in governmentality (Foucault 2008, 253), and is an “entrepreneur of himself, being for himself his own capital, being for himself his own producer,</w:t>
      </w:r>
      <w:r>
        <w:rPr>
          <w:rStyle w:val="StyleUnderline"/>
        </w:rPr>
        <w:t xml:space="preserve"> </w:t>
      </w:r>
      <w:r w:rsidRPr="00F37505">
        <w:rPr>
          <w:rStyle w:val="StyleUnderline"/>
        </w:rPr>
        <w:t>being for himself the source of [his] earnings” (Ibid., 226). This individualisation of</w:t>
      </w:r>
      <w:r>
        <w:rPr>
          <w:rStyle w:val="StyleUnderline"/>
        </w:rPr>
        <w:t xml:space="preserve"> </w:t>
      </w:r>
      <w:r w:rsidRPr="00F37505">
        <w:rPr>
          <w:rStyle w:val="StyleUnderline"/>
        </w:rPr>
        <w:t>the subject and the transfer of responsibility to this individual for conducting itself in</w:t>
      </w:r>
      <w:r>
        <w:rPr>
          <w:rStyle w:val="StyleUnderline"/>
        </w:rPr>
        <w:t xml:space="preserve"> </w:t>
      </w:r>
      <w:r w:rsidRPr="00F37505">
        <w:rPr>
          <w:rStyle w:val="StyleUnderline"/>
        </w:rPr>
        <w:t>a responsible, approved (or ‘normal’) manner is a marker of a specifically neoliberal</w:t>
      </w:r>
      <w:r>
        <w:rPr>
          <w:rStyle w:val="StyleUnderline"/>
        </w:rPr>
        <w:t xml:space="preserve"> </w:t>
      </w:r>
      <w:r w:rsidRPr="00F37505">
        <w:rPr>
          <w:rStyle w:val="StyleUnderline"/>
        </w:rPr>
        <w:t>form of governmentality, as McNay points out</w:t>
      </w:r>
      <w:r w:rsidRPr="00F37505">
        <w:rPr>
          <w:sz w:val="16"/>
        </w:rPr>
        <w:t xml:space="preserve">. The transfer of responsibility to the individual gives rise to the notion of the “self as enterprise” (McNay 2009). </w:t>
      </w:r>
      <w:r w:rsidRPr="00F37505">
        <w:rPr>
          <w:rStyle w:val="StyleUnderline"/>
        </w:rPr>
        <w:t>Foucault points out that, besides participation in the economy, governing</w:t>
      </w:r>
      <w:r>
        <w:rPr>
          <w:rStyle w:val="StyleUnderline"/>
        </w:rPr>
        <w:t xml:space="preserve"> </w:t>
      </w:r>
      <w:r w:rsidRPr="00F37505">
        <w:rPr>
          <w:rStyle w:val="StyleUnderline"/>
        </w:rPr>
        <w:t>increasingly takes the health and well-being of the population as its aim, and the</w:t>
      </w:r>
      <w:r>
        <w:rPr>
          <w:rStyle w:val="StyleUnderline"/>
        </w:rPr>
        <w:t xml:space="preserve"> </w:t>
      </w:r>
      <w:r w:rsidRPr="00F37505">
        <w:rPr>
          <w:rStyle w:val="StyleUnderline"/>
        </w:rPr>
        <w:t>conduct of conduct on the level of populations is increasingly fostered and directed</w:t>
      </w:r>
      <w:r>
        <w:rPr>
          <w:rStyle w:val="StyleUnderline"/>
        </w:rPr>
        <w:t xml:space="preserve"> </w:t>
      </w:r>
      <w:r w:rsidRPr="00F37505">
        <w:rPr>
          <w:rStyle w:val="StyleUnderline"/>
        </w:rPr>
        <w:t>accordingly (in the “population-biological processes-regulatory mechanisms-State”</w:t>
      </w:r>
      <w:r>
        <w:rPr>
          <w:rStyle w:val="StyleUnderline"/>
        </w:rPr>
        <w:t xml:space="preserve"> </w:t>
      </w:r>
      <w:r w:rsidRPr="00F37505">
        <w:rPr>
          <w:rStyle w:val="StyleUnderline"/>
        </w:rPr>
        <w:t>series of “biopolitics”, Foucault 1997, 250; see also Foucault 1978, 139).</w:t>
      </w:r>
      <w:r w:rsidRPr="00F37505">
        <w:rPr>
          <w:sz w:val="16"/>
        </w:rPr>
        <w:t xml:space="preserve"> In this conduct, “maintenance of the healthy body became central to the self management of many individuals and families” (N. Rose 2007a, 4). Responsible patients were “[e]ncouraged by health educators to take an active interest in their own health, and ‘activated’ by the new cultures of active citizenship, many refused to remain merely ‘passive’ recipients of medical expertise. ‘</w:t>
      </w:r>
      <w:r w:rsidRPr="00F37505">
        <w:rPr>
          <w:rStyle w:val="StyleUnderline"/>
        </w:rPr>
        <w:t>Patients’ became ‘consumers’ actively choosing, and using</w:t>
      </w:r>
      <w:r>
        <w:rPr>
          <w:rStyle w:val="StyleUnderline"/>
        </w:rPr>
        <w:t xml:space="preserve"> </w:t>
      </w:r>
      <w:r w:rsidRPr="00F37505">
        <w:rPr>
          <w:rStyle w:val="StyleUnderline"/>
        </w:rPr>
        <w:t>medicine, biosciences, pharmaceuticals and ‘alternative medicine’ in</w:t>
      </w:r>
      <w:r>
        <w:rPr>
          <w:rStyle w:val="StyleUnderline"/>
        </w:rPr>
        <w:t xml:space="preserve"> </w:t>
      </w:r>
      <w:r w:rsidRPr="00F37505">
        <w:rPr>
          <w:rStyle w:val="StyleUnderline"/>
        </w:rPr>
        <w:t>order [sic] maximize and enhance their own vitality, demanding</w:t>
      </w:r>
      <w:r>
        <w:rPr>
          <w:rStyle w:val="StyleUnderline"/>
        </w:rPr>
        <w:t xml:space="preserve"> </w:t>
      </w:r>
      <w:r w:rsidRPr="00F37505">
        <w:rPr>
          <w:rStyle w:val="StyleUnderline"/>
        </w:rPr>
        <w:t>information from their doctors, expecting successful therapies, and</w:t>
      </w:r>
      <w:r>
        <w:rPr>
          <w:rStyle w:val="StyleUnderline"/>
        </w:rPr>
        <w:t xml:space="preserve"> </w:t>
      </w:r>
      <w:r w:rsidRPr="00F37505">
        <w:rPr>
          <w:rStyle w:val="StyleUnderline"/>
        </w:rPr>
        <w:t>liable to complain or even go to law if they are disappointed</w:t>
      </w:r>
      <w:r w:rsidRPr="00F37505">
        <w:rPr>
          <w:sz w:val="16"/>
        </w:rPr>
        <w:t xml:space="preserve">.” (Ibid., 11) </w:t>
      </w:r>
      <w:r w:rsidRPr="00F37505">
        <w:rPr>
          <w:rStyle w:val="StyleUnderline"/>
        </w:rPr>
        <w:t>This process is not one of unidirectional domination, but rather a diffuse exercise of</w:t>
      </w:r>
      <w:r>
        <w:rPr>
          <w:rStyle w:val="StyleUnderline"/>
        </w:rPr>
        <w:t xml:space="preserve"> </w:t>
      </w:r>
      <w:r w:rsidRPr="00F37505">
        <w:rPr>
          <w:rStyle w:val="StyleUnderline"/>
        </w:rPr>
        <w:t>power that has the potential to sustain and also to challenge existing regimes.</w:t>
      </w:r>
      <w:r w:rsidRPr="00F37505">
        <w:rPr>
          <w:sz w:val="16"/>
        </w:rPr>
        <w:t xml:space="preserve"> Within governmental networks, Miller and Rose point out that “[e]ach actor, each locale, is the point of intersection between forces, and hence a point of potential resistance to any one way of thinking and acting, or a point of organization and promulgation of a different or oppositional programme” (N. Rose and Miller 2010, 208, first published 1992). While the exercise of power makes individuals into subjects, this does not necessarily imply a top-down imposition of a normalising strategy on the individual by the state: “biopower […] [was] consentingly invoked by many social groups […]. The health of all […] became a priority of all” (Elbe 2005, 407). </w:t>
      </w:r>
      <w:r w:rsidRPr="00F37505">
        <w:rPr>
          <w:rStyle w:val="StyleUnderline"/>
        </w:rPr>
        <w:t>Normalising power</w:t>
      </w:r>
      <w:r>
        <w:rPr>
          <w:rStyle w:val="StyleUnderline"/>
        </w:rPr>
        <w:t xml:space="preserve"> </w:t>
      </w:r>
      <w:r w:rsidRPr="00F37505">
        <w:rPr>
          <w:rStyle w:val="StyleUnderline"/>
        </w:rPr>
        <w:t>is thus exercised by various actors, including the individual or “active” citizen, and</w:t>
      </w:r>
      <w:r>
        <w:rPr>
          <w:rStyle w:val="StyleUnderline"/>
        </w:rPr>
        <w:t xml:space="preserve"> </w:t>
      </w:r>
      <w:r w:rsidRPr="00F37505">
        <w:rPr>
          <w:rStyle w:val="StyleUnderline"/>
        </w:rPr>
        <w:t>always contains the potential for a subversion of existing power relations.</w:t>
      </w:r>
      <w:r>
        <w:rPr>
          <w:rStyle w:val="StyleUnderline"/>
        </w:rPr>
        <w:t xml:space="preserve"> </w:t>
      </w:r>
      <w:r w:rsidRPr="00F37505">
        <w:rPr>
          <w:rStyle w:val="StyleUnderline"/>
        </w:rPr>
        <w:t>But the power of active patients to challenge healthcare provisions in order to</w:t>
      </w:r>
      <w:r>
        <w:rPr>
          <w:rStyle w:val="StyleUnderline"/>
        </w:rPr>
        <w:t xml:space="preserve"> </w:t>
      </w:r>
      <w:r w:rsidRPr="00F37505">
        <w:rPr>
          <w:rStyle w:val="StyleUnderline"/>
        </w:rPr>
        <w:t>enhance their vitality is also accompanied by emerging responsibilities. Rose argues</w:t>
      </w:r>
      <w:r>
        <w:rPr>
          <w:rStyle w:val="StyleUnderline"/>
        </w:rPr>
        <w:t xml:space="preserve"> </w:t>
      </w:r>
      <w:r w:rsidRPr="00F37505">
        <w:rPr>
          <w:rStyle w:val="StyleUnderline"/>
        </w:rPr>
        <w:t>that the conduct of “active patients” is conducted by a “new somatic ethics”</w:t>
      </w:r>
      <w:r>
        <w:rPr>
          <w:rStyle w:val="StyleUnderline"/>
        </w:rPr>
        <w:t xml:space="preserve"> </w:t>
      </w:r>
      <w:r w:rsidRPr="00F37505">
        <w:rPr>
          <w:rStyle w:val="StyleUnderline"/>
        </w:rPr>
        <w:t>governing the political sphere of life and health, which shares an “elective affinity”</w:t>
      </w:r>
      <w:r>
        <w:rPr>
          <w:rStyle w:val="StyleUnderline"/>
        </w:rPr>
        <w:t xml:space="preserve"> </w:t>
      </w:r>
      <w:r w:rsidRPr="00F37505">
        <w:rPr>
          <w:rStyle w:val="StyleUnderline"/>
        </w:rPr>
        <w:t xml:space="preserve">with the bioeconomy </w:t>
      </w:r>
      <w:r w:rsidRPr="00F37505">
        <w:rPr>
          <w:sz w:val="16"/>
        </w:rPr>
        <w:t xml:space="preserve">(N. Rose 2007a; 2008a). </w:t>
      </w:r>
      <w:r w:rsidRPr="00F37505">
        <w:rPr>
          <w:rStyle w:val="StyleUnderline"/>
        </w:rPr>
        <w:t>The previous chapter of this thesis</w:t>
      </w:r>
      <w:r>
        <w:rPr>
          <w:rStyle w:val="StyleUnderline"/>
        </w:rPr>
        <w:t xml:space="preserve"> </w:t>
      </w:r>
      <w:r w:rsidRPr="00F37505">
        <w:rPr>
          <w:rStyle w:val="StyleUnderline"/>
        </w:rPr>
        <w:t>argued that the operation of this elective affinity could be traced in IP’s production of</w:t>
      </w:r>
      <w:r>
        <w:rPr>
          <w:rStyle w:val="StyleUnderline"/>
        </w:rPr>
        <w:t xml:space="preserve"> </w:t>
      </w:r>
      <w:r w:rsidRPr="00F37505">
        <w:rPr>
          <w:rStyle w:val="StyleUnderline"/>
        </w:rPr>
        <w:t>truth discourses of ‘life’, which normalised the informational-genetic view of life (the</w:t>
      </w:r>
      <w:r>
        <w:rPr>
          <w:rStyle w:val="StyleUnderline"/>
        </w:rPr>
        <w:t xml:space="preserve"> </w:t>
      </w:r>
      <w:r w:rsidRPr="00F37505">
        <w:rPr>
          <w:rStyle w:val="StyleUnderline"/>
        </w:rPr>
        <w:t>genetic dispositif) at the expense of other more complex accounts of ‘life’. This</w:t>
      </w:r>
      <w:r>
        <w:rPr>
          <w:rStyle w:val="StyleUnderline"/>
        </w:rPr>
        <w:t xml:space="preserve"> </w:t>
      </w:r>
      <w:r w:rsidRPr="00F37505">
        <w:rPr>
          <w:rStyle w:val="StyleUnderline"/>
        </w:rPr>
        <w:t>informational-genetic conception combines knowledge of the individual and the</w:t>
      </w:r>
      <w:r>
        <w:rPr>
          <w:rStyle w:val="StyleUnderline"/>
        </w:rPr>
        <w:t xml:space="preserve"> </w:t>
      </w:r>
      <w:r w:rsidRPr="00F37505">
        <w:rPr>
          <w:rStyle w:val="StyleUnderline"/>
        </w:rPr>
        <w:t>population in one code, which enables the integration of this information into the</w:t>
      </w:r>
      <w:r>
        <w:rPr>
          <w:rStyle w:val="StyleUnderline"/>
        </w:rPr>
        <w:t xml:space="preserve"> </w:t>
      </w:r>
      <w:r w:rsidRPr="00F37505">
        <w:rPr>
          <w:rStyle w:val="StyleUnderline"/>
        </w:rPr>
        <w:t>bioeconomy</w:t>
      </w:r>
      <w:r w:rsidRPr="00F37505">
        <w:rPr>
          <w:sz w:val="16"/>
        </w:rPr>
        <w:t>. This chapter argues that this genetic dispositif influences the formation of identities, conducting the conduct of subjects according to genetic ‘truths’ in a new somatic ethics, which also transfers healthcare responsibilities onto the subject</w:t>
      </w:r>
      <w:r w:rsidRPr="00F37505">
        <w:rPr>
          <w:rStyle w:val="StyleUnderline"/>
        </w:rPr>
        <w:t>. The</w:t>
      </w:r>
      <w:r>
        <w:rPr>
          <w:rStyle w:val="StyleUnderline"/>
        </w:rPr>
        <w:t xml:space="preserve"> </w:t>
      </w:r>
      <w:r w:rsidRPr="00F37505">
        <w:rPr>
          <w:rStyle w:val="StyleUnderline"/>
        </w:rPr>
        <w:t>increasing integration of genetic information into the bioeconomy further intensifies</w:t>
      </w:r>
      <w:r>
        <w:rPr>
          <w:rStyle w:val="StyleUnderline"/>
        </w:rPr>
        <w:t xml:space="preserve"> </w:t>
      </w:r>
      <w:r w:rsidRPr="00F37505">
        <w:rPr>
          <w:rStyle w:val="StyleUnderline"/>
        </w:rPr>
        <w:t>the exposure of the subject to this truth – thus amplifying the tensions between</w:t>
      </w:r>
      <w:r>
        <w:rPr>
          <w:rStyle w:val="StyleUnderline"/>
        </w:rPr>
        <w:t xml:space="preserve"> </w:t>
      </w:r>
      <w:r w:rsidRPr="00F37505">
        <w:rPr>
          <w:rStyle w:val="StyleUnderline"/>
        </w:rPr>
        <w:t>exclusive IPRs and new rights and responsibilities of ‘active patients’</w:t>
      </w:r>
      <w:r w:rsidRPr="00F37505">
        <w:rPr>
          <w:sz w:val="16"/>
        </w:rPr>
        <w:t>. Before this chapter turns to an exploration of IP’s role in the maintenance of the division between patent holders and patients/donors, the next section sets out new rights and responsibilities affecting the conduct of “active patients” in a “new somatic ethics”.</w:t>
      </w:r>
    </w:p>
    <w:p w14:paraId="1C45FBD0" w14:textId="77777777" w:rsidR="006C0B77" w:rsidRDefault="006C0B77" w:rsidP="006C0B77">
      <w:pPr>
        <w:pStyle w:val="Heading3"/>
      </w:pPr>
      <w:r>
        <w:t>AT Innovation</w:t>
      </w:r>
    </w:p>
    <w:p w14:paraId="43DA2710" w14:textId="77777777" w:rsidR="006C0B77" w:rsidRDefault="006C0B77" w:rsidP="006C0B77">
      <w:pPr>
        <w:pStyle w:val="Heading4"/>
      </w:pPr>
      <w:r>
        <w:t>The IP regime requires a reductionist understand of life—this not only serves biopolitical ends, but is bad science</w:t>
      </w:r>
    </w:p>
    <w:p w14:paraId="23197C1D" w14:textId="77777777" w:rsidR="006C0B77" w:rsidRPr="006A4805" w:rsidRDefault="006C0B77" w:rsidP="006C0B77">
      <w:pPr>
        <w:rPr>
          <w:rStyle w:val="Style13ptBold"/>
        </w:rPr>
      </w:pPr>
      <w:r w:rsidRPr="006A4805">
        <w:rPr>
          <w:rStyle w:val="Style13ptBold"/>
        </w:rPr>
        <w:t>Hilberg 15</w:t>
      </w:r>
    </w:p>
    <w:p w14:paraId="23BB1C35" w14:textId="77777777" w:rsidR="006C0B77" w:rsidRPr="006A4805" w:rsidRDefault="006C0B77" w:rsidP="006C0B77">
      <w:r w:rsidRPr="006A4805">
        <w:t xml:space="preserve">Eva, phD candidate at the University of Sussex. “Intellectual Property and the Genetic Dispositif of Life: The Changing Role of Intellectual Property Law in Governing Participation and Knowledge in the Bioeconomy.” Submitted for the Degree of Doctor of Philosophy University of Sussex, May 2015. Pp </w:t>
      </w:r>
      <w:r>
        <w:t>116-119</w:t>
      </w:r>
      <w:r w:rsidRPr="006A4805">
        <w:t>. LJS</w:t>
      </w:r>
    </w:p>
    <w:p w14:paraId="5C35F585" w14:textId="77777777" w:rsidR="006C0B77" w:rsidRPr="001030EF" w:rsidRDefault="006C0B77" w:rsidP="006C0B77">
      <w:pPr>
        <w:rPr>
          <w:u w:val="single"/>
        </w:rPr>
      </w:pPr>
      <w:r w:rsidRPr="001030EF">
        <w:rPr>
          <w:sz w:val="16"/>
        </w:rPr>
        <w:t xml:space="preserve">In particular, epigenetics and systems biology are competing ‘truths’ over life, which are undermining the predominance of the genetic determinist’ view in a power struggle between knowledges. </w:t>
      </w:r>
      <w:r w:rsidRPr="001030EF">
        <w:rPr>
          <w:rStyle w:val="StyleUnderline"/>
        </w:rPr>
        <w:t>The IP system cannot connect to these complex notions</w:t>
      </w:r>
      <w:r>
        <w:rPr>
          <w:rStyle w:val="StyleUnderline"/>
        </w:rPr>
        <w:t xml:space="preserve"> </w:t>
      </w:r>
      <w:r w:rsidRPr="001030EF">
        <w:rPr>
          <w:rStyle w:val="StyleUnderline"/>
        </w:rPr>
        <w:t>in the same way as to the genetic-reductionist paradigm – which was given “economic</w:t>
      </w:r>
      <w:r>
        <w:rPr>
          <w:rStyle w:val="StyleUnderline"/>
        </w:rPr>
        <w:t xml:space="preserve"> </w:t>
      </w:r>
      <w:r w:rsidRPr="001030EF">
        <w:rPr>
          <w:rStyle w:val="StyleUnderline"/>
        </w:rPr>
        <w:t>strength” in particular by the IP system’s previous chemical-molecular definition of</w:t>
      </w:r>
      <w:r>
        <w:rPr>
          <w:rStyle w:val="StyleUnderline"/>
        </w:rPr>
        <w:t xml:space="preserve"> </w:t>
      </w:r>
      <w:r w:rsidRPr="001030EF">
        <w:rPr>
          <w:rStyle w:val="StyleUnderline"/>
        </w:rPr>
        <w:t>genetics</w:t>
      </w:r>
      <w:r w:rsidRPr="001030EF">
        <w:rPr>
          <w:sz w:val="16"/>
        </w:rPr>
        <w:t xml:space="preserve">. It is argued that the delayed turn towards the informational-genetic view weakened this strength, while other scientific conceptions emphasising ‘complexity’ would certainly reduce it even more. While the patenting of aspects of genetic interactions (for example biomarkers, SNPs, HAPs) has been on the rise, there are some indications that the patenting of genetic sequences alone has been declining (see for example Mills and Tereskerz 2011, 712; Hopkins et al. 2007; Gaisser et al. 2009). The patenting of complex post-genomic interactions cannot be achieved in the same way, as this section explains. </w:t>
      </w:r>
      <w:r w:rsidRPr="001030EF">
        <w:rPr>
          <w:rStyle w:val="StyleUnderline"/>
        </w:rPr>
        <w:t>IP’s problematic relation to more complex accounts of</w:t>
      </w:r>
      <w:r>
        <w:rPr>
          <w:rStyle w:val="StyleUnderline"/>
        </w:rPr>
        <w:t xml:space="preserve"> </w:t>
      </w:r>
      <w:r w:rsidRPr="001030EF">
        <w:rPr>
          <w:rStyle w:val="StyleUnderline"/>
        </w:rPr>
        <w:t>life thus highlights the power exercised in the field of knowledge by the Myriad</w:t>
      </w:r>
      <w:r>
        <w:rPr>
          <w:rStyle w:val="StyleUnderline"/>
        </w:rPr>
        <w:t xml:space="preserve"> </w:t>
      </w:r>
      <w:r w:rsidRPr="001030EF">
        <w:rPr>
          <w:rStyle w:val="StyleUnderline"/>
        </w:rPr>
        <w:t>judgement’s turn to an informational-genetic concept, preferring and further</w:t>
      </w:r>
      <w:r>
        <w:rPr>
          <w:rStyle w:val="StyleUnderline"/>
        </w:rPr>
        <w:t xml:space="preserve"> </w:t>
      </w:r>
      <w:r w:rsidRPr="001030EF">
        <w:rPr>
          <w:rStyle w:val="StyleUnderline"/>
        </w:rPr>
        <w:t>normalising one ‘truth’ over other competing scientific knowledges.</w:t>
      </w:r>
      <w:r>
        <w:rPr>
          <w:rStyle w:val="StyleUnderline"/>
        </w:rPr>
        <w:t xml:space="preserve"> </w:t>
      </w:r>
      <w:r w:rsidRPr="001030EF">
        <w:rPr>
          <w:sz w:val="16"/>
        </w:rPr>
        <w:t xml:space="preserve">3.1. New (old) truths: Systemic Biology and Epigenetics IP law has only recently adopted the informational-genetic dispositif, which had been the determining force of developments over the course of the 20th century. However, in the life sciences, Francis Crick’s “central dogma” of the unidirectional mechanism of “DNA makes RNA makes protein makes us” (H. Rose and Rose 2012, 31) has been increasingly called into question. </w:t>
      </w:r>
      <w:r w:rsidRPr="001030EF">
        <w:rPr>
          <w:rStyle w:val="StyleUnderline"/>
        </w:rPr>
        <w:t>A recent resurgence of different approaches to</w:t>
      </w:r>
      <w:r>
        <w:rPr>
          <w:rStyle w:val="StyleUnderline"/>
        </w:rPr>
        <w:t xml:space="preserve"> </w:t>
      </w:r>
      <w:r w:rsidRPr="001030EF">
        <w:rPr>
          <w:rStyle w:val="StyleUnderline"/>
        </w:rPr>
        <w:t>life can be traced back to other fields of research that were side-lined when funding</w:t>
      </w:r>
      <w:r>
        <w:rPr>
          <w:rStyle w:val="StyleUnderline"/>
        </w:rPr>
        <w:t xml:space="preserve"> </w:t>
      </w:r>
      <w:r w:rsidRPr="001030EF">
        <w:rPr>
          <w:rStyle w:val="StyleUnderline"/>
        </w:rPr>
        <w:t>focused on the establishment of molecular biology by the Rockefeller Institute and</w:t>
      </w:r>
      <w:r>
        <w:rPr>
          <w:rStyle w:val="StyleUnderline"/>
        </w:rPr>
        <w:t xml:space="preserve"> </w:t>
      </w:r>
      <w:r w:rsidRPr="001030EF">
        <w:rPr>
          <w:rStyle w:val="StyleUnderline"/>
        </w:rPr>
        <w:t>other funding institutions</w:t>
      </w:r>
      <w:r w:rsidRPr="001030EF">
        <w:rPr>
          <w:sz w:val="16"/>
        </w:rPr>
        <w:t xml:space="preserve"> (Kay 1993; 2000; H. Rose and Rose 2012, 66</w:t>
      </w:r>
      <w:r w:rsidRPr="001030EF">
        <w:rPr>
          <w:rStyle w:val="StyleUnderline"/>
        </w:rPr>
        <w:t>). This</w:t>
      </w:r>
      <w:r>
        <w:rPr>
          <w:rStyle w:val="StyleUnderline"/>
        </w:rPr>
        <w:t xml:space="preserve"> </w:t>
      </w:r>
      <w:r w:rsidRPr="001030EF">
        <w:rPr>
          <w:rStyle w:val="StyleUnderline"/>
        </w:rPr>
        <w:t>paradigm of molecular biology was promoted over and above any other contemporary</w:t>
      </w:r>
      <w:r>
        <w:rPr>
          <w:rStyle w:val="StyleUnderline"/>
        </w:rPr>
        <w:t xml:space="preserve"> </w:t>
      </w:r>
      <w:r w:rsidRPr="001030EF">
        <w:rPr>
          <w:rStyle w:val="StyleUnderline"/>
        </w:rPr>
        <w:t>scientific discourses, and drew funding away from competing programmes such as</w:t>
      </w:r>
      <w:r>
        <w:rPr>
          <w:rStyle w:val="StyleUnderline"/>
        </w:rPr>
        <w:t xml:space="preserve"> </w:t>
      </w:r>
      <w:r w:rsidRPr="001030EF">
        <w:rPr>
          <w:rStyle w:val="StyleUnderline"/>
        </w:rPr>
        <w:t>systems biology, which “was dealt a devastating blow when the Rockefeller</w:t>
      </w:r>
      <w:r>
        <w:rPr>
          <w:rStyle w:val="StyleUnderline"/>
        </w:rPr>
        <w:t xml:space="preserve"> </w:t>
      </w:r>
      <w:r w:rsidRPr="001030EF">
        <w:rPr>
          <w:rStyle w:val="StyleUnderline"/>
        </w:rPr>
        <w:t>Foundation, committed to a reductionist approach, rejected their proposal for a research institute in Cambridge […] in favour of a major investment in what was to</w:t>
      </w:r>
      <w:r>
        <w:rPr>
          <w:rStyle w:val="StyleUnderline"/>
        </w:rPr>
        <w:t xml:space="preserve"> </w:t>
      </w:r>
      <w:r w:rsidRPr="001030EF">
        <w:rPr>
          <w:rStyle w:val="StyleUnderline"/>
        </w:rPr>
        <w:t>become molecular biology”</w:t>
      </w:r>
      <w:r w:rsidRPr="001030EF">
        <w:rPr>
          <w:sz w:val="16"/>
        </w:rPr>
        <w:t xml:space="preserve"> (H. Rose and Rose, Ibid., 66). </w:t>
      </w:r>
      <w:r w:rsidRPr="001030EF">
        <w:rPr>
          <w:rStyle w:val="StyleUnderline"/>
        </w:rPr>
        <w:t>Recently, systems biology has again drawn attention away from the ‘blueprint’</w:t>
      </w:r>
      <w:r>
        <w:rPr>
          <w:rStyle w:val="StyleUnderline"/>
        </w:rPr>
        <w:t xml:space="preserve"> </w:t>
      </w:r>
      <w:r w:rsidRPr="001030EF">
        <w:rPr>
          <w:rStyle w:val="StyleUnderline"/>
        </w:rPr>
        <w:t>of life and focused instead on the overwhelming importance of complex interactions</w:t>
      </w:r>
      <w:r>
        <w:rPr>
          <w:rStyle w:val="StyleUnderline"/>
        </w:rPr>
        <w:t xml:space="preserve"> </w:t>
      </w:r>
      <w:r w:rsidRPr="001030EF">
        <w:rPr>
          <w:rStyle w:val="StyleUnderline"/>
        </w:rPr>
        <w:t>between biological systems and their environment</w:t>
      </w:r>
      <w:r w:rsidRPr="001030EF">
        <w:rPr>
          <w:sz w:val="16"/>
        </w:rPr>
        <w:t xml:space="preserve">. According to this school of thought, the potential for disease contained in the DNA code does not necessarily manifest itself in any case, only in particular circumstances – often depending on wider systemic factors. Rose finds that as “[a] genetic style of thought is giving way to a postgenomic emphasis on complexities (….) informational epistemologies seem to have reached their limit” (N. Rose 2007b, 47). </w:t>
      </w:r>
      <w:r w:rsidRPr="001030EF">
        <w:rPr>
          <w:rStyle w:val="StyleUnderline"/>
        </w:rPr>
        <w:t>Similarly, the field of epigenetics</w:t>
      </w:r>
      <w:r>
        <w:rPr>
          <w:rStyle w:val="StyleUnderline"/>
        </w:rPr>
        <w:t xml:space="preserve"> </w:t>
      </w:r>
      <w:r w:rsidRPr="001030EF">
        <w:rPr>
          <w:rStyle w:val="StyleUnderline"/>
        </w:rPr>
        <w:t>looks beyond the genetic code towards interactions with environmental factors for</w:t>
      </w:r>
      <w:r>
        <w:rPr>
          <w:rStyle w:val="StyleUnderline"/>
        </w:rPr>
        <w:t xml:space="preserve"> </w:t>
      </w:r>
      <w:r w:rsidRPr="001030EF">
        <w:rPr>
          <w:rStyle w:val="StyleUnderline"/>
        </w:rPr>
        <w:t>explanations of the emergence of particular conditions</w:t>
      </w:r>
      <w:r w:rsidRPr="001030EF">
        <w:rPr>
          <w:sz w:val="16"/>
        </w:rPr>
        <w:t xml:space="preserve">. Here, “[g]enes are no longer thought of as acting independently but rather in constant interaction both with each other and with the multiple levels of the environment in which they are embedded. […] DNA is no longer seen as an ‘informational macromolecule’ controlling the cell but rather as part of the web of molecules and their interactions that the cell employs during development.” (H. Rose and Rose 2012, 73; see also McAfee 2003, 204 f.)46 </w:t>
      </w:r>
      <w:r w:rsidRPr="001030EF">
        <w:rPr>
          <w:rStyle w:val="StyleUnderline"/>
        </w:rPr>
        <w:t>The (re)emergence of epigenetics highlights the underlying assumptions built into the</w:t>
      </w:r>
      <w:r>
        <w:rPr>
          <w:rStyle w:val="StyleUnderline"/>
        </w:rPr>
        <w:t xml:space="preserve"> </w:t>
      </w:r>
      <w:r w:rsidRPr="001030EF">
        <w:rPr>
          <w:rStyle w:val="StyleUnderline"/>
        </w:rPr>
        <w:t>reductionist view of genetics. Rosenow terms this the “‘static-linear’ instead of</w:t>
      </w:r>
      <w:r>
        <w:rPr>
          <w:rStyle w:val="StyleUnderline"/>
        </w:rPr>
        <w:t xml:space="preserve"> </w:t>
      </w:r>
      <w:r w:rsidRPr="001030EF">
        <w:rPr>
          <w:rStyle w:val="StyleUnderline"/>
        </w:rPr>
        <w:t>‘complex-dynamic’ understanding of life”, which “is inextricably bound to a</w:t>
      </w:r>
      <w:r>
        <w:rPr>
          <w:rStyle w:val="StyleUnderline"/>
        </w:rPr>
        <w:t xml:space="preserve"> </w:t>
      </w:r>
      <w:r w:rsidRPr="001030EF">
        <w:rPr>
          <w:rStyle w:val="StyleUnderline"/>
        </w:rPr>
        <w:t>particular episteme that assumes the sovereignty of the subject and the latter’s control</w:t>
      </w:r>
      <w:r>
        <w:rPr>
          <w:rStyle w:val="StyleUnderline"/>
        </w:rPr>
        <w:t xml:space="preserve"> </w:t>
      </w:r>
      <w:r w:rsidRPr="001030EF">
        <w:rPr>
          <w:rStyle w:val="StyleUnderline"/>
        </w:rPr>
        <w:t>over the world as object, and that is deeply at odds with the episteme that is advanced</w:t>
      </w:r>
      <w:r>
        <w:rPr>
          <w:rStyle w:val="StyleUnderline"/>
        </w:rPr>
        <w:t xml:space="preserve"> </w:t>
      </w:r>
      <w:r w:rsidRPr="001030EF">
        <w:rPr>
          <w:rStyle w:val="StyleUnderline"/>
        </w:rPr>
        <w:t>in significant strands of scientific complexity theory</w:t>
      </w:r>
      <w:r w:rsidRPr="001030EF">
        <w:rPr>
          <w:sz w:val="16"/>
        </w:rPr>
        <w:t xml:space="preserve">” (Rosenow 2012, 532; see also Wynne 2005, 70).47 Braun also points to assumptions of control and sovereignty on the level of the bounded individual body containing molecular information. He contrasts this view with that of the “post-genomic body” immersed in “a global economy of exchange and circulation, where the body is thrown into a chaotic and unpredictable molecular world filled with emergent yet unspecifiable risks” (Braun 2007, 7). </w:t>
      </w:r>
      <w:r w:rsidRPr="001030EF">
        <w:rPr>
          <w:rStyle w:val="StyleUnderline"/>
        </w:rPr>
        <w:t>The informational-genetic conception of life thus accentuates predictability</w:t>
      </w:r>
      <w:r>
        <w:rPr>
          <w:rStyle w:val="StyleUnderline"/>
        </w:rPr>
        <w:t xml:space="preserve"> </w:t>
      </w:r>
      <w:r w:rsidRPr="001030EF">
        <w:rPr>
          <w:rStyle w:val="StyleUnderline"/>
        </w:rPr>
        <w:t>and control instead of focusing on the unpredictability and complexity characteristic</w:t>
      </w:r>
      <w:r>
        <w:rPr>
          <w:rStyle w:val="StyleUnderline"/>
        </w:rPr>
        <w:t xml:space="preserve"> </w:t>
      </w:r>
      <w:r w:rsidRPr="001030EF">
        <w:rPr>
          <w:rStyle w:val="StyleUnderline"/>
        </w:rPr>
        <w:t>of a novel and experimental research agenda</w:t>
      </w:r>
      <w:r w:rsidRPr="001030EF">
        <w:rPr>
          <w:sz w:val="16"/>
        </w:rPr>
        <w:t xml:space="preserve"> (see Wynne 2005, 69). In the field of agriculture, studies conducted on the performance of transgenic crops provide an example of this imprecision and unpredictability, finding “patterns of mediocre and inconsistent crop performance and unpredicted effects that contrasts with the idealized image of agricultural genetic engineering as capable of increasing food production in an exact, ecologically safe, and economically sustainable manner” (McAfee 2003, 207). McAfee states that “[o]nly a narrowly molecular-genetic reductionist view, in which organisms are advanced Cartesian machines that can be understood by calculating the total of reactions among their molecules and atoms, would lead one to expect anything else” (Ibid., 209). </w:t>
      </w:r>
      <w:r w:rsidRPr="001030EF">
        <w:rPr>
          <w:rStyle w:val="StyleUnderline"/>
        </w:rPr>
        <w:t>IP’s normalised scientific accounts emphasise predictability and control – in</w:t>
      </w:r>
      <w:r>
        <w:rPr>
          <w:rStyle w:val="StyleUnderline"/>
        </w:rPr>
        <w:t xml:space="preserve"> </w:t>
      </w:r>
      <w:r w:rsidRPr="001030EF">
        <w:rPr>
          <w:rStyle w:val="StyleUnderline"/>
        </w:rPr>
        <w:t>line with the IP regime’s need for stable patentable objects</w:t>
      </w:r>
      <w:r w:rsidRPr="001030EF">
        <w:rPr>
          <w:sz w:val="16"/>
        </w:rPr>
        <w:t xml:space="preserve">. Here, reductionist “negotiations” and processes of abstraction give rise to an “apparently stable object” (Calvert 2008, 385), thus concealing an inherent ambiguity of genetic conceptions of life (Pellizzoni 2011; Carolan 2008; 2010; Rosenow 2012, 534; McAfee 2003; Pottage 1998). Carolan points out “[t]here are no purified sequences of DNA in the world of genetic testing; no isolated protein-encoding DNA sequences in a field of engineered canola plants” (Carolan 2010, 122, he refers to the infamous Monsanto cases). </w:t>
      </w:r>
      <w:r w:rsidRPr="001030EF">
        <w:rPr>
          <w:rStyle w:val="StyleUnderline"/>
        </w:rPr>
        <w:t>Without the mental processes of abstraction needed to imagine the existence of</w:t>
      </w:r>
      <w:r>
        <w:rPr>
          <w:rStyle w:val="StyleUnderline"/>
        </w:rPr>
        <w:t xml:space="preserve"> </w:t>
      </w:r>
      <w:r w:rsidRPr="001030EF">
        <w:rPr>
          <w:rStyle w:val="StyleUnderline"/>
        </w:rPr>
        <w:t>isolated DNA sequences in a living plant in a field, patent enforcement against</w:t>
      </w:r>
      <w:r>
        <w:rPr>
          <w:rStyle w:val="StyleUnderline"/>
        </w:rPr>
        <w:t xml:space="preserve"> </w:t>
      </w:r>
      <w:r w:rsidRPr="001030EF">
        <w:rPr>
          <w:rStyle w:val="StyleUnderline"/>
        </w:rPr>
        <w:t>farmers’ use of seed material would be impossible. This “interpretive flexibility” is</w:t>
      </w:r>
      <w:r>
        <w:rPr>
          <w:rStyle w:val="StyleUnderline"/>
        </w:rPr>
        <w:t xml:space="preserve"> </w:t>
      </w:r>
      <w:r w:rsidRPr="001030EF">
        <w:rPr>
          <w:rStyle w:val="StyleUnderline"/>
        </w:rPr>
        <w:t>necessary for the maintenance of IP claims, however, “too much flexibility would</w:t>
      </w:r>
      <w:r>
        <w:rPr>
          <w:rStyle w:val="StyleUnderline"/>
        </w:rPr>
        <w:t xml:space="preserve"> </w:t>
      </w:r>
      <w:r w:rsidRPr="001030EF">
        <w:rPr>
          <w:rStyle w:val="StyleUnderline"/>
        </w:rPr>
        <w:t>[…] threaten the patent regime</w:t>
      </w:r>
      <w:r w:rsidRPr="001030EF">
        <w:rPr>
          <w:sz w:val="16"/>
        </w:rPr>
        <w:t xml:space="preserve">” (Ibid.). </w:t>
      </w:r>
      <w:r w:rsidRPr="001030EF">
        <w:rPr>
          <w:rStyle w:val="StyleUnderline"/>
        </w:rPr>
        <w:t>IPRs on human genetic materials thus exert power through a “double</w:t>
      </w:r>
      <w:r>
        <w:rPr>
          <w:rStyle w:val="StyleUnderline"/>
        </w:rPr>
        <w:t xml:space="preserve"> </w:t>
      </w:r>
      <w:r w:rsidRPr="001030EF">
        <w:rPr>
          <w:rStyle w:val="StyleUnderline"/>
        </w:rPr>
        <w:t>reductionism” (McAfee 2003, 203), reducing scientific accounts of life to genetic</w:t>
      </w:r>
      <w:r>
        <w:rPr>
          <w:rStyle w:val="StyleUnderline"/>
        </w:rPr>
        <w:t xml:space="preserve"> </w:t>
      </w:r>
      <w:r w:rsidRPr="001030EF">
        <w:rPr>
          <w:rStyle w:val="StyleUnderline"/>
        </w:rPr>
        <w:t>code, and reducing the interactions and uncertainties contained in this evolving field</w:t>
      </w:r>
      <w:r>
        <w:rPr>
          <w:rStyle w:val="StyleUnderline"/>
        </w:rPr>
        <w:t xml:space="preserve"> </w:t>
      </w:r>
      <w:r w:rsidRPr="001030EF">
        <w:rPr>
          <w:rStyle w:val="StyleUnderline"/>
        </w:rPr>
        <w:t>of research to stable and predictable objects that can be traded in the economy.</w:t>
      </w:r>
      <w:r w:rsidRPr="001030EF">
        <w:rPr>
          <w:sz w:val="16"/>
        </w:rPr>
        <w:t xml:space="preserve"> Importantly, the Myriad decision maintains both these reductionist conceptions. Despite the limitation of patentability incurred by a turn towards informational genetic conceptions of DNA, Myriad still continues the normalisation of genetic reductionist knowledge. In this way, the Myriad compromise governs scientific research paradigms in a way that supports the market and provides predictable knowledge for questions of governing life by preferring informational-reductionist knowledges to competing complex accounts. </w:t>
      </w:r>
      <w:r w:rsidRPr="001030EF">
        <w:rPr>
          <w:rStyle w:val="StyleUnderline"/>
        </w:rPr>
        <w:t>An opening towards more complex</w:t>
      </w:r>
      <w:r>
        <w:rPr>
          <w:rStyle w:val="StyleUnderline"/>
        </w:rPr>
        <w:t xml:space="preserve"> </w:t>
      </w:r>
      <w:r w:rsidRPr="001030EF">
        <w:rPr>
          <w:rStyle w:val="StyleUnderline"/>
        </w:rPr>
        <w:t>understandings of life could have profoundly unsettling effects on IP, resulting in a</w:t>
      </w:r>
      <w:r>
        <w:rPr>
          <w:rStyle w:val="StyleUnderline"/>
        </w:rPr>
        <w:t xml:space="preserve"> </w:t>
      </w:r>
      <w:r w:rsidRPr="001030EF">
        <w:rPr>
          <w:rStyle w:val="StyleUnderline"/>
        </w:rPr>
        <w:t>loss of stable and easily definable patentable entities – which would be even more</w:t>
      </w:r>
      <w:r>
        <w:rPr>
          <w:rStyle w:val="StyleUnderline"/>
        </w:rPr>
        <w:t xml:space="preserve"> </w:t>
      </w:r>
      <w:r w:rsidRPr="001030EF">
        <w:rPr>
          <w:rStyle w:val="StyleUnderline"/>
        </w:rPr>
        <w:t>difficult to negotiate and significantly complicate the circulation of value in the</w:t>
      </w:r>
      <w:r>
        <w:rPr>
          <w:rStyle w:val="StyleUnderline"/>
        </w:rPr>
        <w:t xml:space="preserve"> </w:t>
      </w:r>
      <w:r w:rsidRPr="001030EF">
        <w:rPr>
          <w:rStyle w:val="StyleUnderline"/>
        </w:rPr>
        <w:t xml:space="preserve">economy and the strategic use of genetic knowledge for the governing of life. </w:t>
      </w:r>
    </w:p>
    <w:p w14:paraId="1D18C81C" w14:textId="77777777" w:rsidR="006C0B77" w:rsidRDefault="006C0B77" w:rsidP="006C0B77">
      <w:pPr>
        <w:pStyle w:val="Heading3"/>
      </w:pPr>
      <w:r>
        <w:t>AT Knowledge Access</w:t>
      </w:r>
    </w:p>
    <w:p w14:paraId="5AC19703" w14:textId="77777777" w:rsidR="006C0B77" w:rsidRPr="0055110F" w:rsidRDefault="006C0B77" w:rsidP="006C0B77">
      <w:pPr>
        <w:pStyle w:val="Heading4"/>
      </w:pPr>
      <w:r>
        <w:t>IP rights schemes limit access to the international political economy while normalizing particular knowledges over others</w:t>
      </w:r>
    </w:p>
    <w:p w14:paraId="4FCB3ACF" w14:textId="77777777" w:rsidR="006C0B77" w:rsidRPr="006A4805" w:rsidRDefault="006C0B77" w:rsidP="006C0B77">
      <w:pPr>
        <w:rPr>
          <w:szCs w:val="18"/>
        </w:rPr>
      </w:pPr>
      <w:r w:rsidRPr="00B15BF2">
        <w:t xml:space="preserve">Eva </w:t>
      </w:r>
      <w:r w:rsidRPr="001C5978">
        <w:rPr>
          <w:rStyle w:val="Style13ptBold"/>
          <w:szCs w:val="26"/>
        </w:rPr>
        <w:t xml:space="preserve">Hilberg, </w:t>
      </w:r>
      <w:r>
        <w:rPr>
          <w:szCs w:val="26"/>
        </w:rPr>
        <w:t xml:space="preserve">May </w:t>
      </w:r>
      <w:r w:rsidRPr="00B15BF2">
        <w:rPr>
          <w:rStyle w:val="Style13ptBold"/>
        </w:rPr>
        <w:t>2015</w:t>
      </w:r>
      <w:r w:rsidRPr="006A4805">
        <w:t>,</w:t>
      </w:r>
      <w:r w:rsidRPr="001C5978">
        <w:rPr>
          <w:rStyle w:val="Style13ptBold"/>
        </w:rPr>
        <w:t xml:space="preserve"> </w:t>
      </w:r>
      <w:r w:rsidRPr="006A4805">
        <w:rPr>
          <w:szCs w:val="18"/>
        </w:rPr>
        <w:t>Eva is an Honorary Research Fellow at the School of Global Studies, University of Sussex, and a Postdoctoral Research Fellow at the Federmann School of Public Policy and Government, Hebrew University of Jerusalem. She obtained a PhD in International Relations from the University of Sussex, analysing the biopolitical dimension of intellectual property rights on human genetic materials. (</w:t>
      </w:r>
      <w:hyperlink r:id="rId12" w:history="1">
        <w:r w:rsidRPr="00B928D0">
          <w:rPr>
            <w:rStyle w:val="Hyperlink"/>
            <w:sz w:val="18"/>
            <w:szCs w:val="18"/>
          </w:rPr>
          <w:t>https://sussex.figshare.com/articles/thesis/Intellectual_property_and_the_genetic_dispositif_of_life_the_changing_role_of_intellectual_property_law_in_governing_participation_and_knowledge_in_the_bioeconomy/23430041</w:t>
        </w:r>
      </w:hyperlink>
      <w:r w:rsidRPr="006A4805">
        <w:rPr>
          <w:szCs w:val="18"/>
        </w:rPr>
        <w:t>) CSV</w:t>
      </w:r>
    </w:p>
    <w:p w14:paraId="429C068B" w14:textId="77777777" w:rsidR="006C0B77" w:rsidRPr="007D6535" w:rsidRDefault="006C0B77" w:rsidP="006C0B77">
      <w:pPr>
        <w:rPr>
          <w:u w:val="single"/>
        </w:rPr>
      </w:pPr>
      <w:r w:rsidRPr="000E092E">
        <w:rPr>
          <w:rStyle w:val="Emphasis"/>
          <w:highlight w:val="cyan"/>
        </w:rPr>
        <w:t>The informational-genetic conception of life</w:t>
      </w:r>
      <w:r w:rsidRPr="006A4805">
        <w:rPr>
          <w:rFonts w:asciiTheme="minorHAnsi" w:hAnsiTheme="minorHAnsi" w:cstheme="minorHAnsi"/>
          <w:color w:val="000000"/>
          <w:sz w:val="16"/>
          <w:szCs w:val="24"/>
        </w:rPr>
        <w:t xml:space="preserve"> gives rise to value within a neoliberal economy – but it also </w:t>
      </w:r>
      <w:r w:rsidRPr="000E092E">
        <w:rPr>
          <w:rStyle w:val="Emphasis"/>
          <w:highlight w:val="cyan"/>
        </w:rPr>
        <w:t>intensifies the problematization of the governing of life</w:t>
      </w:r>
      <w:r w:rsidRPr="006A4805">
        <w:rPr>
          <w:rFonts w:asciiTheme="minorHAnsi" w:hAnsiTheme="minorHAnsi" w:cstheme="minorHAnsi"/>
          <w:color w:val="000000"/>
          <w:sz w:val="16"/>
          <w:szCs w:val="24"/>
        </w:rPr>
        <w:t xml:space="preserve">. This thesis argued that the resulting tensions could be better understood from an </w:t>
      </w:r>
      <w:r w:rsidRPr="000E092E">
        <w:rPr>
          <w:rStyle w:val="Emphasis"/>
          <w:highlight w:val="cyan"/>
        </w:rPr>
        <w:t>analytic perspective that can grasp the wider social influence of the notion of the genetic code</w:t>
      </w:r>
      <w:r w:rsidRPr="006A4805">
        <w:rPr>
          <w:rFonts w:asciiTheme="minorHAnsi" w:hAnsiTheme="minorHAnsi" w:cstheme="minorHAnsi"/>
          <w:color w:val="000000"/>
          <w:sz w:val="16"/>
          <w:szCs w:val="24"/>
        </w:rPr>
        <w:t xml:space="preserve">, which gave rise to a </w:t>
      </w:r>
      <w:r w:rsidRPr="000E092E">
        <w:rPr>
          <w:rStyle w:val="Emphasis"/>
          <w:highlight w:val="cyan"/>
        </w:rPr>
        <w:t>new system of truth</w:t>
      </w:r>
      <w:r w:rsidRPr="006A4805">
        <w:rPr>
          <w:rFonts w:asciiTheme="minorHAnsi" w:hAnsiTheme="minorHAnsi" w:cstheme="minorHAnsi"/>
          <w:color w:val="000000"/>
          <w:sz w:val="16"/>
          <w:szCs w:val="24"/>
        </w:rPr>
        <w:t xml:space="preserve"> </w:t>
      </w:r>
      <w:r w:rsidRPr="000E092E">
        <w:rPr>
          <w:rStyle w:val="Emphasis"/>
          <w:highlight w:val="cyan"/>
        </w:rPr>
        <w:t>over human existence,</w:t>
      </w:r>
      <w:r w:rsidRPr="006A4805">
        <w:rPr>
          <w:rFonts w:asciiTheme="minorHAnsi" w:hAnsiTheme="minorHAnsi" w:cstheme="minorHAnsi"/>
          <w:color w:val="000000"/>
          <w:sz w:val="16"/>
          <w:szCs w:val="24"/>
        </w:rPr>
        <w:t xml:space="preserve"> inscribed on the molecular level of the body – and which opened up the body to interventions on the molecular level. The analysis of </w:t>
      </w:r>
      <w:r w:rsidRPr="000E092E">
        <w:rPr>
          <w:rStyle w:val="Emphasis"/>
          <w:highlight w:val="cyan"/>
        </w:rPr>
        <w:t xml:space="preserve">IP’s </w:t>
      </w:r>
      <w:r w:rsidRPr="00871C68">
        <w:rPr>
          <w:rStyle w:val="Emphasis"/>
        </w:rPr>
        <w:t>encounter with a</w:t>
      </w:r>
      <w:r w:rsidRPr="006A4805">
        <w:rPr>
          <w:rFonts w:asciiTheme="minorHAnsi" w:hAnsiTheme="minorHAnsi" w:cstheme="minorHAnsi"/>
          <w:color w:val="000000"/>
          <w:sz w:val="16"/>
          <w:szCs w:val="24"/>
        </w:rPr>
        <w:t xml:space="preserve"> genetic </w:t>
      </w:r>
      <w:r w:rsidRPr="006A4805">
        <w:rPr>
          <w:rFonts w:asciiTheme="minorHAnsi" w:hAnsiTheme="minorHAnsi" w:cstheme="minorHAnsi"/>
          <w:i/>
          <w:iCs/>
          <w:color w:val="000000"/>
          <w:sz w:val="16"/>
          <w:szCs w:val="24"/>
        </w:rPr>
        <w:t>dispositif</w:t>
      </w:r>
      <w:r w:rsidRPr="006A4805">
        <w:rPr>
          <w:rFonts w:asciiTheme="minorHAnsi" w:hAnsiTheme="minorHAnsi" w:cstheme="minorHAnsi"/>
          <w:color w:val="000000"/>
          <w:sz w:val="16"/>
          <w:szCs w:val="24"/>
        </w:rPr>
        <w:t xml:space="preserve"> was conducted on three different levels, reflecting a </w:t>
      </w:r>
      <w:r w:rsidRPr="000E092E">
        <w:rPr>
          <w:rStyle w:val="Emphasis"/>
          <w:highlight w:val="cyan"/>
        </w:rPr>
        <w:t xml:space="preserve">confrontation with the </w:t>
      </w:r>
      <w:r w:rsidRPr="00871C68">
        <w:rPr>
          <w:rStyle w:val="Emphasis"/>
        </w:rPr>
        <w:t xml:space="preserve">constituent </w:t>
      </w:r>
      <w:r w:rsidRPr="000E092E">
        <w:rPr>
          <w:rStyle w:val="Emphasis"/>
          <w:highlight w:val="cyan"/>
        </w:rPr>
        <w:t>elements of biopower: truth, the subject, and power exercised in the name of life</w:t>
      </w:r>
      <w:r w:rsidRPr="006A4805">
        <w:rPr>
          <w:rFonts w:asciiTheme="minorHAnsi" w:hAnsiTheme="minorHAnsi" w:cstheme="minorHAnsi"/>
          <w:color w:val="000000"/>
          <w:sz w:val="16"/>
          <w:szCs w:val="24"/>
        </w:rPr>
        <w:t xml:space="preserve"> (Rabinow and Rose 2006, 212). In this way, the </w:t>
      </w:r>
      <w:r w:rsidRPr="000E092E">
        <w:rPr>
          <w:rStyle w:val="Emphasis"/>
          <w:highlight w:val="cyan"/>
        </w:rPr>
        <w:t>analysis of IP’s treatment of genetic knowledge over life moved beyond previous critiques of the ‘commodification’ of life by means of IP.</w:t>
      </w:r>
      <w:r w:rsidRPr="006A4805">
        <w:rPr>
          <w:rFonts w:asciiTheme="minorHAnsi" w:hAnsiTheme="minorHAnsi" w:cstheme="minorHAnsi"/>
          <w:color w:val="000000"/>
          <w:sz w:val="16"/>
          <w:szCs w:val="24"/>
        </w:rPr>
        <w:t xml:space="preserve"> Instead of placing overwhelming emphasis on the determination of social relations by economic exchange processes, this analysis can account for a </w:t>
      </w:r>
      <w:r w:rsidRPr="000E092E">
        <w:rPr>
          <w:rStyle w:val="Emphasis"/>
          <w:highlight w:val="cyan"/>
        </w:rPr>
        <w:t>wider range of incentives and responsibilities for participation in the creation of knowledge</w:t>
      </w:r>
      <w:r w:rsidRPr="006A4805">
        <w:rPr>
          <w:rFonts w:asciiTheme="minorHAnsi" w:hAnsiTheme="minorHAnsi" w:cstheme="minorHAnsi"/>
          <w:color w:val="000000"/>
          <w:sz w:val="16"/>
          <w:szCs w:val="24"/>
        </w:rPr>
        <w:t xml:space="preserve">. An adapted understanding of the role of law in a governmental system highlighted </w:t>
      </w:r>
      <w:r w:rsidRPr="000E092E">
        <w:rPr>
          <w:rStyle w:val="Emphasis"/>
          <w:highlight w:val="cyan"/>
        </w:rPr>
        <w:t>IP law’s contribution to the governing of life in a</w:t>
      </w:r>
      <w:r w:rsidRPr="00CF7D1C">
        <w:rPr>
          <w:rStyle w:val="Emphasis"/>
        </w:rPr>
        <w:t xml:space="preserve">n otherwise perplexing </w:t>
      </w:r>
      <w:r w:rsidRPr="006A4805">
        <w:rPr>
          <w:sz w:val="16"/>
        </w:rPr>
        <w:t>series of judgements on the definition of DNA and in</w:t>
      </w:r>
      <w:r w:rsidRPr="0055110F">
        <w:rPr>
          <w:rStyle w:val="Emphasis"/>
        </w:rPr>
        <w:t xml:space="preserve"> </w:t>
      </w:r>
      <w:r w:rsidRPr="000E092E">
        <w:rPr>
          <w:rStyle w:val="Emphasis"/>
          <w:highlight w:val="cyan"/>
        </w:rPr>
        <w:t>strategic uses of IP ensuring open access to knowledge in a new somatic ethics.</w:t>
      </w:r>
      <w:r w:rsidRPr="006A4805">
        <w:rPr>
          <w:rFonts w:asciiTheme="minorHAnsi" w:hAnsiTheme="minorHAnsi" w:cstheme="minorHAnsi"/>
          <w:color w:val="000000"/>
          <w:sz w:val="16"/>
          <w:szCs w:val="24"/>
        </w:rPr>
        <w:t xml:space="preserve"> </w:t>
      </w:r>
      <w:r w:rsidRPr="00CF7D1C">
        <w:rPr>
          <w:rStyle w:val="StyleUnderline"/>
        </w:rPr>
        <w:t>It argued that IP law is instrumental in setting up and ensuring the functioning of the market, but also begins to respond tactically to resistances created by the pervasive influence of the genetic dispositif</w:t>
      </w:r>
      <w:r w:rsidRPr="006A4805">
        <w:rPr>
          <w:rFonts w:asciiTheme="minorHAnsi" w:hAnsiTheme="minorHAnsi" w:cstheme="minorHAnsi"/>
          <w:color w:val="000000"/>
          <w:sz w:val="16"/>
          <w:szCs w:val="24"/>
        </w:rPr>
        <w:t xml:space="preserve">. The increasing significance of the intersection between genetic conceptions of life and the IP regime intensified these tensions. An analysis of these tensions highlighted </w:t>
      </w:r>
      <w:r w:rsidRPr="000E092E">
        <w:rPr>
          <w:rStyle w:val="Emphasis"/>
          <w:highlight w:val="cyan"/>
        </w:rPr>
        <w:t>IP’s role in establishing control over knowledge for the purpose of participation in the bioeconomy, and its role in the normalisation of knowledge</w:t>
      </w:r>
      <w:r>
        <w:rPr>
          <w:rStyle w:val="Emphasis"/>
        </w:rPr>
        <w:t xml:space="preserve">. </w:t>
      </w:r>
      <w:r w:rsidRPr="006A4805">
        <w:rPr>
          <w:rStyle w:val="StyleUnderline"/>
        </w:rPr>
        <w:t xml:space="preserve">In this reading, two </w:t>
      </w:r>
      <w:r w:rsidRPr="000E092E">
        <w:rPr>
          <w:rStyle w:val="StyleUnderline"/>
          <w:highlight w:val="cyan"/>
        </w:rPr>
        <w:t>trajectories of challenge were</w:t>
      </w:r>
      <w:r w:rsidRPr="006A4805">
        <w:rPr>
          <w:rStyle w:val="StyleUnderline"/>
        </w:rPr>
        <w:t xml:space="preserve"> identified as significant </w:t>
      </w:r>
      <w:r w:rsidRPr="000E092E">
        <w:rPr>
          <w:rStyle w:val="StyleUnderline"/>
          <w:highlight w:val="cyan"/>
        </w:rPr>
        <w:t>sites of IP’s responsive engagement</w:t>
      </w:r>
      <w:r w:rsidRPr="006A4805">
        <w:rPr>
          <w:rStyle w:val="StyleUnderline"/>
        </w:rPr>
        <w:t xml:space="preserve"> with exteriority (Golder and Fitzpatrick 2009, 56): </w:t>
      </w:r>
      <w:r w:rsidRPr="000E092E">
        <w:rPr>
          <w:rStyle w:val="StyleUnderline"/>
          <w:highlight w:val="cyan"/>
        </w:rPr>
        <w:t>the question of participation in the bioeconomy, and tensions surrounding the normalisation of knowledge</w:t>
      </w:r>
      <w:r w:rsidRPr="006A4805">
        <w:rPr>
          <w:sz w:val="16"/>
        </w:rPr>
        <w:t xml:space="preserve">. These were explored as unfolding contestations over truth discourses over life, responses to demands made by “genetic” subjects relating to control over genetic truth, and in new strategic interventions challenging IP’s relation to life. </w:t>
      </w:r>
      <w:r w:rsidRPr="006A4805">
        <w:rPr>
          <w:rStyle w:val="StyleUnderline"/>
        </w:rPr>
        <w:t xml:space="preserve">The analysis of </w:t>
      </w:r>
      <w:r w:rsidRPr="000E092E">
        <w:rPr>
          <w:rStyle w:val="StyleUnderline"/>
          <w:highlight w:val="cyan"/>
        </w:rPr>
        <w:t>these</w:t>
      </w:r>
      <w:r w:rsidRPr="006A4805">
        <w:rPr>
          <w:rStyle w:val="StyleUnderline"/>
        </w:rPr>
        <w:t xml:space="preserve"> trajectories </w:t>
      </w:r>
      <w:r w:rsidRPr="000E092E">
        <w:rPr>
          <w:rStyle w:val="StyleUnderline"/>
          <w:highlight w:val="cyan"/>
        </w:rPr>
        <w:t>highlighted the particular processes of development within a “governmental” rationality</w:t>
      </w:r>
      <w:r w:rsidRPr="006A4805">
        <w:rPr>
          <w:rStyle w:val="StyleUnderline"/>
        </w:rPr>
        <w:t>, confronted with changing</w:t>
      </w:r>
      <w:r>
        <w:rPr>
          <w:rStyle w:val="StyleUnderline"/>
        </w:rPr>
        <w:t xml:space="preserve"> </w:t>
      </w:r>
      <w:r w:rsidRPr="006A4805">
        <w:rPr>
          <w:rStyle w:val="StyleUnderline"/>
        </w:rPr>
        <w:t xml:space="preserve">conceptions of life. This contributed to an understanding of governmentality </w:t>
      </w:r>
      <w:r w:rsidRPr="000E092E">
        <w:rPr>
          <w:rStyle w:val="StyleUnderline"/>
          <w:highlight w:val="cyan"/>
        </w:rPr>
        <w:t>by stressing the role of law as a tactics of the government of life</w:t>
      </w:r>
      <w:r w:rsidRPr="006A4805">
        <w:rPr>
          <w:rStyle w:val="StyleUnderline"/>
        </w:rPr>
        <w:t>, to an understanding of</w:t>
      </w:r>
      <w:r>
        <w:rPr>
          <w:rStyle w:val="StyleUnderline"/>
        </w:rPr>
        <w:t xml:space="preserve"> </w:t>
      </w:r>
      <w:r w:rsidRPr="006A4805">
        <w:rPr>
          <w:rStyle w:val="StyleUnderline"/>
        </w:rPr>
        <w:t xml:space="preserve">biopolitics </w:t>
      </w:r>
      <w:r w:rsidRPr="000E092E">
        <w:rPr>
          <w:rStyle w:val="StyleUnderline"/>
          <w:highlight w:val="cyan"/>
        </w:rPr>
        <w:t>by underlining adjustments to a rise of a new genetic and informational conception of life, and</w:t>
      </w:r>
      <w:r w:rsidRPr="006A4805">
        <w:rPr>
          <w:rStyle w:val="StyleUnderline"/>
        </w:rPr>
        <w:t xml:space="preserve"> to the study of </w:t>
      </w:r>
      <w:r w:rsidRPr="000E092E">
        <w:rPr>
          <w:rStyle w:val="StyleUnderline"/>
          <w:highlight w:val="cyan"/>
        </w:rPr>
        <w:t>international relations</w:t>
      </w:r>
      <w:r w:rsidRPr="006A4805">
        <w:rPr>
          <w:rStyle w:val="StyleUnderline"/>
        </w:rPr>
        <w:t xml:space="preserve"> by showing </w:t>
      </w:r>
      <w:r w:rsidRPr="000E092E">
        <w:rPr>
          <w:rStyle w:val="StyleUnderline"/>
          <w:highlight w:val="cyan"/>
        </w:rPr>
        <w:t>that international legal frameworks</w:t>
      </w:r>
      <w:r w:rsidRPr="006A4805">
        <w:rPr>
          <w:rStyle w:val="StyleUnderline"/>
        </w:rPr>
        <w:t xml:space="preserve"> and institutions </w:t>
      </w:r>
      <w:r w:rsidRPr="000E092E">
        <w:rPr>
          <w:rStyle w:val="StyleUnderline"/>
          <w:highlight w:val="cyan"/>
        </w:rPr>
        <w:t>are integral to emerging key areas of political contestation</w:t>
      </w:r>
      <w:r w:rsidRPr="006A4805">
        <w:rPr>
          <w:rStyle w:val="StyleUnderline"/>
        </w:rPr>
        <w:t xml:space="preserve"> based on the pursuit of life and health.</w:t>
      </w:r>
    </w:p>
    <w:p w14:paraId="2628CB31" w14:textId="77777777" w:rsidR="006C0B77" w:rsidRDefault="006C0B77" w:rsidP="006C0B77">
      <w:pPr>
        <w:pStyle w:val="Heading2"/>
      </w:pPr>
      <w:r>
        <w:t>Ks of Impacts</w:t>
      </w:r>
    </w:p>
    <w:p w14:paraId="0607E2C8" w14:textId="77777777" w:rsidR="006C0B77" w:rsidRDefault="006C0B77" w:rsidP="006C0B77">
      <w:pPr>
        <w:pStyle w:val="Heading3"/>
        <w:rPr>
          <w:rFonts w:eastAsiaTheme="minorHAnsi"/>
        </w:rPr>
      </w:pPr>
      <w:r>
        <w:rPr>
          <w:rFonts w:eastAsiaTheme="minorHAnsi"/>
        </w:rPr>
        <w:t>Courts</w:t>
      </w:r>
    </w:p>
    <w:p w14:paraId="7793CD2C" w14:textId="77777777" w:rsidR="006C0B77" w:rsidRPr="00511E26" w:rsidRDefault="006C0B77" w:rsidP="006C0B77">
      <w:pPr>
        <w:pStyle w:val="Heading4"/>
      </w:pPr>
      <w:r w:rsidRPr="00511E26">
        <w:t>Empirics prove – the US Supreme Court is an instrument utitlized as a biopolitical tool by the sovereign state to extend its control of their citizens – this means that reform about the ideology of the way it’s used must be addressed</w:t>
      </w:r>
    </w:p>
    <w:p w14:paraId="7C330BDD" w14:textId="77777777" w:rsidR="006C0B77" w:rsidRPr="00511E26" w:rsidRDefault="006C0B77" w:rsidP="006C0B77">
      <w:r w:rsidRPr="00511E26">
        <w:rPr>
          <w:rStyle w:val="Style13ptBold"/>
        </w:rPr>
        <w:t xml:space="preserve">Jennings ’14 </w:t>
      </w:r>
      <w:r w:rsidRPr="00511E26">
        <w:t xml:space="preserve">(Bruce, director of bioethics at the Center for Humans and Nature “Encyclopedia of Bioethics” </w:t>
      </w:r>
      <w:hyperlink r:id="rId13" w:history="1">
        <w:r w:rsidRPr="00511E26">
          <w:rPr>
            <w:rStyle w:val="Hyperlink"/>
          </w:rPr>
          <w:t>http://www.geneticsandsociety.org/downloads/Biopolitics_Essay.pdf</w:t>
        </w:r>
      </w:hyperlink>
      <w:r w:rsidRPr="00511E26">
        <w:t>) Foronda</w:t>
      </w:r>
    </w:p>
    <w:p w14:paraId="4D5B194A" w14:textId="77777777" w:rsidR="006C0B77" w:rsidRPr="00511E26" w:rsidRDefault="006C0B77" w:rsidP="006C0B77">
      <w:pPr>
        <w:rPr>
          <w:sz w:val="16"/>
        </w:rPr>
      </w:pPr>
      <w:r w:rsidRPr="00511E26">
        <w:rPr>
          <w:sz w:val="16"/>
        </w:rPr>
        <w:t xml:space="preserve">The history of biopolitics in social and political advocacy—∂ both as a term and as a set of concerns raised by∂ developments in the life sciences and the biotechnology∂ industry—has been less frequently discussed than has its∂ academic genealogy. A full discussion of this history∂ would be an important contribution to understanding the∂ current landscape of biopolitics. This entry provides just a∂ few landmarks on a rather sketchy map.∂ Emergence of Issues. Several events in the mid-1970s∂ presaged the emergence of biopolitics in the United States∂ and around the world. The publication in 1975 of∂ Edward O. Wilson’s Sociobiology: The New Synthesis, which argued that genetics rather than social and∂ environmental conditions are determinant in individual∂ human behavior and in social formations, sparked heated∂ controversy about the politics of biology. Also in 1975∂ some 140 biologists, physicians, lawyers, and others∂ gathered in California at the “Asilomar Conference on∂ Recombinant DNA” to discuss the potential hazards of∂ biotechnology and to draw up voluntary safety guidelines∂ that many believe were designed to fend off calls for∂ enforceable regulation. The conference and its recommendations∂ pushed the emerging field of biotechnology∂ into public awareness (Berg et al. 1975). In 1976 venture∂ capitalist Robert Swanson and biochemist Herbert Boyer∂ launched a company called Genentech, an event often said∂ to mark the founding of the biotechnology industry.∂ In 1980, still during the prehistory of biopolitics, </w:t>
      </w:r>
      <w:r w:rsidRPr="00511E26">
        <w:rPr>
          <w:u w:val="single"/>
        </w:rPr>
        <w:t>a US Supreme Court case, Diamond v. Chakrabarty, and a</w:t>
      </w:r>
      <w:r w:rsidRPr="00511E26">
        <w:rPr>
          <w:sz w:val="16"/>
        </w:rPr>
        <w:t>∂</w:t>
      </w:r>
      <w:r w:rsidRPr="00511E26">
        <w:rPr>
          <w:u w:val="single"/>
        </w:rPr>
        <w:t xml:space="preserve"> piece of congressional legislation, the Bayh-Dole Act,</w:t>
      </w:r>
      <w:r w:rsidRPr="00511E26">
        <w:rPr>
          <w:sz w:val="16"/>
        </w:rPr>
        <w:t>∂</w:t>
      </w:r>
      <w:r w:rsidRPr="00511E26">
        <w:rPr>
          <w:u w:val="single"/>
        </w:rPr>
        <w:t xml:space="preserve"> encouraged the development of the private-sector biotechnology</w:t>
      </w:r>
      <w:r w:rsidRPr="00511E26">
        <w:rPr>
          <w:sz w:val="16"/>
        </w:rPr>
        <w:t>∂</w:t>
      </w:r>
      <w:r w:rsidRPr="00511E26">
        <w:rPr>
          <w:u w:val="single"/>
        </w:rPr>
        <w:t xml:space="preserve"> industry and set in motion some of the</w:t>
      </w:r>
      <w:r w:rsidRPr="00511E26">
        <w:rPr>
          <w:sz w:val="16"/>
        </w:rPr>
        <w:t>∂</w:t>
      </w:r>
      <w:r w:rsidRPr="00511E26">
        <w:rPr>
          <w:u w:val="single"/>
        </w:rPr>
        <w:t xml:space="preserve"> important economic and political dynamics underlying</w:t>
      </w:r>
      <w:r w:rsidRPr="00511E26">
        <w:rPr>
          <w:sz w:val="16"/>
        </w:rPr>
        <w:t>∂</w:t>
      </w:r>
      <w:r w:rsidRPr="00511E26">
        <w:rPr>
          <w:u w:val="single"/>
        </w:rPr>
        <w:t xml:space="preserve"> the emergence of biopolitics. In Diamond v. Chakrabarty,</w:t>
      </w:r>
      <w:r w:rsidRPr="00511E26">
        <w:rPr>
          <w:sz w:val="16"/>
        </w:rPr>
        <w:t>∂</w:t>
      </w:r>
      <w:r w:rsidRPr="00511E26">
        <w:rPr>
          <w:u w:val="single"/>
        </w:rPr>
        <w:t xml:space="preserve"> the court ruled that genetically engineered organisms</w:t>
      </w:r>
      <w:r w:rsidRPr="00511E26">
        <w:rPr>
          <w:sz w:val="16"/>
        </w:rPr>
        <w:t>∂</w:t>
      </w:r>
      <w:r w:rsidRPr="00511E26">
        <w:rPr>
          <w:u w:val="single"/>
        </w:rPr>
        <w:t xml:space="preserve"> could be patented, and the Bayh-Dole Act allowed</w:t>
      </w:r>
      <w:r w:rsidRPr="00511E26">
        <w:rPr>
          <w:sz w:val="16"/>
        </w:rPr>
        <w:t>∂</w:t>
      </w:r>
      <w:r w:rsidRPr="00511E26">
        <w:rPr>
          <w:u w:val="single"/>
        </w:rPr>
        <w:t xml:space="preserve"> universities and individual scientists to patent and</w:t>
      </w:r>
      <w:r w:rsidRPr="00511E26">
        <w:rPr>
          <w:sz w:val="16"/>
        </w:rPr>
        <w:t>∂</w:t>
      </w:r>
      <w:r w:rsidRPr="00511E26">
        <w:rPr>
          <w:u w:val="single"/>
        </w:rPr>
        <w:t xml:space="preserve"> commercialize technical inventions. In 1983 the first US</w:t>
      </w:r>
      <w:r w:rsidRPr="00511E26">
        <w:rPr>
          <w:sz w:val="16"/>
        </w:rPr>
        <w:t>∂</w:t>
      </w:r>
      <w:r w:rsidRPr="00511E26">
        <w:rPr>
          <w:u w:val="single"/>
        </w:rPr>
        <w:t xml:space="preserve"> public-interest organization focusing on the social, ethical,</w:t>
      </w:r>
      <w:r w:rsidRPr="00511E26">
        <w:rPr>
          <w:sz w:val="16"/>
        </w:rPr>
        <w:t>∂</w:t>
      </w:r>
      <w:r w:rsidRPr="00511E26">
        <w:rPr>
          <w:u w:val="single"/>
        </w:rPr>
        <w:t xml:space="preserve"> and environmental implications of modern genetic</w:t>
      </w:r>
      <w:r w:rsidRPr="00511E26">
        <w:rPr>
          <w:sz w:val="16"/>
        </w:rPr>
        <w:t>∂</w:t>
      </w:r>
      <w:r w:rsidRPr="00511E26">
        <w:rPr>
          <w:u w:val="single"/>
        </w:rPr>
        <w:t xml:space="preserve"> technologies was established in Cambridge, Massachusetts</w:t>
      </w:r>
      <w:r w:rsidRPr="00511E26">
        <w:rPr>
          <w:sz w:val="16"/>
        </w:rPr>
        <w:t xml:space="preserve">.∂ Called the Council for Responsible Genetics (CRG),∂ the organization has examined biological weapons, worker∂ and community safety in biotechnology laboratories,∂ agricultural biotechnologies, and biomedical developments.∂ It has also developed critiques of genetic∂ reductionism, genetic determinism, and germ-line genetic∂ interventions (Council for Responsible Genetics 2013a).∂ By the late 1980s and early 1990s a different∂ approach to human biotechnologies in general—and to∂ inheritable genetic modification and other enhancement∂ technologies in particular—began to take shape. This was∂ the futurist ideology, today known as transhumanism,∂ which advocates using genetic and other technologies to∂ enhance (as adherents see it) human capacities and to take∂ control of human evolution. An early transhumanist∂ organization, the libertarian Extropy Institute, was∂ founded in 1990; in 1998 the World Transhumanist∂ Association was established (Hughes 2004). starkly different political and ethical commitments. In∂ 2002 the environmental writer and activist Jeremy Rifkin∂ published “Fusion Biopolitics” in The Nation, a leftleaning∂ journal of opinion. Rifkin’s news hook was thenpending∂ federal legislation about a research cloning∂ technique, but he went on to note that opposition to∂ creating cloned human beings was found among both∂ progressives and social conservatives. The latter, he said,∂ were motivated by “what they regard as the rights of the∂ unborn,” whereas many progressives “argue that with∂ cloning the new progeny become the ultimate shopping∂ experience—designed in advance, produced to specification∂ and purchased in the biological marketplace. … The∂ left also warns that cloning opens the way to a commercial∂ eugenics civilization.” </w:t>
      </w:r>
      <w:r w:rsidRPr="00511E26">
        <w:rPr>
          <w:u w:val="single"/>
        </w:rPr>
        <w:t>Rifkin went on to predict that new</w:t>
      </w:r>
      <w:r w:rsidRPr="00511E26">
        <w:rPr>
          <w:sz w:val="16"/>
        </w:rPr>
        <w:t>∂</w:t>
      </w:r>
      <w:r w:rsidRPr="00511E26">
        <w:rPr>
          <w:u w:val="single"/>
        </w:rPr>
        <w:t xml:space="preserve"> and emerging biotechnologies would rearrange traditional political affiliations</w:t>
      </w:r>
      <w:r w:rsidRPr="00511E26">
        <w:rPr>
          <w:sz w:val="16"/>
        </w:rPr>
        <w:t xml:space="preserve">: “The current debate over cloning∂ human embryos and stem cell research is already∂ loosening the old alliances and categories. It is just the∂ beginning of the new biopolitics.”∂ </w:t>
      </w:r>
      <w:r w:rsidRPr="00511E26">
        <w:rPr>
          <w:u w:val="single"/>
        </w:rPr>
        <w:t>Transhumanists also began using the term biopolitics</w:t>
      </w:r>
      <w:r w:rsidRPr="00511E26">
        <w:rPr>
          <w:sz w:val="16"/>
        </w:rPr>
        <w:t>.∂ According to the World Transhumanist Association∂ founder James Hughes (2004, 55), “</w:t>
      </w:r>
      <w:r w:rsidRPr="00511E26">
        <w:rPr>
          <w:u w:val="single"/>
        </w:rPr>
        <w:t>at one end of the</w:t>
      </w:r>
      <w:r w:rsidRPr="00511E26">
        <w:rPr>
          <w:sz w:val="16"/>
        </w:rPr>
        <w:t>∂</w:t>
      </w:r>
      <w:r w:rsidRPr="00511E26">
        <w:rPr>
          <w:u w:val="single"/>
        </w:rPr>
        <w:t xml:space="preserve"> biopolitical spectrum are the bioLuddites, defending</w:t>
      </w:r>
      <w:r w:rsidRPr="00511E26">
        <w:rPr>
          <w:sz w:val="16"/>
        </w:rPr>
        <w:t>∂</w:t>
      </w:r>
      <w:r w:rsidRPr="00511E26">
        <w:rPr>
          <w:u w:val="single"/>
        </w:rPr>
        <w:t xml:space="preserve"> humanity from enhancement technologies, and at the</w:t>
      </w:r>
      <w:r w:rsidRPr="00511E26">
        <w:rPr>
          <w:sz w:val="16"/>
        </w:rPr>
        <w:t>∂</w:t>
      </w:r>
      <w:r w:rsidRPr="00511E26">
        <w:rPr>
          <w:u w:val="single"/>
        </w:rPr>
        <w:t xml:space="preserve"> other the transhumanists, advocating for our right to</w:t>
      </w:r>
      <w:r w:rsidRPr="00511E26">
        <w:rPr>
          <w:sz w:val="16"/>
        </w:rPr>
        <w:t>∂</w:t>
      </w:r>
      <w:r w:rsidRPr="00511E26">
        <w:rPr>
          <w:u w:val="single"/>
        </w:rPr>
        <w:t xml:space="preserve"> become more than human.” Like Rifkin, Hughes argues</w:t>
      </w:r>
      <w:r w:rsidRPr="00511E26">
        <w:rPr>
          <w:sz w:val="16"/>
        </w:rPr>
        <w:t>∂</w:t>
      </w:r>
      <w:r w:rsidRPr="00511E26">
        <w:rPr>
          <w:u w:val="single"/>
        </w:rPr>
        <w:t xml:space="preserve"> that biopolitics is becoming “a new dimension” of the</w:t>
      </w:r>
      <w:r w:rsidRPr="00511E26">
        <w:rPr>
          <w:sz w:val="16"/>
        </w:rPr>
        <w:t>∂</w:t>
      </w:r>
      <w:r w:rsidRPr="00511E26">
        <w:rPr>
          <w:u w:val="single"/>
        </w:rPr>
        <w:t xml:space="preserve"> “political terrain of the twenty-first century,” cutting</w:t>
      </w:r>
      <w:r w:rsidRPr="00511E26">
        <w:rPr>
          <w:sz w:val="16"/>
        </w:rPr>
        <w:t>∂</w:t>
      </w:r>
      <w:r w:rsidRPr="00511E26">
        <w:rPr>
          <w:u w:val="single"/>
        </w:rPr>
        <w:t xml:space="preserve"> “across the existing political lines.”</w:t>
      </w:r>
      <w:r w:rsidRPr="00511E26">
        <w:rPr>
          <w:sz w:val="16"/>
        </w:rPr>
        <w:t xml:space="preserve"> Hughes distinguishes∂ between what he calls “right bioconservatives” and “left∂ bioconservatives” and describes a “polarization between∂ the transhumanist and bioconservative positions within∂ biopolitics” (Hughes 2011, 165).∂ The Center for Genetics and Society (CGS), with∂ which both authors of this entry are or have been∂ affiliated, was founded in 2001. Its initial focus was the∂ threat to social justice and equality raised by the prospect∂ of inheritable genetic modifications that could be enabled∂ by cloning, gene transfer, and assisted reproductive∂ technologies. CGS’s mission statement, published on∂ the organization’s website, signaled its commitments to∂ fundamental progressive principles, including “the equitable∂ provision of health technologies,” reproductive∂ rights, disability rights, and a precautionary approach to∂ new technologies (Center for Genetics and Society∂ 2013a). The organization soon adopted the term∂ biopolitics; in 2006 it established a blog called Biopolitical∂ Times, accessible through its website. For CGS the term∂ progressive biopolitics and the phrase a new biopolitics∂ connote a commitment to social justice, human rights,∂ and public-interest values. CGS has worked with scholars∂ across a range of disciplines, including law, sociology,∂ anthropology, public health, biology, and science and technology studies, and with advocates promoting various∂ issues, including reproductive health, rights, and justice;∂ racial justice; disability rights; and environmentalism∂ (Center for Genetics and Society 2013b).∂ BIOPOLITICAL CONTROVERSIES∂ </w:t>
      </w:r>
      <w:r w:rsidRPr="00511E26">
        <w:rPr>
          <w:u w:val="single"/>
        </w:rPr>
        <w:t>What does biopolitics look like on the contemporary</w:t>
      </w:r>
      <w:r w:rsidRPr="00511E26">
        <w:rPr>
          <w:sz w:val="16"/>
        </w:rPr>
        <w:t>∂</w:t>
      </w:r>
      <w:r w:rsidRPr="00511E26">
        <w:rPr>
          <w:u w:val="single"/>
        </w:rPr>
        <w:t xml:space="preserve"> political landscape?</w:t>
      </w:r>
      <w:r w:rsidRPr="00511E26">
        <w:rPr>
          <w:sz w:val="16"/>
        </w:rPr>
        <w:t xml:space="preserve"> This section offers several brief∂ comments on selected </w:t>
      </w:r>
      <w:r w:rsidRPr="00511E26">
        <w:rPr>
          <w:u w:val="single"/>
        </w:rPr>
        <w:t>biopolitical issues</w:t>
      </w:r>
      <w:r w:rsidRPr="00511E26">
        <w:rPr>
          <w:sz w:val="16"/>
        </w:rPr>
        <w:t xml:space="preserve"> that have∂ emerged as politically or socially significant in the∂ twenty-first century. This is far from an exhaustive list;∂ the issues discussed here have been chosen because they∂ are widely recognized as politically salient, </w:t>
      </w:r>
      <w:r w:rsidRPr="00511E26">
        <w:rPr>
          <w:u w:val="single"/>
        </w:rPr>
        <w:t>have triggered</w:t>
      </w:r>
      <w:r w:rsidRPr="00511E26">
        <w:rPr>
          <w:sz w:val="16"/>
        </w:rPr>
        <w:t>∂</w:t>
      </w:r>
      <w:r w:rsidRPr="00511E26">
        <w:rPr>
          <w:u w:val="single"/>
        </w:rPr>
        <w:t xml:space="preserve"> legislation or judicial decisions, or have been engaged</w:t>
      </w:r>
      <w:r w:rsidRPr="00511E26">
        <w:rPr>
          <w:sz w:val="16"/>
        </w:rPr>
        <w:t>∂</w:t>
      </w:r>
      <w:r w:rsidRPr="00511E26">
        <w:rPr>
          <w:u w:val="single"/>
        </w:rPr>
        <w:t xml:space="preserve"> by public-interest organizations and civil-society</w:t>
      </w:r>
      <w:r w:rsidRPr="00511E26">
        <w:rPr>
          <w:sz w:val="16"/>
        </w:rPr>
        <w:t>∂</w:t>
      </w:r>
      <w:r w:rsidRPr="00511E26">
        <w:rPr>
          <w:u w:val="single"/>
        </w:rPr>
        <w:t xml:space="preserve"> constituencies</w:t>
      </w:r>
      <w:r w:rsidRPr="00511E26">
        <w:rPr>
          <w:sz w:val="16"/>
        </w:rPr>
        <w:t>.</w:t>
      </w:r>
    </w:p>
    <w:p w14:paraId="3AE61D66" w14:textId="77777777" w:rsidR="006C0B77" w:rsidRPr="00511E26" w:rsidRDefault="006C0B77" w:rsidP="006C0B77">
      <w:pPr>
        <w:rPr>
          <w:sz w:val="16"/>
        </w:rPr>
      </w:pPr>
    </w:p>
    <w:p w14:paraId="2902B303" w14:textId="77777777" w:rsidR="006C0B77" w:rsidRDefault="006C0B77" w:rsidP="006C0B77">
      <w:pPr>
        <w:pStyle w:val="Heading3"/>
        <w:rPr>
          <w:rFonts w:eastAsiaTheme="minorHAnsi"/>
        </w:rPr>
      </w:pPr>
      <w:r>
        <w:rPr>
          <w:rFonts w:eastAsiaTheme="minorHAnsi"/>
        </w:rPr>
        <w:t>Democracy</w:t>
      </w:r>
    </w:p>
    <w:p w14:paraId="679A5593" w14:textId="77777777" w:rsidR="006C0B77" w:rsidRPr="00464679" w:rsidRDefault="006C0B77" w:rsidP="006C0B77">
      <w:pPr>
        <w:pStyle w:val="Heading4"/>
        <w:rPr>
          <w:rFonts w:cs="Calibri"/>
        </w:rPr>
      </w:pPr>
      <w:r w:rsidRPr="00464679">
        <w:rPr>
          <w:rFonts w:cs="Calibri"/>
        </w:rPr>
        <w:t xml:space="preserve">Biopolitics subjugates populations through abusive regulatory practices, framing controlling policy under the guise of liberal democracy as a means of “fiscal optimization” through which to strengthen control societies. </w:t>
      </w:r>
    </w:p>
    <w:p w14:paraId="26D1E04A" w14:textId="77777777" w:rsidR="006C0B77" w:rsidRPr="001444C9" w:rsidRDefault="006C0B77" w:rsidP="006C0B77">
      <w:pPr>
        <w:rPr>
          <w:color w:val="000000"/>
          <w:shd w:val="clear" w:color="auto" w:fill="FFFFFF"/>
        </w:rPr>
      </w:pPr>
      <w:r w:rsidRPr="00464679">
        <w:rPr>
          <w:rStyle w:val="Style13ptBold"/>
          <w:iCs/>
        </w:rPr>
        <w:t>Sfetcu 2022</w:t>
      </w:r>
      <w:r w:rsidRPr="00464679">
        <w:rPr>
          <w:rStyle w:val="Style13ptBold"/>
          <w:sz w:val="16"/>
        </w:rPr>
        <w:t xml:space="preserve"> </w:t>
      </w:r>
      <w:r w:rsidRPr="001444C9">
        <w:rPr>
          <w:color w:val="000000"/>
          <w:shd w:val="clear" w:color="auto" w:fill="FFFFFF"/>
        </w:rPr>
        <w:t xml:space="preserve">[Nicolae, Researcher at The Romanian Academy, November 2022, , “Biopolitics and Geopolitics” IV Romanian Committee for the History and Philosophy of Science and Technology Telework, </w:t>
      </w:r>
      <w:r w:rsidRPr="001444C9">
        <w:rPr>
          <w:shd w:val="clear" w:color="auto" w:fill="FFFFFF"/>
        </w:rPr>
        <w:t>https://www.telework.ro/en/biopolitics-and-geopolitics/]</w:t>
      </w:r>
    </w:p>
    <w:p w14:paraId="5C964256" w14:textId="77777777" w:rsidR="006C0B77" w:rsidRPr="001444C9" w:rsidRDefault="006C0B77" w:rsidP="006C0B77">
      <w:pPr>
        <w:rPr>
          <w:sz w:val="16"/>
        </w:rPr>
      </w:pPr>
      <w:r w:rsidRPr="001D0A07">
        <w:rPr>
          <w:rStyle w:val="Heading3Char"/>
          <w:rFonts w:cs="Calibri"/>
          <w:sz w:val="22"/>
          <w:szCs w:val="22"/>
        </w:rPr>
        <w:t>Biopolitics</w:t>
      </w:r>
      <w:r w:rsidRPr="001444C9">
        <w:rPr>
          <w:sz w:val="16"/>
        </w:rPr>
        <w:t xml:space="preserve"> and Geopolitics Biopower </w:t>
      </w:r>
      <w:r w:rsidRPr="001D0A07">
        <w:rPr>
          <w:rStyle w:val="Heading3Char"/>
          <w:rFonts w:cs="Calibri"/>
          <w:sz w:val="22"/>
          <w:szCs w:val="22"/>
        </w:rPr>
        <w:t>is</w:t>
      </w:r>
      <w:r w:rsidRPr="001444C9">
        <w:rPr>
          <w:sz w:val="16"/>
        </w:rPr>
        <w:t xml:space="preserve"> a term coined by Michel Foucault, referring to the practice of modern nation states by "</w:t>
      </w:r>
      <w:r w:rsidRPr="001D0A07">
        <w:rPr>
          <w:rStyle w:val="Heading3Char"/>
          <w:rFonts w:cs="Calibri"/>
          <w:b w:val="0"/>
          <w:sz w:val="22"/>
          <w:szCs w:val="22"/>
        </w:rPr>
        <w:t xml:space="preserve">an explosion of numerous and diverse techniques for achieving </w:t>
      </w:r>
      <w:r w:rsidRPr="001D0A07">
        <w:rPr>
          <w:rStyle w:val="Heading3Char"/>
          <w:rFonts w:cs="Calibri"/>
          <w:sz w:val="22"/>
          <w:szCs w:val="22"/>
        </w:rPr>
        <w:t>the subjugations of bodies and</w:t>
      </w:r>
      <w:r w:rsidRPr="001D0A07">
        <w:rPr>
          <w:rStyle w:val="Heading3Char"/>
          <w:rFonts w:cs="Calibri"/>
          <w:b w:val="0"/>
          <w:sz w:val="22"/>
          <w:szCs w:val="22"/>
        </w:rPr>
        <w:t xml:space="preserve"> the </w:t>
      </w:r>
      <w:r w:rsidRPr="001D0A07">
        <w:rPr>
          <w:rStyle w:val="Heading3Char"/>
          <w:rFonts w:cs="Calibri"/>
          <w:sz w:val="22"/>
          <w:szCs w:val="22"/>
        </w:rPr>
        <w:t>control of populations</w:t>
      </w:r>
      <w:r w:rsidRPr="001444C9">
        <w:rPr>
          <w:sz w:val="16"/>
        </w:rPr>
        <w:t>". (Foucault 1990, 140</w:t>
      </w:r>
      <w:r w:rsidRPr="001D0A07">
        <w:rPr>
          <w:u w:val="single"/>
        </w:rPr>
        <w:t xml:space="preserve">) Foucault </w:t>
      </w:r>
      <w:r w:rsidRPr="001D0A07">
        <w:rPr>
          <w:rStyle w:val="Heading3Char"/>
          <w:rFonts w:cs="Calibri"/>
          <w:b w:val="0"/>
          <w:sz w:val="22"/>
          <w:szCs w:val="22"/>
        </w:rPr>
        <w:t>used</w:t>
      </w:r>
      <w:r w:rsidRPr="001D0A07">
        <w:rPr>
          <w:u w:val="single"/>
        </w:rPr>
        <w:t xml:space="preserve"> the term </w:t>
      </w:r>
      <w:r w:rsidRPr="001D0A07">
        <w:rPr>
          <w:rStyle w:val="Heading3Char"/>
          <w:rFonts w:cs="Calibri"/>
          <w:b w:val="0"/>
          <w:sz w:val="22"/>
          <w:szCs w:val="22"/>
        </w:rPr>
        <w:t>to refer specifically to public health practices, among other regulatory mechanisms</w:t>
      </w:r>
      <w:r w:rsidRPr="001D0A07">
        <w:rPr>
          <w:u w:val="single"/>
        </w:rPr>
        <w:t xml:space="preserve">. Biopower </w:t>
      </w:r>
      <w:r w:rsidRPr="001D0A07">
        <w:rPr>
          <w:rStyle w:val="Heading3Char"/>
          <w:rFonts w:cs="Calibri"/>
          <w:sz w:val="22"/>
          <w:szCs w:val="22"/>
        </w:rPr>
        <w:t>control</w:t>
      </w:r>
      <w:r w:rsidRPr="001D0A07">
        <w:rPr>
          <w:u w:val="single"/>
        </w:rPr>
        <w:t xml:space="preserve"> people in large groups, </w:t>
      </w:r>
      <w:r w:rsidRPr="001D0A07">
        <w:rPr>
          <w:rStyle w:val="Heading3Char"/>
          <w:rFonts w:cs="Calibri"/>
          <w:sz w:val="22"/>
          <w:szCs w:val="22"/>
        </w:rPr>
        <w:t>through</w:t>
      </w:r>
      <w:r w:rsidRPr="001D0A07">
        <w:rPr>
          <w:u w:val="single"/>
        </w:rPr>
        <w:t xml:space="preserve"> an anatomo-politics of the human body, and biopolitics of the population through </w:t>
      </w:r>
      <w:r w:rsidRPr="001D0A07">
        <w:rPr>
          <w:rStyle w:val="Heading3Char"/>
          <w:rFonts w:cs="Calibri"/>
          <w:sz w:val="22"/>
          <w:szCs w:val="22"/>
        </w:rPr>
        <w:t>social institutions</w:t>
      </w:r>
      <w:r w:rsidRPr="001D0A07">
        <w:rPr>
          <w:rStyle w:val="Heading3Char"/>
          <w:rFonts w:cs="Calibri"/>
          <w:b w:val="0"/>
          <w:sz w:val="22"/>
          <w:szCs w:val="22"/>
        </w:rPr>
        <w:t xml:space="preserve"> of discipline</w:t>
      </w:r>
      <w:r w:rsidRPr="001444C9">
        <w:rPr>
          <w:sz w:val="16"/>
        </w:rPr>
        <w:t>. Power is codified in both social practices and human behavior, as the human subject gradually accepts subtle regulations and expectations of the social order, (Policante 2010) "an explosion of many and varied techniques for achieving the subjugation of bodies and the control of populations": (Foucault 1990, 140) "</w:t>
      </w:r>
      <w:r w:rsidRPr="001D0A07">
        <w:rPr>
          <w:u w:val="single"/>
        </w:rPr>
        <w:t xml:space="preserve">By this I mean a number of phenomena that seem to me to be quite significant, namely, the set of mechanisms through which the basic biological features of the </w:t>
      </w:r>
      <w:r w:rsidRPr="001D0A07">
        <w:rPr>
          <w:rStyle w:val="Heading3Char"/>
          <w:rFonts w:cs="Calibri"/>
          <w:sz w:val="22"/>
          <w:szCs w:val="22"/>
        </w:rPr>
        <w:t>human species became</w:t>
      </w:r>
      <w:r w:rsidRPr="001D0A07">
        <w:rPr>
          <w:rStyle w:val="Heading3Char"/>
          <w:rFonts w:cs="Calibri"/>
          <w:b w:val="0"/>
          <w:sz w:val="22"/>
          <w:szCs w:val="22"/>
        </w:rPr>
        <w:t xml:space="preserve"> the object of a </w:t>
      </w:r>
      <w:r w:rsidRPr="001D0A07">
        <w:rPr>
          <w:rStyle w:val="Heading3Char"/>
          <w:rFonts w:cs="Calibri"/>
          <w:sz w:val="22"/>
          <w:szCs w:val="22"/>
        </w:rPr>
        <w:t>political strategy</w:t>
      </w:r>
      <w:r w:rsidRPr="001D0A07">
        <w:rPr>
          <w:u w:val="single"/>
        </w:rPr>
        <w:t>, of a general strategy of power, or, in other words, how, starting from the 18th century, modern Western societies took on board the fundamental biological fact that human beings are a species. This is what I have called biopower."</w:t>
      </w:r>
      <w:r w:rsidRPr="001444C9">
        <w:rPr>
          <w:sz w:val="16"/>
        </w:rPr>
        <w:t xml:space="preserve"> (Foucault et al. 2009, 1) A specific way of applying biopower is what Foucault calls “</w:t>
      </w:r>
      <w:r w:rsidRPr="001D0A07">
        <w:rPr>
          <w:rStyle w:val="Heading3Char"/>
          <w:rFonts w:cs="Calibri"/>
          <w:b w:val="0"/>
          <w:sz w:val="22"/>
          <w:szCs w:val="22"/>
        </w:rPr>
        <w:t>massifying</w:t>
      </w:r>
      <w:r w:rsidRPr="001444C9">
        <w:rPr>
          <w:sz w:val="16"/>
        </w:rPr>
        <w:t xml:space="preserve">”, (Foucault et al. 2009, 55–86) which </w:t>
      </w:r>
      <w:r w:rsidRPr="001D0A07">
        <w:rPr>
          <w:rStyle w:val="Heading3Char"/>
          <w:rFonts w:cs="Calibri"/>
          <w:b w:val="0"/>
          <w:sz w:val="22"/>
          <w:szCs w:val="22"/>
        </w:rPr>
        <w:t>uses</w:t>
      </w:r>
      <w:r w:rsidRPr="001444C9">
        <w:rPr>
          <w:sz w:val="16"/>
        </w:rPr>
        <w:t xml:space="preserve"> scientific apparatus and equipment. This anatomo-politics of the human body correlates with the </w:t>
      </w:r>
      <w:r w:rsidRPr="001D0A07">
        <w:rPr>
          <w:rStyle w:val="Heading3Char"/>
          <w:rFonts w:cs="Calibri"/>
          <w:b w:val="0"/>
          <w:sz w:val="22"/>
          <w:szCs w:val="22"/>
        </w:rPr>
        <w:t>new knowledge of science and technology</w:t>
      </w:r>
      <w:r w:rsidRPr="001D0A07">
        <w:rPr>
          <w:rStyle w:val="Heading3Char"/>
          <w:rFonts w:cs="Calibri"/>
          <w:sz w:val="22"/>
          <w:szCs w:val="22"/>
        </w:rPr>
        <w:t xml:space="preserve"> under the guise of a liberal democracy</w:t>
      </w:r>
      <w:r w:rsidRPr="001444C9">
        <w:rPr>
          <w:sz w:val="16"/>
        </w:rPr>
        <w:t xml:space="preserve">, where </w:t>
      </w:r>
      <w:r w:rsidRPr="001D0A07">
        <w:rPr>
          <w:rStyle w:val="Heading3Char"/>
          <w:rFonts w:cs="Calibri"/>
          <w:sz w:val="22"/>
          <w:szCs w:val="22"/>
        </w:rPr>
        <w:t>life</w:t>
      </w:r>
      <w:r w:rsidRPr="001444C9">
        <w:rPr>
          <w:sz w:val="16"/>
        </w:rPr>
        <w:t xml:space="preserve"> itself </w:t>
      </w:r>
      <w:r w:rsidRPr="001D0A07">
        <w:rPr>
          <w:rStyle w:val="Heading3Char"/>
          <w:rFonts w:cs="Calibri"/>
          <w:sz w:val="22"/>
          <w:szCs w:val="22"/>
        </w:rPr>
        <w:t>becomes</w:t>
      </w:r>
      <w:r w:rsidRPr="001D0A07">
        <w:rPr>
          <w:rStyle w:val="Heading3Char"/>
          <w:rFonts w:cs="Calibri"/>
          <w:b w:val="0"/>
          <w:sz w:val="22"/>
          <w:szCs w:val="22"/>
        </w:rPr>
        <w:t xml:space="preserve"> a deliberate political strategy and </w:t>
      </w:r>
      <w:r w:rsidRPr="001D0A07">
        <w:rPr>
          <w:rStyle w:val="Heading3Char"/>
          <w:rFonts w:cs="Calibri"/>
          <w:sz w:val="22"/>
          <w:szCs w:val="22"/>
        </w:rPr>
        <w:t>an economic, political</w:t>
      </w:r>
      <w:r w:rsidRPr="001444C9">
        <w:rPr>
          <w:sz w:val="16"/>
        </w:rPr>
        <w:t xml:space="preserve"> and scientific </w:t>
      </w:r>
      <w:r w:rsidRPr="001D0A07">
        <w:rPr>
          <w:rStyle w:val="Heading3Char"/>
          <w:rFonts w:cs="Calibri"/>
          <w:sz w:val="22"/>
          <w:szCs w:val="22"/>
        </w:rPr>
        <w:t>problem</w:t>
      </w:r>
      <w:r w:rsidRPr="001444C9">
        <w:rPr>
          <w:sz w:val="16"/>
        </w:rPr>
        <w:t xml:space="preserve">, to which the nation state is coupled. (Foucault et al. 2009) </w:t>
      </w:r>
      <w:r w:rsidRPr="001D0A07">
        <w:rPr>
          <w:b/>
          <w:bCs/>
          <w:u w:val="single"/>
        </w:rPr>
        <w:t xml:space="preserve">Foucault argues that while the stated purpose of biopower is to maximize life, it also has a dark side: when the stakes are life itself, anything can be justified by the state, thus being able to easily eliminate groups identified as threatening the life of the nation, or of humanity. </w:t>
      </w:r>
      <w:r w:rsidRPr="001444C9">
        <w:rPr>
          <w:sz w:val="16"/>
        </w:rPr>
        <w:t xml:space="preserve">(Foucault 1990, 137) Foucault draws attention to what he calls the major political and social project, namely the "milieu intérieur" (inner environment), as a support for the truths uttered by the authorities. In the modern version, </w:t>
      </w:r>
      <w:r w:rsidRPr="001D0A07">
        <w:rPr>
          <w:rStyle w:val="Heading3Char"/>
          <w:rFonts w:cs="Calibri"/>
          <w:sz w:val="22"/>
          <w:szCs w:val="22"/>
        </w:rPr>
        <w:t>the government is</w:t>
      </w:r>
      <w:r w:rsidRPr="001444C9">
        <w:rPr>
          <w:sz w:val="16"/>
        </w:rPr>
        <w:t xml:space="preserve"> thus </w:t>
      </w:r>
      <w:r w:rsidRPr="001D0A07">
        <w:rPr>
          <w:rStyle w:val="Heading3Char"/>
          <w:rFonts w:cs="Calibri"/>
          <w:sz w:val="22"/>
          <w:szCs w:val="22"/>
        </w:rPr>
        <w:t>presented</w:t>
      </w:r>
      <w:r w:rsidRPr="001444C9">
        <w:rPr>
          <w:sz w:val="16"/>
        </w:rPr>
        <w:t xml:space="preserve"> to the population </w:t>
      </w:r>
      <w:r w:rsidRPr="001D0A07">
        <w:rPr>
          <w:rStyle w:val="Heading3Char"/>
          <w:rFonts w:cs="Calibri"/>
          <w:b w:val="0"/>
          <w:sz w:val="22"/>
          <w:szCs w:val="22"/>
        </w:rPr>
        <w:t xml:space="preserve">in the media </w:t>
      </w:r>
      <w:r w:rsidRPr="001D0A07">
        <w:rPr>
          <w:rStyle w:val="Heading3Char"/>
          <w:rFonts w:cs="Calibri"/>
          <w:sz w:val="22"/>
          <w:szCs w:val="22"/>
        </w:rPr>
        <w:t>as a means of</w:t>
      </w:r>
      <w:r w:rsidRPr="001444C9">
        <w:rPr>
          <w:sz w:val="16"/>
        </w:rPr>
        <w:t xml:space="preserve"> efficiency, </w:t>
      </w:r>
      <w:r w:rsidRPr="001D0A07">
        <w:rPr>
          <w:rStyle w:val="Heading3Char"/>
          <w:rFonts w:cs="Calibri"/>
          <w:sz w:val="22"/>
          <w:szCs w:val="22"/>
        </w:rPr>
        <w:t>fiscal optimization</w:t>
      </w:r>
      <w:r w:rsidRPr="001444C9">
        <w:rPr>
          <w:sz w:val="16"/>
        </w:rPr>
        <w:t>, political responsibility and rigor, forming a public discourse of government solidarity and social consensus. (Foucault et al. 2009, 283) Biopolitics is a concept that takes into account the management of the life and populations of a governed region. According to Foucault, biopolitics is "</w:t>
      </w:r>
      <w:r w:rsidRPr="001D0A07">
        <w:rPr>
          <w:rStyle w:val="Heading3Char"/>
          <w:rFonts w:cs="Calibri"/>
          <w:sz w:val="22"/>
          <w:szCs w:val="22"/>
        </w:rPr>
        <w:t>to ensure, sustain, and multiply life, to put this life in order.</w:t>
      </w:r>
      <w:r w:rsidRPr="001444C9">
        <w:rPr>
          <w:sz w:val="16"/>
        </w:rPr>
        <w:t xml:space="preserve">" (Foucault 1990) In political science, the term has two different meanings: a poststructuralist one identical to the meaning attributed by Michel Foucault (denoting social and political power over life), and another that refers to biological studies and political science. (Liesen and Walsh 2011) </w:t>
      </w:r>
      <w:r w:rsidRPr="001D0A07">
        <w:rPr>
          <w:rStyle w:val="Heading3Char"/>
          <w:rFonts w:cs="Calibri"/>
          <w:b w:val="0"/>
          <w:sz w:val="22"/>
          <w:szCs w:val="22"/>
        </w:rPr>
        <w:t xml:space="preserve">Foucault speaks </w:t>
      </w:r>
      <w:r w:rsidRPr="001D0A07">
        <w:rPr>
          <w:rStyle w:val="Heading3Char"/>
          <w:rFonts w:cs="Calibri"/>
          <w:sz w:val="22"/>
          <w:szCs w:val="22"/>
        </w:rPr>
        <w:t>of a style of government that regulates populations through "biopower" in all aspects of human life</w:t>
      </w:r>
      <w:r w:rsidRPr="001444C9">
        <w:rPr>
          <w:sz w:val="16"/>
        </w:rPr>
        <w:t xml:space="preserve">. (Foucault et al. 2009, 1) </w:t>
      </w:r>
    </w:p>
    <w:p w14:paraId="0B7BB3B7" w14:textId="77777777" w:rsidR="006C0B77" w:rsidRDefault="006C0B77" w:rsidP="006C0B77">
      <w:pPr>
        <w:pStyle w:val="Heading3"/>
      </w:pPr>
      <w:r>
        <w:t>Infrastructure</w:t>
      </w:r>
    </w:p>
    <w:p w14:paraId="23AA181F" w14:textId="77777777" w:rsidR="006C0B77" w:rsidRPr="00583E2E" w:rsidRDefault="006C0B77" w:rsidP="006C0B77">
      <w:pPr>
        <w:pStyle w:val="Heading4"/>
      </w:pPr>
      <w:r w:rsidRPr="00583E2E">
        <w:t xml:space="preserve">Infrastructure is a means to control and organize life through far-reaching technological systems. </w:t>
      </w:r>
    </w:p>
    <w:p w14:paraId="4F6C3048" w14:textId="77777777" w:rsidR="006C0B77" w:rsidRPr="001444C9" w:rsidRDefault="006C0B77" w:rsidP="006C0B77">
      <w:r w:rsidRPr="00583E2E">
        <w:rPr>
          <w:b/>
          <w:bCs/>
          <w:sz w:val="26"/>
          <w:szCs w:val="26"/>
        </w:rPr>
        <w:t>Larkin ’13</w:t>
      </w:r>
      <w:r w:rsidRPr="001444C9">
        <w:t xml:space="preserve">, (Brian Larkin Brian Larkin is the Director of Graduate Studies and a Professor of Anthropology at Barnard College, Columbia University, “The Politics and Poetics of Infrastructure,” Annual Anthropological Review, 8-21-2013, </w:t>
      </w:r>
      <w:r w:rsidRPr="00ED7B4B">
        <w:t>https://www.annualreviews.org/doi/pdf/10.1146/annurev-anthro-092412-155522</w:t>
      </w:r>
      <w:r w:rsidRPr="001444C9">
        <w:t>) @ehatt + [A.G]</w:t>
      </w:r>
    </w:p>
    <w:p w14:paraId="04851DE4" w14:textId="77777777" w:rsidR="006C0B77" w:rsidRPr="00FA565D" w:rsidRDefault="006C0B77" w:rsidP="006C0B77">
      <w:pPr>
        <w:rPr>
          <w:sz w:val="16"/>
        </w:rPr>
      </w:pPr>
      <w:r w:rsidRPr="001444C9">
        <w:rPr>
          <w:sz w:val="16"/>
        </w:rPr>
        <w:t xml:space="preserve">For some time now, scholars in science and technology </w:t>
      </w:r>
      <w:r w:rsidRPr="00583E2E">
        <w:rPr>
          <w:rStyle w:val="StyleUnderline"/>
        </w:rPr>
        <w:t xml:space="preserve">studies and geography have analyzed how infrastructures mediate exchange over distance, bringing different people, objects, and spaces into interaction and </w:t>
      </w:r>
      <w:r w:rsidRPr="00583E2E">
        <w:rPr>
          <w:rStyle w:val="Emphasis"/>
        </w:rPr>
        <w:t>forming the base on which to operate modern economic and social systems</w:t>
      </w:r>
      <w:r w:rsidRPr="001444C9">
        <w:rPr>
          <w:sz w:val="16"/>
        </w:rPr>
        <w:t xml:space="preserve"> (Graham &amp; Marvin 1996, 2001; Lefebvre 1991). Graham &amp; Marvin (1996) have written a series of influential works examining how </w:t>
      </w:r>
      <w:r w:rsidRPr="00583E2E">
        <w:rPr>
          <w:rStyle w:val="StyleUnderline"/>
        </w:rPr>
        <w:t>new systems of telecommunications are reconfiguring urban space</w:t>
      </w:r>
      <w:r w:rsidRPr="001444C9">
        <w:rPr>
          <w:sz w:val="16"/>
        </w:rPr>
        <w:t xml:space="preserve"> and how </w:t>
      </w:r>
      <w:r w:rsidRPr="00583E2E">
        <w:rPr>
          <w:rStyle w:val="StyleUnderline"/>
        </w:rPr>
        <w:t xml:space="preserve">infrastructures bundle together water, energy, people, and streets into a series of </w:t>
      </w:r>
      <w:r w:rsidRPr="00583E2E">
        <w:rPr>
          <w:rStyle w:val="Emphasis"/>
        </w:rPr>
        <w:t>networked infrastructures</w:t>
      </w:r>
      <w:r w:rsidRPr="00583E2E">
        <w:rPr>
          <w:rStyle w:val="StyleUnderline"/>
        </w:rPr>
        <w:t xml:space="preserve"> that </w:t>
      </w:r>
      <w:r w:rsidRPr="00583E2E">
        <w:rPr>
          <w:rStyle w:val="Emphasis"/>
        </w:rPr>
        <w:t>define modern life</w:t>
      </w:r>
      <w:r w:rsidRPr="001444C9">
        <w:rPr>
          <w:sz w:val="16"/>
        </w:rPr>
        <w:t xml:space="preserve"> (2001). The </w:t>
      </w:r>
      <w:r w:rsidRPr="00583E2E">
        <w:rPr>
          <w:rStyle w:val="StyleUnderline"/>
        </w:rPr>
        <w:t>emphasis</w:t>
      </w:r>
      <w:r w:rsidRPr="001444C9">
        <w:rPr>
          <w:sz w:val="16"/>
        </w:rPr>
        <w:t xml:space="preserve"> here </w:t>
      </w:r>
      <w:r w:rsidRPr="00583E2E">
        <w:rPr>
          <w:rStyle w:val="StyleUnderline"/>
        </w:rPr>
        <w:t>is on the formation of</w:t>
      </w:r>
      <w:r w:rsidRPr="001444C9">
        <w:rPr>
          <w:sz w:val="16"/>
        </w:rPr>
        <w:t xml:space="preserve"> what Hughes (1987, 1993) terms </w:t>
      </w:r>
      <w:r w:rsidRPr="00583E2E">
        <w:rPr>
          <w:rStyle w:val="Emphasis"/>
        </w:rPr>
        <w:t>large-scale technical systems</w:t>
      </w:r>
      <w:r w:rsidRPr="00583E2E">
        <w:rPr>
          <w:rStyle w:val="StyleUnderline"/>
        </w:rPr>
        <w:t xml:space="preserve">, the massive </w:t>
      </w:r>
      <w:r w:rsidRPr="00583E2E">
        <w:rPr>
          <w:rStyle w:val="Emphasis"/>
        </w:rPr>
        <w:t>infrastructural networks</w:t>
      </w:r>
      <w:r w:rsidRPr="00583E2E">
        <w:rPr>
          <w:rStyle w:val="StyleUnderline"/>
        </w:rPr>
        <w:t xml:space="preserve"> that have come to </w:t>
      </w:r>
      <w:r w:rsidRPr="00583E2E">
        <w:rPr>
          <w:rStyle w:val="Emphasis"/>
        </w:rPr>
        <w:t>organize everyday life</w:t>
      </w:r>
      <w:r w:rsidRPr="00583E2E">
        <w:rPr>
          <w:rStyle w:val="StyleUnderline"/>
        </w:rPr>
        <w:t>.</w:t>
      </w:r>
      <w:r w:rsidRPr="001444C9">
        <w:rPr>
          <w:sz w:val="16"/>
        </w:rPr>
        <w:t xml:space="preserve"> Hughes (1987, 1993) and those coming in his wake (Bijker 1997; Bijker et al. 1987; Bowker &amp; Star 2000; Edwards 1997, 2003; Edwards et al. 2009; Hecht 2011; Jackson et al. 2007; Star &amp; Ruhleder 1996; Yates 1993) argue that infrastructures typically begin as a series of small, independent technologies with widely varying technical standards. They become </w:t>
      </w:r>
      <w:r w:rsidRPr="00583E2E">
        <w:rPr>
          <w:rStyle w:val="StyleUnderline"/>
        </w:rPr>
        <w:t>infrastructures when either one technological system comes to dominate over others or when independent systems converge into a network</w:t>
      </w:r>
      <w:r w:rsidRPr="001444C9">
        <w:rPr>
          <w:sz w:val="16"/>
        </w:rPr>
        <w:t xml:space="preserve">. For Hughes, as a systems thinker, the ontology of a technology is composed of elements internal to the object itself but is formed as part of a system. The invention of the Edison light bulb, for instance, simultaneously involved the invention of the Edison Jumbo Generator and the Edison Main and Feeder. It innovated financial instruments and management structures necessary to accommodate a rapidly expanding corporation. The light bulb in this conception does not develop from an unfolding of elements internal to the technology itself—an assemblage of glass, filament, and vacuum—as some theories of technics would have it. Rather, as an </w:t>
      </w:r>
      <w:r w:rsidRPr="00583E2E">
        <w:rPr>
          <w:rStyle w:val="StyleUnderline"/>
        </w:rPr>
        <w:t>infrastructure</w:t>
      </w:r>
      <w:r w:rsidRPr="001444C9">
        <w:rPr>
          <w:sz w:val="16"/>
        </w:rPr>
        <w:t xml:space="preserve"> it </w:t>
      </w:r>
      <w:r w:rsidRPr="00583E2E">
        <w:rPr>
          <w:rStyle w:val="StyleUnderline"/>
        </w:rPr>
        <w:t>is an amalgam of technical, administrative, and financial techniques</w:t>
      </w:r>
      <w:r w:rsidRPr="001444C9">
        <w:rPr>
          <w:sz w:val="16"/>
        </w:rPr>
        <w:t xml:space="preserve">. Two major insights that emerge from this work are of central importance to anthropology. Placing the system at the center of analysis decenters a focus on technology and offers a more synthetic perspective, bringing into our conception of machines all sorts of nontechnological elements. For Hughes, a holding company or an accounting practice is as much a technical invention as is a dynamo or a telephone, and all are essential to producing an infrastructural system. Second, the focus is on system building. </w:t>
      </w:r>
      <w:r w:rsidRPr="00583E2E">
        <w:rPr>
          <w:rStyle w:val="StyleUnderline"/>
        </w:rPr>
        <w:t>A technical system originates in one place, growing in response to particular ecological, legal, political, and industrial techniques</w:t>
      </w:r>
      <w:r w:rsidRPr="001444C9">
        <w:rPr>
          <w:sz w:val="16"/>
        </w:rPr>
        <w:t xml:space="preserve"> native to that area. But </w:t>
      </w:r>
      <w:r w:rsidRPr="00583E2E">
        <w:rPr>
          <w:rStyle w:val="StyleUnderline"/>
        </w:rPr>
        <w:t xml:space="preserve">as it grows into a networked infrastructure, it must move to other places with differing conditions, technological standards, and legal regulations, elaborating techniques of adaptation and translation. This conception places focus on practices of </w:t>
      </w:r>
      <w:r w:rsidRPr="00583E2E">
        <w:rPr>
          <w:rStyle w:val="Emphasis"/>
        </w:rPr>
        <w:t>routinization and extension</w:t>
      </w:r>
      <w:r w:rsidRPr="001444C9">
        <w:rPr>
          <w:sz w:val="16"/>
        </w:rPr>
        <w:t xml:space="preserve">, requiring an account of translation (which can be technical, but also managerial and financial) as a process inherent to system building. It is no surprise that the scholars coming after Hughes (Bowker &amp; Star 2000, Edwards et al. 2009) drew heavily on actor-network theory and its emphasis on tracing associations between heterogeneous networks (Latour 1996, 2007) and on the necessity of accounting for how translation occurs (Callon 1986, 1998; Latour 1993). This work has been extremely productive for recent anthropological research (Appel 2012a,b; Anand 2011, 2012; Carse 2012; Collier 2011; Collier &amp; Lakoff 2008; Von Schnitzler 2008), as one can see in two excellent recent studies on water supply in Mumbai (Anand 2011, 2012) and Soweto (Von Schnitzler 2008). Anand’s ethnography draws together engineers, political fixers, slum dwellers, politicians, activists, and bureaucrats into a single system through the technical operation of water supply (see also Gandy 2008, Graham et al. 2013). In Mumbai, the density of the population causes water supply to be scarce and periodic. Municipal engineers account for this limitation in technical terms (locating slums on a hilltop, the pressure required to move water great distances), but for slum residents it is an issue of political mobilization. Slums without water engage dadas, powerful patrons who use their connections to pressure elected officials to provide infrastructural connection. In return, the dada rewards those representatives by delivering electoral support. In Anand’s analysis, essentially two infrastructural systems interact: water delivery, with its systems of pipes, engineers, and bureaucracy that make up the technical end of water provision (the aspect of infrastructural supply that constitutes the entire large-scale system for Hughes and others); and the social networks, forms of </w:t>
      </w:r>
      <w:r w:rsidRPr="00583E2E">
        <w:rPr>
          <w:rStyle w:val="StyleUnderline"/>
        </w:rPr>
        <w:t>patron-clientship, and “</w:t>
      </w:r>
      <w:r w:rsidRPr="00583E2E">
        <w:rPr>
          <w:rStyle w:val="Emphasis"/>
        </w:rPr>
        <w:t>phatic labor</w:t>
      </w:r>
      <w:r w:rsidRPr="001444C9">
        <w:rPr>
          <w:sz w:val="16"/>
        </w:rPr>
        <w:t xml:space="preserve">” (Elyachar 2010) that are as important to water delivery as are pumps and pipes. Infrastructure in this sense is a kind of mentality and way of living in the world (Hansen &amp; Verkaaik 2009, Simmel 1972, Simone 2001), and Anand (2011) brings together these two differing conceptions of infrastructure not, in the final instance, to analyze water supply but to reveal the production of what he terms “hydraulic citizenship, a form of belonging to the city enabled by social and material claims made to the city’s water infrastructure” (p. 545). Von Schnitzler (2008), like Anand, sees water supply as revealing a larger logic of citizenship in the postapartheid state in South Africa. But her approach differs by focusing analysis on a specific technology, the water meter, which was introduced as a technical device to monitor water usage and end the problem of wastage in townships. Von Schnitzler traces the technical history of the water meter back to its invention in Britain but then examines how its introduction to South Africa was intended not just to regulate water use but to produce a new sort of citizen. This citizen was one who was responsible, self-monitored his or her own actions, and engaged in practices of calculation. Taking a more biopolitical turn, Von Schnitzler argues that meters do not just regulate water provision; they reveal a strategy of government and, ultimately, produce an ethics. “[C]ouched in a moral-pedagogical language” (Von Schnitzler 2008, p. 906) city officials aimed to reform the culture of township residents (who wasted water) by producing a “calculating subject,” one who switches the tap off when brushing teeth or reuses bath water when flushing the toilet (see also Fennell 2011). The meter, Von Schnitzler argues, delivered moral behavior as well as water. Both Von Schnitzler and Anand demonstrate how the </w:t>
      </w:r>
      <w:r w:rsidRPr="00583E2E">
        <w:rPr>
          <w:rStyle w:val="StyleUnderline"/>
        </w:rPr>
        <w:t>operation of technologies, ostensibly a neutral practice, becomes the grounds around which forms of citizenship are contested</w:t>
      </w:r>
      <w:r w:rsidRPr="001444C9">
        <w:rPr>
          <w:sz w:val="16"/>
        </w:rPr>
        <w:t xml:space="preserve"> (Barry 2001; Joyce 2003; Mitchell 2002, 2011; Otter 2008) </w:t>
      </w:r>
      <w:r w:rsidRPr="00583E2E">
        <w:rPr>
          <w:rStyle w:val="StyleUnderline"/>
        </w:rPr>
        <w:t xml:space="preserve">and where </w:t>
      </w:r>
      <w:r w:rsidRPr="00583E2E">
        <w:rPr>
          <w:rStyle w:val="Emphasis"/>
        </w:rPr>
        <w:t>technological systems</w:t>
      </w:r>
      <w:r w:rsidRPr="00583E2E">
        <w:rPr>
          <w:rStyle w:val="StyleUnderline"/>
        </w:rPr>
        <w:t xml:space="preserve"> are </w:t>
      </w:r>
      <w:r w:rsidRPr="00583E2E">
        <w:rPr>
          <w:rStyle w:val="Emphasis"/>
        </w:rPr>
        <w:t>entangled with</w:t>
      </w:r>
      <w:r w:rsidRPr="00583E2E">
        <w:rPr>
          <w:rStyle w:val="StyleUnderline"/>
        </w:rPr>
        <w:t xml:space="preserve"> other religious and </w:t>
      </w:r>
      <w:r w:rsidRPr="00583E2E">
        <w:rPr>
          <w:rStyle w:val="Emphasis"/>
        </w:rPr>
        <w:t>political</w:t>
      </w:r>
      <w:r w:rsidRPr="00583E2E">
        <w:rPr>
          <w:rStyle w:val="StyleUnderline"/>
        </w:rPr>
        <w:t xml:space="preserve"> domains. Collier</w:t>
      </w:r>
      <w:r w:rsidRPr="001444C9">
        <w:rPr>
          <w:sz w:val="16"/>
        </w:rPr>
        <w:t xml:space="preserve"> (2011</w:t>
      </w:r>
      <w:r w:rsidRPr="00583E2E">
        <w:rPr>
          <w:rStyle w:val="StyleUnderline"/>
        </w:rPr>
        <w:t xml:space="preserve">) adds a twist to this literature by </w:t>
      </w:r>
      <w:r w:rsidRPr="00583E2E">
        <w:rPr>
          <w:rStyle w:val="Emphasis"/>
        </w:rPr>
        <w:t>organizing</w:t>
      </w:r>
      <w:r w:rsidRPr="00583E2E">
        <w:rPr>
          <w:rStyle w:val="StyleUnderline"/>
        </w:rPr>
        <w:t xml:space="preserve"> his </w:t>
      </w:r>
      <w:r w:rsidRPr="00583E2E">
        <w:rPr>
          <w:rStyle w:val="Emphasis"/>
        </w:rPr>
        <w:t>analysis</w:t>
      </w:r>
      <w:r w:rsidRPr="00583E2E">
        <w:rPr>
          <w:rStyle w:val="StyleUnderline"/>
        </w:rPr>
        <w:t xml:space="preserve"> of infrastructures entirely </w:t>
      </w:r>
      <w:r w:rsidRPr="00583E2E">
        <w:rPr>
          <w:rStyle w:val="Emphasis"/>
        </w:rPr>
        <w:t>around the question of the biopolitical</w:t>
      </w:r>
      <w:r w:rsidRPr="001444C9">
        <w:rPr>
          <w:sz w:val="16"/>
        </w:rPr>
        <w:t xml:space="preserve"> (Foucault 2010, 2011). </w:t>
      </w:r>
      <w:r w:rsidRPr="00583E2E">
        <w:rPr>
          <w:rStyle w:val="StyleUnderline"/>
        </w:rPr>
        <w:t>Infrastructures</w:t>
      </w:r>
      <w:r w:rsidRPr="001444C9">
        <w:rPr>
          <w:sz w:val="16"/>
        </w:rPr>
        <w:t xml:space="preserve">, for Collier, </w:t>
      </w:r>
      <w:r w:rsidRPr="00583E2E">
        <w:rPr>
          <w:rStyle w:val="Emphasis"/>
        </w:rPr>
        <w:t>are a mixture of political rationality, administrative techniques, and material systems</w:t>
      </w:r>
      <w:r w:rsidRPr="001444C9">
        <w:rPr>
          <w:sz w:val="16"/>
        </w:rPr>
        <w:t>, and his interest is not in infrastructure per se but in what it tells us about practices of government. Soviet electricity provision, through this lens, is analyzed for how it reveals a system of total planning in a command economy rather than for what it tells us about the effects of electricity on users in Russia. Unlike in the West, electricity supply in Soviet Russia was not regulated by user demand but was an allocation to a particular area decided in advance by technocrats as part of a total system of electricity planning. The post-Soviet transition required a dismantling of this idea of government and a reconceptualizing of society as organized around an individual consumer and his or her demands rather than around a collective assigned a fixed amount of units.</w:t>
      </w:r>
    </w:p>
    <w:p w14:paraId="01D85E3E" w14:textId="77777777" w:rsidR="006C0B77" w:rsidRDefault="006C0B77" w:rsidP="006C0B77">
      <w:pPr>
        <w:pStyle w:val="Heading3"/>
      </w:pPr>
      <w:r>
        <w:t>Environment</w:t>
      </w:r>
    </w:p>
    <w:p w14:paraId="64A41CA7" w14:textId="77777777" w:rsidR="006C0B77" w:rsidRDefault="006C0B77" w:rsidP="006C0B77">
      <w:pPr>
        <w:pStyle w:val="Heading4"/>
      </w:pPr>
      <w:r>
        <w:rPr>
          <w:u w:val="single"/>
        </w:rPr>
        <w:t>Green</w:t>
      </w:r>
      <w:r w:rsidRPr="00900A32">
        <w:rPr>
          <w:u w:val="single"/>
        </w:rPr>
        <w:t xml:space="preserve"> Discipline link</w:t>
      </w:r>
      <w:r>
        <w:t>: The 1AC’s formation of environmental conservation as inextricably tied to concerns of economic growth is an example of the neoliberal state’s masking of disciplinary biopower</w:t>
      </w:r>
    </w:p>
    <w:p w14:paraId="06EC325A" w14:textId="77777777" w:rsidR="006C0B77" w:rsidRPr="001444C9" w:rsidRDefault="006C0B77" w:rsidP="006C0B77">
      <w:pPr>
        <w:pStyle w:val="ListParagraph"/>
        <w:numPr>
          <w:ilvl w:val="0"/>
          <w:numId w:val="46"/>
        </w:numPr>
        <w:rPr>
          <w:sz w:val="16"/>
        </w:rPr>
      </w:pPr>
      <w:r w:rsidRPr="001444C9">
        <w:rPr>
          <w:sz w:val="16"/>
        </w:rPr>
        <w:t>“Natural Capital” is used, under the façade of environmental protection, to turn rural areas into “the camp”</w:t>
      </w:r>
    </w:p>
    <w:p w14:paraId="2E545E98" w14:textId="77777777" w:rsidR="006C0B77" w:rsidRPr="001444C9" w:rsidRDefault="006C0B77" w:rsidP="006C0B77">
      <w:pPr>
        <w:pStyle w:val="ListParagraph"/>
        <w:numPr>
          <w:ilvl w:val="0"/>
          <w:numId w:val="46"/>
        </w:numPr>
        <w:rPr>
          <w:sz w:val="16"/>
        </w:rPr>
      </w:pPr>
      <w:r w:rsidRPr="001444C9">
        <w:rPr>
          <w:sz w:val="16"/>
        </w:rPr>
        <w:t>Environmental incentives are used to control the behavior of farmers as “rational actors,” squeeze productivity out of them and make them live bare life—their agency is controlled by the state controlling what their “self interest” is</w:t>
      </w:r>
    </w:p>
    <w:p w14:paraId="75BDB406" w14:textId="77777777" w:rsidR="006C0B77" w:rsidRPr="001444C9" w:rsidRDefault="006C0B77" w:rsidP="006C0B77">
      <w:pPr>
        <w:rPr>
          <w:b/>
          <w:bCs/>
          <w:sz w:val="16"/>
        </w:rPr>
      </w:pPr>
      <w:r w:rsidRPr="001444C9">
        <w:rPr>
          <w:rStyle w:val="Style13ptBold"/>
        </w:rPr>
        <w:t>Fletcher et. al 19</w:t>
      </w:r>
      <w:r w:rsidRPr="001444C9">
        <w:rPr>
          <w:rStyle w:val="Style13ptBold"/>
          <w:sz w:val="16"/>
        </w:rPr>
        <w:t xml:space="preserve"> </w:t>
      </w:r>
      <w:r w:rsidRPr="001444C9">
        <w:rPr>
          <w:sz w:val="16"/>
        </w:rPr>
        <w:t xml:space="preserve">(Robert Fletcher, Sociology of Development and Change, Wageningen University, Wageningen, Netherlands; Wolfram H. Dressler, School of Geography, The University of Melbourne, Melbourne, Australia; Zachary R. Anderson, Department of Geography and Planning,University of Toronto, Toronto, Canada; Bram Büsch. “Natural capital must be defended: green growth as neoliberal biopolitics,” </w:t>
      </w:r>
      <w:r w:rsidRPr="001444C9">
        <w:rPr>
          <w:i/>
          <w:iCs/>
          <w:sz w:val="16"/>
        </w:rPr>
        <w:t>THE JOURNAL OF PEASANT STUDIES</w:t>
      </w:r>
      <w:r w:rsidRPr="001444C9">
        <w:rPr>
          <w:sz w:val="16"/>
        </w:rPr>
        <w:t xml:space="preserve">. 2019. </w:t>
      </w:r>
      <w:r w:rsidRPr="00ED7B4B">
        <w:t>https://www.tandfonline.com/doi/epdf/10.1080/03066150.2018.1428953?needAccess=true&amp;role=button</w:t>
      </w:r>
      <w:r w:rsidRPr="001444C9">
        <w:rPr>
          <w:sz w:val="16"/>
        </w:rPr>
        <w:t>) @ehatt</w:t>
      </w:r>
    </w:p>
    <w:p w14:paraId="09B03CF9" w14:textId="77777777" w:rsidR="006C0B77" w:rsidRPr="001444C9" w:rsidRDefault="006C0B77" w:rsidP="006C0B77">
      <w:pPr>
        <w:rPr>
          <w:sz w:val="16"/>
        </w:rPr>
      </w:pPr>
      <w:r w:rsidRPr="001444C9">
        <w:rPr>
          <w:sz w:val="16"/>
        </w:rPr>
        <w:t xml:space="preserve">Over the past decade, the </w:t>
      </w:r>
      <w:r w:rsidRPr="00D80AB3">
        <w:rPr>
          <w:rStyle w:val="StyleUnderline"/>
        </w:rPr>
        <w:t>global conservation movement has increasingly embraced</w:t>
      </w:r>
      <w:r>
        <w:rPr>
          <w:rStyle w:val="StyleUnderline"/>
        </w:rPr>
        <w:t xml:space="preserve"> </w:t>
      </w:r>
      <w:r w:rsidRPr="001444C9">
        <w:rPr>
          <w:sz w:val="16"/>
        </w:rPr>
        <w:t>‘</w:t>
      </w:r>
      <w:r w:rsidRPr="00D80AB3">
        <w:rPr>
          <w:rStyle w:val="Emphasis"/>
        </w:rPr>
        <w:t>natural capital</w:t>
      </w:r>
      <w:r w:rsidRPr="001444C9">
        <w:rPr>
          <w:sz w:val="16"/>
        </w:rPr>
        <w:t xml:space="preserve"> accounting’(NCA) </w:t>
      </w:r>
      <w:r w:rsidRPr="00D80AB3">
        <w:rPr>
          <w:rStyle w:val="Emphasis"/>
        </w:rPr>
        <w:t>as a key strategy</w:t>
      </w:r>
      <w:r w:rsidRPr="001444C9">
        <w:rPr>
          <w:sz w:val="16"/>
        </w:rPr>
        <w:t xml:space="preserve"> for environmental protection. Through an </w:t>
      </w:r>
      <w:r w:rsidRPr="00D80AB3">
        <w:rPr>
          <w:rStyle w:val="Emphasis"/>
        </w:rPr>
        <w:t>intricate web of</w:t>
      </w:r>
      <w:r w:rsidRPr="001444C9">
        <w:rPr>
          <w:sz w:val="16"/>
        </w:rPr>
        <w:t xml:space="preserve"> partnerships, </w:t>
      </w:r>
      <w:r w:rsidRPr="00D80AB3">
        <w:rPr>
          <w:rStyle w:val="StyleUnderline"/>
        </w:rPr>
        <w:t>states, private-sector firms and</w:t>
      </w:r>
      <w:r w:rsidRPr="001444C9">
        <w:rPr>
          <w:sz w:val="16"/>
        </w:rPr>
        <w:t xml:space="preserve"> non-governmental organizations (</w:t>
      </w:r>
      <w:r w:rsidRPr="00D80AB3">
        <w:rPr>
          <w:rStyle w:val="StyleUnderline"/>
        </w:rPr>
        <w:t>NGO</w:t>
      </w:r>
      <w:r w:rsidRPr="001444C9">
        <w:rPr>
          <w:sz w:val="16"/>
        </w:rPr>
        <w:t xml:space="preserve">s) have developed a variety of initiatives intended to </w:t>
      </w:r>
      <w:r w:rsidRPr="00D80AB3">
        <w:rPr>
          <w:rStyle w:val="StyleUnderline"/>
        </w:rPr>
        <w:t>assign economic value to ‘ecosystem ser-vices’</w:t>
      </w:r>
      <w:r w:rsidRPr="001444C9">
        <w:rPr>
          <w:sz w:val="16"/>
        </w:rPr>
        <w:t xml:space="preserve"> that are then supposed to be maintained through appropriate pricing and preservation as ‘natural capital’(Sullivan2013  , 2017a). In this way, NCA </w:t>
      </w:r>
      <w:r w:rsidRPr="00D80AB3">
        <w:rPr>
          <w:rStyle w:val="StyleUnderline"/>
        </w:rPr>
        <w:t xml:space="preserve">‘aspires to incorporate all aspects of </w:t>
      </w:r>
      <w:r w:rsidRPr="001444C9">
        <w:rPr>
          <w:sz w:val="16"/>
        </w:rPr>
        <w:t xml:space="preserve">valued external </w:t>
      </w:r>
      <w:r w:rsidRPr="00D80AB3">
        <w:rPr>
          <w:rStyle w:val="StyleUnderline"/>
        </w:rPr>
        <w:t>nature within</w:t>
      </w:r>
      <w:r w:rsidRPr="001444C9">
        <w:rPr>
          <w:sz w:val="16"/>
        </w:rPr>
        <w:t xml:space="preserve"> accounting practices’ consonant ‘with </w:t>
      </w:r>
      <w:r w:rsidRPr="00D80AB3">
        <w:rPr>
          <w:rStyle w:val="StyleUnderline"/>
        </w:rPr>
        <w:t>the contemporary market economy</w:t>
      </w:r>
      <w:r w:rsidRPr="001444C9">
        <w:rPr>
          <w:sz w:val="16"/>
        </w:rPr>
        <w:t xml:space="preserve">’(Sullivan2017b, 397). This campaign </w:t>
      </w:r>
      <w:r w:rsidRPr="0036153B">
        <w:rPr>
          <w:rStyle w:val="StyleUnderline"/>
        </w:rPr>
        <w:t>rests on the assumption that if natural resources can be valued financially,</w:t>
      </w:r>
      <w:r w:rsidRPr="001444C9">
        <w:rPr>
          <w:sz w:val="16"/>
        </w:rPr>
        <w:t xml:space="preserve"> a critical mass of </w:t>
      </w:r>
      <w:r w:rsidRPr="0036153B">
        <w:rPr>
          <w:rStyle w:val="StyleUnderline"/>
        </w:rPr>
        <w:t>people</w:t>
      </w:r>
      <w:r w:rsidRPr="001444C9">
        <w:rPr>
          <w:sz w:val="16"/>
        </w:rPr>
        <w:t>–from global policy-makers to local resource users–</w:t>
      </w:r>
      <w:r w:rsidRPr="0036153B">
        <w:rPr>
          <w:rStyle w:val="StyleUnderline"/>
        </w:rPr>
        <w:t>will be motivated to defend them</w:t>
      </w:r>
      <w:r w:rsidRPr="001444C9">
        <w:rPr>
          <w:sz w:val="16"/>
        </w:rPr>
        <w:t xml:space="preserve">.NCA is </w:t>
      </w:r>
      <w:r w:rsidRPr="0036153B">
        <w:rPr>
          <w:rStyle w:val="StyleUnderline"/>
        </w:rPr>
        <w:t>part of a widespread trend toward neoliberalization</w:t>
      </w:r>
      <w:r w:rsidRPr="001444C9">
        <w:rPr>
          <w:sz w:val="16"/>
        </w:rPr>
        <w:t xml:space="preserve"> within conservation govern-ance evident throughout the world (Büscher, Dressler, and Fletcher2014). This trend pro-motes </w:t>
      </w:r>
      <w:r w:rsidRPr="0036153B">
        <w:rPr>
          <w:rStyle w:val="StyleUnderline"/>
        </w:rPr>
        <w:t>market-based instruments</w:t>
      </w:r>
      <w:r w:rsidRPr="001444C9">
        <w:rPr>
          <w:sz w:val="16"/>
        </w:rPr>
        <w:t xml:space="preserve"> (MBIs) </w:t>
      </w:r>
      <w:r w:rsidRPr="0036153B">
        <w:rPr>
          <w:rStyle w:val="StyleUnderline"/>
        </w:rPr>
        <w:t>for environmental management</w:t>
      </w:r>
      <w:r w:rsidRPr="001444C9">
        <w:rPr>
          <w:sz w:val="16"/>
        </w:rPr>
        <w:t xml:space="preserve"> (e.g. ecotourism, payment for environmental services and </w:t>
      </w:r>
      <w:r w:rsidRPr="007761A4">
        <w:rPr>
          <w:rStyle w:val="Emphasis"/>
        </w:rPr>
        <w:t>carbon markets</w:t>
      </w:r>
      <w:r w:rsidRPr="001444C9">
        <w:rPr>
          <w:sz w:val="16"/>
        </w:rPr>
        <w:t xml:space="preserve">) to </w:t>
      </w:r>
      <w:r w:rsidRPr="007761A4">
        <w:rPr>
          <w:rStyle w:val="StyleUnderline"/>
        </w:rPr>
        <w:t>incentivize ‘stakeholders’ to favor conservation</w:t>
      </w:r>
      <w:r w:rsidRPr="001444C9">
        <w:rPr>
          <w:sz w:val="16"/>
        </w:rPr>
        <w:t xml:space="preserve"> over resource extraction. Strong concerns have been raised about this strategy, questioning its reduction of environmental value to narrow economic measures (Büscher and Fletcher2015), its contribution to ‘green grabbing’ (Fairhead,Leach, and Scoones2012) and how actual investments in MBIs have lagged far behindtheir lofty promises (Dempsey and Suarez2016). Yet while the vision underlying NCA pro-motion has been explored in various ways by ecological economists (e.g. Jansson1994;Costanza et al.1997, 2014) and others (Dempsey2016; Sullivan2017a, 2017b), how this vision is currently materializing within on-the-ground policy and practice has yet to be sys-tematically investigated. As </w:t>
      </w:r>
      <w:r w:rsidRPr="007761A4">
        <w:rPr>
          <w:rStyle w:val="StyleUnderline"/>
        </w:rPr>
        <w:t>NCA is frequently introduced into</w:t>
      </w:r>
      <w:r w:rsidRPr="001444C9">
        <w:rPr>
          <w:sz w:val="16"/>
        </w:rPr>
        <w:t xml:space="preserve"> frontier </w:t>
      </w:r>
      <w:r w:rsidRPr="007761A4">
        <w:rPr>
          <w:rStyle w:val="StyleUnderline"/>
        </w:rPr>
        <w:t>areas harboring rural, resource-dependent populations</w:t>
      </w:r>
      <w:r w:rsidRPr="001444C9">
        <w:rPr>
          <w:sz w:val="16"/>
        </w:rPr>
        <w:t xml:space="preserve">, investigating NCA’s impacts in the context of </w:t>
      </w:r>
      <w:r w:rsidRPr="007761A4">
        <w:rPr>
          <w:rStyle w:val="StyleUnderline"/>
        </w:rPr>
        <w:t>rapidly intensifying agrarian transformations</w:t>
      </w:r>
      <w:r w:rsidRPr="001444C9">
        <w:rPr>
          <w:sz w:val="16"/>
        </w:rPr>
        <w:t xml:space="preserve"> remains critically important. Here we explore two cases in which NCA has been introduced to support biodiversity conservation and carbon sequestration in frontier Southeast Asia through the lens of Foucaultian biopolitics. While </w:t>
      </w:r>
      <w:r w:rsidRPr="004167B3">
        <w:rPr>
          <w:rStyle w:val="Emphasis"/>
        </w:rPr>
        <w:t>conservation governance</w:t>
      </w:r>
      <w:r w:rsidRPr="001444C9">
        <w:rPr>
          <w:sz w:val="16"/>
        </w:rPr>
        <w:t xml:space="preserve"> has been previously analyzed as </w:t>
      </w:r>
      <w:r w:rsidRPr="004167B3">
        <w:rPr>
          <w:rStyle w:val="Emphasis"/>
        </w:rPr>
        <w:t>a form of biopower</w:t>
      </w:r>
      <w:r w:rsidRPr="001444C9">
        <w:rPr>
          <w:sz w:val="16"/>
        </w:rPr>
        <w:t xml:space="preserve"> (Biermann and Mansfield2014), such analysis has not yet engaged with Foucault’s recently published discussion of a specifically neoliberal biopolitics. We argue that </w:t>
      </w:r>
      <w:r w:rsidRPr="004167B3">
        <w:rPr>
          <w:rStyle w:val="Emphasis"/>
        </w:rPr>
        <w:t>NCA represents the intensification of a neoliberal biopolitics</w:t>
      </w:r>
      <w:r w:rsidRPr="001444C9">
        <w:rPr>
          <w:sz w:val="16"/>
        </w:rPr>
        <w:t xml:space="preserve"> in which the </w:t>
      </w:r>
      <w:r w:rsidRPr="004167B3">
        <w:rPr>
          <w:rStyle w:val="Emphasis"/>
        </w:rPr>
        <w:t>central aim to nurture and sustain life</w:t>
      </w:r>
      <w:r w:rsidRPr="001444C9">
        <w:rPr>
          <w:sz w:val="16"/>
        </w:rPr>
        <w:t xml:space="preserve"> is </w:t>
      </w:r>
      <w:r w:rsidRPr="004167B3">
        <w:rPr>
          <w:rStyle w:val="Emphasis"/>
        </w:rPr>
        <w:t>sought via incentives that emphasize nonhuman life’s potential to contribute to economic growth</w:t>
      </w:r>
      <w:r w:rsidRPr="001444C9">
        <w:rPr>
          <w:sz w:val="16"/>
        </w:rPr>
        <w:t xml:space="preserve"> (termed </w:t>
      </w:r>
      <w:r w:rsidRPr="004167B3">
        <w:rPr>
          <w:rStyle w:val="StyleUnderline"/>
        </w:rPr>
        <w:t>‘green growth’</w:t>
      </w:r>
      <w:r w:rsidRPr="001444C9">
        <w:rPr>
          <w:sz w:val="16"/>
        </w:rPr>
        <w:t xml:space="preserve"> within NCA par-lance). We conclude that while NCA can strongly influence local behaviors and livelihood changes (Dressler2014), in practice its effects usually remain partial and fragmented. Indeed, our findings suggest that rather than incentivizing conservation, </w:t>
      </w:r>
      <w:r w:rsidRPr="004167B3">
        <w:rPr>
          <w:rStyle w:val="StyleUnderline"/>
        </w:rPr>
        <w:t>NCA</w:t>
      </w:r>
      <w:r w:rsidRPr="001444C9">
        <w:rPr>
          <w:sz w:val="16"/>
        </w:rPr>
        <w:t xml:space="preserve"> may more commonly encourage</w:t>
      </w:r>
      <w:r w:rsidRPr="004167B3">
        <w:rPr>
          <w:rStyle w:val="StyleUnderline"/>
        </w:rPr>
        <w:t xml:space="preserve"> </w:t>
      </w:r>
      <w:r w:rsidRPr="001444C9">
        <w:rPr>
          <w:sz w:val="16"/>
        </w:rPr>
        <w:t xml:space="preserve">precisely its opposite: the expansion of resource-extractive activities that threaten conservation. By encouraging </w:t>
      </w:r>
      <w:r w:rsidRPr="004167B3">
        <w:rPr>
          <w:rStyle w:val="StyleUnderline"/>
        </w:rPr>
        <w:t xml:space="preserve">local resource users to </w:t>
      </w:r>
      <w:r w:rsidRPr="001444C9">
        <w:rPr>
          <w:sz w:val="16"/>
        </w:rPr>
        <w:t xml:space="preserve">further </w:t>
      </w:r>
      <w:r w:rsidRPr="004167B3">
        <w:rPr>
          <w:rStyle w:val="StyleUnderline"/>
        </w:rPr>
        <w:t>embrace market logic for natural resource valuation</w:t>
      </w:r>
      <w:r w:rsidRPr="001444C9">
        <w:rPr>
          <w:sz w:val="16"/>
        </w:rPr>
        <w:t xml:space="preserve"> while failing to deliver sufficient revenue to make in situ biodiversity preservation more valuable than lucrative extractive practices (e.g. mining, oil palm), NCA may in practice lead local communities to shift to more destructive resource uses, and ultimately to embrace conventional extractivism. We first introduce our conceptual framework and outline the recent rise of NCA among conservationists. We then apply our framework to our empirical case studies. We demon-strate that while NCA can facilitate livelihood changes, the </w:t>
      </w:r>
      <w:r w:rsidRPr="002E06E7">
        <w:rPr>
          <w:rStyle w:val="StyleUnderline"/>
        </w:rPr>
        <w:t>rhetoric and range of incentives on offer commonly misalign with local livelihoods and create conditions leading local</w:t>
      </w:r>
      <w:r>
        <w:rPr>
          <w:rStyle w:val="StyleUnderline"/>
        </w:rPr>
        <w:t xml:space="preserve"> </w:t>
      </w:r>
      <w:r w:rsidRPr="002E06E7">
        <w:rPr>
          <w:rStyle w:val="StyleUnderline"/>
        </w:rPr>
        <w:t>farmers to</w:t>
      </w:r>
      <w:r w:rsidRPr="001444C9">
        <w:rPr>
          <w:sz w:val="16"/>
        </w:rPr>
        <w:t xml:space="preserve"> instead </w:t>
      </w:r>
      <w:r w:rsidRPr="002E06E7">
        <w:rPr>
          <w:rStyle w:val="StyleUnderline"/>
        </w:rPr>
        <w:t>embrace more exploitative options</w:t>
      </w:r>
      <w:r w:rsidRPr="001444C9">
        <w:rPr>
          <w:sz w:val="16"/>
        </w:rPr>
        <w:t xml:space="preserve">. We conclude by highlighting the implications of our analysis for future investigation concerning NCA within the context of neoliberal conservation, biopolitics and landscape change.The analysis is based on long-term ethnographic research in the Philippines and Indo-nesia by Dressler and Anderson, respectively. Data collection for the Philippines ran from2008 to 2016, and that in Indonesia from 2013 to 2016. In both areas this entailed semi-structured interviews with key NGO, government and community organization represen-tatives as well as participant observation and focus group discussions with rural farmers. We spent weeks in homes and fields, documenting past and present farming practices(e.g. swidden) as well as responses to and outcomes (both socio-economic and biophysi-cal) of NCA interventions. Data analysis focused most on patterns of response within andbetween interviews. The corresponding researchers are conversant in Filipino (Tagalog)and Bahasa Indonesian and used local translators when Pala’wan and Dayak languageswere spoken. All informants gave informed consent, and all areas and respondent names are pseudonyms. Neoliberal biopolitics </w:t>
      </w:r>
      <w:r w:rsidRPr="002E06E7">
        <w:rPr>
          <w:rStyle w:val="Emphasis"/>
        </w:rPr>
        <w:t>Foucault introduced ‘biopower</w:t>
      </w:r>
      <w:r w:rsidRPr="001444C9">
        <w:rPr>
          <w:sz w:val="16"/>
        </w:rPr>
        <w:t xml:space="preserve">/biopolitics’ </w:t>
      </w:r>
      <w:r w:rsidRPr="002E06E7">
        <w:rPr>
          <w:rStyle w:val="Emphasis"/>
        </w:rPr>
        <w:t>to describe</w:t>
      </w:r>
      <w:r w:rsidRPr="001444C9">
        <w:rPr>
          <w:sz w:val="16"/>
        </w:rPr>
        <w:t xml:space="preserve"> the </w:t>
      </w:r>
      <w:r w:rsidRPr="002E06E7">
        <w:rPr>
          <w:rStyle w:val="Emphasis"/>
        </w:rPr>
        <w:t>historical change from</w:t>
      </w:r>
      <w:r w:rsidRPr="001444C9">
        <w:rPr>
          <w:sz w:val="16"/>
        </w:rPr>
        <w:t xml:space="preserve"> the pre-modern sovereign’s prerogative to </w:t>
      </w:r>
      <w:r w:rsidRPr="002E06E7">
        <w:rPr>
          <w:rStyle w:val="Emphasis"/>
        </w:rPr>
        <w:t>‘take life or let live’</w:t>
      </w:r>
      <w:r w:rsidRPr="001444C9">
        <w:rPr>
          <w:sz w:val="16"/>
        </w:rPr>
        <w:t xml:space="preserve"> to the modern state’s claim to </w:t>
      </w:r>
      <w:r w:rsidRPr="002E06E7">
        <w:rPr>
          <w:rStyle w:val="Emphasis"/>
        </w:rPr>
        <w:t>‘make live and to let die’</w:t>
      </w:r>
      <w:r w:rsidRPr="001444C9">
        <w:rPr>
          <w:sz w:val="16"/>
        </w:rPr>
        <w:t xml:space="preserve">(2003, 241). While Foucault himself focused on the exercise of biopower in defense of human populations, others have extended the concept to analyze diverse phenomena (Lemke2011; Mendieta2014), including forms of environmental governance in defense of nonhumans, such as protected area enforcement (Luke1999; Youatt2008;Fletcher2010; Cavanagh2014).What  remains  underexplored within  this  growing  literature on  </w:t>
      </w:r>
      <w:r w:rsidRPr="002E06E7">
        <w:rPr>
          <w:rStyle w:val="StyleUnderline"/>
        </w:rPr>
        <w:t>environmental biopolitics</w:t>
      </w:r>
      <w:r w:rsidRPr="001444C9">
        <w:rPr>
          <w:sz w:val="16"/>
        </w:rPr>
        <w:t xml:space="preserve">, however, are the </w:t>
      </w:r>
      <w:r w:rsidRPr="002E06E7">
        <w:rPr>
          <w:rStyle w:val="StyleUnderline"/>
        </w:rPr>
        <w:t>different ways in which biopower can be exercised</w:t>
      </w:r>
      <w:r w:rsidRPr="001444C9">
        <w:rPr>
          <w:sz w:val="16"/>
        </w:rPr>
        <w:t xml:space="preserve">. Initially, Fou-cault (1978   , 2003   ) described biopower as largely synonymous with the ‘governmentality’ analytic he developed simultaneously, in that both addressed power exercised </w:t>
      </w:r>
      <w:r w:rsidRPr="002E06E7">
        <w:rPr>
          <w:rStyle w:val="StyleUnderline"/>
        </w:rPr>
        <w:t>at the level of</w:t>
      </w:r>
      <w:r w:rsidRPr="001444C9">
        <w:rPr>
          <w:sz w:val="16"/>
        </w:rPr>
        <w:t xml:space="preserve"> (national) </w:t>
      </w:r>
      <w:r w:rsidRPr="002E06E7">
        <w:rPr>
          <w:rStyle w:val="StyleUnderline"/>
        </w:rPr>
        <w:t xml:space="preserve">populations rather than over a collection of subjects </w:t>
      </w:r>
      <w:r w:rsidRPr="001444C9">
        <w:rPr>
          <w:sz w:val="16"/>
        </w:rPr>
        <w:t>or discrete individuals. This resulted in the famous ‘sovereignty–discipline–government’ triad (Foucault1991   ,102) that inspired the now-massive governmentality literature (Rose, O’Malley, and Valverde2006   ; Lemke2012   ). Yet in subsequent lectures Foucault (2007   , 2008   ) reworked the govern-mentality concept, such that it ‘progressively shifts from a precise, historically determinate sense, to a more general and abstract meaning’(Sennellart2007   , 388) encompassing various strategies for the ‘conduct of conduct’. In the process, ‘</w:t>
      </w:r>
      <w:r w:rsidRPr="002E06E7">
        <w:rPr>
          <w:rStyle w:val="Emphasis"/>
        </w:rPr>
        <w:t>discipline</w:t>
      </w:r>
      <w:r w:rsidRPr="001444C9">
        <w:rPr>
          <w:sz w:val="16"/>
        </w:rPr>
        <w:t xml:space="preserve"> ’ceases to be opposed to ‘government’ but </w:t>
      </w:r>
      <w:r w:rsidRPr="002E06E7">
        <w:rPr>
          <w:rStyle w:val="Emphasis"/>
        </w:rPr>
        <w:t>becomes</w:t>
      </w:r>
      <w:r w:rsidRPr="001444C9">
        <w:rPr>
          <w:sz w:val="16"/>
        </w:rPr>
        <w:t xml:space="preserve"> instead one of several </w:t>
      </w:r>
      <w:r w:rsidRPr="002E06E7">
        <w:rPr>
          <w:rStyle w:val="Emphasis"/>
        </w:rPr>
        <w:t>form</w:t>
      </w:r>
      <w:r w:rsidRPr="001444C9">
        <w:rPr>
          <w:sz w:val="16"/>
        </w:rPr>
        <w:t xml:space="preserve">s </w:t>
      </w:r>
      <w:r w:rsidRPr="002E06E7">
        <w:rPr>
          <w:rStyle w:val="Emphasis"/>
        </w:rPr>
        <w:t>of</w:t>
      </w:r>
      <w:r w:rsidRPr="001444C9">
        <w:rPr>
          <w:sz w:val="16"/>
        </w:rPr>
        <w:t xml:space="preserve"> an </w:t>
      </w:r>
      <w:r w:rsidRPr="002E06E7">
        <w:rPr>
          <w:rStyle w:val="Emphasis"/>
        </w:rPr>
        <w:t>expanded governmentality</w:t>
      </w:r>
      <w:r w:rsidRPr="001444C9">
        <w:rPr>
          <w:sz w:val="16"/>
        </w:rPr>
        <w:t xml:space="preserve">. In The birth of biopolitics, Foucault (2008) distinguishes ‘disciplinary’ and ‘neoliberal’ modes of governmentality (cf. Fletcher2010). </w:t>
      </w:r>
      <w:r w:rsidRPr="002E06E7">
        <w:rPr>
          <w:rStyle w:val="StyleUnderline"/>
        </w:rPr>
        <w:t>While disciplinary governmentality</w:t>
      </w:r>
      <w:r w:rsidRPr="001444C9">
        <w:rPr>
          <w:sz w:val="16"/>
        </w:rPr>
        <w:t xml:space="preserve"> </w:t>
      </w:r>
      <w:r w:rsidRPr="002E06E7">
        <w:rPr>
          <w:rStyle w:val="StyleUnderline"/>
        </w:rPr>
        <w:t>seeks to propagate social norms and ethical standards compelling individual conformance</w:t>
      </w:r>
      <w:r w:rsidRPr="001444C9">
        <w:rPr>
          <w:sz w:val="16"/>
        </w:rPr>
        <w:t xml:space="preserve"> due to fears of appearing deviant or immoral, a </w:t>
      </w:r>
      <w:r w:rsidRPr="002E06E7">
        <w:rPr>
          <w:rStyle w:val="StyleUnderline"/>
        </w:rPr>
        <w:t>neoliberal governmentality aims to create external incentive structures within which subjects can be influenced</w:t>
      </w:r>
      <w:r w:rsidRPr="001444C9">
        <w:rPr>
          <w:sz w:val="16"/>
        </w:rPr>
        <w:t xml:space="preserve"> through manipulation of incentives. Neoliberal governmentality thus constitutes ‘an environmental type of intervention instead of the internal subjugation of individuals’; ‘a </w:t>
      </w:r>
      <w:r w:rsidRPr="002E06E7">
        <w:rPr>
          <w:rStyle w:val="StyleUnderline"/>
        </w:rPr>
        <w:t>governmentality which will act on the environment and systematically modify its variables’</w:t>
      </w:r>
      <w:r w:rsidRPr="001444C9">
        <w:rPr>
          <w:sz w:val="16"/>
        </w:rPr>
        <w:t xml:space="preserve">(Foucault2008,260, 271).Importantly, </w:t>
      </w:r>
      <w:r w:rsidRPr="002E06E7">
        <w:rPr>
          <w:rStyle w:val="StyleUnderline"/>
        </w:rPr>
        <w:t>disciplinary and neoliberal modes of governmentality</w:t>
      </w:r>
      <w:r w:rsidRPr="001444C9">
        <w:rPr>
          <w:sz w:val="16"/>
        </w:rPr>
        <w:t xml:space="preserve"> can also be under-stood to </w:t>
      </w:r>
      <w:r w:rsidRPr="002E06E7">
        <w:rPr>
          <w:rStyle w:val="StyleUnderline"/>
        </w:rPr>
        <w:t>prescribe</w:t>
      </w:r>
      <w:r w:rsidRPr="001444C9">
        <w:rPr>
          <w:sz w:val="16"/>
        </w:rPr>
        <w:t xml:space="preserve"> divergent (yet overlapping) </w:t>
      </w:r>
      <w:r w:rsidRPr="002E06E7">
        <w:rPr>
          <w:rStyle w:val="Emphasis"/>
        </w:rPr>
        <w:t>strategies for the exercise of (bio)power</w:t>
      </w:r>
      <w:r w:rsidRPr="001444C9">
        <w:rPr>
          <w:sz w:val="16"/>
        </w:rPr>
        <w:t xml:space="preserve">. In Foucault’s early analysis, disciplinary techniques function as one of the principal means by which the (emerging modern) </w:t>
      </w:r>
      <w:r w:rsidRPr="00C8444A">
        <w:rPr>
          <w:rStyle w:val="StyleUnderline"/>
        </w:rPr>
        <w:t>state exercised biopower</w:t>
      </w:r>
      <w:r w:rsidRPr="001444C9">
        <w:rPr>
          <w:sz w:val="16"/>
        </w:rPr>
        <w:t xml:space="preserve">, allowing </w:t>
      </w:r>
      <w:r w:rsidRPr="00C8444A">
        <w:rPr>
          <w:rStyle w:val="Emphasis"/>
        </w:rPr>
        <w:t>for the manipulation of individuals’ behavior in pursuit of an optimized human existence</w:t>
      </w:r>
      <w:r w:rsidRPr="001444C9">
        <w:rPr>
          <w:sz w:val="16"/>
        </w:rPr>
        <w:t xml:space="preserve">. The subsequent rise of neoliberalism, he suggested, introduced a novel approach to biopower, prescribing different strategies for influencing subjects’ attitudes and behavior. While Foucault did not develop this idea of a neoliberal biopower further, a nascent body of literature has begun to do so (see esp. Lemm and Vatter2014). Thus far, this analy-sis has not been systematically applied to environmental governance, although Fletcher(2010) speculates concerning how </w:t>
      </w:r>
      <w:r w:rsidRPr="00C8444A">
        <w:rPr>
          <w:rStyle w:val="StyleUnderline"/>
        </w:rPr>
        <w:t>neoliberal biopower</w:t>
      </w:r>
      <w:r w:rsidRPr="001444C9">
        <w:rPr>
          <w:sz w:val="16"/>
        </w:rPr>
        <w:t xml:space="preserve"> might </w:t>
      </w:r>
      <w:r w:rsidRPr="00C8444A">
        <w:rPr>
          <w:rStyle w:val="Emphasis"/>
        </w:rPr>
        <w:t>manifest within conserva-tion politics</w:t>
      </w:r>
      <w:r w:rsidRPr="001444C9">
        <w:rPr>
          <w:sz w:val="16"/>
        </w:rPr>
        <w:t xml:space="preserve"> specifically. He suggests that a neoliberal perspective would likely </w:t>
      </w:r>
      <w:r w:rsidRPr="00C8444A">
        <w:rPr>
          <w:rStyle w:val="StyleUnderline"/>
        </w:rPr>
        <w:t>focus less on subjects’</w:t>
      </w:r>
      <w:r w:rsidRPr="001444C9">
        <w:rPr>
          <w:sz w:val="16"/>
        </w:rPr>
        <w:t xml:space="preserve"> internal states than on the </w:t>
      </w:r>
      <w:r w:rsidRPr="00C8444A">
        <w:rPr>
          <w:rStyle w:val="StyleUnderline"/>
        </w:rPr>
        <w:t>external structures within which they act</w:t>
      </w:r>
      <w:r w:rsidRPr="001444C9">
        <w:rPr>
          <w:sz w:val="16"/>
        </w:rPr>
        <w:t>...</w:t>
      </w:r>
      <w:r w:rsidRPr="00C8444A">
        <w:rPr>
          <w:rStyle w:val="Emphasis"/>
        </w:rPr>
        <w:t>interventions would be framed less in terms of morality than cost–benefit characteristics</w:t>
      </w:r>
      <w:r w:rsidRPr="001444C9">
        <w:rPr>
          <w:sz w:val="16"/>
        </w:rPr>
        <w:t>...[and]...</w:t>
      </w:r>
      <w:r w:rsidRPr="00C8444A">
        <w:rPr>
          <w:rStyle w:val="StyleUnderline"/>
        </w:rPr>
        <w:t>would</w:t>
      </w:r>
      <w:r w:rsidRPr="001444C9">
        <w:rPr>
          <w:sz w:val="16"/>
        </w:rPr>
        <w:t xml:space="preserve"> likely </w:t>
      </w:r>
      <w:r w:rsidRPr="006C2507">
        <w:rPr>
          <w:rStyle w:val="Emphasis"/>
        </w:rPr>
        <w:t>place</w:t>
      </w:r>
      <w:r w:rsidRPr="001444C9">
        <w:rPr>
          <w:sz w:val="16"/>
        </w:rPr>
        <w:t xml:space="preserve"> less </w:t>
      </w:r>
      <w:r w:rsidRPr="006C2507">
        <w:rPr>
          <w:rStyle w:val="Emphasis"/>
        </w:rPr>
        <w:t>emphasis on</w:t>
      </w:r>
      <w:r w:rsidRPr="001444C9">
        <w:rPr>
          <w:sz w:val="16"/>
        </w:rPr>
        <w:t xml:space="preserve"> nurturing and sustaining life directly than on </w:t>
      </w:r>
      <w:r w:rsidRPr="006C2507">
        <w:rPr>
          <w:rStyle w:val="Emphasis"/>
        </w:rPr>
        <w:t>supporting economic growth</w:t>
      </w:r>
      <w:r w:rsidRPr="001444C9">
        <w:rPr>
          <w:sz w:val="16"/>
        </w:rPr>
        <w:t xml:space="preserve">. (2010, 175) Building on this, we explore how </w:t>
      </w:r>
      <w:r w:rsidRPr="006C2507">
        <w:rPr>
          <w:rStyle w:val="StyleUnderline"/>
        </w:rPr>
        <w:t>neoliberal biopolitics manifests within contemporary conservation governance</w:t>
      </w:r>
      <w:r w:rsidRPr="001444C9">
        <w:rPr>
          <w:sz w:val="16"/>
        </w:rPr>
        <w:t xml:space="preserve"> in remote frontier settings. In the process, we contribute to the study of neoliberal conservation in conjunction with agrarian change. While neoliberal conservation has been analyzed extensively (Igoe and Brockington2007; Büscher et al.2012; Büscher, Dressler, and Fletcher2014,Holmes and Cavanagh2016), the lens of biopolitics adds a productive new dimension by focusing on how </w:t>
      </w:r>
      <w:r w:rsidRPr="006C2507">
        <w:rPr>
          <w:rStyle w:val="Emphasis"/>
        </w:rPr>
        <w:t>neoliberal interventions seek to optimize rural peoples’</w:t>
      </w:r>
      <w:r>
        <w:rPr>
          <w:rStyle w:val="Emphasis"/>
        </w:rPr>
        <w:t xml:space="preserve"> </w:t>
      </w:r>
      <w:r w:rsidRPr="006C2507">
        <w:rPr>
          <w:rStyle w:val="Emphasis"/>
        </w:rPr>
        <w:t>valuation</w:t>
      </w:r>
      <w:r>
        <w:rPr>
          <w:rStyle w:val="Emphasis"/>
        </w:rPr>
        <w:t xml:space="preserve"> </w:t>
      </w:r>
      <w:r w:rsidRPr="001444C9">
        <w:rPr>
          <w:sz w:val="16"/>
        </w:rPr>
        <w:t xml:space="preserve">and use of the resources in question. While previous conservation governance tended to foreground ethical concerns and hence pursue the creation of ‘environmental subjects–people who care about the environment’ (Agrawal2005, 162), </w:t>
      </w:r>
      <w:r w:rsidRPr="00827408">
        <w:rPr>
          <w:rStyle w:val="StyleUnderline"/>
        </w:rPr>
        <w:t>contemporary interven-tions</w:t>
      </w:r>
      <w:r w:rsidRPr="001444C9">
        <w:rPr>
          <w:sz w:val="16"/>
        </w:rPr>
        <w:t xml:space="preserve"> often minimize such concerns, </w:t>
      </w:r>
      <w:r w:rsidRPr="00827408">
        <w:rPr>
          <w:rStyle w:val="StyleUnderline"/>
        </w:rPr>
        <w:t>seek</w:t>
      </w:r>
      <w:r w:rsidRPr="001444C9">
        <w:rPr>
          <w:sz w:val="16"/>
        </w:rPr>
        <w:t xml:space="preserve">ing </w:t>
      </w:r>
      <w:r w:rsidRPr="00827408">
        <w:rPr>
          <w:rStyle w:val="StyleUnderline"/>
        </w:rPr>
        <w:t xml:space="preserve">to </w:t>
      </w:r>
      <w:r w:rsidRPr="001444C9">
        <w:rPr>
          <w:sz w:val="16"/>
        </w:rPr>
        <w:t xml:space="preserve">instead </w:t>
      </w:r>
      <w:r w:rsidRPr="00827408">
        <w:rPr>
          <w:rStyle w:val="StyleUnderline"/>
        </w:rPr>
        <w:t>promote decision-making via</w:t>
      </w:r>
      <w:r>
        <w:rPr>
          <w:rStyle w:val="StyleUnderline"/>
        </w:rPr>
        <w:t xml:space="preserve"> </w:t>
      </w:r>
      <w:r w:rsidRPr="00827408">
        <w:rPr>
          <w:rStyle w:val="StyleUnderline"/>
        </w:rPr>
        <w:t>economic valuation</w:t>
      </w:r>
      <w:r w:rsidRPr="001444C9">
        <w:rPr>
          <w:sz w:val="16"/>
        </w:rPr>
        <w:t xml:space="preserve">. Here, </w:t>
      </w:r>
      <w:r w:rsidRPr="00B42647">
        <w:rPr>
          <w:rStyle w:val="StyleUnderline"/>
        </w:rPr>
        <w:t>stakeholders are encouraged to behave as ‘rational actors</w:t>
      </w:r>
      <w:r w:rsidRPr="001444C9">
        <w:rPr>
          <w:sz w:val="16"/>
        </w:rPr>
        <w:t xml:space="preserve">[who] </w:t>
      </w:r>
      <w:r w:rsidRPr="00B42647">
        <w:rPr>
          <w:rStyle w:val="StyleUnderline"/>
        </w:rPr>
        <w:t>can be motivated to exhibit appropriate behaviors through manipulation of incen-tives’</w:t>
      </w:r>
      <w:r w:rsidRPr="001444C9">
        <w:rPr>
          <w:sz w:val="16"/>
        </w:rPr>
        <w:t xml:space="preserve">(Fletcher2010, 173). This demands a different perspective, one that the concept of neoliberal biopolitics facilitates. We do not claim that neoliberal biopower necessarily displaces other processes entirely, as different forms of biopower may ‘overlap, lean on each other, challenge each other, and struggle with each other’(Foucault2008, 313). As our case studies demonstrate, a </w:t>
      </w:r>
      <w:r w:rsidRPr="00506E63">
        <w:rPr>
          <w:rStyle w:val="Emphasis"/>
        </w:rPr>
        <w:t>disci-plinary biopolitics may thus continue to be promoted alongside neoliberal interventions</w:t>
      </w:r>
      <w:r w:rsidRPr="001444C9">
        <w:rPr>
          <w:sz w:val="16"/>
        </w:rPr>
        <w:t xml:space="preserve">. Indeed, a certain mode of the former may underpin the latter, in that the inculcation of a </w:t>
      </w:r>
      <w:r w:rsidRPr="00506E63">
        <w:rPr>
          <w:rStyle w:val="StyleUnderline"/>
        </w:rPr>
        <w:t>neoliberal orientation</w:t>
      </w:r>
      <w:r w:rsidRPr="001444C9">
        <w:rPr>
          <w:sz w:val="16"/>
        </w:rPr>
        <w:t xml:space="preserve"> </w:t>
      </w:r>
      <w:r w:rsidRPr="00506E63">
        <w:rPr>
          <w:rStyle w:val="StyleUnderline"/>
        </w:rPr>
        <w:t xml:space="preserve">often necessitates </w:t>
      </w:r>
      <w:r w:rsidRPr="00506E63">
        <w:rPr>
          <w:rStyle w:val="Emphasis"/>
        </w:rPr>
        <w:t>disciplining to produce the rational actors con-sidered capable of appropriately evaluating incentives.</w:t>
      </w:r>
      <w:r>
        <w:rPr>
          <w:rStyle w:val="Emphasis"/>
        </w:rPr>
        <w:t xml:space="preserve"> </w:t>
      </w:r>
      <w:r w:rsidRPr="001444C9">
        <w:rPr>
          <w:sz w:val="16"/>
        </w:rPr>
        <w:t xml:space="preserve">We also acknowledge that aspects of neoliberal (or other forms of) biopower promoted via environmental governance are seldom wholly internalized by target populations. Analysis from the perspective of governmentality/biopower, after all, tends to be less con-cerned with ‘what happened and why’ than ‘to start by asking what authorities of various sorts wanted to happen’ Rose (1999, 20). Whether this intention is actually realized is explored by a body of research investigating the correspondence between ‘vision’ and ‘execution’ in environmental governance (see Carrier and West2009; Anderson et al.2016). Dempsey and Suarez (2016), moreover, demonstrate that despite worldwide pro-motion of neoliberal conservation over the past decades, very little actual market exchange has taken place thus far, while most trade that does occur has been directed by states. They thus describe ‘free’ market transactions among private parties as ‘slivers of slivers of slivers’ of general financial transactions (Dempsey and Suarez2016, 654).Yet earlier research suggests that while finances often do not flow from direct market transactions per se, </w:t>
      </w:r>
      <w:r w:rsidRPr="00506E63">
        <w:rPr>
          <w:rStyle w:val="StyleUnderline"/>
        </w:rPr>
        <w:t>significant funds</w:t>
      </w:r>
      <w:r w:rsidRPr="001444C9">
        <w:rPr>
          <w:sz w:val="16"/>
        </w:rPr>
        <w:t xml:space="preserve"> do </w:t>
      </w:r>
      <w:r w:rsidRPr="00506E63">
        <w:rPr>
          <w:rStyle w:val="StyleUnderline"/>
        </w:rPr>
        <w:t>manifest by way of project delivery</w:t>
      </w:r>
      <w:r w:rsidRPr="001444C9">
        <w:rPr>
          <w:sz w:val="16"/>
        </w:rPr>
        <w:t xml:space="preserve">, </w:t>
      </w:r>
      <w:r w:rsidRPr="00506E63">
        <w:rPr>
          <w:rStyle w:val="Emphasis"/>
        </w:rPr>
        <w:t>infrastructure</w:t>
      </w:r>
      <w:r w:rsidRPr="001444C9">
        <w:rPr>
          <w:sz w:val="16"/>
        </w:rPr>
        <w:t xml:space="preserve"> </w:t>
      </w:r>
      <w:r w:rsidRPr="00506E63">
        <w:rPr>
          <w:rStyle w:val="Emphasis"/>
        </w:rPr>
        <w:t>development</w:t>
      </w:r>
      <w:r w:rsidRPr="001444C9">
        <w:rPr>
          <w:sz w:val="16"/>
        </w:rPr>
        <w:t xml:space="preserve">, accounting and </w:t>
      </w:r>
      <w:r w:rsidRPr="00506E63">
        <w:rPr>
          <w:rStyle w:val="Emphasis"/>
        </w:rPr>
        <w:t>monitoring activities</w:t>
      </w:r>
      <w:r w:rsidRPr="001444C9">
        <w:rPr>
          <w:sz w:val="16"/>
        </w:rPr>
        <w:t xml:space="preserve"> and, crucially, the </w:t>
      </w:r>
      <w:r w:rsidRPr="00506E63">
        <w:rPr>
          <w:rStyle w:val="Emphasis"/>
        </w:rPr>
        <w:t>various incentives and conditions intended to convert rural residents into environmental defenders</w:t>
      </w:r>
      <w:r w:rsidRPr="001444C9">
        <w:rPr>
          <w:sz w:val="16"/>
        </w:rPr>
        <w:t xml:space="preserve"> (Dressler2014). Indeed, as Dempsey and Suarez point out, in failing to develop substantial markets </w:t>
      </w:r>
      <w:r w:rsidRPr="00506E63">
        <w:rPr>
          <w:rStyle w:val="StyleUnderline"/>
        </w:rPr>
        <w:t>conservation mechanisms</w:t>
      </w:r>
      <w:r w:rsidRPr="001444C9">
        <w:rPr>
          <w:sz w:val="16"/>
        </w:rPr>
        <w:t xml:space="preserve"> may still </w:t>
      </w:r>
      <w:r w:rsidRPr="00506E63">
        <w:rPr>
          <w:rStyle w:val="StyleUnderline"/>
        </w:rPr>
        <w:t>function ‘to reinforce neoliberal political rationalities</w:t>
      </w:r>
      <w:r>
        <w:rPr>
          <w:rStyle w:val="StyleUnderline"/>
        </w:rPr>
        <w:t xml:space="preserve"> </w:t>
      </w:r>
      <w:r w:rsidRPr="001444C9">
        <w:rPr>
          <w:sz w:val="16"/>
        </w:rPr>
        <w:t xml:space="preserve">among conservationists’ and local stakeholders (2016, 655). To what extent this actually succeeds in creating the envisioned (eco)rational subjects is an empirical question, one that animates our analysis below. The rise of natural capital While having existed for some time, </w:t>
      </w:r>
      <w:r w:rsidRPr="00506E63">
        <w:rPr>
          <w:rStyle w:val="Emphasis"/>
        </w:rPr>
        <w:t>the concept of natural capital has been increasingly pro-moted within environmental governance</w:t>
      </w:r>
      <w:r w:rsidRPr="001444C9">
        <w:rPr>
          <w:sz w:val="16"/>
        </w:rPr>
        <w:t xml:space="preserve"> as part of an </w:t>
      </w:r>
      <w:r w:rsidRPr="00506E63">
        <w:rPr>
          <w:rStyle w:val="StyleUnderline"/>
        </w:rPr>
        <w:t>expanding coalition of the world’s</w:t>
      </w:r>
      <w:r>
        <w:rPr>
          <w:rStyle w:val="StyleUnderline"/>
        </w:rPr>
        <w:t xml:space="preserve"> </w:t>
      </w:r>
      <w:r w:rsidRPr="00506E63">
        <w:rPr>
          <w:rStyle w:val="StyleUnderline"/>
        </w:rPr>
        <w:t>most influential environmental organizations</w:t>
      </w:r>
      <w:r w:rsidRPr="001444C9">
        <w:rPr>
          <w:sz w:val="16"/>
        </w:rPr>
        <w:t xml:space="preserve"> and corporations. In 2006, The Nature Conser-vancy (TNC) and World Wildlife Fund (WWF) partnered with Stanford University to create the Natural Capital Project (Kareiva et al.2011   ), after which the United Nations Environment Pro-gramme (UNEP) championed natural capital in its TEEB (The Economics of Ecosystems and Biodiversity) initiative (TEEB2010). This inspired the World Bank to develop its own WAVES(Wealth Accounting and the Valuation of Ecosystem Services) program (World Bank2017a)These organizations, along with the International Union for the Conservation of Nature(IUCN) , World Business Council for Sustainable Development, and many more, have since come together in a‘Natural Capital Coalition’(NCC) which recently released a ‘NaturalCapital Protocol’ intended to ‘harmonize existing best practice and produce a standardized,generally-accepted, global approach’(Gough2016  , 1). At the 2016 IUCN World ConservationCongress in Hawaii, NCA was prominent, with a launch celebration of the Natural CapitalProtocol and announcement of an expanded coalition to develop financial instrumentsfor NCA including new players Credit Suisse and JP Morgan Chase (IISD2016   ).Within this coalition the definition of </w:t>
      </w:r>
      <w:r w:rsidRPr="00930E3E">
        <w:rPr>
          <w:rStyle w:val="StyleUnderline"/>
        </w:rPr>
        <w:t>natural capital</w:t>
      </w:r>
      <w:r w:rsidRPr="001444C9">
        <w:rPr>
          <w:sz w:val="16"/>
        </w:rPr>
        <w:t xml:space="preserve"> remains ambiguous. In </w:t>
      </w:r>
      <w:r w:rsidRPr="00930E3E">
        <w:rPr>
          <w:rStyle w:val="StyleUnderline"/>
        </w:rPr>
        <w:t>early con-ceptualization</w:t>
      </w:r>
      <w:r w:rsidRPr="001444C9">
        <w:rPr>
          <w:sz w:val="16"/>
        </w:rPr>
        <w:t xml:space="preserve"> by ecological economists, the concept </w:t>
      </w:r>
      <w:r w:rsidRPr="00930E3E">
        <w:rPr>
          <w:rStyle w:val="StyleUnderline"/>
        </w:rPr>
        <w:t>designated measurement of</w:t>
      </w:r>
      <w:r>
        <w:rPr>
          <w:rStyle w:val="StyleUnderline"/>
        </w:rPr>
        <w:t xml:space="preserve"> </w:t>
      </w:r>
      <w:r w:rsidRPr="00930E3E">
        <w:rPr>
          <w:rStyle w:val="StyleUnderline"/>
        </w:rPr>
        <w:t>‘stocks’</w:t>
      </w:r>
      <w:r>
        <w:rPr>
          <w:rStyle w:val="StyleUnderline"/>
        </w:rPr>
        <w:t xml:space="preserve"> </w:t>
      </w:r>
      <w:r w:rsidRPr="00930E3E">
        <w:rPr>
          <w:rStyle w:val="StyleUnderline"/>
        </w:rPr>
        <w:t>or</w:t>
      </w:r>
      <w:r>
        <w:rPr>
          <w:rStyle w:val="StyleUnderline"/>
        </w:rPr>
        <w:t xml:space="preserve"> </w:t>
      </w:r>
      <w:r w:rsidRPr="00930E3E">
        <w:rPr>
          <w:rStyle w:val="StyleUnderline"/>
        </w:rPr>
        <w:t>‘flows’</w:t>
      </w:r>
      <w:r>
        <w:rPr>
          <w:rStyle w:val="StyleUnderline"/>
        </w:rPr>
        <w:t xml:space="preserve"> </w:t>
      </w:r>
      <w:r w:rsidRPr="00930E3E">
        <w:rPr>
          <w:rStyle w:val="StyleUnderline"/>
        </w:rPr>
        <w:t xml:space="preserve">of natural resources </w:t>
      </w:r>
      <w:r w:rsidRPr="001444C9">
        <w:rPr>
          <w:sz w:val="16"/>
        </w:rPr>
        <w:t xml:space="preserve">(Daly2014). Yet within NCA the </w:t>
      </w:r>
      <w:r w:rsidRPr="00930E3E">
        <w:rPr>
          <w:rStyle w:val="Emphasis"/>
        </w:rPr>
        <w:t>concept’s meaning has changed</w:t>
      </w:r>
      <w:r w:rsidRPr="001444C9">
        <w:rPr>
          <w:sz w:val="16"/>
        </w:rPr>
        <w:t xml:space="preserve"> significantly </w:t>
      </w:r>
      <w:r w:rsidRPr="00930E3E">
        <w:rPr>
          <w:rStyle w:val="Emphasis"/>
        </w:rPr>
        <w:t>to emphasize the monetary value of natural resources specifically</w:t>
      </w:r>
      <w:r w:rsidRPr="001444C9">
        <w:rPr>
          <w:sz w:val="16"/>
        </w:rPr>
        <w:t>. The Natural Capital Declaration thus states:‘The term “</w:t>
      </w:r>
      <w:r w:rsidRPr="00930E3E">
        <w:rPr>
          <w:rStyle w:val="StyleUnderline"/>
        </w:rPr>
        <w:t>capital</w:t>
      </w:r>
      <w:r w:rsidRPr="001444C9">
        <w:rPr>
          <w:sz w:val="16"/>
        </w:rPr>
        <w:t xml:space="preserve">” has been borrowed from the financial sector to </w:t>
      </w:r>
      <w:r w:rsidRPr="00930E3E">
        <w:rPr>
          <w:rStyle w:val="StyleUnderline"/>
        </w:rPr>
        <w:t>describe the value of the resources and ability of ecosystems to provide flows of goods and services</w:t>
      </w:r>
      <w:r w:rsidRPr="001444C9">
        <w:rPr>
          <w:sz w:val="16"/>
        </w:rPr>
        <w:t xml:space="preserve"> such as water, medicines and food’(NCD2012, 1).To incorporate natural capital into decision-making demands appropriate measurement and accounting procedures, since it is natural resources’ ostensible ‘  economic invisibility’ that ‘has thus far been a major cause of their undervaluation, mismanagement and ulti-mately resulting loss’(UNEP2011   , 8). Consequently, </w:t>
      </w:r>
      <w:r w:rsidRPr="00930E3E">
        <w:rPr>
          <w:rStyle w:val="Emphasis"/>
        </w:rPr>
        <w:t>‘</w:t>
      </w:r>
      <w:r w:rsidRPr="00930E3E">
        <w:rPr>
          <w:rStyle w:val="StyleUnderline"/>
        </w:rPr>
        <w:t>successful environmental protection needs to be grounded in sound economics</w:t>
      </w:r>
      <w:r w:rsidRPr="001444C9">
        <w:rPr>
          <w:sz w:val="16"/>
        </w:rPr>
        <w:t xml:space="preserve">, including explicit recognition, efficient allo-cation, and fair distribution of the costs and benefits of conservation and </w:t>
      </w:r>
      <w:r w:rsidRPr="00930E3E">
        <w:rPr>
          <w:rStyle w:val="StyleUnderline"/>
        </w:rPr>
        <w:t>sustainable use of natural resources</w:t>
      </w:r>
      <w:r w:rsidRPr="00930E3E">
        <w:rPr>
          <w:rStyle w:val="Emphasis"/>
        </w:rPr>
        <w:t>’</w:t>
      </w:r>
      <w:r w:rsidRPr="001444C9">
        <w:rPr>
          <w:sz w:val="16"/>
        </w:rPr>
        <w:t xml:space="preserve">(TEEB2010   , 3). The </w:t>
      </w:r>
      <w:r w:rsidRPr="00930E3E">
        <w:rPr>
          <w:rStyle w:val="StyleUnderline"/>
        </w:rPr>
        <w:t>overarching aim</w:t>
      </w:r>
      <w:r w:rsidRPr="001444C9">
        <w:rPr>
          <w:sz w:val="16"/>
        </w:rPr>
        <w:t xml:space="preserve"> is </w:t>
      </w:r>
      <w:r w:rsidRPr="00930E3E">
        <w:rPr>
          <w:rStyle w:val="StyleUnderline"/>
        </w:rPr>
        <w:t>to incorporate this valuation into benefit–cost analysis</w:t>
      </w:r>
      <w:r w:rsidRPr="001444C9">
        <w:rPr>
          <w:sz w:val="16"/>
        </w:rPr>
        <w:t xml:space="preserve">, which ‘offers a rather convenient way of measuring the overall social values of alternative policies. Thus it provides a basis for making difficult policy decisions’(Goulder and Kennedy2011   ,16).Benefit–cost analysis can then inform compre-hensive accounting procedures assessed at various scales, from individual firms to particular sectors and beyond, such that‘[i]deally, </w:t>
      </w:r>
      <w:r w:rsidRPr="00E324E3">
        <w:rPr>
          <w:rStyle w:val="StyleUnderline"/>
        </w:rPr>
        <w:t xml:space="preserve">changes in stocks of natural capital would be eval-uated in monetary terms </w:t>
      </w:r>
      <w:r w:rsidRPr="001444C9">
        <w:rPr>
          <w:sz w:val="16"/>
        </w:rPr>
        <w:t xml:space="preserve">and incorporated into the national accounts’(UNEP2011   ,5). </w:t>
      </w:r>
      <w:r w:rsidRPr="00E324E3">
        <w:rPr>
          <w:rStyle w:val="StyleUnderline"/>
        </w:rPr>
        <w:t>Fundamental to NCA</w:t>
      </w:r>
      <w:r w:rsidRPr="001444C9">
        <w:rPr>
          <w:sz w:val="16"/>
        </w:rPr>
        <w:t xml:space="preserve"> is thus </w:t>
      </w:r>
      <w:r w:rsidRPr="00E324E3">
        <w:rPr>
          <w:rStyle w:val="StyleUnderline"/>
        </w:rPr>
        <w:t>the creation of markets in which natural resources can be bought and sold</w:t>
      </w:r>
      <w:r w:rsidRPr="001444C9">
        <w:rPr>
          <w:sz w:val="16"/>
        </w:rPr>
        <w:t xml:space="preserve"> in ways that both sustain these and generate financial return to investors;to </w:t>
      </w:r>
      <w:r w:rsidRPr="00E324E3">
        <w:rPr>
          <w:rStyle w:val="StyleUnderline"/>
        </w:rPr>
        <w:t xml:space="preserve">make conservation </w:t>
      </w:r>
      <w:r w:rsidRPr="001444C9">
        <w:rPr>
          <w:sz w:val="16"/>
        </w:rPr>
        <w:t xml:space="preserve">‘not only affordable, but </w:t>
      </w:r>
      <w:r w:rsidRPr="00E324E3">
        <w:rPr>
          <w:rStyle w:val="StyleUnderline"/>
        </w:rPr>
        <w:t>profitable’</w:t>
      </w:r>
      <w:r w:rsidRPr="001444C9">
        <w:rPr>
          <w:sz w:val="16"/>
        </w:rPr>
        <w:t xml:space="preserve">(Thiam2016, 3). This demands‘[t]ruly sustainable market growth that also delivers measurable conservation benefits’(Credit Suisse and McKinsey2016, 7), </w:t>
      </w:r>
      <w:r w:rsidRPr="00E324E3">
        <w:rPr>
          <w:rStyle w:val="Emphasis"/>
        </w:rPr>
        <w:t>commonly termed ‘green growth’</w:t>
      </w:r>
      <w:r w:rsidRPr="001444C9">
        <w:rPr>
          <w:sz w:val="16"/>
        </w:rPr>
        <w:t xml:space="preserve">. NCA thus builds on efforts over the last few decades to create global markets for trade in ecosystem services. As UNEP asserts,‘[t]ried and tested economic mechanisms and markets exist, which can be replicated and scaled up, including from certified timber schemes, certifica-tion for rainforest products, payments for ecosystem services, benefit-sharing schemes and community-based partnerships’(2011, 9). Similarly, Credit Suisse and McKinsey high-light ‘proven project </w:t>
      </w:r>
      <w:r w:rsidRPr="00E324E3">
        <w:rPr>
          <w:rStyle w:val="StyleUnderline"/>
        </w:rPr>
        <w:t>types and business models</w:t>
      </w:r>
      <w:r w:rsidRPr="001444C9">
        <w:rPr>
          <w:sz w:val="16"/>
        </w:rPr>
        <w:t>’, particularly in ‘</w:t>
      </w:r>
      <w:r w:rsidRPr="00E324E3">
        <w:rPr>
          <w:rStyle w:val="Emphasis"/>
        </w:rPr>
        <w:t>sustainable forestry, sus-tainable agriculture, and ecotourism’</w:t>
      </w:r>
      <w:r w:rsidRPr="001444C9">
        <w:rPr>
          <w:sz w:val="16"/>
        </w:rPr>
        <w:t xml:space="preserve">(2016, 10).Payment for ecosystem services (PES) is commonly considered the archetypal natural capital market–the‘main model’for future‘scaling up’of NCA. PES is also widely seen as the main model for the global REDD+ (Reduced Emissions through avoided Deforesta-tion and land Degradation) mechanism, an ambitious effort to link campaigns to halt deforestation, conserve biodiversity and mitigate climate change. Generally conceptual-ized as a quintessential MBI in its aim to </w:t>
      </w:r>
      <w:r w:rsidRPr="00E324E3">
        <w:rPr>
          <w:rStyle w:val="Emphasis"/>
        </w:rPr>
        <w:t xml:space="preserve">incentivize forest conservation by ascribing mon-etary values to standing forest </w:t>
      </w:r>
      <w:r w:rsidRPr="001444C9">
        <w:rPr>
          <w:sz w:val="16"/>
        </w:rPr>
        <w:t xml:space="preserve">that would cover the opportunity costs of alternative land use and so make conservation more profitable than destruction, over the last decadeREDD+ has been aggressively promoted by conservation organizations and others who have initiated more than 500 pilot projects worldwide (Sunderlin et al.2015). EarlyWorld Bank forecasts anticipated a USD 30 billion global market for REDD+ trade by2030 (Mollicone et al.2007).In building on pre-existing mechanisms, such </w:t>
      </w:r>
      <w:r w:rsidRPr="00E324E3">
        <w:rPr>
          <w:rStyle w:val="StyleUnderline"/>
        </w:rPr>
        <w:t>NCA schemes</w:t>
      </w:r>
      <w:r w:rsidRPr="001444C9">
        <w:rPr>
          <w:sz w:val="16"/>
        </w:rPr>
        <w:t xml:space="preserve"> can be understood as </w:t>
      </w:r>
      <w:r w:rsidRPr="00E324E3">
        <w:rPr>
          <w:rStyle w:val="StyleUnderline"/>
        </w:rPr>
        <w:t>an intensification</w:t>
      </w:r>
      <w:r w:rsidRPr="001444C9">
        <w:rPr>
          <w:sz w:val="16"/>
        </w:rPr>
        <w:t xml:space="preserve">(Nealon2008) </w:t>
      </w:r>
      <w:r w:rsidRPr="00E324E3">
        <w:rPr>
          <w:rStyle w:val="StyleUnderline"/>
        </w:rPr>
        <w:t xml:space="preserve">rather than a wholesale reinvention of </w:t>
      </w:r>
      <w:r w:rsidRPr="001444C9">
        <w:rPr>
          <w:sz w:val="16"/>
        </w:rPr>
        <w:t xml:space="preserve">the </w:t>
      </w:r>
      <w:r w:rsidRPr="00E324E3">
        <w:rPr>
          <w:rStyle w:val="StyleUnderline"/>
        </w:rPr>
        <w:t>neoliberalization</w:t>
      </w:r>
      <w:r w:rsidRPr="001444C9">
        <w:rPr>
          <w:sz w:val="16"/>
        </w:rPr>
        <w:t xml:space="preserve"> already </w:t>
      </w:r>
      <w:r w:rsidRPr="00E324E3">
        <w:rPr>
          <w:rStyle w:val="StyleUnderline"/>
        </w:rPr>
        <w:t>promoted via conservation policy and programing</w:t>
      </w:r>
      <w:r w:rsidRPr="001444C9">
        <w:rPr>
          <w:sz w:val="16"/>
        </w:rPr>
        <w:t xml:space="preserve"> in many locations over the last several decades. Yet it </w:t>
      </w:r>
      <w:r w:rsidRPr="00E324E3">
        <w:rPr>
          <w:rStyle w:val="Emphasis"/>
        </w:rPr>
        <w:t>aims to go far beyond this as well</w:t>
      </w:r>
      <w:r w:rsidRPr="001444C9">
        <w:rPr>
          <w:sz w:val="16"/>
        </w:rPr>
        <w:t xml:space="preserve">. As place-based conservation initiatives, PES and REDD+ are limited in their capacity to generate significant liquid capital that can be grown directly through investment in financial markets. Consequently, the current emphasis in NCA is to move from concrete markets in goods and services to engagement in global financial markets–what Büscher (2013) calls the </w:t>
      </w:r>
      <w:r w:rsidRPr="00E324E3">
        <w:rPr>
          <w:rStyle w:val="Emphasis"/>
        </w:rPr>
        <w:t>pursuit of ‘liquid nature’</w:t>
      </w:r>
      <w:r w:rsidRPr="001444C9">
        <w:rPr>
          <w:sz w:val="16"/>
        </w:rPr>
        <w:t xml:space="preserve"> (see also Sullivan2013). This entails </w:t>
      </w:r>
      <w:r w:rsidRPr="00E324E3">
        <w:rPr>
          <w:rStyle w:val="StyleUnderline"/>
        </w:rPr>
        <w:t>abstracting value from investment</w:t>
      </w:r>
      <w:r w:rsidRPr="001444C9">
        <w:rPr>
          <w:sz w:val="16"/>
        </w:rPr>
        <w:t xml:space="preserve"> inconcrete projects </w:t>
      </w:r>
      <w:r w:rsidRPr="00E324E3">
        <w:rPr>
          <w:rStyle w:val="StyleUnderline"/>
        </w:rPr>
        <w:t>so that it can become</w:t>
      </w:r>
      <w:r w:rsidRPr="001444C9">
        <w:rPr>
          <w:sz w:val="16"/>
        </w:rPr>
        <w:t xml:space="preserve"> fungible and hence </w:t>
      </w:r>
      <w:r w:rsidRPr="00E324E3">
        <w:rPr>
          <w:rStyle w:val="StyleUnderline"/>
        </w:rPr>
        <w:t>convertible across a greater range of instruments</w:t>
      </w:r>
      <w:r w:rsidRPr="001444C9">
        <w:rPr>
          <w:sz w:val="16"/>
        </w:rPr>
        <w:t xml:space="preserve">. The aim is then to combine different instruments in order to ‘bundle a diverse set of cash flows...and mold them into a single investment product’(Credit Suisse and McKinsey2016, 13) with the </w:t>
      </w:r>
      <w:r w:rsidRPr="00E324E3">
        <w:rPr>
          <w:rStyle w:val="Emphasis"/>
        </w:rPr>
        <w:t>ultimate goal of eventually establishing conservation mechanisms as a new ‘asset class’</w:t>
      </w:r>
      <w:r w:rsidRPr="001444C9">
        <w:rPr>
          <w:sz w:val="16"/>
        </w:rPr>
        <w:t xml:space="preserve"> within conventional finance markets. </w:t>
      </w:r>
      <w:r w:rsidRPr="00E324E3">
        <w:rPr>
          <w:rStyle w:val="Emphasis"/>
        </w:rPr>
        <w:t>On the ground, these diverse sets of cash flows work through conservation mechanisms that supposedly offer the rural poor</w:t>
      </w:r>
      <w:r>
        <w:rPr>
          <w:rStyle w:val="Emphasis"/>
        </w:rPr>
        <w:t xml:space="preserve"> </w:t>
      </w:r>
      <w:r w:rsidRPr="00E324E3">
        <w:rPr>
          <w:rStyle w:val="Emphasis"/>
        </w:rPr>
        <w:t>‘co-benefits’</w:t>
      </w:r>
      <w:r>
        <w:rPr>
          <w:rStyle w:val="Emphasis"/>
        </w:rPr>
        <w:t xml:space="preserve"> </w:t>
      </w:r>
      <w:r w:rsidRPr="00E324E3">
        <w:rPr>
          <w:rStyle w:val="Emphasis"/>
        </w:rPr>
        <w:t>and</w:t>
      </w:r>
      <w:r>
        <w:rPr>
          <w:rStyle w:val="Emphasis"/>
        </w:rPr>
        <w:t xml:space="preserve"> </w:t>
      </w:r>
      <w:r w:rsidRPr="00E324E3">
        <w:rPr>
          <w:rStyle w:val="Emphasis"/>
        </w:rPr>
        <w:t>‘low-carbon’</w:t>
      </w:r>
      <w:r>
        <w:rPr>
          <w:rStyle w:val="Emphasis"/>
        </w:rPr>
        <w:t xml:space="preserve"> </w:t>
      </w:r>
      <w:r w:rsidRPr="00E324E3">
        <w:rPr>
          <w:rStyle w:val="Emphasis"/>
        </w:rPr>
        <w:t>futures as they</w:t>
      </w:r>
      <w:r>
        <w:rPr>
          <w:rStyle w:val="Emphasis"/>
        </w:rPr>
        <w:t xml:space="preserve"> </w:t>
      </w:r>
      <w:r w:rsidRPr="00E324E3">
        <w:rPr>
          <w:rStyle w:val="Emphasis"/>
        </w:rPr>
        <w:t>contend with their own political and economic struggles</w:t>
      </w:r>
      <w:r w:rsidRPr="001444C9">
        <w:rPr>
          <w:sz w:val="16"/>
        </w:rPr>
        <w:t xml:space="preserve">. As we show, these schemes obviously </w:t>
      </w:r>
      <w:r w:rsidRPr="00E324E3">
        <w:rPr>
          <w:rStyle w:val="Emphasis"/>
        </w:rPr>
        <w:t>articulate with local livelihood needs and concerns</w:t>
      </w:r>
      <w:r w:rsidRPr="001444C9">
        <w:rPr>
          <w:sz w:val="16"/>
        </w:rPr>
        <w:t xml:space="preserve">, but typically </w:t>
      </w:r>
      <w:r w:rsidRPr="00E324E3">
        <w:rPr>
          <w:rStyle w:val="Emphasis"/>
        </w:rPr>
        <w:t>not in ways that match</w:t>
      </w:r>
      <w:r w:rsidRPr="00E324E3">
        <w:rPr>
          <w:rStyle w:val="StyleUnderline"/>
        </w:rPr>
        <w:t xml:space="preserve"> </w:t>
      </w:r>
      <w:r w:rsidRPr="001444C9">
        <w:rPr>
          <w:sz w:val="16"/>
        </w:rPr>
        <w:t xml:space="preserve">poor rural </w:t>
      </w:r>
      <w:r w:rsidRPr="00E324E3">
        <w:rPr>
          <w:rStyle w:val="Emphasis"/>
        </w:rPr>
        <w:t>residents’ hopes and aspirations</w:t>
      </w:r>
      <w:r w:rsidRPr="001444C9">
        <w:rPr>
          <w:sz w:val="16"/>
        </w:rPr>
        <w:t xml:space="preserve">. Rather than foster agency and empowerment, then, NCA promotion may also constrain it. </w:t>
      </w:r>
      <w:r w:rsidRPr="00E324E3">
        <w:rPr>
          <w:rStyle w:val="StyleUnderline"/>
        </w:rPr>
        <w:t>Such promotion is</w:t>
      </w:r>
      <w:r w:rsidRPr="001444C9">
        <w:rPr>
          <w:sz w:val="16"/>
        </w:rPr>
        <w:t xml:space="preserve"> typically </w:t>
      </w:r>
      <w:r w:rsidRPr="00E324E3">
        <w:rPr>
          <w:rStyle w:val="StyleUnderline"/>
        </w:rPr>
        <w:t>envisioned in neoliberal terms where</w:t>
      </w:r>
      <w:r w:rsidRPr="001444C9">
        <w:rPr>
          <w:sz w:val="16"/>
        </w:rPr>
        <w:t xml:space="preserve">in </w:t>
      </w:r>
      <w:r w:rsidRPr="00E324E3">
        <w:rPr>
          <w:rStyle w:val="Emphasis"/>
          <w:sz w:val="28"/>
          <w:szCs w:val="28"/>
        </w:rPr>
        <w:t>human beings are considered rational actors</w:t>
      </w:r>
      <w:r w:rsidRPr="001444C9">
        <w:rPr>
          <w:sz w:val="16"/>
        </w:rPr>
        <w:t xml:space="preserve"> functioning as‘entrepreneurs of themselves’ </w:t>
      </w:r>
      <w:r w:rsidRPr="00E324E3">
        <w:rPr>
          <w:rStyle w:val="Emphasis"/>
          <w:sz w:val="28"/>
          <w:szCs w:val="28"/>
        </w:rPr>
        <w:t>who can</w:t>
      </w:r>
      <w:r w:rsidRPr="00E324E3">
        <w:rPr>
          <w:rStyle w:val="Emphasis"/>
        </w:rPr>
        <w:t xml:space="preserve"> </w:t>
      </w:r>
      <w:r w:rsidRPr="001444C9">
        <w:rPr>
          <w:sz w:val="16"/>
        </w:rPr>
        <w:t xml:space="preserve">therefore </w:t>
      </w:r>
      <w:r w:rsidRPr="00E324E3">
        <w:rPr>
          <w:rStyle w:val="Emphasis"/>
          <w:sz w:val="28"/>
          <w:szCs w:val="28"/>
        </w:rPr>
        <w:t>be influenced by manipulating costs versus benefits of certain courses of action</w:t>
      </w:r>
      <w:r w:rsidRPr="001444C9">
        <w:rPr>
          <w:sz w:val="16"/>
        </w:rPr>
        <w:t xml:space="preserve"> (Foucault2008; Fletcher2010). This can clearly be observed within promotion of PES that commonly ‘</w:t>
      </w:r>
      <w:r w:rsidRPr="00E324E3">
        <w:rPr>
          <w:rStyle w:val="StyleUnderline"/>
        </w:rPr>
        <w:t>constructs human behavior as determined by individual, material self-interest</w:t>
      </w:r>
      <w:r w:rsidRPr="001444C9">
        <w:rPr>
          <w:sz w:val="16"/>
        </w:rPr>
        <w:t xml:space="preserve">’(McAfeeand Shapiro2010, 595) The </w:t>
      </w:r>
      <w:r w:rsidRPr="0031078C">
        <w:rPr>
          <w:rStyle w:val="StyleUnderline"/>
        </w:rPr>
        <w:t>World Bank</w:t>
      </w:r>
      <w:r w:rsidRPr="001444C9">
        <w:rPr>
          <w:sz w:val="16"/>
        </w:rPr>
        <w:t xml:space="preserve">, for instance, </w:t>
      </w:r>
      <w:r w:rsidRPr="0031078C">
        <w:rPr>
          <w:rStyle w:val="StyleUnderline"/>
        </w:rPr>
        <w:t>states</w:t>
      </w:r>
      <w:r w:rsidRPr="001444C9">
        <w:rPr>
          <w:sz w:val="16"/>
        </w:rPr>
        <w:t>, ‘</w:t>
      </w:r>
      <w:r w:rsidRPr="0031078C">
        <w:rPr>
          <w:rStyle w:val="StyleUnderline"/>
        </w:rPr>
        <w:t>Market</w:t>
      </w:r>
      <w:r w:rsidRPr="001444C9">
        <w:rPr>
          <w:sz w:val="16"/>
        </w:rPr>
        <w:t xml:space="preserve">-driven PES </w:t>
      </w:r>
      <w:r w:rsidRPr="0031078C">
        <w:rPr>
          <w:rStyle w:val="StyleUnderline"/>
        </w:rPr>
        <w:t>programs</w:t>
      </w:r>
      <w:r w:rsidRPr="001444C9">
        <w:rPr>
          <w:sz w:val="16"/>
        </w:rPr>
        <w:t xml:space="preserve"> are </w:t>
      </w:r>
      <w:r w:rsidRPr="0031078C">
        <w:rPr>
          <w:rStyle w:val="StyleUnderline"/>
        </w:rPr>
        <w:t>more likely to be sustainable because they depend on the self-interest of the affected parties</w:t>
      </w:r>
      <w:r w:rsidRPr="001444C9">
        <w:rPr>
          <w:sz w:val="16"/>
        </w:rPr>
        <w:t xml:space="preserve"> rather than on taxes, tariffs, philanthropy, or the whims of donors’(McAfee andShapiro2010, 593).The </w:t>
      </w:r>
      <w:r w:rsidRPr="0031078C">
        <w:rPr>
          <w:rStyle w:val="Emphasis"/>
        </w:rPr>
        <w:t xml:space="preserve">neoliberal biopolitics informing NCA is clearly apparent </w:t>
      </w:r>
      <w:r w:rsidRPr="001444C9">
        <w:rPr>
          <w:sz w:val="16"/>
        </w:rPr>
        <w:t xml:space="preserve">in this frame. As NCA becomes a concerted campaign to unite influential conservation actors and direct conser-vation policy throughout the world, it urgently demands further scrutiny. Some of this has already begun with respect to underlying assumptions (see Sullivan2013, 2017a; Dempsey2016), but how the NCA vision materializes via on-the-ground conservation practices–and how it is perceived and negotiated by the rural residents it targets–has yet to be system-atically investigated. As </w:t>
      </w:r>
      <w:r w:rsidRPr="0031078C">
        <w:rPr>
          <w:rStyle w:val="StyleUnderline"/>
        </w:rPr>
        <w:t>one of the most prominent new processes influencing the lives of</w:t>
      </w:r>
      <w:r>
        <w:rPr>
          <w:rStyle w:val="StyleUnderline"/>
        </w:rPr>
        <w:t xml:space="preserve"> </w:t>
      </w:r>
      <w:r w:rsidRPr="0031078C">
        <w:rPr>
          <w:rStyle w:val="StyleUnderline"/>
        </w:rPr>
        <w:t>rural landholders</w:t>
      </w:r>
      <w:r w:rsidRPr="001444C9">
        <w:rPr>
          <w:sz w:val="16"/>
        </w:rPr>
        <w:t xml:space="preserve"> around the globe, critical analysis of NCA is particularly important for peasant and agrarian studies. In the following, then, we explore two case studies in rural southeast Asia where NCA has been explicitly promoted as the rationale for reno-vated conservation interventions. Defending natural capital The following analysis draws on a comparison of empirical research from southern Palawan,the Philippines, and East Kalimantan, Indonesia, where key actors have increasingly empha-sized the need to enlist rural residents as defenders of natural capital. The cases demon-strate a common process wherein </w:t>
      </w:r>
      <w:r w:rsidRPr="0031078C">
        <w:rPr>
          <w:rStyle w:val="Emphasis"/>
        </w:rPr>
        <w:t>domestic and international civil-society organizations seek to enroll poor farmers within projects informed by a neoliberal biopolitical logic</w:t>
      </w:r>
      <w:r w:rsidRPr="001444C9">
        <w:rPr>
          <w:sz w:val="16"/>
        </w:rPr>
        <w:t xml:space="preserve">. These projects have encouraged shifts from‘traditional’forest use and horticultural prac-tices to more ‘value-added’ production </w:t>
      </w:r>
      <w:r w:rsidRPr="0031078C">
        <w:rPr>
          <w:rStyle w:val="Emphasis"/>
        </w:rPr>
        <w:t>involving performance-based incentives</w:t>
      </w:r>
      <w:r w:rsidRPr="001444C9">
        <w:rPr>
          <w:sz w:val="16"/>
        </w:rPr>
        <w:t>, such as payments for tree planting, rotating funds for sustained livestock production, and similar mechanisms that will ostensibly generate revenue by and for ecosystem services conserva-tion. Both cases evidence a move from earlier integrated conservation and developmentprojects (ICDPs) to newer NCA-based interventions that center on financially valuing astock of resources as‘natural capital’and protecting this from loss or degradation.</w:t>
      </w:r>
    </w:p>
    <w:p w14:paraId="491FDA6C" w14:textId="77777777" w:rsidR="006C0B77" w:rsidRPr="001444C9" w:rsidRDefault="006C0B77" w:rsidP="006C0B77">
      <w:pPr>
        <w:rPr>
          <w:sz w:val="16"/>
        </w:rPr>
      </w:pPr>
    </w:p>
    <w:p w14:paraId="660B4363" w14:textId="77777777" w:rsidR="006C0B77" w:rsidRDefault="006C0B77" w:rsidP="006C0B77">
      <w:pPr>
        <w:pStyle w:val="Heading3"/>
      </w:pPr>
      <w:r>
        <w:t>Environment – Climate Change</w:t>
      </w:r>
    </w:p>
    <w:p w14:paraId="59252B38" w14:textId="77777777" w:rsidR="006C0B77" w:rsidRDefault="006C0B77" w:rsidP="006C0B77">
      <w:pPr>
        <w:pStyle w:val="Heading4"/>
      </w:pPr>
      <w:r>
        <w:t xml:space="preserve">Vulnerability link—the aff’s framing of climate changes through a lens of responsibility extends the power to make live and let die </w:t>
      </w:r>
    </w:p>
    <w:p w14:paraId="01F7DFA9" w14:textId="77777777" w:rsidR="006C0B77" w:rsidRPr="00F04F72" w:rsidRDefault="006C0B77" w:rsidP="006C0B77">
      <w:pPr>
        <w:rPr>
          <w:rStyle w:val="Style13ptBold"/>
        </w:rPr>
      </w:pPr>
      <w:r w:rsidRPr="00F04F72">
        <w:rPr>
          <w:rStyle w:val="Style13ptBold"/>
        </w:rPr>
        <w:t>de Lucia 20</w:t>
      </w:r>
    </w:p>
    <w:p w14:paraId="1D4C017B" w14:textId="77777777" w:rsidR="006C0B77" w:rsidRPr="001444C9" w:rsidRDefault="006C0B77" w:rsidP="006C0B77">
      <w:r w:rsidRPr="001444C9">
        <w:t>Vito, Professor, Norwegian Centre for the Law of the Sea, Faculty of Law, University of Tromsø. “Rethinking the Encounter Between Law and Nature in the Anthropocene: From Biopolitical Sovereignty to Wonder.” Law and Critique (2020) 31:329–349 https://doi.org/10.1007/s10978-020-09281-9</w:t>
      </w:r>
      <w:r w:rsidRPr="001444C9">
        <w:tab/>
        <w:t>LJS</w:t>
      </w:r>
    </w:p>
    <w:p w14:paraId="07E1902D" w14:textId="77777777" w:rsidR="006C0B77" w:rsidRPr="001444C9" w:rsidRDefault="006C0B77" w:rsidP="006C0B77">
      <w:pPr>
        <w:rPr>
          <w:sz w:val="16"/>
        </w:rPr>
      </w:pPr>
      <w:r w:rsidRPr="001444C9">
        <w:rPr>
          <w:sz w:val="16"/>
        </w:rPr>
        <w:t xml:space="preserve">As the body of the Earth is marked and reshaped, however, so is our conception of it. </w:t>
      </w:r>
      <w:r w:rsidRPr="00F04F72">
        <w:rPr>
          <w:rStyle w:val="StyleUnderline"/>
        </w:rPr>
        <w:t>From a hostile territory to be subjugated and exploited through sovereign commands—an exploitation rationalized through philosophical and legal constructions—the Earth is now reframed as a vulnerable domain in need of protection</w:t>
      </w:r>
      <w:r w:rsidRPr="001444C9">
        <w:rPr>
          <w:sz w:val="16"/>
        </w:rPr>
        <w:t xml:space="preserve"> (Fussel 2007, p. 156; Grear 2011; Ippolito and Sánchez 2015; Shindel 2016; Kotzé 2019).8 Indeed, the Anthropocene ‘makes clear the vulnerability of the living order’ (Kotzé 2019, p. 63). Reframing the Earth as vulnerable also provides a novel conceptual framework that, through the emerging ensemble of vulnerability theories, is used to map philosophical and legal problematics and to look for solutions (Grear 2011, p. 23; Brama and Grisólia 2012; Harris 2015; Kotzé 2019, p. 63). </w:t>
      </w:r>
      <w:r w:rsidRPr="00F04F72">
        <w:rPr>
          <w:rStyle w:val="StyleUnderline"/>
        </w:rPr>
        <w:t>This theoretical approach is considered capable of embracing vulnerable beings both human and non-human, as it can ofer a ‘vision’ aligned with the notion of ‘Earth system vulnerability’, that is the recognition that ‘all human and non-human entities’ but also the ‘components and processes making up the entire Earth system’ at every scale, ‘are vulnerable’</w:t>
      </w:r>
      <w:r w:rsidRPr="001444C9">
        <w:rPr>
          <w:sz w:val="16"/>
        </w:rPr>
        <w:t xml:space="preserve"> (Grear 2011; Kotzé 2019, p. 64). Indeed, the sum of all particular vulnerabilities—of humans, of non-human entities, of components and processes of the Earth system—makes up what has been also called ‘planetary vulnerability’ (Kotzé 2019, p. 70). </w:t>
      </w:r>
      <w:r w:rsidRPr="00F04F72">
        <w:rPr>
          <w:rStyle w:val="StyleUnderline"/>
        </w:rPr>
        <w:t>Climate Change is perhaps the central reference with regards to planetary vulnerability,9 but other global ecological problems, such as global biodiversity loss or the signifcant degradation of oceanic environments and resources, as well as the very framework of planetary boundaries, help construct this new image of planetary vulnerability</w:t>
      </w:r>
      <w:r w:rsidRPr="001444C9">
        <w:rPr>
          <w:sz w:val="16"/>
        </w:rPr>
        <w:t xml:space="preserve"> (Rockström et al. 2009; Cuomo 2011). This reframing of the Earth as a vulnerable body, in turn, opens conceptual and theoretical space for rethinking and reimagining, among other things, law (Grear 2011; Kotzé 2019). </w:t>
      </w:r>
      <w:r w:rsidRPr="00F04F72">
        <w:rPr>
          <w:rStyle w:val="StyleUnderline"/>
        </w:rPr>
        <w:t>As the human subject is reimagined as vulnerable in the context of the Anthropocene, something becomes evident: the very modern categories of knowledge and of action, including forms and modalities of operation of power that underpin the Anthropocene, faced with the socio-ecological consequences of their ‘success’, are in a state of crisis</w:t>
      </w:r>
      <w:r w:rsidRPr="001444C9">
        <w:rPr>
          <w:sz w:val="16"/>
        </w:rPr>
        <w:t xml:space="preserve"> (De Lucia 2017a). The subject is suddenly simultaneously sovereign and vulnerable. The Anthropocene then signals simultaneously a deep ecological crisis and a deep cultural crisis. The mode of sovereignty, which has accompanied human and legal history and practice during modernity and has underpinned its project of mastery, appears no longer useful, nor suitable to face the problems raised by planetary vulnerability. Vulnerability is, obviously, a complex concept, whose theoretical sophistication, as well as internal tensions, cannot be done justice to here.10 What is relevant however, for the purposes of this paper, is its role in the discursive reframing of the Earth and by consequence, its role in the shift in the psychology and practices of power and law. </w:t>
      </w:r>
      <w:r w:rsidRPr="00F04F72">
        <w:rPr>
          <w:rStyle w:val="StyleUnderline"/>
        </w:rPr>
        <w:t>If the Earth is vulnerable in fact, its body can be materially and visibly marked by human activity—and that is what geological and stratigraphic analyses seem to be telling us. This also means that its resources are fnite and exhaustible, a recognition that challenges some of the foundational concepts of law, premised on an imaginary of inexhaustibility.11 What then of the primary modality of operation of power, and of law, that of sovereignty</w:t>
      </w:r>
      <w:r w:rsidRPr="001444C9">
        <w:rPr>
          <w:sz w:val="16"/>
        </w:rPr>
        <w:t xml:space="preserve">?12 A necessarily cursory look at the genealogy of sovereignty will readily show how its conceptual core13 is constructed on the model of dominium as it emerged at the birth of modernity, in the debates frst occasioned by the so-called dispute on poverty (Grossi 1972; Tierney 1997; Parisoli 2010); as it developed in the context of the Salamanca school (Grossi 1972); and as it further developed into modernity proper (Tuck 1998), albeit already disjointed in private appropriation and public sovereignty, by Hobbes and Locke (MacPherson 1962; Esposito 2008). This conceptual core refects the relation between the public and private dimensions of a singular concept, whose relation, even if not exhausting either dimension in a complete mutual assimilation, presents a common underlying feature, particularly as regards the mechanics of subjugation of nature which are of interest for this paper. </w:t>
      </w:r>
      <w:r w:rsidRPr="00F04F72">
        <w:rPr>
          <w:rStyle w:val="StyleUnderline"/>
        </w:rPr>
        <w:t>As observed in relation to the colonial appropriation of the Americas, in fact, ‘absence of property signals absence of sovereignty’</w:t>
      </w:r>
      <w:r w:rsidRPr="001444C9">
        <w:rPr>
          <w:sz w:val="16"/>
        </w:rPr>
        <w:t xml:space="preserve"> (Kuehls 1998, p. 43). This connection between dominium and sovereignty is indeed widely recognized,14 and it has been observed how ‘sovereignty and property, as legal institutions, follow the same logic’ (Mattei 2013; Lee 2012, p. 81; Urueña 2006; Grotius 1625). This conceptual core also relates to what is usually identifed as the fundamental faw of the current paradigm: anthropocentrism (Grear 2011; Curry 2011; Grear 2015; Philippopoulos-Mihalopoulos 2015; De Lucia 2017b). The core of this sovereign paradigm is premised on the centrality of the ‘invulnerable’ subject (Grear 2010; Fineman and Grear 2013; Kotzé 2019, p. 79), and on a framework of conceptual mastery and material domination over nature (Cannavò 2019) 15 which organizes the extraction and exploitation of natural resources according to a well ordained project underpinned by an appropriate legal framework (Merchant 1990; Sargent and Bacon 1999). </w:t>
      </w:r>
      <w:r w:rsidRPr="00F04F72">
        <w:rPr>
          <w:rStyle w:val="StyleUnderline"/>
        </w:rPr>
        <w:t>Through sovereignty, the body of Earth has been materially and legally appropriated, has been distributed, and has been wounded. However, this sovereign mode of power, with its anthropocentric, extractive outlook, is no longer functional in the Anthropocene</w:t>
      </w:r>
      <w:r w:rsidRPr="001444C9">
        <w:rPr>
          <w:sz w:val="16"/>
        </w:rPr>
        <w:t xml:space="preserve">. It has rather become ‘counterproductive’ (Illich 1976).16 </w:t>
      </w:r>
      <w:r w:rsidRPr="00F04F72">
        <w:rPr>
          <w:rStyle w:val="StyleUnderline"/>
        </w:rPr>
        <w:t>Law must refect this new situation by taking ‘anthropocenic responsibility’ (Cloutier de Repentigny 2020, p. 180) for the well-being of the vulnerable planet.</w:t>
      </w:r>
      <w:r w:rsidRPr="001444C9">
        <w:rPr>
          <w:sz w:val="16"/>
        </w:rPr>
        <w:t xml:space="preserve"> As increasingly recognized and urged, in fact, ‘to ensure responsible human geological agency, law must be used strategically to destabilise the dominant paradigm and reform it in something that recognises our responsibility towards the oceans and the biosphere’ (ibid, pp. 180, 181). After Sovereignty: The Biopolitics of Earth</w:t>
      </w:r>
      <w:r w:rsidRPr="001444C9">
        <w:rPr>
          <w:rFonts w:ascii="Cambria Math" w:hAnsi="Cambria Math" w:cs="Cambria Math"/>
          <w:sz w:val="16"/>
        </w:rPr>
        <w:t>‑</w:t>
      </w:r>
      <w:r w:rsidRPr="001444C9">
        <w:rPr>
          <w:sz w:val="16"/>
        </w:rPr>
        <w:t xml:space="preserve">Care As the Earth is reconfgured and re-imagined discursively as a vulnerable body, power and law must no longer focus, nor can they build their legitimacy, on appropriation and extraction. They must focus on care. </w:t>
      </w:r>
      <w:r w:rsidRPr="00F04F72">
        <w:rPr>
          <w:rStyle w:val="StyleUnderline"/>
        </w:rPr>
        <w:t xml:space="preserve">In order to accommodate the need to transform the operations of law, from a modality of exploitation to one of care, sovereign power thus morphs into biopower, and more specifcally biopolitics. </w:t>
      </w:r>
      <w:r w:rsidRPr="001444C9">
        <w:rPr>
          <w:sz w:val="16"/>
        </w:rPr>
        <w:t>Biopolitics ofers in this respect an answer, as it shifts the focus of power, changes its modalities of interventions, and rearticulates its legitimacy on the idea of taking responsibility for the Earth, for nature. Biopolitics is one of two modes of operation of a new biological form of power (biopower) that seizes life under its purview (Foucault 1978, 2004). Biopower refects a shift in discursive and operative emphasis</w:t>
      </w:r>
      <w:r w:rsidRPr="00F04F72">
        <w:rPr>
          <w:rStyle w:val="StyleUnderline"/>
        </w:rPr>
        <w:t>. While sovereign power entails the right to let live which is ultimately exercised through the power to kill (or, rather, through its restraint), biopower is a power to ‘make live and let die’</w:t>
      </w:r>
      <w:r w:rsidRPr="001444C9">
        <w:rPr>
          <w:sz w:val="16"/>
        </w:rPr>
        <w:t xml:space="preserve"> (Foucault 1978, p. 144). Unlike sovereign power, biopower qualifes, measures, appraises and hierarchizes, with the ultimate aim of fostering life. This is achieved at two levels. </w:t>
      </w:r>
      <w:r w:rsidRPr="00F04F72">
        <w:rPr>
          <w:rStyle w:val="StyleUnderline"/>
        </w:rPr>
        <w:t>At the level of the individual body, through disciplinary interventions; and at the level of populations, through interventions aimed at controlling life as a set of biological processes. The goal of biopolitics is thus to foster life, insofar as it can be regularized and its processes predicted and optimized. With particular respect to the environment, nature is no longer simply an object of sovereign exploitation, but becomes subjected to a series of positive interventions that aim at its care, at fostering and optimizing its processes, and at the same time at the enhancement of its productive forces. Biopolitics enfolds nature in its logic in two distinct but complementary ways: frstly, as a set of processes central to human well-being, to the extent that human populations are afected in multiple ways by the environment they live in and by natural processes; secondly, as the immediate focus of concern. From this second perspective, biopolitics aims at the protection, regularization and optimization of nature itself</w:t>
      </w:r>
      <w:r w:rsidRPr="001444C9">
        <w:rPr>
          <w:sz w:val="16"/>
        </w:rPr>
        <w:t xml:space="preserve"> (De Lucia 2019a). </w:t>
      </w:r>
      <w:r w:rsidRPr="00F04F72">
        <w:rPr>
          <w:rStyle w:val="StyleUnderline"/>
        </w:rPr>
        <w:t>Furthermore, and in line with Foucault’s insight into the co-implicated relation between power and forms of knowledge, the expansion of biopolitical regimes to the natural environment is historically contingent on the development of a number of scientifc disciplines such as biology and ecology, on key conservation concepts such as biodiversity or sustainable development, as well as on a number of technologies and techniques that allow the continuous monitoring of ecosystem processes</w:t>
      </w:r>
      <w:r w:rsidRPr="001444C9">
        <w:rPr>
          <w:sz w:val="16"/>
        </w:rPr>
        <w:t xml:space="preserve"> (De Lucia 2017a). Ecology in particular plays a crucial part, as it ‘provided the political technology for new forms of regulatory intervention in the management of the population and resources’ (Rutherford 2000, p. 4). Environmental law, from this perspective, becomes a crucial juncture where knowledge and power intersect and coalesce into a regulatory framework aimed precisely at classifying, protecting, regularizing and optimizing nature, particularly through the double goal of conservation and sustainable use of biological diversity (De Lucia 2017b, 2019a). </w:t>
      </w:r>
      <w:r w:rsidRPr="00F04F72">
        <w:rPr>
          <w:rStyle w:val="StyleUnderline"/>
        </w:rPr>
        <w:t>Power governs no longer through sovereign command, but through technical norms and scientifc regimes of knowledge</w:t>
      </w:r>
      <w:r w:rsidRPr="001444C9">
        <w:rPr>
          <w:sz w:val="16"/>
        </w:rPr>
        <w:t xml:space="preserve"> (though always through law!).17 </w:t>
      </w:r>
      <w:r w:rsidRPr="00F04F72">
        <w:rPr>
          <w:rStyle w:val="StyleUnderline"/>
        </w:rPr>
        <w:t>Power, through biopolitics, becomes equivalent with Earth-care</w:t>
      </w:r>
      <w:r w:rsidRPr="001444C9">
        <w:rPr>
          <w:sz w:val="16"/>
        </w:rPr>
        <w:t xml:space="preserve">. Care and Subjugation: Biopolitical Sovereignty </w:t>
      </w:r>
      <w:r w:rsidRPr="00F04F72">
        <w:rPr>
          <w:rStyle w:val="StyleUnderline"/>
        </w:rPr>
        <w:t xml:space="preserve">Yet, to achieve its purposes, biopolitics must engulf nature in its entirety under a conceptual and regulatory framework where care and subjugation, vulnerability and productivity, life and death are constantly entangled in a reciprocal and inevitable relation. </w:t>
      </w:r>
      <w:r w:rsidRPr="001444C9">
        <w:rPr>
          <w:sz w:val="16"/>
        </w:rPr>
        <w:t xml:space="preserve">Sovereignty thus returns inevitably as a key modality of biopolitical intervention, when nature is recalcitrant, wild, spontaneous, unpredictable, violent or dangerous. Biopolitics remains caught in an undecidable dilemma, where in order to care for and protect the Earth, it must subjugate it, thus determining simultaneously the displacement of sovereignty and its eternal return, in a continuous oscillation between a positive biopolitics and a negative thanatopolitics (that is, a politics of death) (Agamben 1998; Esposito 2008). This oscillatory, aporetic entanglement can be made immediately visible through two examples: ecosystem monitoring programs and the regulation of invasive alien species. With regards to ecosystem monitoring programs, for power to care proactively for the Earth through biopolitical interventions, it must frst know. To know, and to keep this knowledge up to date, it must enfold each ecosystem, each ecological and biological process with extensive, penetrating and comprehensive assessment, monitoring and mapping programs. These are indeed key tactics and methods of the relevant sciences such as conservation, biology and ecology. For example, the global biodiversity census proposed by famous conservation biologist Edward Wilson is a tactic that can be understood biopolitically as a form of Foucauldian ‘panopticism’ (Foucault 1977) aimed at subsuming life/nature under a comprehensive ‘modality of intervention’ (Rutherford 2000, p. 140). Through its processes of ‘identifcation, collection of specimens, and subsequent research’, the global biodiversity census aims at ‘neatly packaging’ nonhuman nature into a set of designations which, in turn, facilitate both ‘conservation and commodifcation’ (Youatt 2008). </w:t>
      </w:r>
      <w:r w:rsidRPr="00F04F72">
        <w:rPr>
          <w:rStyle w:val="StyleUnderline"/>
        </w:rPr>
        <w:t>This panopticist program of biopolitical surveillance is operationalized through the intersection of knowledge and power, of science and law, whose collaborative efort gives rise and shape to an ecological regime of truth enacted precisely through such intense and comprehensive monitoring programs</w:t>
      </w:r>
      <w:r w:rsidRPr="001444C9">
        <w:rPr>
          <w:sz w:val="16"/>
        </w:rPr>
        <w:t xml:space="preserve">—including the International Biological Program,18 the Global Census of Marine Life19 and the Global Taxonomy Initiative (GTI).20 From the biopolitical perspective embodied in such tactics and practices, ‘nonhumans are [ultimately] regulated and rationalised in matrices of knowledge and science, through which they are readied as productive resources for capitalism and mined as repositories of genetic information’ (Youatt 2008, p. 394). These programs refect the key biopolitical goal of ‘planetary management’ enacted through the establishment of surveillance mechanisms aimed at monitoring ‘the vital signs of the planet’ so as to ‘aid humans in protecting its health’ and care for planetary vulnerability (WCED 1987, para 56; De Lucia 2015).21 With regards to the regulation of invasive alien species, this oscillation is a central operational logic, given that in the same gesture life is protected and destroyed, fostered and killed, as the conservation of biodiversity must be ensured through the eradication of invasive alien species which are, literally, killed (for example via snipers or through poisoned pellets) (De Lucia 2018). This is precisely a biopolitical command which not only classifes ‘life into species and populations’, as part of its taxonomic eforts, but also decides ‘who shall live and who shall die, what life-forms will be promoted and which will be terminated’ (Biermann and Mansfeld 2014, p. 261; see also Braverman 2018). </w:t>
      </w:r>
      <w:r w:rsidRPr="00F04F72">
        <w:rPr>
          <w:rStyle w:val="StyleUnderline"/>
        </w:rPr>
        <w:t>This illustrates vividly how biopolitics is fully intertwined with sovereign power. Its interventions, enacted through legal regulation, create a seamless matrix of care and control that efectively rests on a biopolitical sovereignty.</w:t>
      </w:r>
      <w:r w:rsidRPr="001444C9">
        <w:rPr>
          <w:sz w:val="16"/>
        </w:rPr>
        <w:t xml:space="preserve"> This in turn ofers a concrete example of the continuity between sovereignty and biopolitics that makes perhaps more explicit what has been described as a ‘hidden point of intersection’ (Agamben 1998, p. 11), or as a ‘secret and essential’ relation that signals a fundamental ‘logic of copresence’ between the two (Esposito 2008, pp. 39–40). In this respect, biopolitics remains utterly modern, or as argued by Roberto Esposito, modernity has always been biopolitical, insofar as modernity has emerged as a framework for the protection of life against life’s own excesses (Esposito 2008).</w:t>
      </w:r>
    </w:p>
    <w:p w14:paraId="10E7D813" w14:textId="630BEE99" w:rsidR="00292282" w:rsidRDefault="00292282" w:rsidP="006C0B77">
      <w:pPr>
        <w:pStyle w:val="Heading1"/>
      </w:pPr>
      <w:r>
        <w:t>Method</w:t>
      </w:r>
    </w:p>
    <w:p w14:paraId="313D0D33" w14:textId="0F6277D0" w:rsidR="00511E26" w:rsidRDefault="00511E26" w:rsidP="006C0B77">
      <w:pPr>
        <w:pStyle w:val="Heading2"/>
      </w:pPr>
      <w:r>
        <w:t>Genealogy</w:t>
      </w:r>
    </w:p>
    <w:p w14:paraId="6C9FE658" w14:textId="65FB2EDA" w:rsidR="006C0B77" w:rsidRPr="006C0B77" w:rsidRDefault="006C0B77" w:rsidP="006C0B77">
      <w:pPr>
        <w:pStyle w:val="Heading3"/>
      </w:pPr>
      <w:r>
        <w:t>Solvency</w:t>
      </w:r>
    </w:p>
    <w:p w14:paraId="4F9B134B" w14:textId="77777777" w:rsidR="00511E26" w:rsidRPr="00E20A55" w:rsidRDefault="00511E26" w:rsidP="00511E26">
      <w:pPr>
        <w:pStyle w:val="Heading4"/>
        <w:rPr>
          <w:rStyle w:val="Style13ptBold"/>
          <w:b/>
        </w:rPr>
      </w:pPr>
      <w:r w:rsidRPr="00E20A55">
        <w:rPr>
          <w:rStyle w:val="Style13ptBold"/>
          <w:b/>
        </w:rPr>
        <w:t>The genealogical approach is one of detachment—once the genealogist detaches themselves then they are able to see that they were fed false information about their essence, and the ideas of “origin” that they were taught have dominate Europe for two thousand years</w:t>
      </w:r>
    </w:p>
    <w:p w14:paraId="0B400EF3" w14:textId="77777777" w:rsidR="00511E26" w:rsidRPr="00B81C02" w:rsidRDefault="00511E26" w:rsidP="00511E26">
      <w:pPr>
        <w:rPr>
          <w:rStyle w:val="Style13ptBold"/>
        </w:rPr>
      </w:pPr>
      <w:r>
        <w:rPr>
          <w:rStyle w:val="Style13ptBold"/>
        </w:rPr>
        <w:t xml:space="preserve">Sembou 11 </w:t>
      </w:r>
      <w:r w:rsidRPr="007964D3">
        <w:t xml:space="preserve">[Evangelia, Political Philosophy, Political Theory, Social Theory, Hegel, Political Science, and History of Political Thought (Ancient and Modern), “Foucault’s Genealogy” 6-16, </w:t>
      </w:r>
      <w:hyperlink r:id="rId14" w:history="1">
        <w:r w:rsidRPr="007964D3">
          <w:t>https://www.academia.edu/679231/_Foucaults_Genealogy_</w:t>
        </w:r>
      </w:hyperlink>
      <w:r w:rsidRPr="007964D3">
        <w:t>] Reynoso</w:t>
      </w:r>
    </w:p>
    <w:p w14:paraId="338A2691" w14:textId="77777777" w:rsidR="00511E26" w:rsidRDefault="00511E26" w:rsidP="00511E26">
      <w:r w:rsidRPr="00326D7D">
        <w:t xml:space="preserve">Foucault describes genealogy using one of Nietzsche’s well-known metaphors. </w:t>
      </w:r>
      <w:r w:rsidRPr="00326D7D">
        <w:rPr>
          <w:u w:val="single"/>
        </w:rPr>
        <w:t>Genealogy is “gray”, its task being to decipher the hieroglyphic script of humans’ past, a past that is neither black</w:t>
      </w:r>
      <w:r w:rsidRPr="00326D7D">
        <w:t xml:space="preserve"> (i.e. totally unknown) </w:t>
      </w:r>
      <w:r w:rsidRPr="00326D7D">
        <w:rPr>
          <w:u w:val="single"/>
        </w:rPr>
        <w:t>nor white</w:t>
      </w:r>
      <w:r w:rsidRPr="00326D7D">
        <w:t xml:space="preserve"> (i.e. transparent), </w:t>
      </w:r>
      <w:r w:rsidRPr="00326D7D">
        <w:rPr>
          <w:u w:val="single"/>
        </w:rPr>
        <w:t>but something in between</w:t>
      </w:r>
      <w:r w:rsidRPr="00326D7D">
        <w:t xml:space="preserve"> (gray), </w:t>
      </w:r>
      <w:r w:rsidRPr="00326D7D">
        <w:rPr>
          <w:u w:val="single"/>
        </w:rPr>
        <w:t>that is, ambiguous and uncertain</w:t>
      </w:r>
      <w:r w:rsidRPr="00326D7D">
        <w:t>. Thus, a rigorous investigation is needed, if the meaning of the past is to be uncovered: “</w:t>
      </w:r>
      <w:r w:rsidRPr="00326D7D">
        <w:rPr>
          <w:rStyle w:val="StyleUnderline"/>
        </w:rPr>
        <w:t>Genealogy, consequently, requires patience and a knowledge of details, and it depends on a vast accumulation of source material.”</w:t>
      </w:r>
      <w:r w:rsidRPr="00326D7D">
        <w:t xml:space="preserve"> Due to its minuteness, </w:t>
      </w:r>
      <w:r w:rsidRPr="00326D7D">
        <w:rPr>
          <w:rStyle w:val="StyleUnderline"/>
        </w:rPr>
        <w:t>genealogy may at first give us the impression that it deals with trivial, everyday things, rather than with important developments</w:t>
      </w:r>
      <w:r w:rsidRPr="00326D7D">
        <w:t xml:space="preserve">. However, </w:t>
      </w:r>
      <w:r w:rsidRPr="00326D7D">
        <w:rPr>
          <w:u w:val="single"/>
        </w:rPr>
        <w:t xml:space="preserve">genealogy acquires its character from recording “what we tend to feel is without history”, instances such as “sentiments, love, conscience, instincts”. </w:t>
      </w:r>
      <w:r w:rsidRPr="00326D7D">
        <w:t xml:space="preserve">Crucially, the writing of the human past by the genealogist is necessarily an interpretation, which itself is neither true nor false. For Foucault, the genealogist is an interpreter but not a hermeneutician. </w:t>
      </w:r>
      <w:r w:rsidRPr="00326D7D">
        <w:rPr>
          <w:rStyle w:val="StyleUnderline"/>
        </w:rPr>
        <w:t xml:space="preserve">The genealogist as interpreter recognizes that the meaning he/she gives to history is doubtful </w:t>
      </w:r>
      <w:r w:rsidRPr="00326D7D">
        <w:t>(hence “gray”), “</w:t>
      </w:r>
      <w:r w:rsidRPr="00326D7D">
        <w:rPr>
          <w:rStyle w:val="StyleUnderline"/>
        </w:rPr>
        <w:t>acknowledges its system of injustice</w:t>
      </w:r>
      <w:r w:rsidRPr="00326D7D">
        <w:t xml:space="preserve">”10 </w:t>
      </w:r>
      <w:r w:rsidRPr="00326D7D">
        <w:rPr>
          <w:rStyle w:val="StyleUnderline"/>
        </w:rPr>
        <w:t>and the fact that his/her interpretation is subject to revision. The genealogist-interpreter has a sense of where he/she stands in history and does not ignore the fact that he/she is the product of historic and social circumstances</w:t>
      </w:r>
      <w:r w:rsidRPr="00326D7D">
        <w:t xml:space="preserve">; however, </w:t>
      </w:r>
      <w:r w:rsidRPr="00326D7D">
        <w:rPr>
          <w:rStyle w:val="StyleUnderline"/>
        </w:rPr>
        <w:t>simultaneously he/she is able to distance him-/herself from his/her situation in order to examine things from afar. In doing so, the genealogist-interpreter ignores the actors’ own interpretation(s) of the meaning of their actions. Therefore, the genealogical approach is one of detachment.</w:t>
      </w:r>
      <w:r w:rsidRPr="00326D7D">
        <w:t xml:space="preserve"> By contrast, the approach of the hermeneutician is one of engagement, as he/she attempts to grasp the significance of things from within them. As opposed to the interpreter-hermeneutician, </w:t>
      </w:r>
      <w:r w:rsidRPr="00326D7D">
        <w:rPr>
          <w:rStyle w:val="StyleUnderline"/>
        </w:rPr>
        <w:t>the genealogist-interpreter “finds that the questions which are traditionally held to be the deepest and murkiest are truly and literally the most superficial”.</w:t>
      </w:r>
      <w:r w:rsidRPr="00326D7D">
        <w:t xml:space="preserve"> Thus, “their meaning is to be discovered in surface practices, not in mysterious depths”. Accordingly, a genealogical interpretation is distinctly different from a hermeneutical approach. The claim that interpretation is not the uncovering of a hidden meaning has revolutionary implications for philosophy; or better, it is a direct attack against philosophy, as it traditionally has been understood. For Foucault’s </w:t>
      </w:r>
      <w:r w:rsidRPr="00326D7D">
        <w:rPr>
          <w:rStyle w:val="StyleUnderline"/>
        </w:rPr>
        <w:t>genealogy undermines the belief in the existence of unchanging essences and truths</w:t>
      </w:r>
      <w:r w:rsidRPr="00326D7D">
        <w:t xml:space="preserve">. When he realized that there are no primordial verities in the world, Foucault shifted his emphasis from his early studies on madness to his work of the seventies and eighties. In his early work Foucault had pre-supposed an essence of madness, namely, an original truth. But in his genealogical writings Foucault engaged in a deconstructive exercise. Continuing Nietzsche’s tradition of “philosophizing with the hammer” Foucault sought to destroy all the metaphysical ideas that have dominated Western philosophy since Plato. Foucault was more conscious of genealogy as a method than Nietzsche was. Therefore, he set forth its objectives. To begin with, Foucault was more careful to define what genealogy as an history concerned with tracing origins meant. In examining Nietzsche’s genealogy, Foucault noted that Nietzsche used “Ursprung”, “Entstehung” and “Herkunft” interchangeably. Foucault argues that the problem of the term “Ursprung” is that it refers to “something that was already there” – viz. a deeper reality – before the search began. However, </w:t>
      </w:r>
      <w:r w:rsidRPr="00326D7D">
        <w:rPr>
          <w:rStyle w:val="StyleUnderline"/>
        </w:rPr>
        <w:t>if the genealogist refuses to extend his faith in metaphysics, if he listens to history, he finds that there is “something altogether different” behind things: not a timeless and essential secret, but the secret that they have no essence or that their essence was fabricated in a piecemeal fashion from alien forms In other words</w:t>
      </w:r>
      <w:r w:rsidRPr="00326D7D">
        <w:t xml:space="preserve">, for Foucault, </w:t>
      </w:r>
      <w:r w:rsidRPr="00326D7D">
        <w:rPr>
          <w:rStyle w:val="StyleUnderline"/>
        </w:rPr>
        <w:t>the idea of the “origin” is just a metaphysical truth that has dominated European thought for two thousand years.</w:t>
      </w:r>
      <w:r w:rsidRPr="00326D7D">
        <w:t xml:space="preserve"> In Nietzschean terms, genealogy questions the “will to truth”: “…devotion to truth and the precision of scientific methods arose from the passion of scholars, their reciprocal hatred, their fanatical and ending discussions, and their spirit of competition – the personal conflicts that slowly forged the weapons of reason”. According to Foucault, “Herkunft” and “Entstehung” characterize the task of genealogy better. Herkunft is the equivalent of stock or descent; it is the ancient affiliation to a group, sustained by the bonds of blood, tradition, or social class. The analysis of Herkunft often involves a consideration of race or social type. But the traits it attempts to identify are not the exclusive generic characteristics of an individual, a sentiment, or an idea, which permit us to qualify them as “Greek” or “English”; rather, it seeks the subtle, singular, and subindividual marks that might possibly intersect in them to form a network that is difficult to unravel. </w:t>
      </w:r>
      <w:r w:rsidRPr="00326D7D">
        <w:rPr>
          <w:rStyle w:val="StyleUnderline"/>
        </w:rPr>
        <w:t xml:space="preserve">Genealogy engages in deconstruction, for the analysis of “Herkunft” fragments what was considered unified; it does not merely challenge the linear conception of history but also identifies an underlying continuity, which is the product of “the accidents, the minute deviations – or conversely, the complete reversals – the errors, the false appraisals, and the faulty calculations that gave birth to those things that continue to exist and have value for us </w:t>
      </w:r>
      <w:r w:rsidRPr="00326D7D">
        <w:t>“As Foucault says, genealogy elaborates “a theory of discontinuous systematicities”. However, although these discontinuous series have their regularity, there are no links of mechanical causality or of ideal necessity between the elements that constitute them. Hence the significance of chance, accident or aléa.</w:t>
      </w:r>
    </w:p>
    <w:p w14:paraId="55F65B8C" w14:textId="77777777" w:rsidR="00511E26" w:rsidRPr="00BC298F" w:rsidRDefault="00511E26" w:rsidP="00511E26">
      <w:pPr>
        <w:pStyle w:val="Heading4"/>
        <w:rPr>
          <w:rStyle w:val="Style13ptBold"/>
          <w:b/>
        </w:rPr>
      </w:pPr>
      <w:r w:rsidRPr="00BC298F">
        <w:rPr>
          <w:rStyle w:val="Style13ptBold"/>
          <w:b/>
        </w:rPr>
        <w:t>A genealogical history begins with the identification of a power, in order to then see how it emerged—power produces knowledge and genealogy unmasks the relation</w:t>
      </w:r>
    </w:p>
    <w:p w14:paraId="6722DFA6" w14:textId="77777777" w:rsidR="00511E26" w:rsidRPr="0041600F" w:rsidRDefault="00511E26" w:rsidP="00511E26">
      <w:pPr>
        <w:rPr>
          <w:b/>
          <w:sz w:val="26"/>
        </w:rPr>
      </w:pPr>
      <w:r>
        <w:rPr>
          <w:rStyle w:val="Style13ptBold"/>
        </w:rPr>
        <w:t xml:space="preserve">Sembou 11 </w:t>
      </w:r>
      <w:r w:rsidRPr="007964D3">
        <w:t xml:space="preserve">[Evangelia, Political Philosophy, Political Theory, Social Theory, Hegel, Political Science, and History of Political Thought (Ancient and Modern), “Foucault’s Genealogy” 6-16, </w:t>
      </w:r>
      <w:hyperlink r:id="rId15" w:history="1">
        <w:r w:rsidRPr="007964D3">
          <w:t>https://www.academia.edu/679231/_Foucaults_Genealogy_</w:t>
        </w:r>
      </w:hyperlink>
      <w:r w:rsidRPr="007964D3">
        <w:t>] Reynoso</w:t>
      </w:r>
    </w:p>
    <w:p w14:paraId="3FEAE2AF" w14:textId="77777777" w:rsidR="00511E26" w:rsidRDefault="00511E26" w:rsidP="00511E26">
      <w:pPr>
        <w:rPr>
          <w:sz w:val="16"/>
        </w:rPr>
      </w:pPr>
      <w:r w:rsidRPr="00752D51">
        <w:rPr>
          <w:sz w:val="16"/>
        </w:rPr>
        <w:t xml:space="preserve">What is wrong with “a history of the past in terms of the present”? According to Foucault, this is the “presentist fallacy”; the historian takes “a model or a concept, an institution, a feeling, or a symbol from his present” and attempts to “find that it had a parallel meaning in the past”.41 Nor does a genealogical history attempt to discover the underlying laws of history, thereby falling in the trap of finalism. The latter holds that the present is the accomplishment of some latent goal in the past. Rather, </w:t>
      </w:r>
      <w:r w:rsidRPr="005B6EE2">
        <w:rPr>
          <w:rStyle w:val="StyleUnderline"/>
        </w:rPr>
        <w:t>a genealogical history begins with a diagnosis of the present. The genealogist-historian locates the manifestations of a given “meticulous ritual of power” to see where it arose and how it developed.</w:t>
      </w:r>
      <w:r w:rsidRPr="00752D51">
        <w:rPr>
          <w:sz w:val="16"/>
        </w:rPr>
        <w:t xml:space="preserve"> Discipline and Punish examines the “Entstehung” of the human sciences (which Foucault calls “pseudo-sciences”) and their relation to the “Entstehung” of the prison. Foucault says: This book is intended as…a genealogy of the present scientific legal complex from which the power to punish derives its bases, justifications and rules, from which it extends its effects and by which it masks its exorbitant singularity.” A genealogical enquiry shows that “…</w:t>
      </w:r>
      <w:r w:rsidRPr="00752D51">
        <w:rPr>
          <w:rStyle w:val="StyleUnderline"/>
        </w:rPr>
        <w:t>power produces knowledge…that power and knowledge directly imply one another”</w:t>
      </w:r>
      <w:r w:rsidRPr="00752D51">
        <w:rPr>
          <w:sz w:val="16"/>
        </w:rPr>
        <w:t xml:space="preserve">. What is the relationship between the prison and the human sciences? It seems that Foucault does not clearly differentiate between the two Entstehungsgeschichten, despite the fact that he did not wish to reduce the one to the other. Notice: I am not saying that the human sciences emerged from the prison. But, if they have been able to be formed and to produce so many profound changes in the episteme, it is because they have been conveyed by a specific and new modality of power: a certain policy of the body, a certain way of rendering the group of men docile and useful. </w:t>
      </w:r>
      <w:r w:rsidRPr="00752D51">
        <w:rPr>
          <w:rStyle w:val="StyleUnderline"/>
        </w:rPr>
        <w:t>The connection that Foucault makes between “power” and “knowledge” is innovative</w:t>
      </w:r>
      <w:r w:rsidRPr="00752D51">
        <w:rPr>
          <w:sz w:val="16"/>
        </w:rPr>
        <w:t xml:space="preserve">. Foucault’s use of a hyphen between these two terms is meant to show the constitutive (or productive) aspect of knowledge.45 Power (relations) and knowledge (or truth) implicate each other,46 hence Foucault’s term “power-knowledge”47 («pouvoirsavoir»).48 The meaning of the composite term “pouvoir/savoir” is more complex than the English translation “power/knowledge” would at first sight suggest. In French there are different words for different forms of knowledge. In his archaeological works Foucault used the word “savoir” to refer to the “implicit knowledge” characteristic of an historical epoch, that is, to the “common sense” of a people at that time at a specific place; he was concerned with how the “savoir” shaped the “explicit knowledge” – what he called “connaissance” – “that is institutionalized in the disciplines that make up the human sciences”.49 Concerning “pouvoir”, although it is translated as “power”, one should not forget that in French it is also the infinitive form of the verb “to be able to”, i.e. “can”. Accordingly, as Ellen K. Feder says: In Foucault’s work, pouvoir must be understood in this dual sense, as both “power” as English speakers generally take it (which could also be rendered as puissance or force in French), but also as a kind of potentiality, capability or capacity. </w:t>
      </w:r>
      <w:r w:rsidRPr="00752D51">
        <w:rPr>
          <w:rStyle w:val="StyleUnderline"/>
        </w:rPr>
        <w:t>Power</w:t>
      </w:r>
      <w:r w:rsidRPr="00752D51">
        <w:rPr>
          <w:sz w:val="16"/>
        </w:rPr>
        <w:t>, Foucault tells us</w:t>
      </w:r>
      <w:r w:rsidRPr="00752D51">
        <w:rPr>
          <w:rStyle w:val="StyleUnderline"/>
        </w:rPr>
        <w:t>, must be understood to be more complex than a term like puissance conveys; it has multiple forms and can issue from “anywhere</w:t>
      </w:r>
      <w:r w:rsidRPr="00752D51">
        <w:rPr>
          <w:sz w:val="16"/>
        </w:rPr>
        <w:t xml:space="preserve">”.50 Additionally, it is difficult to translate the composite “power/knowledge”. Gayatri Spivak draws our attention to the “homely verbiness of savoir in savoirfaire [a ready and polished kind of ‘know-how’, in English], savoir-vivre [an understanding of social life and customs] into pouvoir”. So “pouvoir-savoir” could mean “being able to do something – only as you are able to make sense of it”.51 </w:t>
      </w:r>
      <w:r w:rsidRPr="00752D51">
        <w:rPr>
          <w:rStyle w:val="StyleUnderline"/>
        </w:rPr>
        <w:t>Foucault uses the composite term “power/knowledge” to refer to the relation between “power” and “knowledge” that genealogy unmasks.</w:t>
      </w:r>
      <w:r w:rsidRPr="00752D51">
        <w:rPr>
          <w:sz w:val="16"/>
        </w:rPr>
        <w:t xml:space="preserve"> For example, a genealogical study shows that the explosion of discussion about sex in the Victorian age was due to a “type of power” that bourgeois society “brought to bear on the body and on sex”.52 It, thus, casts doubt on the “repressive hypothesis”.53 </w:t>
      </w:r>
      <w:r w:rsidRPr="00752D51">
        <w:rPr>
          <w:rStyle w:val="StyleUnderline"/>
        </w:rPr>
        <w:t>Genealogy demonstrates that “this power had neither the form of the law, nor the effects of the taboo”; rather, it operated by producing</w:t>
      </w:r>
      <w:r w:rsidRPr="00752D51">
        <w:rPr>
          <w:sz w:val="16"/>
        </w:rPr>
        <w:t xml:space="preserve"> (different kinds of) </w:t>
      </w:r>
      <w:r w:rsidRPr="00752D51">
        <w:rPr>
          <w:rStyle w:val="StyleUnderline"/>
        </w:rPr>
        <w:t>sexuality and making it a defining characteristic of individuals</w:t>
      </w:r>
      <w:r w:rsidRPr="00752D51">
        <w:rPr>
          <w:sz w:val="16"/>
        </w:rPr>
        <w:t xml:space="preserve">. Consequently, there emerged four “figures” who were simultaneously “objects of knowledge”, namely, “the hysterical woman, the masturbating child, the Malthusian couple, and the perverse adult”.55 </w:t>
      </w:r>
      <w:r w:rsidRPr="00752D51">
        <w:rPr>
          <w:rStyle w:val="StyleUnderline"/>
        </w:rPr>
        <w:t>These were products of four strategies which “formed specific mechanisms of knowledge and power centering on sex</w:t>
      </w:r>
      <w:r w:rsidRPr="00752D51">
        <w:rPr>
          <w:sz w:val="16"/>
        </w:rPr>
        <w:t xml:space="preserve">”,56 </w:t>
      </w:r>
      <w:r w:rsidRPr="00752D51">
        <w:rPr>
          <w:rStyle w:val="StyleUnderline"/>
        </w:rPr>
        <w:t>to wit, the “hysterization of women’s bodies”, the “pedagogization of children’s sex”, the “socialization of procreative behavior” and the “psychiatrization of perverse pleasure</w:t>
      </w:r>
      <w:r w:rsidRPr="00752D51">
        <w:rPr>
          <w:sz w:val="16"/>
          <w:szCs w:val="16"/>
        </w:rPr>
        <w:t>”, respectively</w:t>
      </w:r>
      <w:r w:rsidRPr="00752D51">
        <w:rPr>
          <w:sz w:val="16"/>
        </w:rPr>
        <w:t>.57 So, far from being an historical fact, sexuality is “a historical construct”58 («un dispositif historique»)59. Therefore, the real questions are whether prohibition and censorship are not forms of power rather than repression and whether all this discourse on sex is not itself part of the power it criticizes as “repression”.</w:t>
      </w:r>
    </w:p>
    <w:p w14:paraId="2ECEB6FE" w14:textId="77777777" w:rsidR="00344219" w:rsidRDefault="00344219" w:rsidP="00344219">
      <w:pPr>
        <w:pStyle w:val="Heading4"/>
      </w:pPr>
      <w:r>
        <w:t xml:space="preserve">Prefer our framework of relationality – </w:t>
      </w:r>
      <w:r w:rsidRPr="00CC478E">
        <w:t xml:space="preserve">Engagements in educational projects that center around an </w:t>
      </w:r>
      <w:r w:rsidRPr="00D160D1">
        <w:rPr>
          <w:u w:val="single"/>
        </w:rPr>
        <w:t>ethic of love</w:t>
      </w:r>
      <w:r w:rsidRPr="00CC478E">
        <w:t xml:space="preserve"> allow us to break away from oppressive social structures that drive the </w:t>
      </w:r>
      <w:r>
        <w:t>techno-</w:t>
      </w:r>
      <w:r w:rsidRPr="00CC478E">
        <w:t xml:space="preserve">colonial project. </w:t>
      </w:r>
    </w:p>
    <w:p w14:paraId="4B4F0D5B" w14:textId="77777777" w:rsidR="00344219" w:rsidRPr="006A4805" w:rsidRDefault="00344219" w:rsidP="00344219">
      <w:pPr>
        <w:rPr>
          <w:rStyle w:val="StyleUnderline"/>
          <w:u w:val="none"/>
        </w:rPr>
      </w:pPr>
      <w:r w:rsidRPr="00B345BE">
        <w:rPr>
          <w:rStyle w:val="Style13ptBold"/>
        </w:rPr>
        <w:t>Middleto</w:t>
      </w:r>
      <w:r>
        <w:rPr>
          <w:rStyle w:val="Style13ptBold"/>
        </w:rPr>
        <w:t>n</w:t>
      </w:r>
      <w:r w:rsidRPr="00B345BE">
        <w:rPr>
          <w:rStyle w:val="Style13ptBold"/>
        </w:rPr>
        <w:t xml:space="preserve"> 15</w:t>
      </w:r>
      <w:r w:rsidRPr="006A4805">
        <w:t xml:space="preserve"> (Selena Middleton, PhD in English focusing on feminist and Indigenous science fiction and interrelationality in the context of ecological collapse narratives, “Decolonizing the Future: Biopolitics, Ethics, and Foresight through the Lens of Science Fiction”, Palgrave Macmillan, 2015, https://doi.org/10.1057/9781137514752_6) VQ</w:t>
      </w:r>
    </w:p>
    <w:p w14:paraId="32C04928" w14:textId="77777777" w:rsidR="00344219" w:rsidRPr="00A01AAC" w:rsidRDefault="00344219" w:rsidP="00344219">
      <w:pPr>
        <w:rPr>
          <w:sz w:val="16"/>
        </w:rPr>
      </w:pPr>
      <w:r w:rsidRPr="00BF322F">
        <w:rPr>
          <w:rStyle w:val="StyleUnderline"/>
        </w:rPr>
        <w:t>Here it is appropriate to return to the question of engagement with both the human experience of the emotional life and the rational adherence to fact demanded by work in scientific and technological fields</w:t>
      </w:r>
      <w:r w:rsidRPr="001829D8">
        <w:rPr>
          <w:rStyle w:val="StyleUnderline"/>
        </w:rPr>
        <w:t xml:space="preserve">. The balance of both these aspects of modern life necessarily requires an equally active conversation with the </w:t>
      </w:r>
      <w:r w:rsidRPr="001829D8">
        <w:rPr>
          <w:rStyle w:val="Emphasis"/>
        </w:rPr>
        <w:t>ethical questions requisite to meaningful involvement in both spheres</w:t>
      </w:r>
      <w:r w:rsidRPr="00AE0091">
        <w:rPr>
          <w:rStyle w:val="StyleUnderline"/>
        </w:rPr>
        <w:t xml:space="preserve">. One cannot ethically engage in the work of bringing technological children into the world without also engaging in </w:t>
      </w:r>
      <w:r w:rsidRPr="00AE0091">
        <w:rPr>
          <w:rStyle w:val="Emphasis"/>
        </w:rPr>
        <w:t>educational projects</w:t>
      </w:r>
      <w:r w:rsidRPr="00AE0091">
        <w:rPr>
          <w:rStyle w:val="StyleUnderline"/>
        </w:rPr>
        <w:t>.</w:t>
      </w:r>
      <w:r w:rsidRPr="00F52524">
        <w:rPr>
          <w:rStyle w:val="StyleUnderline"/>
        </w:rPr>
        <w:t xml:space="preserve"> </w:t>
      </w:r>
      <w:r w:rsidRPr="005D1BAE">
        <w:rPr>
          <w:rStyle w:val="StyleUnderline"/>
        </w:rPr>
        <w:t xml:space="preserve">Any such project should engage with </w:t>
      </w:r>
      <w:r w:rsidRPr="003348A9">
        <w:rPr>
          <w:rStyle w:val="Emphasis"/>
        </w:rPr>
        <w:t>both historical and present</w:t>
      </w:r>
      <w:r w:rsidRPr="005D1BAE">
        <w:rPr>
          <w:rStyle w:val="StyleUnderline"/>
        </w:rPr>
        <w:t xml:space="preserve"> structures into which technologies will be inserted.</w:t>
      </w:r>
      <w:r w:rsidRPr="00A01AAC">
        <w:rPr>
          <w:sz w:val="16"/>
        </w:rPr>
        <w:t xml:space="preserve"> Can technology lead us into a utopian society if it is merely grafted onto the old foundations that have produced wealth and prosperity for some, but slavery, starvation, and death for others? Perhaps in responding, </w:t>
      </w:r>
      <w:r w:rsidRPr="004E391C">
        <w:rPr>
          <w:rStyle w:val="StyleUnderline"/>
        </w:rPr>
        <w:t>it is wisest to begin by requiring an answer to the question “How should one live?”</w:t>
      </w:r>
      <w:r w:rsidRPr="00A01AAC">
        <w:rPr>
          <w:sz w:val="16"/>
        </w:rPr>
        <w:t xml:space="preserve"> The use of the ambiguous pronoun here leaves open the position of subjecthood; </w:t>
      </w:r>
      <w:r w:rsidRPr="004E391C">
        <w:rPr>
          <w:rStyle w:val="StyleUnderline"/>
        </w:rPr>
        <w:t>in this opening one can see past an ethic of autonomy—a concern for a personal, individualistic freedom— to something more inclusive</w:t>
      </w:r>
      <w:r w:rsidRPr="00A01AAC">
        <w:rPr>
          <w:sz w:val="16"/>
        </w:rPr>
        <w:t xml:space="preserve">. Bieber Lake enters into this conversation with Emerson and his ethic of individual freedom. She states that it is as if Emerson is saying, “what matters most is that I go forward with my freedom to change the world by starting with myself. Perhaps others have real claims on me, perhaps not, but let us go ahead and assume them to be real, and treat them well.” </w:t>
      </w:r>
      <w:r w:rsidRPr="0059149A">
        <w:rPr>
          <w:rStyle w:val="StyleUnderline"/>
        </w:rPr>
        <w:t>But in a world where biotechnology is giving us startling new powers to literally and permanently shape the next generation, what does it mean to treat people well now? If I value my personal freedom highest, what happens to my neighbor?</w:t>
      </w:r>
      <w:r w:rsidRPr="00A01AAC">
        <w:rPr>
          <w:sz w:val="16"/>
        </w:rPr>
        <w:t xml:space="preserve"> Can we simply lay aside, as Emerson does here, the question of how real the other is? If we do, what in this philosophy will teach me what it means to treat someone well—to want for them the good life?30 </w:t>
      </w:r>
      <w:r w:rsidRPr="00747D4E">
        <w:rPr>
          <w:rStyle w:val="StyleUnderline"/>
        </w:rPr>
        <w:t xml:space="preserve">Bieber Lake asserts that it is not autonomy that should act as the ethical rule by which to measure the technologies that we release into the world. The ethic of autonomy, unless purposefully extended to include the other, is </w:t>
      </w:r>
      <w:r w:rsidRPr="00747D4E">
        <w:rPr>
          <w:rStyle w:val="Emphasis"/>
        </w:rPr>
        <w:t>myopically focused on the subject</w:t>
      </w:r>
      <w:r w:rsidRPr="00747D4E">
        <w:rPr>
          <w:rStyle w:val="StyleUnderline"/>
        </w:rPr>
        <w:t>.</w:t>
      </w:r>
      <w:r w:rsidRPr="00A01AAC">
        <w:rPr>
          <w:sz w:val="16"/>
        </w:rPr>
        <w:t xml:space="preserve"> </w:t>
      </w:r>
      <w:r w:rsidRPr="00747D4E">
        <w:rPr>
          <w:rStyle w:val="StyleUnderline"/>
        </w:rPr>
        <w:t xml:space="preserve">It is this ethic, fixated on the power and affluence of Western economies, that </w:t>
      </w:r>
      <w:r w:rsidRPr="00747D4E">
        <w:rPr>
          <w:rStyle w:val="Emphasis"/>
        </w:rPr>
        <w:t>drives the colonial project</w:t>
      </w:r>
      <w:r w:rsidRPr="00747D4E">
        <w:rPr>
          <w:rStyle w:val="StyleUnderline"/>
        </w:rPr>
        <w:t xml:space="preserve"> and any new colonialism to come</w:t>
      </w:r>
      <w:r w:rsidRPr="00D33CCC">
        <w:rPr>
          <w:rStyle w:val="StyleUnderline"/>
        </w:rPr>
        <w:t xml:space="preserve">. The higher </w:t>
      </w:r>
      <w:r w:rsidRPr="00D33CCC">
        <w:rPr>
          <w:rStyle w:val="Emphasis"/>
        </w:rPr>
        <w:t>ethic of love</w:t>
      </w:r>
      <w:r w:rsidRPr="00D33CCC">
        <w:rPr>
          <w:rStyle w:val="StyleUnderline"/>
        </w:rPr>
        <w:t>, on the other hand, engages both the I and the you, making subjects of both.</w:t>
      </w:r>
      <w:r w:rsidRPr="00A01AAC">
        <w:rPr>
          <w:sz w:val="16"/>
        </w:rPr>
        <w:t xml:space="preserve"> Citing Habermas, Bieber Lake stresses that </w:t>
      </w:r>
      <w:r w:rsidRPr="00D33CCC">
        <w:rPr>
          <w:rStyle w:val="StyleUnderline"/>
        </w:rPr>
        <w:t>love as the guiding force of ethics has the ability to direct care and consideration toward the other</w:t>
      </w:r>
      <w:r w:rsidRPr="00A01AAC">
        <w:rPr>
          <w:sz w:val="16"/>
        </w:rPr>
        <w:t xml:space="preserve">. She stresses that </w:t>
      </w:r>
      <w:r w:rsidRPr="009352A0">
        <w:rPr>
          <w:rStyle w:val="StyleUnderline"/>
        </w:rPr>
        <w:t>“it is not genetic engineering that is the issue, but the attitude with which the interventions are carried out.</w:t>
      </w:r>
      <w:r w:rsidRPr="00A01AAC">
        <w:rPr>
          <w:sz w:val="16"/>
        </w:rPr>
        <w:t xml:space="preserve"> In gene therapy, for instance, we have the correct attitude because we are thinking about the person the embryo will be. How we see the other person is the main thing that determines how we ascertain our duty to them.”31 Perhaps most importantly, </w:t>
      </w:r>
      <w:r w:rsidRPr="00EB2B48">
        <w:rPr>
          <w:rStyle w:val="StyleUnderline"/>
        </w:rPr>
        <w:t>the ability of the love ethic to consider the other allows for the considerations of other-selves and other-futures that we simply cannot know with any precision at this time.</w:t>
      </w:r>
      <w:r w:rsidRPr="00A01AAC">
        <w:rPr>
          <w:sz w:val="16"/>
        </w:rPr>
        <w:t xml:space="preserve"> Derek Parfit, in “Personal Identity,” explored the idea that a person is comprised of multiple, separate selves and thus future selves take up the position of object rather than subject. This is a position that was confirmed in 2008 by Pronin et al. when experimental subjects committed their future selves to more arduous tasks in the name of science than they would commit to in the immediate present. This interesting quirk of human psychology suggests that it may be especially hard to consider future others in the projects we commit to today, as these are twice removed from our present selves. Adding to the difficulty are other factors such as the removals of geography, culture, religion, and sex that prevent an autonomy ethic from being an effective rule by which to measure the future of an increasingly globalized human experience. How, then, can love address the dangers that we may or may not face as we stand on the precipice of our biopolitical future? If, as Latour suggests, </w:t>
      </w:r>
      <w:r w:rsidRPr="00CD33E5">
        <w:rPr>
          <w:rStyle w:val="StyleUnderline"/>
        </w:rPr>
        <w:t xml:space="preserve">we must love our monsters and care for the technology we release into the world, we must also care for those whom our technology affects. This care demands that we exert ourselves today in </w:t>
      </w:r>
      <w:r w:rsidRPr="00CD33E5">
        <w:rPr>
          <w:rStyle w:val="Emphasis"/>
        </w:rPr>
        <w:t>examining and altering damaging social structures</w:t>
      </w:r>
      <w:r w:rsidRPr="00CD33E5">
        <w:rPr>
          <w:rStyle w:val="StyleUnderline"/>
        </w:rPr>
        <w:t xml:space="preserve"> in preparation for our future children, technological or otherwise.</w:t>
      </w:r>
    </w:p>
    <w:p w14:paraId="16DDBC41" w14:textId="09EDD4F3" w:rsidR="006C0B77" w:rsidRDefault="006C0B77" w:rsidP="006C0B77">
      <w:pPr>
        <w:pStyle w:val="Heading2"/>
      </w:pPr>
      <w:r>
        <w:t>ATs</w:t>
      </w:r>
    </w:p>
    <w:p w14:paraId="4F1B15C9" w14:textId="70415EC6" w:rsidR="00511E26" w:rsidRPr="0029045F" w:rsidRDefault="00511E26" w:rsidP="00511E26">
      <w:pPr>
        <w:pStyle w:val="Heading3"/>
      </w:pPr>
      <w:r w:rsidRPr="0029045F">
        <w:t>AT Cede Political</w:t>
      </w:r>
    </w:p>
    <w:p w14:paraId="5D1FB20F" w14:textId="77777777" w:rsidR="00511E26" w:rsidRPr="0029045F" w:rsidRDefault="00511E26" w:rsidP="00511E26">
      <w:pPr>
        <w:pStyle w:val="Heading4"/>
      </w:pPr>
      <w:r w:rsidRPr="0029045F">
        <w:t xml:space="preserve">Refusing citizenship is a unique process of politicization, where marginalized subjects make inequality visible through gathering and protest </w:t>
      </w:r>
    </w:p>
    <w:p w14:paraId="23FED4D3" w14:textId="77777777" w:rsidR="00511E26" w:rsidRPr="0029045F" w:rsidRDefault="00511E26" w:rsidP="00511E26">
      <w:r w:rsidRPr="0029045F">
        <w:rPr>
          <w:rStyle w:val="Style13ptBold"/>
        </w:rPr>
        <w:t>Tambakaki 15</w:t>
      </w:r>
      <w:r w:rsidRPr="0029045F">
        <w:t xml:space="preserve"> Paulina Tambakaki is a Senior Lecturer in Political Theory at the Centre for the Study of Democracy, University of Westminster, “Citizenship and inclusion: rethinking the analytical category of noncitizenship,” Citizenship Studies, 19:8, 922-935, Accessed 6/28/18 KDS AK</w:t>
      </w:r>
    </w:p>
    <w:p w14:paraId="0237614C" w14:textId="77777777" w:rsidR="00511E26" w:rsidRPr="0029045F" w:rsidRDefault="00511E26" w:rsidP="00511E26">
      <w:r w:rsidRPr="0029045F">
        <w:rPr>
          <w:rStyle w:val="StyleUnderline"/>
        </w:rPr>
        <w:t xml:space="preserve">By politicisation, I mean a process of political subjectification where subjects excluded from the institutional world direct attention to their situation and, through public action, bring visibility to the inequalities and injustices permeating this world (see Rancière, 1999). </w:t>
      </w:r>
      <w:r w:rsidRPr="0029045F">
        <w:rPr>
          <w:rStyle w:val="Emphasis"/>
        </w:rPr>
        <w:t>Politicisation, therefore, like the category of noncitizenship, confronts relations of power and inequality, presupposes agency and involves practice.</w:t>
      </w:r>
      <w:r w:rsidRPr="0029045F">
        <w:rPr>
          <w:rStyle w:val="StyleUnderline"/>
        </w:rPr>
        <w:t xml:space="preserve"> In particular, subjects who politicise seek to challenge the established order. They bring into view the power dynamics behind this order</w:t>
      </w:r>
      <w:r w:rsidRPr="0029045F">
        <w:t xml:space="preserve"> – its closures, injustices and inequalities; and, in so doing, they openly unsettle these. </w:t>
      </w:r>
      <w:r w:rsidRPr="0029045F">
        <w:rPr>
          <w:rStyle w:val="StyleUnderline"/>
        </w:rPr>
        <w:t>Although it can be credibly objected here that the noncitizens (the poor, excluded, marginalised) are not always in a position to politicise</w:t>
      </w:r>
      <w:r w:rsidRPr="0029045F">
        <w:t xml:space="preserve"> and confront the power order – and this alone reveals the force of noncitizenship as an analytical category; it can be argued that </w:t>
      </w:r>
      <w:r w:rsidRPr="0029045F">
        <w:rPr>
          <w:rStyle w:val="StyleUnderline"/>
        </w:rPr>
        <w:t>noncitizenship</w:t>
      </w:r>
      <w:r w:rsidRPr="0029045F">
        <w:t>, much like the concept of politicisation in this sense, promises something more than a comprehensive exposé of the inequalities perforating a given power order</w:t>
      </w:r>
      <w:r w:rsidRPr="0029045F">
        <w:rPr>
          <w:rStyle w:val="Emphasis"/>
        </w:rPr>
        <w:t>. It promises citizenisation</w:t>
      </w:r>
      <w:r w:rsidRPr="0029045F">
        <w:rPr>
          <w:rStyle w:val="StyleUnderline"/>
        </w:rPr>
        <w:t>. Citizenisation involves political subjectification – as is the case with politicisation. At the same time, politicisation, like citizenisation or noncitizenship for that matter, gains momentum through references to a variety of scripts, from ‘justice’ and ‘equality’ to even ‘citizenship’ – and this means that either sections of society politicise to give visibility to the position/demands of those who cannot, or</w:t>
      </w:r>
      <w:r w:rsidRPr="0029045F">
        <w:t xml:space="preserve"> the excluded and marginalised subjectify and politicise. Therefore, the point here is that </w:t>
      </w:r>
      <w:r w:rsidRPr="0029045F">
        <w:rPr>
          <w:rStyle w:val="Emphasis"/>
        </w:rPr>
        <w:t>there is significant overlap between the concepts of politicisation and noncitizenship when it comes to matters of subjectification</w:t>
      </w:r>
      <w:r w:rsidRPr="0029045F">
        <w:t xml:space="preserve"> and counter-power. There is also overlap with respect to practice. </w:t>
      </w:r>
      <w:r w:rsidRPr="0029045F">
        <w:rPr>
          <w:rStyle w:val="Emphasis"/>
        </w:rPr>
        <w:t>15 Politicisation is practice,</w:t>
      </w:r>
      <w:r w:rsidRPr="0029045F">
        <w:t xml:space="preserve"> for subjects politicise against or for something– for example, by setting up a sit-in, a protest, an occupation etc. In fact, political protests (against the state) can be seen as exemplary moments of politicisation</w:t>
      </w:r>
      <w:r w:rsidRPr="0029045F">
        <w:rPr>
          <w:rStyle w:val="StyleUnderline"/>
        </w:rPr>
        <w:t>, where the binary citizen/noncitizen becomes redundant.</w:t>
      </w:r>
      <w:r w:rsidRPr="0029045F">
        <w:t xml:space="preserve"> In particular, what makes protests exemplary moments of politicisation (at least in the way I use the term here) is their public nature – the publicity, connection, openness and generality that they encase. </w:t>
      </w:r>
      <w:r w:rsidRPr="0029045F">
        <w:rPr>
          <w:rStyle w:val="Emphasis"/>
        </w:rPr>
        <w:t>Protests publicise exclusion X; they make it visible.</w:t>
      </w:r>
      <w:r w:rsidRPr="0029045F">
        <w:rPr>
          <w:rStyle w:val="StyleUnderline"/>
        </w:rPr>
        <w:t xml:space="preserve"> They are public events and this means that they both reach out to the public and draw in (the support of) the public – broadly understood</w:t>
      </w:r>
      <w:r w:rsidRPr="0029045F">
        <w:t>. At the same time, public protests are sites of assembling</w:t>
      </w:r>
      <w:r w:rsidRPr="0029045F">
        <w:rPr>
          <w:rStyle w:val="StyleUnderline"/>
        </w:rPr>
        <w:t xml:space="preserve">. </w:t>
      </w:r>
      <w:r w:rsidRPr="0029045F">
        <w:rPr>
          <w:rStyle w:val="Emphasis"/>
        </w:rPr>
        <w:t>They gather the people together and, in this gathering, it makes little difference who is the citizen and who is not</w:t>
      </w:r>
      <w:r w:rsidRPr="0029045F">
        <w:rPr>
          <w:rStyle w:val="StyleUnderline"/>
        </w:rPr>
        <w:t>,</w:t>
      </w:r>
      <w:r w:rsidRPr="0029045F">
        <w:t xml:space="preserve"> or who initiated the protest and who did not. What matters is that protests remain open and, as a result of this openness, demands flesh out, intermesh and expand. More than that, the openness of the protests compounded by the indeterminacy of the subject ‘people’ as a democratic actor has the additional effect of drawing sharper attention to the political demand or claim eliciting the protest. This is where, in the end, the greatest difference between the concepts of politicisation and noncitizenship lies: in their telos. Whereas the telos of politicisation, say in the case of public protests to stay with the same example, is to have the particular (series of) demands or claims met in the here and now – thus it has a rather limited, provisional, target that does not always or necessarily coincide with an expansion of rights; the telos of the category of noncitizenship is often, inadvertently, citizenship – and, this implicitly enfolds the aspiration to expand on existing rights. </w:t>
      </w:r>
    </w:p>
    <w:p w14:paraId="71A006D5" w14:textId="24E253A8" w:rsidR="00FA565D" w:rsidRDefault="00FA565D" w:rsidP="00FA565D">
      <w:pPr>
        <w:pStyle w:val="Heading3"/>
      </w:pPr>
      <w:r>
        <w:t>AT “Does Nothing”</w:t>
      </w:r>
    </w:p>
    <w:p w14:paraId="2332FB03" w14:textId="77777777" w:rsidR="00FA565D" w:rsidRPr="00464679" w:rsidRDefault="00FA565D" w:rsidP="00FA565D">
      <w:pPr>
        <w:pStyle w:val="Heading4"/>
        <w:rPr>
          <w:rFonts w:cs="Calibri"/>
        </w:rPr>
      </w:pPr>
      <w:r w:rsidRPr="00464679">
        <w:rPr>
          <w:rFonts w:cs="Calibri"/>
        </w:rPr>
        <w:t xml:space="preserve">The alt isn’t passive analysis but active resistance of neoliberal structures.  </w:t>
      </w:r>
    </w:p>
    <w:p w14:paraId="75D46FA3" w14:textId="77777777" w:rsidR="00FA565D" w:rsidRPr="001444C9" w:rsidRDefault="00FA565D" w:rsidP="00FA565D">
      <w:pPr>
        <w:rPr>
          <w:rStyle w:val="Style13ptBold"/>
          <w:b w:val="0"/>
          <w:bCs w:val="0"/>
          <w:sz w:val="22"/>
        </w:rPr>
      </w:pPr>
      <w:r w:rsidRPr="00464679">
        <w:rPr>
          <w:rStyle w:val="Style13ptBold"/>
        </w:rPr>
        <w:t>LaMothe 22</w:t>
      </w:r>
      <w:r w:rsidRPr="001444C9">
        <w:rPr>
          <w:rStyle w:val="Style13ptBold"/>
          <w:b w:val="0"/>
          <w:sz w:val="22"/>
        </w:rPr>
        <w:t xml:space="preserve"> [Ryan LaMothe, December 2022, “Giorgio Agamben and Resistance: bridging the consultation room and the political in the Anthropocene Age”, Free Association: Psychoanalysis and Culture, Media, Groups, Politics Number 87, https://freeassociations.org.uk/FA_New/OJS/index.php/fa/article/view/426, JMH]</w:t>
      </w:r>
    </w:p>
    <w:p w14:paraId="0FD4CBED" w14:textId="67B0945D" w:rsidR="00FA565D" w:rsidRPr="00FA565D" w:rsidRDefault="00FA565D" w:rsidP="00FA565D">
      <w:pPr>
        <w:rPr>
          <w:u w:val="single"/>
        </w:rPr>
      </w:pPr>
      <w:r w:rsidRPr="00FC75D8">
        <w:rPr>
          <w:u w:val="single"/>
        </w:rPr>
        <w:t>While human beings do not unfold like a programmed mechanism, their subjectivities, as Agamben recognizes, are nevertheless shaped by social, political, and economic apparatuses (Prozorov, 2014, p.24).</w:t>
      </w:r>
      <w:r w:rsidRPr="001444C9">
        <w:rPr>
          <w:sz w:val="16"/>
        </w:rPr>
        <w:t xml:space="preserve"> This is where the concept of </w:t>
      </w:r>
      <w:r w:rsidRPr="00FC75D8">
        <w:rPr>
          <w:b/>
          <w:bCs/>
          <w:u w:val="single"/>
        </w:rPr>
        <w:t>inoperativity comes into play</w:t>
      </w:r>
      <w:r w:rsidRPr="001444C9">
        <w:rPr>
          <w:sz w:val="16"/>
        </w:rPr>
        <w:t xml:space="preserve">. </w:t>
      </w:r>
      <w:r w:rsidRPr="00FC75D8">
        <w:rPr>
          <w:u w:val="single"/>
        </w:rPr>
        <w:t>For Agamben, “inoperativity” means to deactivate the functioning of the apparatuses, which does not mean that these apparatuses do not continue to operate or do not continue to have effects (pp.31-34).</w:t>
      </w:r>
      <w:r w:rsidRPr="001444C9">
        <w:rPr>
          <w:sz w:val="16"/>
        </w:rPr>
        <w:t xml:space="preserve"> Put another way</w:t>
      </w:r>
      <w:r w:rsidRPr="00FC75D8">
        <w:rPr>
          <w:u w:val="single"/>
        </w:rPr>
        <w:t>, inoperativity vis-à-vis the subject means that she is not captive to the grammar of the apparatuses, even if they continue to have their effects.</w:t>
      </w:r>
      <w:r w:rsidRPr="001444C9">
        <w:rPr>
          <w:sz w:val="16"/>
        </w:rPr>
        <w:t xml:space="preserve"> Bartleby, for instance, </w:t>
      </w:r>
      <w:r w:rsidRPr="00FC75D8">
        <w:rPr>
          <w:b/>
          <w:bCs/>
          <w:u w:val="single"/>
        </w:rPr>
        <w:t>rendered inoperative the capitalistic apparatuses by choosing not to actualize his potentiality (impotentiality),</w:t>
      </w:r>
      <w:r w:rsidRPr="001444C9">
        <w:rPr>
          <w:sz w:val="16"/>
        </w:rPr>
        <w:t xml:space="preserve"> though the end result was tragic. </w:t>
      </w:r>
      <w:r w:rsidRPr="00FC75D8">
        <w:rPr>
          <w:b/>
          <w:bCs/>
          <w:u w:val="single"/>
        </w:rPr>
        <w:t>I want to stress that inoperativity is, for Agamben (2004), not passive (p.134).</w:t>
      </w:r>
      <w:r w:rsidRPr="001444C9">
        <w:rPr>
          <w:sz w:val="16"/>
        </w:rPr>
        <w:t xml:space="preserve"> That is, </w:t>
      </w:r>
      <w:r w:rsidRPr="00FC75D8">
        <w:rPr>
          <w:u w:val="single"/>
        </w:rPr>
        <w:t xml:space="preserve">inoperativity or “preferring not” does not “affirm inertia, inactivity </w:t>
      </w:r>
      <w:r w:rsidRPr="001444C9">
        <w:rPr>
          <w:sz w:val="16"/>
        </w:rPr>
        <w:t xml:space="preserve">or apraxia…but [is] </w:t>
      </w:r>
      <w:r w:rsidRPr="00FC75D8">
        <w:rPr>
          <w:u w:val="single"/>
        </w:rPr>
        <w:t xml:space="preserve">a form of praxis that is devoid of any telos or task, does not realize any essence and does not correspond to any nature” (p.33). </w:t>
      </w:r>
      <w:r w:rsidRPr="001444C9">
        <w:rPr>
          <w:sz w:val="16"/>
        </w:rPr>
        <w:t xml:space="preserve">Inoperativity, then, is any action of impotentiality that does not actualize what is expected by society’s apparatuses. Bartleby’s “I would prefer not” is one example. Martin Luther King’s (and others’) nonviolent protests is another illustration of rendering inoperative the violence of racist apparatuses. In other words, </w:t>
      </w:r>
      <w:r w:rsidRPr="00FC75D8">
        <w:rPr>
          <w:b/>
          <w:bCs/>
          <w:u w:val="single"/>
        </w:rPr>
        <w:t>King’s nonviolent actions</w:t>
      </w:r>
      <w:r w:rsidRPr="00FC75D8">
        <w:rPr>
          <w:u w:val="single"/>
        </w:rPr>
        <w:t xml:space="preserve"> were acts of impotentiality in that he was not allowing racist apparatuses to determine his subjectivity; that is, to actualize or act on his fear and hatred.</w:t>
      </w:r>
      <w:r w:rsidRPr="001444C9">
        <w:rPr>
          <w:sz w:val="16"/>
        </w:rPr>
        <w:t xml:space="preserve"> Other recent examples of the impotentiality of inoperativity, with regard to climate change, are </w:t>
      </w:r>
      <w:r w:rsidRPr="00FC75D8">
        <w:rPr>
          <w:b/>
          <w:bCs/>
          <w:u w:val="single"/>
        </w:rPr>
        <w:t>eco-villages, where people prefer not to operate out of the apparatuses of neoliberal capitalism.</w:t>
      </w:r>
      <w:r w:rsidRPr="001444C9">
        <w:rPr>
          <w:sz w:val="16"/>
        </w:rPr>
        <w:t xml:space="preserve"> </w:t>
      </w:r>
      <w:r w:rsidRPr="00FC75D8">
        <w:rPr>
          <w:u w:val="single"/>
        </w:rPr>
        <w:t>While Agamben does not use the term “resistance,”</w:t>
      </w:r>
      <w:r w:rsidRPr="001444C9">
        <w:rPr>
          <w:sz w:val="16"/>
        </w:rPr>
        <w:t xml:space="preserve"> it is possible to interpret </w:t>
      </w:r>
      <w:r w:rsidRPr="00FC75D8">
        <w:rPr>
          <w:b/>
          <w:bCs/>
          <w:u w:val="single"/>
        </w:rPr>
        <w:t>inoperativity as a form of resistance that preserves</w:t>
      </w:r>
      <w:r w:rsidRPr="001444C9">
        <w:rPr>
          <w:sz w:val="16"/>
        </w:rPr>
        <w:t xml:space="preserve">, in the case of Bartleby, his potentiality by way of living out his impotentiality. Bartleby, in preferring not to, resists his employer and capitalist apparatuses. This said, </w:t>
      </w:r>
      <w:r w:rsidRPr="00FC75D8">
        <w:rPr>
          <w:u w:val="single"/>
        </w:rPr>
        <w:t>Agamben’s philosophical discussion does not include addressing how people come to actualize potentiality or impotentiality, which leads me to turn to a developmental perspective that offers a way of thinking about the emergence of resistance as inoperativity.</w:t>
      </w:r>
      <w:r w:rsidRPr="00464679">
        <w:rPr>
          <w:u w:val="single"/>
        </w:rPr>
        <w:t xml:space="preserve"> </w:t>
      </w:r>
    </w:p>
    <w:p w14:paraId="1F48BA78" w14:textId="529A8170" w:rsidR="009928A9" w:rsidRDefault="006C0B77" w:rsidP="006C0B77">
      <w:pPr>
        <w:pStyle w:val="Heading1"/>
      </w:pPr>
      <w:r>
        <w:t>AT Procedurals</w:t>
      </w:r>
    </w:p>
    <w:p w14:paraId="1C1BEB23" w14:textId="5CB73E3F" w:rsidR="006C0B77" w:rsidRPr="006C0B77" w:rsidRDefault="006C0B77" w:rsidP="006C0B77">
      <w:pPr>
        <w:pStyle w:val="Heading2"/>
      </w:pPr>
      <w:r>
        <w:t>Framework</w:t>
      </w:r>
    </w:p>
    <w:p w14:paraId="7AEEBF12" w14:textId="1784AA6F" w:rsidR="00FA565D" w:rsidRDefault="00FA565D" w:rsidP="009928A9">
      <w:pPr>
        <w:pStyle w:val="Heading3"/>
      </w:pPr>
      <w:r>
        <w:t>Epistemology First</w:t>
      </w:r>
    </w:p>
    <w:p w14:paraId="2515DCD1" w14:textId="51F77A3C" w:rsidR="00FA565D" w:rsidRPr="00464679" w:rsidRDefault="00FA565D" w:rsidP="00FA565D">
      <w:pPr>
        <w:pStyle w:val="Heading4"/>
        <w:rPr>
          <w:rFonts w:cs="Calibri"/>
        </w:rPr>
      </w:pPr>
      <w:bookmarkStart w:id="1" w:name="_Hlk140825330"/>
      <w:r>
        <w:rPr>
          <w:rFonts w:cs="Calibri"/>
        </w:rPr>
        <w:t>An epistemic shift is a prerequisite to fiated impacts</w:t>
      </w:r>
    </w:p>
    <w:p w14:paraId="52C508C7" w14:textId="77777777" w:rsidR="00FA565D" w:rsidRPr="001444C9" w:rsidRDefault="00FA565D" w:rsidP="00FA565D">
      <w:r w:rsidRPr="00464679">
        <w:rPr>
          <w:rStyle w:val="Style13ptBold"/>
        </w:rPr>
        <w:t>Stypinska 22</w:t>
      </w:r>
      <w:r w:rsidRPr="001444C9">
        <w:rPr>
          <w:rStyle w:val="Style13ptBold"/>
          <w:b w:val="0"/>
          <w:sz w:val="22"/>
        </w:rPr>
        <w:t xml:space="preserve"> [Diana Stypinska, Lecturer in Social Theory at University of Galway, Galway, Ireland, November 1, 2022, “Social Media, Truth and the Care of the Self”, Palgrave Macmillan, pgs. 83-92, https://link.springer.com/chapter/10.1007/978-3-031-18108-5_5, JMH]</w:t>
      </w:r>
    </w:p>
    <w:p w14:paraId="0E030650" w14:textId="797B5139" w:rsidR="00FA565D" w:rsidRPr="00FA565D" w:rsidRDefault="00FA565D" w:rsidP="00FA565D">
      <w:pPr>
        <w:rPr>
          <w:b/>
          <w:bCs/>
          <w:sz w:val="26"/>
          <w:u w:val="single"/>
        </w:rPr>
      </w:pPr>
      <w:r w:rsidRPr="001444C9">
        <w:rPr>
          <w:sz w:val="16"/>
        </w:rPr>
        <w:t>Farkas and Schou argue that what is presently needed is</w:t>
      </w:r>
      <w:r w:rsidRPr="001D0A07">
        <w:rPr>
          <w:u w:val="single"/>
        </w:rPr>
        <w:t xml:space="preserve"> ‘another way of understanding both the democratic tradition as well as politics and the political’ (2020: 142).</w:t>
      </w:r>
      <w:r w:rsidRPr="001444C9">
        <w:rPr>
          <w:sz w:val="16"/>
        </w:rPr>
        <w:t xml:space="preserve"> Clearly, this task is both conceptual and normative. </w:t>
      </w:r>
      <w:r w:rsidRPr="001D0A07">
        <w:rPr>
          <w:u w:val="single"/>
        </w:rPr>
        <w:t>It is conceptual insofar as it requires us to create other vocabularies than those currently structuring post-truth worlds</w:t>
      </w:r>
      <w:r w:rsidRPr="001444C9">
        <w:rPr>
          <w:sz w:val="16"/>
        </w:rPr>
        <w:t xml:space="preserve">. To grasp the dynamics of politics, we need to move beyond existing premises. Doing so is, however, also an imminently normative endeavor, on two accounts. First, because it asks us—as people currently inhabiting post-truth worlds—to think and act differently. We are prompted to rethink what we are doing. </w:t>
      </w:r>
      <w:r w:rsidRPr="001D0A07">
        <w:rPr>
          <w:u w:val="single"/>
        </w:rPr>
        <w:t>Second, proposing a shift in our existing ideas of politics and the political is also normative in the sense that it can pave the way for other modes of doing politics and democracy in the future</w:t>
      </w:r>
      <w:r w:rsidRPr="001444C9">
        <w:rPr>
          <w:sz w:val="16"/>
        </w:rPr>
        <w:t xml:space="preserve">. If we shift how we think through questions of politics, then we will also come to see that the status quo does not suffice. (Farkas and Schou 2020: 142) Their ardent call for ‘the formulation of proper alternatives’ (Farkas and Schou 2020: 157) seems to, however, overlook the fact that social theorists have been proposing such alternatives for a very long time. Indeed, one does not need to look hard to find a plethora of alternative visions of the future (see, for instance, Gorz 1983). Hence, as much as I endorse the sentiments underpinning Farkas and Schou’s stance, I nevertheless see it as necessary to question the viability of their proposals. </w:t>
      </w:r>
      <w:r w:rsidRPr="001D0A07">
        <w:rPr>
          <w:u w:val="single"/>
        </w:rPr>
        <w:t xml:space="preserve">Indeed, in light of my analysis, a certain naïveté can be situated at the core of the impassioned accounts such as theirs, namely, the one concerning the actuality of what has happened and what is happening. </w:t>
      </w:r>
      <w:r w:rsidRPr="001444C9">
        <w:rPr>
          <w:sz w:val="16"/>
        </w:rPr>
        <w:t xml:space="preserve">Indeed, what my analysis suggests is that our post-truth predicament is the consequence of the unyielding pursuit of economic rationality, rather than a symptom of ‘genuine demands for breaking with the status quo’ (Farkas and Schou 2020: 126). </w:t>
      </w:r>
      <w:r w:rsidRPr="001D0A07">
        <w:rPr>
          <w:b/>
          <w:bCs/>
          <w:u w:val="single"/>
        </w:rPr>
        <w:t>A patent case in point here is the fact that the anti-capitalist social movements</w:t>
      </w:r>
      <w:r w:rsidRPr="001444C9">
        <w:rPr>
          <w:sz w:val="16"/>
        </w:rPr>
        <w:t xml:space="preserve">—such as, for instance, </w:t>
      </w:r>
      <w:r w:rsidRPr="001D0A07">
        <w:rPr>
          <w:b/>
          <w:bCs/>
          <w:u w:val="single"/>
        </w:rPr>
        <w:t>Extinction Rebellion—do not tend to utilize the post-truth frame.</w:t>
      </w:r>
      <w:r w:rsidRPr="001444C9">
        <w:rPr>
          <w:sz w:val="16"/>
        </w:rPr>
        <w:t xml:space="preserve"> To be sure, post-truth tactics are the remit of the establishmentarian agents and alt-right conspiracists: the likes of Donald Trump, Brexiteers, and white supremacists—to name but a few. An argument could be, of course, </w:t>
      </w:r>
      <w:r w:rsidRPr="001D0A07">
        <w:rPr>
          <w:u w:val="single"/>
        </w:rPr>
        <w:t>made that such tactics are a response to the threat of systemic change posed by the anti-capitalist groups.</w:t>
      </w:r>
      <w:r w:rsidRPr="001444C9">
        <w:rPr>
          <w:sz w:val="16"/>
        </w:rPr>
        <w:t xml:space="preserve"> </w:t>
      </w:r>
      <w:r w:rsidRPr="001D0A07">
        <w:rPr>
          <w:b/>
          <w:bCs/>
          <w:u w:val="single"/>
        </w:rPr>
        <w:t xml:space="preserve">Approaching post-truth as a tool of counter-critique </w:t>
      </w:r>
      <w:r w:rsidRPr="001444C9">
        <w:rPr>
          <w:sz w:val="16"/>
        </w:rPr>
        <w:t xml:space="preserve">(cf: Stypinska 2020), however, </w:t>
      </w:r>
      <w:r w:rsidRPr="001D0A07">
        <w:rPr>
          <w:b/>
          <w:bCs/>
          <w:u w:val="single"/>
        </w:rPr>
        <w:t xml:space="preserve">barely scratches the surface of its problematique, overlooking the deeper issue of the libidinal economy of which it is an expression. </w:t>
      </w:r>
      <w:r w:rsidRPr="001444C9">
        <w:rPr>
          <w:sz w:val="16"/>
        </w:rPr>
        <w:t xml:space="preserve">From this perspective, </w:t>
      </w:r>
      <w:r w:rsidRPr="001D0A07">
        <w:rPr>
          <w:u w:val="single"/>
        </w:rPr>
        <w:t>the call to keep reinventing the non-capitalist wheel ad infinitum, at the very best, smacks of poor strategy.</w:t>
      </w:r>
      <w:r w:rsidRPr="001444C9">
        <w:rPr>
          <w:sz w:val="16"/>
        </w:rPr>
        <w:t xml:space="preserve"> Indeed, </w:t>
      </w:r>
      <w:r w:rsidRPr="001D0A07">
        <w:rPr>
          <w:b/>
          <w:bCs/>
          <w:u w:val="single"/>
        </w:rPr>
        <w:t>the problem is not the lack of viable alternatives.</w:t>
      </w:r>
      <w:r w:rsidRPr="001444C9">
        <w:rPr>
          <w:sz w:val="16"/>
        </w:rPr>
        <w:t xml:space="preserve"> Alas, it seems to lay in the fact that the societies we live in seem to be more interested in ‘influencing’ and ‘trolling’—on- and offline—than paying any heed to structural solutions. </w:t>
      </w:r>
      <w:r w:rsidRPr="001D0A07">
        <w:rPr>
          <w:u w:val="single"/>
        </w:rPr>
        <w:t xml:space="preserve">This is not to imply that we ought to resign ourselves to the current state of affairs. </w:t>
      </w:r>
      <w:r w:rsidRPr="001444C9">
        <w:rPr>
          <w:sz w:val="16"/>
        </w:rPr>
        <w:t xml:space="preserve">Rather, I would suggest, </w:t>
      </w:r>
      <w:r w:rsidRPr="001D0A07">
        <w:rPr>
          <w:b/>
          <w:bCs/>
          <w:u w:val="single"/>
        </w:rPr>
        <w:t>it is to affirm the necessity of being cautious of the urge to purposiveness (cf: Agamben 2018).</w:t>
      </w:r>
      <w:r w:rsidRPr="001444C9">
        <w:rPr>
          <w:sz w:val="16"/>
        </w:rPr>
        <w:t xml:space="preserve"> Being, as we are, the products of the Western paradigm that places action, rather than being, as the place of ethics, we are inadvertently positioned ‘in debt with respect to [our] own end’ (see Agamben 2018: 63). </w:t>
      </w:r>
      <w:r w:rsidRPr="001D0A07">
        <w:rPr>
          <w:b/>
          <w:bCs/>
          <w:u w:val="single"/>
        </w:rPr>
        <w:t>According to Giorgio Agamben, praxis ‘is the place where this debt is settled and incessantly rekindled’</w:t>
      </w:r>
      <w:r w:rsidRPr="001444C9">
        <w:rPr>
          <w:sz w:val="16"/>
        </w:rPr>
        <w:t xml:space="preserve"> (Agamben 2018: 63). As such, purposiveness is yet another trap. Or, to put this differently, it is another expression of the paradigm of efficacy that culminates in sheer functionality (cf: Heron 2018). Agamben </w:t>
      </w:r>
      <w:r w:rsidRPr="001D0A07">
        <w:rPr>
          <w:u w:val="single"/>
        </w:rPr>
        <w:t xml:space="preserve">argues that </w:t>
      </w:r>
      <w:r w:rsidRPr="001D0A07">
        <w:rPr>
          <w:b/>
          <w:bCs/>
          <w:u w:val="single"/>
        </w:rPr>
        <w:t>the way out of this logic is the embrace of ‘impotentiality’</w:t>
      </w:r>
      <w:r w:rsidRPr="001444C9">
        <w:rPr>
          <w:sz w:val="16"/>
        </w:rPr>
        <w:t xml:space="preserve">: ‘not simply the potential to do this or that thing but potential to not-do, potential not to pass into actuality’ (1999: 180). This, he asserts, constitutes the ‘possibility of privation’ (Agamben 1999: 181) [author’s emphasis]. </w:t>
      </w:r>
      <w:r w:rsidRPr="001D0A07">
        <w:rPr>
          <w:b/>
          <w:bCs/>
          <w:u w:val="single"/>
        </w:rPr>
        <w:t>The key, in short, is to deactivate the economic apparatus, making it inoperative</w:t>
      </w:r>
      <w:r w:rsidRPr="001444C9">
        <w:rPr>
          <w:sz w:val="16"/>
        </w:rPr>
        <w:t xml:space="preserve">. As Agamben explains, </w:t>
      </w:r>
      <w:r w:rsidRPr="001D0A07">
        <w:rPr>
          <w:u w:val="single"/>
        </w:rPr>
        <w:t xml:space="preserve">inoperativity is not another action alongside and in addition to all other actions, not another work beyond all works: </w:t>
      </w:r>
      <w:r w:rsidRPr="001444C9">
        <w:rPr>
          <w:sz w:val="16"/>
        </w:rPr>
        <w:t>It is the space—provisional and at the same time non-temporal, localized and at the same time extra-territorial—</w:t>
      </w:r>
      <w:r w:rsidRPr="001D0A07">
        <w:rPr>
          <w:u w:val="single"/>
        </w:rPr>
        <w:t xml:space="preserve">that is opened when the apparatuses that link human actions in the connection of means and ends, of imputation and fault, of merit and demerit, are rendered inoperative. (2018: 85) </w:t>
      </w:r>
      <w:r w:rsidRPr="001D0A07">
        <w:rPr>
          <w:b/>
          <w:bCs/>
          <w:u w:val="single"/>
        </w:rPr>
        <w:t>Such a space can be opened by thinking.</w:t>
      </w:r>
      <w:r w:rsidRPr="001444C9">
        <w:rPr>
          <w:sz w:val="16"/>
        </w:rPr>
        <w:t xml:space="preserve"> However, following Miguel de Beistegui, I contend that the thinking that we need is not simply ‘a natural disposition’, ‘one we can decide to activate (or not)’ (2022: 2). It emerges, and does so slowly, at times painfully, </w:t>
      </w:r>
      <w:r w:rsidRPr="001D0A07">
        <w:rPr>
          <w:b/>
          <w:bCs/>
          <w:u w:val="single"/>
        </w:rPr>
        <w:t>whether individually or historically.</w:t>
      </w:r>
      <w:r w:rsidRPr="001444C9">
        <w:rPr>
          <w:sz w:val="16"/>
        </w:rPr>
        <w:t xml:space="preserve"> It struggles to come to life, and it struggles to survive. </w:t>
      </w:r>
      <w:r w:rsidRPr="001D0A07">
        <w:rPr>
          <w:u w:val="single"/>
        </w:rPr>
        <w:t xml:space="preserve">It is constantly fighting off demons that continue to haunt it, </w:t>
      </w:r>
      <w:r w:rsidRPr="001444C9">
        <w:rPr>
          <w:sz w:val="16"/>
        </w:rPr>
        <w:t>perpetually rising from the mud that lies at the bottom of its pond</w:t>
      </w:r>
      <w:r w:rsidRPr="001D0A07">
        <w:rPr>
          <w:u w:val="single"/>
        </w:rPr>
        <w:t xml:space="preserve">. It is an effort, and it needs all the help it can get to get off the ground. (Beistegui 2022: 2) </w:t>
      </w:r>
      <w:r w:rsidRPr="001444C9">
        <w:rPr>
          <w:sz w:val="16"/>
        </w:rPr>
        <w:t xml:space="preserve">Such thinking is a matter of care—care unencumbered by urgency or, indeed, expediency. Care that begins with introspection and aims at the development of ‘a full, perfect, and complete relationship of oneself to oneself’ (Foucault 2005: 320). </w:t>
      </w:r>
      <w:r w:rsidRPr="001D0A07">
        <w:rPr>
          <w:u w:val="single"/>
        </w:rPr>
        <w:t>It is a thinking that understands its own process and is capable of resisting the imperative to the perpetual actualization of praxis.</w:t>
      </w:r>
      <w:r w:rsidRPr="001444C9">
        <w:rPr>
          <w:sz w:val="16"/>
        </w:rPr>
        <w:t xml:space="preserve"> Thinking, that is, whose purpose exceeds purposiveness. </w:t>
      </w:r>
      <w:r w:rsidRPr="001D0A07">
        <w:rPr>
          <w:b/>
          <w:bCs/>
          <w:u w:val="single"/>
        </w:rPr>
        <w:t>I appreciate that this is not exactly the ‘practical solution’ that so many of us are after, and that the picture I paint in this book is gloomy.</w:t>
      </w:r>
      <w:r w:rsidRPr="001444C9">
        <w:rPr>
          <w:sz w:val="16"/>
        </w:rPr>
        <w:t xml:space="preserve"> To that, I respond with the words of Theodor Adorno: [w]ithin absolutized praxis, </w:t>
      </w:r>
      <w:r w:rsidRPr="001D0A07">
        <w:rPr>
          <w:u w:val="single"/>
        </w:rPr>
        <w:t>only reaction is possible and for this reason the reaction is false.</w:t>
      </w:r>
      <w:r w:rsidRPr="001444C9">
        <w:rPr>
          <w:sz w:val="16"/>
        </w:rPr>
        <w:t xml:space="preserve"> </w:t>
      </w:r>
      <w:r w:rsidRPr="001D0A07">
        <w:rPr>
          <w:b/>
          <w:bCs/>
          <w:u w:val="single"/>
        </w:rPr>
        <w:t>Only thinking could offer an escape</w:t>
      </w:r>
      <w:r w:rsidRPr="001444C9">
        <w:rPr>
          <w:sz w:val="16"/>
        </w:rPr>
        <w:t xml:space="preserve">, and then only that thinking, the results of which are not prescribed—as is so frequently in those discussions in which it is predetermined who is right and which therefore do not advance the cause—but rather degenerate without fail into tactics. </w:t>
      </w:r>
      <w:r w:rsidRPr="001D0A07">
        <w:rPr>
          <w:u w:val="single"/>
        </w:rPr>
        <w:t xml:space="preserve">When the doors are barricaded, it is doubly important that thought not be interrupted. </w:t>
      </w:r>
      <w:r w:rsidRPr="001444C9">
        <w:rPr>
          <w:sz w:val="16"/>
        </w:rPr>
        <w:t xml:space="preserve">It is rather the task of thought to analyse the reasons behind this situation and to draw the consequences from these reasons. </w:t>
      </w:r>
      <w:r w:rsidRPr="001D0A07">
        <w:rPr>
          <w:u w:val="single"/>
        </w:rPr>
        <w:t>It is the responsibility of thought not to accept the situation as finite.</w:t>
      </w:r>
      <w:r w:rsidRPr="001444C9">
        <w:rPr>
          <w:sz w:val="16"/>
        </w:rPr>
        <w:t xml:space="preserve"> If there is any chance of changing the situation, it is only through undiminished thought. (1991: 200, 201) The surrendering of one’s thinking to the solutionist imperative implies its instrumentalization. Hence, in sooth, it is an act of resignation—and of neglect. Recall the ancient philosophical practices of the care of the self and others that I keep returning to throughout this book: the Socratic endeavours to induce a constant perplexity, the Cynics’ embraces of re-evaluation as a driving principle of the mode of life. </w:t>
      </w:r>
      <w:r w:rsidRPr="001D0A07">
        <w:rPr>
          <w:u w:val="single"/>
        </w:rPr>
        <w:t>These were the actions irreducible to their immediate effects. They agitated the sensibilities to unsettle the dominant rationality.</w:t>
      </w:r>
      <w:r w:rsidRPr="001444C9">
        <w:rPr>
          <w:sz w:val="16"/>
        </w:rPr>
        <w:t xml:space="preserve"> They did not prescribe; they were an imperative to ‘open thinking’ that ‘points beyond itself’ (cf: Adorno 1991: 202). Consider also the Foucauldian conception of subjectivity as a point of tension between the self and the world, as something irreducible to the existing expectations and desires. </w:t>
      </w:r>
      <w:r w:rsidRPr="001D0A07">
        <w:rPr>
          <w:u w:val="single"/>
        </w:rPr>
        <w:t xml:space="preserve">Digital simulations pixelate this tension, turning it, and therefore our very (dis)positions, to mere code. </w:t>
      </w:r>
      <w:r w:rsidRPr="001444C9">
        <w:rPr>
          <w:sz w:val="16"/>
        </w:rPr>
        <w:t xml:space="preserve">With the news that metaverse is on its way (see Anderson and Rainie 2022), </w:t>
      </w:r>
      <w:r w:rsidRPr="001D0A07">
        <w:rPr>
          <w:u w:val="single"/>
        </w:rPr>
        <w:t>we ought to seriously consider the automatizing implications of the digital technologies of the subject</w:t>
      </w:r>
      <w:r w:rsidRPr="001444C9">
        <w:rPr>
          <w:sz w:val="16"/>
        </w:rPr>
        <w:t xml:space="preserve">. </w:t>
      </w:r>
      <w:r w:rsidRPr="001D0A07">
        <w:rPr>
          <w:b/>
          <w:bCs/>
          <w:u w:val="single"/>
        </w:rPr>
        <w:t>Further simulation will not save us; it will only intensify the neglect of that which makes us human. To care, and to transform, we must learn how to think openly.</w:t>
      </w:r>
      <w:bookmarkEnd w:id="1"/>
    </w:p>
    <w:p w14:paraId="1A02FF6D" w14:textId="22CF6575" w:rsidR="00FA565D" w:rsidRDefault="00543003" w:rsidP="009928A9">
      <w:pPr>
        <w:pStyle w:val="Heading3"/>
      </w:pPr>
      <w:r>
        <w:t xml:space="preserve">AT </w:t>
      </w:r>
      <w:r w:rsidR="00FA565D">
        <w:t>Policy Good</w:t>
      </w:r>
    </w:p>
    <w:p w14:paraId="55832E05" w14:textId="77777777" w:rsidR="00FA565D" w:rsidRPr="00464679" w:rsidRDefault="00FA565D" w:rsidP="00FA565D">
      <w:pPr>
        <w:pStyle w:val="Heading4"/>
        <w:rPr>
          <w:rFonts w:cs="Calibri"/>
        </w:rPr>
      </w:pPr>
      <w:r w:rsidRPr="00464679">
        <w:rPr>
          <w:rFonts w:cs="Calibri"/>
        </w:rPr>
        <w:t xml:space="preserve">Policy simulations do not create solutions, but cement regimes of violence within debate. </w:t>
      </w:r>
    </w:p>
    <w:p w14:paraId="248955E0" w14:textId="77777777" w:rsidR="00FA565D" w:rsidRPr="001444C9" w:rsidRDefault="00FA565D" w:rsidP="00FA565D">
      <w:pPr>
        <w:rPr>
          <w:rStyle w:val="Style13ptBold"/>
          <w:b w:val="0"/>
          <w:bCs w:val="0"/>
          <w:sz w:val="22"/>
        </w:rPr>
      </w:pPr>
      <w:r w:rsidRPr="00464679">
        <w:rPr>
          <w:rStyle w:val="Style13ptBold"/>
        </w:rPr>
        <w:t>Stypinska 22</w:t>
      </w:r>
      <w:r w:rsidRPr="001444C9">
        <w:rPr>
          <w:rStyle w:val="Style13ptBold"/>
          <w:b w:val="0"/>
          <w:sz w:val="22"/>
        </w:rPr>
        <w:t xml:space="preserve"> [Diana Stypinska, Lecturer in Social Theory at University of Galway, Galway, Ireland, November 1, 2022, “Social Media, Truth and the Care of the Self”, Palgrave Macmillan, pgs. 83-92, https://link.springer.com/chapter/10.1007/978-3-031-18108-5_5, JMH]</w:t>
      </w:r>
    </w:p>
    <w:p w14:paraId="5FCCF941" w14:textId="6BC23CC6" w:rsidR="00FA565D" w:rsidRPr="00FA565D" w:rsidRDefault="00FA565D" w:rsidP="00FA565D">
      <w:pPr>
        <w:rPr>
          <w:u w:val="single"/>
        </w:rPr>
      </w:pPr>
      <w:r w:rsidRPr="001D0A07">
        <w:rPr>
          <w:u w:val="single"/>
        </w:rPr>
        <w:t>Ideology ‘corresponds to a corruption of reality through signs’,</w:t>
      </w:r>
      <w:r w:rsidRPr="001444C9">
        <w:rPr>
          <w:sz w:val="16"/>
        </w:rPr>
        <w:t xml:space="preserve"> argues Jean Baudrillard, and, therefore, </w:t>
      </w:r>
      <w:r w:rsidRPr="001D0A07">
        <w:rPr>
          <w:u w:val="single"/>
        </w:rPr>
        <w:t>‘the goal of the ideological analysis [is] to restore the objective process’ (2008: 27).</w:t>
      </w:r>
      <w:r w:rsidRPr="001444C9">
        <w:rPr>
          <w:sz w:val="16"/>
        </w:rPr>
        <w:t xml:space="preserve"> Simulation, on the other hand, ‘corresponds to a short circuit of reality and to its duplication through signs’ (Baudrillard 2008: 27). As such, Baudrillard claims, ‘it is always a false problem to wish to restore the truth beneath the simulacrum’ (2008: 27). Indeed, </w:t>
      </w:r>
      <w:r w:rsidRPr="001D0A07">
        <w:rPr>
          <w:u w:val="single"/>
        </w:rPr>
        <w:t>as I have demonstrated in previous chapters, simulation produces its own peculiar duty of truth, which re-anchors its functionaries in the coordinates of the former.</w:t>
      </w:r>
      <w:r w:rsidRPr="001444C9">
        <w:rPr>
          <w:sz w:val="16"/>
        </w:rPr>
        <w:t xml:space="preserve"> In line with this, </w:t>
      </w:r>
      <w:r w:rsidRPr="001D0A07">
        <w:rPr>
          <w:b/>
          <w:bCs/>
          <w:u w:val="single"/>
        </w:rPr>
        <w:t>I would like to posit that post-truth</w:t>
      </w:r>
      <w:r w:rsidRPr="001444C9">
        <w:rPr>
          <w:sz w:val="16"/>
        </w:rPr>
        <w:t xml:space="preserve">, in and of itself, </w:t>
      </w:r>
      <w:r w:rsidRPr="001D0A07">
        <w:rPr>
          <w:b/>
          <w:bCs/>
          <w:u w:val="single"/>
        </w:rPr>
        <w:t>is not ideological; it is simulational.</w:t>
      </w:r>
      <w:r w:rsidRPr="001444C9">
        <w:rPr>
          <w:sz w:val="16"/>
        </w:rPr>
        <w:t xml:space="preserve"> Post-truth, that is to say, is not so much a symptom of a corruption of our reality, but, rather, that of its progressive substitution with the order of simulacrum. Crucially in this context, </w:t>
      </w:r>
      <w:r w:rsidRPr="001D0A07">
        <w:rPr>
          <w:u w:val="single"/>
        </w:rPr>
        <w:t>simulation should not be conceived as an external force—one that swooped down upon us, as it were, violently snatching us up and unconsensually entrapping us in its forceful grip.</w:t>
      </w:r>
      <w:r w:rsidRPr="001444C9">
        <w:rPr>
          <w:sz w:val="16"/>
        </w:rPr>
        <w:t xml:space="preserve"> Contrariwise, </w:t>
      </w:r>
      <w:r w:rsidRPr="001D0A07">
        <w:rPr>
          <w:u w:val="single"/>
        </w:rPr>
        <w:t>it would be far more accurate to consider simulation as something that we actively welcomed—and continue to do so, in an utter disregard for, and ongoing denial of, the reasons behind, and the consequences of, this act.</w:t>
      </w:r>
      <w:r w:rsidRPr="001444C9">
        <w:rPr>
          <w:sz w:val="16"/>
        </w:rPr>
        <w:t xml:space="preserve"> Here, let us briefly return to the origins of the term ‘post-truth’. According to Oxford Languages, the contemporary definition of ‘post-truth’ can be traced back to a 1992 essay by Steve Tesich published in The Nation magazine (see 2016). In it, Tesich offers some reflections on the ‘Watergate symptom’, a term coined in reference to the Watergate scandal as a means of designating a wider shift in the North American mentality (1992). As Tesich expounds, [e]ither because the Watergate revelations were so wrenching and followed on the heels of the war in Vietnam, which was replete with crimes and revelations of its own, or because Nixon was so quickly pardoned, we began to shy away from the truth. </w:t>
      </w:r>
      <w:r w:rsidRPr="001D0A07">
        <w:rPr>
          <w:u w:val="single"/>
        </w:rPr>
        <w:t>We came to equate truth with bad news and we didn’t want bad news anymore, no matter how true or vital to our health as a nation.</w:t>
      </w:r>
      <w:r w:rsidRPr="001444C9">
        <w:rPr>
          <w:sz w:val="16"/>
        </w:rPr>
        <w:t xml:space="preserve"> </w:t>
      </w:r>
      <w:r w:rsidRPr="001D0A07">
        <w:rPr>
          <w:b/>
          <w:bCs/>
          <w:u w:val="single"/>
        </w:rPr>
        <w:t xml:space="preserve">We looked to our government to protect us from the truth. […] We would see only what our government wanted us to see, and we saw nothing wrong with that. We liked it that way. Our government was looking after us. (1992: 12, 13) </w:t>
      </w:r>
      <w:r w:rsidRPr="001444C9">
        <w:rPr>
          <w:sz w:val="16"/>
        </w:rPr>
        <w:t xml:space="preserve">Both Tesich and Boorstin presented a damning diagnosis of the American culture, warning of the dangers of the denial of reality. </w:t>
      </w:r>
      <w:r w:rsidRPr="001D0A07">
        <w:rPr>
          <w:u w:val="single"/>
        </w:rPr>
        <w:t>‘We are rapidly becoming prototypes of a people that totalitarian monsters could only drool about in their dreams’,</w:t>
      </w:r>
      <w:r w:rsidRPr="001444C9">
        <w:rPr>
          <w:sz w:val="16"/>
        </w:rPr>
        <w:t xml:space="preserve"> proclaimed Tesich (1992: 13). All the dictators up to now have had to work hard at suppressing the truth</w:t>
      </w:r>
      <w:r w:rsidRPr="001D0A07">
        <w:rPr>
          <w:u w:val="single"/>
        </w:rPr>
        <w:t>. We, by our actions, are saying that this is no longer necessary, that we have acquired a spiritual mechanism that can denude truth of any significance.</w:t>
      </w:r>
      <w:r w:rsidRPr="001444C9">
        <w:rPr>
          <w:sz w:val="16"/>
        </w:rPr>
        <w:t xml:space="preserve"> In a very fundamental way we, as a free people, have freely decided that we want to live in some post-truth world. (1992: 13) As this shows, the problem of post-truth was never a question of epistemology. Contrariwise, the post-truth problematique is rooted in a desperate attempt to hold on to the capitalist ‘happy consciousness’—that is, ‘the belief that the real is rational and that the system delivers the goods’ (Marcuse 2007: 84)—by any means available. </w:t>
      </w:r>
      <w:r w:rsidRPr="001D0A07">
        <w:rPr>
          <w:u w:val="single"/>
        </w:rPr>
        <w:t xml:space="preserve">And by the late twentieth century, the only such means were those of the abandonment of reality. </w:t>
      </w:r>
      <w:r w:rsidRPr="001444C9">
        <w:rPr>
          <w:sz w:val="16"/>
        </w:rPr>
        <w:t>What Mark Fisher refers to as a ‘depressive hedonia’, namely, ‘an inability to do anything else except pursue pleasure’ (2009: 22) [author’s emphasis], is thus fundamentally co-extensive with our post-truth condition</w:t>
      </w:r>
      <w:r w:rsidRPr="001D0A07">
        <w:rPr>
          <w:u w:val="single"/>
        </w:rPr>
        <w:t>. It follows that our contemporary duty of truth is the expression of the imperative to constant, unimpeded flow of an unsublimated desire for gratification.</w:t>
      </w:r>
      <w:r w:rsidRPr="001444C9">
        <w:rPr>
          <w:sz w:val="16"/>
        </w:rPr>
        <w:t xml:space="preserve"> </w:t>
      </w:r>
      <w:r w:rsidRPr="001D0A07">
        <w:rPr>
          <w:b/>
          <w:bCs/>
          <w:u w:val="single"/>
        </w:rPr>
        <w:t xml:space="preserve">Simulation enables us to eliminate the obstructions to this flow, as such, facilitating an increasing automatization of desire. </w:t>
      </w:r>
      <w:r w:rsidRPr="001444C9">
        <w:rPr>
          <w:sz w:val="16"/>
        </w:rPr>
        <w:t xml:space="preserve">Crucially, simulation does not shelter us from the physical world and our daily troubles. This, however, should come as no surprise. </w:t>
      </w:r>
      <w:r w:rsidRPr="001D0A07">
        <w:rPr>
          <w:u w:val="single"/>
        </w:rPr>
        <w:t>After all, the delusions that it affords us were, from the very onset, geared towards the preservation of the capitalist imaginary.</w:t>
      </w:r>
      <w:r w:rsidRPr="001444C9">
        <w:rPr>
          <w:sz w:val="16"/>
        </w:rPr>
        <w:t xml:space="preserve"> In effect, by their very design, they are bent on the protection of the existence of the status quo, not us. </w:t>
      </w:r>
      <w:r w:rsidRPr="001D0A07">
        <w:rPr>
          <w:b/>
          <w:bCs/>
          <w:u w:val="single"/>
        </w:rPr>
        <w:t>By guaranteeing our entrapment within private subjective orbits (cf: Mills 2000), simulation operationalizes and sustains our deference to the logic of economicization;</w:t>
      </w:r>
      <w:r w:rsidRPr="001444C9">
        <w:rPr>
          <w:sz w:val="16"/>
        </w:rPr>
        <w:t xml:space="preserve"> it does not have any purchase on the effects of the latter. So far this has largely translated itself into ‘reflexive impotence’ (Fisher 2009: 21). </w:t>
      </w:r>
      <w:r w:rsidRPr="001D0A07">
        <w:rPr>
          <w:u w:val="single"/>
        </w:rPr>
        <w:t>That is to say, we lived in the awareness that things were bad, but we believed that there was nothing that we could do about it (see Fisher 2009: 21).</w:t>
      </w:r>
      <w:r w:rsidRPr="001444C9">
        <w:rPr>
          <w:sz w:val="16"/>
        </w:rPr>
        <w:t xml:space="preserve"> Nothing apart from, that is, attempting to obtain ‘at least some gratification through identification with the existent’ (Adorno 1991: 150). Today, however, </w:t>
      </w:r>
      <w:r w:rsidRPr="001D0A07">
        <w:rPr>
          <w:u w:val="single"/>
        </w:rPr>
        <w:t>the escalating libidinal frustrations are driving many to action</w:t>
      </w:r>
      <w:r w:rsidRPr="001444C9">
        <w:rPr>
          <w:sz w:val="16"/>
        </w:rPr>
        <w:t xml:space="preserve">. </w:t>
      </w:r>
      <w:r w:rsidRPr="001D0A07">
        <w:rPr>
          <w:b/>
          <w:bCs/>
          <w:u w:val="single"/>
        </w:rPr>
        <w:t>Temporary gratifications offered by the digital enactment of simulation-powered delusions,</w:t>
      </w:r>
      <w:r w:rsidRPr="001444C9">
        <w:rPr>
          <w:sz w:val="16"/>
        </w:rPr>
        <w:t xml:space="preserve"> in short, </w:t>
      </w:r>
      <w:r w:rsidRPr="001D0A07">
        <w:rPr>
          <w:b/>
          <w:bCs/>
          <w:u w:val="single"/>
        </w:rPr>
        <w:t>are no longer enough.</w:t>
      </w:r>
      <w:r w:rsidRPr="001444C9">
        <w:rPr>
          <w:sz w:val="16"/>
        </w:rPr>
        <w:t xml:space="preserve"> Indeed, it would appear that the days of reflexive impotence are numbered, soon to be replaced with widespread physical insurgencies of the impotent. As Luke Mogelson, the author of The Storm is Here, demonstrates, the 2021 attack on the US Capitol was but a sample of what is to come (see 2022). </w:t>
      </w:r>
      <w:r w:rsidRPr="001D0A07">
        <w:rPr>
          <w:u w:val="single"/>
        </w:rPr>
        <w:t>He argues that the Americans are in imminent danger of ‘more frequent and larger-scale eruptions of gun violence’ and, that with so many ‘people with considerable influence and power’ now calling for a civil war, its prospect is far from outlandish (quoted in Fox 2022; see also Orth 2022).</w:t>
      </w:r>
      <w:r w:rsidRPr="001444C9">
        <w:rPr>
          <w:sz w:val="16"/>
        </w:rPr>
        <w:t xml:space="preserve"> Likewise, Franco ‘Bifo’ Berardi warned us that if a radical change does not take place, the future of Europe will be that of ‘mass violence’ and ‘inter-ethnic civil war’ (see 2011: 122). With inflation in the eurozone at an all-time high (see Liboreiro 2022) and an intensifying energy crisis (see Horowitz 2022), there is no question that many are now alarmingly close to the boiling point. </w:t>
      </w:r>
      <w:r w:rsidRPr="001D0A07">
        <w:rPr>
          <w:u w:val="single"/>
        </w:rPr>
        <w:t xml:space="preserve">It is becoming blatantly clear that our unsublimated desires cannot be contained by the digital. </w:t>
      </w:r>
      <w:r w:rsidRPr="001444C9">
        <w:rPr>
          <w:sz w:val="16"/>
        </w:rPr>
        <w:t xml:space="preserve">To be sure, </w:t>
      </w:r>
      <w:r w:rsidRPr="001D0A07">
        <w:rPr>
          <w:b/>
          <w:bCs/>
          <w:u w:val="single"/>
        </w:rPr>
        <w:t xml:space="preserve">simulation no longer constitutes just an assault on the real; now it leads to real assaults. </w:t>
      </w:r>
      <w:r w:rsidRPr="001444C9">
        <w:rPr>
          <w:sz w:val="16"/>
        </w:rPr>
        <w:t xml:space="preserve">Such are its ‘true pleasures’: by automatizing our desires, by making ourselves neglectful of ourselves, others, and the world, we traded off our ability to meaningfully intervene into the present—all for an economic dreamworld that could never deliver on its promises. </w:t>
      </w:r>
      <w:r w:rsidRPr="001D0A07">
        <w:rPr>
          <w:u w:val="single"/>
        </w:rPr>
        <w:t>The perpetually accelerated play of simulation hence came to accelerate the demise of not only truth and politics, but that of our very existence. Let us make no mistake here: what we are losing today is more than critical agency; it is humanity.</w:t>
      </w:r>
    </w:p>
    <w:p w14:paraId="4340A4E9" w14:textId="77777777" w:rsidR="00FA565D" w:rsidRDefault="00FA565D" w:rsidP="00FA565D">
      <w:pPr>
        <w:pStyle w:val="Heading3"/>
      </w:pPr>
      <w:r>
        <w:t>AT Reforms</w:t>
      </w:r>
    </w:p>
    <w:p w14:paraId="220357D0" w14:textId="77777777" w:rsidR="00FA565D" w:rsidRDefault="00FA565D" w:rsidP="00FA565D">
      <w:pPr>
        <w:pStyle w:val="Heading4"/>
      </w:pPr>
      <w:r>
        <w:t>Reformism fails—even laws that supposedly serve the public good are designed for biopolitical ends</w:t>
      </w:r>
    </w:p>
    <w:p w14:paraId="754C7FE1" w14:textId="77777777" w:rsidR="00FA565D" w:rsidRPr="006A4805" w:rsidRDefault="00FA565D" w:rsidP="00FA565D">
      <w:pPr>
        <w:rPr>
          <w:rStyle w:val="Style13ptBold"/>
        </w:rPr>
      </w:pPr>
      <w:r w:rsidRPr="006A4805">
        <w:rPr>
          <w:rStyle w:val="Style13ptBold"/>
        </w:rPr>
        <w:t>Hilberg 15</w:t>
      </w:r>
    </w:p>
    <w:p w14:paraId="12D2D938" w14:textId="77777777" w:rsidR="00FA565D" w:rsidRPr="006A4805" w:rsidRDefault="00FA565D" w:rsidP="00FA565D">
      <w:r w:rsidRPr="006A4805">
        <w:t xml:space="preserve">Eva, phD candidate at the University of Sussex. “Intellectual Property and the Genetic Dispositif of Life: The Changing Role of Intellectual Property Law in Governing Participation and Knowledge in the Bioeconomy.” Submitted for the Degree of Doctor of Philosophy University of Sussex, May 2015. Pp </w:t>
      </w:r>
      <w:r>
        <w:t>90-92</w:t>
      </w:r>
      <w:r w:rsidRPr="006A4805">
        <w:t>. LJS</w:t>
      </w:r>
    </w:p>
    <w:p w14:paraId="3DE40433" w14:textId="77777777" w:rsidR="00FA565D" w:rsidRPr="00784C54" w:rsidRDefault="00FA565D" w:rsidP="00FA565D">
      <w:pPr>
        <w:rPr>
          <w:sz w:val="16"/>
        </w:rPr>
      </w:pPr>
      <w:r w:rsidRPr="00784C54">
        <w:rPr>
          <w:rStyle w:val="StyleUnderline"/>
        </w:rPr>
        <w:t>Ewald thus argues that Foucault’s notion of “the juridical” does not equate to all</w:t>
      </w:r>
      <w:r>
        <w:rPr>
          <w:rStyle w:val="StyleUnderline"/>
        </w:rPr>
        <w:t xml:space="preserve"> </w:t>
      </w:r>
      <w:r w:rsidRPr="00784C54">
        <w:rPr>
          <w:rStyle w:val="StyleUnderline"/>
        </w:rPr>
        <w:t>legislation (see also Golder and Fitzpatrick 2009, 35), and particularly addresses the</w:t>
      </w:r>
      <w:r>
        <w:rPr>
          <w:rStyle w:val="StyleUnderline"/>
        </w:rPr>
        <w:t xml:space="preserve"> </w:t>
      </w:r>
      <w:r w:rsidRPr="00784C54">
        <w:rPr>
          <w:rStyle w:val="StyleUnderline"/>
        </w:rPr>
        <w:t>different relation of biopower to law.</w:t>
      </w:r>
      <w:r w:rsidRPr="00784C54">
        <w:rPr>
          <w:sz w:val="16"/>
        </w:rPr>
        <w:t xml:space="preserve"> Here the role of law is not yet fully understood: “Foucault’s analysis leaves open two questions: first, if the juridical is an inappropriate category to use in interpreting bio-power, how do we make sense of all those ‘instruments of the law’ (codes, constitutions, laws, regulations) that have developed and expanded during the era of bio-power? Second, if the actions of norms replaces the juridical system of law as the code and language of power, what role remains for law?” (Ewald 2010, 146; quoted also in N. Rose and Valverde 2010, 179) Ewald’s questions raise the problem of a practical interpretation of the law’s turn towards the norm in the promotion of biopolitical priorities</w:t>
      </w:r>
      <w:r w:rsidRPr="00784C54">
        <w:rPr>
          <w:rStyle w:val="StyleUnderline"/>
        </w:rPr>
        <w:t>. As Foucault’s statements</w:t>
      </w:r>
      <w:r>
        <w:rPr>
          <w:rStyle w:val="StyleUnderline"/>
        </w:rPr>
        <w:t xml:space="preserve"> </w:t>
      </w:r>
      <w:r w:rsidRPr="00784C54">
        <w:rPr>
          <w:rStyle w:val="StyleUnderline"/>
        </w:rPr>
        <w:t>above point out, the “dominant characteristic” or “correlation” of power exercises is</w:t>
      </w:r>
      <w:r>
        <w:rPr>
          <w:rStyle w:val="StyleUnderline"/>
        </w:rPr>
        <w:t xml:space="preserve"> </w:t>
      </w:r>
      <w:r w:rsidRPr="00784C54">
        <w:rPr>
          <w:rStyle w:val="StyleUnderline"/>
        </w:rPr>
        <w:t>undergoing change in governmentality. In this turn towards new priorities for</w:t>
      </w:r>
      <w:r>
        <w:rPr>
          <w:rStyle w:val="StyleUnderline"/>
        </w:rPr>
        <w:t xml:space="preserve"> </w:t>
      </w:r>
      <w:r w:rsidRPr="00784C54">
        <w:rPr>
          <w:rStyle w:val="StyleUnderline"/>
        </w:rPr>
        <w:t>governing, such as the life of populations, law becomes enmeshed with the operation</w:t>
      </w:r>
      <w:r>
        <w:rPr>
          <w:rStyle w:val="StyleUnderline"/>
        </w:rPr>
        <w:t xml:space="preserve"> </w:t>
      </w:r>
      <w:r w:rsidRPr="00784C54">
        <w:rPr>
          <w:rStyle w:val="StyleUnderline"/>
        </w:rPr>
        <w:t>of biopolitics and starts to be framed as a norm that translates biopolitical priorities.</w:t>
      </w:r>
      <w:r>
        <w:rPr>
          <w:rStyle w:val="StyleUnderline"/>
        </w:rPr>
        <w:t xml:space="preserve"> </w:t>
      </w:r>
      <w:r w:rsidRPr="00784C54">
        <w:rPr>
          <w:sz w:val="16"/>
        </w:rPr>
        <w:t xml:space="preserve">Elbe puts this change of direction, as part of a governmentalisation of power exercises, thus: “For example, the much older institution of law (sovereign power) is increasingly used not just to augment the powers of the sovereign or the state but also to improve the welfare of populations by drafting new regulations – such as making it compulsory to wear seat belts, levying taxes on alcohol […] The older forms of sovereign and disciplinary power […] begin to play a much more subservient and “supporting” role for the wider purposes of managing the welfare of populations – giving rise to a complex ‘triangle’ of sovereignty, discipline, and governmental management.” (Elbe 2009, 12) </w:t>
      </w:r>
      <w:r w:rsidRPr="00784C54">
        <w:rPr>
          <w:rStyle w:val="StyleUnderline"/>
        </w:rPr>
        <w:t>This statement already refers to a much wider, and more contemporary, interpretation</w:t>
      </w:r>
      <w:r>
        <w:rPr>
          <w:rStyle w:val="StyleUnderline"/>
        </w:rPr>
        <w:t xml:space="preserve"> </w:t>
      </w:r>
      <w:r w:rsidRPr="00784C54">
        <w:rPr>
          <w:rStyle w:val="StyleUnderline"/>
        </w:rPr>
        <w:t>of the content of ‘law’, and highlights how the change towards the norm relegates</w:t>
      </w:r>
      <w:r>
        <w:rPr>
          <w:rStyle w:val="StyleUnderline"/>
        </w:rPr>
        <w:t xml:space="preserve"> </w:t>
      </w:r>
      <w:r w:rsidRPr="00784C54">
        <w:rPr>
          <w:rStyle w:val="StyleUnderline"/>
        </w:rPr>
        <w:t>more traditional forms of law to a supporting role.</w:t>
      </w:r>
      <w:r w:rsidRPr="00784C54">
        <w:rPr>
          <w:sz w:val="16"/>
        </w:rPr>
        <w:t xml:space="preserve"> Instead of an emphasis on traditional fields of law, Rose and Valverde also argue that the emergence of the norm entails an overall “[…] turn towards the minor, the mundane, the grey, meticulous and detailed work of regulatory apparatuses, of the control of streets, of the government of transport, of the law of health and hygiene […], of the laws of property and trust, […] of all the places where, in the bureaucratic working of our over-governed existence, laws, rules and standards shape our ways of going on, and all the little judges of conduct exercise their petty powers of adjudication and enforcement.” (N. Rose and Valverde 2010, 546, originally published 1998) </w:t>
      </w:r>
      <w:r w:rsidRPr="00784C54">
        <w:rPr>
          <w:rStyle w:val="StyleUnderline"/>
        </w:rPr>
        <w:t>This highlights the increasing relevance of previously “mundane” sectors of law in a</w:t>
      </w:r>
      <w:r>
        <w:rPr>
          <w:rStyle w:val="StyleUnderline"/>
        </w:rPr>
        <w:t xml:space="preserve"> </w:t>
      </w:r>
      <w:r w:rsidRPr="00784C54">
        <w:rPr>
          <w:rStyle w:val="StyleUnderline"/>
        </w:rPr>
        <w:t>process of governmentalisation of law containing a turn to biopolitical priorities –</w:t>
      </w:r>
      <w:r>
        <w:rPr>
          <w:rStyle w:val="StyleUnderline"/>
        </w:rPr>
        <w:t xml:space="preserve"> </w:t>
      </w:r>
      <w:r w:rsidRPr="00784C54">
        <w:rPr>
          <w:rStyle w:val="StyleUnderline"/>
        </w:rPr>
        <w:t>drawing attention to areas such as health and hygiene, but also the administration of</w:t>
      </w:r>
      <w:r>
        <w:rPr>
          <w:rStyle w:val="StyleUnderline"/>
        </w:rPr>
        <w:t xml:space="preserve"> </w:t>
      </w:r>
      <w:r w:rsidRPr="00784C54">
        <w:rPr>
          <w:rStyle w:val="StyleUnderline"/>
        </w:rPr>
        <w:t>property and trust</w:t>
      </w:r>
      <w:r w:rsidRPr="00784C54">
        <w:rPr>
          <w:sz w:val="16"/>
        </w:rPr>
        <w:t xml:space="preserve">. This chapter already set out the increasing relevance of technical knowledge and the control of such knowledge for biopolitical strategies. </w:t>
      </w:r>
      <w:r w:rsidRPr="00784C54">
        <w:rPr>
          <w:rStyle w:val="StyleUnderline"/>
        </w:rPr>
        <w:t>This finds its</w:t>
      </w:r>
      <w:r>
        <w:rPr>
          <w:rStyle w:val="StyleUnderline"/>
        </w:rPr>
        <w:t xml:space="preserve"> </w:t>
      </w:r>
      <w:r w:rsidRPr="00784C54">
        <w:rPr>
          <w:rStyle w:val="StyleUnderline"/>
        </w:rPr>
        <w:t>correlate in an increased importance of laws administrating technical sectors – which</w:t>
      </w:r>
      <w:r>
        <w:rPr>
          <w:rStyle w:val="StyleUnderline"/>
        </w:rPr>
        <w:t xml:space="preserve"> </w:t>
      </w:r>
      <w:r w:rsidRPr="00784C54">
        <w:rPr>
          <w:rStyle w:val="StyleUnderline"/>
        </w:rPr>
        <w:t>are now centrally involved in the realisation of governmental priorities.</w:t>
      </w:r>
      <w:r>
        <w:rPr>
          <w:rStyle w:val="StyleUnderline"/>
        </w:rPr>
        <w:t xml:space="preserve"> </w:t>
      </w:r>
      <w:r w:rsidRPr="00784C54">
        <w:rPr>
          <w:sz w:val="16"/>
        </w:rPr>
        <w:t xml:space="preserve">However, Ewald states “the language of bio-power is purely technical and has almost nothing to do with the law as such” (Ewald 2010, 146), thus arguing that biopower’s mechanisms are not what Foucault considered ‘law’ in the first place. The distinction between technical types of law, norms, and “regulatory apparatuses” remains difficult, as not all fulfill the function of a norm in the same way. A law making seatbelts obligatory clearly introduces a new norm containing biopolitical priorities, but a system addressing the laws of property and trust does not establish norms as straightforwardly as that. </w:t>
      </w:r>
      <w:r w:rsidRPr="00784C54">
        <w:rPr>
          <w:rStyle w:val="StyleUnderline"/>
        </w:rPr>
        <w:t>In the case of IP, law introduces a method of</w:t>
      </w:r>
      <w:r>
        <w:rPr>
          <w:rStyle w:val="StyleUnderline"/>
        </w:rPr>
        <w:t xml:space="preserve"> </w:t>
      </w:r>
      <w:r w:rsidRPr="00784C54">
        <w:rPr>
          <w:rStyle w:val="StyleUnderline"/>
        </w:rPr>
        <w:t>normalising ‘accepted’ and ‘novel’ scientific knowledge and assigning clear</w:t>
      </w:r>
      <w:r>
        <w:rPr>
          <w:rStyle w:val="StyleUnderline"/>
        </w:rPr>
        <w:t xml:space="preserve"> </w:t>
      </w:r>
      <w:r w:rsidRPr="00784C54">
        <w:rPr>
          <w:rStyle w:val="StyleUnderline"/>
        </w:rPr>
        <w:t>ownership over this knowledge</w:t>
      </w:r>
      <w:r w:rsidRPr="00784C54">
        <w:rPr>
          <w:sz w:val="16"/>
        </w:rPr>
        <w:t xml:space="preserve">. IP is a technical area of law that is engaged in classifying technical knowledge – thus doubly relevant for the new art of governing. </w:t>
      </w:r>
      <w:r w:rsidRPr="00784C54">
        <w:rPr>
          <w:rStyle w:val="StyleUnderline"/>
        </w:rPr>
        <w:t>A predominantly US-American version of IPRs also became a global norm for IP by virtue of the global reach of the TRIPS agreement, which sought to introduce a</w:t>
      </w:r>
      <w:r>
        <w:rPr>
          <w:rStyle w:val="StyleUnderline"/>
        </w:rPr>
        <w:t xml:space="preserve"> </w:t>
      </w:r>
      <w:r w:rsidRPr="00784C54">
        <w:rPr>
          <w:rStyle w:val="StyleUnderline"/>
        </w:rPr>
        <w:t>uniform minimum standard of IPRs worldwide</w:t>
      </w:r>
      <w:r w:rsidRPr="00784C54">
        <w:rPr>
          <w:sz w:val="16"/>
        </w:rPr>
        <w:t xml:space="preserve">. These aspects of IP’s role as a norm have, however, first and foremost been analysed with reference to establishing property in an economic context – and not with reference to their relation to contestations over medical knowledge and the governing of life. At the intensifying intersection between governing of life and also of the market, IP’s function needs further attention, beyond declarations of law’s changed status as a norm. </w:t>
      </w:r>
      <w:r w:rsidRPr="00784C54">
        <w:rPr>
          <w:rStyle w:val="StyleUnderline"/>
        </w:rPr>
        <w:t>The normalisation of knowledge and the normalisation of</w:t>
      </w:r>
      <w:r>
        <w:rPr>
          <w:rStyle w:val="StyleUnderline"/>
        </w:rPr>
        <w:t xml:space="preserve"> </w:t>
      </w:r>
      <w:r w:rsidRPr="00784C54">
        <w:rPr>
          <w:rStyle w:val="StyleUnderline"/>
        </w:rPr>
        <w:t>participatory regimes in research and the bioeconomy involve a complex negotiation</w:t>
      </w:r>
      <w:r>
        <w:rPr>
          <w:rStyle w:val="StyleUnderline"/>
        </w:rPr>
        <w:t xml:space="preserve"> </w:t>
      </w:r>
      <w:r w:rsidRPr="00784C54">
        <w:rPr>
          <w:rStyle w:val="StyleUnderline"/>
        </w:rPr>
        <w:t>of tensions</w:t>
      </w:r>
      <w:r w:rsidRPr="00784C54">
        <w:rPr>
          <w:sz w:val="16"/>
        </w:rPr>
        <w:t xml:space="preserve">. Relying on Golder and Fitzpatrick’s instructive analysis of law within Foucault’s work, the next section argues that at the intersection of life and the economy, law operates in an “illimitable” manner, “[engaging] responsively with exteriority, with an outside made up of resistances and transgressions” (Golder and Fitzpatrick 2009, 56 and 71). </w:t>
      </w:r>
      <w:r w:rsidRPr="00784C54">
        <w:rPr>
          <w:rStyle w:val="StyleUnderline"/>
        </w:rPr>
        <w:t>In this way, law as a tactics of government contributes</w:t>
      </w:r>
      <w:r>
        <w:rPr>
          <w:rStyle w:val="StyleUnderline"/>
        </w:rPr>
        <w:t xml:space="preserve"> </w:t>
      </w:r>
      <w:r w:rsidRPr="00784C54">
        <w:rPr>
          <w:rStyle w:val="StyleUnderline"/>
        </w:rPr>
        <w:t>to the resolution of tensions arising from, in the present case, the governing of life</w:t>
      </w:r>
      <w:r>
        <w:rPr>
          <w:rStyle w:val="StyleUnderline"/>
        </w:rPr>
        <w:t xml:space="preserve"> </w:t>
      </w:r>
      <w:r w:rsidRPr="00784C54">
        <w:rPr>
          <w:rStyle w:val="StyleUnderline"/>
        </w:rPr>
        <w:t>while ensuring the functioning of an economic system</w:t>
      </w:r>
      <w:r w:rsidRPr="00784C54">
        <w:rPr>
          <w:sz w:val="16"/>
        </w:rPr>
        <w:t>. Foucault’s lectures specifically point out this constitutive function of law and thus turn the emphasis away from economic determinacy, highlighting the need to govern for the market for example by means of formal privileges.</w:t>
      </w:r>
    </w:p>
    <w:p w14:paraId="6F81DD9C" w14:textId="77777777" w:rsidR="00FA565D" w:rsidRPr="006011EE" w:rsidRDefault="00FA565D" w:rsidP="00FA565D">
      <w:pPr>
        <w:pStyle w:val="Heading4"/>
      </w:pPr>
      <w:r>
        <w:t>The system of Western intellectual property fails to apply its own standards—it rewards piracy instead of creativity—the false narrative of innovation is the pretense of international biopolitical control</w:t>
      </w:r>
    </w:p>
    <w:p w14:paraId="641F95A4" w14:textId="77777777" w:rsidR="00FA565D" w:rsidRPr="00405252" w:rsidRDefault="00FA565D" w:rsidP="00FA565D">
      <w:pPr>
        <w:rPr>
          <w:b/>
          <w:bCs/>
          <w:sz w:val="26"/>
        </w:rPr>
      </w:pPr>
      <w:r>
        <w:rPr>
          <w:rStyle w:val="Style13ptBold"/>
        </w:rPr>
        <w:t xml:space="preserve">Hamilton ‘08 </w:t>
      </w:r>
      <w:r w:rsidRPr="006A4805">
        <w:t>[Chris Hamilton, phD candidate at the BIOS Centre, at the London School of Economics; 1 December 2008; “Intellectual property rights, the bioeconomy and the challenge of biopiracy”; Genomics, Society and Policy, Vol.4, No.3 (2008). Pp 11-15]//InTr</w:t>
      </w:r>
    </w:p>
    <w:p w14:paraId="2ABCAB0B" w14:textId="77777777" w:rsidR="00FA565D" w:rsidRPr="006A4805" w:rsidRDefault="00FA565D" w:rsidP="00FA565D">
      <w:pPr>
        <w:rPr>
          <w:sz w:val="16"/>
        </w:rPr>
      </w:pPr>
      <w:r w:rsidRPr="006A4805">
        <w:rPr>
          <w:sz w:val="16"/>
        </w:rPr>
        <w:t xml:space="preserve">As introduced above, </w:t>
      </w:r>
      <w:r w:rsidRPr="00405252">
        <w:rPr>
          <w:u w:val="single"/>
        </w:rPr>
        <w:t>biopiracy discourses challenge the normative version of nature, knowledge and society</w:t>
      </w:r>
      <w:r w:rsidRPr="006A4805">
        <w:rPr>
          <w:sz w:val="16"/>
        </w:rPr>
        <w:t xml:space="preserve"> and how </w:t>
      </w:r>
      <w:r w:rsidRPr="00405252">
        <w:rPr>
          <w:u w:val="single"/>
        </w:rPr>
        <w:t>these are alternatively brought together but also forced apart when passed through IPR systems in the bioeconomy.</w:t>
      </w:r>
      <w:r w:rsidRPr="006A4805">
        <w:rPr>
          <w:sz w:val="16"/>
        </w:rPr>
        <w:t xml:space="preserve"> This has been done by </w:t>
      </w:r>
      <w:r w:rsidRPr="00405252">
        <w:rPr>
          <w:u w:val="single"/>
        </w:rPr>
        <w:t>presenting two overlapping critiques of the IPR system’s treatment of the natural and cultural aspects of particular “inventions”, and this has been a key component to the discourse around various instances of biopiracy that have become problematic over the last several decades</w:t>
      </w:r>
      <w:r w:rsidRPr="006A4805">
        <w:rPr>
          <w:sz w:val="16"/>
        </w:rPr>
        <w:t xml:space="preserve">. The first of these </w:t>
      </w:r>
      <w:r w:rsidRPr="00405252">
        <w:rPr>
          <w:u w:val="single"/>
        </w:rPr>
        <w:t xml:space="preserve">critiques suggests that </w:t>
      </w:r>
      <w:r w:rsidRPr="00EA0862">
        <w:rPr>
          <w:rStyle w:val="Emphasis"/>
        </w:rPr>
        <w:t>there is too much “nature” in the inventions claimed</w:t>
      </w:r>
      <w:r w:rsidRPr="00405252">
        <w:rPr>
          <w:u w:val="single"/>
        </w:rPr>
        <w:t>, and as such in the relevant aspects of living things themselves, for them to be eligible to be considered as invented rather than merely “discovered</w:t>
      </w:r>
      <w:r w:rsidRPr="006A4805">
        <w:rPr>
          <w:sz w:val="16"/>
        </w:rPr>
        <w:t xml:space="preserve">”. The </w:t>
      </w:r>
      <w:r w:rsidRPr="00405252">
        <w:rPr>
          <w:u w:val="single"/>
        </w:rPr>
        <w:t xml:space="preserve">second suggests that </w:t>
      </w:r>
      <w:r w:rsidRPr="00EA0862">
        <w:rPr>
          <w:rStyle w:val="Emphasis"/>
        </w:rPr>
        <w:t>there is also too much “culture” in these “inventions</w:t>
      </w:r>
      <w:r w:rsidRPr="00405252">
        <w:rPr>
          <w:u w:val="single"/>
        </w:rPr>
        <w:t>” for them to be considered as new or novel, and thus eligible creations for patentability.</w:t>
      </w:r>
      <w:r w:rsidRPr="006A4805">
        <w:rPr>
          <w:sz w:val="16"/>
        </w:rPr>
        <w:t xml:space="preserve"> The </w:t>
      </w:r>
      <w:r w:rsidRPr="00405252">
        <w:rPr>
          <w:u w:val="single"/>
        </w:rPr>
        <w:t xml:space="preserve">allegation that this knowledge is “too cultural” is made in two ways, first by invoking specific instances of </w:t>
      </w:r>
      <w:r w:rsidRPr="00EA0862">
        <w:rPr>
          <w:rStyle w:val="Emphasis"/>
        </w:rPr>
        <w:t>prior human influence</w:t>
      </w:r>
      <w:r w:rsidRPr="00405252">
        <w:rPr>
          <w:u w:val="single"/>
        </w:rPr>
        <w:t xml:space="preserve"> in the shaping of these organisms</w:t>
      </w:r>
      <w:r w:rsidRPr="006A4805">
        <w:rPr>
          <w:sz w:val="16"/>
        </w:rPr>
        <w:t xml:space="preserve"> (</w:t>
      </w:r>
      <w:r w:rsidRPr="00911326">
        <w:rPr>
          <w:u w:val="single"/>
        </w:rPr>
        <w:t xml:space="preserve">such as in the case of </w:t>
      </w:r>
      <w:r w:rsidRPr="00EA0862">
        <w:rPr>
          <w:rStyle w:val="Emphasis"/>
        </w:rPr>
        <w:t>patent claims on traditional medicines or on agricultural products</w:t>
      </w:r>
      <w:r w:rsidRPr="00911326">
        <w:rPr>
          <w:u w:val="single"/>
        </w:rPr>
        <w:t xml:space="preserve"> such as seed strains</w:t>
      </w:r>
      <w:r w:rsidRPr="006A4805">
        <w:rPr>
          <w:sz w:val="16"/>
        </w:rPr>
        <w:t xml:space="preserve">), and also </w:t>
      </w:r>
      <w:r w:rsidRPr="00911326">
        <w:rPr>
          <w:u w:val="single"/>
        </w:rPr>
        <w:t>by invoking a much more holistic perspective on the relationship between humans and nature at the most general which put humans squarely back into a nature that they are actively participating in.</w:t>
      </w:r>
      <w:r w:rsidRPr="006A4805">
        <w:rPr>
          <w:sz w:val="16"/>
        </w:rPr>
        <w:t xml:space="preserve"> The </w:t>
      </w:r>
      <w:r w:rsidRPr="00911326">
        <w:rPr>
          <w:u w:val="single"/>
        </w:rPr>
        <w:t xml:space="preserve">particular artefacts being challenged by the allegation of biopiracy are thus </w:t>
      </w:r>
      <w:r w:rsidRPr="00EA0862">
        <w:rPr>
          <w:rStyle w:val="Emphasis"/>
        </w:rPr>
        <w:t>positioned uniquely at the nexus of nature/culture</w:t>
      </w:r>
      <w:r w:rsidRPr="00911326">
        <w:rPr>
          <w:u w:val="single"/>
        </w:rPr>
        <w:t xml:space="preserve"> – they are at once profoundly “natural” as they are derived from plants, animals, or even people themselves, but are also profoundly cultural, because they speak to how these particular natural artefacts have come about as part of, are shaped by, and exist in relation to culture.</w:t>
      </w:r>
      <w:r w:rsidRPr="006A4805">
        <w:rPr>
          <w:sz w:val="16"/>
        </w:rPr>
        <w:t xml:space="preserve"> The next section will examine the nature and cultural aspects of the biopiracy discourse more closely. </w:t>
      </w:r>
      <w:r w:rsidRPr="00911326">
        <w:rPr>
          <w:u w:val="single"/>
        </w:rPr>
        <w:t xml:space="preserve">Too natural – discovery as invention In their study of anti-GMO campaigns, Heller and Escobar explain that, “biodiversity activists emphasize </w:t>
      </w:r>
      <w:r w:rsidRPr="00EA0862">
        <w:rPr>
          <w:rStyle w:val="Emphasis"/>
        </w:rPr>
        <w:t>preserving the natural co-evolution of organisms and cultures</w:t>
      </w:r>
      <w:r w:rsidRPr="00911326">
        <w:rPr>
          <w:u w:val="single"/>
        </w:rPr>
        <w:t xml:space="preserve">, and thus, </w:t>
      </w:r>
      <w:r w:rsidRPr="00EA0862">
        <w:rPr>
          <w:rStyle w:val="Emphasis"/>
        </w:rPr>
        <w:t>embed human beings and culture inside natural systems</w:t>
      </w:r>
      <w:r w:rsidRPr="006A4805">
        <w:rPr>
          <w:sz w:val="16"/>
        </w:rPr>
        <w:t xml:space="preserve">.”34 Later in that same analysis they expand: for the [biodiversity] activists, as they </w:t>
      </w:r>
      <w:r w:rsidRPr="00911326">
        <w:rPr>
          <w:u w:val="single"/>
        </w:rPr>
        <w:t xml:space="preserve">theorize local practices, nature is not an entity ‘out there’ but is produced through the collective practices of humans integrated with it </w:t>
      </w:r>
      <w:r w:rsidRPr="006A4805">
        <w:rPr>
          <w:sz w:val="16"/>
        </w:rPr>
        <w:t xml:space="preserve">(Descola &amp; Palsson, 1996).[ 35] From </w:t>
      </w:r>
      <w:r w:rsidRPr="00911326">
        <w:rPr>
          <w:u w:val="single"/>
        </w:rPr>
        <w:t xml:space="preserve">this perspective, the reductive view of biodiversity in terms of genetic resources to be protected through </w:t>
      </w:r>
      <w:r w:rsidRPr="00314EB7">
        <w:rPr>
          <w:rStyle w:val="Emphasis"/>
        </w:rPr>
        <w:t>intellectual property rights is incoherent and untenable</w:t>
      </w:r>
      <w:r w:rsidRPr="00911326">
        <w:rPr>
          <w:u w:val="single"/>
        </w:rPr>
        <w:t>.</w:t>
      </w:r>
      <w:r w:rsidRPr="006A4805">
        <w:rPr>
          <w:sz w:val="16"/>
        </w:rPr>
        <w:t xml:space="preserve"> The position of Heller and Escobar’s activists is also echoed in much of the biopiracy discourse, with many of the biopiracy activists taking issue with, to use Haraway’s formulation, “who gets to count as nature’s author”.37 Much of the </w:t>
      </w:r>
      <w:r w:rsidRPr="00911326">
        <w:rPr>
          <w:u w:val="single"/>
        </w:rPr>
        <w:t>rhetoric invoked in this regard relies heavily on a certain principle of self-evidence and a deliberately essentialist reading of patent law</w:t>
      </w:r>
      <w:r w:rsidRPr="006A4805">
        <w:rPr>
          <w:sz w:val="16"/>
        </w:rPr>
        <w:t>. By this logic</w:t>
      </w:r>
      <w:r w:rsidRPr="00911326">
        <w:rPr>
          <w:u w:val="single"/>
        </w:rPr>
        <w:t>, if the invention derives from nature in any way it must therefore be a product of nature, ergo it is not patentable</w:t>
      </w:r>
      <w:r w:rsidRPr="006A4805">
        <w:rPr>
          <w:sz w:val="16"/>
        </w:rPr>
        <w:t xml:space="preserve">. For instance, the text of the Treaty Initiative to Share the Genetic Commons, which was spearheaded by Jeremy Rifkin and his organization, the Foundation on Economic Trends states: </w:t>
      </w:r>
      <w:r w:rsidRPr="00A63CB3">
        <w:rPr>
          <w:u w:val="single"/>
        </w:rPr>
        <w:t>That the intrinsic value of the Earth’s gene pool, in all of its biological forms and manifestations, precedes its utility and commercial value, and therefore must be respected and safeguarded by all political, commercial and social institutions</w:t>
      </w:r>
      <w:r w:rsidRPr="006A4805">
        <w:rPr>
          <w:sz w:val="16"/>
        </w:rPr>
        <w:t xml:space="preserve">, That </w:t>
      </w:r>
      <w:r w:rsidRPr="00E82A43">
        <w:rPr>
          <w:u w:val="single"/>
        </w:rPr>
        <w:t xml:space="preserve">the Earth’s gene pool, in all of its biological forms and manifestations, exists in nature and, therefore, </w:t>
      </w:r>
      <w:r w:rsidRPr="00314EB7">
        <w:rPr>
          <w:rStyle w:val="Emphasis"/>
        </w:rPr>
        <w:t xml:space="preserve">must not be claimed as intellectual property </w:t>
      </w:r>
      <w:r w:rsidRPr="00E82A43">
        <w:rPr>
          <w:u w:val="single"/>
        </w:rPr>
        <w:t>even if purified and synthesized in the laboratory</w:t>
      </w:r>
      <w:r w:rsidRPr="006A4805">
        <w:rPr>
          <w:sz w:val="16"/>
        </w:rPr>
        <w:t xml:space="preserve">, That the global gene pool, </w:t>
      </w:r>
      <w:r w:rsidRPr="00E82A43">
        <w:rPr>
          <w:u w:val="single"/>
        </w:rPr>
        <w:t xml:space="preserve">in all of its biological forms and manifestations, is a shared legacy and, therefore, a collective responsibility </w:t>
      </w:r>
      <w:r w:rsidRPr="006A4805">
        <w:rPr>
          <w:sz w:val="16"/>
        </w:rPr>
        <w:t xml:space="preserve">More than simply relating the ownership of nature via IPR to a point of legal interpretation (ie, the product of nature doctrine), </w:t>
      </w:r>
      <w:r w:rsidRPr="00E82A43">
        <w:rPr>
          <w:u w:val="single"/>
        </w:rPr>
        <w:t>the activists that contest biopiracy do so in ways that call this system of property itself into question</w:t>
      </w:r>
      <w:r w:rsidRPr="006A4805">
        <w:rPr>
          <w:sz w:val="16"/>
        </w:rPr>
        <w:t xml:space="preserve">. As seen in the excerpt quoted above, many of these </w:t>
      </w:r>
      <w:r w:rsidRPr="00E82A43">
        <w:rPr>
          <w:u w:val="single"/>
        </w:rPr>
        <w:t>groups often invoke an essentialized version of nature which posits that there is something inalienably “natural” about nature that renders its ownership unethical, or even impossible</w:t>
      </w:r>
      <w:r w:rsidRPr="006A4805">
        <w:rPr>
          <w:sz w:val="16"/>
        </w:rPr>
        <w:t xml:space="preserve">. There are a number of justifications on which this rests, many of which speak to the social embroiling(s) of nature, where nature as such is understood to have coevolved with society’s understandings of it. As RAFI explains in a press release related to a particularly acrimonious “biopiracy” debate regarding an International Consultative Biodiversity Group39 project in the Chiapas region of Mexico: No "Wild Kingdoms": </w:t>
      </w:r>
      <w:r w:rsidRPr="00E82A43">
        <w:rPr>
          <w:u w:val="single"/>
        </w:rPr>
        <w:t xml:space="preserve">Bioprospectors must assume - unless there is proof otherwise - that </w:t>
      </w:r>
      <w:r w:rsidRPr="00314EB7">
        <w:rPr>
          <w:rStyle w:val="Emphasis"/>
        </w:rPr>
        <w:t>all materials they encounter have been nurtured and enhanced by communities</w:t>
      </w:r>
      <w:r w:rsidRPr="006A4805">
        <w:rPr>
          <w:sz w:val="16"/>
        </w:rPr>
        <w:t xml:space="preserve">. [In the Maya-ICBG case a] large community garden was mistaken for a "natural" forest. </w:t>
      </w:r>
      <w:r w:rsidRPr="00E82A43">
        <w:rPr>
          <w:u w:val="single"/>
        </w:rPr>
        <w:t xml:space="preserve">Similarly, soils, insects, and fungi </w:t>
      </w:r>
      <w:r w:rsidRPr="00314EB7">
        <w:rPr>
          <w:rStyle w:val="Emphasis"/>
        </w:rPr>
        <w:t>first assumed to be unused</w:t>
      </w:r>
      <w:r w:rsidRPr="00E82A43">
        <w:rPr>
          <w:u w:val="single"/>
        </w:rPr>
        <w:t xml:space="preserve"> upon closer scrutiny have been found to </w:t>
      </w:r>
      <w:r w:rsidRPr="00314EB7">
        <w:rPr>
          <w:rStyle w:val="Emphasis"/>
        </w:rPr>
        <w:t>have longstanding medicinal or other purposes</w:t>
      </w:r>
      <w:r w:rsidRPr="00E82A43">
        <w:rPr>
          <w:u w:val="single"/>
        </w:rPr>
        <w:t>.</w:t>
      </w:r>
      <w:r w:rsidRPr="006A4805">
        <w:rPr>
          <w:sz w:val="16"/>
        </w:rPr>
        <w:t xml:space="preserve"> 40 Other actors who attempt to </w:t>
      </w:r>
      <w:r w:rsidRPr="00E82A43">
        <w:rPr>
          <w:u w:val="single"/>
        </w:rPr>
        <w:t>draw attention to biopiracy present nature’s creative and reproductive capacity to serve as self-evidence of the futility and hubris of attempting to “own” nature</w:t>
      </w:r>
      <w:r w:rsidRPr="006A4805">
        <w:rPr>
          <w:sz w:val="16"/>
        </w:rPr>
        <w:t>. This logic is carried forward by Vandana Shiva, in much of her writing on biopiracy. In Biopiracy: The plunder of nature and knowledge, for example, she writes that “</w:t>
      </w:r>
      <w:r w:rsidRPr="00314EB7">
        <w:rPr>
          <w:rStyle w:val="Emphasis"/>
        </w:rPr>
        <w:t>biotechnology, as the handmaiden of capital in the postindustrial era, makes it possible to colonize and control that which is autonomous, free, and self-regenerative</w:t>
      </w:r>
      <w:r w:rsidRPr="006A4805">
        <w:rPr>
          <w:sz w:val="16"/>
        </w:rPr>
        <w:t xml:space="preserve">”.41 Later in the same account, she explains: </w:t>
      </w:r>
      <w:r w:rsidRPr="00E82A43">
        <w:rPr>
          <w:u w:val="single"/>
        </w:rPr>
        <w:t>Certainly, the idea of owning life is not new; people own their pets and farmers own their livestock</w:t>
      </w:r>
      <w:r w:rsidRPr="006A4805">
        <w:rPr>
          <w:sz w:val="16"/>
        </w:rPr>
        <w:t xml:space="preserve">. Yet </w:t>
      </w:r>
      <w:r w:rsidRPr="00314EB7">
        <w:rPr>
          <w:rStyle w:val="Emphasis"/>
        </w:rPr>
        <w:t>IPRs create a new concept of ownership</w:t>
      </w:r>
      <w:r w:rsidRPr="00E82A43">
        <w:rPr>
          <w:u w:val="single"/>
        </w:rPr>
        <w:t xml:space="preserve">. It is not just the implanted gene, or one generation of animals, that is being claimed as intellectual property, but </w:t>
      </w:r>
      <w:r w:rsidRPr="00314EB7">
        <w:rPr>
          <w:rStyle w:val="Emphasis"/>
        </w:rPr>
        <w:t>the reproduction of the entire organism</w:t>
      </w:r>
      <w:r w:rsidRPr="00E82A43">
        <w:rPr>
          <w:u w:val="single"/>
        </w:rPr>
        <w:t>, including future generations covered by the life of the patent</w:t>
      </w:r>
      <w:r w:rsidRPr="006A4805">
        <w:rPr>
          <w:sz w:val="16"/>
        </w:rPr>
        <w:t xml:space="preserve">. 42 Shiva’s point here </w:t>
      </w:r>
      <w:r w:rsidRPr="00E82A43">
        <w:rPr>
          <w:u w:val="single"/>
        </w:rPr>
        <w:t>presents IPRs as the tool through which seeds, in this case, are denied their “naturalness” and become patentable, and thus commodifiable at what she sees as the most intimate of levels.</w:t>
      </w:r>
      <w:r w:rsidRPr="006A4805">
        <w:rPr>
          <w:sz w:val="16"/>
        </w:rPr>
        <w:t xml:space="preserve"> For her, </w:t>
      </w:r>
      <w:r w:rsidRPr="00E82A43">
        <w:rPr>
          <w:u w:val="single"/>
        </w:rPr>
        <w:t>the IPR system is an ill-equipped and inappropriate mechanism for deciding what constitutes something which is “from nature</w:t>
      </w:r>
      <w:r w:rsidRPr="006A4805">
        <w:rPr>
          <w:sz w:val="16"/>
        </w:rPr>
        <w:t xml:space="preserve">”. Further, </w:t>
      </w:r>
      <w:r w:rsidRPr="00EA0862">
        <w:rPr>
          <w:rStyle w:val="Emphasis"/>
        </w:rPr>
        <w:t>the distinction which is currently made between the natural and the invented does not go nearly far enough</w:t>
      </w:r>
      <w:r w:rsidRPr="00E82A43">
        <w:rPr>
          <w:u w:val="single"/>
        </w:rPr>
        <w:t xml:space="preserve"> in recognizing nature’s own inventive capacity and thereby imposes a false notion of human invention onto the natural</w:t>
      </w:r>
      <w:r w:rsidRPr="006A4805">
        <w:rPr>
          <w:sz w:val="16"/>
        </w:rPr>
        <w:t xml:space="preserve">. In these cases, though </w:t>
      </w:r>
      <w:r w:rsidRPr="00E82A43">
        <w:rPr>
          <w:u w:val="single"/>
        </w:rPr>
        <w:t>Shiva knows well that there is a time limit to patents, these particular patents cross over into a more symbolic realm, and do so on behalf of the IPR system more generally</w:t>
      </w:r>
      <w:r w:rsidRPr="006A4805">
        <w:rPr>
          <w:sz w:val="16"/>
        </w:rPr>
        <w:t xml:space="preserve">. </w:t>
      </w:r>
      <w:r w:rsidRPr="00E82A43">
        <w:rPr>
          <w:u w:val="single"/>
        </w:rPr>
        <w:t>When considered in terms of nature’s perceived self-evidence as “natural” and its autonomy, including its autonomy to reproduce, then the limits that would be placed upon these organisms by seeing them as patentable would make them “too natural” to be considered invented.</w:t>
      </w:r>
      <w:r>
        <w:rPr>
          <w:u w:val="single"/>
        </w:rPr>
        <w:t xml:space="preserve"> </w:t>
      </w:r>
      <w:r w:rsidRPr="006A4805">
        <w:rPr>
          <w:sz w:val="16"/>
        </w:rPr>
        <w:t xml:space="preserve">Too cultural – public domain or private ownership? Along with arguing that these contentious inventions are “too natural” to be patented, those alleging </w:t>
      </w:r>
      <w:r w:rsidRPr="00E82A43">
        <w:rPr>
          <w:u w:val="single"/>
        </w:rPr>
        <w:t>biopiracy also see the place of culture/society in this system as problematic</w:t>
      </w:r>
      <w:r w:rsidRPr="006A4805">
        <w:rPr>
          <w:sz w:val="16"/>
        </w:rPr>
        <w:t xml:space="preserve">. These critiques </w:t>
      </w:r>
      <w:r w:rsidRPr="00E82A43">
        <w:rPr>
          <w:u w:val="single"/>
        </w:rPr>
        <w:t>challenge the logic behind a perceived separation of the public and the private domains as they pertain to ownership and control over inventions that can be seen to have some form of prior cultural basis</w:t>
      </w:r>
      <w:r w:rsidRPr="006A4805">
        <w:rPr>
          <w:sz w:val="16"/>
        </w:rPr>
        <w:t xml:space="preserve">, such as in the case of TK. In brief, </w:t>
      </w:r>
      <w:r w:rsidRPr="00E82A43">
        <w:rPr>
          <w:u w:val="single"/>
        </w:rPr>
        <w:t>the problem in these instances appears to be that there is a claim that there is too much knowledge already there, albeit unrecognized by the system, to allow these “inventions” to be patented</w:t>
      </w:r>
      <w:r w:rsidRPr="006A4805">
        <w:rPr>
          <w:sz w:val="16"/>
        </w:rPr>
        <w:t xml:space="preserve">. Much of the thrust of this “too cultural” aspect of the biopiracy discourse </w:t>
      </w:r>
      <w:r w:rsidRPr="00E82A43">
        <w:rPr>
          <w:u w:val="single"/>
        </w:rPr>
        <w:t>thus takes issue with the recognition of prior art in patent claims</w:t>
      </w:r>
      <w:r w:rsidRPr="006A4805">
        <w:rPr>
          <w:sz w:val="16"/>
        </w:rPr>
        <w:t xml:space="preserve">. In </w:t>
      </w:r>
      <w:r w:rsidRPr="00E82A43">
        <w:rPr>
          <w:u w:val="single"/>
        </w:rPr>
        <w:t>many of the cases where biopiracy has been alleged, one of the claims made is that prior art has not been adequately taken into account by the patent system</w:t>
      </w:r>
      <w:r w:rsidRPr="006A4805">
        <w:rPr>
          <w:sz w:val="16"/>
        </w:rPr>
        <w:t xml:space="preserve">. This is </w:t>
      </w:r>
      <w:r w:rsidRPr="00E82A43">
        <w:rPr>
          <w:u w:val="single"/>
        </w:rPr>
        <w:t>often explained away by those in favour of robust IPR regimes as simply untrue, or, at worst, as a case of a “bad patent” being issued,</w:t>
      </w:r>
      <w:r w:rsidRPr="006A4805">
        <w:rPr>
          <w:sz w:val="16"/>
        </w:rPr>
        <w:t xml:space="preserve"> where prior art was indeed not recognized. Biopiracy activists, however, often present this </w:t>
      </w:r>
      <w:r w:rsidRPr="00E82A43">
        <w:rPr>
          <w:u w:val="single"/>
        </w:rPr>
        <w:t xml:space="preserve">as a more fundamental, systemic problem with </w:t>
      </w:r>
      <w:r w:rsidRPr="00314EB7">
        <w:rPr>
          <w:rStyle w:val="Emphasis"/>
        </w:rPr>
        <w:t>what is allowed to “count” as prior art within the IPR system</w:t>
      </w:r>
      <w:r w:rsidRPr="00E82A43">
        <w:rPr>
          <w:u w:val="single"/>
        </w:rPr>
        <w:t>.</w:t>
      </w:r>
      <w:r w:rsidRPr="006A4805">
        <w:rPr>
          <w:sz w:val="16"/>
        </w:rPr>
        <w:t xml:space="preserve"> Specifically, it is claimed that </w:t>
      </w:r>
      <w:r w:rsidRPr="00E82A43">
        <w:rPr>
          <w:u w:val="single"/>
        </w:rPr>
        <w:t>Euro-American IPR systems are blind to types of prior art that might not exist in immediately accessible formats</w:t>
      </w:r>
      <w:r w:rsidRPr="006A4805">
        <w:rPr>
          <w:sz w:val="16"/>
        </w:rPr>
        <w:t xml:space="preserve">. For example, this was a </w:t>
      </w:r>
      <w:r w:rsidRPr="00E82A43">
        <w:rPr>
          <w:u w:val="single"/>
        </w:rPr>
        <w:t>major point of contention in both the neem and turmeric biopiracy challenge cases</w:t>
      </w:r>
      <w:r w:rsidRPr="006A4805">
        <w:rPr>
          <w:sz w:val="16"/>
        </w:rPr>
        <w:t xml:space="preserve">. The neem case </w:t>
      </w:r>
      <w:r w:rsidRPr="00E82A43">
        <w:rPr>
          <w:u w:val="single"/>
        </w:rPr>
        <w:t>refers to a patent granted to WR Grace and Co. for an insecticide/fungicide derived from the neem tree</w:t>
      </w:r>
      <w:r w:rsidRPr="006A4805">
        <w:rPr>
          <w:sz w:val="16"/>
        </w:rPr>
        <w:t xml:space="preserve">, which was subject to a very public patent challenge.43 The turmeric case refers to </w:t>
      </w:r>
      <w:r w:rsidRPr="00E82A43">
        <w:rPr>
          <w:u w:val="single"/>
        </w:rPr>
        <w:t>US patent 5, 401, 504, granted initially to two scientists from the University of Mississippi for the use of turmeric for healing wounds</w:t>
      </w:r>
      <w:r w:rsidRPr="006A4805">
        <w:rPr>
          <w:sz w:val="16"/>
        </w:rPr>
        <w:t>. As Genetic Resources Action International (GRAIN) explains: “</w:t>
      </w:r>
      <w:r w:rsidRPr="00E82A43">
        <w:rPr>
          <w:u w:val="single"/>
        </w:rPr>
        <w:t>The Indian government challenged the patent as blatant theft, and provided endless research papers predating the patent providing that turmeric has long been used in India to heal wounds</w:t>
      </w:r>
      <w:r w:rsidRPr="006A4805">
        <w:rPr>
          <w:sz w:val="16"/>
        </w:rPr>
        <w:t xml:space="preserve">. In the face of this overwhelming evidence, </w:t>
      </w:r>
      <w:r w:rsidRPr="00E82A43">
        <w:rPr>
          <w:u w:val="single"/>
        </w:rPr>
        <w:t>the US Patent and Trademark office rejected all 6 patent claims</w:t>
      </w:r>
      <w:r w:rsidRPr="006A4805">
        <w:rPr>
          <w:sz w:val="16"/>
        </w:rPr>
        <w:t xml:space="preserve">”.44 With specific reference to the turmeric case, Shiva </w:t>
      </w:r>
      <w:r w:rsidRPr="00E82A43">
        <w:rPr>
          <w:u w:val="single"/>
        </w:rPr>
        <w:t>takes issue with those that would attempt to dismiss biopiracy as merely a slight systematic oversight that allowed for “bad” patents to be issued: This indigenous knowledge and use consists of "prior art</w:t>
      </w:r>
      <w:r w:rsidRPr="006A4805">
        <w:rPr>
          <w:sz w:val="16"/>
        </w:rPr>
        <w:t xml:space="preserve">". </w:t>
      </w:r>
      <w:r w:rsidRPr="00E82A43">
        <w:rPr>
          <w:u w:val="single"/>
        </w:rPr>
        <w:t>No patent should be given where prior art exists since patents are supposed to be granted only for new inventions on the basis of novelty and nonobviousness</w:t>
      </w:r>
      <w:r w:rsidRPr="006A4805">
        <w:rPr>
          <w:sz w:val="16"/>
        </w:rPr>
        <w:t xml:space="preserve">. These criteria </w:t>
      </w:r>
      <w:r w:rsidRPr="00E82A43">
        <w:rPr>
          <w:u w:val="single"/>
        </w:rPr>
        <w:t>establish inventiveness, and patents are exclusive rights granted for inventions</w:t>
      </w:r>
      <w:r w:rsidRPr="006A4805">
        <w:rPr>
          <w:sz w:val="16"/>
        </w:rPr>
        <w:t xml:space="preserve">. […] If there were only one or two cases of such false claims to invention on the basis of Biopiracy, they could be called an error. However, </w:t>
      </w:r>
      <w:r w:rsidRPr="00E82A43">
        <w:rPr>
          <w:u w:val="single"/>
        </w:rPr>
        <w:t>Biopiracy is an epidemic</w:t>
      </w:r>
      <w:r w:rsidRPr="006A4805">
        <w:rPr>
          <w:sz w:val="16"/>
        </w:rPr>
        <w:t xml:space="preserve">. […] The problem is not, as was made out to be in the case of turmeric, an error made by a patent clerk. </w:t>
      </w:r>
      <w:r w:rsidRPr="00E82A43">
        <w:rPr>
          <w:u w:val="single"/>
        </w:rPr>
        <w:t xml:space="preserve">The problem is </w:t>
      </w:r>
      <w:r w:rsidRPr="00314EB7">
        <w:rPr>
          <w:rStyle w:val="Emphasis"/>
        </w:rPr>
        <w:t>deep and systemic</w:t>
      </w:r>
      <w:r w:rsidRPr="006A4805">
        <w:rPr>
          <w:sz w:val="16"/>
        </w:rPr>
        <w:t xml:space="preserve">. And </w:t>
      </w:r>
      <w:r w:rsidRPr="00E82A43">
        <w:rPr>
          <w:u w:val="single"/>
        </w:rPr>
        <w:t xml:space="preserve">it calls for a </w:t>
      </w:r>
      <w:r w:rsidRPr="00314EB7">
        <w:rPr>
          <w:rStyle w:val="Emphasis"/>
        </w:rPr>
        <w:t>systemic change, not a case by case challenge</w:t>
      </w:r>
      <w:r w:rsidRPr="00E82A43">
        <w:rPr>
          <w:u w:val="single"/>
        </w:rPr>
        <w:t xml:space="preserve">. If a patent system which is supposed to reward inventiveness and creativity systematically </w:t>
      </w:r>
      <w:r w:rsidRPr="00314EB7">
        <w:rPr>
          <w:rStyle w:val="Emphasis"/>
        </w:rPr>
        <w:t>rewards piracy</w:t>
      </w:r>
      <w:r w:rsidRPr="00E82A43">
        <w:rPr>
          <w:u w:val="single"/>
        </w:rPr>
        <w:t xml:space="preserve">, if a patent system </w:t>
      </w:r>
      <w:r w:rsidRPr="00314EB7">
        <w:rPr>
          <w:rStyle w:val="Emphasis"/>
        </w:rPr>
        <w:t>fails to honestly apply criteria of novelty</w:t>
      </w:r>
      <w:r w:rsidRPr="00E82A43">
        <w:rPr>
          <w:u w:val="single"/>
        </w:rPr>
        <w:t xml:space="preserve"> and non-obviousness in the granting of patents related to indigenous knowledge, then </w:t>
      </w:r>
      <w:r w:rsidRPr="00314EB7">
        <w:rPr>
          <w:rStyle w:val="Emphasis"/>
        </w:rPr>
        <w:t>the system is flawed</w:t>
      </w:r>
      <w:r w:rsidRPr="006A4805">
        <w:rPr>
          <w:sz w:val="16"/>
        </w:rPr>
        <w:t xml:space="preserve">, and it needs to change. It </w:t>
      </w:r>
      <w:r w:rsidRPr="00E82A43">
        <w:rPr>
          <w:u w:val="single"/>
        </w:rPr>
        <w:t>cannot be the basis of granting patents or establishing exclusive marketing rights</w:t>
      </w:r>
      <w:r w:rsidRPr="006A4805">
        <w:rPr>
          <w:sz w:val="16"/>
        </w:rPr>
        <w:t xml:space="preserve">. The </w:t>
      </w:r>
      <w:r w:rsidRPr="00E82A43">
        <w:rPr>
          <w:u w:val="single"/>
        </w:rPr>
        <w:t xml:space="preserve">problem of </w:t>
      </w:r>
      <w:r w:rsidRPr="00314EB7">
        <w:rPr>
          <w:rStyle w:val="Emphasis"/>
        </w:rPr>
        <w:t>Biopiracy is a result of western style IPR systems</w:t>
      </w:r>
      <w:r w:rsidRPr="00E82A43">
        <w:rPr>
          <w:u w:val="single"/>
        </w:rPr>
        <w:t>, not the absence of such IPR systems in India</w:t>
      </w:r>
      <w:r w:rsidRPr="006A4805">
        <w:rPr>
          <w:sz w:val="16"/>
        </w:rPr>
        <w:t xml:space="preserve">.45 Recalling the argument from the previous section that suggests that it is the movement of these </w:t>
      </w:r>
      <w:r w:rsidRPr="00E82A43">
        <w:rPr>
          <w:u w:val="single"/>
        </w:rPr>
        <w:t>contested objects out of the realm of nature into a separate realm of culture which makes them patentable, the claim here is that there is also too much culture, albeit rendered invisible and unrecognized, in these inventions for them to count as sufficiently inventive enough to be patentable.</w:t>
      </w:r>
      <w:r w:rsidRPr="006A4805">
        <w:rPr>
          <w:sz w:val="16"/>
        </w:rPr>
        <w:t xml:space="preserve"> In many ways, this can also be seen to be an issue about what is </w:t>
      </w:r>
      <w:r w:rsidRPr="00E82A43">
        <w:rPr>
          <w:u w:val="single"/>
        </w:rPr>
        <w:t>allowed to count as a sufficient means through which to make the requisite movement from the natural to the knowledge-based.</w:t>
      </w:r>
      <w:r w:rsidRPr="006A4805">
        <w:rPr>
          <w:sz w:val="16"/>
        </w:rPr>
        <w:t xml:space="preserve"> It is clear that in the </w:t>
      </w:r>
      <w:r w:rsidRPr="00E82A43">
        <w:rPr>
          <w:u w:val="single"/>
        </w:rPr>
        <w:t>dominant paradigm</w:t>
      </w:r>
      <w:r w:rsidRPr="006A4805">
        <w:rPr>
          <w:sz w:val="16"/>
        </w:rPr>
        <w:t xml:space="preserve">, which </w:t>
      </w:r>
      <w:r w:rsidRPr="00E82A43">
        <w:rPr>
          <w:u w:val="single"/>
        </w:rPr>
        <w:t>suggests that cases of biopiracy are simply “bad patents</w:t>
      </w:r>
      <w:r w:rsidRPr="006A4805">
        <w:rPr>
          <w:sz w:val="16"/>
        </w:rPr>
        <w:t xml:space="preserve">”, the biosciences are seen to be sufficient enough interlocutors to facilitate this transition. </w:t>
      </w:r>
      <w:r w:rsidRPr="00E82A43">
        <w:rPr>
          <w:u w:val="single"/>
        </w:rPr>
        <w:t>If one can demonstrate that the specific product of nature which enables their invention has been sufficiently removed from nature</w:t>
      </w:r>
      <w:r w:rsidRPr="006A4805">
        <w:rPr>
          <w:sz w:val="16"/>
        </w:rPr>
        <w:t xml:space="preserve"> - for instance, a particular gene sequence has been isolated and purified - then the invention is rendered patentable. However, </w:t>
      </w:r>
      <w:r w:rsidRPr="00E82A43">
        <w:rPr>
          <w:u w:val="single"/>
        </w:rPr>
        <w:t>in many of the cases where biopiracy is being alleged, there is a question as to whether TK is able to count as fulfilling a similar function</w:t>
      </w:r>
      <w:r w:rsidRPr="006A4805">
        <w:rPr>
          <w:sz w:val="16"/>
        </w:rPr>
        <w:t xml:space="preserve">. In the last sentence of the passage quoted above, Shiva </w:t>
      </w:r>
      <w:r w:rsidRPr="00E82A43">
        <w:rPr>
          <w:u w:val="single"/>
        </w:rPr>
        <w:t>strikes out at this deficit model of IPR protection, which suggests that biopiracy only occurs where the IPR system is not evolved or robust enough to provide sufficient protection</w:t>
      </w:r>
      <w:r w:rsidRPr="006A4805">
        <w:rPr>
          <w:sz w:val="16"/>
        </w:rPr>
        <w:t xml:space="preserve">. Here, she links this claim </w:t>
      </w:r>
      <w:r w:rsidRPr="00E82A43">
        <w:rPr>
          <w:u w:val="single"/>
        </w:rPr>
        <w:t xml:space="preserve">with a critique of the IPR system itself, suggesting that the </w:t>
      </w:r>
      <w:r w:rsidRPr="00314EB7">
        <w:rPr>
          <w:rStyle w:val="Emphasis"/>
        </w:rPr>
        <w:t>IPR system is, in fact, instrumental in causing biopiracy</w:t>
      </w:r>
      <w:r w:rsidRPr="006A4805">
        <w:rPr>
          <w:sz w:val="16"/>
        </w:rPr>
        <w:t xml:space="preserve">. The point where biopiracy interjects here is in claiming that TK is either invisible to the system, or is wilfully ignored by it. In these cases, if TK were recognized as a suitable enough interlocutor to make this nature-to-culture movement, then the claimed inventions would not be able to demonstrate that they have moved their invention far enough out of culture so as to make it patentable. Put another way, if TK were recognized as a suitable enough way to intervene on “products of nature” </w:t>
      </w:r>
      <w:r w:rsidRPr="00E82A43">
        <w:rPr>
          <w:u w:val="single"/>
        </w:rPr>
        <w:t>so as to make them useful for humans, then the inventions or discovery projects that are alleged to be engaged in biopiracy would already be part of the public domain, and hence unpatentable.</w:t>
      </w:r>
      <w:r w:rsidRPr="006A4805">
        <w:rPr>
          <w:sz w:val="16"/>
        </w:rPr>
        <w:t xml:space="preserve"> One of the </w:t>
      </w:r>
      <w:r w:rsidRPr="00E82A43">
        <w:rPr>
          <w:u w:val="single"/>
        </w:rPr>
        <w:t>most confusing aspects of the biopiracy discourse has been the issue of what is to be done to address the relationship between TK and the IPR system.</w:t>
      </w:r>
      <w:r w:rsidRPr="006A4805">
        <w:rPr>
          <w:sz w:val="16"/>
        </w:rPr>
        <w:t xml:space="preserve"> If the “</w:t>
      </w:r>
      <w:r w:rsidRPr="00E82A43">
        <w:rPr>
          <w:u w:val="single"/>
        </w:rPr>
        <w:t>too cultural” critique were understood as being solely about a claim for reparations, or about laying the groundwork for the future profitability of TK as it appears to be for many who have used the term46, then it would not move the debate too far from merely adjusting the parameters of the IPR system to include TK in some way. For many of the biopiracy activists, simply adjusting the IPR system to include TK would be an incomplete version of biopiracy. For them, advocating this position side-by-side with one which suggests that the system itself is fatally flawed in its treatment of living things is unproblematic.</w:t>
      </w:r>
      <w:r w:rsidRPr="006A4805">
        <w:rPr>
          <w:sz w:val="16"/>
        </w:rPr>
        <w:t xml:space="preserve"> It would be misleading, however, to attempt to portray this as a way in which “biopiracy” as a whole has betrayed itself. Conversely, the wide take-up of the term is a reminder that, once deployed into the charged atmosphere around IPR and biotechnology, these terms are constantly in flux and come to mean different things to different actors across the spectrum. This is also </w:t>
      </w:r>
      <w:r w:rsidRPr="00E82A43">
        <w:rPr>
          <w:u w:val="single"/>
        </w:rPr>
        <w:t xml:space="preserve">further evidenced in how the terms have been used by developing world governments, who have widely used the term biopiracy in some of their submissions to international forums </w:t>
      </w:r>
      <w:r w:rsidRPr="006A4805">
        <w:rPr>
          <w:sz w:val="16"/>
        </w:rPr>
        <w:t xml:space="preserve">such as the WTO and the CBD(c.f. Peru’s explanation of its National Anti-Biopiracy Commission47). </w:t>
      </w:r>
      <w:r w:rsidRPr="00E82A43">
        <w:rPr>
          <w:u w:val="single"/>
        </w:rPr>
        <w:t>Many of these submissions focus on developing some system for a “declaration of origin” for genetic material, with the idea being that the benefits from the exploitation of genetic resources would flow back to those countries from where the material “originated”.</w:t>
      </w:r>
      <w:r w:rsidRPr="006A4805">
        <w:rPr>
          <w:sz w:val="16"/>
        </w:rPr>
        <w:t xml:space="preserve"> Of course, this does not converge with many of the biopiracy activists, who suggest that IPR-based systems of ownership are themselves largely at fault for biopiracy48. Again, the way in which the term itself has shown an ability to lend itself to related but quite different applications, demonstrates ultimately how effective a “political” term it can be.</w:t>
      </w:r>
    </w:p>
    <w:p w14:paraId="22FA7F24" w14:textId="77777777" w:rsidR="00FA565D" w:rsidRDefault="00FA565D" w:rsidP="00FA565D">
      <w:pPr>
        <w:pStyle w:val="Heading4"/>
      </w:pPr>
      <w:r>
        <w:t>IP can’t be fixed because it isn’t broken—it’s designed as method of exclusion from lawmaking—any reform the aff attempts will only increase the responsibilities of citizens without increasing their participatory rights</w:t>
      </w:r>
    </w:p>
    <w:p w14:paraId="7EEC601E" w14:textId="77777777" w:rsidR="00FA565D" w:rsidRPr="006A4805" w:rsidRDefault="00FA565D" w:rsidP="00FA565D">
      <w:pPr>
        <w:rPr>
          <w:rStyle w:val="Style13ptBold"/>
        </w:rPr>
      </w:pPr>
      <w:r w:rsidRPr="006A4805">
        <w:rPr>
          <w:rStyle w:val="Style13ptBold"/>
        </w:rPr>
        <w:t>Hilberg 15</w:t>
      </w:r>
    </w:p>
    <w:p w14:paraId="4D304925" w14:textId="77777777" w:rsidR="00FA565D" w:rsidRPr="006D16ED" w:rsidRDefault="00FA565D" w:rsidP="00FA565D">
      <w:pPr>
        <w:rPr>
          <w:sz w:val="16"/>
        </w:rPr>
      </w:pPr>
      <w:r w:rsidRPr="006D16ED">
        <w:rPr>
          <w:sz w:val="16"/>
        </w:rPr>
        <w:t>Eva, phD candidate at the University of Sussex. “Intellectual Property and the Genetic Dispositif of Life: The Changing Role of Intellectual Property Law in Governing Participation and Knowledge in the Bioeconomy.” Submitted for the Degree of Doctor of Philosophy University of Sussex, May 2015. Pp 147-148. LJS</w:t>
      </w:r>
    </w:p>
    <w:p w14:paraId="50730029" w14:textId="77777777" w:rsidR="00FA565D" w:rsidRPr="006D16ED" w:rsidRDefault="00FA565D" w:rsidP="00FA565D">
      <w:pPr>
        <w:rPr>
          <w:sz w:val="16"/>
        </w:rPr>
      </w:pPr>
      <w:r w:rsidRPr="006D16ED">
        <w:rPr>
          <w:rStyle w:val="StyleUnderline"/>
        </w:rPr>
        <w:t>This strong desire to contribute to research, and the fact that in this particular</w:t>
      </w:r>
      <w:r>
        <w:rPr>
          <w:rStyle w:val="StyleUnderline"/>
        </w:rPr>
        <w:t xml:space="preserve"> </w:t>
      </w:r>
      <w:r w:rsidRPr="006D16ED">
        <w:rPr>
          <w:rStyle w:val="StyleUnderline"/>
        </w:rPr>
        <w:t>case it was strong enough to raise over three times the originally required amount of</w:t>
      </w:r>
      <w:r>
        <w:rPr>
          <w:rStyle w:val="StyleUnderline"/>
        </w:rPr>
        <w:t xml:space="preserve"> </w:t>
      </w:r>
      <w:r w:rsidRPr="006D16ED">
        <w:rPr>
          <w:rStyle w:val="StyleUnderline"/>
        </w:rPr>
        <w:t>money, shows how much the responsibility to optimise health has become a powerful</w:t>
      </w:r>
      <w:r>
        <w:rPr>
          <w:rStyle w:val="StyleUnderline"/>
        </w:rPr>
        <w:t xml:space="preserve"> </w:t>
      </w:r>
      <w:r w:rsidRPr="006D16ED">
        <w:rPr>
          <w:rStyle w:val="StyleUnderline"/>
        </w:rPr>
        <w:t>motivator for voluntary contributions to genetic research</w:t>
      </w:r>
      <w:r w:rsidRPr="006D16ED">
        <w:rPr>
          <w:sz w:val="16"/>
        </w:rPr>
        <w:t xml:space="preserve">.76 In the example of the microbiome project, individual contributions go far beyond the involvement needed for traditional biobanks. </w:t>
      </w:r>
      <w:r w:rsidRPr="006D16ED">
        <w:rPr>
          <w:rStyle w:val="StyleUnderline"/>
        </w:rPr>
        <w:t>But in contrast to these well-developed responsibilities,</w:t>
      </w:r>
      <w:r>
        <w:rPr>
          <w:rStyle w:val="StyleUnderline"/>
        </w:rPr>
        <w:t xml:space="preserve"> </w:t>
      </w:r>
      <w:r w:rsidRPr="006D16ED">
        <w:rPr>
          <w:rStyle w:val="StyleUnderline"/>
        </w:rPr>
        <w:t>definitive rights of participation connected to the notion of citizenship are not as</w:t>
      </w:r>
      <w:r>
        <w:rPr>
          <w:rStyle w:val="StyleUnderline"/>
        </w:rPr>
        <w:t xml:space="preserve"> </w:t>
      </w:r>
      <w:r w:rsidRPr="006D16ED">
        <w:rPr>
          <w:rStyle w:val="StyleUnderline"/>
        </w:rPr>
        <w:t>pronounced – even in the microbiome project, which is far more open than other</w:t>
      </w:r>
      <w:r>
        <w:rPr>
          <w:rStyle w:val="StyleUnderline"/>
        </w:rPr>
        <w:t xml:space="preserve"> </w:t>
      </w:r>
      <w:r w:rsidRPr="006D16ED">
        <w:rPr>
          <w:rStyle w:val="StyleUnderline"/>
        </w:rPr>
        <w:t>projects.</w:t>
      </w:r>
      <w:r>
        <w:rPr>
          <w:rStyle w:val="StyleUnderline"/>
        </w:rPr>
        <w:t xml:space="preserve"> </w:t>
      </w:r>
      <w:r w:rsidRPr="006D16ED">
        <w:rPr>
          <w:sz w:val="16"/>
        </w:rPr>
        <w:t xml:space="preserve">The rhetoric of citizens’ science presents knowledge and research as a form of general empowerment, which enables individuals to understand the ‘truth’ about their bodies. Its relation to IP is still largely untested, as projects are still relatively new. </w:t>
      </w:r>
      <w:r w:rsidRPr="006D16ED">
        <w:rPr>
          <w:rStyle w:val="StyleUnderline"/>
        </w:rPr>
        <w:t>While these participatory structures can challenge IP’s exclusionary function, the</w:t>
      </w:r>
      <w:r>
        <w:rPr>
          <w:rStyle w:val="StyleUnderline"/>
        </w:rPr>
        <w:t xml:space="preserve"> </w:t>
      </w:r>
      <w:r w:rsidRPr="006D16ED">
        <w:rPr>
          <w:rStyle w:val="StyleUnderline"/>
        </w:rPr>
        <w:t>empowered citizens in these projects fail to challenge the new responsibilities of the</w:t>
      </w:r>
      <w:r>
        <w:rPr>
          <w:rStyle w:val="StyleUnderline"/>
        </w:rPr>
        <w:t xml:space="preserve"> </w:t>
      </w:r>
      <w:r w:rsidRPr="006D16ED">
        <w:rPr>
          <w:rStyle w:val="StyleUnderline"/>
        </w:rPr>
        <w:t>subject. Instead, as the identity of the genetic citizen is based on knowledge of their</w:t>
      </w:r>
      <w:r>
        <w:rPr>
          <w:rStyle w:val="StyleUnderline"/>
        </w:rPr>
        <w:t xml:space="preserve"> </w:t>
      </w:r>
      <w:r w:rsidRPr="006D16ED">
        <w:rPr>
          <w:rStyle w:val="StyleUnderline"/>
        </w:rPr>
        <w:t>genetic condition, this ‘empowerment’ of the subject automatically reinforces the</w:t>
      </w:r>
      <w:r>
        <w:rPr>
          <w:rStyle w:val="StyleUnderline"/>
        </w:rPr>
        <w:t xml:space="preserve"> </w:t>
      </w:r>
      <w:r w:rsidRPr="006D16ED">
        <w:rPr>
          <w:rStyle w:val="StyleUnderline"/>
        </w:rPr>
        <w:t>validity of genetic truth discourses, and the responsibilities arising from them.</w:t>
      </w:r>
      <w:r>
        <w:rPr>
          <w:rStyle w:val="StyleUnderline"/>
        </w:rPr>
        <w:t xml:space="preserve"> </w:t>
      </w:r>
      <w:r w:rsidRPr="006D16ED">
        <w:rPr>
          <w:sz w:val="16"/>
        </w:rPr>
        <w:t xml:space="preserve">Healthcare practitioners and national health services also tap into this notion of empowerment without actual rights by promoting personalised medicine (for instance based on pharmacogenetics77). This vision of personalised medicine hopes for example that “in the future, we will all carry SMART cards, which will contain our genetic information. Using these SMART cards, a GP will able to prescribe the right drug at the right dose at the right time” (Institute of Translational Medicine 2015b). This is also part of the UK’s new life sciences strategy, harnessing “three quite fundamental shifts in the practice of modern medicine: a coming revolution in biomedicine, in data for quality and proactive care, [and] in the role that patients play in controlling their own health and care” (D. Campbell 2014). </w:t>
      </w:r>
      <w:r w:rsidRPr="006D16ED">
        <w:rPr>
          <w:rStyle w:val="StyleUnderline"/>
        </w:rPr>
        <w:t>Importantly, a national</w:t>
      </w:r>
      <w:r>
        <w:rPr>
          <w:rStyle w:val="StyleUnderline"/>
        </w:rPr>
        <w:t xml:space="preserve"> </w:t>
      </w:r>
      <w:r w:rsidRPr="006D16ED">
        <w:rPr>
          <w:rStyle w:val="StyleUnderline"/>
        </w:rPr>
        <w:t>programme of “personalised medicine” would formally impose new obligations on</w:t>
      </w:r>
      <w:r>
        <w:rPr>
          <w:rStyle w:val="StyleUnderline"/>
        </w:rPr>
        <w:t xml:space="preserve"> </w:t>
      </w:r>
      <w:r w:rsidRPr="006D16ED">
        <w:rPr>
          <w:rStyle w:val="StyleUnderline"/>
        </w:rPr>
        <w:t>the individual patient to know and to disclose their own genome. This form of</w:t>
      </w:r>
      <w:r>
        <w:rPr>
          <w:rStyle w:val="StyleUnderline"/>
        </w:rPr>
        <w:t xml:space="preserve"> </w:t>
      </w:r>
      <w:r w:rsidRPr="006D16ED">
        <w:rPr>
          <w:rStyle w:val="StyleUnderline"/>
        </w:rPr>
        <w:t>inclusion, however, would still fall short of the participatory rights implied by the</w:t>
      </w:r>
      <w:r>
        <w:rPr>
          <w:rStyle w:val="StyleUnderline"/>
        </w:rPr>
        <w:t xml:space="preserve"> </w:t>
      </w:r>
      <w:r w:rsidRPr="006D16ED">
        <w:rPr>
          <w:rStyle w:val="StyleUnderline"/>
        </w:rPr>
        <w:t>notion of citizenship – especially when faced with exclusion from control over</w:t>
      </w:r>
      <w:r>
        <w:rPr>
          <w:rStyle w:val="StyleUnderline"/>
        </w:rPr>
        <w:t xml:space="preserve"> </w:t>
      </w:r>
      <w:r w:rsidRPr="006D16ED">
        <w:rPr>
          <w:rStyle w:val="StyleUnderline"/>
        </w:rPr>
        <w:t>information by means of blanket transfer of IP. IP’s affinity with this notion of limited</w:t>
      </w:r>
      <w:r>
        <w:rPr>
          <w:rStyle w:val="StyleUnderline"/>
        </w:rPr>
        <w:t xml:space="preserve"> </w:t>
      </w:r>
      <w:r w:rsidRPr="006D16ED">
        <w:rPr>
          <w:rStyle w:val="StyleUnderline"/>
        </w:rPr>
        <w:t>empowerment thus ‘manages’ biopolitical challenges by active genetic patients,</w:t>
      </w:r>
      <w:r>
        <w:rPr>
          <w:rStyle w:val="StyleUnderline"/>
        </w:rPr>
        <w:t xml:space="preserve"> </w:t>
      </w:r>
      <w:r w:rsidRPr="006D16ED">
        <w:rPr>
          <w:rStyle w:val="StyleUnderline"/>
        </w:rPr>
        <w:t>deflecting demands for participation in the further usage of information.</w:t>
      </w:r>
      <w:r>
        <w:rPr>
          <w:rStyle w:val="StyleUnderline"/>
        </w:rPr>
        <w:t xml:space="preserve"> </w:t>
      </w:r>
      <w:r w:rsidRPr="006D16ED">
        <w:rPr>
          <w:rStyle w:val="StyleUnderline"/>
        </w:rPr>
        <w:t>Citizens’ science challenges the exclusion of patients from control over expert</w:t>
      </w:r>
      <w:r>
        <w:rPr>
          <w:rStyle w:val="StyleUnderline"/>
        </w:rPr>
        <w:t xml:space="preserve"> </w:t>
      </w:r>
      <w:r w:rsidRPr="006D16ED">
        <w:rPr>
          <w:rStyle w:val="StyleUnderline"/>
        </w:rPr>
        <w:t>knowledge by IPRs to some extent, yet simultaneously reinforces somatic</w:t>
      </w:r>
      <w:r>
        <w:rPr>
          <w:rStyle w:val="StyleUnderline"/>
        </w:rPr>
        <w:t xml:space="preserve"> </w:t>
      </w:r>
      <w:r w:rsidRPr="006D16ED">
        <w:rPr>
          <w:rStyle w:val="StyleUnderline"/>
        </w:rPr>
        <w:t>responsibilities of the self-actualising subject.</w:t>
      </w:r>
      <w:r w:rsidRPr="006D16ED">
        <w:rPr>
          <w:sz w:val="16"/>
        </w:rPr>
        <w:t xml:space="preserve"> The emergence of notions of the ‘research patient’ stressing subject’s empowerment through contributions to research can be read as evidence of processes of accommodation folding the active patient’s demands into the existing system without disruption. </w:t>
      </w:r>
      <w:r w:rsidRPr="006D16ED">
        <w:rPr>
          <w:rStyle w:val="StyleUnderline"/>
        </w:rPr>
        <w:t>By excluding participation by</w:t>
      </w:r>
      <w:r>
        <w:rPr>
          <w:rStyle w:val="StyleUnderline"/>
        </w:rPr>
        <w:t xml:space="preserve"> </w:t>
      </w:r>
      <w:r w:rsidRPr="006D16ED">
        <w:rPr>
          <w:rStyle w:val="StyleUnderline"/>
        </w:rPr>
        <w:t>anyone but the IP holder, the IP system plays a central role in ensuring control over</w:t>
      </w:r>
      <w:r>
        <w:rPr>
          <w:rStyle w:val="StyleUnderline"/>
        </w:rPr>
        <w:t xml:space="preserve"> </w:t>
      </w:r>
      <w:r w:rsidRPr="006D16ED">
        <w:rPr>
          <w:rStyle w:val="StyleUnderline"/>
        </w:rPr>
        <w:t>the bioeconomy’s further use of information derived from donations and national</w:t>
      </w:r>
      <w:r>
        <w:rPr>
          <w:rStyle w:val="StyleUnderline"/>
        </w:rPr>
        <w:t xml:space="preserve"> </w:t>
      </w:r>
      <w:r w:rsidRPr="006D16ED">
        <w:rPr>
          <w:rStyle w:val="StyleUnderline"/>
        </w:rPr>
        <w:t>medical health records</w:t>
      </w:r>
      <w:r w:rsidRPr="006D16ED">
        <w:rPr>
          <w:sz w:val="16"/>
        </w:rPr>
        <w:t>. This exclusionary function of IPRs has thus far managed challenges from a “biopolitics from below” (Raman and Tutton 2010, 722, see above), which however in the long run could fundamentally question the economic utility of IPRs as a whole. The analysis highlighted how new forms of IP strategies put pressure on the economic and biopolitical legitimacy of this exclusionary regime. Alternative IP strategies are also emerging in the sector of global health, reflecting a growing influence of patients’ concerns. The last section points out how juridical subjects such as medical research charities and public-private-partnerships (PPPs) are challenging IP in a “biopolitics from above”, strategically employing IP with the aim of improving the life and health of populations.</w:t>
      </w:r>
    </w:p>
    <w:p w14:paraId="66D9F810" w14:textId="77777777" w:rsidR="00FA565D" w:rsidRDefault="00FA565D" w:rsidP="00FA565D">
      <w:pPr>
        <w:pStyle w:val="Heading4"/>
      </w:pPr>
      <w:r>
        <w:t>Reforms that have the potential to destabilize IP are commodified by biopolitics—private interests and citizens are disciplined towards desired behaviors anyway</w:t>
      </w:r>
    </w:p>
    <w:p w14:paraId="530E6F7A" w14:textId="77777777" w:rsidR="00FA565D" w:rsidRPr="006A4805" w:rsidRDefault="00FA565D" w:rsidP="00FA565D">
      <w:pPr>
        <w:rPr>
          <w:rStyle w:val="Style13ptBold"/>
        </w:rPr>
      </w:pPr>
      <w:r w:rsidRPr="006A4805">
        <w:rPr>
          <w:rStyle w:val="Style13ptBold"/>
        </w:rPr>
        <w:t>Hilberg 15</w:t>
      </w:r>
    </w:p>
    <w:p w14:paraId="6BD78A36" w14:textId="77777777" w:rsidR="00FA565D" w:rsidRPr="006A4805" w:rsidRDefault="00FA565D" w:rsidP="00FA565D">
      <w:r w:rsidRPr="006A4805">
        <w:t xml:space="preserve">Eva, phD candidate at the University of Sussex. “Intellectual Property and the Genetic Dispositif of Life: The Changing Role of Intellectual Property Law in Governing Participation and Knowledge in the Bioeconomy.” Submitted for the Degree of Doctor of Philosophy University of Sussex, May 2015. Pp </w:t>
      </w:r>
      <w:r>
        <w:t>151-155</w:t>
      </w:r>
      <w:r w:rsidRPr="006A4805">
        <w:t>. LJS</w:t>
      </w:r>
    </w:p>
    <w:p w14:paraId="46DE333A" w14:textId="77777777" w:rsidR="00FA565D" w:rsidRPr="001F2F75" w:rsidRDefault="00FA565D" w:rsidP="00FA565D">
      <w:pPr>
        <w:rPr>
          <w:sz w:val="16"/>
        </w:rPr>
      </w:pPr>
      <w:r w:rsidRPr="001F2F75">
        <w:rPr>
          <w:sz w:val="16"/>
        </w:rPr>
        <w:t xml:space="preserve">While MRCs’ IP strategies stay within the economic system, their strategic approach to IP management emphasises control and is more flexible and context dependent, as for example the case of a one-dose oral typhoid vaccine shows: “the Trust has funded a company to further develop a proprietary technology for application to a disease area that was not attractive to commercial investors. The Trust has structured the IP management arrangements to encourage the company to exploit Trust-funded research itself, but retains rights to intervene if the IP is not exploited for the benefit of the developing world.” (Wellcome Trust 2006) </w:t>
      </w:r>
      <w:r w:rsidRPr="006D16ED">
        <w:rPr>
          <w:rStyle w:val="StyleUnderline"/>
        </w:rPr>
        <w:t>But the use of IP also highlights that this remains an adjustment within the existing</w:t>
      </w:r>
      <w:r>
        <w:rPr>
          <w:rStyle w:val="StyleUnderline"/>
        </w:rPr>
        <w:t xml:space="preserve"> </w:t>
      </w:r>
      <w:r w:rsidRPr="006D16ED">
        <w:rPr>
          <w:rStyle w:val="StyleUnderline"/>
        </w:rPr>
        <w:t>economic system’s parameters, not the introduction of a radical alternative.</w:t>
      </w:r>
      <w:r w:rsidRPr="001F2F75">
        <w:rPr>
          <w:sz w:val="16"/>
        </w:rPr>
        <w:t xml:space="preserve"> Patent pools and PPPs are using similar flexible IP management strategies in the sector of global health, addressing the needs of populations in developing countries in particular. 4.2. Patent Pools and Public Private Partnerships – Prioritising global health? </w:t>
      </w:r>
      <w:r w:rsidRPr="006D16ED">
        <w:rPr>
          <w:rStyle w:val="StyleUnderline"/>
        </w:rPr>
        <w:t>Within the sector of global health, new patent pools seek to address public health for</w:t>
      </w:r>
      <w:r>
        <w:rPr>
          <w:rStyle w:val="StyleUnderline"/>
        </w:rPr>
        <w:t xml:space="preserve"> </w:t>
      </w:r>
      <w:r w:rsidRPr="006D16ED">
        <w:rPr>
          <w:rStyle w:val="StyleUnderline"/>
        </w:rPr>
        <w:t>the benefit of patients in developing countries, who are usually excluded from</w:t>
      </w:r>
      <w:r>
        <w:rPr>
          <w:rStyle w:val="StyleUnderline"/>
        </w:rPr>
        <w:t xml:space="preserve"> </w:t>
      </w:r>
      <w:r w:rsidRPr="006D16ED">
        <w:rPr>
          <w:rStyle w:val="StyleUnderline"/>
        </w:rPr>
        <w:t>pharmaceutical companies’ considerations</w:t>
      </w:r>
      <w:r w:rsidRPr="001F2F75">
        <w:rPr>
          <w:sz w:val="16"/>
        </w:rPr>
        <w:t xml:space="preserve">. Patent pools bring together available patents regarding one particular disease, making information about existing patents accessible and negotiating voluntary or reduced licenses on existing medicines, thus making research and distribution of knowledge in the pharmaceutical sector more effective and flexible - especially where it comes to patents covering pharmaceuticals that are needed in developing countries. In general terms, patent pools address the “anticommons effect” of “the existence of multiple patents, held by multiple patent owners (a patent thicket)” (Verbeure 2009, 3, emphasis added) – but they do not contest the existence of IP in general. In contrast with the situation regarding software patents, “[a] principal argument for patenting biomedical inventions is the fact that typically, post-invention development costs far exceed pre-invention research expenditures, and firms are unable to make this substantial investment without protection from competition” (Ibid., 15). Patent pools seek solutions to the exclusionary effects of IP within existing international economic structures, especially in situations “when the IP rights necessary to arrive at a commercial end product such as a kit for diagnostic testing are held by patentees too numerous or heterogeneous to agree on licensing terms” (Ibid., 15f.). The recently established international Medicines Patent Pool is an example of a single-issue international patent pool focusing on HIV/AIDS medication. Their aim is to “[make] patents work for public health, while giving pharmaceutical innovators compensation for their work” (Medicines Patent Pool 2011).80 Lobbying on behalf of HIV/AIDS patients in developing countries, this patent pool successfully negotiated a range of voluntary licenses with pharmaceutical companies. This may have been particularly successful due to the international focus on HIV/AIDS (see for example Elbe 2005), increasing the pressure on companies to make their treatments available to patients in developing countries in particular. The combination of this pressure with a relative “failure” of the market in developing countries makes a compelling case for voluntary licences in these cases without a significant loss of profits (see next chapter). </w:t>
      </w:r>
      <w:r w:rsidRPr="001F2F75">
        <w:rPr>
          <w:rStyle w:val="StyleUnderline"/>
        </w:rPr>
        <w:t>The use of voluntary licenses by patent pools shows that this approach can</w:t>
      </w:r>
      <w:r>
        <w:rPr>
          <w:rStyle w:val="StyleUnderline"/>
        </w:rPr>
        <w:t xml:space="preserve"> </w:t>
      </w:r>
      <w:r w:rsidRPr="001F2F75">
        <w:rPr>
          <w:rStyle w:val="StyleUnderline"/>
        </w:rPr>
        <w:t>only work in specific contexts, limited geographically to mainly least-developed</w:t>
      </w:r>
      <w:r>
        <w:rPr>
          <w:rStyle w:val="StyleUnderline"/>
        </w:rPr>
        <w:t xml:space="preserve"> </w:t>
      </w:r>
      <w:r w:rsidRPr="001F2F75">
        <w:rPr>
          <w:rStyle w:val="StyleUnderline"/>
        </w:rPr>
        <w:t>countries</w:t>
      </w:r>
      <w:r w:rsidRPr="001F2F75">
        <w:rPr>
          <w:sz w:val="16"/>
        </w:rPr>
        <w:t xml:space="preserve">. The executive director of the Drugs for Neglected Diseases initiative (DNDi) criticises WIPO’s patent pool Re:Search (WIPO 2012b) because of its limited geographical reach: “it currently aims to improve access to neglected disease medicines in just the 49 least-developed countries, [whereas] he thinks it should aim to increase access for all developing countries” (quoted after Frantz 2012). But many PPPs also use tailored IPRs strategies within geographically limited exemptions granted by the pharmaceutical industry. </w:t>
      </w:r>
      <w:r w:rsidRPr="001F2F75">
        <w:rPr>
          <w:rStyle w:val="StyleUnderline"/>
        </w:rPr>
        <w:t>PPPs have become significant partners of international organisations in the</w:t>
      </w:r>
      <w:r>
        <w:rPr>
          <w:rStyle w:val="StyleUnderline"/>
        </w:rPr>
        <w:t xml:space="preserve"> </w:t>
      </w:r>
      <w:r w:rsidRPr="001F2F75">
        <w:rPr>
          <w:rStyle w:val="StyleUnderline"/>
        </w:rPr>
        <w:t>implementation of framework aims in the field of global health, and have specialised</w:t>
      </w:r>
      <w:r>
        <w:rPr>
          <w:rStyle w:val="StyleUnderline"/>
        </w:rPr>
        <w:t xml:space="preserve"> </w:t>
      </w:r>
      <w:r w:rsidRPr="001F2F75">
        <w:rPr>
          <w:rStyle w:val="StyleUnderline"/>
        </w:rPr>
        <w:t>on particular diseases and local contexts in the process</w:t>
      </w:r>
      <w:r w:rsidRPr="001F2F75">
        <w:rPr>
          <w:sz w:val="16"/>
        </w:rPr>
        <w:t xml:space="preserve"> (see Rushton and Williams 2011). </w:t>
      </w:r>
      <w:r w:rsidRPr="001F2F75">
        <w:rPr>
          <w:rStyle w:val="StyleUnderline"/>
        </w:rPr>
        <w:t>These targeted projects can be very effective but are more difficult to replicate</w:t>
      </w:r>
      <w:r>
        <w:rPr>
          <w:rStyle w:val="StyleUnderline"/>
        </w:rPr>
        <w:t xml:space="preserve"> </w:t>
      </w:r>
      <w:r w:rsidRPr="001F2F75">
        <w:rPr>
          <w:rStyle w:val="StyleUnderline"/>
        </w:rPr>
        <w:t>on a larger scale, as the Medicines Patent Pool had to discover.</w:t>
      </w:r>
      <w:r w:rsidRPr="001F2F75">
        <w:rPr>
          <w:sz w:val="16"/>
        </w:rPr>
        <w:t xml:space="preserve"> An idea of the sheer number of emerging PPPs can be gleaned from the Health Partnerships Database, which seeks to “systemically [sic.] collect data about a new breed of PPPs coalesced around the health needs of the poor” (ESRC Innogen Centre 2008).81 In the best case, “[t]his relatively new trend in global health cooperation is demonstrating significant possibilities for tackling problems that formerly seemed intractable, particularly those requiring increased research and development (R&amp;D) on drugs and vaccines for diseases disproportionately affecting the poor” (Buse and Waxman 2001, 748). PPPs and Product Development Partnerships (PDPs) make strategic use of IP by deriving income from the products they developed (Brooke et al. 2007, 1757). The licensing regime employed by PPPs can be flexible and take into account the relative economic positions of the licensees – as in the example of the licensing regime of FIND Diagnostics: “When research has the potential to result in an invention (patentable or not), we negotiate with the partner(s) in advance to ensure that the IP rights generated by the project will be managed in such a way that the benefits are passed on to patients in resource poor settings. Industry partners assign all rights to FIND for royalty-free use of their technology in the public and private non-profit sectors in high endemic countries, while the industry partner retains distribution rights for developed countries and the private sector in developing countries. This enables the partner to recover R&amp;D costs and to create the returns needed to develop new technologies.” (FIND Diagnostics 2015) Just as in the case of patent pools, this strategy counteracts IP’s exclusionary function in a particular geographical and social context. This limitation is intentional, as a group of PDPs points out in a position paper for the EU’s Horizon 2020 Framework: “PDPs were created specifically to address the research gap present in the development of products for diseases that lack viable commercial markets. PDPs use different models of IP management and licensing arrangements in their partnerships with academic institutions and private companies, aiming to de-link the costs of R&amp;D from the cost of final products” (AERAS et al. 2012). </w:t>
      </w:r>
      <w:r w:rsidRPr="001F2F75">
        <w:rPr>
          <w:rStyle w:val="StyleUnderline"/>
        </w:rPr>
        <w:t>Lezaun &amp; Montgomery note that PPPs have begun to share IP, and use it “as a</w:t>
      </w:r>
      <w:r>
        <w:rPr>
          <w:rStyle w:val="StyleUnderline"/>
        </w:rPr>
        <w:t xml:space="preserve"> </w:t>
      </w:r>
      <w:r w:rsidRPr="001F2F75">
        <w:rPr>
          <w:rStyle w:val="StyleUnderline"/>
        </w:rPr>
        <w:t>lever to attract others into risky collaborative ventures</w:t>
      </w:r>
      <w:r w:rsidRPr="001F2F75">
        <w:rPr>
          <w:sz w:val="16"/>
        </w:rPr>
        <w:t xml:space="preserve">” (Lezaun and Montgomery 2015, 3; see also Williams 2012). This is contrary to the usual exclusionary function of IP, and gives rise to “a new moral economy of R&amp;D” emphasising collaborations (Lezaun and Montgomery 2015, 5). </w:t>
      </w:r>
      <w:r w:rsidRPr="001F2F75">
        <w:rPr>
          <w:rStyle w:val="StyleUnderline"/>
        </w:rPr>
        <w:t>However, PPPs combine priorities set by public</w:t>
      </w:r>
      <w:r>
        <w:rPr>
          <w:rStyle w:val="StyleUnderline"/>
        </w:rPr>
        <w:t xml:space="preserve"> </w:t>
      </w:r>
      <w:r w:rsidRPr="001F2F75">
        <w:rPr>
          <w:rStyle w:val="StyleUnderline"/>
        </w:rPr>
        <w:t>sector organisations such as the WHO with the mechanisms of the private sector</w:t>
      </w:r>
      <w:r w:rsidRPr="001F2F75">
        <w:rPr>
          <w:sz w:val="16"/>
        </w:rPr>
        <w:t xml:space="preserve">. This approach contains both the potential for more targeted and efficient implementation efforts and the unpredictable consequences of introducing the private sector’s economic rationale to the area of ‘public’ health. </w:t>
      </w:r>
      <w:r w:rsidRPr="001F2F75">
        <w:rPr>
          <w:rStyle w:val="StyleUnderline"/>
        </w:rPr>
        <w:t>This has given rise to fears “that</w:t>
      </w:r>
      <w:r>
        <w:rPr>
          <w:rStyle w:val="StyleUnderline"/>
        </w:rPr>
        <w:t xml:space="preserve"> </w:t>
      </w:r>
      <w:r w:rsidRPr="001F2F75">
        <w:rPr>
          <w:rStyle w:val="StyleUnderline"/>
        </w:rPr>
        <w:t>new partnerships are leading down a slippery slope towards the partial privatization</w:t>
      </w:r>
      <w:r>
        <w:rPr>
          <w:rStyle w:val="StyleUnderline"/>
        </w:rPr>
        <w:t xml:space="preserve"> </w:t>
      </w:r>
      <w:r w:rsidRPr="001F2F75">
        <w:rPr>
          <w:rStyle w:val="StyleUnderline"/>
        </w:rPr>
        <w:t>and commercialization of the UN system” and “that partnership enables nation states</w:t>
      </w:r>
      <w:r>
        <w:rPr>
          <w:rStyle w:val="StyleUnderline"/>
        </w:rPr>
        <w:t xml:space="preserve"> </w:t>
      </w:r>
      <w:r w:rsidRPr="001F2F75">
        <w:rPr>
          <w:rStyle w:val="StyleUnderline"/>
        </w:rPr>
        <w:t>to abdicate their responsibilities for the promotion and protection of their citizens’</w:t>
      </w:r>
      <w:r>
        <w:rPr>
          <w:rStyle w:val="StyleUnderline"/>
        </w:rPr>
        <w:t xml:space="preserve"> </w:t>
      </w:r>
      <w:r w:rsidRPr="001F2F75">
        <w:rPr>
          <w:rStyle w:val="StyleUnderline"/>
        </w:rPr>
        <w:t>health”, as for example “it is charged that the independent setting of standards was</w:t>
      </w:r>
      <w:r>
        <w:rPr>
          <w:rStyle w:val="StyleUnderline"/>
        </w:rPr>
        <w:t xml:space="preserve"> </w:t>
      </w:r>
      <w:r w:rsidRPr="001F2F75">
        <w:rPr>
          <w:rStyle w:val="StyleUnderline"/>
        </w:rPr>
        <w:t>jeopardized during the elaboration of the guidelines for the management of</w:t>
      </w:r>
      <w:r>
        <w:rPr>
          <w:rStyle w:val="StyleUnderline"/>
        </w:rPr>
        <w:t xml:space="preserve"> </w:t>
      </w:r>
      <w:r w:rsidRPr="001F2F75">
        <w:rPr>
          <w:rStyle w:val="StyleUnderline"/>
        </w:rPr>
        <w:t>hypertension because of the influence of a firm that stood to benefit from them”</w:t>
      </w:r>
      <w:r w:rsidRPr="001F2F75">
        <w:rPr>
          <w:sz w:val="16"/>
        </w:rPr>
        <w:t xml:space="preserve"> (Buse and Waxman 2001, 750). Despite these concerns, PPPs are increasingly involved in global health policies, and the WHO sees PPPs and PDPs as central to the future financing and facilitation of research and development of medicines (CEWG 2012a, 31). </w:t>
      </w:r>
      <w:r w:rsidRPr="001F2F75">
        <w:rPr>
          <w:rStyle w:val="StyleUnderline"/>
        </w:rPr>
        <w:t>Thus neither patent pools nor PPPs/ PDPs are intending to challenge the</w:t>
      </w:r>
      <w:r>
        <w:rPr>
          <w:rStyle w:val="StyleUnderline"/>
        </w:rPr>
        <w:t xml:space="preserve"> </w:t>
      </w:r>
      <w:r w:rsidRPr="001F2F75">
        <w:rPr>
          <w:rStyle w:val="StyleUnderline"/>
        </w:rPr>
        <w:t>notion of IP in general</w:t>
      </w:r>
      <w:r w:rsidRPr="001F2F75">
        <w:rPr>
          <w:sz w:val="16"/>
        </w:rPr>
        <w:t xml:space="preserve">. They rather address the needs of certain patients from within the parameters of the international economic system. In this way they acknowledge the increasing demands of patients while they are at the same time reinforcing the general function of IP – from which they derive income. </w:t>
      </w:r>
      <w:r w:rsidRPr="001F2F75">
        <w:rPr>
          <w:rStyle w:val="StyleUnderline"/>
        </w:rPr>
        <w:t>However, the emerging</w:t>
      </w:r>
      <w:r>
        <w:rPr>
          <w:rStyle w:val="StyleUnderline"/>
        </w:rPr>
        <w:t xml:space="preserve"> </w:t>
      </w:r>
      <w:r w:rsidRPr="001F2F75">
        <w:rPr>
          <w:rStyle w:val="StyleUnderline"/>
        </w:rPr>
        <w:t>“moral economy” surrounding the financing of R&amp;D in global health projects</w:t>
      </w:r>
      <w:r>
        <w:rPr>
          <w:rStyle w:val="StyleUnderline"/>
        </w:rPr>
        <w:t xml:space="preserve"> </w:t>
      </w:r>
      <w:r w:rsidRPr="001F2F75">
        <w:rPr>
          <w:rStyle w:val="StyleUnderline"/>
        </w:rPr>
        <w:t>combines the use of IP with a politics of health, in which PPPs can be seen to be “governed at a distance” as they implement centrally defined priorities in small-scale</w:t>
      </w:r>
      <w:r>
        <w:rPr>
          <w:rStyle w:val="StyleUnderline"/>
        </w:rPr>
        <w:t xml:space="preserve"> </w:t>
      </w:r>
      <w:r w:rsidRPr="001F2F75">
        <w:rPr>
          <w:rStyle w:val="StyleUnderline"/>
        </w:rPr>
        <w:t>private projects</w:t>
      </w:r>
      <w:r w:rsidRPr="001F2F75">
        <w:rPr>
          <w:sz w:val="16"/>
        </w:rPr>
        <w:t xml:space="preserve">. Instead of focusing on IP’s economic function, it is argued in this thesis that PPPs are becoming involved in a version of somatic ethics developing within international organisations operating at the intersection of global health and the economy. The result is an ongoing process of accommodation between biopolitical and economic priorities, on the national and international level. The next chapter explores particular challenges to the IP system arising from this ethics, which even include frank debates on the introduction of alternatives to IP. Examples of human rights challenges and an increasing focus on the argument of ‘market failure’ could have radically unsettling effects on IP’s legitimation. </w:t>
      </w:r>
    </w:p>
    <w:p w14:paraId="13DE2AB5" w14:textId="77777777" w:rsidR="007D6535" w:rsidRDefault="007D6535" w:rsidP="007D6535">
      <w:pPr>
        <w:pStyle w:val="Heading4"/>
      </w:pPr>
      <w:r>
        <w:t>IP law cannot be reformed—it’s very existence canonized worthy vs unworthy forms of knowledge</w:t>
      </w:r>
    </w:p>
    <w:p w14:paraId="4D192471" w14:textId="77777777" w:rsidR="007D6535" w:rsidRPr="006A4805" w:rsidRDefault="007D6535" w:rsidP="007D6535">
      <w:pPr>
        <w:rPr>
          <w:rStyle w:val="Style13ptBold"/>
        </w:rPr>
      </w:pPr>
      <w:r w:rsidRPr="006A4805">
        <w:rPr>
          <w:rStyle w:val="Style13ptBold"/>
        </w:rPr>
        <w:t>Hilberg 15</w:t>
      </w:r>
    </w:p>
    <w:p w14:paraId="5897CFDA" w14:textId="77777777" w:rsidR="007D6535" w:rsidRPr="006A4805" w:rsidRDefault="007D6535" w:rsidP="007D6535">
      <w:r w:rsidRPr="006A4805">
        <w:t xml:space="preserve">Eva, phD candidate at the University of Sussex. “Intellectual Property and the Genetic Dispositif of Life: The Changing Role of Intellectual Property Law in Governing Participation and Knowledge in the Bioeconomy.” Submitted for the Degree of Doctor of Philosophy University of Sussex, May 2015. Pp </w:t>
      </w:r>
      <w:r>
        <w:t>107-111</w:t>
      </w:r>
      <w:r w:rsidRPr="006A4805">
        <w:t>. LJS</w:t>
      </w:r>
    </w:p>
    <w:p w14:paraId="530DBF00" w14:textId="77777777" w:rsidR="007D6535" w:rsidRPr="00CF2EF0" w:rsidRDefault="007D6535" w:rsidP="007D6535">
      <w:pPr>
        <w:rPr>
          <w:rStyle w:val="StyleUnderline"/>
        </w:rPr>
      </w:pPr>
      <w:r w:rsidRPr="00CF2EF0">
        <w:rPr>
          <w:sz w:val="16"/>
        </w:rPr>
        <w:t xml:space="preserve">Rather than enabling further instances of commodification, the Myriad decision’s changed view of the ‘truth’ about life is attempting to reconcile the informational understanding of the genetic code with a continued existence of IPRs on information derived from human genetic materials. The result is a compromise predicated on an enduring finding of “marked difference” between cDNA and isolated DNA. This rendered some of Myriad Genetics’ patent claims void, however, it also held up others. </w:t>
      </w:r>
      <w:r w:rsidRPr="00CF2EF0">
        <w:rPr>
          <w:rStyle w:val="StyleUnderline"/>
        </w:rPr>
        <w:t>This chapter argues that this accommodation shows that the Court is</w:t>
      </w:r>
      <w:r>
        <w:rPr>
          <w:rStyle w:val="StyleUnderline"/>
        </w:rPr>
        <w:t xml:space="preserve"> </w:t>
      </w:r>
      <w:r w:rsidRPr="00CF2EF0">
        <w:rPr>
          <w:rStyle w:val="StyleUnderline"/>
        </w:rPr>
        <w:t>navigating the overwhelming scientific and social influence of an informational genetic conception of life (the ‘genetic dispositif’) while at the same time seeking to</w:t>
      </w:r>
      <w:r>
        <w:rPr>
          <w:rStyle w:val="StyleUnderline"/>
        </w:rPr>
        <w:t xml:space="preserve"> </w:t>
      </w:r>
      <w:r w:rsidRPr="00CF2EF0">
        <w:rPr>
          <w:rStyle w:val="StyleUnderline"/>
        </w:rPr>
        <w:t>maintain IPRs as a tool for the bioeconomy, and for the normalisation of knowledge.</w:t>
      </w:r>
      <w:r>
        <w:rPr>
          <w:rStyle w:val="StyleUnderline"/>
        </w:rPr>
        <w:t xml:space="preserve"> </w:t>
      </w:r>
      <w:r w:rsidRPr="00CF2EF0">
        <w:rPr>
          <w:sz w:val="16"/>
        </w:rPr>
        <w:t xml:space="preserve">In responding to the challenge of the move of knowledge over life onto the genetic level, law as a “tactics” of government is re-adjusting the “right disposition of things” (Foucault 2000, 208). </w:t>
      </w:r>
      <w:r w:rsidRPr="00CF2EF0">
        <w:rPr>
          <w:rStyle w:val="StyleUnderline"/>
        </w:rPr>
        <w:t>At stake in this adjustment is nothing less than the continued</w:t>
      </w:r>
      <w:r>
        <w:rPr>
          <w:rStyle w:val="StyleUnderline"/>
        </w:rPr>
        <w:t xml:space="preserve"> </w:t>
      </w:r>
      <w:r w:rsidRPr="00CF2EF0">
        <w:rPr>
          <w:rStyle w:val="StyleUnderline"/>
        </w:rPr>
        <w:t>existence of the IP regime in the area of genetic materials, and its important functions</w:t>
      </w:r>
      <w:r>
        <w:rPr>
          <w:rStyle w:val="StyleUnderline"/>
        </w:rPr>
        <w:t xml:space="preserve"> </w:t>
      </w:r>
      <w:r w:rsidRPr="00CF2EF0">
        <w:rPr>
          <w:rStyle w:val="StyleUnderline"/>
        </w:rPr>
        <w:t>regarding the maintenance of a central canon of knowledge (see this chapter), and as</w:t>
      </w:r>
      <w:r>
        <w:rPr>
          <w:rStyle w:val="StyleUnderline"/>
        </w:rPr>
        <w:t xml:space="preserve"> </w:t>
      </w:r>
      <w:r w:rsidRPr="00CF2EF0">
        <w:rPr>
          <w:rStyle w:val="StyleUnderline"/>
        </w:rPr>
        <w:t>an area of expert knowledge enabling the conduct of “governing at a distance</w:t>
      </w:r>
      <w:r w:rsidRPr="00CF2EF0">
        <w:rPr>
          <w:sz w:val="16"/>
        </w:rPr>
        <w:t xml:space="preserve">” (Miller and Rose 2008, see next chapter). Knowledge is crucial for governing according to the right disposition of things, and the change towards the informational-genetic conception of life intensified the utility of knowledge of “the nature of things” (Foucault 2008, 28) by seamlessly integrating knowledge of the individual with that of the population, and also – through the medium of information - with further use in the bioeconomy. 2.1. Governing the normalisation of technical knowledge Foucault’s account of the emergence of the new art of governing emphasized the central role of scientific method and medical knowledge, in particular with regards to strategies aimed at the fostering of life and health of the population. These “include forecasts, statistical estimates, and overall measures” and involve “a set of processes such as the ratio of births to deaths, the rate of reproduction, the fertility of a population, and so on” (Foucault 1997, 243 and 246). </w:t>
      </w:r>
      <w:r w:rsidRPr="00CF2EF0">
        <w:rPr>
          <w:rStyle w:val="StyleUnderline"/>
        </w:rPr>
        <w:t>These sources of information</w:t>
      </w:r>
      <w:r>
        <w:rPr>
          <w:rStyle w:val="StyleUnderline"/>
        </w:rPr>
        <w:t xml:space="preserve"> </w:t>
      </w:r>
      <w:r w:rsidRPr="00CF2EF0">
        <w:rPr>
          <w:rStyle w:val="StyleUnderline"/>
        </w:rPr>
        <w:t>then gave rise to potential biopolitical strategies</w:t>
      </w:r>
      <w:r w:rsidRPr="00CF2EF0">
        <w:rPr>
          <w:sz w:val="16"/>
        </w:rPr>
        <w:t xml:space="preserve">. Initially this knowledge was gathered from observations of individuals, compiled in an “apparatus of writing” and analysed according to a new comparative system “that made possible the measurement of overall phenomena, […] the calculation of the gaps between individuals, their distribution in a given ‘population’” (Foucault 1977, 190). The notion of a “population” for the purposes of governing could only emerge as a result of this collection of individual cases. Knowledge is thus one of the central factors that ensure the appropriate operation of government. Foucault points out “[t]he constitution of knowledge [savoir] of government is absolutely inseparable from that of a knowledge of all the processes related to population in its larger sense – that is, what we now call the economy” (Foucault 2000, 217). </w:t>
      </w:r>
      <w:r w:rsidRPr="00CF2EF0">
        <w:rPr>
          <w:rStyle w:val="StyleUnderline"/>
        </w:rPr>
        <w:t>This points to a contingency of ‘truth’ upon</w:t>
      </w:r>
      <w:r>
        <w:rPr>
          <w:rStyle w:val="StyleUnderline"/>
        </w:rPr>
        <w:t xml:space="preserve"> </w:t>
      </w:r>
      <w:r w:rsidRPr="00CF2EF0">
        <w:rPr>
          <w:rStyle w:val="StyleUnderline"/>
        </w:rPr>
        <w:t>measurements of processes in the population – identifying “the nature of things”, and</w:t>
      </w:r>
      <w:r>
        <w:rPr>
          <w:rStyle w:val="StyleUnderline"/>
        </w:rPr>
        <w:t xml:space="preserve"> </w:t>
      </w:r>
      <w:r w:rsidRPr="00CF2EF0">
        <w:rPr>
          <w:rStyle w:val="StyleUnderline"/>
        </w:rPr>
        <w:t>upon an economic way of governing – determined by “the question of the too much</w:t>
      </w:r>
      <w:r>
        <w:rPr>
          <w:rStyle w:val="StyleUnderline"/>
        </w:rPr>
        <w:t xml:space="preserve"> </w:t>
      </w:r>
      <w:r w:rsidRPr="00CF2EF0">
        <w:rPr>
          <w:rStyle w:val="StyleUnderline"/>
        </w:rPr>
        <w:t>and the too little” of governmental intervention</w:t>
      </w:r>
      <w:r w:rsidRPr="00CF2EF0">
        <w:rPr>
          <w:sz w:val="16"/>
        </w:rPr>
        <w:t xml:space="preserve"> (Foucault 2008, 28). However, Foucault asks “[h]ow can the phenomena of ‘population’, with its specific effects and problems, be taken into account in a system concerned about respect for legal subjects and individual fee enterprise?” (Ibid., 317, quoted also in Dean 2010). A fault line of potential conflict thus runs between the notion of “political economy” and governing for “the optimization of the life of the population” according to the nature of things (Dean 2010, 120). This underlying tension between priorities of governing is governed by laws in the mode of a responsive “tactics” of governing (Foucault 2000, 211), navigating demands made on the basis of technical knowledge while also still ensuring the economy (i.e. appropriateness in economic terms) of this disposition of things. This perspective sheds new light on the uneasy compromise in the Myriad decision, reinterpreting it as the product of a confluence of two different dynamics prioritising on the one hand the continued existence of IPRs on knowledge derived from human genetic materials, and on the other hand seeking to contribute to the normalization of the genetic-informational conception of life. </w:t>
      </w:r>
      <w:r w:rsidRPr="00CF2EF0">
        <w:rPr>
          <w:rStyle w:val="StyleUnderline"/>
        </w:rPr>
        <w:t>In managing this</w:t>
      </w:r>
      <w:r>
        <w:rPr>
          <w:rStyle w:val="StyleUnderline"/>
        </w:rPr>
        <w:t xml:space="preserve"> </w:t>
      </w:r>
      <w:r w:rsidRPr="00CF2EF0">
        <w:rPr>
          <w:rStyle w:val="StyleUnderline"/>
        </w:rPr>
        <w:t>tension, IP law is becoming governmentalised. Previously, “the life/nature-is-nothingmore-than-chemistry argument” (Carolan 2010, 117) effectively “closed down”</w:t>
      </w:r>
      <w:r>
        <w:rPr>
          <w:rStyle w:val="StyleUnderline"/>
        </w:rPr>
        <w:t xml:space="preserve"> </w:t>
      </w:r>
      <w:r w:rsidRPr="00CF2EF0">
        <w:rPr>
          <w:rStyle w:val="StyleUnderline"/>
        </w:rPr>
        <w:t>debates about the patenting of genetic sequences, and settled definitional arguments</w:t>
      </w:r>
      <w:r>
        <w:rPr>
          <w:rStyle w:val="StyleUnderline"/>
        </w:rPr>
        <w:t xml:space="preserve"> </w:t>
      </w:r>
      <w:r w:rsidRPr="00CF2EF0">
        <w:rPr>
          <w:rStyle w:val="StyleUnderline"/>
        </w:rPr>
        <w:t>as predominantly “technical” issues</w:t>
      </w:r>
      <w:r w:rsidRPr="00CF2EF0">
        <w:rPr>
          <w:sz w:val="16"/>
        </w:rPr>
        <w:t xml:space="preserve"> (Calvert and Joly 2011, 13 f.). In this, patent law provided specific rules that enabled the patenting of genetic sequences, and turned these otherwise “fuzzy and uncertain objects” into tradeable entities (Ibid., 16). Genes are fundamentally “uncertain” and hybrid objects, as they “[consist] not in a structure but in the process that ‘expresses’ or actualises a given molecular strand” (Pottage 1998, 747). </w:t>
      </w:r>
      <w:r w:rsidRPr="00CF2EF0">
        <w:rPr>
          <w:rStyle w:val="StyleUnderline"/>
        </w:rPr>
        <w:t>As long as IP law provided clear patentability criteria for these objects, it</w:t>
      </w:r>
      <w:r>
        <w:rPr>
          <w:rStyle w:val="StyleUnderline"/>
        </w:rPr>
        <w:t xml:space="preserve"> </w:t>
      </w:r>
      <w:r w:rsidRPr="00CF2EF0">
        <w:rPr>
          <w:rStyle w:val="StyleUnderline"/>
        </w:rPr>
        <w:t>succeeded in normalising an understanding of DNA that ‘governed’ for the market.</w:t>
      </w:r>
      <w:r>
        <w:rPr>
          <w:rStyle w:val="StyleUnderline"/>
        </w:rPr>
        <w:t xml:space="preserve"> </w:t>
      </w:r>
      <w:r w:rsidRPr="00CF2EF0">
        <w:rPr>
          <w:sz w:val="16"/>
        </w:rPr>
        <w:t xml:space="preserve">However, the Myriad judgement’s turn complicated this function considerably, and showed that the adoption of the informational-genetic paradigm causes tensions that could seriously overstretch IP law’s parameters. The Myriad decision reflects the emergence of a new scientific paradigm. </w:t>
      </w:r>
      <w:r w:rsidRPr="00CF2EF0">
        <w:rPr>
          <w:rStyle w:val="StyleUnderline"/>
        </w:rPr>
        <w:t>Changing paradigms of (scientific) knowledge are closely connected to changes in</w:t>
      </w:r>
      <w:r>
        <w:rPr>
          <w:rStyle w:val="StyleUnderline"/>
        </w:rPr>
        <w:t xml:space="preserve"> </w:t>
      </w:r>
      <w:r w:rsidRPr="00CF2EF0">
        <w:rPr>
          <w:rStyle w:val="StyleUnderline"/>
        </w:rPr>
        <w:t>paradigms of governance</w:t>
      </w:r>
      <w:r w:rsidRPr="00CF2EF0">
        <w:rPr>
          <w:sz w:val="16"/>
        </w:rPr>
        <w:t xml:space="preserve"> (Foucault 1970). </w:t>
      </w:r>
      <w:r w:rsidRPr="00CF2EF0">
        <w:rPr>
          <w:rStyle w:val="StyleUnderline"/>
        </w:rPr>
        <w:t>Within a paradigm38 of knowledge, an</w:t>
      </w:r>
      <w:r>
        <w:rPr>
          <w:rStyle w:val="StyleUnderline"/>
        </w:rPr>
        <w:t xml:space="preserve"> </w:t>
      </w:r>
      <w:r w:rsidRPr="00CF2EF0">
        <w:rPr>
          <w:rStyle w:val="StyleUnderline"/>
        </w:rPr>
        <w:t>apparatus or a dispositif of knowledge connects the various sites of decision-making</w:t>
      </w:r>
      <w:r>
        <w:rPr>
          <w:rStyle w:val="StyleUnderline"/>
        </w:rPr>
        <w:t xml:space="preserve"> </w:t>
      </w:r>
      <w:r w:rsidRPr="00CF2EF0">
        <w:rPr>
          <w:rStyle w:val="StyleUnderline"/>
        </w:rPr>
        <w:t>at the macro and micro level of governing, containing a particular constellation or</w:t>
      </w:r>
      <w:r>
        <w:rPr>
          <w:rStyle w:val="StyleUnderline"/>
        </w:rPr>
        <w:t xml:space="preserve"> </w:t>
      </w:r>
      <w:r w:rsidRPr="00CF2EF0">
        <w:rPr>
          <w:rStyle w:val="StyleUnderline"/>
        </w:rPr>
        <w:t>congruency of understandings of “labour, life, language” (Ibid., 250 ff.) – a shared</w:t>
      </w:r>
      <w:r>
        <w:rPr>
          <w:rStyle w:val="StyleUnderline"/>
        </w:rPr>
        <w:t xml:space="preserve"> </w:t>
      </w:r>
      <w:r w:rsidRPr="00CF2EF0">
        <w:rPr>
          <w:rStyle w:val="StyleUnderline"/>
        </w:rPr>
        <w:t>basic epistemology39 making the development of sciences like biology, economics,</w:t>
      </w:r>
      <w:r>
        <w:rPr>
          <w:rStyle w:val="StyleUnderline"/>
        </w:rPr>
        <w:t xml:space="preserve"> </w:t>
      </w:r>
      <w:r w:rsidRPr="00CF2EF0">
        <w:rPr>
          <w:rStyle w:val="StyleUnderline"/>
        </w:rPr>
        <w:t>and linguistics possible</w:t>
      </w:r>
      <w:r w:rsidRPr="00CF2EF0">
        <w:rPr>
          <w:sz w:val="16"/>
        </w:rPr>
        <w:t xml:space="preserve">. These elements contain an epistemology that shaped for example the modern system – and within this system, knowledge derived in accordance with this epistemology needs to be seen as a central concern of power relations, or “power-knowledge”. Information science has emerged as the predominant paradigm of the twenty-first century and given rise to a dispositif that connects the life sciences with computer science and the economy. </w:t>
      </w:r>
      <w:r w:rsidRPr="00CF2EF0">
        <w:rPr>
          <w:rStyle w:val="StyleUnderline"/>
        </w:rPr>
        <w:t>Within this paradigm, technical scientific knowledge needs to be understood</w:t>
      </w:r>
      <w:r>
        <w:rPr>
          <w:rStyle w:val="StyleUnderline"/>
        </w:rPr>
        <w:t xml:space="preserve"> </w:t>
      </w:r>
      <w:r w:rsidRPr="00CF2EF0">
        <w:rPr>
          <w:rStyle w:val="StyleUnderline"/>
        </w:rPr>
        <w:t>as “power-knowledge”, which is the result of a deeply politicized process of</w:t>
      </w:r>
      <w:r>
        <w:rPr>
          <w:rStyle w:val="StyleUnderline"/>
        </w:rPr>
        <w:t xml:space="preserve"> </w:t>
      </w:r>
      <w:r w:rsidRPr="00CF2EF0">
        <w:rPr>
          <w:rStyle w:val="StyleUnderline"/>
        </w:rPr>
        <w:t>contestations between different forms of knowledge. 40 A normalised canon of</w:t>
      </w:r>
      <w:r>
        <w:rPr>
          <w:rStyle w:val="StyleUnderline"/>
        </w:rPr>
        <w:t xml:space="preserve"> </w:t>
      </w:r>
      <w:r w:rsidRPr="00CF2EF0">
        <w:rPr>
          <w:rStyle w:val="StyleUnderline"/>
        </w:rPr>
        <w:t>scientific knowledge is a result of a struggle between different forms of knowledge,</w:t>
      </w:r>
      <w:r>
        <w:rPr>
          <w:rStyle w:val="StyleUnderline"/>
        </w:rPr>
        <w:t xml:space="preserve"> </w:t>
      </w:r>
      <w:r w:rsidRPr="00CF2EF0">
        <w:rPr>
          <w:rStyle w:val="StyleUnderline"/>
        </w:rPr>
        <w:t>and is constantly threatened by “insurrections” of other formerly “disqualified” or</w:t>
      </w:r>
      <w:r>
        <w:rPr>
          <w:rStyle w:val="StyleUnderline"/>
        </w:rPr>
        <w:t xml:space="preserve"> </w:t>
      </w:r>
      <w:r w:rsidRPr="00CF2EF0">
        <w:rPr>
          <w:rStyle w:val="StyleUnderline"/>
        </w:rPr>
        <w:t xml:space="preserve">marginalised knowledges </w:t>
      </w:r>
      <w:r w:rsidRPr="00CF2EF0">
        <w:rPr>
          <w:sz w:val="16"/>
        </w:rPr>
        <w:t xml:space="preserve">(Foucault 1997, 9). Here, a battle “not […] between knowledge and ignorance, but an immense and multiple battle between knowledges in the plural [took place] – knowledges that are in conflict because of their very morphology, because they are in the possession of enemies, and because they have intrinsic power-effects” (Ibid., 179, emphasis added). These power effects, especially on the level of control and ownership of knowledge, are founded “in a society where knowing the secret behind technological knowledge was a source of wealth” (Ibid.). </w:t>
      </w:r>
      <w:r w:rsidRPr="00CF2EF0">
        <w:rPr>
          <w:rStyle w:val="StyleUnderline"/>
        </w:rPr>
        <w:t>IPRs are thus immersed in a political sphere at the intersection of economic governing</w:t>
      </w:r>
      <w:r>
        <w:rPr>
          <w:rStyle w:val="StyleUnderline"/>
        </w:rPr>
        <w:t xml:space="preserve"> </w:t>
      </w:r>
      <w:r w:rsidRPr="00CF2EF0">
        <w:rPr>
          <w:rStyle w:val="StyleUnderline"/>
        </w:rPr>
        <w:t>and the determination of the nature of things, at the centre of “an immense struggle</w:t>
      </w:r>
      <w:r>
        <w:rPr>
          <w:rStyle w:val="StyleUnderline"/>
        </w:rPr>
        <w:t xml:space="preserve"> </w:t>
      </w:r>
      <w:r w:rsidRPr="00CF2EF0">
        <w:rPr>
          <w:rStyle w:val="StyleUnderline"/>
        </w:rPr>
        <w:t>over the economic inductions and power-effects that were bound up with the exclusive ownership of a knowledge, its dispersal and its secret” (Ibid., 180, emphasis</w:t>
      </w:r>
      <w:r>
        <w:rPr>
          <w:rStyle w:val="StyleUnderline"/>
        </w:rPr>
        <w:t xml:space="preserve"> </w:t>
      </w:r>
      <w:r w:rsidRPr="00CF2EF0">
        <w:rPr>
          <w:rStyle w:val="StyleUnderline"/>
        </w:rPr>
        <w:t>added).</w:t>
      </w:r>
      <w:r>
        <w:rPr>
          <w:rStyle w:val="StyleUnderline"/>
        </w:rPr>
        <w:t xml:space="preserve"> </w:t>
      </w:r>
      <w:r w:rsidRPr="00CF2EF0">
        <w:rPr>
          <w:sz w:val="16"/>
        </w:rPr>
        <w:t xml:space="preserve">IP fulfils different functions within these struggles between competing knowledges. </w:t>
      </w:r>
      <w:r w:rsidRPr="00CF2EF0">
        <w:rPr>
          <w:rStyle w:val="StyleUnderline"/>
        </w:rPr>
        <w:t>It establishes control over knowledge and research agendas, and</w:t>
      </w:r>
      <w:r>
        <w:rPr>
          <w:rStyle w:val="StyleUnderline"/>
        </w:rPr>
        <w:t xml:space="preserve"> </w:t>
      </w:r>
      <w:r w:rsidRPr="00CF2EF0">
        <w:rPr>
          <w:rStyle w:val="StyleUnderline"/>
        </w:rPr>
        <w:t>enshrines a particular ‘normalised’ version of scientific truth in an officially</w:t>
      </w:r>
      <w:r>
        <w:rPr>
          <w:rStyle w:val="StyleUnderline"/>
        </w:rPr>
        <w:t xml:space="preserve"> </w:t>
      </w:r>
      <w:r w:rsidRPr="00CF2EF0">
        <w:rPr>
          <w:rStyle w:val="StyleUnderline"/>
        </w:rPr>
        <w:t>recognised instrument such as a patent – assigning and amplifying science’s “intrinsic</w:t>
      </w:r>
      <w:r>
        <w:rPr>
          <w:rStyle w:val="StyleUnderline"/>
        </w:rPr>
        <w:t xml:space="preserve"> </w:t>
      </w:r>
      <w:r w:rsidRPr="00CF2EF0">
        <w:rPr>
          <w:rStyle w:val="StyleUnderline"/>
        </w:rPr>
        <w:t>power-effects”.</w:t>
      </w:r>
      <w:r w:rsidRPr="00CF2EF0">
        <w:rPr>
          <w:sz w:val="16"/>
        </w:rPr>
        <w:t xml:space="preserve"> The Myriad decision’s turn towards an informational-genetic conception of DNA can be interpreted as a continued fulfilment of these important functions of the IP regime, which go beyond the sheer commodification of DNA sequences. Instead of prioritising patentability, the decision inscribed or normalised the informational-genetic paradigm in IP law, thus conferring power-effects on this type of knowledge. </w:t>
      </w:r>
      <w:r w:rsidRPr="00CF2EF0">
        <w:rPr>
          <w:rStyle w:val="StyleUnderline"/>
        </w:rPr>
        <w:t>It contributes to the governing of ‘life’ by further normalising the</w:t>
      </w:r>
      <w:r>
        <w:rPr>
          <w:rStyle w:val="StyleUnderline"/>
        </w:rPr>
        <w:t xml:space="preserve"> </w:t>
      </w:r>
      <w:r w:rsidRPr="00CF2EF0">
        <w:rPr>
          <w:rStyle w:val="StyleUnderline"/>
        </w:rPr>
        <w:t>genetic dispositif. As already pointed out in the previous chapter, genetic knowledge</w:t>
      </w:r>
      <w:r>
        <w:rPr>
          <w:rStyle w:val="StyleUnderline"/>
        </w:rPr>
        <w:t xml:space="preserve"> </w:t>
      </w:r>
      <w:r w:rsidRPr="00CF2EF0">
        <w:rPr>
          <w:rStyle w:val="StyleUnderline"/>
        </w:rPr>
        <w:t>seamlessly integrates knowledge over the individual and the population within one</w:t>
      </w:r>
      <w:r>
        <w:rPr>
          <w:rStyle w:val="StyleUnderline"/>
        </w:rPr>
        <w:t xml:space="preserve"> </w:t>
      </w:r>
      <w:r w:rsidRPr="00CF2EF0">
        <w:rPr>
          <w:rStyle w:val="StyleUnderline"/>
        </w:rPr>
        <w:t>code. The knowledge and ownership of this code is thus a particularly significant</w:t>
      </w:r>
      <w:r>
        <w:rPr>
          <w:rStyle w:val="StyleUnderline"/>
        </w:rPr>
        <w:t xml:space="preserve"> </w:t>
      </w:r>
      <w:r w:rsidRPr="00CF2EF0">
        <w:rPr>
          <w:rStyle w:val="StyleUnderline"/>
        </w:rPr>
        <w:t>power-effect, crucial for questions of research projects, grants, publications,</w:t>
      </w:r>
      <w:r>
        <w:rPr>
          <w:rStyle w:val="StyleUnderline"/>
        </w:rPr>
        <w:t xml:space="preserve"> </w:t>
      </w:r>
      <w:r w:rsidRPr="00CF2EF0">
        <w:rPr>
          <w:rStyle w:val="StyleUnderline"/>
        </w:rPr>
        <w:t>assessments of profitability, and also for personal insurance, questions of identities,</w:t>
      </w:r>
      <w:r>
        <w:rPr>
          <w:rStyle w:val="StyleUnderline"/>
        </w:rPr>
        <w:t xml:space="preserve"> </w:t>
      </w:r>
      <w:r w:rsidRPr="00CF2EF0">
        <w:rPr>
          <w:rStyle w:val="StyleUnderline"/>
        </w:rPr>
        <w:t>and personal life choices. In the process of this normalisation, IP law also</w:t>
      </w:r>
      <w:r>
        <w:rPr>
          <w:rStyle w:val="StyleUnderline"/>
        </w:rPr>
        <w:t xml:space="preserve"> </w:t>
      </w:r>
      <w:r w:rsidRPr="00CF2EF0">
        <w:rPr>
          <w:rStyle w:val="StyleUnderline"/>
        </w:rPr>
        <w:t>marginalises other competing understandings of life and the role of DNA, such as</w:t>
      </w:r>
      <w:r>
        <w:rPr>
          <w:rStyle w:val="StyleUnderline"/>
        </w:rPr>
        <w:t xml:space="preserve"> </w:t>
      </w:r>
      <w:r w:rsidRPr="00CF2EF0">
        <w:rPr>
          <w:rStyle w:val="StyleUnderline"/>
        </w:rPr>
        <w:t>epigenetics and systems biology (see below). In this way, IP promotes research</w:t>
      </w:r>
      <w:r>
        <w:rPr>
          <w:rStyle w:val="StyleUnderline"/>
        </w:rPr>
        <w:t xml:space="preserve"> </w:t>
      </w:r>
      <w:r w:rsidRPr="00CF2EF0">
        <w:rPr>
          <w:rStyle w:val="StyleUnderline"/>
        </w:rPr>
        <w:t>agendas that generate a type of ‘predictable’ knowledge over life.</w:t>
      </w:r>
    </w:p>
    <w:p w14:paraId="08F30BA6" w14:textId="1BFC59A2" w:rsidR="00FA565D" w:rsidRDefault="00FA565D" w:rsidP="00FA565D">
      <w:pPr>
        <w:pStyle w:val="Heading3"/>
      </w:pPr>
      <w:r>
        <w:t>AT State Good</w:t>
      </w:r>
    </w:p>
    <w:p w14:paraId="6F128A63" w14:textId="77777777" w:rsidR="00FA565D" w:rsidRDefault="00FA565D" w:rsidP="00FA565D">
      <w:pPr>
        <w:pStyle w:val="Heading4"/>
      </w:pPr>
      <w:r>
        <w:t xml:space="preserve">Legalism attempt to simultaneously challenged while also upheld biopolitical framing of activism – ACLU and other lawsuits against biotech only attempt to facilitate and optimize women’s access to biotechnology but still work within the language and framing of the neoliberal bioeconomies. </w:t>
      </w:r>
    </w:p>
    <w:p w14:paraId="3553E2D0" w14:textId="77777777" w:rsidR="00FA565D" w:rsidRPr="006A4805" w:rsidRDefault="00FA565D" w:rsidP="00FA565D">
      <w:r w:rsidRPr="00411D18">
        <w:rPr>
          <w:rStyle w:val="Style13ptBold"/>
        </w:rPr>
        <w:t>Foster 12</w:t>
      </w:r>
      <w:r w:rsidRPr="006A4805">
        <w:t xml:space="preserve"> (Laura A. Foster, assistant professor of gender studies and affiliate faculty of the Maurer School of Law at Indiana University, Bloomington, “Patents, Biopolitics, and Feminisms: Locating Patent Law Struggles over Breast Cancer Genes and the Hoodia Plant”, International Journal of Cultural Property, December 07, 2012, https://doi.org/10.1017/S0940739112000215) VQ</w:t>
      </w:r>
    </w:p>
    <w:p w14:paraId="6E31204C" w14:textId="77777777" w:rsidR="00FA565D" w:rsidRPr="00F81AC8" w:rsidRDefault="00FA565D" w:rsidP="00FA565D">
      <w:pPr>
        <w:rPr>
          <w:u w:val="single"/>
        </w:rPr>
      </w:pPr>
      <w:r w:rsidRPr="00A115FD">
        <w:rPr>
          <w:rStyle w:val="StyleUnderline"/>
        </w:rPr>
        <w:t xml:space="preserve">A coalition composed of the ACLU and several women’s health advocates has launched a powerful and valuable campaign in support of women’s rights to health. Yet, the case provides a limited intervention in support of women’s health because of its </w:t>
      </w:r>
      <w:r w:rsidRPr="00A115FD">
        <w:rPr>
          <w:rStyle w:val="Emphasis"/>
        </w:rPr>
        <w:t>biopolitical framing</w:t>
      </w:r>
      <w:r w:rsidRPr="00A115FD">
        <w:rPr>
          <w:rStyle w:val="StyleUnderline"/>
        </w:rPr>
        <w:t xml:space="preserve"> and appeals for an open public domain</w:t>
      </w:r>
      <w:r w:rsidRPr="006A4805">
        <w:rPr>
          <w:sz w:val="16"/>
        </w:rPr>
        <w:t xml:space="preserve">. Addressing this limitation should not be understood as a criticism of the actors challenging Myriad’s patents. Their work is an important act of feminist solidarity, mobilization, and resistance to the law. Rather, </w:t>
      </w:r>
      <w:r w:rsidRPr="00D074D6">
        <w:rPr>
          <w:rStyle w:val="StyleUnderline"/>
        </w:rPr>
        <w:t>it is a critique aimed at the law’s power to codify dissent into its own language and force oppositional discourses into narrow parameters.</w:t>
      </w:r>
      <w:r w:rsidRPr="006A4805">
        <w:rPr>
          <w:sz w:val="16"/>
        </w:rPr>
        <w:t xml:space="preserve">67 </w:t>
      </w:r>
      <w:r w:rsidRPr="00FC7159">
        <w:rPr>
          <w:rStyle w:val="StyleUnderline"/>
        </w:rPr>
        <w:t xml:space="preserve">The plaintiffs filing the complaint and advocates submitting amicus briefs are thus compelled to make their arguments within an </w:t>
      </w:r>
      <w:r w:rsidRPr="00FC7159">
        <w:rPr>
          <w:rStyle w:val="Emphasis"/>
        </w:rPr>
        <w:t>acceptable language intelligible to the law</w:t>
      </w:r>
      <w:r w:rsidRPr="00FC7159">
        <w:rPr>
          <w:rStyle w:val="StyleUnderline"/>
        </w:rPr>
        <w:t xml:space="preserve">, </w:t>
      </w:r>
      <w:r w:rsidRPr="005C1700">
        <w:rPr>
          <w:rStyle w:val="Emphasis"/>
        </w:rPr>
        <w:t>a language of neoliberal, biopolitics</w:t>
      </w:r>
      <w:r w:rsidRPr="00FC7159">
        <w:rPr>
          <w:rStyle w:val="StyleUnderline"/>
        </w:rPr>
        <w:t xml:space="preserve"> and an open public domain</w:t>
      </w:r>
      <w:r w:rsidRPr="006A4805">
        <w:rPr>
          <w:sz w:val="16"/>
        </w:rPr>
        <w:t xml:space="preserve">. Centered on the metaphor of genes as information, the initial 2009 ACLU complaint argues that Myriad’s BRCA1 and BRCA2 patents restrict the flow of information regarding breast cancer research. Women are prevented from receiving genetic information regarding their susceptibility for the disease because testing can only be done through Myriad laboratories. The complaint points out that many women, particularly women of color, cannot afford the testing. This is because patent law provides Myriad with a temporary monopoly over breast cancer testing involving BRCA1 and BRCA2 genes, allowing Myriad to keep costs high and to be selective in the types of insurance they accept from patients. </w:t>
      </w:r>
      <w:r w:rsidRPr="00D77464">
        <w:rPr>
          <w:rStyle w:val="StyleUnderline"/>
        </w:rPr>
        <w:t>The legal complaint also argues that gene patents restrict information sharing among researchers, precluding them from developing alternative tests. Female patients at risk for breast cancer are unable to obtain more meaningful genetic testing, and female scientists are hindered from doing breast cancer research. Thus, women’s labor and participation (and health) in the bioeconomy is curtailed.</w:t>
      </w:r>
      <w:r w:rsidRPr="006A4805">
        <w:rPr>
          <w:sz w:val="16"/>
        </w:rPr>
        <w:t xml:space="preserve"> The ACLU argues therefore for overturning genetic sequence patents and keeping them in the public domain. BRCA1 and BRCA2 gene sequences should not be patented, and should remain freely available in the public domain for scientific research. Similar arguments are made in the initial amicus briefs filed on behalf of the plaintiffs. A coalition of women’s health advocates assert that gene patents “prevent women at risk for breast cancer and ovarian cancer from obtaining the information they need about their own bodies to take steps to improve their health outcomes, and possibly save their own lives and the lives of their children.”68. Thus, they argue, it is critical that genetic sequence “knowledge and information are maintained in the public domain.”69 </w:t>
      </w:r>
      <w:r w:rsidRPr="000D7765">
        <w:rPr>
          <w:rStyle w:val="StyleUnderline"/>
        </w:rPr>
        <w:t xml:space="preserve">In developing a feminist analysis of patent law, one must think carefully how this case leaves neoliberal, biopolitical values unchallenged. Contemporary biopolitics, as discussed above, obliges women as the primary caretakers to engage in technologies of optimization for themselves and their families. Mechanics of neoliberal, biopolitics argue that patent law is crucial for providing new medical technologies to assist women in the self-management of their health. The ACLU case disputes such claims regarding patent ownership, while </w:t>
      </w:r>
      <w:r w:rsidRPr="000D7765">
        <w:rPr>
          <w:rStyle w:val="Emphasis"/>
        </w:rPr>
        <w:t>leaving biopolitical assumptions intact</w:t>
      </w:r>
      <w:r w:rsidRPr="006A4805">
        <w:rPr>
          <w:sz w:val="16"/>
        </w:rPr>
        <w:t xml:space="preserve">. The ACLU complaint argues that gene sequence patents actually prevent women from making decisions regarding their health and the well-being of their families. Myriad’s patent ownership rights enable the company to maintain a monopoly control over breast cancer research and testing. </w:t>
      </w:r>
      <w:r w:rsidRPr="00C25408">
        <w:rPr>
          <w:rStyle w:val="StyleUnderline"/>
        </w:rPr>
        <w:t xml:space="preserve">Populations of women therefore become regulated differently through legal </w:t>
      </w:r>
      <w:r w:rsidRPr="00C25408">
        <w:rPr>
          <w:rStyle w:val="Emphasis"/>
        </w:rPr>
        <w:t>“technologies of subjection”</w:t>
      </w:r>
      <w:r w:rsidRPr="00C25408">
        <w:rPr>
          <w:rStyle w:val="StyleUnderline"/>
        </w:rPr>
        <w:t xml:space="preserve"> as high costs and insurance restrictions mean that only some women at risk for breast cancer can obtain testing</w:t>
      </w:r>
      <w:r w:rsidRPr="006A4805">
        <w:rPr>
          <w:sz w:val="16"/>
        </w:rPr>
        <w:t xml:space="preserve">.70 The case therefore argues that excluding gene sequences from patentable subject matter and placing them in the public domain would promote women’s right to health by giving them alternative testing technologies and better breast cancer research. </w:t>
      </w:r>
      <w:r w:rsidRPr="00FE5680">
        <w:rPr>
          <w:rStyle w:val="StyleUnderline"/>
        </w:rPr>
        <w:t xml:space="preserve">The case however does not go far enough to challenge the styles of thought driving contemporary bioeconomies. </w:t>
      </w:r>
      <w:r w:rsidRPr="00D40D5C">
        <w:rPr>
          <w:rStyle w:val="Emphasis"/>
        </w:rPr>
        <w:t>The goal of the case is to facilitate women’s access to genetic testing</w:t>
      </w:r>
      <w:r w:rsidRPr="00FE5680">
        <w:rPr>
          <w:rStyle w:val="StyleUnderline"/>
        </w:rPr>
        <w:t>, thus it reinforces biopolitical obligations for women to donate bodily tissues and utilize medical technologies</w:t>
      </w:r>
      <w:r w:rsidRPr="007942A9">
        <w:rPr>
          <w:rStyle w:val="StyleUnderline"/>
        </w:rPr>
        <w:t xml:space="preserve">. Biopolitical values are thus </w:t>
      </w:r>
      <w:r w:rsidRPr="007942A9">
        <w:rPr>
          <w:rStyle w:val="Emphasis"/>
        </w:rPr>
        <w:t>simultaneously challenged, while also being upheld</w:t>
      </w:r>
      <w:r w:rsidRPr="006A4805">
        <w:rPr>
          <w:sz w:val="16"/>
        </w:rPr>
        <w:t xml:space="preserve">. The legal complaint and amicus briefs make it clear that the plaintiffs are not against patents entirely. In fact, they explicitly agree on patents for genetic testing innovations. What they disagree on is patents over DNA sequences. </w:t>
      </w:r>
      <w:r w:rsidRPr="00A5499A">
        <w:rPr>
          <w:rStyle w:val="StyleUnderline"/>
        </w:rPr>
        <w:t>Foundational to their legal claim is an open public domain model, one in which patent ownership is not suspended, but merely temporally deferred. Faith remains in a neoliberal model of free trade and competition.</w:t>
      </w:r>
      <w:r w:rsidRPr="006A4805">
        <w:rPr>
          <w:sz w:val="16"/>
        </w:rPr>
        <w:t xml:space="preserve"> The ACLU engages within an economy of hope, placing their faith in an open public domain where freely accessible BRCA1 and BRCA2 genes will engender research and genetic testing alternatives, while reducing costs and increasing availability for women to receive testing. </w:t>
      </w:r>
      <w:r w:rsidRPr="00A5499A">
        <w:rPr>
          <w:rStyle w:val="StyleUnderline"/>
        </w:rPr>
        <w:t>The foundational assumptions of the case therefore remain within modes of biopolitical governance. Its aim is to give women more testing alternatives, further entrenching women within a field of biopower compelling them to undergo genetic testing and assessing their potentiality as “pre-patients” for breast cancer.</w:t>
      </w:r>
      <w:r w:rsidRPr="006A4805">
        <w:rPr>
          <w:sz w:val="16"/>
        </w:rPr>
        <w:t xml:space="preserve">71 </w:t>
      </w:r>
      <w:r w:rsidRPr="00F81AC8">
        <w:rPr>
          <w:rStyle w:val="StyleUnderline"/>
        </w:rPr>
        <w:t>Ensuring alternative genetic tests for breast cancer is a worthwhile goal</w:t>
      </w:r>
      <w:r w:rsidRPr="006A4805">
        <w:rPr>
          <w:sz w:val="16"/>
        </w:rPr>
        <w:t xml:space="preserve">. Concerns over equality and access to such tests continue to be salient. </w:t>
      </w:r>
      <w:r w:rsidRPr="00F81AC8">
        <w:rPr>
          <w:rStyle w:val="StyleUnderline"/>
        </w:rPr>
        <w:t>Yet, women are</w:t>
      </w:r>
      <w:r>
        <w:rPr>
          <w:rStyle w:val="StyleUnderline"/>
        </w:rPr>
        <w:t xml:space="preserve"> </w:t>
      </w:r>
      <w:r w:rsidRPr="00F81AC8">
        <w:rPr>
          <w:rStyle w:val="StyleUnderline"/>
        </w:rPr>
        <w:t>obliged to seek genetic testing within an inequitable terrain that fails to provide the material resources for all women to receive such testing. It remains unclear if</w:t>
      </w:r>
      <w:r>
        <w:rPr>
          <w:rStyle w:val="StyleUnderline"/>
        </w:rPr>
        <w:t xml:space="preserve"> </w:t>
      </w:r>
      <w:r w:rsidRPr="00F81AC8">
        <w:rPr>
          <w:rStyle w:val="StyleUnderline"/>
        </w:rPr>
        <w:t>testing technologies will in fact materialize once Myriad’s gene patents are invalidated. Even if more testing options do become available, there is uncertainty as to</w:t>
      </w:r>
      <w:r>
        <w:rPr>
          <w:rStyle w:val="StyleUnderline"/>
        </w:rPr>
        <w:t xml:space="preserve"> </w:t>
      </w:r>
      <w:r w:rsidRPr="00F81AC8">
        <w:rPr>
          <w:rStyle w:val="StyleUnderline"/>
        </w:rPr>
        <w:t>whether or not women will have adequate insurance and levels of income to take</w:t>
      </w:r>
      <w:r>
        <w:rPr>
          <w:rStyle w:val="StyleUnderline"/>
        </w:rPr>
        <w:t xml:space="preserve"> </w:t>
      </w:r>
      <w:r w:rsidRPr="00F81AC8">
        <w:rPr>
          <w:rStyle w:val="StyleUnderline"/>
        </w:rPr>
        <w:t>advantage of them. It is also unclear if more testing options will lead to more</w:t>
      </w:r>
      <w:r>
        <w:rPr>
          <w:rStyle w:val="StyleUnderline"/>
        </w:rPr>
        <w:t xml:space="preserve"> </w:t>
      </w:r>
      <w:r w:rsidRPr="00F81AC8">
        <w:rPr>
          <w:rStyle w:val="StyleUnderline"/>
        </w:rPr>
        <w:t>meaningful information for patients and better practices of genetic counseling.</w:t>
      </w:r>
      <w:r>
        <w:rPr>
          <w:rStyle w:val="StyleUnderline"/>
        </w:rPr>
        <w:t xml:space="preserve"> </w:t>
      </w:r>
      <w:r w:rsidRPr="00F81AC8">
        <w:rPr>
          <w:rStyle w:val="StyleUnderline"/>
        </w:rPr>
        <w:t>Neoliberal, biopolitics governs the health of populations through narrowly constrained choices involving limited technologies</w:t>
      </w:r>
      <w:r w:rsidRPr="006A4805">
        <w:rPr>
          <w:sz w:val="16"/>
        </w:rPr>
        <w:t xml:space="preserve">. Resources are devoted to genetic screening, while cancer causing carcinogens remain within the very cleaning products and food supplies women consume on a daily basis. </w:t>
      </w:r>
      <w:r w:rsidRPr="00F81AC8">
        <w:rPr>
          <w:rStyle w:val="StyleUnderline"/>
        </w:rPr>
        <w:t>In other words, Western</w:t>
      </w:r>
      <w:r>
        <w:rPr>
          <w:rStyle w:val="StyleUnderline"/>
        </w:rPr>
        <w:t xml:space="preserve"> </w:t>
      </w:r>
      <w:r w:rsidRPr="00F81AC8">
        <w:rPr>
          <w:rStyle w:val="StyleUnderline"/>
        </w:rPr>
        <w:t>epistemologies of science emphasizing genetic research are upheld through normative scripts of scientific knowledge production, while basic public health initiatives are not prioritized. Therefore the ACLU case, while admirably striving for</w:t>
      </w:r>
      <w:r>
        <w:rPr>
          <w:rStyle w:val="StyleUnderline"/>
        </w:rPr>
        <w:t xml:space="preserve"> </w:t>
      </w:r>
      <w:r w:rsidRPr="00F81AC8">
        <w:rPr>
          <w:rStyle w:val="StyleUnderline"/>
        </w:rPr>
        <w:t>increasing genetic screening technologies, remains within a field of biopolitics regulating women’s bodies and labor within an uneven terrain. Women’s rights to</w:t>
      </w:r>
      <w:r>
        <w:rPr>
          <w:rStyle w:val="StyleUnderline"/>
        </w:rPr>
        <w:t xml:space="preserve"> </w:t>
      </w:r>
      <w:r w:rsidRPr="00F81AC8">
        <w:rPr>
          <w:rStyle w:val="StyleUnderline"/>
        </w:rPr>
        <w:t>health and conditions of labor continue to be constrained.</w:t>
      </w:r>
    </w:p>
    <w:p w14:paraId="36E5DB7B" w14:textId="34772513" w:rsidR="007D6535" w:rsidRDefault="007D6535" w:rsidP="009928A9">
      <w:pPr>
        <w:pStyle w:val="Heading3"/>
      </w:pPr>
      <w:r>
        <w:t>AT TVA – Generic</w:t>
      </w:r>
    </w:p>
    <w:p w14:paraId="7A9B2141" w14:textId="77777777" w:rsidR="007D6535" w:rsidRDefault="007D6535" w:rsidP="007D6535">
      <w:pPr>
        <w:pStyle w:val="Heading4"/>
      </w:pPr>
      <w:r>
        <w:t>The topic’s very theory of property is antithetical to social bonds—biopolitical imperatives break apart via immunitary structuring logics</w:t>
      </w:r>
    </w:p>
    <w:p w14:paraId="2C57B9EB" w14:textId="77777777" w:rsidR="007D6535" w:rsidRDefault="007D6535" w:rsidP="007D6535">
      <w:pPr>
        <w:rPr>
          <w:rStyle w:val="Style13ptBold"/>
        </w:rPr>
      </w:pPr>
      <w:r>
        <w:rPr>
          <w:rStyle w:val="Style13ptBold"/>
        </w:rPr>
        <w:t>Stone 14</w:t>
      </w:r>
    </w:p>
    <w:p w14:paraId="3C84373A" w14:textId="77777777" w:rsidR="007D6535" w:rsidRPr="00723E80" w:rsidRDefault="007D6535" w:rsidP="007D6535">
      <w:r>
        <w:t>Matthew, University of Essex, UK. “Roberto Esposito and the Biopolitics of Property Rights.” Social &amp; Legal Studies 2015, Vol. 24(3) 381–398. LJS</w:t>
      </w:r>
    </w:p>
    <w:p w14:paraId="37477128" w14:textId="77777777" w:rsidR="007D6535" w:rsidRDefault="007D6535" w:rsidP="007D6535">
      <w:pPr>
        <w:rPr>
          <w:sz w:val="16"/>
        </w:rPr>
      </w:pPr>
      <w:r w:rsidRPr="006911DE">
        <w:rPr>
          <w:sz w:val="16"/>
        </w:rPr>
        <w:t xml:space="preserve">The importance of theories of property and the subject for legal theorists tends to be presented as a philosophical justification for legal rights of ownership. If, as many have argued, the structure of subjectivity justifies a particular model of property relations, then the concept of the subject provides a frame of reference by which questions of property rights can be validated or critiqued (consider the way that Locke’s metaphysical position on freedom allows him to analyze the practice of slavery, e.g. Locke, 2003: 109–110). </w:t>
      </w:r>
      <w:r w:rsidRPr="000C073A">
        <w:rPr>
          <w:rStyle w:val="StyleUnderline"/>
        </w:rPr>
        <w:t>Esposito allows us to frame the matter in slightly different terms. His intervention is not so much</w:t>
      </w:r>
      <w:r w:rsidRPr="00D15E51">
        <w:rPr>
          <w:rStyle w:val="StyleUnderline"/>
        </w:rPr>
        <w:t xml:space="preserve"> interested in whether an abstract understanding of subjectivity accords with the</w:t>
      </w:r>
      <w:r>
        <w:rPr>
          <w:rStyle w:val="StyleUnderline"/>
        </w:rPr>
        <w:t xml:space="preserve"> </w:t>
      </w:r>
      <w:r w:rsidRPr="00D15E51">
        <w:rPr>
          <w:rStyle w:val="StyleUnderline"/>
        </w:rPr>
        <w:t xml:space="preserve">reality of private ownership claims but rather in the way in which relationships and processes of ownership within society construct our </w:t>
      </w:r>
      <w:r w:rsidRPr="000C073A">
        <w:rPr>
          <w:rStyle w:val="StyleUnderline"/>
        </w:rPr>
        <w:t>political and legal subjecthood. In other words, one can draw from his approach a reversal in the chain of logic, from the idea of the subject grounding the law of property to the law of property producing some of the constitutive elements of our political and legal embodiment</w:t>
      </w:r>
      <w:r w:rsidRPr="006911DE">
        <w:rPr>
          <w:sz w:val="16"/>
        </w:rPr>
        <w:t xml:space="preserve">. Of course, such an approach demands that we reject the notion of a subject preceding its engagement with property relations. It is therefore a theory that responds to critiques of the likes of Radin, which point out that her analysis fails to fully appreciate the extent to which personal claims to property (e.g. the way in which ownership of housing supports one’s personhood) are already socially determined, thus lending her theory a pervasive conservatism (Schnably, 1993). </w:t>
      </w:r>
      <w:r w:rsidRPr="000C073A">
        <w:rPr>
          <w:rStyle w:val="StyleUnderline"/>
        </w:rPr>
        <w:t>Esposito’s work on biopolitics – principally contained in his three books Communitas (2010), Bios (2008) and Immunitas (2011) – is predicated on a study of a tension within political society, which he traces to the etymology of community.</w:t>
      </w:r>
      <w:r w:rsidRPr="006911DE">
        <w:rPr>
          <w:sz w:val="16"/>
        </w:rPr>
        <w:t xml:space="preserve"> Esposito (2010: 3–4) focuses on the Latin word communitas and its relation to the adjective communis, denoting that which is shared or public, as well as the term munus, which is traceable to the notion of obligation. </w:t>
      </w:r>
      <w:r w:rsidRPr="000C073A">
        <w:rPr>
          <w:rStyle w:val="StyleUnderline"/>
        </w:rPr>
        <w:t>His philosophical starting point with community is therefore its ideational heritage. He begins tracing this lineage by describing a collective bound not by a positive unifying element but by an unreciprocated duty or debt. In drawing out the philosophical implications of this association of community and debt, Esposito avoids the familiar Hobbesean and Hegelian configurations of polity and identity. This constitutive duty is not the rationalization of community’s incorporation into a sovereign, nor a process of intersubjective self-realization. Instead, duty delineates lack because it is precisely pure duty, that is, what is given is not to be replenished through contractual reciprocity or reconciled within an economy of exchange. Community is instead determined by alterity, because it is founded not on reciprocal rights and entitlements but on non- reciprocal duties to others.</w:t>
      </w:r>
      <w:r w:rsidRPr="006911DE">
        <w:rPr>
          <w:sz w:val="16"/>
        </w:rPr>
        <w:t xml:space="preserve"> Community does not grant the subject autonomy and identity, but instead ‘that void, that distance, that extraneousness that constitutes them as being missing from themselves’ (Esposito, 2010: 7). Here, the subject is not moulded and protected but is displaced at its very inception. </w:t>
      </w:r>
      <w:r w:rsidRPr="000C073A">
        <w:rPr>
          <w:rStyle w:val="StyleUnderline"/>
        </w:rPr>
        <w:t>So any basis of the proprietary subject, and thus of property itself, is decentred in the radical impropriety of community, its underlying lack of property and possession</w:t>
      </w:r>
      <w:r w:rsidRPr="006911DE">
        <w:rPr>
          <w:sz w:val="16"/>
        </w:rPr>
        <w:t xml:space="preserve"> (Esposito, 2010: 6–7). </w:t>
      </w:r>
      <w:r w:rsidRPr="000C073A">
        <w:rPr>
          <w:rStyle w:val="StyleUnderline"/>
        </w:rPr>
        <w:t>This is not, however, a romantic picture of community. It is unstable and uncertain. The impropriety of community denotes danger, as without proprietary boundaries the subject is vulnerable to its own dissolution, ‘the idea of community is felt as a risk, a threat to the individual identity of the subject’</w:t>
      </w:r>
      <w:r w:rsidRPr="006911DE">
        <w:rPr>
          <w:sz w:val="16"/>
        </w:rPr>
        <w:t xml:space="preserve"> (Esposito, 2013: 49). Esposito proceeds to identify the response to this tendency towards disintegration and does so with a sustained study of communitas’ negative, that is, immunitas. </w:t>
      </w:r>
      <w:r w:rsidRPr="000C073A">
        <w:rPr>
          <w:rStyle w:val="StyleUnderline"/>
        </w:rPr>
        <w:t>Immunitas refers to a protective structure that exhibits precisely the opposite characteristics of communitas, such as autonomy, determinacy and independence. Many of the features of modern political and legal philosophy can be seen as expressions of immunitas. The rule of law, the ascen- dance of the individual and the rationality of sovereignty are all expressions of a protective immunitary logic predicated on the absence of constitutive debt or duty</w:t>
      </w:r>
      <w:r w:rsidRPr="006911DE">
        <w:rPr>
          <w:sz w:val="16"/>
        </w:rPr>
        <w:t xml:space="preserve">. This does not entail the addition of protective apparatuses being assembled ‘on top’ of community but instead a contortion of the structure of community itself, whereby it constitutes itself by incorporating the characteristics of its own negative (Esposito, 2008: 52). </w:t>
      </w:r>
      <w:r w:rsidRPr="000C073A">
        <w:rPr>
          <w:rStyle w:val="StyleUnderline"/>
        </w:rPr>
        <w:t>There is, therefore, a curious structure of constitutive self-reference here, in which an entity expresses its own opposite as a way of solidifying its autonomy and ensuring that its identity is not determined extrinsically</w:t>
      </w:r>
      <w:r w:rsidRPr="006911DE">
        <w:rPr>
          <w:sz w:val="16"/>
        </w:rPr>
        <w:t xml:space="preserve">. For example, to take sovereignty as a paradigmatic example of a modern political con- cept carrying an immunitary function, one can appreciate that its underlying essence and purpose as a concept is as the entity that owes nothing, that is not determined by or depen- dent upon something other. </w:t>
      </w:r>
      <w:r w:rsidRPr="000C073A">
        <w:rPr>
          <w:rStyle w:val="StyleUnderline"/>
        </w:rPr>
        <w:t>Moreover, the function of sovereignty is to preserve (natural) life against its inevitable self-destruction by separating out a transcendent, constitutive site of its negative, the (political) sovereign, thus constituting the modern state</w:t>
      </w:r>
      <w:r w:rsidRPr="006911DE">
        <w:rPr>
          <w:sz w:val="16"/>
        </w:rPr>
        <w:t xml:space="preserve"> (Esposito, 2008: 58). We can therefore understand Esposito’s (2011: 9) seemingly counterintuitive claim that ‘immunity constitutes or reconstitutes community precisely by negating it’. As well as operating at the level of the state, the same logic is also apparent in the modern rights-bearing individual (Esposito, 2011: 24). 4 The structure of the legal subject enables it to be situated in society in a manner that is distinctly self-referential; the individual is constituted by the rights that entrench his/her autonomy and at the same time the individual is doubled back such that he/she can possess those rights. In other words, it is constituted precisely by the fold between a subjective element that exercises ‘dominium’ over its objective counterpart (Esposito, 2012: 11). </w:t>
      </w:r>
      <w:r w:rsidRPr="0061748B">
        <w:rPr>
          <w:rStyle w:val="StyleUnderline"/>
        </w:rPr>
        <w:t>This immunitary logic manages</w:t>
      </w:r>
      <w:r>
        <w:rPr>
          <w:rStyle w:val="StyleUnderline"/>
        </w:rPr>
        <w:t xml:space="preserve"> </w:t>
      </w:r>
      <w:r w:rsidRPr="0061748B">
        <w:rPr>
          <w:rStyle w:val="StyleUnderline"/>
        </w:rPr>
        <w:t>to empty the property–subjectivity relation of any sort of constitutive duty</w:t>
      </w:r>
      <w:r w:rsidRPr="006911DE">
        <w:rPr>
          <w:sz w:val="16"/>
        </w:rPr>
        <w:t xml:space="preserve">. It is here that we begin to encounter the crucial significance of property to modern, immunitary politics, and in particular, one sees a clear reflection of Locke. Along with sovereignty and liberty, property is a key category that embodies an immunitary logic within modern political philosophy. In fact, it plays a special role in this respect, as it signals the location of immunitary principle internally within the subject itself. </w:t>
      </w:r>
      <w:r w:rsidRPr="00723E80">
        <w:rPr>
          <w:rStyle w:val="StyleUnderline"/>
        </w:rPr>
        <w:t>This immunitary subject is determined by its folding back over itself, that is, its capacity to ‘own’ itself and consequently to fortify its sense of self through the ownership of exterior objects. Furthermore, just as sovereignty allows a political community to isolate itself from its outside, property allows the individual to isolate himself/herself from other people</w:t>
      </w:r>
      <w:r w:rsidRPr="006911DE">
        <w:rPr>
          <w:sz w:val="16"/>
        </w:rPr>
        <w:t xml:space="preserve">. This claim is not merely empirical, in the sense that private property holdings physically separate us from each other but is, moreover, ontological. The logic of prop- erty allows the subject to understand itself as its own autonomous entity. Whilst this conflation of ‘being and having’5 articulates a broadly Lockean variant of property rights, an inversion of part of Locke’s logic must be noted. Whereas </w:t>
      </w:r>
      <w:r w:rsidRPr="000835C1">
        <w:rPr>
          <w:rStyle w:val="StyleUnderline"/>
        </w:rPr>
        <w:t>in Locke,</w:t>
      </w:r>
      <w:r>
        <w:rPr>
          <w:rStyle w:val="StyleUnderline"/>
        </w:rPr>
        <w:t xml:space="preserve"> </w:t>
      </w:r>
      <w:r w:rsidRPr="000835C1">
        <w:rPr>
          <w:rStyle w:val="StyleUnderline"/>
        </w:rPr>
        <w:t>the privatization of property is a natural consequence of the subject’s autonomy, what is</w:t>
      </w:r>
      <w:r>
        <w:rPr>
          <w:rStyle w:val="StyleUnderline"/>
        </w:rPr>
        <w:t xml:space="preserve"> </w:t>
      </w:r>
      <w:r w:rsidRPr="000835C1">
        <w:rPr>
          <w:rStyle w:val="StyleUnderline"/>
        </w:rPr>
        <w:t>clear from Esposito’s analysis is a reversal of these terms: the subject is an effect of prop-</w:t>
      </w:r>
      <w:r>
        <w:rPr>
          <w:rStyle w:val="StyleUnderline"/>
        </w:rPr>
        <w:t xml:space="preserve"> </w:t>
      </w:r>
      <w:r w:rsidRPr="000835C1">
        <w:rPr>
          <w:rStyle w:val="StyleUnderline"/>
        </w:rPr>
        <w:t xml:space="preserve">erty. It is the immunitary logic of </w:t>
      </w:r>
      <w:r w:rsidRPr="000835C1">
        <w:rPr>
          <w:rStyle w:val="Emphasis"/>
        </w:rPr>
        <w:t>private property</w:t>
      </w:r>
      <w:r w:rsidRPr="000835C1">
        <w:rPr>
          <w:rStyle w:val="StyleUnderline"/>
        </w:rPr>
        <w:t xml:space="preserve"> that </w:t>
      </w:r>
      <w:r w:rsidRPr="000835C1">
        <w:rPr>
          <w:rStyle w:val="Emphasis"/>
        </w:rPr>
        <w:t>separates</w:t>
      </w:r>
      <w:r w:rsidRPr="000835C1">
        <w:rPr>
          <w:rStyle w:val="StyleUnderline"/>
        </w:rPr>
        <w:t xml:space="preserve"> the individual and</w:t>
      </w:r>
      <w:r>
        <w:rPr>
          <w:rStyle w:val="StyleUnderline"/>
        </w:rPr>
        <w:t xml:space="preserve"> </w:t>
      </w:r>
      <w:r w:rsidRPr="000835C1">
        <w:rPr>
          <w:rStyle w:val="StyleUnderline"/>
        </w:rPr>
        <w:t xml:space="preserve">allows for the experience of </w:t>
      </w:r>
      <w:r w:rsidRPr="000835C1">
        <w:rPr>
          <w:rStyle w:val="Emphasis"/>
        </w:rPr>
        <w:t>freedom and selfhood</w:t>
      </w:r>
      <w:r w:rsidRPr="000835C1">
        <w:rPr>
          <w:rStyle w:val="StyleUnderline"/>
        </w:rPr>
        <w:t>.</w:t>
      </w:r>
      <w:r w:rsidRPr="006911DE">
        <w:rPr>
          <w:sz w:val="16"/>
        </w:rPr>
        <w:t xml:space="preserve"> Describing subjectivity through empty tautologies such as ‘I am myself’ is symptomatic of subjectivity being constructed through subject and object, person and thing, at once. It is also important to understand that these immunitary practices do not exist to replace prior expressions of the munus. </w:t>
      </w:r>
      <w:r w:rsidRPr="000835C1">
        <w:rPr>
          <w:rStyle w:val="StyleUnderline"/>
        </w:rPr>
        <w:t xml:space="preserve">Immunization is </w:t>
      </w:r>
      <w:r w:rsidRPr="00723E80">
        <w:rPr>
          <w:rStyle w:val="StyleUnderline"/>
        </w:rPr>
        <w:t xml:space="preserve">instead a protection of community from its own dissolution, ‘preserv[ing] it through the negation of its original horizon of sense’ (Esposito, 2008: 52). What unifies the immunized community is common separation, resulting from the </w:t>
      </w:r>
      <w:r w:rsidRPr="00723E80">
        <w:rPr>
          <w:rStyle w:val="Emphasis"/>
        </w:rPr>
        <w:t>law’s general protection</w:t>
      </w:r>
      <w:r w:rsidRPr="000835C1">
        <w:rPr>
          <w:rStyle w:val="Emphasis"/>
        </w:rPr>
        <w:t xml:space="preserve"> of individuals’ possessive capacity, whether exercised over their intangible rights or, by extension, their </w:t>
      </w:r>
      <w:r w:rsidRPr="00723E80">
        <w:rPr>
          <w:rStyle w:val="Emphasis"/>
        </w:rPr>
        <w:t>material property</w:t>
      </w:r>
      <w:r w:rsidRPr="006911DE">
        <w:rPr>
          <w:sz w:val="16"/>
        </w:rPr>
        <w:t xml:space="preserve"> (Esposito, 2011: 25). Finally, whilst this split structure of the subject is posited as essential to modernity (Esposito, 2008: 55), it is important to understand that its exis- tence is by no means exclusive to the period. For instance, in his recent work, Third Per- son, Esposito (2012: 76) traces the Christian and Roman origins of a notion of personhood defined by ‘the irreducible difference that separates the living being from itself’. What is particular to modernity, however, is the ascendance of immunitary mechanisms to the centre of political and legal ideas. </w:t>
      </w:r>
    </w:p>
    <w:p w14:paraId="4C41AB73" w14:textId="7E5377F2" w:rsidR="007D6535" w:rsidRDefault="007D6535" w:rsidP="009928A9">
      <w:pPr>
        <w:pStyle w:val="Heading3"/>
      </w:pPr>
      <w:r>
        <w:t>AT TVA – Injunctions</w:t>
      </w:r>
    </w:p>
    <w:p w14:paraId="64330B0E" w14:textId="77777777" w:rsidR="007D6535" w:rsidRPr="007D6535" w:rsidRDefault="007D6535" w:rsidP="007D6535"/>
    <w:p w14:paraId="0777F3C2" w14:textId="77777777" w:rsidR="007D6535" w:rsidRDefault="007D6535" w:rsidP="007D6535">
      <w:pPr>
        <w:pStyle w:val="Heading4"/>
      </w:pPr>
      <w:r>
        <w:t>Injunctions are a biopolitical tool—they govern at a distance by getting citizens to discipline themselves</w:t>
      </w:r>
    </w:p>
    <w:p w14:paraId="1FCF03E3" w14:textId="77777777" w:rsidR="007D6535" w:rsidRPr="006A4805" w:rsidRDefault="007D6535" w:rsidP="007D6535">
      <w:pPr>
        <w:rPr>
          <w:rStyle w:val="Style13ptBold"/>
        </w:rPr>
      </w:pPr>
      <w:r w:rsidRPr="006A4805">
        <w:rPr>
          <w:rStyle w:val="Style13ptBold"/>
        </w:rPr>
        <w:t>Hilberg 15</w:t>
      </w:r>
    </w:p>
    <w:p w14:paraId="63D4EDF6" w14:textId="77777777" w:rsidR="007D6535" w:rsidRPr="006A4805" w:rsidRDefault="007D6535" w:rsidP="007D6535">
      <w:r w:rsidRPr="006A4805">
        <w:t xml:space="preserve">Eva, phD candidate at the University of Sussex. “Intellectual Property and the Genetic Dispositif of Life: The Changing Role of Intellectual Property Law in Governing Participation and Knowledge in the Bioeconomy.” Submitted for the Degree of Doctor of Philosophy University of Sussex, May 2015. Pp </w:t>
      </w:r>
      <w:r>
        <w:t>141-144</w:t>
      </w:r>
      <w:r w:rsidRPr="006A4805">
        <w:t>. LJS</w:t>
      </w:r>
    </w:p>
    <w:p w14:paraId="7AB9CFAE" w14:textId="77777777" w:rsidR="007D6535" w:rsidRPr="006D16ED" w:rsidRDefault="007D6535" w:rsidP="007D6535">
      <w:pPr>
        <w:rPr>
          <w:sz w:val="16"/>
        </w:rPr>
      </w:pPr>
      <w:r w:rsidRPr="006D16ED">
        <w:rPr>
          <w:sz w:val="16"/>
        </w:rPr>
        <w:t xml:space="preserve">Kerr points out that rights and obligations are already contained within the concept of citizenship, understanding “citizenship as a set of inter-linked processes of inclusion and exclusion of individuals based on the allocation of entitlements, obligations and immunities, which depend upon notions of their contribution to society” (Kerr 2003a, 45). </w:t>
      </w:r>
      <w:r w:rsidRPr="00F37505">
        <w:rPr>
          <w:rStyle w:val="StyleUnderline"/>
        </w:rPr>
        <w:t>However, participatory rights are not the same for experts and citizens. Experts</w:t>
      </w:r>
      <w:r>
        <w:rPr>
          <w:rStyle w:val="StyleUnderline"/>
        </w:rPr>
        <w:t xml:space="preserve"> </w:t>
      </w:r>
      <w:r w:rsidRPr="00F37505">
        <w:rPr>
          <w:rStyle w:val="StyleUnderline"/>
        </w:rPr>
        <w:t>are involved in patients’ decision-making on the personal level (with regards to</w:t>
      </w:r>
      <w:r>
        <w:rPr>
          <w:rStyle w:val="StyleUnderline"/>
        </w:rPr>
        <w:t xml:space="preserve"> </w:t>
      </w:r>
      <w:r w:rsidRPr="00F37505">
        <w:rPr>
          <w:rStyle w:val="StyleUnderline"/>
        </w:rPr>
        <w:t>genetic testing or participation in biobanks) and also contribute to policy-making. In</w:t>
      </w:r>
      <w:r>
        <w:rPr>
          <w:rStyle w:val="StyleUnderline"/>
        </w:rPr>
        <w:t xml:space="preserve"> </w:t>
      </w:r>
      <w:r w:rsidRPr="00F37505">
        <w:rPr>
          <w:rStyle w:val="StyleUnderline"/>
        </w:rPr>
        <w:t>contrast, patients or citizens “are not considered to be sufficiently competent to make</w:t>
      </w:r>
      <w:r>
        <w:rPr>
          <w:rStyle w:val="StyleUnderline"/>
        </w:rPr>
        <w:t xml:space="preserve"> </w:t>
      </w:r>
      <w:r w:rsidRPr="00F37505">
        <w:rPr>
          <w:rStyle w:val="StyleUnderline"/>
        </w:rPr>
        <w:t>a significant contribution to this [policy-making] process. Their rights in this arena are</w:t>
      </w:r>
      <w:r>
        <w:rPr>
          <w:rStyle w:val="StyleUnderline"/>
        </w:rPr>
        <w:t xml:space="preserve"> </w:t>
      </w:r>
      <w:r w:rsidRPr="00F37505">
        <w:rPr>
          <w:rStyle w:val="StyleUnderline"/>
        </w:rPr>
        <w:t>therefore limited, but their responsibilities for self-education and self-surveillance</w:t>
      </w:r>
      <w:r>
        <w:rPr>
          <w:rStyle w:val="StyleUnderline"/>
        </w:rPr>
        <w:t xml:space="preserve"> </w:t>
      </w:r>
      <w:r w:rsidRPr="00F37505">
        <w:rPr>
          <w:rStyle w:val="StyleUnderline"/>
        </w:rPr>
        <w:t>remain”</w:t>
      </w:r>
      <w:r w:rsidRPr="006D16ED">
        <w:rPr>
          <w:sz w:val="16"/>
        </w:rPr>
        <w:t xml:space="preserve"> (Kerr 2003b, 221). This division between citizens and experts can be seen for example in the structures of UK Biobank, in which the role of the citizen was set up as “one of self-surveillance and information provision to clinicians rather than as members of any independent overseeing body” (Ibid., 218; see also discussion in Dickenson 2013, 187). In contrast, some other governments consult citizens, for example for Denmark’s biobank or in EU policy making, where patients “help [...] formulate research and ethics policy” (Heath, Rapp, and Taussig 2004, 165; see also discussion at the beginning of this chapter). </w:t>
      </w:r>
      <w:r w:rsidRPr="00F37505">
        <w:rPr>
          <w:rStyle w:val="StyleUnderline"/>
        </w:rPr>
        <w:t>At best, the involvement of patients/ citizens</w:t>
      </w:r>
      <w:r>
        <w:rPr>
          <w:rStyle w:val="StyleUnderline"/>
        </w:rPr>
        <w:t xml:space="preserve"> </w:t>
      </w:r>
      <w:r w:rsidRPr="00F37505">
        <w:rPr>
          <w:rStyle w:val="StyleUnderline"/>
        </w:rPr>
        <w:t>stretches towards this consultative role, while their general responsibilities have</w:t>
      </w:r>
      <w:r>
        <w:rPr>
          <w:rStyle w:val="StyleUnderline"/>
        </w:rPr>
        <w:t xml:space="preserve"> </w:t>
      </w:r>
      <w:r w:rsidRPr="00F37505">
        <w:rPr>
          <w:rStyle w:val="StyleUnderline"/>
        </w:rPr>
        <w:t>increased, including self-surveillance, involvement in research activities, and the</w:t>
      </w:r>
      <w:r>
        <w:rPr>
          <w:rStyle w:val="StyleUnderline"/>
        </w:rPr>
        <w:t xml:space="preserve"> </w:t>
      </w:r>
      <w:r w:rsidRPr="00F37505">
        <w:rPr>
          <w:rStyle w:val="StyleUnderline"/>
        </w:rPr>
        <w:t>donation of information and samples. The divide between the role of the citizen and</w:t>
      </w:r>
      <w:r>
        <w:rPr>
          <w:rStyle w:val="StyleUnderline"/>
        </w:rPr>
        <w:t xml:space="preserve"> </w:t>
      </w:r>
      <w:r w:rsidRPr="00F37505">
        <w:rPr>
          <w:rStyle w:val="StyleUnderline"/>
        </w:rPr>
        <w:t>the realm of science and the bioeconomy is maintained by institutionalised specialist</w:t>
      </w:r>
      <w:r>
        <w:rPr>
          <w:rStyle w:val="StyleUnderline"/>
        </w:rPr>
        <w:t xml:space="preserve"> </w:t>
      </w:r>
      <w:r w:rsidRPr="00F37505">
        <w:rPr>
          <w:rStyle w:val="StyleUnderline"/>
        </w:rPr>
        <w:t>knowledge, in spite of patients’ increased expertise of their own conditions.</w:t>
      </w:r>
      <w:r>
        <w:rPr>
          <w:rStyle w:val="StyleUnderline"/>
        </w:rPr>
        <w:t xml:space="preserve"> </w:t>
      </w:r>
      <w:r w:rsidRPr="006D16ED">
        <w:rPr>
          <w:sz w:val="16"/>
        </w:rPr>
        <w:t xml:space="preserve">Rose and Miller point to the constitutive role of expertise in “advanced liberalism”, where they enable the economy of governing as little as necessary by maintaining the public/private divide (N. Rose 1993; Miller and Rose 2008). In this, experts fulfill a double function: on the one hand “[experts] would ally themselves with political authorities [...] translating political concerns [...] into the vocabulary of management, accounting, medicine [...]”, while also “[o]n the other hand, they would seek to form alliances with individuals themselves, translating their daily worries [...] into a language claiming the power of truth, and offering to teach them the techniques by which they might manage better [...]” (N. Rose and Miller 2010, 206). </w:t>
      </w:r>
      <w:r w:rsidRPr="006D16ED">
        <w:rPr>
          <w:rStyle w:val="StyleUnderline"/>
        </w:rPr>
        <w:t>The</w:t>
      </w:r>
      <w:r>
        <w:rPr>
          <w:rStyle w:val="StyleUnderline"/>
        </w:rPr>
        <w:t xml:space="preserve"> </w:t>
      </w:r>
      <w:r w:rsidRPr="006D16ED">
        <w:rPr>
          <w:rStyle w:val="StyleUnderline"/>
        </w:rPr>
        <w:t>discussion in the previous section on the subversive potential of biopolitical</w:t>
      </w:r>
      <w:r>
        <w:rPr>
          <w:rStyle w:val="StyleUnderline"/>
        </w:rPr>
        <w:t xml:space="preserve"> </w:t>
      </w:r>
      <w:r w:rsidRPr="006D16ED">
        <w:rPr>
          <w:rStyle w:val="StyleUnderline"/>
        </w:rPr>
        <w:t>challenges showed that this use of the language of truth can contain the potential for</w:t>
      </w:r>
      <w:r>
        <w:rPr>
          <w:rStyle w:val="StyleUnderline"/>
        </w:rPr>
        <w:t xml:space="preserve"> </w:t>
      </w:r>
      <w:r w:rsidRPr="006D16ED">
        <w:rPr>
          <w:rStyle w:val="StyleUnderline"/>
        </w:rPr>
        <w:t>challenge to the political discourse, but it also instils “self-regulatory techniques [...]</w:t>
      </w:r>
      <w:r>
        <w:rPr>
          <w:rStyle w:val="StyleUnderline"/>
        </w:rPr>
        <w:t xml:space="preserve"> </w:t>
      </w:r>
      <w:r w:rsidRPr="006D16ED">
        <w:rPr>
          <w:rStyle w:val="StyleUnderline"/>
        </w:rPr>
        <w:t>in citizens that will align their personal choices with the ends of government”</w:t>
      </w:r>
      <w:r w:rsidRPr="006D16ED">
        <w:rPr>
          <w:sz w:val="16"/>
        </w:rPr>
        <w:t xml:space="preserve"> (Ibid.). </w:t>
      </w:r>
      <w:r w:rsidRPr="006D16ED">
        <w:rPr>
          <w:rStyle w:val="StyleUnderline"/>
        </w:rPr>
        <w:t>As the previous chapter argued, IP normalises specialist knowledge and</w:t>
      </w:r>
      <w:r>
        <w:rPr>
          <w:rStyle w:val="StyleUnderline"/>
        </w:rPr>
        <w:t xml:space="preserve"> </w:t>
      </w:r>
      <w:r w:rsidRPr="006D16ED">
        <w:rPr>
          <w:rStyle w:val="StyleUnderline"/>
        </w:rPr>
        <w:t>elevates a particular vision of life over other, more complex versions. In addition to</w:t>
      </w:r>
      <w:r>
        <w:rPr>
          <w:rStyle w:val="StyleUnderline"/>
        </w:rPr>
        <w:t xml:space="preserve"> </w:t>
      </w:r>
      <w:r w:rsidRPr="006D16ED">
        <w:rPr>
          <w:rStyle w:val="StyleUnderline"/>
        </w:rPr>
        <w:t>this, the area of IP law needs to be understood as a very specialist area of knowledge</w:t>
      </w:r>
      <w:r>
        <w:rPr>
          <w:rStyle w:val="StyleUnderline"/>
        </w:rPr>
        <w:t xml:space="preserve"> </w:t>
      </w:r>
      <w:r w:rsidRPr="006D16ED">
        <w:rPr>
          <w:rStyle w:val="StyleUnderline"/>
        </w:rPr>
        <w:t>itself, which has high entry barriers contained in specialist legal knowledge of IP</w:t>
      </w:r>
      <w:r>
        <w:rPr>
          <w:rStyle w:val="StyleUnderline"/>
        </w:rPr>
        <w:t xml:space="preserve"> </w:t>
      </w:r>
      <w:r w:rsidRPr="006D16ED">
        <w:rPr>
          <w:rStyle w:val="StyleUnderline"/>
        </w:rPr>
        <w:t>procedures and in high costs for registration and enforcement of rights</w:t>
      </w:r>
      <w:r w:rsidRPr="006D16ED">
        <w:rPr>
          <w:sz w:val="16"/>
        </w:rPr>
        <w:t xml:space="preserve">. These requirements make it necessary for IP holders to be highly organised and to have sufficient funds for the maintenance of their rights. Specialist lawyers are often required for the actual registration procedure of IPRs – which, in a similar way to medical experts, translate the applications of individuals “into a language claiming the power of truth” and also work with authorities overseeing the area of IP policy, translating policy preferences into the language of IP management. </w:t>
      </w:r>
      <w:r w:rsidRPr="006D16ED">
        <w:rPr>
          <w:rStyle w:val="StyleUnderline"/>
        </w:rPr>
        <w:t>These structures</w:t>
      </w:r>
      <w:r>
        <w:rPr>
          <w:rStyle w:val="StyleUnderline"/>
        </w:rPr>
        <w:t xml:space="preserve"> </w:t>
      </w:r>
      <w:r w:rsidRPr="006D16ED">
        <w:rPr>
          <w:rStyle w:val="StyleUnderline"/>
        </w:rPr>
        <w:t>align choices over directions of research with the ends of the IP system – through</w:t>
      </w:r>
      <w:r>
        <w:rPr>
          <w:rStyle w:val="StyleUnderline"/>
        </w:rPr>
        <w:t xml:space="preserve"> </w:t>
      </w:r>
      <w:r w:rsidRPr="006D16ED">
        <w:rPr>
          <w:rStyle w:val="StyleUnderline"/>
        </w:rPr>
        <w:t>“self-regulatory techniques” incited by patentability criteria. These criteria ensure the</w:t>
      </w:r>
      <w:r>
        <w:rPr>
          <w:rStyle w:val="StyleUnderline"/>
        </w:rPr>
        <w:t xml:space="preserve"> </w:t>
      </w:r>
      <w:r w:rsidRPr="006D16ED">
        <w:rPr>
          <w:rStyle w:val="StyleUnderline"/>
        </w:rPr>
        <w:t>economic utility of research outcomes and enable IP to “govern at a distance”.</w:t>
      </w:r>
      <w:r>
        <w:rPr>
          <w:rStyle w:val="StyleUnderline"/>
        </w:rPr>
        <w:t xml:space="preserve"> </w:t>
      </w:r>
      <w:r w:rsidRPr="006D16ED">
        <w:rPr>
          <w:rStyle w:val="StyleUnderline"/>
        </w:rPr>
        <w:t>The specialist area of IPRs thus can be understood as fulfilling the function of</w:t>
      </w:r>
      <w:r>
        <w:rPr>
          <w:rStyle w:val="StyleUnderline"/>
        </w:rPr>
        <w:t xml:space="preserve"> </w:t>
      </w:r>
      <w:r w:rsidRPr="006D16ED">
        <w:rPr>
          <w:rStyle w:val="StyleUnderline"/>
        </w:rPr>
        <w:t>experts in the governing of the problematization of life, translating concerns and</w:t>
      </w:r>
      <w:r>
        <w:rPr>
          <w:rStyle w:val="StyleUnderline"/>
        </w:rPr>
        <w:t xml:space="preserve"> </w:t>
      </w:r>
      <w:r w:rsidRPr="006D16ED">
        <w:rPr>
          <w:rStyle w:val="StyleUnderline"/>
        </w:rPr>
        <w:t>inciting appropriate behaviour of subjects. In this, IPRs are also instrumental in</w:t>
      </w:r>
      <w:r>
        <w:rPr>
          <w:rStyle w:val="StyleUnderline"/>
        </w:rPr>
        <w:t xml:space="preserve"> </w:t>
      </w:r>
      <w:r w:rsidRPr="006D16ED">
        <w:rPr>
          <w:rStyle w:val="StyleUnderline"/>
        </w:rPr>
        <w:t>maintaining the division between the public area of direct government intervention,</w:t>
      </w:r>
      <w:r>
        <w:rPr>
          <w:rStyle w:val="StyleUnderline"/>
        </w:rPr>
        <w:t xml:space="preserve"> </w:t>
      </w:r>
      <w:r w:rsidRPr="006D16ED">
        <w:rPr>
          <w:rStyle w:val="StyleUnderline"/>
        </w:rPr>
        <w:t>and the private area in which the priorities of governmentality “govern at a distance”.</w:t>
      </w:r>
      <w:r>
        <w:rPr>
          <w:rStyle w:val="StyleUnderline"/>
        </w:rPr>
        <w:t xml:space="preserve"> </w:t>
      </w:r>
      <w:r w:rsidRPr="006D16ED">
        <w:rPr>
          <w:sz w:val="16"/>
        </w:rPr>
        <w:t xml:space="preserve">Criteria for economic utility of research conduct the conduct of IP holders. </w:t>
      </w:r>
      <w:r w:rsidRPr="006D16ED">
        <w:rPr>
          <w:rStyle w:val="StyleUnderline"/>
        </w:rPr>
        <w:t>But</w:t>
      </w:r>
      <w:r>
        <w:rPr>
          <w:rStyle w:val="StyleUnderline"/>
        </w:rPr>
        <w:t xml:space="preserve"> </w:t>
      </w:r>
      <w:r w:rsidRPr="006D16ED">
        <w:rPr>
          <w:rStyle w:val="StyleUnderline"/>
        </w:rPr>
        <w:t>importantly, the high hurdles for participation in the IP regime towards all other</w:t>
      </w:r>
      <w:r>
        <w:rPr>
          <w:rStyle w:val="StyleUnderline"/>
        </w:rPr>
        <w:t xml:space="preserve"> </w:t>
      </w:r>
      <w:r w:rsidRPr="006D16ED">
        <w:rPr>
          <w:rStyle w:val="StyleUnderline"/>
        </w:rPr>
        <w:t>subjects need to be understood as part IP’s governing of life as well. Examples of</w:t>
      </w:r>
      <w:r>
        <w:rPr>
          <w:rStyle w:val="StyleUnderline"/>
        </w:rPr>
        <w:t xml:space="preserve"> </w:t>
      </w:r>
      <w:r w:rsidRPr="006D16ED">
        <w:rPr>
          <w:rStyle w:val="StyleUnderline"/>
        </w:rPr>
        <w:t>challenges by active “biological citizens” show that they are either given the option of</w:t>
      </w:r>
      <w:r>
        <w:rPr>
          <w:rStyle w:val="StyleUnderline"/>
        </w:rPr>
        <w:t xml:space="preserve"> </w:t>
      </w:r>
      <w:r w:rsidRPr="006D16ED">
        <w:rPr>
          <w:rStyle w:val="StyleUnderline"/>
        </w:rPr>
        <w:t>using IP themselves (as in the case of PXE), or of participating in a research project by signing a blanket consent form transferring all rights – and thus being entirely</w:t>
      </w:r>
      <w:r>
        <w:rPr>
          <w:rStyle w:val="StyleUnderline"/>
        </w:rPr>
        <w:t xml:space="preserve"> </w:t>
      </w:r>
      <w:r w:rsidRPr="006D16ED">
        <w:rPr>
          <w:rStyle w:val="StyleUnderline"/>
        </w:rPr>
        <w:t>excluded from IP</w:t>
      </w:r>
      <w:r w:rsidRPr="006D16ED">
        <w:rPr>
          <w:sz w:val="16"/>
        </w:rPr>
        <w:t xml:space="preserve">. In this way, IP continues to structure the participation of “active” patients in decisions on the further use of information derived from their donation, especially for economic purposes – thus shielding this area from challenges posed by active citizens who may seek to use genetic information for other purposes. </w:t>
      </w:r>
      <w:r w:rsidRPr="006D16ED">
        <w:rPr>
          <w:rStyle w:val="StyleUnderline"/>
        </w:rPr>
        <w:t>This is</w:t>
      </w:r>
      <w:r>
        <w:rPr>
          <w:rStyle w:val="StyleUnderline"/>
        </w:rPr>
        <w:t xml:space="preserve"> </w:t>
      </w:r>
      <w:r w:rsidRPr="006D16ED">
        <w:rPr>
          <w:rStyle w:val="StyleUnderline"/>
        </w:rPr>
        <w:t>where the tactical dimension of IP’s role becomes apparent, which maintains the</w:t>
      </w:r>
      <w:r>
        <w:rPr>
          <w:rStyle w:val="StyleUnderline"/>
        </w:rPr>
        <w:t xml:space="preserve"> </w:t>
      </w:r>
      <w:r w:rsidRPr="006D16ED">
        <w:rPr>
          <w:rStyle w:val="StyleUnderline"/>
        </w:rPr>
        <w:t>operation of economic circuits of exchange while challenges based on genetic</w:t>
      </w:r>
      <w:r>
        <w:rPr>
          <w:rStyle w:val="StyleUnderline"/>
        </w:rPr>
        <w:t xml:space="preserve"> </w:t>
      </w:r>
      <w:r w:rsidRPr="006D16ED">
        <w:rPr>
          <w:rStyle w:val="StyleUnderline"/>
        </w:rPr>
        <w:t>conceptions of life are being kept at bay.</w:t>
      </w:r>
      <w:r>
        <w:rPr>
          <w:rStyle w:val="StyleUnderline"/>
        </w:rPr>
        <w:t xml:space="preserve"> </w:t>
      </w:r>
      <w:r w:rsidRPr="006D16ED">
        <w:rPr>
          <w:sz w:val="16"/>
        </w:rPr>
        <w:t xml:space="preserve">The increasing relevance of genetic knowledge as part of the genetic dispositif also intensifies the tactical dimension of this division. </w:t>
      </w:r>
      <w:r w:rsidRPr="006D16ED">
        <w:rPr>
          <w:rStyle w:val="StyleUnderline"/>
        </w:rPr>
        <w:t>IP’s role establishing control</w:t>
      </w:r>
      <w:r>
        <w:rPr>
          <w:rStyle w:val="StyleUnderline"/>
        </w:rPr>
        <w:t xml:space="preserve"> </w:t>
      </w:r>
      <w:r w:rsidRPr="006D16ED">
        <w:rPr>
          <w:rStyle w:val="StyleUnderline"/>
        </w:rPr>
        <w:t>over research agendas and economic use of donations needs to be interrogated as a</w:t>
      </w:r>
      <w:r>
        <w:rPr>
          <w:rStyle w:val="StyleUnderline"/>
        </w:rPr>
        <w:t xml:space="preserve"> </w:t>
      </w:r>
      <w:r w:rsidRPr="006D16ED">
        <w:rPr>
          <w:rStyle w:val="StyleUnderline"/>
        </w:rPr>
        <w:t>separate power exercise to that of the “commodification” of life</w:t>
      </w:r>
      <w:r w:rsidRPr="006D16ED">
        <w:rPr>
          <w:sz w:val="16"/>
        </w:rPr>
        <w:t xml:space="preserve">. The increasingly tactical use of IPRs as a regime for exclusion from this particular domain is especially obvious in biobanks, where rhetoric emphasises altruistic contributions. Here, IPRs undoubtedly continue to separate the use of donations by the biobank from the sphere of influence of the “biological citizen”. </w:t>
      </w:r>
      <w:r w:rsidRPr="006D16ED">
        <w:rPr>
          <w:rStyle w:val="StyleUnderline"/>
        </w:rPr>
        <w:t>The emergence of new justifications for this</w:t>
      </w:r>
      <w:r>
        <w:rPr>
          <w:rStyle w:val="StyleUnderline"/>
        </w:rPr>
        <w:t xml:space="preserve"> </w:t>
      </w:r>
      <w:r w:rsidRPr="006D16ED">
        <w:rPr>
          <w:rStyle w:val="StyleUnderline"/>
        </w:rPr>
        <w:t>exclusion is especially telling, showing that IP is engaging with new demands by</w:t>
      </w:r>
      <w:r>
        <w:rPr>
          <w:rStyle w:val="StyleUnderline"/>
        </w:rPr>
        <w:t xml:space="preserve"> </w:t>
      </w:r>
      <w:r w:rsidRPr="006D16ED">
        <w:rPr>
          <w:rStyle w:val="StyleUnderline"/>
        </w:rPr>
        <w:t>patients.</w:t>
      </w:r>
      <w:r w:rsidRPr="006D16ED">
        <w:rPr>
          <w:sz w:val="16"/>
        </w:rPr>
        <w:t xml:space="preserve"> Kerr points out how this division is presented as being in the public interest: “In these discussions, the public’s interests (to better drugs and diagnostic tests) are to be secured through the entitlements of the private sector to own genetic knowledge and the public’s obligation to facilitate this by co-operating with research” (Kerr 2003a, 48). The more frequent reference to research as being in the interest of public health shows that IP is responding to new priorities that otherwise would challenge its legitimacy – but this response also has subversive potential. </w:t>
      </w:r>
      <w:r w:rsidRPr="006D16ED">
        <w:rPr>
          <w:rStyle w:val="StyleUnderline"/>
        </w:rPr>
        <w:t>While IP’s intervention</w:t>
      </w:r>
      <w:r>
        <w:rPr>
          <w:rStyle w:val="StyleUnderline"/>
        </w:rPr>
        <w:t xml:space="preserve"> </w:t>
      </w:r>
      <w:r w:rsidRPr="006D16ED">
        <w:rPr>
          <w:rStyle w:val="StyleUnderline"/>
        </w:rPr>
        <w:t>continues to ensure the exclusion of direct interferences by “active” citizens in</w:t>
      </w:r>
      <w:r>
        <w:rPr>
          <w:rStyle w:val="StyleUnderline"/>
        </w:rPr>
        <w:t xml:space="preserve"> </w:t>
      </w:r>
      <w:r w:rsidRPr="006D16ED">
        <w:rPr>
          <w:rStyle w:val="StyleUnderline"/>
        </w:rPr>
        <w:t>research agendas and in the economic use of samples, it also opens a debate about</w:t>
      </w:r>
      <w:r>
        <w:rPr>
          <w:rStyle w:val="StyleUnderline"/>
        </w:rPr>
        <w:t xml:space="preserve"> </w:t>
      </w:r>
      <w:r w:rsidRPr="006D16ED">
        <w:rPr>
          <w:rStyle w:val="StyleUnderline"/>
        </w:rPr>
        <w:t>IP’s relation to life and health that had previously been deemed “settled” (Rajan 2006,</w:t>
      </w:r>
      <w:r>
        <w:rPr>
          <w:rStyle w:val="StyleUnderline"/>
        </w:rPr>
        <w:t xml:space="preserve"> </w:t>
      </w:r>
      <w:r w:rsidRPr="006D16ED">
        <w:rPr>
          <w:rStyle w:val="StyleUnderline"/>
        </w:rPr>
        <w:t>64) by bioethical arrangements outside of IP.</w:t>
      </w:r>
      <w:r w:rsidRPr="006D16ED">
        <w:rPr>
          <w:sz w:val="16"/>
        </w:rPr>
        <w:t xml:space="preserve"> This leads to a contestation of IP’s legitimation within a new frame of reference, which is explored in the next sections and the next chapter. Debates about the role of ‘research patients’ show how IP negotiates the demands of patients as a regime for exclusion, encouraging contributions to research but not granting broader rights of participation implied by notions of ‘citizenship’. This is then contrasted with new approaches to IP in citizen’s science projects, which depend even more on the motivation to contribute to research.</w:t>
      </w:r>
    </w:p>
    <w:p w14:paraId="44264903" w14:textId="3ACFAD8C" w:rsidR="009928A9" w:rsidRPr="007930B5" w:rsidRDefault="009928A9" w:rsidP="009928A9">
      <w:pPr>
        <w:pStyle w:val="Heading3"/>
      </w:pPr>
      <w:r>
        <w:t>AT TVA – Open Science</w:t>
      </w:r>
    </w:p>
    <w:p w14:paraId="0BCBD382" w14:textId="77777777" w:rsidR="009928A9" w:rsidRDefault="009928A9" w:rsidP="009928A9">
      <w:pPr>
        <w:pStyle w:val="Heading4"/>
      </w:pPr>
      <w:r>
        <w:t>Open science alternatives uncritically replicated market logics, thus the exclusionary and exploitative nature of the current intellectual property system</w:t>
      </w:r>
    </w:p>
    <w:p w14:paraId="257DC66B" w14:textId="77777777" w:rsidR="009928A9" w:rsidRPr="005B2FBD" w:rsidRDefault="009928A9" w:rsidP="009928A9">
      <w:pPr>
        <w:rPr>
          <w:rStyle w:val="Style13ptBold"/>
        </w:rPr>
      </w:pPr>
      <w:r w:rsidRPr="005B2FBD">
        <w:rPr>
          <w:rStyle w:val="Style13ptBold"/>
        </w:rPr>
        <w:t>Foster 12</w:t>
      </w:r>
    </w:p>
    <w:p w14:paraId="6531C671" w14:textId="77777777" w:rsidR="009928A9" w:rsidRPr="006A4805" w:rsidRDefault="009928A9" w:rsidP="009928A9">
      <w:pPr>
        <w:rPr>
          <w:sz w:val="16"/>
        </w:rPr>
      </w:pPr>
      <w:r w:rsidRPr="006A4805">
        <w:rPr>
          <w:sz w:val="16"/>
        </w:rPr>
        <w:t>Laura A., Assistant Professor of Gender Studies, Indiana University, Bloomington; Faculty Affiliate, Center for Intellectual Property Research, Indiana University Maurer School of Law. “Patents, Biopolitics, and Feminisms: Locating Patent Law Struggles over Breast Cancer Genes and the Hoodia Plant.” International Journal of Cultural Property (2012) 19. Pp 377-379. LJS</w:t>
      </w:r>
    </w:p>
    <w:p w14:paraId="4196D982" w14:textId="77777777" w:rsidR="009928A9" w:rsidRPr="007930B5" w:rsidRDefault="009928A9" w:rsidP="009928A9">
      <w:pPr>
        <w:rPr>
          <w:rStyle w:val="StyleUnderline"/>
        </w:rPr>
      </w:pPr>
      <w:r w:rsidRPr="005B2FBD">
        <w:rPr>
          <w:rStyle w:val="StyleUnderline"/>
        </w:rPr>
        <w:t>Some critical intellectual property scholarship focuses on bolstering an open public domain. It argues that expansive patent ownership rights are obstructing scientific knowledge production and the fundamental practice of “open science.”32</w:t>
      </w:r>
      <w:r>
        <w:rPr>
          <w:rStyle w:val="StyleUnderline"/>
        </w:rPr>
        <w:t xml:space="preserve"> </w:t>
      </w:r>
      <w:r w:rsidRPr="005B2FBD">
        <w:rPr>
          <w:rStyle w:val="StyleUnderline"/>
        </w:rPr>
        <w:t>Scientific ideas and materials formerly in the public domain are now privatized.</w:t>
      </w:r>
      <w:r>
        <w:rPr>
          <w:rStyle w:val="StyleUnderline"/>
        </w:rPr>
        <w:t xml:space="preserve"> </w:t>
      </w:r>
      <w:r w:rsidRPr="006A4805">
        <w:rPr>
          <w:sz w:val="16"/>
        </w:rPr>
        <w:t xml:space="preserve">Scientists are forced to negotiate licensing fees, material transfer agreements, and database access agreements with patent owners. This slows down scientific research, rather than incentivizing it. Stricter patent laws have therefore curtailed the culture of open access and sharing within scientific practice. Scholars point out that patent laws have even restricted access to research ideas and practices for experimental purposes.33 The domain of material and ideas publically available to scientists is thus shrinking and curtailing research, rather than incentivizing it. Scholarship in this area responds to this problem by arguing for expanding the public domain. What is needed is an open public domain that is committed to “a system of open science, where results are shared, criticized and, ultimately, utilized to push forward the frontiers of knowledge.”34 Patent ownership rights should therefore be scaled back in order to promote a more robust public domain where materials and ideas can be freely accessible and open to scientists. </w:t>
      </w:r>
      <w:r w:rsidRPr="007930B5">
        <w:rPr>
          <w:rStyle w:val="StyleUnderline"/>
        </w:rPr>
        <w:t>Theorizing of</w:t>
      </w:r>
      <w:r>
        <w:rPr>
          <w:rStyle w:val="StyleUnderline"/>
        </w:rPr>
        <w:t xml:space="preserve"> </w:t>
      </w:r>
      <w:r w:rsidRPr="007930B5">
        <w:rPr>
          <w:rStyle w:val="StyleUnderline"/>
        </w:rPr>
        <w:t>an open public domain, however, has its limitations.</w:t>
      </w:r>
      <w:r>
        <w:rPr>
          <w:rStyle w:val="StyleUnderline"/>
        </w:rPr>
        <w:t xml:space="preserve"> </w:t>
      </w:r>
      <w:r w:rsidRPr="007930B5">
        <w:rPr>
          <w:rStyle w:val="StyleUnderline"/>
        </w:rPr>
        <w:t>The first is its uncritical acceptance of neoliberal, biopolitical values and its privileging of a certain type of creativity. Conceptions of an open public domain provide a valuable critique against expanding patent law ownership, but can be read as</w:t>
      </w:r>
      <w:r>
        <w:rPr>
          <w:rStyle w:val="StyleUnderline"/>
        </w:rPr>
        <w:t xml:space="preserve"> </w:t>
      </w:r>
      <w:r w:rsidRPr="007930B5">
        <w:rPr>
          <w:rStyle w:val="StyleUnderline"/>
        </w:rPr>
        <w:t>essentially arguing for a free trade model</w:t>
      </w:r>
      <w:r w:rsidRPr="006A4805">
        <w:rPr>
          <w:sz w:val="16"/>
        </w:rPr>
        <w:t xml:space="preserve">. Creativity, as the argument goes, is best promoted by encouraging the free exchange of materials and ideas supported by a robust public domain. This is considered an alternative to incentivizing creativity by granting temporary patent law ownership. Open sharing of scientific materials and ideas is said to encourage the exchange of ideas among scientists, leading to more and more innovation. Greater value, they argue, should be placed on bolstering an open public domain versus expanding patent rights. Publicly available science databases are commonly cited as ways of promoting a more open public domain such as the GenBank at the National Center for Biotechnology Information. Sharing of DNA sequence information through GenBank, for example, is based upon an open public domain model and is considered the best way to advance genomic research. </w:t>
      </w:r>
      <w:r w:rsidRPr="007930B5">
        <w:rPr>
          <w:rStyle w:val="StyleUnderline"/>
        </w:rPr>
        <w:t>Yet, upon critical examination, conceptions of an open public domain emerge</w:t>
      </w:r>
      <w:r>
        <w:rPr>
          <w:rStyle w:val="StyleUnderline"/>
        </w:rPr>
        <w:t xml:space="preserve"> </w:t>
      </w:r>
      <w:r w:rsidRPr="007930B5">
        <w:rPr>
          <w:rStyle w:val="StyleUnderline"/>
        </w:rPr>
        <w:t>aligned with neoliberal, biopolitical strategies. Nature is now optimized through</w:t>
      </w:r>
      <w:r>
        <w:rPr>
          <w:rStyle w:val="StyleUnderline"/>
        </w:rPr>
        <w:t xml:space="preserve"> </w:t>
      </w:r>
      <w:r w:rsidRPr="007930B5">
        <w:rPr>
          <w:rStyle w:val="StyleUnderline"/>
        </w:rPr>
        <w:t>logics of free trade and competition</w:t>
      </w:r>
      <w:r w:rsidRPr="006A4805">
        <w:rPr>
          <w:sz w:val="16"/>
        </w:rPr>
        <w:t xml:space="preserve">. It is assumed that an open public domain can bolster circuits of biocapital even further than patent ownership, ensuring the unrestricted trade of human bodily tissue for scientific experiment and commercialization. This engenders more scientific innovations for individuals to choose from in their self-governing efforts at optimizing themselves. </w:t>
      </w:r>
      <w:r w:rsidRPr="007930B5">
        <w:rPr>
          <w:rStyle w:val="StyleUnderline"/>
        </w:rPr>
        <w:t>Theorizing of an</w:t>
      </w:r>
      <w:r>
        <w:rPr>
          <w:rStyle w:val="StyleUnderline"/>
        </w:rPr>
        <w:t xml:space="preserve"> </w:t>
      </w:r>
      <w:r w:rsidRPr="007930B5">
        <w:rPr>
          <w:rStyle w:val="StyleUnderline"/>
        </w:rPr>
        <w:t>open public domain might question the privatization of scientific ideas and materials, but it does not challenge market logics entirely. In fact, it relies faithfully</w:t>
      </w:r>
      <w:r>
        <w:rPr>
          <w:rStyle w:val="StyleUnderline"/>
        </w:rPr>
        <w:t xml:space="preserve"> </w:t>
      </w:r>
      <w:r w:rsidRPr="007930B5">
        <w:rPr>
          <w:rStyle w:val="StyleUnderline"/>
        </w:rPr>
        <w:t>on market values of freedom and openness to promote innovation. Yet, only certain forms of creativity emerge and prosper in such an economic terrain, primarily an inventiveness that remains mediated by and through market mechanisms.</w:t>
      </w:r>
      <w:r>
        <w:rPr>
          <w:rStyle w:val="StyleUnderline"/>
        </w:rPr>
        <w:t xml:space="preserve"> </w:t>
      </w:r>
      <w:r w:rsidRPr="007930B5">
        <w:rPr>
          <w:rStyle w:val="StyleUnderline"/>
        </w:rPr>
        <w:t>Privatization through patenting is also not entirely abandoned; it is just deferred</w:t>
      </w:r>
      <w:r w:rsidRPr="006A4805">
        <w:rPr>
          <w:sz w:val="16"/>
        </w:rPr>
        <w:t xml:space="preserve">. Proponents of an open public domain seem more concerned about patent ownership rights locking up creativity at the temporal stage of its initial inception. An open public domain is meant to incentivize a market-mediated creativity that will eventually lead to patentable products, thus patent law ownership remains sought at a later stage. Uncritical acceptance of values of free trade and privatization unfortunately cloud a discussion of inequality, namely who has access to patented scientific technologies and patent ownership rights. Second, conceptions of an open public domain also fail to account for modes of power and inequality. </w:t>
      </w:r>
      <w:r w:rsidRPr="007930B5">
        <w:rPr>
          <w:rStyle w:val="StyleUnderline"/>
        </w:rPr>
        <w:t>Values of openness and sharing can be important in facilitating scientific discovery and access to needed medical care and technology.</w:t>
      </w:r>
      <w:r>
        <w:rPr>
          <w:rStyle w:val="StyleUnderline"/>
        </w:rPr>
        <w:t xml:space="preserve"> </w:t>
      </w:r>
      <w:r w:rsidRPr="007930B5">
        <w:rPr>
          <w:rStyle w:val="StyleUnderline"/>
        </w:rPr>
        <w:t>Yet, such cultures of open science have not been available to everyone</w:t>
      </w:r>
      <w:r w:rsidRPr="006A4805">
        <w:rPr>
          <w:sz w:val="16"/>
        </w:rPr>
        <w:t xml:space="preserve">. In terms of scientific discovery, female scientists have historically been marginalized within science. In particular, lesbian women and women of color scientists have been excluded from the free exchange of scientific ideas and materials due to continued discrimination against them in the science professions.35 </w:t>
      </w:r>
      <w:r w:rsidRPr="007930B5">
        <w:rPr>
          <w:rStyle w:val="StyleUnderline"/>
        </w:rPr>
        <w:t>Scientific cultures of sharing and borrowing have also led to the violent exploitation of indigenous peoples,</w:t>
      </w:r>
      <w:r>
        <w:rPr>
          <w:rStyle w:val="StyleUnderline"/>
        </w:rPr>
        <w:t xml:space="preserve"> </w:t>
      </w:r>
      <w:r w:rsidRPr="007930B5">
        <w:rPr>
          <w:rStyle w:val="StyleUnderline"/>
        </w:rPr>
        <w:t>their knowledge, and their lands.36 Given these histories and their contemporary</w:t>
      </w:r>
      <w:r>
        <w:rPr>
          <w:rStyle w:val="StyleUnderline"/>
        </w:rPr>
        <w:t xml:space="preserve"> </w:t>
      </w:r>
      <w:r w:rsidRPr="007930B5">
        <w:rPr>
          <w:rStyle w:val="StyleUnderline"/>
        </w:rPr>
        <w:t>residues, only some female scientists may benefit from an open public domain,</w:t>
      </w:r>
      <w:r>
        <w:rPr>
          <w:rStyle w:val="StyleUnderline"/>
        </w:rPr>
        <w:t xml:space="preserve"> </w:t>
      </w:r>
      <w:r w:rsidRPr="007930B5">
        <w:rPr>
          <w:rStyle w:val="StyleUnderline"/>
        </w:rPr>
        <w:t>and indigenous peoples may in fact be harmed.</w:t>
      </w:r>
      <w:r>
        <w:rPr>
          <w:rStyle w:val="StyleUnderline"/>
        </w:rPr>
        <w:t xml:space="preserve"> </w:t>
      </w:r>
      <w:r w:rsidRPr="006A4805">
        <w:rPr>
          <w:sz w:val="16"/>
        </w:rPr>
        <w:t xml:space="preserve">Patent inventorship and ownership itself is also structured by histories of gendered and racialized exclusion. Women have historically been less likely than men to be U.S. patent owners.37 Laws of coverture, cultures of domesticity, and bias in the U.S. Patent and Trademark Office partially explain this inequity.38 Additionally, the majority of patent owners who are female have historically been middleclass white women.39 Histories of slavery and Reconstruction-era laws preventing people of color from pursuing certain occupations may explain why fewer women of color own patents than white women.40 Unfortunately, women continue to lag behind men in terms of patent ownership today. A 1995 report shows that female scientists hold fewer patents than male scientists in both the academic and commercial sectors.41 By remaining faithful to the free trade of scientific ideas and materials to encourage future innovation, an open public domain model fails to recognize gendered and racialized relations of power structuring technoscientific production and patent ownership. </w:t>
      </w:r>
      <w:r w:rsidRPr="007930B5">
        <w:rPr>
          <w:rStyle w:val="StyleUnderline"/>
        </w:rPr>
        <w:t>Third, an open public domain model obscures recognition of gendered and racialized modes of knowledge production, thereby reinforcing Eurocentric, masculinized styles of thought. Intellectual property law was historically justified through</w:t>
      </w:r>
      <w:r>
        <w:rPr>
          <w:rStyle w:val="StyleUnderline"/>
        </w:rPr>
        <w:t xml:space="preserve"> </w:t>
      </w:r>
      <w:r w:rsidRPr="007930B5">
        <w:rPr>
          <w:rStyle w:val="StyleUnderline"/>
        </w:rPr>
        <w:t>metaphors of men giving birth to wisdom and knowledge.42 These metaphors drew</w:t>
      </w:r>
      <w:r>
        <w:rPr>
          <w:rStyle w:val="StyleUnderline"/>
        </w:rPr>
        <w:t xml:space="preserve"> </w:t>
      </w:r>
      <w:r w:rsidRPr="007930B5">
        <w:rPr>
          <w:rStyle w:val="StyleUnderline"/>
        </w:rPr>
        <w:t>upon and contributed to the collusion of masculinization and whiteness with rational knowledge production. Male intellectual labor was privileged over the mere</w:t>
      </w:r>
      <w:r>
        <w:rPr>
          <w:rStyle w:val="StyleUnderline"/>
        </w:rPr>
        <w:t xml:space="preserve"> </w:t>
      </w:r>
      <w:r w:rsidRPr="007930B5">
        <w:rPr>
          <w:rStyle w:val="StyleUnderline"/>
        </w:rPr>
        <w:t>bodily capacity of women’s reproductive power.43</w:t>
      </w:r>
      <w:r w:rsidRPr="006A4805">
        <w:rPr>
          <w:sz w:val="16"/>
        </w:rPr>
        <w:t xml:space="preserve"> Patent law is thus historically embedded within explicit gendered discourses privileging the mind as associated with men, over the body as linked to women and people of color. </w:t>
      </w:r>
      <w:r w:rsidRPr="007930B5">
        <w:rPr>
          <w:rStyle w:val="StyleUnderline"/>
        </w:rPr>
        <w:t>This mind/body dualism persists within contemporary patent law</w:t>
      </w:r>
      <w:r w:rsidRPr="006A4805">
        <w:rPr>
          <w:sz w:val="16"/>
        </w:rPr>
        <w:t xml:space="preserve">. Dan Burk argues that the distinction between tangible and intangible property within intellectual property law means that it is fundamentally about protecting the original idea of the author and inventor.44 </w:t>
      </w:r>
      <w:r w:rsidRPr="007930B5">
        <w:rPr>
          <w:rStyle w:val="StyleUnderline"/>
        </w:rPr>
        <w:t>Extending these arguments further, I would</w:t>
      </w:r>
      <w:r>
        <w:rPr>
          <w:rStyle w:val="StyleUnderline"/>
        </w:rPr>
        <w:t xml:space="preserve"> </w:t>
      </w:r>
      <w:r w:rsidRPr="007930B5">
        <w:rPr>
          <w:rStyle w:val="StyleUnderline"/>
        </w:rPr>
        <w:t>suggest that patent law, in protecting intangible ideas, places value upon scientific creativity characterized by reason and rationality, which are epistemologies associated with masculinization and whiteness.45 An open public domain</w:t>
      </w:r>
      <w:r>
        <w:rPr>
          <w:rStyle w:val="StyleUnderline"/>
        </w:rPr>
        <w:t xml:space="preserve"> </w:t>
      </w:r>
      <w:r w:rsidRPr="007930B5">
        <w:rPr>
          <w:rStyle w:val="StyleUnderline"/>
        </w:rPr>
        <w:t>thus fails to recognize that the creativity it seeks to promote is always and already gendered and racialized. Its attention to market-mediated creativity also</w:t>
      </w:r>
      <w:r>
        <w:rPr>
          <w:rStyle w:val="StyleUnderline"/>
        </w:rPr>
        <w:t xml:space="preserve"> </w:t>
      </w:r>
      <w:r w:rsidRPr="007930B5">
        <w:rPr>
          <w:rStyle w:val="StyleUnderline"/>
        </w:rPr>
        <w:t>obscures the importance of and lack of protection for practices of indigenous</w:t>
      </w:r>
      <w:r>
        <w:rPr>
          <w:rStyle w:val="StyleUnderline"/>
        </w:rPr>
        <w:t xml:space="preserve"> </w:t>
      </w:r>
      <w:r w:rsidRPr="007930B5">
        <w:rPr>
          <w:rStyle w:val="StyleUnderline"/>
        </w:rPr>
        <w:t>peoples’ knowledge.</w:t>
      </w:r>
    </w:p>
    <w:p w14:paraId="0BA2880D" w14:textId="68EAA95D" w:rsidR="000E092E" w:rsidRDefault="000E092E" w:rsidP="000E092E">
      <w:pPr>
        <w:pStyle w:val="Heading3"/>
      </w:pPr>
      <w:r>
        <w:t>AT TVA – TRIPS</w:t>
      </w:r>
    </w:p>
    <w:p w14:paraId="7E936FFA" w14:textId="77777777" w:rsidR="000E092E" w:rsidRPr="00883747" w:rsidRDefault="000E092E" w:rsidP="000E092E">
      <w:pPr>
        <w:pStyle w:val="Heading4"/>
      </w:pPr>
      <w:r>
        <w:t>TRIPS and the WTO are the imperialist arm of the biopolitical US intellectual property rights regime</w:t>
      </w:r>
    </w:p>
    <w:p w14:paraId="793BC872" w14:textId="77777777" w:rsidR="000E092E" w:rsidRPr="006A4805" w:rsidRDefault="000E092E" w:rsidP="000E092E">
      <w:pPr>
        <w:rPr>
          <w:szCs w:val="18"/>
        </w:rPr>
      </w:pPr>
      <w:r w:rsidRPr="00B15BF2">
        <w:t xml:space="preserve">Eva </w:t>
      </w:r>
      <w:r w:rsidRPr="001C5978">
        <w:rPr>
          <w:rStyle w:val="Style13ptBold"/>
          <w:szCs w:val="26"/>
        </w:rPr>
        <w:t xml:space="preserve">Hilberg, </w:t>
      </w:r>
      <w:r>
        <w:rPr>
          <w:szCs w:val="26"/>
        </w:rPr>
        <w:t xml:space="preserve">May </w:t>
      </w:r>
      <w:r w:rsidRPr="00B15BF2">
        <w:rPr>
          <w:rStyle w:val="Style13ptBold"/>
        </w:rPr>
        <w:t>2015</w:t>
      </w:r>
      <w:r w:rsidRPr="006A4805">
        <w:t>,</w:t>
      </w:r>
      <w:r w:rsidRPr="001C5978">
        <w:rPr>
          <w:rStyle w:val="Style13ptBold"/>
        </w:rPr>
        <w:t xml:space="preserve"> </w:t>
      </w:r>
      <w:r w:rsidRPr="006A4805">
        <w:rPr>
          <w:szCs w:val="18"/>
        </w:rPr>
        <w:t>Eva is an Honorary Research Fellow at the School of Global Studies, University of Sussex, and a Postdoctoral Research Fellow at the Federmann School of Public Policy and Government, Hebrew University of Jerusalem. She obtained a PhD in International Relations from the University of Sussex, analysing the biopolitical dimension of intellectual property rights on human genetic materials. (</w:t>
      </w:r>
      <w:hyperlink r:id="rId16" w:history="1">
        <w:r w:rsidRPr="00B928D0">
          <w:rPr>
            <w:rStyle w:val="Hyperlink"/>
            <w:sz w:val="18"/>
            <w:szCs w:val="18"/>
          </w:rPr>
          <w:t>https://sussex.figshare.com/articles/thesis/Intellectual_property_and_the_genetic_dispositif_of_life_the_changing_role_of_intellectual_property_law_in_governing_participation_and_knowledge_in_the_bioeconomy/23430041</w:t>
        </w:r>
      </w:hyperlink>
      <w:r w:rsidRPr="006A4805">
        <w:rPr>
          <w:szCs w:val="18"/>
        </w:rPr>
        <w:t>) CSV</w:t>
      </w:r>
    </w:p>
    <w:p w14:paraId="2779969B" w14:textId="76A5A9B2" w:rsidR="000E092E" w:rsidRPr="000E092E" w:rsidRDefault="000E092E" w:rsidP="000E092E">
      <w:pPr>
        <w:rPr>
          <w:sz w:val="16"/>
        </w:rPr>
      </w:pPr>
      <w:r w:rsidRPr="00E53686">
        <w:rPr>
          <w:rStyle w:val="StyleUnderline"/>
        </w:rPr>
        <w:t>At the same time as the rise of the gene</w:t>
      </w:r>
      <w:r w:rsidRPr="000E092E">
        <w:rPr>
          <w:rStyle w:val="StyleUnderline"/>
          <w:highlight w:val="cyan"/>
        </w:rPr>
        <w:t>, intellectual property has “become one of the major issues of our global society</w:t>
      </w:r>
      <w:r w:rsidRPr="00E53686">
        <w:rPr>
          <w:rStyle w:val="StyleUnderline"/>
        </w:rPr>
        <w:t xml:space="preserve">” (Stiglitz 2008, 103), </w:t>
      </w:r>
      <w:r w:rsidRPr="000E092E">
        <w:rPr>
          <w:rStyle w:val="StyleUnderline"/>
          <w:highlight w:val="cyan"/>
        </w:rPr>
        <w:t>as a global system of enforceable temporary monopolies on knowledge</w:t>
      </w:r>
      <w:r w:rsidRPr="00E53686">
        <w:rPr>
          <w:rStyle w:val="StyleUnderline"/>
        </w:rPr>
        <w:t xml:space="preserve"> was </w:t>
      </w:r>
      <w:r w:rsidRPr="000E092E">
        <w:rPr>
          <w:rStyle w:val="StyleUnderline"/>
          <w:highlight w:val="cyan"/>
        </w:rPr>
        <w:t>enshrined in</w:t>
      </w:r>
      <w:r w:rsidRPr="00E53686">
        <w:rPr>
          <w:rStyle w:val="StyleUnderline"/>
        </w:rPr>
        <w:t xml:space="preserve"> the Agreement on</w:t>
      </w:r>
      <w:r>
        <w:rPr>
          <w:rStyle w:val="StyleUnderline"/>
        </w:rPr>
        <w:t xml:space="preserve"> </w:t>
      </w:r>
      <w:r w:rsidRPr="00E53686">
        <w:rPr>
          <w:rStyle w:val="StyleUnderline"/>
        </w:rPr>
        <w:t>Trade-Related Aspects of Intellectual Property Rights (</w:t>
      </w:r>
      <w:r w:rsidRPr="000E092E">
        <w:rPr>
          <w:rStyle w:val="StyleUnderline"/>
          <w:highlight w:val="cyan"/>
        </w:rPr>
        <w:t>TRIPS) as part of the WTO. This IP system became</w:t>
      </w:r>
      <w:r w:rsidRPr="00E53686">
        <w:rPr>
          <w:rStyle w:val="StyleUnderline"/>
        </w:rPr>
        <w:t xml:space="preserve"> a </w:t>
      </w:r>
      <w:r w:rsidRPr="000E092E">
        <w:rPr>
          <w:rStyle w:val="StyleUnderline"/>
          <w:highlight w:val="cyan"/>
        </w:rPr>
        <w:t>key</w:t>
      </w:r>
      <w:r w:rsidRPr="00E53686">
        <w:rPr>
          <w:rStyle w:val="StyleUnderline"/>
        </w:rPr>
        <w:t xml:space="preserve"> component </w:t>
      </w:r>
      <w:r w:rsidRPr="000E092E">
        <w:rPr>
          <w:rStyle w:val="StyleUnderline"/>
          <w:highlight w:val="cyan"/>
        </w:rPr>
        <w:t>for</w:t>
      </w:r>
      <w:r w:rsidRPr="00E53686">
        <w:rPr>
          <w:rStyle w:val="StyleUnderline"/>
        </w:rPr>
        <w:t xml:space="preserve"> business strategies of </w:t>
      </w:r>
      <w:r w:rsidRPr="000E092E">
        <w:rPr>
          <w:rStyle w:val="StyleUnderline"/>
          <w:highlight w:val="cyan"/>
        </w:rPr>
        <w:t>pharmaceutical companies</w:t>
      </w:r>
      <w:r w:rsidRPr="00E53686">
        <w:rPr>
          <w:rStyle w:val="StyleUnderline"/>
        </w:rPr>
        <w:t xml:space="preserve"> and other entities operating in the life sciences – including for example the</w:t>
      </w:r>
      <w:r>
        <w:rPr>
          <w:rStyle w:val="StyleUnderline"/>
        </w:rPr>
        <w:t xml:space="preserve"> </w:t>
      </w:r>
      <w:r w:rsidRPr="00E53686">
        <w:rPr>
          <w:rStyle w:val="StyleUnderline"/>
        </w:rPr>
        <w:t>“entrepreneurial university”, which actively uses IP for “rapid commercialization of</w:t>
      </w:r>
      <w:r>
        <w:rPr>
          <w:rStyle w:val="StyleUnderline"/>
        </w:rPr>
        <w:t xml:space="preserve"> </w:t>
      </w:r>
      <w:r w:rsidRPr="00E53686">
        <w:rPr>
          <w:rStyle w:val="StyleUnderline"/>
        </w:rPr>
        <w:t>basic research problems”, enabled for example in the US context by the Bayh-Dole</w:t>
      </w:r>
      <w:r>
        <w:rPr>
          <w:rStyle w:val="StyleUnderline"/>
        </w:rPr>
        <w:t xml:space="preserve"> </w:t>
      </w:r>
      <w:r w:rsidRPr="00E53686">
        <w:rPr>
          <w:rStyle w:val="StyleUnderline"/>
        </w:rPr>
        <w:t>Act (1980) (Rajan 2012, 2; Cooper 2008, 27).</w:t>
      </w:r>
      <w:r w:rsidRPr="006A4805">
        <w:rPr>
          <w:sz w:val="16"/>
        </w:rPr>
        <w:t xml:space="preserve"> This commercialisation of research thrived especially at the intersection with the life sciences, where new “high-risk forms of investment” fuelled these “decidedly entrepreneurial, public-private alliances” (Cooper, Ibid., 27). </w:t>
      </w:r>
      <w:r w:rsidRPr="00E53686">
        <w:rPr>
          <w:rStyle w:val="StyleUnderline"/>
        </w:rPr>
        <w:t xml:space="preserve">This thesis argues that </w:t>
      </w:r>
      <w:r w:rsidRPr="000E092E">
        <w:rPr>
          <w:rStyle w:val="StyleUnderline"/>
          <w:highlight w:val="cyan"/>
        </w:rPr>
        <w:t>in the new political economy of life, IPRs became a central concern</w:t>
      </w:r>
      <w:r w:rsidRPr="00E53686">
        <w:rPr>
          <w:rStyle w:val="StyleUnderline"/>
        </w:rPr>
        <w:t xml:space="preserve"> – not only </w:t>
      </w:r>
      <w:r w:rsidRPr="000E092E">
        <w:rPr>
          <w:rStyle w:val="StyleUnderline"/>
          <w:highlight w:val="cyan"/>
        </w:rPr>
        <w:t>for the production of commodities for circulation</w:t>
      </w:r>
      <w:r w:rsidRPr="00E53686">
        <w:rPr>
          <w:rStyle w:val="StyleUnderline"/>
        </w:rPr>
        <w:t xml:space="preserve"> in the economy, </w:t>
      </w:r>
      <w:r w:rsidRPr="000E092E">
        <w:rPr>
          <w:rStyle w:val="StyleUnderline"/>
          <w:highlight w:val="cyan"/>
        </w:rPr>
        <w:t>but also in a variety of roles asserting control over knowledge and</w:t>
      </w:r>
      <w:r w:rsidRPr="00E53686">
        <w:rPr>
          <w:rStyle w:val="StyleUnderline"/>
        </w:rPr>
        <w:t xml:space="preserve"> over </w:t>
      </w:r>
      <w:r w:rsidRPr="000E092E">
        <w:rPr>
          <w:rStyle w:val="StyleUnderline"/>
          <w:highlight w:val="cyan"/>
        </w:rPr>
        <w:t>participation in this economy</w:t>
      </w:r>
      <w:r w:rsidRPr="00E53686">
        <w:rPr>
          <w:rStyle w:val="StyleUnderline"/>
        </w:rPr>
        <w:t xml:space="preserve"> on the national and the</w:t>
      </w:r>
      <w:r>
        <w:rPr>
          <w:rStyle w:val="StyleUnderline"/>
        </w:rPr>
        <w:t xml:space="preserve"> </w:t>
      </w:r>
      <w:r w:rsidRPr="00E53686">
        <w:rPr>
          <w:rStyle w:val="StyleUnderline"/>
        </w:rPr>
        <w:t xml:space="preserve">international level. In fulfilling these roles, it is argued throughout this thesis, </w:t>
      </w:r>
      <w:r w:rsidRPr="000E092E">
        <w:rPr>
          <w:rStyle w:val="StyleUnderline"/>
          <w:highlight w:val="cyan"/>
        </w:rPr>
        <w:t>IPRs</w:t>
      </w:r>
      <w:r>
        <w:rPr>
          <w:rStyle w:val="StyleUnderline"/>
        </w:rPr>
        <w:t xml:space="preserve"> </w:t>
      </w:r>
      <w:r w:rsidRPr="00E53686">
        <w:rPr>
          <w:rStyle w:val="StyleUnderline"/>
        </w:rPr>
        <w:t xml:space="preserve">are increasingly </w:t>
      </w:r>
      <w:r w:rsidRPr="000E092E">
        <w:rPr>
          <w:rStyle w:val="StyleUnderline"/>
          <w:highlight w:val="cyan"/>
        </w:rPr>
        <w:t>contribut</w:t>
      </w:r>
      <w:r w:rsidRPr="00E53686">
        <w:rPr>
          <w:rStyle w:val="StyleUnderline"/>
        </w:rPr>
        <w:t xml:space="preserve">ing </w:t>
      </w:r>
      <w:r w:rsidRPr="000E092E">
        <w:rPr>
          <w:rStyle w:val="StyleUnderline"/>
          <w:highlight w:val="cyan"/>
        </w:rPr>
        <w:t>to the governing of life</w:t>
      </w:r>
      <w:r w:rsidRPr="00E53686">
        <w:rPr>
          <w:rStyle w:val="StyleUnderline"/>
        </w:rPr>
        <w:t>, and are negotiating tensions</w:t>
      </w:r>
      <w:r>
        <w:rPr>
          <w:rStyle w:val="StyleUnderline"/>
        </w:rPr>
        <w:t xml:space="preserve"> </w:t>
      </w:r>
      <w:r w:rsidRPr="00E53686">
        <w:rPr>
          <w:rStyle w:val="StyleUnderline"/>
        </w:rPr>
        <w:t>between economic priorities and a new sphere of politics surrounding the geneticinformational conception of life.</w:t>
      </w:r>
      <w:r>
        <w:rPr>
          <w:rStyle w:val="StyleUnderline"/>
        </w:rPr>
        <w:t xml:space="preserve"> </w:t>
      </w:r>
      <w:r w:rsidRPr="006A4805">
        <w:rPr>
          <w:sz w:val="16"/>
        </w:rPr>
        <w:t xml:space="preserve">This new sphere of politics reaches far beyond the life science sector and its commercialised research, as it fundamentally re-shapes understandings of “humanness, illness and health” (Kay 2000, xv). </w:t>
      </w:r>
      <w:r w:rsidRPr="00883747">
        <w:rPr>
          <w:rStyle w:val="StyleUnderline"/>
        </w:rPr>
        <w:t>The overwhelming influence of the</w:t>
      </w:r>
      <w:r w:rsidRPr="006A4805">
        <w:rPr>
          <w:rStyle w:val="StyleUnderline"/>
          <w:sz w:val="16"/>
          <w:u w:val="none"/>
        </w:rPr>
        <w:t xml:space="preserve"> </w:t>
      </w:r>
      <w:r w:rsidRPr="00883747">
        <w:rPr>
          <w:rStyle w:val="StyleUnderline"/>
        </w:rPr>
        <w:t>informational-genetic paradigm continues to profoundly affect the individual’s</w:t>
      </w:r>
      <w:r w:rsidRPr="006A4805">
        <w:rPr>
          <w:rStyle w:val="StyleUnderline"/>
          <w:sz w:val="16"/>
          <w:u w:val="none"/>
        </w:rPr>
        <w:t xml:space="preserve"> </w:t>
      </w:r>
      <w:r w:rsidRPr="00883747">
        <w:rPr>
          <w:rStyle w:val="StyleUnderline"/>
        </w:rPr>
        <w:t xml:space="preserve">relation to its own body, rendering </w:t>
      </w:r>
      <w:r w:rsidRPr="006A4805">
        <w:rPr>
          <w:sz w:val="16"/>
        </w:rPr>
        <w:t xml:space="preserve">the </w:t>
      </w:r>
      <w:r w:rsidRPr="000E092E">
        <w:rPr>
          <w:rStyle w:val="Emphasis"/>
          <w:highlight w:val="cyan"/>
        </w:rPr>
        <w:t>access</w:t>
      </w:r>
      <w:r w:rsidRPr="00883747">
        <w:rPr>
          <w:rStyle w:val="Emphasis"/>
        </w:rPr>
        <w:t xml:space="preserve">ibility of </w:t>
      </w:r>
      <w:r w:rsidRPr="000E092E">
        <w:rPr>
          <w:rStyle w:val="Emphasis"/>
          <w:highlight w:val="cyan"/>
        </w:rPr>
        <w:t>genetic info</w:t>
      </w:r>
      <w:r w:rsidRPr="00883747">
        <w:rPr>
          <w:rStyle w:val="Emphasis"/>
        </w:rPr>
        <w:t xml:space="preserve">rmation </w:t>
      </w:r>
      <w:r w:rsidRPr="002C11C3">
        <w:rPr>
          <w:rStyle w:val="Emphasis"/>
        </w:rPr>
        <w:t>an</w:t>
      </w:r>
      <w:r w:rsidRPr="006A4805">
        <w:rPr>
          <w:rStyle w:val="Emphasis"/>
          <w:b w:val="0"/>
          <w:iCs w:val="0"/>
          <w:sz w:val="16"/>
          <w:u w:val="none"/>
        </w:rPr>
        <w:t xml:space="preserve"> </w:t>
      </w:r>
      <w:r w:rsidRPr="000E092E">
        <w:rPr>
          <w:rStyle w:val="Emphasis"/>
          <w:highlight w:val="cyan"/>
        </w:rPr>
        <w:t>increasingly important</w:t>
      </w:r>
      <w:r w:rsidRPr="006A4805">
        <w:rPr>
          <w:sz w:val="16"/>
        </w:rPr>
        <w:t xml:space="preserve"> marker of personhood. This thesis argues that </w:t>
      </w:r>
      <w:r w:rsidRPr="000E092E">
        <w:rPr>
          <w:rStyle w:val="Emphasis"/>
          <w:highlight w:val="cyan"/>
        </w:rPr>
        <w:t>understanding</w:t>
      </w:r>
      <w:r w:rsidRPr="006A4805">
        <w:rPr>
          <w:rStyle w:val="Emphasis"/>
          <w:b w:val="0"/>
          <w:iCs w:val="0"/>
          <w:sz w:val="16"/>
          <w:u w:val="none"/>
        </w:rPr>
        <w:t xml:space="preserve"> </w:t>
      </w:r>
      <w:r w:rsidRPr="00883747">
        <w:rPr>
          <w:rStyle w:val="Emphasis"/>
        </w:rPr>
        <w:t>this</w:t>
      </w:r>
      <w:r w:rsidRPr="000E092E">
        <w:rPr>
          <w:rStyle w:val="Emphasis"/>
          <w:highlight w:val="cyan"/>
        </w:rPr>
        <w:t xml:space="preserve"> fundamental impact on personhood</w:t>
      </w:r>
      <w:r w:rsidRPr="006A4805">
        <w:rPr>
          <w:sz w:val="16"/>
        </w:rPr>
        <w:t xml:space="preserve"> can provide a new perspective on ongoing </w:t>
      </w:r>
      <w:r w:rsidRPr="000E092E">
        <w:rPr>
          <w:rStyle w:val="Emphasis"/>
          <w:highlight w:val="cyan"/>
        </w:rPr>
        <w:t>challenges</w:t>
      </w:r>
      <w:r w:rsidRPr="006A4805">
        <w:rPr>
          <w:sz w:val="16"/>
        </w:rPr>
        <w:t xml:space="preserve"> to </w:t>
      </w:r>
      <w:r w:rsidRPr="00883747">
        <w:rPr>
          <w:rStyle w:val="Emphasis"/>
        </w:rPr>
        <w:t>the</w:t>
      </w:r>
      <w:r w:rsidRPr="000E092E">
        <w:rPr>
          <w:rStyle w:val="Emphasis"/>
          <w:highlight w:val="cyan"/>
        </w:rPr>
        <w:t xml:space="preserve"> exclusive commercial ownership of genetic sequences</w:t>
      </w:r>
      <w:r w:rsidRPr="006A4805">
        <w:rPr>
          <w:sz w:val="16"/>
        </w:rPr>
        <w:t xml:space="preserve"> </w:t>
      </w:r>
      <w:r w:rsidRPr="000E092E">
        <w:rPr>
          <w:rStyle w:val="Emphasis"/>
          <w:highlight w:val="cyan"/>
        </w:rPr>
        <w:t>enabled by</w:t>
      </w:r>
      <w:r w:rsidRPr="006A4805">
        <w:rPr>
          <w:rStyle w:val="Emphasis"/>
          <w:b w:val="0"/>
          <w:iCs w:val="0"/>
          <w:sz w:val="16"/>
          <w:u w:val="none"/>
        </w:rPr>
        <w:t xml:space="preserve"> </w:t>
      </w:r>
      <w:r w:rsidRPr="000E092E">
        <w:rPr>
          <w:rStyle w:val="Emphasis"/>
          <w:highlight w:val="cyan"/>
        </w:rPr>
        <w:t>IPRs</w:t>
      </w:r>
      <w:r w:rsidRPr="006A4805">
        <w:rPr>
          <w:sz w:val="16"/>
        </w:rPr>
        <w:t xml:space="preserve">. Increasingly, </w:t>
      </w:r>
      <w:r w:rsidRPr="000E092E">
        <w:rPr>
          <w:rStyle w:val="Emphasis"/>
          <w:highlight w:val="cyan"/>
        </w:rPr>
        <w:t>patients</w:t>
      </w:r>
      <w:r w:rsidRPr="006A4805">
        <w:rPr>
          <w:sz w:val="16"/>
        </w:rPr>
        <w:t xml:space="preserve"> </w:t>
      </w:r>
      <w:r w:rsidRPr="000E092E">
        <w:rPr>
          <w:rStyle w:val="Emphasis"/>
          <w:highlight w:val="cyan"/>
        </w:rPr>
        <w:t>and developing countries criticise IPRs</w:t>
      </w:r>
      <w:r w:rsidRPr="006A4805">
        <w:rPr>
          <w:sz w:val="16"/>
        </w:rPr>
        <w:t xml:space="preserve"> as </w:t>
      </w:r>
      <w:r w:rsidRPr="000E092E">
        <w:rPr>
          <w:rStyle w:val="Emphasis"/>
          <w:highlight w:val="cyan"/>
        </w:rPr>
        <w:t>detrimental to</w:t>
      </w:r>
      <w:r w:rsidRPr="006A4805">
        <w:rPr>
          <w:rStyle w:val="Emphasis"/>
          <w:b w:val="0"/>
          <w:iCs w:val="0"/>
          <w:sz w:val="16"/>
          <w:u w:val="none"/>
        </w:rPr>
        <w:t xml:space="preserve"> </w:t>
      </w:r>
      <w:r w:rsidRPr="000E092E">
        <w:rPr>
          <w:rStyle w:val="Emphasis"/>
          <w:highlight w:val="cyan"/>
        </w:rPr>
        <w:t>their health and</w:t>
      </w:r>
      <w:r w:rsidRPr="006A4805">
        <w:rPr>
          <w:sz w:val="16"/>
        </w:rPr>
        <w:t xml:space="preserve"> are </w:t>
      </w:r>
      <w:r w:rsidRPr="000E092E">
        <w:rPr>
          <w:rStyle w:val="Emphasis"/>
          <w:highlight w:val="cyan"/>
        </w:rPr>
        <w:t>actively challenging exclusive rights</w:t>
      </w:r>
      <w:r w:rsidRPr="006A4805">
        <w:rPr>
          <w:sz w:val="16"/>
        </w:rPr>
        <w:t xml:space="preserve"> on testing kits such as for example </w:t>
      </w:r>
      <w:r w:rsidRPr="002C11C3">
        <w:rPr>
          <w:rStyle w:val="StyleUnderline"/>
        </w:rPr>
        <w:t>the breast cancer test containing the BRCA-1 and 2 sequences</w:t>
      </w:r>
      <w:r w:rsidRPr="006A4805">
        <w:rPr>
          <w:sz w:val="16"/>
        </w:rPr>
        <w:t xml:space="preserve"> in </w:t>
      </w:r>
      <w:r w:rsidRPr="000E092E">
        <w:rPr>
          <w:rStyle w:val="Emphasis"/>
          <w:highlight w:val="cyan"/>
        </w:rPr>
        <w:t>the</w:t>
      </w:r>
      <w:r w:rsidRPr="006A4805">
        <w:rPr>
          <w:sz w:val="16"/>
        </w:rPr>
        <w:t xml:space="preserve"> </w:t>
      </w:r>
      <w:r w:rsidRPr="00883747">
        <w:rPr>
          <w:rStyle w:val="StyleUnderline"/>
        </w:rPr>
        <w:t xml:space="preserve">recent </w:t>
      </w:r>
      <w:r w:rsidRPr="000E092E">
        <w:rPr>
          <w:rStyle w:val="Emphasis"/>
          <w:highlight w:val="cyan"/>
        </w:rPr>
        <w:t>Myriad case</w:t>
      </w:r>
      <w:r w:rsidRPr="006A4805">
        <w:rPr>
          <w:sz w:val="16"/>
        </w:rPr>
        <w:t xml:space="preserve"> (Assoc. for Molecular Pathology v. Myriad [2013]). In a decision that came as a surprise to the biotech sector, </w:t>
      </w:r>
      <w:r w:rsidRPr="00883747">
        <w:rPr>
          <w:rStyle w:val="StyleUnderline"/>
        </w:rPr>
        <w:t>this</w:t>
      </w:r>
      <w:r w:rsidRPr="006A4805">
        <w:rPr>
          <w:sz w:val="16"/>
        </w:rPr>
        <w:t xml:space="preserve"> landmark </w:t>
      </w:r>
      <w:r w:rsidRPr="00883747">
        <w:rPr>
          <w:rStyle w:val="StyleUnderline"/>
        </w:rPr>
        <w:t xml:space="preserve">case </w:t>
      </w:r>
      <w:r w:rsidRPr="000E092E">
        <w:rPr>
          <w:rStyle w:val="Emphasis"/>
          <w:highlight w:val="cyan"/>
        </w:rPr>
        <w:t>overturned</w:t>
      </w:r>
      <w:r w:rsidRPr="00883747">
        <w:rPr>
          <w:rStyle w:val="StyleUnderline"/>
        </w:rPr>
        <w:t xml:space="preserve"> some forms of </w:t>
      </w:r>
      <w:r w:rsidRPr="000E092E">
        <w:rPr>
          <w:rStyle w:val="Emphasis"/>
          <w:highlight w:val="cyan"/>
        </w:rPr>
        <w:t>gene patents</w:t>
      </w:r>
      <w:r w:rsidRPr="00883747">
        <w:rPr>
          <w:rStyle w:val="StyleUnderline"/>
        </w:rPr>
        <w:t xml:space="preserve">, </w:t>
      </w:r>
      <w:r w:rsidRPr="000E092E">
        <w:rPr>
          <w:rStyle w:val="Emphasis"/>
          <w:highlight w:val="cyan"/>
        </w:rPr>
        <w:t>arguing</w:t>
      </w:r>
      <w:r w:rsidRPr="00883747">
        <w:rPr>
          <w:rStyle w:val="Emphasis"/>
        </w:rPr>
        <w:t xml:space="preserve"> </w:t>
      </w:r>
      <w:r w:rsidRPr="000E092E">
        <w:rPr>
          <w:rStyle w:val="Emphasis"/>
          <w:highlight w:val="cyan"/>
        </w:rPr>
        <w:t>they contained</w:t>
      </w:r>
      <w:r w:rsidRPr="00883747">
        <w:rPr>
          <w:rStyle w:val="StyleUnderline"/>
        </w:rPr>
        <w:t xml:space="preserve"> a </w:t>
      </w:r>
      <w:r w:rsidRPr="00883747">
        <w:rPr>
          <w:rStyle w:val="Emphasis"/>
        </w:rPr>
        <w:t>“</w:t>
      </w:r>
      <w:r w:rsidRPr="000E092E">
        <w:rPr>
          <w:rStyle w:val="Emphasis"/>
          <w:highlight w:val="cyan"/>
        </w:rPr>
        <w:t>product of nature</w:t>
      </w:r>
      <w:r w:rsidRPr="00883747">
        <w:rPr>
          <w:rStyle w:val="Emphasis"/>
        </w:rPr>
        <w:t>”</w:t>
      </w:r>
      <w:r w:rsidRPr="006A4805">
        <w:rPr>
          <w:sz w:val="16"/>
        </w:rPr>
        <w:t xml:space="preserve"> </w:t>
      </w:r>
      <w:r w:rsidRPr="000E092E">
        <w:rPr>
          <w:rStyle w:val="Emphasis"/>
          <w:highlight w:val="cyan"/>
        </w:rPr>
        <w:t>rather than an invention</w:t>
      </w:r>
      <w:r w:rsidRPr="006A4805">
        <w:rPr>
          <w:sz w:val="16"/>
        </w:rPr>
        <w:t xml:space="preserve">. The following chapters point out that this challenge to patentability was enabled by containing the essence of life. The </w:t>
      </w:r>
      <w:r w:rsidRPr="000E092E">
        <w:rPr>
          <w:rStyle w:val="Emphasis"/>
          <w:highlight w:val="cyan"/>
        </w:rPr>
        <w:t>Court however still maintained patentability of cDNA</w:t>
      </w:r>
      <w:r w:rsidRPr="006A4805">
        <w:rPr>
          <w:sz w:val="16"/>
        </w:rPr>
        <w:t xml:space="preserve">, arguing that it was “man-made”. </w:t>
      </w:r>
      <w:r w:rsidRPr="00C01B33">
        <w:rPr>
          <w:rStyle w:val="Emphasis"/>
        </w:rPr>
        <w:t>This</w:t>
      </w:r>
      <w:r w:rsidRPr="006A4805">
        <w:rPr>
          <w:sz w:val="16"/>
        </w:rPr>
        <w:t xml:space="preserve"> tenuous compromise </w:t>
      </w:r>
      <w:r w:rsidRPr="00C01B33">
        <w:rPr>
          <w:rStyle w:val="Emphasis"/>
        </w:rPr>
        <w:t>shows IP’s</w:t>
      </w:r>
      <w:r w:rsidRPr="006A4805">
        <w:rPr>
          <w:sz w:val="16"/>
        </w:rPr>
        <w:t xml:space="preserve"> precarious </w:t>
      </w:r>
      <w:r w:rsidRPr="00C01B33">
        <w:rPr>
          <w:rStyle w:val="Emphasis"/>
        </w:rPr>
        <w:t>position</w:t>
      </w:r>
      <w:r w:rsidRPr="006A4805">
        <w:rPr>
          <w:sz w:val="16"/>
        </w:rPr>
        <w:t xml:space="preserve"> </w:t>
      </w:r>
      <w:r w:rsidRPr="00C01B33">
        <w:rPr>
          <w:rStyle w:val="Emphasis"/>
        </w:rPr>
        <w:t>in</w:t>
      </w:r>
      <w:r w:rsidRPr="006A4805">
        <w:rPr>
          <w:sz w:val="16"/>
        </w:rPr>
        <w:t xml:space="preserve"> this new sphere of </w:t>
      </w:r>
      <w:r w:rsidRPr="00C01B33">
        <w:rPr>
          <w:rStyle w:val="Emphasis"/>
        </w:rPr>
        <w:t>politics based on genetic knowledge</w:t>
      </w:r>
      <w:r w:rsidRPr="006A4805">
        <w:rPr>
          <w:sz w:val="16"/>
        </w:rPr>
        <w:t xml:space="preserve">, and at the same time highlights its continued importance to the industry. The </w:t>
      </w:r>
      <w:r w:rsidRPr="00C01B33">
        <w:rPr>
          <w:rStyle w:val="Emphasis"/>
        </w:rPr>
        <w:t>analysis</w:t>
      </w:r>
      <w:r w:rsidRPr="006A4805">
        <w:rPr>
          <w:sz w:val="16"/>
        </w:rPr>
        <w:t xml:space="preserve"> of the </w:t>
      </w:r>
      <w:r w:rsidRPr="00C01B33">
        <w:rPr>
          <w:rStyle w:val="StyleUnderline"/>
        </w:rPr>
        <w:t>confrontation between IPRs and life conducted</w:t>
      </w:r>
      <w:r w:rsidRPr="006A4805">
        <w:rPr>
          <w:sz w:val="16"/>
        </w:rPr>
        <w:t xml:space="preserve"> in </w:t>
      </w:r>
      <w:r w:rsidRPr="00C01B33">
        <w:rPr>
          <w:rStyle w:val="StyleUnderline"/>
        </w:rPr>
        <w:t>this thesis re-</w:t>
      </w:r>
      <w:r w:rsidRPr="00C01B33">
        <w:rPr>
          <w:rStyle w:val="Emphasis"/>
        </w:rPr>
        <w:t xml:space="preserve">reads conflicts as an increasing “problematization” of genetic life for questions of governing </w:t>
      </w:r>
      <w:r w:rsidRPr="006A4805">
        <w:rPr>
          <w:sz w:val="16"/>
        </w:rPr>
        <w:t xml:space="preserve">(Foucault 1994, 114), and argues that in this context IPRs accommodating and resolving tensions between life and the economy. </w:t>
      </w:r>
      <w:r w:rsidRPr="000E092E">
        <w:rPr>
          <w:rStyle w:val="Emphasis"/>
          <w:highlight w:val="cyan"/>
        </w:rPr>
        <w:t>IP’s relation to genetic material</w:t>
      </w:r>
      <w:r w:rsidRPr="00C01B33">
        <w:rPr>
          <w:rStyle w:val="StyleUnderline"/>
        </w:rPr>
        <w:t xml:space="preserve"> is reinterpreted as a </w:t>
      </w:r>
      <w:r w:rsidRPr="00C01B33">
        <w:rPr>
          <w:rStyle w:val="Emphasis"/>
        </w:rPr>
        <w:t>confrontation with biopower</w:t>
      </w:r>
      <w:r w:rsidRPr="00C01B33">
        <w:rPr>
          <w:rStyle w:val="StyleUnderline"/>
        </w:rPr>
        <w:t xml:space="preserve">, </w:t>
      </w:r>
      <w:r w:rsidRPr="000E092E">
        <w:rPr>
          <w:rStyle w:val="Emphasis"/>
          <w:highlight w:val="cyan"/>
        </w:rPr>
        <w:t>in which IP law is being “governmentalized</w:t>
      </w:r>
      <w:r w:rsidRPr="00C01B33">
        <w:rPr>
          <w:rStyle w:val="StyleUnderline"/>
        </w:rPr>
        <w:t xml:space="preserve">” and begins to </w:t>
      </w:r>
      <w:r w:rsidRPr="00C01B33">
        <w:rPr>
          <w:rStyle w:val="Emphasis"/>
        </w:rPr>
        <w:t>negotiate tensions between different priorities</w:t>
      </w:r>
      <w:r w:rsidRPr="00C01B33">
        <w:rPr>
          <w:rStyle w:val="StyleUnderline"/>
        </w:rPr>
        <w:t xml:space="preserve"> of a new way of governing, instead of simply inscribing sovereign claims of power</w:t>
      </w:r>
      <w:r w:rsidRPr="006A4805">
        <w:rPr>
          <w:sz w:val="16"/>
        </w:rPr>
        <w:t xml:space="preserve">. This reading relies on Foucault’s notion of a new way of governing, or governmentality, which “set[s] up an economy at the level of the entire state, which means exercising […] surveillance and control as attentive as that of the head of a family over his household and his goods” (Ibid., 207). This returns to a more original interpretation of ‘economy’, which emphasises the fostering of life and well-being as part of this new art of governing (Foucault 1978, 138) – and </w:t>
      </w:r>
      <w:r w:rsidRPr="00C01B33">
        <w:rPr>
          <w:rStyle w:val="Emphasis"/>
        </w:rPr>
        <w:t xml:space="preserve">thus </w:t>
      </w:r>
      <w:r w:rsidRPr="000E092E">
        <w:rPr>
          <w:rStyle w:val="Emphasis"/>
          <w:highlight w:val="cyan"/>
        </w:rPr>
        <w:t xml:space="preserve">leads to the emergence of ‘biopower’. </w:t>
      </w:r>
      <w:r w:rsidRPr="000E092E">
        <w:rPr>
          <w:rStyle w:val="StyleUnderline"/>
          <w:highlight w:val="cyan"/>
        </w:rPr>
        <w:t xml:space="preserve">This pastoral economy </w:t>
      </w:r>
      <w:r w:rsidRPr="00945431">
        <w:rPr>
          <w:rStyle w:val="StyleUnderline"/>
        </w:rPr>
        <w:t>focused on the life of the population as an important</w:t>
      </w:r>
      <w:r>
        <w:rPr>
          <w:rStyle w:val="StyleUnderline"/>
        </w:rPr>
        <w:t xml:space="preserve"> </w:t>
      </w:r>
      <w:r w:rsidRPr="00945431">
        <w:rPr>
          <w:rStyle w:val="StyleUnderline"/>
        </w:rPr>
        <w:t>point of reference: “the welfare of the population, the improvement of its condition,</w:t>
      </w:r>
      <w:r>
        <w:rPr>
          <w:rStyle w:val="StyleUnderline"/>
        </w:rPr>
        <w:t xml:space="preserve"> </w:t>
      </w:r>
      <w:r w:rsidRPr="00945431">
        <w:rPr>
          <w:rStyle w:val="StyleUnderline"/>
        </w:rPr>
        <w:t>the increase of its wealth” (Ibid., 217), giving rise to particular biopolitical strategies.</w:t>
      </w:r>
      <w:r>
        <w:rPr>
          <w:rStyle w:val="StyleUnderline"/>
        </w:rPr>
        <w:t xml:space="preserve"> </w:t>
      </w:r>
      <w:r w:rsidRPr="00945431">
        <w:rPr>
          <w:rStyle w:val="StyleUnderline"/>
        </w:rPr>
        <w:t xml:space="preserve">This new point of reference </w:t>
      </w:r>
      <w:r w:rsidRPr="000E092E">
        <w:rPr>
          <w:rStyle w:val="StyleUnderline"/>
          <w:highlight w:val="cyan"/>
        </w:rPr>
        <w:t>leads to a governmentalisation of the state</w:t>
      </w:r>
      <w:r w:rsidRPr="00945431">
        <w:rPr>
          <w:rStyle w:val="StyleUnderline"/>
        </w:rPr>
        <w:t xml:space="preserve"> apparatus, in</w:t>
      </w:r>
      <w:r>
        <w:rPr>
          <w:rStyle w:val="StyleUnderline"/>
        </w:rPr>
        <w:t xml:space="preserve"> </w:t>
      </w:r>
      <w:r w:rsidRPr="00945431">
        <w:rPr>
          <w:rStyle w:val="StyleUnderline"/>
        </w:rPr>
        <w:t xml:space="preserve">which previously </w:t>
      </w:r>
      <w:r w:rsidRPr="000E092E">
        <w:rPr>
          <w:rStyle w:val="StyleUnderline"/>
          <w:highlight w:val="cyan"/>
        </w:rPr>
        <w:t>sovereign features of power</w:t>
      </w:r>
      <w:r w:rsidRPr="00945431">
        <w:rPr>
          <w:rStyle w:val="StyleUnderline"/>
        </w:rPr>
        <w:t xml:space="preserve"> increasingly </w:t>
      </w:r>
      <w:r w:rsidRPr="000E092E">
        <w:rPr>
          <w:rStyle w:val="StyleUnderline"/>
          <w:highlight w:val="cyan"/>
        </w:rPr>
        <w:t>act as tactics of economic governing.</w:t>
      </w:r>
      <w:r w:rsidRPr="00945431">
        <w:rPr>
          <w:rStyle w:val="StyleUnderline"/>
        </w:rPr>
        <w:t xml:space="preserve"> Sovereign aspects of power, </w:t>
      </w:r>
      <w:r w:rsidRPr="000E092E">
        <w:rPr>
          <w:rStyle w:val="StyleUnderline"/>
          <w:highlight w:val="cyan"/>
        </w:rPr>
        <w:t>such as law,</w:t>
      </w:r>
      <w:r w:rsidRPr="00945431">
        <w:rPr>
          <w:rStyle w:val="StyleUnderline"/>
        </w:rPr>
        <w:t xml:space="preserve"> thus become involved in the</w:t>
      </w:r>
      <w:r>
        <w:rPr>
          <w:rStyle w:val="StyleUnderline"/>
        </w:rPr>
        <w:t xml:space="preserve"> </w:t>
      </w:r>
      <w:r w:rsidRPr="00945431">
        <w:rPr>
          <w:rStyle w:val="StyleUnderline"/>
        </w:rPr>
        <w:t>problematization of life for questions of governing, and contribute to the realisation of</w:t>
      </w:r>
      <w:r>
        <w:rPr>
          <w:rStyle w:val="StyleUnderline"/>
        </w:rPr>
        <w:t xml:space="preserve"> </w:t>
      </w:r>
      <w:r w:rsidRPr="00945431">
        <w:rPr>
          <w:rStyle w:val="StyleUnderline"/>
        </w:rPr>
        <w:t>a pastoral yet economic fostering of life.</w:t>
      </w:r>
      <w:r w:rsidRPr="006A4805">
        <w:rPr>
          <w:sz w:val="16"/>
        </w:rPr>
        <w:t xml:space="preserve"> This process of governmentalisation thus involves a range of adjustments and tensions for law (N. Rose and Valverde 2010, 543; Elbe 2009, 12), and renders it a central site that contributes to the governing of both life and the economy – accommodating two priorities that exist in some tension with each other (Dean 2010, 120). </w:t>
      </w:r>
      <w:r w:rsidRPr="00945431">
        <w:rPr>
          <w:rStyle w:val="StyleUnderline"/>
        </w:rPr>
        <w:t xml:space="preserve">In an “analytics of power” (Dillon and Lobo-Guerrero 2008, 272), this thesis studies </w:t>
      </w:r>
      <w:r w:rsidRPr="000E092E">
        <w:rPr>
          <w:rStyle w:val="StyleUnderline"/>
          <w:highlight w:val="cyan"/>
        </w:rPr>
        <w:t>IP’s confrontation with the</w:t>
      </w:r>
      <w:r w:rsidRPr="00945431">
        <w:rPr>
          <w:rStyle w:val="StyleUnderline"/>
        </w:rPr>
        <w:t xml:space="preserve"> growing influence</w:t>
      </w:r>
      <w:r>
        <w:rPr>
          <w:rStyle w:val="StyleUnderline"/>
        </w:rPr>
        <w:t xml:space="preserve"> </w:t>
      </w:r>
      <w:r w:rsidRPr="00945431">
        <w:rPr>
          <w:rStyle w:val="StyleUnderline"/>
        </w:rPr>
        <w:t>of a “</w:t>
      </w:r>
      <w:r w:rsidRPr="000E092E">
        <w:rPr>
          <w:rStyle w:val="StyleUnderline"/>
          <w:highlight w:val="cyan"/>
        </w:rPr>
        <w:t>genetic dispositif” on the level of conflicting truth</w:t>
      </w:r>
      <w:r w:rsidRPr="00945431">
        <w:rPr>
          <w:rStyle w:val="StyleUnderline"/>
        </w:rPr>
        <w:t xml:space="preserve"> discourses over life, in</w:t>
      </w:r>
      <w:r>
        <w:rPr>
          <w:rStyle w:val="StyleUnderline"/>
        </w:rPr>
        <w:t xml:space="preserve"> </w:t>
      </w:r>
      <w:r w:rsidRPr="000E092E">
        <w:rPr>
          <w:rStyle w:val="StyleUnderline"/>
          <w:highlight w:val="cyan"/>
        </w:rPr>
        <w:t>challenges</w:t>
      </w:r>
      <w:r w:rsidRPr="00945431">
        <w:rPr>
          <w:rStyle w:val="StyleUnderline"/>
        </w:rPr>
        <w:t xml:space="preserve"> to the </w:t>
      </w:r>
      <w:r w:rsidRPr="000E092E">
        <w:rPr>
          <w:rStyle w:val="StyleUnderline"/>
          <w:highlight w:val="cyan"/>
        </w:rPr>
        <w:t>control of genetic materials</w:t>
      </w:r>
      <w:r w:rsidRPr="00945431">
        <w:rPr>
          <w:rStyle w:val="StyleUnderline"/>
        </w:rPr>
        <w:t xml:space="preserve"> voiced by ‘genetic’ subjects, and in new</w:t>
      </w:r>
      <w:r>
        <w:rPr>
          <w:rStyle w:val="StyleUnderline"/>
        </w:rPr>
        <w:t xml:space="preserve"> </w:t>
      </w:r>
      <w:r w:rsidRPr="00945431">
        <w:rPr>
          <w:rStyle w:val="StyleUnderline"/>
        </w:rPr>
        <w:t xml:space="preserve">strategies confronting IP’s relation to life </w:t>
      </w:r>
      <w:r w:rsidRPr="000E092E">
        <w:rPr>
          <w:rStyle w:val="StyleUnderline"/>
          <w:highlight w:val="cyan"/>
        </w:rPr>
        <w:t>on the national and international level</w:t>
      </w:r>
      <w:r w:rsidRPr="00945431">
        <w:rPr>
          <w:rStyle w:val="StyleUnderline"/>
        </w:rPr>
        <w:t>.</w:t>
      </w:r>
      <w:r>
        <w:rPr>
          <w:rStyle w:val="StyleUnderline"/>
        </w:rPr>
        <w:t xml:space="preserve"> </w:t>
      </w:r>
      <w:r w:rsidRPr="00945431">
        <w:rPr>
          <w:rStyle w:val="StyleUnderline"/>
        </w:rPr>
        <w:t xml:space="preserve">This analysis reveals that </w:t>
      </w:r>
      <w:r w:rsidRPr="000E092E">
        <w:rPr>
          <w:rStyle w:val="StyleUnderline"/>
          <w:highlight w:val="cyan"/>
        </w:rPr>
        <w:t>IPRs play a</w:t>
      </w:r>
      <w:r w:rsidRPr="00945431">
        <w:rPr>
          <w:rStyle w:val="StyleUnderline"/>
        </w:rPr>
        <w:t xml:space="preserve"> wider </w:t>
      </w:r>
      <w:r w:rsidRPr="000E092E">
        <w:rPr>
          <w:rStyle w:val="StyleUnderline"/>
          <w:highlight w:val="cyan"/>
        </w:rPr>
        <w:t>variety of roles in this political economy</w:t>
      </w:r>
      <w:r w:rsidRPr="00945431">
        <w:rPr>
          <w:rStyle w:val="StyleUnderline"/>
        </w:rPr>
        <w:t xml:space="preserve"> than previously suggested by critiques focusing on IP’s function of the</w:t>
      </w:r>
      <w:r>
        <w:rPr>
          <w:rStyle w:val="StyleUnderline"/>
        </w:rPr>
        <w:t xml:space="preserve"> </w:t>
      </w:r>
      <w:r w:rsidRPr="00945431">
        <w:rPr>
          <w:rStyle w:val="StyleUnderline"/>
        </w:rPr>
        <w:t xml:space="preserve">‘commodification’ of life alone. At the intersection of life and the market, </w:t>
      </w:r>
      <w:r w:rsidRPr="000E092E">
        <w:rPr>
          <w:rStyle w:val="StyleUnderline"/>
          <w:highlight w:val="cyan"/>
        </w:rPr>
        <w:t>IPRs establish commodities for the trade of knowledge over life</w:t>
      </w:r>
      <w:r w:rsidRPr="00945431">
        <w:rPr>
          <w:rStyle w:val="StyleUnderline"/>
        </w:rPr>
        <w:t>, but also play other</w:t>
      </w:r>
      <w:r>
        <w:rPr>
          <w:rStyle w:val="StyleUnderline"/>
        </w:rPr>
        <w:t xml:space="preserve"> </w:t>
      </w:r>
      <w:r w:rsidRPr="00945431">
        <w:rPr>
          <w:rStyle w:val="StyleUnderline"/>
        </w:rPr>
        <w:t xml:space="preserve">important roles, for example </w:t>
      </w:r>
      <w:r w:rsidRPr="000E092E">
        <w:rPr>
          <w:rStyle w:val="StyleUnderline"/>
          <w:highlight w:val="cyan"/>
        </w:rPr>
        <w:t>privileging one vision of life over others</w:t>
      </w:r>
      <w:r w:rsidRPr="00945431">
        <w:rPr>
          <w:rStyle w:val="StyleUnderline"/>
        </w:rPr>
        <w:t xml:space="preserve"> and thus</w:t>
      </w:r>
      <w:r>
        <w:rPr>
          <w:rStyle w:val="StyleUnderline"/>
        </w:rPr>
        <w:t xml:space="preserve"> </w:t>
      </w:r>
      <w:r w:rsidRPr="000E092E">
        <w:rPr>
          <w:rStyle w:val="StyleUnderline"/>
          <w:highlight w:val="cyan"/>
        </w:rPr>
        <w:t>contributing to the normalisation of knowledge</w:t>
      </w:r>
      <w:r w:rsidRPr="00945431">
        <w:rPr>
          <w:rStyle w:val="StyleUnderline"/>
        </w:rPr>
        <w:t xml:space="preserve">. Furthermore, </w:t>
      </w:r>
      <w:r w:rsidRPr="000E092E">
        <w:rPr>
          <w:rStyle w:val="StyleUnderline"/>
          <w:highlight w:val="cyan"/>
        </w:rPr>
        <w:t>they establish and maintain a</w:t>
      </w:r>
      <w:r w:rsidRPr="00945431">
        <w:rPr>
          <w:rStyle w:val="StyleUnderline"/>
        </w:rPr>
        <w:t xml:space="preserve"> dividing line of </w:t>
      </w:r>
      <w:r w:rsidRPr="000E092E">
        <w:rPr>
          <w:rStyle w:val="StyleUnderline"/>
          <w:highlight w:val="cyan"/>
        </w:rPr>
        <w:t>exclusion/ inclusion of participation in</w:t>
      </w:r>
      <w:r w:rsidRPr="00945431">
        <w:rPr>
          <w:rStyle w:val="StyleUnderline"/>
        </w:rPr>
        <w:t xml:space="preserve"> the area of </w:t>
      </w:r>
      <w:r w:rsidRPr="000E092E">
        <w:rPr>
          <w:rStyle w:val="StyleUnderline"/>
          <w:highlight w:val="cyan"/>
        </w:rPr>
        <w:t>IP policy making</w:t>
      </w:r>
      <w:r w:rsidRPr="00945431">
        <w:rPr>
          <w:rStyle w:val="StyleUnderline"/>
        </w:rPr>
        <w:t xml:space="preserve"> and in the life science economy, keeping challenges by patients and</w:t>
      </w:r>
      <w:r>
        <w:rPr>
          <w:rStyle w:val="StyleUnderline"/>
        </w:rPr>
        <w:t xml:space="preserve"> </w:t>
      </w:r>
      <w:r w:rsidRPr="00945431">
        <w:rPr>
          <w:rStyle w:val="StyleUnderline"/>
        </w:rPr>
        <w:t>donors at bay. An analysis of debates on the global level shows the IP regime’s</w:t>
      </w:r>
      <w:r>
        <w:rPr>
          <w:rStyle w:val="StyleUnderline"/>
        </w:rPr>
        <w:t xml:space="preserve"> </w:t>
      </w:r>
      <w:r w:rsidRPr="00945431">
        <w:rPr>
          <w:rStyle w:val="StyleUnderline"/>
        </w:rPr>
        <w:t>function as a regime of exclusion in its starkest terms.</w:t>
      </w:r>
      <w:r w:rsidRPr="006A4805">
        <w:rPr>
          <w:sz w:val="16"/>
        </w:rPr>
        <w:t xml:space="preserve"> The popular author Michael Crichton once argued “[y]ou, or someone you love, may die because of a gene patent that should never have been granted in the first place” (Crichton 2007) – on the international level, the detrimental effects of IP law are already a very painful and widespread truth (Godoy 2013). But even here, where the influence of donors and patients is still mostly excluded from participation in the development of IP policy, this division is coming under increasing pressure, as new strategies begin to contest this exclusion from within the core institutions of the IP apparatus.</w:t>
      </w:r>
    </w:p>
    <w:p w14:paraId="1833BDA0" w14:textId="3521889A" w:rsidR="006C0B77" w:rsidRDefault="006C0B77" w:rsidP="006C0B77">
      <w:pPr>
        <w:pStyle w:val="Heading1"/>
      </w:pPr>
      <w:r>
        <w:t>AT Kritiks</w:t>
      </w:r>
    </w:p>
    <w:p w14:paraId="5C11517F" w14:textId="7CDBD2D2" w:rsidR="005B2FBD" w:rsidRDefault="00485D62" w:rsidP="005B2FBD">
      <w:pPr>
        <w:pStyle w:val="Heading2"/>
      </w:pPr>
      <w:r>
        <w:t>Cap</w:t>
      </w:r>
    </w:p>
    <w:p w14:paraId="0C3F1371" w14:textId="28705C17" w:rsidR="005B2FBD" w:rsidRPr="005B2FBD" w:rsidRDefault="00485D62" w:rsidP="005B2FBD">
      <w:pPr>
        <w:pStyle w:val="Heading3"/>
      </w:pPr>
      <w:r>
        <w:t>AT L – Class Focus</w:t>
      </w:r>
    </w:p>
    <w:p w14:paraId="6E8F3B65" w14:textId="537F4BA7" w:rsidR="00F471F2" w:rsidRDefault="005B2FBD" w:rsidP="005B2FBD">
      <w:pPr>
        <w:pStyle w:val="Heading4"/>
      </w:pPr>
      <w:r>
        <w:t>The link is class reductionism—ip rights and neoliberalism are technologies of biopolitics that operate uniquely in different circumstances</w:t>
      </w:r>
    </w:p>
    <w:p w14:paraId="323E7E1C" w14:textId="25F8AB7B" w:rsidR="00F471F2" w:rsidRPr="005B2FBD" w:rsidRDefault="005B2FBD" w:rsidP="00F471F2">
      <w:pPr>
        <w:rPr>
          <w:rStyle w:val="Style13ptBold"/>
        </w:rPr>
      </w:pPr>
      <w:r w:rsidRPr="005B2FBD">
        <w:rPr>
          <w:rStyle w:val="Style13ptBold"/>
        </w:rPr>
        <w:t>Foster 12</w:t>
      </w:r>
    </w:p>
    <w:p w14:paraId="1076AAC1" w14:textId="58691A3A" w:rsidR="00F471F2" w:rsidRPr="006A4805" w:rsidRDefault="005B2FBD" w:rsidP="00F471F2">
      <w:pPr>
        <w:rPr>
          <w:sz w:val="16"/>
        </w:rPr>
      </w:pPr>
      <w:r w:rsidRPr="006A4805">
        <w:rPr>
          <w:sz w:val="16"/>
        </w:rPr>
        <w:t>Laura A., Assistant Professor of Gender Studies, Indiana University, Bloomington; Faculty Affiliate, Center for Intellectual Property Research, Indiana University Maurer School of Law. “Patents, Biopolitics, and Feminisms: Locating Patent Law Struggles over Breast Cancer Genes and the Hoodia Plant.” International Journal of Cultural Property (2012) 19. Pp 372-376. VQ</w:t>
      </w:r>
    </w:p>
    <w:p w14:paraId="095263F3" w14:textId="39CE7B6C" w:rsidR="00F471F2" w:rsidRPr="006A4805" w:rsidRDefault="00F471F2" w:rsidP="00F471F2">
      <w:pPr>
        <w:rPr>
          <w:sz w:val="16"/>
        </w:rPr>
      </w:pPr>
      <w:r w:rsidRPr="00F471F2">
        <w:rPr>
          <w:rStyle w:val="StyleUnderline"/>
        </w:rPr>
        <w:t>Patent ownership accompanies novel forms of governing the human body within</w:t>
      </w:r>
      <w:r w:rsidR="005B2FBD">
        <w:rPr>
          <w:rStyle w:val="StyleUnderline"/>
        </w:rPr>
        <w:t xml:space="preserve"> </w:t>
      </w:r>
      <w:r w:rsidRPr="00F471F2">
        <w:rPr>
          <w:rStyle w:val="StyleUnderline"/>
        </w:rPr>
        <w:t>neoliberal conditions.</w:t>
      </w:r>
      <w:r w:rsidRPr="006A4805">
        <w:rPr>
          <w:sz w:val="16"/>
        </w:rPr>
        <w:t xml:space="preserve"> Neoliberalism, as a set of ideologies and practices, emphasizes privatization and free trade as privileged modes of governance. It is characterized by modes of deregulation that accompany the reduction of the welfare state.</w:t>
      </w:r>
      <w:r w:rsidR="005B2FBD" w:rsidRPr="006A4805">
        <w:rPr>
          <w:sz w:val="16"/>
        </w:rPr>
        <w:t xml:space="preserve"> </w:t>
      </w:r>
      <w:r w:rsidRPr="006A4805">
        <w:rPr>
          <w:sz w:val="16"/>
        </w:rPr>
        <w:t>It is also beset by increased regulation, in particular, the control and management</w:t>
      </w:r>
      <w:r w:rsidR="005B2FBD" w:rsidRPr="006A4805">
        <w:rPr>
          <w:sz w:val="16"/>
        </w:rPr>
        <w:t xml:space="preserve"> </w:t>
      </w:r>
      <w:r w:rsidRPr="006A4805">
        <w:rPr>
          <w:sz w:val="16"/>
        </w:rPr>
        <w:t>of knowledge through patent law. This section situates patent law as a juridical</w:t>
      </w:r>
      <w:r w:rsidR="005B2FBD" w:rsidRPr="006A4805">
        <w:rPr>
          <w:sz w:val="16"/>
        </w:rPr>
        <w:t xml:space="preserve"> </w:t>
      </w:r>
      <w:r w:rsidRPr="006A4805">
        <w:rPr>
          <w:sz w:val="16"/>
        </w:rPr>
        <w:t>tool and mechanism of neoliberalism where biological and genetic material are</w:t>
      </w:r>
      <w:r w:rsidR="005B2FBD" w:rsidRPr="006A4805">
        <w:rPr>
          <w:sz w:val="16"/>
        </w:rPr>
        <w:t xml:space="preserve"> </w:t>
      </w:r>
      <w:r w:rsidRPr="006A4805">
        <w:rPr>
          <w:sz w:val="16"/>
        </w:rPr>
        <w:t>privatized for the development of capitalist production. This section also positions patent law within understandings of biopolitics and gendered inequalities.</w:t>
      </w:r>
      <w:r w:rsidR="005B2FBD" w:rsidRPr="006A4805">
        <w:rPr>
          <w:sz w:val="16"/>
        </w:rPr>
        <w:t xml:space="preserve"> </w:t>
      </w:r>
      <w:r w:rsidRPr="00F471F2">
        <w:rPr>
          <w:rStyle w:val="StyleUnderline"/>
        </w:rPr>
        <w:t>Within the architecture of neoliberalism, nature becomes a public good best removed from the public domain and privatized in order to ensure its management</w:t>
      </w:r>
      <w:r w:rsidR="005B2FBD">
        <w:rPr>
          <w:rStyle w:val="StyleUnderline"/>
        </w:rPr>
        <w:t xml:space="preserve"> </w:t>
      </w:r>
      <w:r w:rsidRPr="00F471F2">
        <w:rPr>
          <w:rStyle w:val="StyleUnderline"/>
        </w:rPr>
        <w:t>through free market mechanisms</w:t>
      </w:r>
      <w:r w:rsidRPr="006A4805">
        <w:rPr>
          <w:sz w:val="16"/>
        </w:rPr>
        <w:t>.5 For example, cell lines are extracted and isolated from the public domain of the human body, and then patented, giving owners</w:t>
      </w:r>
      <w:r w:rsidR="005B2FBD" w:rsidRPr="006A4805">
        <w:rPr>
          <w:sz w:val="16"/>
        </w:rPr>
        <w:t xml:space="preserve"> </w:t>
      </w:r>
      <w:r w:rsidRPr="006A4805">
        <w:rPr>
          <w:sz w:val="16"/>
        </w:rPr>
        <w:t xml:space="preserve">exclusive rights to temporarily control the uses of their invention. </w:t>
      </w:r>
      <w:r w:rsidRPr="00F471F2">
        <w:rPr>
          <w:rStyle w:val="StyleUnderline"/>
        </w:rPr>
        <w:t>Such privatization places human bodily tissue into global circuits of capital, where cell lines and</w:t>
      </w:r>
      <w:r w:rsidR="005B2FBD">
        <w:rPr>
          <w:rStyle w:val="StyleUnderline"/>
        </w:rPr>
        <w:t xml:space="preserve"> </w:t>
      </w:r>
      <w:r w:rsidRPr="00F471F2">
        <w:rPr>
          <w:rStyle w:val="StyleUnderline"/>
        </w:rPr>
        <w:t>DNA sequences take on value as biocapital.6 Patent law also becomes intimately tied</w:t>
      </w:r>
      <w:r w:rsidR="005B2FBD">
        <w:rPr>
          <w:rStyle w:val="StyleUnderline"/>
        </w:rPr>
        <w:t xml:space="preserve"> </w:t>
      </w:r>
      <w:r w:rsidRPr="00F471F2">
        <w:rPr>
          <w:rStyle w:val="StyleUnderline"/>
        </w:rPr>
        <w:t>to and generative of logics of free trade</w:t>
      </w:r>
      <w:r w:rsidRPr="006A4805">
        <w:rPr>
          <w:sz w:val="16"/>
        </w:rPr>
        <w:t>. This is most clearly articulated by the World</w:t>
      </w:r>
      <w:r w:rsidR="005B2FBD" w:rsidRPr="006A4805">
        <w:rPr>
          <w:sz w:val="16"/>
        </w:rPr>
        <w:t xml:space="preserve"> </w:t>
      </w:r>
      <w:r w:rsidRPr="006A4805">
        <w:rPr>
          <w:sz w:val="16"/>
        </w:rPr>
        <w:t>Trade Organization’s Agreement on Trade-Related Aspects of Intellectual Property</w:t>
      </w:r>
      <w:r w:rsidR="005B2FBD" w:rsidRPr="006A4805">
        <w:rPr>
          <w:sz w:val="16"/>
        </w:rPr>
        <w:t xml:space="preserve"> </w:t>
      </w:r>
      <w:r w:rsidRPr="006A4805">
        <w:rPr>
          <w:sz w:val="16"/>
        </w:rPr>
        <w:t>Rights. The Agreement links global trade explicitly to the international harmonization of intellectual property rights among member states. Member states are required to uphold the intellectual property rights of other member states or face</w:t>
      </w:r>
      <w:r w:rsidR="005B2FBD" w:rsidRPr="006A4805">
        <w:rPr>
          <w:sz w:val="16"/>
        </w:rPr>
        <w:t xml:space="preserve"> </w:t>
      </w:r>
      <w:r w:rsidRPr="006A4805">
        <w:rPr>
          <w:sz w:val="16"/>
        </w:rPr>
        <w:t>restrictions on trade relations. The analytics of patent law are also grounded in an</w:t>
      </w:r>
      <w:r w:rsidR="005B2FBD" w:rsidRPr="006A4805">
        <w:rPr>
          <w:sz w:val="16"/>
        </w:rPr>
        <w:t xml:space="preserve"> </w:t>
      </w:r>
      <w:r w:rsidRPr="006A4805">
        <w:rPr>
          <w:sz w:val="16"/>
        </w:rPr>
        <w:t>ironic logic whereby temporary monopoly protection is said to ensure the free trade</w:t>
      </w:r>
      <w:r w:rsidR="005B2FBD" w:rsidRPr="006A4805">
        <w:rPr>
          <w:sz w:val="16"/>
        </w:rPr>
        <w:t xml:space="preserve"> </w:t>
      </w:r>
      <w:r w:rsidRPr="006A4805">
        <w:rPr>
          <w:sz w:val="16"/>
        </w:rPr>
        <w:t>and exchange of biological and genetic material by promoting innovation.</w:t>
      </w:r>
      <w:r w:rsidR="005B2FBD" w:rsidRPr="006A4805">
        <w:rPr>
          <w:sz w:val="16"/>
        </w:rPr>
        <w:t xml:space="preserve"> </w:t>
      </w:r>
      <w:r w:rsidRPr="00F471F2">
        <w:rPr>
          <w:rStyle w:val="StyleUnderline"/>
        </w:rPr>
        <w:t>As the normative legal argument goes, granting patent rights encourages further</w:t>
      </w:r>
      <w:r w:rsidR="005B2FBD">
        <w:rPr>
          <w:rStyle w:val="StyleUnderline"/>
        </w:rPr>
        <w:t xml:space="preserve"> </w:t>
      </w:r>
      <w:r w:rsidRPr="00F471F2">
        <w:rPr>
          <w:rStyle w:val="StyleUnderline"/>
        </w:rPr>
        <w:t>innovation through the public disclosure of scientific inventions.7</w:t>
      </w:r>
      <w:r w:rsidRPr="006A4805">
        <w:rPr>
          <w:sz w:val="16"/>
        </w:rPr>
        <w:t xml:space="preserve"> A world without</w:t>
      </w:r>
      <w:r w:rsidR="005B2FBD" w:rsidRPr="006A4805">
        <w:rPr>
          <w:sz w:val="16"/>
        </w:rPr>
        <w:t xml:space="preserve"> </w:t>
      </w:r>
      <w:r w:rsidRPr="006A4805">
        <w:rPr>
          <w:sz w:val="16"/>
        </w:rPr>
        <w:t>patent rights would mean an economic terrain in which companies kept their innovations as trade secrets and failed to produce public goods sufficiently. Inventors</w:t>
      </w:r>
      <w:r w:rsidR="005B2FBD" w:rsidRPr="006A4805">
        <w:rPr>
          <w:sz w:val="16"/>
        </w:rPr>
        <w:t xml:space="preserve"> </w:t>
      </w:r>
      <w:r w:rsidRPr="006A4805">
        <w:rPr>
          <w:sz w:val="16"/>
        </w:rPr>
        <w:t>are thus given temporary, exclusive patent rights to control the use of their inventions. In return, they are required to unveil their scientific work by filing a patent</w:t>
      </w:r>
      <w:r w:rsidR="005B2FBD" w:rsidRPr="006A4805">
        <w:rPr>
          <w:sz w:val="16"/>
        </w:rPr>
        <w:t xml:space="preserve"> </w:t>
      </w:r>
      <w:r w:rsidRPr="006A4805">
        <w:rPr>
          <w:sz w:val="16"/>
        </w:rPr>
        <w:t>specification document, which is open to public gaze. Patent filings therefore become productive features of the scientific process. Scientists, with the help of their</w:t>
      </w:r>
      <w:r w:rsidR="005B2FBD" w:rsidRPr="006A4805">
        <w:rPr>
          <w:sz w:val="16"/>
        </w:rPr>
        <w:t xml:space="preserve"> </w:t>
      </w:r>
      <w:r w:rsidRPr="006A4805">
        <w:rPr>
          <w:sz w:val="16"/>
        </w:rPr>
        <w:t>attorneys, refer to specification documents to learn new pathways for scientific research and/or to confirm the novelty of their findings. Further scientific knowledge</w:t>
      </w:r>
      <w:r w:rsidR="005B2FBD" w:rsidRPr="006A4805">
        <w:rPr>
          <w:sz w:val="16"/>
        </w:rPr>
        <w:t xml:space="preserve"> </w:t>
      </w:r>
      <w:r w:rsidRPr="006A4805">
        <w:rPr>
          <w:sz w:val="16"/>
        </w:rPr>
        <w:t>is thus generated, and additional patent rights are assigned to inventions that are entirely new or improvements thereof. Once patent rights expire, then inventions flow</w:t>
      </w:r>
      <w:r w:rsidR="005B2FBD" w:rsidRPr="006A4805">
        <w:rPr>
          <w:sz w:val="16"/>
        </w:rPr>
        <w:t xml:space="preserve"> </w:t>
      </w:r>
      <w:r w:rsidRPr="006A4805">
        <w:rPr>
          <w:sz w:val="16"/>
        </w:rPr>
        <w:t xml:space="preserve">back to the public domain and are freely open for use by others. </w:t>
      </w:r>
      <w:r w:rsidRPr="00F471F2">
        <w:rPr>
          <w:rStyle w:val="StyleUnderline"/>
        </w:rPr>
        <w:t>Patent ownership</w:t>
      </w:r>
      <w:r w:rsidR="005B2FBD">
        <w:rPr>
          <w:rStyle w:val="StyleUnderline"/>
        </w:rPr>
        <w:t xml:space="preserve"> </w:t>
      </w:r>
      <w:r w:rsidRPr="00F471F2">
        <w:rPr>
          <w:rStyle w:val="StyleUnderline"/>
        </w:rPr>
        <w:t>is therefore justified through a market-mediated, temporal trick whereby short-term monopoly protection is said to encourage a future of freely traded materials</w:t>
      </w:r>
      <w:r w:rsidR="005B2FBD">
        <w:rPr>
          <w:rStyle w:val="StyleUnderline"/>
        </w:rPr>
        <w:t xml:space="preserve"> </w:t>
      </w:r>
      <w:r w:rsidRPr="00F471F2">
        <w:rPr>
          <w:rStyle w:val="StyleUnderline"/>
        </w:rPr>
        <w:t>within the public domain. Critical intellectual property scholars, as will be discussed,</w:t>
      </w:r>
      <w:r w:rsidR="005B2FBD">
        <w:rPr>
          <w:rStyle w:val="StyleUnderline"/>
        </w:rPr>
        <w:t xml:space="preserve"> </w:t>
      </w:r>
      <w:r w:rsidRPr="00F471F2">
        <w:rPr>
          <w:rStyle w:val="StyleUnderline"/>
        </w:rPr>
        <w:t>contest this normative justification and argue that expansive patent law rights actually stifle the free exchange of creative ideas and materials</w:t>
      </w:r>
      <w:r w:rsidRPr="006A4805">
        <w:rPr>
          <w:sz w:val="16"/>
        </w:rPr>
        <w:t>. Nevertheless, patent law</w:t>
      </w:r>
      <w:r w:rsidR="005B2FBD" w:rsidRPr="006A4805">
        <w:rPr>
          <w:sz w:val="16"/>
        </w:rPr>
        <w:t xml:space="preserve"> </w:t>
      </w:r>
      <w:r w:rsidRPr="006A4805">
        <w:rPr>
          <w:sz w:val="16"/>
        </w:rPr>
        <w:t>rights are espoused as both a product and generator of neoliberal economic values</w:t>
      </w:r>
      <w:r w:rsidR="005B2FBD" w:rsidRPr="006A4805">
        <w:rPr>
          <w:sz w:val="16"/>
        </w:rPr>
        <w:t xml:space="preserve"> </w:t>
      </w:r>
      <w:r w:rsidRPr="006A4805">
        <w:rPr>
          <w:sz w:val="16"/>
        </w:rPr>
        <w:t xml:space="preserve">of privatization and free trade. </w:t>
      </w:r>
      <w:r w:rsidRPr="00F471F2">
        <w:rPr>
          <w:rStyle w:val="StyleUnderline"/>
        </w:rPr>
        <w:t>This is important for understanding patent law as a</w:t>
      </w:r>
      <w:r w:rsidR="005B2FBD">
        <w:rPr>
          <w:rStyle w:val="StyleUnderline"/>
        </w:rPr>
        <w:t xml:space="preserve"> </w:t>
      </w:r>
      <w:r w:rsidRPr="00F471F2">
        <w:rPr>
          <w:rStyle w:val="StyleUnderline"/>
        </w:rPr>
        <w:t>technology of biopower designed to function as a norm signifying value. Biopower offers a theoretical framework for understanding contemporary forms</w:t>
      </w:r>
      <w:r w:rsidR="005B2FBD">
        <w:rPr>
          <w:rStyle w:val="StyleUnderline"/>
        </w:rPr>
        <w:t xml:space="preserve"> </w:t>
      </w:r>
      <w:r w:rsidRPr="00F471F2">
        <w:rPr>
          <w:rStyle w:val="StyleUnderline"/>
        </w:rPr>
        <w:t>of governance within a neoliberal order that includes patent law ownership</w:t>
      </w:r>
      <w:r w:rsidRPr="006A4805">
        <w:rPr>
          <w:sz w:val="16"/>
        </w:rPr>
        <w:t>. Foucault argued that, starting in the seventeenth century, mechanisms of power shifted</w:t>
      </w:r>
      <w:r w:rsidR="005B2FBD" w:rsidRPr="006A4805">
        <w:rPr>
          <w:sz w:val="16"/>
        </w:rPr>
        <w:t xml:space="preserve"> </w:t>
      </w:r>
      <w:r w:rsidRPr="006A4805">
        <w:rPr>
          <w:sz w:val="16"/>
        </w:rPr>
        <w:t>from the sovereign authority to take a life toward the power to foster life.</w:t>
      </w:r>
      <w:r w:rsidRPr="00F471F2">
        <w:rPr>
          <w:rStyle w:val="StyleUnderline"/>
        </w:rPr>
        <w:t>8 Power</w:t>
      </w:r>
      <w:r w:rsidR="005B2FBD">
        <w:rPr>
          <w:rStyle w:val="StyleUnderline"/>
        </w:rPr>
        <w:t xml:space="preserve"> </w:t>
      </w:r>
      <w:r w:rsidRPr="00F471F2">
        <w:rPr>
          <w:rStyle w:val="StyleUnderline"/>
        </w:rPr>
        <w:t>became directed at administering and regulating the biological existence of populations. Bodies became subject to “techniques of power”9 through diverse institutions such as schools, churches, hospitals, and the family, which were aimed at</w:t>
      </w:r>
      <w:r w:rsidR="005B2FBD">
        <w:rPr>
          <w:rStyle w:val="StyleUnderline"/>
        </w:rPr>
        <w:t xml:space="preserve"> </w:t>
      </w:r>
      <w:r w:rsidRPr="00F471F2">
        <w:rPr>
          <w:rStyle w:val="StyleUnderline"/>
        </w:rPr>
        <w:t>managing populations for the development of capitalist production</w:t>
      </w:r>
      <w:r w:rsidRPr="006A4805">
        <w:rPr>
          <w:sz w:val="16"/>
        </w:rPr>
        <w:t>. Power therefore, according to Foucault, transformed into a discursive power that “comes from</w:t>
      </w:r>
      <w:r w:rsidR="005B2FBD" w:rsidRPr="006A4805">
        <w:rPr>
          <w:sz w:val="16"/>
        </w:rPr>
        <w:t xml:space="preserve"> </w:t>
      </w:r>
      <w:r w:rsidRPr="006A4805">
        <w:rPr>
          <w:sz w:val="16"/>
        </w:rPr>
        <w:t>everywhere.”10 As a consequence, Foucault claims that the juridical system of law</w:t>
      </w:r>
      <w:r w:rsidR="005B2FBD" w:rsidRPr="006A4805">
        <w:rPr>
          <w:sz w:val="16"/>
        </w:rPr>
        <w:t xml:space="preserve"> </w:t>
      </w:r>
      <w:r w:rsidRPr="006A4805">
        <w:rPr>
          <w:sz w:val="16"/>
        </w:rPr>
        <w:t>gave way and shifted to law as norm. This does not mean that the law is no longer</w:t>
      </w:r>
      <w:r w:rsidR="005B2FBD" w:rsidRPr="006A4805">
        <w:rPr>
          <w:sz w:val="16"/>
        </w:rPr>
        <w:t xml:space="preserve"> </w:t>
      </w:r>
      <w:r w:rsidRPr="006A4805">
        <w:rPr>
          <w:sz w:val="16"/>
        </w:rPr>
        <w:t>an important site of inquiry. Rather, the law, whose task is to govern life, begins to</w:t>
      </w:r>
      <w:r w:rsidR="005B2FBD" w:rsidRPr="006A4805">
        <w:rPr>
          <w:sz w:val="16"/>
        </w:rPr>
        <w:t xml:space="preserve"> </w:t>
      </w:r>
      <w:r w:rsidRPr="006A4805">
        <w:rPr>
          <w:sz w:val="16"/>
        </w:rPr>
        <w:t>operate more as a norm and “the judicial institution is increasingly incorporated</w:t>
      </w:r>
      <w:r w:rsidR="005B2FBD" w:rsidRPr="006A4805">
        <w:rPr>
          <w:sz w:val="16"/>
        </w:rPr>
        <w:t xml:space="preserve"> </w:t>
      </w:r>
      <w:r w:rsidRPr="006A4805">
        <w:rPr>
          <w:sz w:val="16"/>
        </w:rPr>
        <w:t>into a continuum of apparatuses (medical, administrative, etc.) whose functions</w:t>
      </w:r>
      <w:r w:rsidR="005B2FBD" w:rsidRPr="006A4805">
        <w:rPr>
          <w:sz w:val="16"/>
        </w:rPr>
        <w:t xml:space="preserve"> </w:t>
      </w:r>
      <w:r w:rsidRPr="006A4805">
        <w:rPr>
          <w:sz w:val="16"/>
        </w:rPr>
        <w:t>are for the most part regulatory.”11 This later point is important for our purposes.</w:t>
      </w:r>
      <w:r w:rsidR="005B2FBD" w:rsidRPr="006A4805">
        <w:rPr>
          <w:sz w:val="16"/>
        </w:rPr>
        <w:t xml:space="preserve"> </w:t>
      </w:r>
      <w:r w:rsidRPr="00F471F2">
        <w:rPr>
          <w:rStyle w:val="StyleUnderline"/>
        </w:rPr>
        <w:t>Law remains a crucial site of analysis to consider within biopolitics. Yet, attention must be paid to the discursive and regulatory power of the law and how it is</w:t>
      </w:r>
      <w:r w:rsidR="005B2FBD">
        <w:rPr>
          <w:rStyle w:val="StyleUnderline"/>
        </w:rPr>
        <w:t xml:space="preserve"> </w:t>
      </w:r>
      <w:r w:rsidRPr="00F471F2">
        <w:rPr>
          <w:rStyle w:val="StyleUnderline"/>
        </w:rPr>
        <w:t>embedded</w:t>
      </w:r>
      <w:r w:rsidRPr="006A4805">
        <w:rPr>
          <w:sz w:val="16"/>
        </w:rPr>
        <w:t>. How does patent law act as an ethico-legal norm privileging certain</w:t>
      </w:r>
      <w:r w:rsidR="005B2FBD" w:rsidRPr="006A4805">
        <w:rPr>
          <w:sz w:val="16"/>
        </w:rPr>
        <w:t xml:space="preserve"> </w:t>
      </w:r>
      <w:r w:rsidRPr="006A4805">
        <w:rPr>
          <w:sz w:val="16"/>
        </w:rPr>
        <w:t>forms of knowledge production, bodies, and subjectivities over others? How are</w:t>
      </w:r>
      <w:r w:rsidR="005B2FBD" w:rsidRPr="006A4805">
        <w:rPr>
          <w:sz w:val="16"/>
        </w:rPr>
        <w:t xml:space="preserve"> </w:t>
      </w:r>
      <w:r w:rsidRPr="006A4805">
        <w:rPr>
          <w:sz w:val="16"/>
        </w:rPr>
        <w:t>patent law, scientific knowledge, and the life science industries co-constituted? How</w:t>
      </w:r>
      <w:r w:rsidR="005B2FBD" w:rsidRPr="006A4805">
        <w:rPr>
          <w:sz w:val="16"/>
        </w:rPr>
        <w:t xml:space="preserve"> </w:t>
      </w:r>
      <w:r w:rsidRPr="006A4805">
        <w:rPr>
          <w:sz w:val="16"/>
        </w:rPr>
        <w:t>is patent law employed as a technique to optimize and manage life in the service</w:t>
      </w:r>
      <w:r w:rsidR="005B2FBD" w:rsidRPr="006A4805">
        <w:rPr>
          <w:sz w:val="16"/>
        </w:rPr>
        <w:t xml:space="preserve"> </w:t>
      </w:r>
      <w:r w:rsidRPr="006A4805">
        <w:rPr>
          <w:sz w:val="16"/>
        </w:rPr>
        <w:t>of neoliberal capitalism? These questions begin to frame a feminist analysis of patent law that opens up space to consider the multiple and contradictory implications of patent law on different women’s lives.</w:t>
      </w:r>
      <w:r w:rsidR="005B2FBD" w:rsidRPr="006A4805">
        <w:rPr>
          <w:sz w:val="16"/>
        </w:rPr>
        <w:t xml:space="preserve"> </w:t>
      </w:r>
      <w:r w:rsidRPr="006A4805">
        <w:rPr>
          <w:sz w:val="16"/>
        </w:rPr>
        <w:t>Critical science studies scholars articulate a more contemporary understanding</w:t>
      </w:r>
      <w:r w:rsidR="005B2FBD" w:rsidRPr="006A4805">
        <w:rPr>
          <w:sz w:val="16"/>
        </w:rPr>
        <w:t xml:space="preserve"> </w:t>
      </w:r>
      <w:r w:rsidRPr="006A4805">
        <w:rPr>
          <w:sz w:val="16"/>
        </w:rPr>
        <w:t xml:space="preserve">of biopolitics, which help frame and illuminate patent law. </w:t>
      </w:r>
      <w:r w:rsidRPr="00F471F2">
        <w:rPr>
          <w:rStyle w:val="StyleUnderline"/>
        </w:rPr>
        <w:t>Science in the twenty-first century is a technomedicine and technoscience shaped by capitalization and</w:t>
      </w:r>
      <w:r w:rsidR="005B2FBD">
        <w:rPr>
          <w:rStyle w:val="StyleUnderline"/>
        </w:rPr>
        <w:t xml:space="preserve"> </w:t>
      </w:r>
      <w:r w:rsidRPr="00F471F2">
        <w:rPr>
          <w:rStyle w:val="StyleUnderline"/>
        </w:rPr>
        <w:t>intellectual property rights.12</w:t>
      </w:r>
      <w:r w:rsidRPr="006A4805">
        <w:rPr>
          <w:sz w:val="16"/>
        </w:rPr>
        <w:t xml:space="preserve"> It involves the “molecularization”13 of the body where</w:t>
      </w:r>
      <w:r w:rsidR="005B2FBD" w:rsidRPr="006A4805">
        <w:rPr>
          <w:sz w:val="16"/>
        </w:rPr>
        <w:t xml:space="preserve"> </w:t>
      </w:r>
      <w:r w:rsidRPr="006A4805">
        <w:rPr>
          <w:sz w:val="16"/>
        </w:rPr>
        <w:t>cells, tissues, and DNA are made visible, isolated, stored and can be transferred to</w:t>
      </w:r>
      <w:r w:rsidR="005B2FBD" w:rsidRPr="006A4805">
        <w:rPr>
          <w:sz w:val="16"/>
        </w:rPr>
        <w:t xml:space="preserve"> </w:t>
      </w:r>
      <w:r w:rsidRPr="006A4805">
        <w:rPr>
          <w:sz w:val="16"/>
        </w:rPr>
        <w:t xml:space="preserve">others through new circuits of biovalue mediated by patent ownership. </w:t>
      </w:r>
      <w:r w:rsidRPr="00F471F2">
        <w:rPr>
          <w:rStyle w:val="StyleUnderline"/>
        </w:rPr>
        <w:t>Technologies of the self have shifted to become “technologies of optimization” that not</w:t>
      </w:r>
      <w:r w:rsidR="005B2FBD">
        <w:rPr>
          <w:rStyle w:val="StyleUnderline"/>
        </w:rPr>
        <w:t xml:space="preserve"> </w:t>
      </w:r>
      <w:r w:rsidRPr="00F471F2">
        <w:rPr>
          <w:rStyle w:val="StyleUnderline"/>
        </w:rPr>
        <w:t>only govern bodies, but also “change what it means to be biological.”14 New hierarchies structured through an “informatics of domination”15 no longer stress</w:t>
      </w:r>
      <w:r w:rsidR="005B2FBD">
        <w:rPr>
          <w:rStyle w:val="StyleUnderline"/>
        </w:rPr>
        <w:t xml:space="preserve"> </w:t>
      </w:r>
      <w:r w:rsidRPr="00F471F2">
        <w:rPr>
          <w:rStyle w:val="StyleUnderline"/>
        </w:rPr>
        <w:t>the perfection of bodies, but rather their optimization</w:t>
      </w:r>
      <w:r w:rsidRPr="006A4805">
        <w:rPr>
          <w:sz w:val="16"/>
        </w:rPr>
        <w:t>. As individuals are obliged</w:t>
      </w:r>
      <w:r w:rsidR="005B2FBD" w:rsidRPr="006A4805">
        <w:rPr>
          <w:sz w:val="16"/>
        </w:rPr>
        <w:t xml:space="preserve"> </w:t>
      </w:r>
      <w:r w:rsidRPr="006A4805">
        <w:rPr>
          <w:sz w:val="16"/>
        </w:rPr>
        <w:t>to optimize themselves, patent law incites innovations for them to take advantage</w:t>
      </w:r>
      <w:r w:rsidR="005B2FBD" w:rsidRPr="006A4805">
        <w:rPr>
          <w:sz w:val="16"/>
        </w:rPr>
        <w:t xml:space="preserve"> </w:t>
      </w:r>
      <w:r w:rsidRPr="006A4805">
        <w:rPr>
          <w:sz w:val="16"/>
        </w:rPr>
        <w:t xml:space="preserve">of. </w:t>
      </w:r>
      <w:r w:rsidRPr="00F471F2">
        <w:rPr>
          <w:rStyle w:val="StyleUnderline"/>
        </w:rPr>
        <w:t>Patent law therefore facilitates the optimization of nature for circuits of capital, so that individuals can optimize themselves.</w:t>
      </w:r>
      <w:r w:rsidR="005B2FBD">
        <w:rPr>
          <w:rStyle w:val="StyleUnderline"/>
        </w:rPr>
        <w:t xml:space="preserve"> </w:t>
      </w:r>
      <w:r w:rsidRPr="00F471F2">
        <w:rPr>
          <w:rStyle w:val="StyleUnderline"/>
        </w:rPr>
        <w:t>Human beings thus become “nature’s author or inventor”16 as they seek to generate and utilize technoscientific inventions. New forms of subjectivity also emerge</w:t>
      </w:r>
      <w:r w:rsidR="005B2FBD">
        <w:rPr>
          <w:rStyle w:val="StyleUnderline"/>
        </w:rPr>
        <w:t xml:space="preserve"> </w:t>
      </w:r>
      <w:r w:rsidRPr="00F471F2">
        <w:rPr>
          <w:rStyle w:val="StyleUnderline"/>
        </w:rPr>
        <w:t>as individuals engage in self-techniques to manage their risk and susceptibility for</w:t>
      </w:r>
      <w:r w:rsidR="005B2FBD">
        <w:rPr>
          <w:rStyle w:val="StyleUnderline"/>
        </w:rPr>
        <w:t xml:space="preserve"> </w:t>
      </w:r>
      <w:r w:rsidRPr="00F471F2">
        <w:rPr>
          <w:rStyle w:val="StyleUnderline"/>
        </w:rPr>
        <w:t>disease</w:t>
      </w:r>
      <w:r w:rsidRPr="006A4805">
        <w:rPr>
          <w:sz w:val="16"/>
        </w:rPr>
        <w:t>. For example, individuals are compelled to take advantage of genetic counseling and screening. In so doing, they form new biosocial relations of “somatic expertise”17 with medical professionals, while also developing new modes of genetic and biological citizenship by lobbying politicians to support genetic causes. Such relations and modes of citizenship also work to contest patent law ownership and its</w:t>
      </w:r>
      <w:r w:rsidR="005B2FBD" w:rsidRPr="006A4805">
        <w:rPr>
          <w:sz w:val="16"/>
        </w:rPr>
        <w:t xml:space="preserve"> </w:t>
      </w:r>
      <w:r w:rsidRPr="006A4805">
        <w:rPr>
          <w:sz w:val="16"/>
        </w:rPr>
        <w:t>privileging of scientific expertise, as individuals become patent owners themselves</w:t>
      </w:r>
      <w:r w:rsidR="005B2FBD" w:rsidRPr="006A4805">
        <w:rPr>
          <w:sz w:val="16"/>
        </w:rPr>
        <w:t xml:space="preserve"> </w:t>
      </w:r>
      <w:r w:rsidRPr="006A4805">
        <w:rPr>
          <w:sz w:val="16"/>
        </w:rPr>
        <w:t>(e.g., PXE International) and/or file legal claims against patents on their human tissue (e.g., Moore18). Furthermore, such technologies of optimization are sustained</w:t>
      </w:r>
      <w:r w:rsidR="005B2FBD" w:rsidRPr="006A4805">
        <w:rPr>
          <w:sz w:val="16"/>
        </w:rPr>
        <w:t xml:space="preserve"> </w:t>
      </w:r>
      <w:r w:rsidRPr="006A4805">
        <w:rPr>
          <w:sz w:val="16"/>
        </w:rPr>
        <w:t>by a “moral economy of hope”19 where the promise of future innovation to treat</w:t>
      </w:r>
      <w:r w:rsidR="005B2FBD" w:rsidRPr="006A4805">
        <w:rPr>
          <w:sz w:val="16"/>
        </w:rPr>
        <w:t xml:space="preserve"> </w:t>
      </w:r>
      <w:r w:rsidRPr="006A4805">
        <w:rPr>
          <w:sz w:val="16"/>
        </w:rPr>
        <w:t xml:space="preserve">and/or cure disease is used to stimulate further innovation. </w:t>
      </w:r>
      <w:r w:rsidRPr="00F471F2">
        <w:rPr>
          <w:rStyle w:val="StyleUnderline"/>
        </w:rPr>
        <w:t>Economies of hope similarly drive the approval of patent law rights. Inventors, in filing their applications,</w:t>
      </w:r>
      <w:r w:rsidR="005B2FBD">
        <w:rPr>
          <w:rStyle w:val="StyleUnderline"/>
        </w:rPr>
        <w:t xml:space="preserve"> </w:t>
      </w:r>
      <w:r w:rsidRPr="00F471F2">
        <w:rPr>
          <w:rStyle w:val="StyleUnderline"/>
        </w:rPr>
        <w:t>only have to demonstrate a potentiality and promise of industrial application for</w:t>
      </w:r>
      <w:r w:rsidR="005B2FBD">
        <w:rPr>
          <w:rStyle w:val="StyleUnderline"/>
        </w:rPr>
        <w:t xml:space="preserve"> </w:t>
      </w:r>
      <w:r w:rsidRPr="00F471F2">
        <w:rPr>
          <w:rStyle w:val="StyleUnderline"/>
        </w:rPr>
        <w:t>their creations</w:t>
      </w:r>
      <w:r w:rsidRPr="006A4805">
        <w:rPr>
          <w:sz w:val="16"/>
        </w:rPr>
        <w:t>. Approval of a patent then serves as a promise to investors that the</w:t>
      </w:r>
      <w:r w:rsidR="005B2FBD" w:rsidRPr="006A4805">
        <w:rPr>
          <w:sz w:val="16"/>
        </w:rPr>
        <w:t xml:space="preserve"> </w:t>
      </w:r>
      <w:r w:rsidRPr="006A4805">
        <w:rPr>
          <w:sz w:val="16"/>
        </w:rPr>
        <w:t>invention is worthwhile to finance and develop. Patent law therefore enables technologies of optimization through discourses of hope and promise.</w:t>
      </w:r>
      <w:r w:rsidR="005B2FBD" w:rsidRPr="006A4805">
        <w:rPr>
          <w:sz w:val="16"/>
        </w:rPr>
        <w:t xml:space="preserve"> </w:t>
      </w:r>
      <w:r w:rsidRPr="00F471F2">
        <w:rPr>
          <w:rStyle w:val="StyleUnderline"/>
        </w:rPr>
        <w:t>Feminist science studies scholarship demonstrates that contemporary biopolitics is itself highly gendered and racialized. Contemporary biopolitics is now aimed</w:t>
      </w:r>
      <w:r w:rsidR="005B2FBD">
        <w:rPr>
          <w:rStyle w:val="StyleUnderline"/>
        </w:rPr>
        <w:t xml:space="preserve"> </w:t>
      </w:r>
      <w:r w:rsidRPr="00F471F2">
        <w:rPr>
          <w:rStyle w:val="StyleUnderline"/>
        </w:rPr>
        <w:t>at the individual and enhancing the quality of life. In particular, it depends upon</w:t>
      </w:r>
      <w:r w:rsidR="005B2FBD">
        <w:rPr>
          <w:rStyle w:val="StyleUnderline"/>
        </w:rPr>
        <w:t xml:space="preserve"> </w:t>
      </w:r>
      <w:r w:rsidRPr="00F471F2">
        <w:rPr>
          <w:rStyle w:val="StyleUnderline"/>
        </w:rPr>
        <w:t>women’s reproductive and intellectual labor.</w:t>
      </w:r>
      <w:r w:rsidRPr="006A4805">
        <w:rPr>
          <w:sz w:val="16"/>
        </w:rPr>
        <w:t xml:space="preserve"> As Rose argues, “responsibility now</w:t>
      </w:r>
      <w:r w:rsidR="005B2FBD" w:rsidRPr="006A4805">
        <w:rPr>
          <w:sz w:val="16"/>
        </w:rPr>
        <w:t xml:space="preserve"> </w:t>
      </w:r>
      <w:r w:rsidRPr="006A4805">
        <w:rPr>
          <w:sz w:val="16"/>
        </w:rPr>
        <w:t>falls not on those who govern, but on those who are responsible for a family and</w:t>
      </w:r>
      <w:r w:rsidR="005B2FBD" w:rsidRPr="006A4805">
        <w:rPr>
          <w:sz w:val="16"/>
        </w:rPr>
        <w:t xml:space="preserve"> </w:t>
      </w:r>
      <w:r w:rsidRPr="006A4805">
        <w:rPr>
          <w:sz w:val="16"/>
        </w:rPr>
        <w:t>its members.”20 Although he fails to elaborate, Rose explicitly notes that it is women</w:t>
      </w:r>
      <w:r w:rsidR="005B2FBD" w:rsidRPr="006A4805">
        <w:rPr>
          <w:sz w:val="16"/>
        </w:rPr>
        <w:t xml:space="preserve"> </w:t>
      </w:r>
      <w:r w:rsidRPr="006A4805">
        <w:rPr>
          <w:sz w:val="16"/>
        </w:rPr>
        <w:t>in particular who are responsible for the medical needs of their families and children.21 In contrast, feminist science studies scholars have produced valuable and</w:t>
      </w:r>
      <w:r w:rsidR="005B2FBD" w:rsidRPr="006A4805">
        <w:rPr>
          <w:sz w:val="16"/>
        </w:rPr>
        <w:t xml:space="preserve"> </w:t>
      </w:r>
      <w:r w:rsidRPr="006A4805">
        <w:rPr>
          <w:sz w:val="16"/>
        </w:rPr>
        <w:t>extensive insights furthering this point. For example, women are often obliged to</w:t>
      </w:r>
      <w:r w:rsidR="005B2FBD" w:rsidRPr="006A4805">
        <w:rPr>
          <w:sz w:val="16"/>
        </w:rPr>
        <w:t xml:space="preserve"> </w:t>
      </w:r>
      <w:r w:rsidRPr="006A4805">
        <w:rPr>
          <w:sz w:val="16"/>
        </w:rPr>
        <w:t>take advantage of genetic screening to ensure a “normal” child.22 Women’s bodies</w:t>
      </w:r>
      <w:r w:rsidR="005B2FBD" w:rsidRPr="006A4805">
        <w:rPr>
          <w:sz w:val="16"/>
        </w:rPr>
        <w:t xml:space="preserve"> </w:t>
      </w:r>
      <w:r w:rsidRPr="006A4805">
        <w:rPr>
          <w:sz w:val="16"/>
        </w:rPr>
        <w:t>also become sources of raw material called upon to “donate” or “gift” their eggs</w:t>
      </w:r>
      <w:r w:rsidR="005B2FBD" w:rsidRPr="006A4805">
        <w:rPr>
          <w:sz w:val="16"/>
        </w:rPr>
        <w:t xml:space="preserve"> </w:t>
      </w:r>
      <w:r w:rsidRPr="006A4805">
        <w:rPr>
          <w:sz w:val="16"/>
        </w:rPr>
        <w:t>for the advancement of reproductive technologies and stem cell research.23</w:t>
      </w:r>
      <w:r w:rsidR="005B2FBD" w:rsidRPr="006A4805">
        <w:rPr>
          <w:sz w:val="16"/>
        </w:rPr>
        <w:t xml:space="preserve"> </w:t>
      </w:r>
      <w:r w:rsidRPr="00F471F2">
        <w:rPr>
          <w:rStyle w:val="StyleUnderline"/>
        </w:rPr>
        <w:t>Bodies are also governed through demands for what might be called “epistemic</w:t>
      </w:r>
      <w:r w:rsidR="005B2FBD">
        <w:rPr>
          <w:rStyle w:val="StyleUnderline"/>
        </w:rPr>
        <w:t xml:space="preserve"> </w:t>
      </w:r>
      <w:r w:rsidRPr="00F471F2">
        <w:rPr>
          <w:rStyle w:val="StyleUnderline"/>
        </w:rPr>
        <w:t>donations.” For example, indigenous women are often compelled to “donate” their</w:t>
      </w:r>
      <w:r w:rsidR="005B2FBD">
        <w:rPr>
          <w:rStyle w:val="StyleUnderline"/>
        </w:rPr>
        <w:t xml:space="preserve"> </w:t>
      </w:r>
      <w:r w:rsidRPr="00F471F2">
        <w:rPr>
          <w:rStyle w:val="StyleUnderline"/>
        </w:rPr>
        <w:t>epistemic knowledge regarding traditional plants and healing practices for pharmaceutical research</w:t>
      </w:r>
      <w:r w:rsidRPr="006A4805">
        <w:rPr>
          <w:sz w:val="16"/>
        </w:rPr>
        <w:t>. Such forms of governance may lead to important medical</w:t>
      </w:r>
      <w:r w:rsidR="005B2FBD" w:rsidRPr="006A4805">
        <w:rPr>
          <w:sz w:val="16"/>
        </w:rPr>
        <w:t xml:space="preserve"> </w:t>
      </w:r>
      <w:r w:rsidRPr="006A4805">
        <w:rPr>
          <w:sz w:val="16"/>
        </w:rPr>
        <w:t xml:space="preserve">advances that benefit individuals and groups of women. </w:t>
      </w:r>
      <w:r w:rsidRPr="00F471F2">
        <w:rPr>
          <w:rStyle w:val="StyleUnderline"/>
        </w:rPr>
        <w:t>The problem, however, is</w:t>
      </w:r>
      <w:r w:rsidR="005B2FBD">
        <w:rPr>
          <w:rStyle w:val="StyleUnderline"/>
        </w:rPr>
        <w:t xml:space="preserve"> </w:t>
      </w:r>
      <w:r w:rsidRPr="00F471F2">
        <w:rPr>
          <w:rStyle w:val="StyleUnderline"/>
        </w:rPr>
        <w:t>that individuals are obliged to take advantage of medical technologies to ensure</w:t>
      </w:r>
      <w:r w:rsidR="005B2FBD">
        <w:rPr>
          <w:rStyle w:val="StyleUnderline"/>
        </w:rPr>
        <w:t xml:space="preserve"> </w:t>
      </w:r>
      <w:r w:rsidRPr="00F471F2">
        <w:rPr>
          <w:rStyle w:val="StyleUnderline"/>
        </w:rPr>
        <w:t>their health without being given the necessary resources in which to do so, such as</w:t>
      </w:r>
      <w:r w:rsidR="005B2FBD">
        <w:rPr>
          <w:rStyle w:val="StyleUnderline"/>
        </w:rPr>
        <w:t xml:space="preserve"> </w:t>
      </w:r>
      <w:r w:rsidRPr="00F471F2">
        <w:rPr>
          <w:rStyle w:val="StyleUnderline"/>
        </w:rPr>
        <w:t>adequate health insurance and education</w:t>
      </w:r>
      <w:r w:rsidRPr="006A4805">
        <w:rPr>
          <w:sz w:val="16"/>
        </w:rPr>
        <w:t>. Biopolitics is accompanied by neoliberal strategies of governing that have reduced governmental support for public</w:t>
      </w:r>
      <w:r w:rsidR="005B2FBD" w:rsidRPr="006A4805">
        <w:rPr>
          <w:sz w:val="16"/>
        </w:rPr>
        <w:t xml:space="preserve"> </w:t>
      </w:r>
      <w:r w:rsidRPr="006A4805">
        <w:rPr>
          <w:sz w:val="16"/>
        </w:rPr>
        <w:t>health care, while shifting the burden (and guilt) to individuals.24 Thus, many</w:t>
      </w:r>
      <w:r w:rsidR="005B2FBD" w:rsidRPr="006A4805">
        <w:rPr>
          <w:sz w:val="16"/>
        </w:rPr>
        <w:t xml:space="preserve"> </w:t>
      </w:r>
      <w:r w:rsidRPr="006A4805">
        <w:rPr>
          <w:sz w:val="16"/>
        </w:rPr>
        <w:t>women are left with fewer options to care for their families. In addition, those</w:t>
      </w:r>
      <w:r w:rsidR="005B2FBD" w:rsidRPr="006A4805">
        <w:rPr>
          <w:sz w:val="16"/>
        </w:rPr>
        <w:t xml:space="preserve"> </w:t>
      </w:r>
      <w:r w:rsidRPr="006A4805">
        <w:rPr>
          <w:sz w:val="16"/>
        </w:rPr>
        <w:t>women who can afford a range of medical care for their families are obliged to do</w:t>
      </w:r>
      <w:r w:rsidR="005B2FBD" w:rsidRPr="006A4805">
        <w:rPr>
          <w:sz w:val="16"/>
        </w:rPr>
        <w:t xml:space="preserve"> </w:t>
      </w:r>
      <w:r w:rsidRPr="006A4805">
        <w:rPr>
          <w:sz w:val="16"/>
        </w:rPr>
        <w:t>so, and if they fail to utilize all available options then they are left to blame for</w:t>
      </w:r>
      <w:r w:rsidR="005B2FBD" w:rsidRPr="006A4805">
        <w:rPr>
          <w:sz w:val="16"/>
        </w:rPr>
        <w:t xml:space="preserve"> </w:t>
      </w:r>
      <w:r w:rsidRPr="006A4805">
        <w:rPr>
          <w:sz w:val="16"/>
        </w:rPr>
        <w:t>burdening the welfare state. Biopolitics is therefore variegated and relational, governing different groups of women in variable ways.</w:t>
      </w:r>
      <w:r w:rsidR="005B2FBD" w:rsidRPr="006A4805">
        <w:rPr>
          <w:sz w:val="16"/>
        </w:rPr>
        <w:t xml:space="preserve"> </w:t>
      </w:r>
      <w:r w:rsidRPr="005B2FBD">
        <w:rPr>
          <w:rStyle w:val="StyleUnderline"/>
        </w:rPr>
        <w:t>As a mode of biopolitical governmentality, neoliberalism involves explicit market calculations as to whose ways of living, being, and knowing are deemed more</w:t>
      </w:r>
      <w:r w:rsidR="005B2FBD">
        <w:rPr>
          <w:rStyle w:val="StyleUnderline"/>
        </w:rPr>
        <w:t xml:space="preserve"> </w:t>
      </w:r>
      <w:r w:rsidRPr="005B2FBD">
        <w:rPr>
          <w:rStyle w:val="StyleUnderline"/>
        </w:rPr>
        <w:t>valuable than others</w:t>
      </w:r>
      <w:r w:rsidRPr="006A4805">
        <w:rPr>
          <w:sz w:val="16"/>
        </w:rPr>
        <w:t>. Neoliberalism, according to Ong, involves “technologies of subjection,”25 whereby political strategies are designed to regulate populations differently in order to optimize productivity. Such strategies are increasingly carried out</w:t>
      </w:r>
      <w:r w:rsidR="005B2FBD" w:rsidRPr="006A4805">
        <w:rPr>
          <w:sz w:val="16"/>
        </w:rPr>
        <w:t xml:space="preserve"> </w:t>
      </w:r>
      <w:r w:rsidRPr="006A4805">
        <w:rPr>
          <w:sz w:val="16"/>
        </w:rPr>
        <w:t xml:space="preserve">through spatial practices engaged with market forces. </w:t>
      </w:r>
      <w:r w:rsidRPr="005B2FBD">
        <w:rPr>
          <w:rStyle w:val="StyleUnderline"/>
        </w:rPr>
        <w:t>For example, global tissue</w:t>
      </w:r>
      <w:r w:rsidR="005B2FBD">
        <w:rPr>
          <w:rStyle w:val="StyleUnderline"/>
        </w:rPr>
        <w:t xml:space="preserve"> </w:t>
      </w:r>
      <w:r w:rsidRPr="005B2FBD">
        <w:rPr>
          <w:rStyle w:val="StyleUnderline"/>
        </w:rPr>
        <w:t>economies increasingly seek out cheaper forms of reproductive labor by enlisting</w:t>
      </w:r>
      <w:r w:rsidR="005B2FBD">
        <w:rPr>
          <w:rStyle w:val="StyleUnderline"/>
        </w:rPr>
        <w:t xml:space="preserve"> </w:t>
      </w:r>
      <w:r w:rsidRPr="005B2FBD">
        <w:rPr>
          <w:rStyle w:val="StyleUnderline"/>
        </w:rPr>
        <w:t>women from the former Soviet Union, China, and South Africa to donate oocytes</w:t>
      </w:r>
      <w:r w:rsidR="005B2FBD">
        <w:rPr>
          <w:rStyle w:val="StyleUnderline"/>
        </w:rPr>
        <w:t xml:space="preserve"> </w:t>
      </w:r>
      <w:r w:rsidRPr="005B2FBD">
        <w:rPr>
          <w:rStyle w:val="StyleUnderline"/>
        </w:rPr>
        <w:t>for use in fertility clinics and experimental research.26 Thus, the optimization of some</w:t>
      </w:r>
      <w:r w:rsidR="005B2FBD">
        <w:rPr>
          <w:rStyle w:val="StyleUnderline"/>
        </w:rPr>
        <w:t xml:space="preserve"> </w:t>
      </w:r>
      <w:r w:rsidRPr="005B2FBD">
        <w:rPr>
          <w:rStyle w:val="StyleUnderline"/>
        </w:rPr>
        <w:t>women’s bodies is at the expense of other women’s bodies</w:t>
      </w:r>
      <w:r w:rsidRPr="006A4805">
        <w:rPr>
          <w:sz w:val="16"/>
        </w:rPr>
        <w:t>. The United States historically relies on the experimental bodies of women such as Henrietta Lacks from</w:t>
      </w:r>
      <w:r w:rsidR="005B2FBD" w:rsidRPr="006A4805">
        <w:rPr>
          <w:sz w:val="16"/>
        </w:rPr>
        <w:t xml:space="preserve"> </w:t>
      </w:r>
      <w:r w:rsidRPr="006A4805">
        <w:rPr>
          <w:sz w:val="16"/>
        </w:rPr>
        <w:t>the racially poorest areas of the United States.27 It also depends upon the appropriation of medicinal plant knowledge from indigenous women in India.28 Such</w:t>
      </w:r>
      <w:r w:rsidR="005B2FBD" w:rsidRPr="006A4805">
        <w:rPr>
          <w:sz w:val="16"/>
        </w:rPr>
        <w:t xml:space="preserve"> </w:t>
      </w:r>
      <w:r w:rsidRPr="006A4805">
        <w:rPr>
          <w:sz w:val="16"/>
        </w:rPr>
        <w:t>practices differ and historically shift, but nevertheless express a continuity of inequality where only certain women’s bodies and minds became sites of extraction.</w:t>
      </w:r>
      <w:r w:rsidR="005B2FBD" w:rsidRPr="006A4805">
        <w:rPr>
          <w:sz w:val="16"/>
        </w:rPr>
        <w:t xml:space="preserve"> </w:t>
      </w:r>
      <w:r w:rsidRPr="006A4805">
        <w:rPr>
          <w:sz w:val="16"/>
        </w:rPr>
        <w:t>Privatization through patent law may or may not occur in all these instances.</w:t>
      </w:r>
      <w:r w:rsidR="005B2FBD" w:rsidRPr="006A4805">
        <w:rPr>
          <w:sz w:val="16"/>
        </w:rPr>
        <w:t xml:space="preserve"> </w:t>
      </w:r>
      <w:r w:rsidRPr="005B2FBD">
        <w:rPr>
          <w:rStyle w:val="StyleUnderline"/>
        </w:rPr>
        <w:t>Yet, patents can potentially be assigned to products or processes associated with</w:t>
      </w:r>
      <w:r w:rsidR="005B2FBD">
        <w:rPr>
          <w:rStyle w:val="StyleUnderline"/>
        </w:rPr>
        <w:t xml:space="preserve"> </w:t>
      </w:r>
      <w:r w:rsidRPr="005B2FBD">
        <w:rPr>
          <w:rStyle w:val="StyleUnderline"/>
        </w:rPr>
        <w:t>the cell lines extracted from Henrietta Lacks, the chemical compounds derived</w:t>
      </w:r>
      <w:r w:rsidR="005B2FBD">
        <w:rPr>
          <w:rStyle w:val="StyleUnderline"/>
        </w:rPr>
        <w:t xml:space="preserve"> </w:t>
      </w:r>
      <w:r w:rsidRPr="005B2FBD">
        <w:rPr>
          <w:rStyle w:val="StyleUnderline"/>
        </w:rPr>
        <w:t>from indigenous women’s medicinal knowledge, or the embryonic stem cells donated by South African women. Technologies of subjection are therefore at work.</w:t>
      </w:r>
      <w:r w:rsidR="005B2FBD">
        <w:rPr>
          <w:rStyle w:val="StyleUnderline"/>
        </w:rPr>
        <w:t xml:space="preserve"> </w:t>
      </w:r>
      <w:r w:rsidRPr="005B2FBD">
        <w:rPr>
          <w:rStyle w:val="StyleUnderline"/>
        </w:rPr>
        <w:t>Some women’s bodies and minds are treated as raw material necessary for the</w:t>
      </w:r>
      <w:r w:rsidR="005B2FBD">
        <w:rPr>
          <w:rStyle w:val="StyleUnderline"/>
        </w:rPr>
        <w:t xml:space="preserve"> </w:t>
      </w:r>
      <w:r w:rsidRPr="005B2FBD">
        <w:rPr>
          <w:rStyle w:val="StyleUnderline"/>
        </w:rPr>
        <w:t>development of new medical technologies, which may or may not benefit them.</w:t>
      </w:r>
      <w:r w:rsidR="005B2FBD">
        <w:rPr>
          <w:rStyle w:val="StyleUnderline"/>
        </w:rPr>
        <w:t xml:space="preserve"> </w:t>
      </w:r>
      <w:r w:rsidRPr="006A4805">
        <w:rPr>
          <w:sz w:val="16"/>
        </w:rPr>
        <w:t>Their human tissue (with its genetic information) and/or indigenous knowledge</w:t>
      </w:r>
      <w:r w:rsidR="005B2FBD" w:rsidRPr="006A4805">
        <w:rPr>
          <w:sz w:val="16"/>
        </w:rPr>
        <w:t xml:space="preserve"> </w:t>
      </w:r>
      <w:r w:rsidRPr="006A4805">
        <w:rPr>
          <w:sz w:val="16"/>
        </w:rPr>
        <w:t>become the subject of patent ownership. Patent law therefore privatizes some</w:t>
      </w:r>
      <w:r w:rsidR="005B2FBD" w:rsidRPr="006A4805">
        <w:rPr>
          <w:sz w:val="16"/>
        </w:rPr>
        <w:t xml:space="preserve"> </w:t>
      </w:r>
      <w:r w:rsidRPr="006A4805">
        <w:rPr>
          <w:sz w:val="16"/>
        </w:rPr>
        <w:t>women’s bodies and their knowledge over others, while promising innovations</w:t>
      </w:r>
      <w:r w:rsidR="005B2FBD" w:rsidRPr="006A4805">
        <w:rPr>
          <w:sz w:val="16"/>
        </w:rPr>
        <w:t xml:space="preserve"> </w:t>
      </w:r>
      <w:r w:rsidRPr="006A4805">
        <w:rPr>
          <w:sz w:val="16"/>
        </w:rPr>
        <w:t>that may only be accessible to certain groups. A feminist analysis of patent law</w:t>
      </w:r>
      <w:r w:rsidR="005B2FBD" w:rsidRPr="006A4805">
        <w:rPr>
          <w:sz w:val="16"/>
        </w:rPr>
        <w:t xml:space="preserve"> </w:t>
      </w:r>
      <w:r w:rsidRPr="006A4805">
        <w:rPr>
          <w:sz w:val="16"/>
        </w:rPr>
        <w:t>therefore must analyze how it is intertwined with technologies of subjection within</w:t>
      </w:r>
      <w:r w:rsidR="005B2FBD" w:rsidRPr="006A4805">
        <w:rPr>
          <w:sz w:val="16"/>
        </w:rPr>
        <w:t xml:space="preserve"> </w:t>
      </w:r>
      <w:r w:rsidRPr="006A4805">
        <w:rPr>
          <w:sz w:val="16"/>
        </w:rPr>
        <w:t>neoliberal biopolitics. A useful analytical for beginning to develop such an examination is the notion of the public domain.</w:t>
      </w:r>
    </w:p>
    <w:p w14:paraId="4EA3D4E1" w14:textId="77777777" w:rsidR="00F471F2" w:rsidRPr="006A4805" w:rsidRDefault="00F471F2" w:rsidP="00F471F2">
      <w:pPr>
        <w:rPr>
          <w:sz w:val="16"/>
        </w:rPr>
      </w:pPr>
    </w:p>
    <w:p w14:paraId="74773BB6" w14:textId="4BE790C4" w:rsidR="00485D62" w:rsidRDefault="00485D62" w:rsidP="00485D62">
      <w:pPr>
        <w:pStyle w:val="Heading3"/>
      </w:pPr>
      <w:r>
        <w:t>Perm Do Both</w:t>
      </w:r>
    </w:p>
    <w:p w14:paraId="6C6012F4" w14:textId="214CFB07" w:rsidR="00485D62" w:rsidRDefault="00485D62" w:rsidP="00485D62">
      <w:pPr>
        <w:pStyle w:val="Heading4"/>
      </w:pPr>
      <w:r>
        <w:t>Perm do both—the aff’s analysis is compatible with compeerism, but the alt alone fails to disrupt market logics</w:t>
      </w:r>
    </w:p>
    <w:p w14:paraId="7B35FED3" w14:textId="77777777" w:rsidR="00485D62" w:rsidRPr="005B2FBD" w:rsidRDefault="00485D62" w:rsidP="00485D62">
      <w:pPr>
        <w:rPr>
          <w:rStyle w:val="Style13ptBold"/>
        </w:rPr>
      </w:pPr>
      <w:r w:rsidRPr="005B2FBD">
        <w:rPr>
          <w:rStyle w:val="Style13ptBold"/>
        </w:rPr>
        <w:t>Foster 12</w:t>
      </w:r>
    </w:p>
    <w:p w14:paraId="47BA1F7F" w14:textId="6C004389" w:rsidR="00485D62" w:rsidRPr="006A4805" w:rsidRDefault="00485D62" w:rsidP="00485D62">
      <w:pPr>
        <w:rPr>
          <w:sz w:val="16"/>
        </w:rPr>
      </w:pPr>
      <w:r w:rsidRPr="006A4805">
        <w:rPr>
          <w:sz w:val="16"/>
        </w:rPr>
        <w:t>Laura A., Assistant Professor of Gender Studies, Indiana University, Bloomington; Faculty Affiliate, Center for Intellectual Property Research, Indiana University Maurer School of Law. “Patents, Biopolitics, and Feminisms: Locating Patent Law Struggles over Breast Cancer Genes and the Hoodia Plant.” International Journal of Cultural Property (2012) 19. Pp 379-381. LJS</w:t>
      </w:r>
    </w:p>
    <w:p w14:paraId="0E5763CB" w14:textId="38DCB95D" w:rsidR="00485D62" w:rsidRPr="006A4805" w:rsidRDefault="00485D62" w:rsidP="00485D62">
      <w:pPr>
        <w:rPr>
          <w:sz w:val="16"/>
        </w:rPr>
      </w:pPr>
      <w:r w:rsidRPr="00485D62">
        <w:rPr>
          <w:rStyle w:val="StyleUnderline"/>
        </w:rPr>
        <w:t>Responding to the emphasis on an open public domain, critical intellectual property scholarship also offers an alternative conception of a protective public domain.46</w:t>
      </w:r>
      <w:r w:rsidRPr="006A4805">
        <w:rPr>
          <w:sz w:val="16"/>
        </w:rPr>
        <w:t xml:space="preserve"> Such scholarship is aligned with the theorizing of an open public domain. </w:t>
      </w:r>
      <w:r w:rsidRPr="00485D62">
        <w:rPr>
          <w:rStyle w:val="StyleUnderline"/>
        </w:rPr>
        <w:t>It similarly advocates the expansion of the public domain by limiting intellectual</w:t>
      </w:r>
      <w:r>
        <w:rPr>
          <w:rStyle w:val="StyleUnderline"/>
        </w:rPr>
        <w:t xml:space="preserve"> </w:t>
      </w:r>
      <w:r w:rsidRPr="00485D62">
        <w:rPr>
          <w:rStyle w:val="StyleUnderline"/>
        </w:rPr>
        <w:t>property (IP) rights, enlarging fair use, and requiring compulsory licensing.47</w:t>
      </w:r>
      <w:r w:rsidRPr="006A4805">
        <w:rPr>
          <w:sz w:val="16"/>
        </w:rPr>
        <w:t xml:space="preserve"> In contrast, however, </w:t>
      </w:r>
      <w:r w:rsidRPr="00485D62">
        <w:rPr>
          <w:rStyle w:val="StyleUnderline"/>
        </w:rPr>
        <w:t>scholarship promoting a protective public domain insists upon</w:t>
      </w:r>
      <w:r>
        <w:rPr>
          <w:rStyle w:val="StyleUnderline"/>
        </w:rPr>
        <w:t xml:space="preserve"> </w:t>
      </w:r>
      <w:r w:rsidRPr="00485D62">
        <w:rPr>
          <w:rStyle w:val="StyleUnderline"/>
        </w:rPr>
        <w:t>exceptions for indigenous individuals and groups who have been traditionally excluded from asserting authorial rights over their knowledge, resources, and culture</w:t>
      </w:r>
      <w:r w:rsidRPr="006A4805">
        <w:rPr>
          <w:sz w:val="16"/>
        </w:rPr>
        <w:t xml:space="preserve">. It is therefore critical of the expansion of a public domain based upon values of sharing and openness, which can produce harm to indigenous peoples. </w:t>
      </w:r>
      <w:r w:rsidRPr="00485D62">
        <w:rPr>
          <w:rStyle w:val="StyleUnderline"/>
        </w:rPr>
        <w:t>Theorizing of a protective public domain takes into account histories of colonialism and imperialism, while seeking to expand notions of authorship beyond</w:t>
      </w:r>
      <w:r>
        <w:rPr>
          <w:rStyle w:val="StyleUnderline"/>
        </w:rPr>
        <w:t xml:space="preserve"> </w:t>
      </w:r>
      <w:r w:rsidRPr="00485D62">
        <w:rPr>
          <w:rStyle w:val="StyleUnderline"/>
        </w:rPr>
        <w:t>its individualism to fully consider indigenous forms of collective knowledge production and creativity.48 It stresses the need to consider how, given social hierarchies, information within the public domain is not equally accessible and open to</w:t>
      </w:r>
      <w:r>
        <w:rPr>
          <w:rStyle w:val="StyleUnderline"/>
        </w:rPr>
        <w:t xml:space="preserve"> </w:t>
      </w:r>
      <w:r w:rsidRPr="00485D62">
        <w:rPr>
          <w:rStyle w:val="StyleUnderline"/>
        </w:rPr>
        <w:t>all, thus the need for some elements of protection.49</w:t>
      </w:r>
      <w:r w:rsidRPr="006A4805">
        <w:rPr>
          <w:sz w:val="16"/>
        </w:rPr>
        <w:t xml:space="preserve"> In contrast to an open public domain, a protective public domain challenges articulations of indigenous peoples’ knowledge as raw material and recognizes the inventiveness and dynamism of indigenous traditional knowledge.50 It is also a flexible concept of the public domain. </w:t>
      </w:r>
      <w:r w:rsidRPr="00485D62">
        <w:rPr>
          <w:rStyle w:val="StyleUnderline"/>
        </w:rPr>
        <w:t>Conceptions of a protective public domain require flexibility in order to provide an adequate balance of protection and access to different forms of indigenous traditional knowledge (e.g., artworks versus medicines) in a variety of geopolitical contexts.51 Coombe thus suggests an “ethics of contingency” recognizing</w:t>
      </w:r>
      <w:r>
        <w:rPr>
          <w:rStyle w:val="StyleUnderline"/>
        </w:rPr>
        <w:t xml:space="preserve"> </w:t>
      </w:r>
      <w:r w:rsidRPr="00485D62">
        <w:rPr>
          <w:rStyle w:val="StyleUnderline"/>
        </w:rPr>
        <w:t>that protection might mean different things to different marginalized groups.52 A</w:t>
      </w:r>
      <w:r>
        <w:rPr>
          <w:rStyle w:val="StyleUnderline"/>
        </w:rPr>
        <w:t xml:space="preserve"> </w:t>
      </w:r>
      <w:r w:rsidRPr="00485D62">
        <w:rPr>
          <w:rStyle w:val="StyleUnderline"/>
        </w:rPr>
        <w:t>protective public domain therefore recognizes inequalities and works to protect</w:t>
      </w:r>
      <w:r>
        <w:rPr>
          <w:rStyle w:val="StyleUnderline"/>
        </w:rPr>
        <w:t xml:space="preserve"> </w:t>
      </w:r>
      <w:r w:rsidRPr="00485D62">
        <w:rPr>
          <w:rStyle w:val="StyleUnderline"/>
        </w:rPr>
        <w:t>indigenous peoples’ knowledge from being exploited as raw material.</w:t>
      </w:r>
      <w:r>
        <w:rPr>
          <w:rStyle w:val="StyleUnderline"/>
        </w:rPr>
        <w:t xml:space="preserve"> </w:t>
      </w:r>
      <w:r w:rsidRPr="006A4805">
        <w:rPr>
          <w:sz w:val="16"/>
        </w:rPr>
        <w:t xml:space="preserve">In contrast to an open public domain model, conceptions of a protective public domain challenge neoliberal, biopolitical modes of governing by placing value upon indigenous peoples’ forms of knowledge and creativity. Normative conditions and discursive framings of free trade and privatization are contested by shifting some control over to indigenous communities. Scholarship in this area argues that free and open sharing of indigenous peoples’ knowledge can be responsible for continuing a legacy of colonial exploitation of their traditional resources.53 Giving indigenous peoples some control over their own knowledge practices is one way to counter this history.54 </w:t>
      </w:r>
      <w:r w:rsidRPr="00485D62">
        <w:rPr>
          <w:rStyle w:val="StyleUnderline"/>
        </w:rPr>
        <w:t>By granting indigenous communities more control through</w:t>
      </w:r>
      <w:r>
        <w:rPr>
          <w:rStyle w:val="StyleUnderline"/>
        </w:rPr>
        <w:t xml:space="preserve"> </w:t>
      </w:r>
      <w:r w:rsidRPr="00485D62">
        <w:rPr>
          <w:rStyle w:val="StyleUnderline"/>
        </w:rPr>
        <w:t>a protective public domain, neoliberal values of freedom become disrupted.</w:t>
      </w:r>
      <w:r>
        <w:rPr>
          <w:rStyle w:val="StyleUnderline"/>
        </w:rPr>
        <w:t xml:space="preserve"> </w:t>
      </w:r>
      <w:r w:rsidRPr="006A4805">
        <w:rPr>
          <w:sz w:val="16"/>
        </w:rPr>
        <w:t xml:space="preserve">Alternative legal protections are suggested, such as contractual arrangements allowing groups to decide for themselves when, where, how, and to whom they want to grant access to their knowledge.55 For example, models for benefit-sharing contracts are proposed, which would require scientists to give indigenous communities money and resources in exchange for access to and possible ownership over indigenous resources. Prior informed consent agreements are also advocated to allow communities to dictate the terms of granting such access to potentially patentable resources. Indigenous peoples’ knowledge becomes privatized in new ways through these contractual arrangements, yet the primary goal of privatization becomes one of protection, rather than profitability per se. By shifting some control to indigenous communities, a protective public domain produces fissures within neoliberal, biopolitical modes of governing by interjecting an alternative ethic of production. </w:t>
      </w:r>
      <w:r w:rsidRPr="00485D62">
        <w:rPr>
          <w:rStyle w:val="StyleUnderline"/>
        </w:rPr>
        <w:t>Even when such contractual arrangements bring profits to indigenous communities, these “strategies of indigenous incorporation”56 serve to challenge Western scientific and capitalist logics.</w:t>
      </w:r>
      <w:r>
        <w:rPr>
          <w:rStyle w:val="StyleUnderline"/>
        </w:rPr>
        <w:t xml:space="preserve"> </w:t>
      </w:r>
      <w:r w:rsidRPr="00485D62">
        <w:rPr>
          <w:rStyle w:val="StyleUnderline"/>
        </w:rPr>
        <w:t>For example, benefit-sharing agreements designed around a protective public domain model theoretically engender a space whereby scientists are expected to</w:t>
      </w:r>
      <w:r>
        <w:rPr>
          <w:rStyle w:val="StyleUnderline"/>
        </w:rPr>
        <w:t xml:space="preserve"> </w:t>
      </w:r>
      <w:r w:rsidRPr="00485D62">
        <w:rPr>
          <w:rStyle w:val="StyleUnderline"/>
        </w:rPr>
        <w:t>negotiate and consult with indigenous communities and to recognize the importance of indigenous epistemologies of science, which run counter to Western philosophies of science undergirding new bioeconomies.</w:t>
      </w:r>
      <w:r>
        <w:rPr>
          <w:rStyle w:val="StyleUnderline"/>
        </w:rPr>
        <w:t xml:space="preserve"> </w:t>
      </w:r>
      <w:r w:rsidRPr="006A4805">
        <w:rPr>
          <w:sz w:val="16"/>
        </w:rPr>
        <w:t xml:space="preserve">Theorizing of the protective public domain offers the most potentially liberating space right now for indigenous peoples, but more work is yet to be done. </w:t>
      </w:r>
      <w:r w:rsidRPr="00485D62">
        <w:rPr>
          <w:rStyle w:val="StyleUnderline"/>
        </w:rPr>
        <w:t>In its current theoretical framing, a protective public domain insufficiently addresses complex gendered social relations</w:t>
      </w:r>
      <w:r w:rsidRPr="006A4805">
        <w:rPr>
          <w:sz w:val="16"/>
        </w:rPr>
        <w:t>. It fails to recognize that many indigenous women have fewer opportunities because of the encroachment of patriarchal models of family and governance into their communities from histories of colonialism and new demands of neoliberal globalization. Little attention is paid to how indigenous peoples’ knowledge is gendered and whether or not benefit sharing agreements serve the interests of indigenous women in the same way as indigenous men.</w:t>
      </w:r>
    </w:p>
    <w:p w14:paraId="220A4D2D" w14:textId="77777777" w:rsidR="00C47FDA" w:rsidRPr="0043674B" w:rsidRDefault="00C47FDA" w:rsidP="00C47FDA">
      <w:pPr>
        <w:pStyle w:val="Heading4"/>
      </w:pPr>
      <w:r>
        <w:t>Perm do both—lines of flight are compatible with the aff, but our theory of power is a pre-requisite for their success</w:t>
      </w:r>
    </w:p>
    <w:p w14:paraId="003F7EAF" w14:textId="77777777" w:rsidR="00C47FDA" w:rsidRPr="00B576D3" w:rsidRDefault="00C47FDA" w:rsidP="00C47FDA">
      <w:pPr>
        <w:rPr>
          <w:rStyle w:val="Style13ptBold"/>
        </w:rPr>
      </w:pPr>
      <w:r w:rsidRPr="00B576D3">
        <w:rPr>
          <w:rStyle w:val="Style13ptBold"/>
        </w:rPr>
        <w:t>Coombe and Chapman 20</w:t>
      </w:r>
    </w:p>
    <w:p w14:paraId="1EEBB00E" w14:textId="77777777" w:rsidR="00C47FDA" w:rsidRPr="00C47FDA" w:rsidRDefault="00C47FDA" w:rsidP="00C47FDA">
      <w:pPr>
        <w:rPr>
          <w:sz w:val="16"/>
        </w:rPr>
      </w:pPr>
      <w:r w:rsidRPr="00B576D3">
        <w:rPr>
          <w:sz w:val="16"/>
        </w:rPr>
        <w:t>Rosemary J., Professor, Canada Research Chair, Graduate Program Director of Anthropology in Law &amp; Society (LASO), Socio-Legal Studies (SLST), and Social and Political Thought (SPTH) @ York University; Susannah, PhD Anthropology from University of Georgia, research fellow @ University of Queensland. “Ethnographic Explorations of Intellectual Propertyfree,” Oxford Research Encyclopedias: Anthropology. 27 August 2020. LJS</w:t>
      </w:r>
    </w:p>
    <w:p w14:paraId="52CDD091" w14:textId="77777777" w:rsidR="00C47FDA" w:rsidRPr="00C47FDA" w:rsidRDefault="00C47FDA" w:rsidP="00C47FDA">
      <w:pPr>
        <w:rPr>
          <w:sz w:val="16"/>
        </w:rPr>
      </w:pPr>
      <w:r w:rsidRPr="00C47FDA">
        <w:rPr>
          <w:rStyle w:val="StyleUnderline"/>
        </w:rPr>
        <w:t>Just as the extension of the IP into new markets and jurisdictions has enabled the production of new subjectivities, it also has provoked processes of territorialization.7 Such processes may include the inscription, delineation, and valuation of place and regional heritage through legal mechanisms such as geographical indications as well as deliberations over territory, sovereignty, and authority that arise in the extension of regulatory frameworks to new jurisdictions.</w:t>
      </w:r>
      <w:r w:rsidRPr="00C47FDA">
        <w:rPr>
          <w:sz w:val="16"/>
        </w:rPr>
        <w:t xml:space="preserve"> Most ethnographic work in this vein has engaged with two related processes that accompany such legal change: the (re)signification of product origins and attachments to place, and the authorization of space, territory, and markets that stirs struggles over sovereignty and citizenship. Place, Terroir, Authenticity, and Heritage </w:t>
      </w:r>
      <w:r w:rsidRPr="00C47FDA">
        <w:rPr>
          <w:rStyle w:val="StyleUnderline"/>
        </w:rPr>
        <w:t>As markers of natural distinction and cultural difference gained value within global informational markets, IP protections that signified the origins of products were elaborated and extended to new regions</w:t>
      </w:r>
      <w:r w:rsidRPr="00C47FDA">
        <w:rPr>
          <w:sz w:val="16"/>
        </w:rPr>
        <w:t xml:space="preserve">. These include older vehicles such as appellations of origin and collective and certification marks as well as new geographical indications (GIs) such as European marks for “typical products.” </w:t>
      </w:r>
      <w:r w:rsidRPr="00C47FDA">
        <w:rPr>
          <w:rStyle w:val="StyleUnderline"/>
        </w:rPr>
        <w:t>As marks indicating conditions of origin, these protected designations signify that specific product attributes are a result of the qualities of a particular place and its environment (or terroir). They may also signify social or economic aspects of production, including cultivation techniques, methods of labor, or culturally unique production practices—often asserted to be based on a region’s heritage (which may be quite newly minted).</w:t>
      </w:r>
      <w:r w:rsidRPr="00C47FDA">
        <w:rPr>
          <w:sz w:val="16"/>
        </w:rPr>
        <w:t xml:space="preserve"> Hailed for their potential to protect biodiversity, foster sustainable economic development, support traditional knowledge practices, and add value to biocultural goods, marks indicating conditions of origin are both a means to secure monopoly rents and vehicles to express identity (Coombe and Aylwin 2011). Ethnographic studies of GIs consider how place-based product protections affect local understandings of identity, heritage, and history. GIs may provide a vehicle for artisan communities, such as producers of clay whistles in Matera, Italy, to assert long-standing, affective attachments to the goods they produce and to guarantee their authenticity (Bortolotto 2010). GIs may also redefine geographical boundaries, notions of authenticity, and conceptions of belonging and indigeneity (Bérard and Marchenay 1996; Grasseni 2016; Ives 2017). In France, for example, where the formalization of GIs under the appellation d’origine contrôlée system dates to the early 20th century, the law is meant to reflect the confluence of terroir and local standards of production. Although the law often registers local consensus on geographic and cultural boundaries, it has also been an important tool for socially reworking them, as excluded producers struggle to obtain membership in the exclusive clubs who control these designations (Farmer 2014). </w:t>
      </w:r>
      <w:r w:rsidRPr="00C47FDA">
        <w:rPr>
          <w:rStyle w:val="StyleUnderline"/>
        </w:rPr>
        <w:t>GI protections may provoke assertions of belonging that are at odds with policies valorizing placed- based heritage. For example, bemoaning the fact that in France, GIs are so hegemonic that without a cheese you are deemed to lack a culture, people have nonetheless crafted a sense of place and shared local identity by emphasizing their very lack of the types of products that GI designations protect</w:t>
      </w:r>
      <w:r w:rsidRPr="00C47FDA">
        <w:rPr>
          <w:sz w:val="16"/>
        </w:rPr>
        <w:t xml:space="preserve"> (Filippucci 2004). Even where attempts to attain GI protection fail, campaigns to demonstrate the heritage status or the regional typicality of a product may transform its cultural and regional significance (Terrio 2014). Thus, unsuccessful efforts in Italy to obtain a GI designation for the Zolfino bean nonetheless transformed the crop from a sharecropper’s staple into a heritage food whose new market value attracted the attention of large, wealthy farmers (Badii 2013). </w:t>
      </w:r>
      <w:r w:rsidRPr="00C47FDA">
        <w:rPr>
          <w:rStyle w:val="StyleUnderline"/>
        </w:rPr>
        <w:t>Such efforts often activate deliberations over the meaning and history of place at the same time that they heighten economic reliance upon increasingly distant markets for the continued production of locally authentic products</w:t>
      </w:r>
      <w:r w:rsidRPr="00C47FDA">
        <w:rPr>
          <w:sz w:val="16"/>
        </w:rPr>
        <w:t xml:space="preserve"> (Grasseni 2014). Marks indicating conditions of origin are often embraced as a means to foster rural development by providing small-scale producers a distinctive edge in increasingly competitive and homogeneous global food markets. </w:t>
      </w:r>
      <w:r w:rsidRPr="00C47FDA">
        <w:rPr>
          <w:rStyle w:val="StyleUnderline"/>
        </w:rPr>
        <w:t>The use of GIs may, however, have deleterious social effects on the communities they are meant to serve (Coombe et al. 2014). GIs function ideologically to convey harmonious social imaginaries of territories that integrate production activities, communities, and natural environments, but in practice they enable forms of fetishization that may obscure and support unfair and exploitative labor conditions</w:t>
      </w:r>
      <w:r w:rsidRPr="00C47FDA">
        <w:rPr>
          <w:sz w:val="16"/>
        </w:rPr>
        <w:t xml:space="preserve"> (Coombe and Malik 2018; West 2012). In India, for example, the GI for Darjeeling tea harnessed discourses of terroir and place-based distinction to fashion a luxury commodity for global markets, but in the process, the exploitative, racialized labor relations of colonial-era tea plantations were further entrenched (Besky 2014a, 2014b). </w:t>
      </w:r>
      <w:r w:rsidRPr="00C47FDA">
        <w:rPr>
          <w:rStyle w:val="StyleUnderline"/>
        </w:rPr>
        <w:t>Likewise, attempts to define and enforce GIs may commodify traditions of practice in ways that foment competition and exploitation, thereby eroding feelings of shared social interest and collective identification</w:t>
      </w:r>
      <w:r w:rsidRPr="00C47FDA">
        <w:rPr>
          <w:sz w:val="16"/>
        </w:rPr>
        <w:t xml:space="preserve">. In Peru, state efforts to use GIs to bolster artisanal ceramic production led, ironically, to the codification of traditional practices and ultimately their industrialization as rural towns and producers were linked to international markets only to the extent that “native” goods were produced using standardized practices that enabled them to be mass-marketed (Chan 2014). </w:t>
      </w:r>
      <w:r w:rsidRPr="00C47FDA">
        <w:rPr>
          <w:rStyle w:val="StyleUnderline"/>
        </w:rPr>
        <w:t xml:space="preserve">State projects to promote GIs for rural development may favor larger, wealthier actors who are already positioned to take advantage of emerging markets. </w:t>
      </w:r>
      <w:r w:rsidRPr="00C47FDA">
        <w:rPr>
          <w:sz w:val="16"/>
        </w:rPr>
        <w:t xml:space="preserve">In crafting GIs for tequila in Mexico, only elite landed farmers possessed the infrastructure and networks to profit from these new origin-based protections, and in the process, both traditional knowledge and traditional terroir were lost (Bowen 2010). Nonetheless, under specific conditions of governance, such marks may enable alternative assertions of value and attachments to place while linking producers and consumers in relations of recognition and identification (Coombe and Aylwin 2011). To these ends, a third generation of certification for place-based goods is evolving to communicate new forms of production and distribution grounded in environmental norms and an ethic of agroecology and socio-natural or cultural reproduction (Coombe and Malik 2018). </w:t>
      </w:r>
      <w:r w:rsidRPr="00C47FDA">
        <w:rPr>
          <w:rStyle w:val="StyleUnderline"/>
        </w:rPr>
        <w:t>Local actors may push for place-based marks that go beyond indices of terroir, heritage, or authenticity to capture other aspects of production, such as labor conditions and environmental standards</w:t>
      </w:r>
      <w:r w:rsidRPr="00C47FDA">
        <w:rPr>
          <w:sz w:val="16"/>
        </w:rPr>
        <w:t xml:space="preserve">. Farmers and their intermediaries may us n e GIs to build place-based economies that are more varied than any single, legally structured, place-based marketing initiative (Ofstehage 2011). In Bolivia, for example, farmers in the region of Los Lipez worked with NGOs and industry actors to create GI protection for their quinoa in an effort to distinguish the unique qualities of the region’s crop and its ritual origins. This unique mark of origin did not omit other economic avenues for farmers in the region, but became one among many pathways for bringing quinoa to market (Ofstehage 2012). Territorialization: Sovereignty, Jurisdiction, Securitization, and Markets </w:t>
      </w:r>
      <w:r w:rsidRPr="00C47FDA">
        <w:rPr>
          <w:rStyle w:val="StyleUnderline"/>
        </w:rPr>
        <w:t>If ethnographic work on GIs has tracked the social and political negotiations over authenticity, heritage, and belonging that are activated by place-based IP protections, anthropologists have also explored how other vehicles of IP protection, such as copyright, patent, and benefit-sharing contracts for the use of traditional knowledge and cultural expression, may prompt political conflicts over sovereignty and jurisdiction</w:t>
      </w:r>
      <w:r w:rsidRPr="00C47FDA">
        <w:rPr>
          <w:sz w:val="16"/>
        </w:rPr>
        <w:t xml:space="preserve">. The roots of this anthropological inquiry may be traced to early critiques of state sovereignty over biological resources and its implications for Indigenous peoples and small farmers (e.g., Brush 1993). </w:t>
      </w:r>
      <w:r w:rsidRPr="00C47FDA">
        <w:rPr>
          <w:rStyle w:val="StyleUnderline"/>
        </w:rPr>
        <w:t>More recently, anthropologists have explored “the politics of scale” in the creation of national patrimony, which depends upon the usurpation of local traditional arts</w:t>
      </w:r>
      <w:r w:rsidRPr="00C47FDA">
        <w:rPr>
          <w:sz w:val="16"/>
        </w:rPr>
        <w:t xml:space="preserve"> (e.g., Aragon and Leach 2008 exploring this in Indonesia). Anthropological consideration of such processes as new modes of territorialization gained traction in the 2010s. </w:t>
      </w:r>
      <w:r w:rsidRPr="00C47FDA">
        <w:rPr>
          <w:rStyle w:val="StyleUnderline"/>
        </w:rPr>
        <w:t>Bioprospecting, for example, spurs territorialization through the extraction and regulation of plant life</w:t>
      </w:r>
      <w:r w:rsidRPr="00C47FDA">
        <w:rPr>
          <w:sz w:val="16"/>
        </w:rPr>
        <w:t xml:space="preserve">. As a long-standing companion to both colonialism and capitalism, it continues to be central to state expansion (Besky and Padwe 2016). Where bioprospecting involves plants and resources territorialized through their globally recognized association with local and native knowledge, as it did in South Africa, struggles over the ownership of patents and the benefits arising from projects to commercialize those resources may provide fertile ground for peoples historically marginalized by the state to assert alternative forms of national belonging (Foster 2017). </w:t>
      </w:r>
      <w:r w:rsidRPr="00C47FDA">
        <w:rPr>
          <w:rStyle w:val="StyleUnderline"/>
        </w:rPr>
        <w:t>Industries built upon copying and counterfeit products create marked zones that contain both new goods and new values.</w:t>
      </w:r>
      <w:r w:rsidRPr="00C47FDA">
        <w:rPr>
          <w:sz w:val="16"/>
        </w:rPr>
        <w:t xml:space="preserve"> In cases where technologies of reproduction and distribution are more powerful than the state economic structures that may constrain them, as they were in Nigeria, piracy transforms the infrastructures through which globalization—as the flow of informational goods and media imagery—takes place (Larkin 2008). </w:t>
      </w:r>
      <w:r w:rsidRPr="00C47FDA">
        <w:rPr>
          <w:rStyle w:val="StyleUnderline"/>
        </w:rPr>
        <w:t>The extension of IP into new jurisdictions effects territorialization by demarcating zones of licit and illicit production and distribution. In some cases, this may give rise to counterfeit economies that enable marginalized peoples to generate livelihoods and enclaves of production and distribution, but it may also provoke new forms of state intervention and surveillance</w:t>
      </w:r>
      <w:r w:rsidRPr="00C47FDA">
        <w:rPr>
          <w:sz w:val="16"/>
        </w:rPr>
        <w:t xml:space="preserve">. Ethnographic work in Brazil showed how acts of piracy enabled often marginalized actors to gain some control over strategic spaces, even where formal state powers work to control, surveil, and set the boundaries of licit market activity (Dent 2016, 2020). In South Africa, the threat to public health posed by the counterfeiting of medication was used by the state as a rationale to transform drug safety regimes into more territorialized drug security regimes, linking pharmaceutical corporations and state authorities in ways that exacerbated predatory police interventions and encouraged the territorializations of security industries (Hornberger 2018). </w:t>
      </w:r>
      <w:r w:rsidRPr="00C47FDA">
        <w:rPr>
          <w:rStyle w:val="StyleUnderline"/>
        </w:rPr>
        <w:t>Piracy also tends to produce new networks that traverse state boundaries, facilitating traffic in cultural goods, and, where technologies of reproduction and distribution are more powerful than state economic structures, affective connections to new territorial infrastructures of global belonging</w:t>
      </w:r>
      <w:r w:rsidRPr="00C47FDA">
        <w:rPr>
          <w:sz w:val="16"/>
        </w:rPr>
        <w:t xml:space="preserve"> (Larkin 2008; Reinberg 2015).</w:t>
      </w:r>
    </w:p>
    <w:p w14:paraId="486C9525" w14:textId="24749B23" w:rsidR="00E53686" w:rsidRDefault="000E092E" w:rsidP="00E53686">
      <w:pPr>
        <w:pStyle w:val="Heading3"/>
      </w:pPr>
      <w:r>
        <w:t>AT RC</w:t>
      </w:r>
    </w:p>
    <w:p w14:paraId="517CA22F" w14:textId="77777777" w:rsidR="00E53686" w:rsidRDefault="00E53686" w:rsidP="00E53686">
      <w:pPr>
        <w:pStyle w:val="Heading4"/>
      </w:pPr>
      <w:r>
        <w:t>Biopolitics was not only necessary to the formation of modern neoliberalism, but continues to be essential in its maintenance and informs its direction</w:t>
      </w:r>
    </w:p>
    <w:p w14:paraId="3566D146" w14:textId="77777777" w:rsidR="00E53686" w:rsidRPr="003665E5" w:rsidRDefault="00E53686" w:rsidP="00E53686">
      <w:pPr>
        <w:rPr>
          <w:rStyle w:val="Style13ptBold"/>
        </w:rPr>
      </w:pPr>
      <w:r w:rsidRPr="003665E5">
        <w:rPr>
          <w:rStyle w:val="Style13ptBold"/>
        </w:rPr>
        <w:t>Gervassis 20</w:t>
      </w:r>
    </w:p>
    <w:p w14:paraId="447728FF" w14:textId="77777777" w:rsidR="00E53686" w:rsidRPr="006A4805" w:rsidRDefault="00E53686" w:rsidP="00E53686">
      <w:pPr>
        <w:rPr>
          <w:sz w:val="16"/>
        </w:rPr>
      </w:pPr>
      <w:r w:rsidRPr="006A4805">
        <w:rPr>
          <w:sz w:val="16"/>
        </w:rPr>
        <w:t>Nicholas, School of Law, Criminology and Government, University of Plymouth, Plymouth, UK. “Information biopolitics: copyright law and the regulation of life in the network society.” International Review of Law, Computers &amp; Technology, DOI: 10.1080/13600869.2020.1784563. LJS</w:t>
      </w:r>
    </w:p>
    <w:p w14:paraId="2A6C8BD1" w14:textId="77777777" w:rsidR="00E53686" w:rsidRPr="006A4805" w:rsidRDefault="00E53686" w:rsidP="00E53686">
      <w:pPr>
        <w:rPr>
          <w:sz w:val="16"/>
        </w:rPr>
      </w:pPr>
      <w:r w:rsidRPr="003665E5">
        <w:rPr>
          <w:rStyle w:val="StyleUnderline"/>
        </w:rPr>
        <w:t>The dispersal of power which biopolitics attains to is characteristic of liberalism, which, as a</w:t>
      </w:r>
      <w:r>
        <w:rPr>
          <w:rStyle w:val="StyleUnderline"/>
        </w:rPr>
        <w:t xml:space="preserve"> </w:t>
      </w:r>
      <w:r w:rsidRPr="003665E5">
        <w:rPr>
          <w:rStyle w:val="StyleUnderline"/>
        </w:rPr>
        <w:t>principle and method for rationalising the exercise of government, ‘obeys the internal rule</w:t>
      </w:r>
      <w:r>
        <w:rPr>
          <w:rStyle w:val="StyleUnderline"/>
        </w:rPr>
        <w:t xml:space="preserve"> </w:t>
      </w:r>
      <w:r w:rsidRPr="003665E5">
        <w:rPr>
          <w:rStyle w:val="StyleUnderline"/>
        </w:rPr>
        <w:t>of maximum economy’ (Foucault 2008, 318).</w:t>
      </w:r>
      <w:r w:rsidRPr="006A4805">
        <w:rPr>
          <w:sz w:val="16"/>
        </w:rPr>
        <w:t xml:space="preserve"> The modern state’s aims of health and social productivity, as discussed above, called for updating governmental reason towards complying with rational behaviour, as in foreseeing and managing the allocation of scarce resources towards alternative ends (Grenier and Orléan 2007). </w:t>
      </w:r>
      <w:r w:rsidRPr="003665E5">
        <w:rPr>
          <w:rStyle w:val="StyleUnderline"/>
        </w:rPr>
        <w:t>Governmental action</w:t>
      </w:r>
      <w:r>
        <w:rPr>
          <w:rStyle w:val="StyleUnderline"/>
        </w:rPr>
        <w:t xml:space="preserve"> </w:t>
      </w:r>
      <w:r w:rsidRPr="003665E5">
        <w:rPr>
          <w:rStyle w:val="StyleUnderline"/>
        </w:rPr>
        <w:t>would not be evaluated on moral grounds of its legitimacy or illegitimacy, but rather on</w:t>
      </w:r>
      <w:r>
        <w:rPr>
          <w:rStyle w:val="StyleUnderline"/>
        </w:rPr>
        <w:t xml:space="preserve"> </w:t>
      </w:r>
      <w:r w:rsidRPr="003665E5">
        <w:rPr>
          <w:rStyle w:val="StyleUnderline"/>
        </w:rPr>
        <w:t>its success and capability to reflect on its own necessity, usefulness and potentially delivered harms: the principle of government shifted ‘from external congruence to internal</w:t>
      </w:r>
      <w:r>
        <w:rPr>
          <w:rStyle w:val="StyleUnderline"/>
        </w:rPr>
        <w:t xml:space="preserve"> </w:t>
      </w:r>
      <w:r w:rsidRPr="003665E5">
        <w:rPr>
          <w:rStyle w:val="StyleUnderline"/>
        </w:rPr>
        <w:t>regulation’ (Lemke 2011, 46). This would be optimally served in the spirit of governmental</w:t>
      </w:r>
      <w:r>
        <w:rPr>
          <w:rStyle w:val="StyleUnderline"/>
        </w:rPr>
        <w:t xml:space="preserve"> </w:t>
      </w:r>
      <w:r w:rsidRPr="003665E5">
        <w:rPr>
          <w:rStyle w:val="StyleUnderline"/>
        </w:rPr>
        <w:t>self-limitation, by dispersing governmental knowledge across institutions, structures and</w:t>
      </w:r>
      <w:r>
        <w:rPr>
          <w:rStyle w:val="StyleUnderline"/>
        </w:rPr>
        <w:t xml:space="preserve"> </w:t>
      </w:r>
      <w:r w:rsidRPr="003665E5">
        <w:rPr>
          <w:rStyle w:val="StyleUnderline"/>
        </w:rPr>
        <w:t>forces that operate within the social body – the market included.</w:t>
      </w:r>
      <w:r w:rsidRPr="006A4805">
        <w:rPr>
          <w:sz w:val="16"/>
        </w:rPr>
        <w:t xml:space="preserve"> On the other hand, liberal governmentality of this mode and spread restrained state authority ‘through the invention of universal individual rights and subordinated it to the interests of civil society through the gradual introduction of liberal democratic representative institutions’ (McFalls and Pandolfi 2014, 177). </w:t>
      </w:r>
      <w:r w:rsidRPr="003665E5">
        <w:rPr>
          <w:rStyle w:val="StyleUnderline"/>
        </w:rPr>
        <w:t>Linking liberalism with political economy, Foucault points</w:t>
      </w:r>
      <w:r>
        <w:rPr>
          <w:rStyle w:val="StyleUnderline"/>
        </w:rPr>
        <w:t xml:space="preserve"> </w:t>
      </w:r>
      <w:r w:rsidRPr="003665E5">
        <w:rPr>
          <w:rStyle w:val="StyleUnderline"/>
        </w:rPr>
        <w:t>how the limited state prospect forwarded the – rational – imperative of self-regulation.</w:t>
      </w:r>
      <w:r>
        <w:rPr>
          <w:rStyle w:val="StyleUnderline"/>
        </w:rPr>
        <w:t xml:space="preserve"> </w:t>
      </w:r>
      <w:r w:rsidRPr="003665E5">
        <w:rPr>
          <w:rStyle w:val="StyleUnderline"/>
        </w:rPr>
        <w:t>Biopolitics also instils this imperative into individuals as self-discipline: an internalised obligation to look after their self (in terms of health, lifestyle and so on) in order to be productive subjects (see also Macherey 2015). Within this context Foucault credits</w:t>
      </w:r>
      <w:r>
        <w:rPr>
          <w:rStyle w:val="StyleUnderline"/>
        </w:rPr>
        <w:t xml:space="preserve"> </w:t>
      </w:r>
      <w:r w:rsidRPr="003665E5">
        <w:rPr>
          <w:rStyle w:val="StyleUnderline"/>
        </w:rPr>
        <w:t>biopower ‘as one of the basic tools for the establishment of industrial capitalism and</w:t>
      </w:r>
      <w:r>
        <w:rPr>
          <w:rStyle w:val="StyleUnderline"/>
        </w:rPr>
        <w:t xml:space="preserve"> </w:t>
      </w:r>
      <w:r w:rsidRPr="003665E5">
        <w:rPr>
          <w:rStyle w:val="StyleUnderline"/>
        </w:rPr>
        <w:t>the corresponding type of society’ (2003, 36), acknowledging that capitalism ‘would not have been possible without the controlled insertion of bodies into the machinery of production and the adjustment of the phenomena of population to economic processes’</w:t>
      </w:r>
      <w:r>
        <w:rPr>
          <w:rStyle w:val="StyleUnderline"/>
        </w:rPr>
        <w:t xml:space="preserve"> </w:t>
      </w:r>
      <w:r w:rsidRPr="003665E5">
        <w:rPr>
          <w:rStyle w:val="StyleUnderline"/>
        </w:rPr>
        <w:t>(1978, 141).</w:t>
      </w:r>
      <w:r>
        <w:rPr>
          <w:rStyle w:val="StyleUnderline"/>
        </w:rPr>
        <w:t xml:space="preserve"> </w:t>
      </w:r>
      <w:r w:rsidRPr="006A4805">
        <w:rPr>
          <w:sz w:val="16"/>
        </w:rPr>
        <w:t xml:space="preserve">An important transition started taking place in the second half of the twentieth century, where Foucault traced the development of neoliberal governmentality as a response to liberalism’s inflating state-phobia. He observes the conversion from Europe-based social market economies to extreme ‘too much government’ stances of American neo-liberalism, which seeks to extend the rationality of the market, the schemas of analysis it offers and the decisionmaking criteria it suggests, to domains which are not exclusively or not primarily economic: the family and the birth rate, for example, or delinquency and penal policy. (2008, 323) The implications which we may distinguish in this are crucial. </w:t>
      </w:r>
      <w:r w:rsidRPr="003665E5">
        <w:rPr>
          <w:rStyle w:val="StyleUnderline"/>
        </w:rPr>
        <w:t>First, in continuation of</w:t>
      </w:r>
      <w:r>
        <w:rPr>
          <w:rStyle w:val="StyleUnderline"/>
        </w:rPr>
        <w:t xml:space="preserve"> </w:t>
      </w:r>
      <w:r w:rsidRPr="003665E5">
        <w:rPr>
          <w:rStyle w:val="StyleUnderline"/>
        </w:rPr>
        <w:t>liberalism’s state limitation project, neoliberalism ‘subordinated the state to market veridiction by reducing its role to the encouragement of biopolitical techniques of individual</w:t>
      </w:r>
      <w:r>
        <w:rPr>
          <w:rStyle w:val="StyleUnderline"/>
        </w:rPr>
        <w:t xml:space="preserve"> </w:t>
      </w:r>
      <w:r w:rsidRPr="003665E5">
        <w:rPr>
          <w:rStyle w:val="StyleUnderline"/>
        </w:rPr>
        <w:t>and societal self-government’ (McFalls and Pandolfi 2014, 177). Moreover, the dispersal of</w:t>
      </w:r>
      <w:r>
        <w:rPr>
          <w:rStyle w:val="StyleUnderline"/>
        </w:rPr>
        <w:t xml:space="preserve"> </w:t>
      </w:r>
      <w:r w:rsidRPr="003665E5">
        <w:rPr>
          <w:rStyle w:val="StyleUnderline"/>
        </w:rPr>
        <w:t>power is closely followed by increasing privatisations of management and administration</w:t>
      </w:r>
      <w:r>
        <w:rPr>
          <w:rStyle w:val="StyleUnderline"/>
        </w:rPr>
        <w:t xml:space="preserve"> </w:t>
      </w:r>
      <w:r w:rsidRPr="003665E5">
        <w:rPr>
          <w:rStyle w:val="StyleUnderline"/>
        </w:rPr>
        <w:t>aspects, including the transfer of dispersed biopolitical technologies and their socially permeating effects under private control.</w:t>
      </w:r>
      <w:r>
        <w:rPr>
          <w:rStyle w:val="StyleUnderline"/>
        </w:rPr>
        <w:t xml:space="preserve"> </w:t>
      </w:r>
      <w:r w:rsidRPr="003665E5">
        <w:rPr>
          <w:rStyle w:val="StyleUnderline"/>
        </w:rPr>
        <w:t>Second, liberalism referred to the rule of maximum economy to optimise life; neoliberalism in the name of life maximises economy</w:t>
      </w:r>
      <w:r w:rsidRPr="006A4805">
        <w:rPr>
          <w:sz w:val="16"/>
        </w:rPr>
        <w:t xml:space="preserve">. This indicates a key reorientation of focus for biopolitics. </w:t>
      </w:r>
      <w:r w:rsidRPr="003665E5">
        <w:rPr>
          <w:rStyle w:val="StyleUnderline"/>
        </w:rPr>
        <w:t>Whereas biopower ‘endeavours to life, subjecting it to precise controls and</w:t>
      </w:r>
      <w:r>
        <w:rPr>
          <w:rStyle w:val="StyleUnderline"/>
        </w:rPr>
        <w:t xml:space="preserve"> </w:t>
      </w:r>
      <w:r w:rsidRPr="003665E5">
        <w:rPr>
          <w:rStyle w:val="StyleUnderline"/>
        </w:rPr>
        <w:t>comprehensive regulations’ (Foucault 1978, 137) its ends are now aligned to inserting</w:t>
      </w:r>
      <w:r>
        <w:rPr>
          <w:rStyle w:val="StyleUnderline"/>
        </w:rPr>
        <w:t xml:space="preserve"> </w:t>
      </w:r>
      <w:r w:rsidRPr="003665E5">
        <w:rPr>
          <w:rStyle w:val="StyleUnderline"/>
        </w:rPr>
        <w:t>life processes into the market. It may thus serve ‘the interests of capitalist accumulation</w:t>
      </w:r>
      <w:r>
        <w:rPr>
          <w:rStyle w:val="StyleUnderline"/>
        </w:rPr>
        <w:t xml:space="preserve"> </w:t>
      </w:r>
      <w:r w:rsidRPr="003665E5">
        <w:rPr>
          <w:rStyle w:val="StyleUnderline"/>
        </w:rPr>
        <w:t>and market forces by eliciting and optimizing the life forces of a state’s population, maximizing their capacity as human resources and their utility for market capitalization’</w:t>
      </w:r>
      <w:r>
        <w:rPr>
          <w:rStyle w:val="StyleUnderline"/>
        </w:rPr>
        <w:t xml:space="preserve"> </w:t>
      </w:r>
      <w:r w:rsidRPr="003665E5">
        <w:rPr>
          <w:rStyle w:val="StyleUnderline"/>
        </w:rPr>
        <w:t>(Nadesan 2008, 3).</w:t>
      </w:r>
      <w:r w:rsidRPr="006A4805">
        <w:rPr>
          <w:sz w:val="16"/>
        </w:rPr>
        <w:t xml:space="preserve"> If biopolitics connotes interventions at the levels of the body, birthrates, sexuality, conduct and everyday life, and especially where such interventions are aimed at reproducing a prevailing sense of normalisation, neoliberalism subjects biopolitics and encompassed flows of life processes to market rationality and the cynicism, perhaps, of applying to this context the purely economic instrumentality of terms such as ‘utility’, ‘budget’, ‘investment risk’, ‘liquidation’ and so on. </w:t>
      </w:r>
      <w:r w:rsidRPr="003665E5">
        <w:rPr>
          <w:rStyle w:val="StyleUnderline"/>
        </w:rPr>
        <w:t>To summarise the first caveat, neoliberal developments denote along with privatising</w:t>
      </w:r>
      <w:r>
        <w:rPr>
          <w:rStyle w:val="StyleUnderline"/>
        </w:rPr>
        <w:t xml:space="preserve"> </w:t>
      </w:r>
      <w:r w:rsidRPr="003665E5">
        <w:rPr>
          <w:rStyle w:val="StyleUnderline"/>
        </w:rPr>
        <w:t>state power the privatisation of biopolitics, and then a qualitative shift towards intensifying control of life processes as market resources.</w:t>
      </w:r>
      <w:r>
        <w:rPr>
          <w:rStyle w:val="StyleUnderline"/>
        </w:rPr>
        <w:t xml:space="preserve"> </w:t>
      </w:r>
      <w:r w:rsidRPr="006A4805">
        <w:rPr>
          <w:sz w:val="16"/>
        </w:rPr>
        <w:t xml:space="preserve">4.2.2. New biopolitical technologies </w:t>
      </w:r>
      <w:r w:rsidRPr="003665E5">
        <w:rPr>
          <w:rStyle w:val="StyleUnderline"/>
        </w:rPr>
        <w:t>Biopolitics in the past included efforts in public health, medicine, psychiatry, public policing and sexuality sciences; for the twenty-first century it has evolved to employ now</w:t>
      </w:r>
      <w:r>
        <w:rPr>
          <w:rStyle w:val="StyleUnderline"/>
        </w:rPr>
        <w:t xml:space="preserve"> </w:t>
      </w:r>
      <w:r w:rsidRPr="003665E5">
        <w:rPr>
          <w:rStyle w:val="StyleUnderline"/>
        </w:rPr>
        <w:t>genetic technologies, biological weapons, global communication networks, and advanced</w:t>
      </w:r>
      <w:r>
        <w:rPr>
          <w:rStyle w:val="StyleUnderline"/>
        </w:rPr>
        <w:t xml:space="preserve"> </w:t>
      </w:r>
      <w:r w:rsidRPr="003665E5">
        <w:rPr>
          <w:rStyle w:val="StyleUnderline"/>
        </w:rPr>
        <w:t>digital analytical tools (Koopman 2014). On top of that, political technologies of control14</w:t>
      </w:r>
      <w:r>
        <w:rPr>
          <w:rStyle w:val="StyleUnderline"/>
        </w:rPr>
        <w:t xml:space="preserve"> </w:t>
      </w:r>
      <w:r w:rsidRPr="003665E5">
        <w:rPr>
          <w:rStyle w:val="StyleUnderline"/>
        </w:rPr>
        <w:t>seem now fully submerged in the widespread use of globally distributed, ubiquitous and</w:t>
      </w:r>
      <w:r>
        <w:rPr>
          <w:rStyle w:val="StyleUnderline"/>
        </w:rPr>
        <w:t xml:space="preserve"> </w:t>
      </w:r>
      <w:r w:rsidRPr="003665E5">
        <w:rPr>
          <w:rStyle w:val="StyleUnderline"/>
        </w:rPr>
        <w:t>pervasive digital technologies: a fast-expanding chaotic structure of intersecting apparatuses (dispositifs), within the operation of which are absorbed all notions of ‘the Internet</w:t>
      </w:r>
      <w:r>
        <w:rPr>
          <w:rStyle w:val="StyleUnderline"/>
        </w:rPr>
        <w:t xml:space="preserve"> </w:t>
      </w:r>
      <w:r w:rsidRPr="003665E5">
        <w:rPr>
          <w:rStyle w:val="StyleUnderline"/>
        </w:rPr>
        <w:t>of Things’, ‘algorithmic governance’ and so on – even the over-encompassing concept</w:t>
      </w:r>
      <w:r>
        <w:rPr>
          <w:rStyle w:val="StyleUnderline"/>
        </w:rPr>
        <w:t xml:space="preserve"> </w:t>
      </w:r>
      <w:r w:rsidRPr="003665E5">
        <w:rPr>
          <w:rStyle w:val="StyleUnderline"/>
        </w:rPr>
        <w:t>of the ‘Network Society’. Therefore, the reach of biopower deepens across populations, its impacts are becoming more immediate and intensified, whereas uncontrollable diversities of private and public entities get involved in determining how, when and towards</w:t>
      </w:r>
      <w:r>
        <w:rPr>
          <w:rStyle w:val="StyleUnderline"/>
        </w:rPr>
        <w:t xml:space="preserve"> </w:t>
      </w:r>
      <w:r w:rsidRPr="003665E5">
        <w:rPr>
          <w:rStyle w:val="StyleUnderline"/>
        </w:rPr>
        <w:t>whom power is exercised, by virtue of their access to or ownership of the intertwining</w:t>
      </w:r>
      <w:r>
        <w:rPr>
          <w:rStyle w:val="StyleUnderline"/>
        </w:rPr>
        <w:t xml:space="preserve"> </w:t>
      </w:r>
      <w:r w:rsidRPr="003665E5">
        <w:rPr>
          <w:rStyle w:val="StyleUnderline"/>
        </w:rPr>
        <w:t>hardware and software setups and their management.</w:t>
      </w:r>
      <w:r>
        <w:rPr>
          <w:rStyle w:val="StyleUnderline"/>
        </w:rPr>
        <w:t xml:space="preserve"> </w:t>
      </w:r>
      <w:r w:rsidRPr="006A4805">
        <w:rPr>
          <w:sz w:val="16"/>
        </w:rPr>
        <w:t xml:space="preserve">4.3. Biopolitics revisited Foucault’s death meant that the link he began to establish between biopolitics and neoliberalism remained unclear. In addition, it coincided with a turning point in neoliberalism’s development, that is the rise of neoliberal capitalism during the Reagan-Thatcher era (Harvey 2005). The emerging neoliberal state, according to its critics, would tend to intervene in the marketplace to protect financial interests, while principles of competition and fairness – otherwise championed by neoliberal theory – would be increasingly negated in ‘the extraordinary monopolization, centralization, and internationalization of corporate and financial power’ (Harvey 2005, 203). The gap left by Foucault, invited several reformulations of his biopolitics concepts. Among those, the following discussion will engage with the work of Hardt and Negri, which allows some direct connections to IPrelated issues. In their ongoing project (2000, 2004, 2011, 2017), they have revised the notions of biopolitics, biopower and governmentality towards constructing a critical response to late neoliberal capitalist globalisation. Significantly, their work blends biopower with neo-Marxist perspectives of labour and, although criticised for overstretching or even blurring Foucault’s original take on biopolitics, it is recognised for breathing into it a fresh activist dynamic (Lemke 2011; Koopman 2014) by creatively constructing the positive biopolitical subjectivity of the ‘Multitude’. Of interest to this discussion is their extended consideration of immaterial and social production, as well as the development of the concept of the ‘common’, notably as their writing evidences links with some of the literature discussed in previous parts of this article. 4.3.1. Immaterial labour </w:t>
      </w:r>
      <w:r w:rsidRPr="003665E5">
        <w:rPr>
          <w:rStyle w:val="StyleUnderline"/>
        </w:rPr>
        <w:t>Hardt and Negri view global informatisation forming a crucial paradigm shift and marking</w:t>
      </w:r>
      <w:r>
        <w:rPr>
          <w:rStyle w:val="StyleUnderline"/>
        </w:rPr>
        <w:t xml:space="preserve"> </w:t>
      </w:r>
      <w:r w:rsidRPr="003665E5">
        <w:rPr>
          <w:rStyle w:val="StyleUnderline"/>
        </w:rPr>
        <w:t>a break with modernity (2000). Τhe information era has been most prominently characterised by the rise of immaterial labour: labour that creates immaterial products, such as</w:t>
      </w:r>
      <w:r>
        <w:rPr>
          <w:rStyle w:val="StyleUnderline"/>
        </w:rPr>
        <w:t xml:space="preserve"> </w:t>
      </w:r>
      <w:r w:rsidRPr="003665E5">
        <w:rPr>
          <w:rStyle w:val="StyleUnderline"/>
        </w:rPr>
        <w:t>knowledge, information, communication, but also imagination, relationships, affection,</w:t>
      </w:r>
      <w:r>
        <w:rPr>
          <w:rStyle w:val="StyleUnderline"/>
        </w:rPr>
        <w:t xml:space="preserve"> </w:t>
      </w:r>
      <w:r w:rsidRPr="003665E5">
        <w:rPr>
          <w:rStyle w:val="StyleUnderline"/>
        </w:rPr>
        <w:t>and emotional response (2000, 2004). Under these terms, ‘immaterial’ production</w:t>
      </w:r>
      <w:r>
        <w:rPr>
          <w:rStyle w:val="StyleUnderline"/>
        </w:rPr>
        <w:t xml:space="preserve"> </w:t>
      </w:r>
      <w:r w:rsidRPr="003665E5">
        <w:rPr>
          <w:rStyle w:val="StyleUnderline"/>
        </w:rPr>
        <w:t>reaches beyond ‘intellectual labour’ (also in the sense of creativity and artistic works) to</w:t>
      </w:r>
      <w:r>
        <w:rPr>
          <w:rStyle w:val="StyleUnderline"/>
        </w:rPr>
        <w:t xml:space="preserve"> </w:t>
      </w:r>
      <w:r w:rsidRPr="003665E5">
        <w:rPr>
          <w:rStyle w:val="StyleUnderline"/>
        </w:rPr>
        <w:t>also include the social capital of social networks, personal connections, affective and</w:t>
      </w:r>
      <w:r>
        <w:rPr>
          <w:rStyle w:val="StyleUnderline"/>
        </w:rPr>
        <w:t xml:space="preserve"> </w:t>
      </w:r>
      <w:r w:rsidRPr="003665E5">
        <w:rPr>
          <w:rStyle w:val="StyleUnderline"/>
        </w:rPr>
        <w:t>digital labour (2017). However, immaterial production remains deeply material, as it</w:t>
      </w:r>
      <w:r>
        <w:rPr>
          <w:rStyle w:val="StyleUnderline"/>
        </w:rPr>
        <w:t xml:space="preserve"> </w:t>
      </w:r>
      <w:r w:rsidRPr="003665E5">
        <w:rPr>
          <w:rStyle w:val="StyleUnderline"/>
        </w:rPr>
        <w:t>involves brains and their bodies – like all forms of labour. Therefore, immaterial labour</w:t>
      </w:r>
      <w:r>
        <w:rPr>
          <w:rStyle w:val="StyleUnderline"/>
        </w:rPr>
        <w:t xml:space="preserve"> </w:t>
      </w:r>
      <w:r w:rsidRPr="003665E5">
        <w:rPr>
          <w:rStyle w:val="StyleUnderline"/>
        </w:rPr>
        <w:t>emerges as deeply biopolitical.</w:t>
      </w:r>
      <w:r>
        <w:rPr>
          <w:rStyle w:val="StyleUnderline"/>
        </w:rPr>
        <w:t xml:space="preserve"> </w:t>
      </w:r>
      <w:r w:rsidRPr="006A4805">
        <w:rPr>
          <w:sz w:val="16"/>
        </w:rPr>
        <w:t xml:space="preserve">At the same time, whereas material production provides the main means on which we build social life – cars, clothes, televisions but also computers, smartphones and so on – ‘immaterial production, including the production of ideas, images, knowledges, communication, cooperation, and affective relations,15 tends to create not the means of social life but social life itself’ (2004, 146). It is production that also delivers material goods, as well as relationships and, ultimately, social life. 4.3.2. The ‘common’ Hardt and Negri highlight that either at the sides of immaterial labour in the strict sense (employment) or mainly through our casual, common participation in such networks of communications and relationships, we are creating in common ‘the means of interaction, communication, and cooperation for production directly’ (2004, 147). There [o]ur common knowledge is the foundation of all new production of knowledge; linguistic community is the basis of all linguistic innovation; our existing affective relationships ground all production of affects; and our common social image bank makes possible the creation of new images. (2004, 148) </w:t>
      </w:r>
      <w:r w:rsidRPr="00E53686">
        <w:rPr>
          <w:rStyle w:val="StyleUnderline"/>
        </w:rPr>
        <w:t>This frames Hardt’s and Negri’s definition of the ‘common’, which integrates, next to physical natural environments and resources, ‘the languages we create, the social practices we</w:t>
      </w:r>
      <w:r>
        <w:rPr>
          <w:rStyle w:val="StyleUnderline"/>
        </w:rPr>
        <w:t xml:space="preserve"> </w:t>
      </w:r>
      <w:r w:rsidRPr="00E53686">
        <w:rPr>
          <w:rStyle w:val="StyleUnderline"/>
        </w:rPr>
        <w:t>establish, the modes of sociality that define our relationships and so on’ (2011, 139).</w:t>
      </w:r>
      <w:r>
        <w:rPr>
          <w:rStyle w:val="StyleUnderline"/>
        </w:rPr>
        <w:t xml:space="preserve"> </w:t>
      </w:r>
      <w:r w:rsidRPr="00E53686">
        <w:rPr>
          <w:rStyle w:val="StyleUnderline"/>
        </w:rPr>
        <w:t>Their notion of a common comprises the products of immaterial labour (which serve as</w:t>
      </w:r>
      <w:r>
        <w:rPr>
          <w:rStyle w:val="StyleUnderline"/>
        </w:rPr>
        <w:t xml:space="preserve"> </w:t>
      </w:r>
      <w:r w:rsidRPr="00E53686">
        <w:rPr>
          <w:rStyle w:val="StyleUnderline"/>
        </w:rPr>
        <w:t>the foundation for future creations, knowledge and ideas about living) as well as the processes of immaterial production themselves, due to their common, collaborative, and communicative character (2004).</w:t>
      </w:r>
      <w:r>
        <w:rPr>
          <w:rStyle w:val="StyleUnderline"/>
        </w:rPr>
        <w:t xml:space="preserve"> </w:t>
      </w:r>
      <w:r w:rsidRPr="006A4805">
        <w:rPr>
          <w:sz w:val="16"/>
        </w:rPr>
        <w:t xml:space="preserve">4.3.3. The online biopolitical common Hardt’s and Negri’s common is distinguished by being placed within a re-envisioned biopolitical configuration, blending Marxist critical readings into socio-economic globalisation and understandings of the network(ed) society. We may bring the discussion’s main context under this scope of comprehension. Our time living within and across online settings, connecting with others, creating new knowledges and communication practices or building on the existing ones, generates in proportion with the numbers of interconnected populations a vast informational surplus, which is exploited in manifold ways. Our common interactions translate instantly into social network production, which includes online content and data – both traffic and personal. Informational surplus accrues from direct forms of original and derivative alike user-generated creative and generally cultural contributions (Lessig 2004, 2008; Jenkins 2006; Boyle 2008; Bruns 2008; Hayes 2008; Tushnet 2008; Jamar 2010; Fuchs 2015); from the indirect generation of content in the shape of communities coming together and taking form in shared social, cultural, knowledge exchange and even gaming spaces (Jenkins 2006; Benkler 2006); from ‘irregular, unpaid, precarious, outsourced, crowd-sourced, and click-worked digital labour’ on platforms, such as YouTube, LinkedIn and Pinterest, and through activities that include online reviews, surveys and improving online service performance (for example, reporting spam email) (Fuchs 2017, 71). Furthermore, Cohen (2017) discusses the non-stop production of a ‘biopolitical public domain’ of personal data, being harvested, refined and then distributed across data markets. Taking all this into consideration, there is a great deal of value deriving from endlessly flowing in information surplus, for the content industries (for example, promotion, appropriation of fandom, possible royalties); for the Internet media of all kinds and sizes (infrastructures, online services, content hosts, social media and so on); for corporations, benefiting from unpaid digital labour reducing their wage-sum to therefore increase profits (Fuchs 2017); and, of course, for advertisers. </w:t>
      </w:r>
      <w:r w:rsidRPr="00E53686">
        <w:rPr>
          <w:rStyle w:val="StyleUnderline"/>
        </w:rPr>
        <w:t>The Internet becomes a most illustrative example of what Hardt and Negri envisage</w:t>
      </w:r>
      <w:r>
        <w:rPr>
          <w:rStyle w:val="StyleUnderline"/>
        </w:rPr>
        <w:t xml:space="preserve"> </w:t>
      </w:r>
      <w:r w:rsidRPr="00E53686">
        <w:rPr>
          <w:rStyle w:val="StyleUnderline"/>
        </w:rPr>
        <w:t xml:space="preserve">when arguing that ‘labor and value have become biopolitical in the sense that living and producing tend to be indistinguishable’ (2004, 148). </w:t>
      </w:r>
      <w:r w:rsidRPr="006A4805">
        <w:rPr>
          <w:sz w:val="16"/>
        </w:rPr>
        <w:t xml:space="preserve">This we may take further, in relation to the network society, and analyse down into two different components. The first reflects on Foucault’s biopower and biopolitics conceptualisations. We have already discussed on various instances the connection between biological life and the online setting. </w:t>
      </w:r>
      <w:r w:rsidRPr="00E53686">
        <w:rPr>
          <w:rStyle w:val="StyleUnderline"/>
        </w:rPr>
        <w:t>The Internet context actualises the dispersal of power across the</w:t>
      </w:r>
      <w:r>
        <w:rPr>
          <w:rStyle w:val="StyleUnderline"/>
        </w:rPr>
        <w:t xml:space="preserve"> </w:t>
      </w:r>
      <w:r w:rsidRPr="00E53686">
        <w:rPr>
          <w:rStyle w:val="StyleUnderline"/>
        </w:rPr>
        <w:t>network; across uncountable infrastructures, knowledge structures, applications and</w:t>
      </w:r>
      <w:r>
        <w:rPr>
          <w:rStyle w:val="StyleUnderline"/>
        </w:rPr>
        <w:t xml:space="preserve"> </w:t>
      </w:r>
      <w:r w:rsidRPr="00E53686">
        <w:rPr>
          <w:rStyle w:val="StyleUnderline"/>
        </w:rPr>
        <w:t>online platforms. At the same time, the neoliberal shift is projected upon this context:</w:t>
      </w:r>
      <w:r>
        <w:rPr>
          <w:rStyle w:val="StyleUnderline"/>
        </w:rPr>
        <w:t xml:space="preserve"> </w:t>
      </w:r>
      <w:r w:rsidRPr="00E53686">
        <w:rPr>
          <w:rStyle w:val="StyleUnderline"/>
        </w:rPr>
        <w:t>states have important online presence and access to network infrastructure control, but</w:t>
      </w:r>
      <w:r>
        <w:rPr>
          <w:rStyle w:val="StyleUnderline"/>
        </w:rPr>
        <w:t xml:space="preserve"> </w:t>
      </w:r>
      <w:r w:rsidRPr="00E53686">
        <w:rPr>
          <w:rStyle w:val="StyleUnderline"/>
        </w:rPr>
        <w:t>the management and government (in Foucauldian terms) of everyday online life is</w:t>
      </w:r>
      <w:r>
        <w:rPr>
          <w:rStyle w:val="StyleUnderline"/>
        </w:rPr>
        <w:t xml:space="preserve"> </w:t>
      </w:r>
      <w:r w:rsidRPr="00E53686">
        <w:rPr>
          <w:rStyle w:val="StyleUnderline"/>
        </w:rPr>
        <w:t>mainly distributed across (and owned by) market forces and private entities. The</w:t>
      </w:r>
      <w:r>
        <w:rPr>
          <w:rStyle w:val="StyleUnderline"/>
        </w:rPr>
        <w:t xml:space="preserve"> </w:t>
      </w:r>
      <w:r w:rsidRPr="00E53686">
        <w:rPr>
          <w:rStyle w:val="StyleUnderline"/>
        </w:rPr>
        <w:t>network incorporates biopower in its (re)production of life; across the architecture of its</w:t>
      </w:r>
      <w:r>
        <w:rPr>
          <w:rStyle w:val="StyleUnderline"/>
        </w:rPr>
        <w:t xml:space="preserve"> </w:t>
      </w:r>
      <w:r w:rsidRPr="00E53686">
        <w:rPr>
          <w:rStyle w:val="StyleUnderline"/>
        </w:rPr>
        <w:t>operations and fundamentally within its makeup of computer code (Lessig 2006), it integrates norms, both social and regulatory, surveillance, optimisation and security mechanisms, in and through its various operations, controlling individuals towards a productive</w:t>
      </w:r>
      <w:r>
        <w:rPr>
          <w:rStyle w:val="StyleUnderline"/>
        </w:rPr>
        <w:t xml:space="preserve"> </w:t>
      </w:r>
      <w:r w:rsidRPr="00E53686">
        <w:rPr>
          <w:rStyle w:val="StyleUnderline"/>
        </w:rPr>
        <w:t>existence and thus forwarding the interconnected human species. Finally, it recreates</w:t>
      </w:r>
      <w:r>
        <w:rPr>
          <w:rStyle w:val="StyleUnderline"/>
        </w:rPr>
        <w:t xml:space="preserve"> </w:t>
      </w:r>
      <w:r w:rsidRPr="00E53686">
        <w:rPr>
          <w:rStyle w:val="StyleUnderline"/>
        </w:rPr>
        <w:t>the contours of political economy, where the horizon of productivity is realised through</w:t>
      </w:r>
      <w:r>
        <w:rPr>
          <w:rStyle w:val="StyleUnderline"/>
        </w:rPr>
        <w:t xml:space="preserve"> </w:t>
      </w:r>
      <w:r w:rsidRPr="00E53686">
        <w:rPr>
          <w:rStyle w:val="StyleUnderline"/>
        </w:rPr>
        <w:t>the production of life – in online terms: the production of information, by which life is</w:t>
      </w:r>
      <w:r>
        <w:rPr>
          <w:rStyle w:val="StyleUnderline"/>
        </w:rPr>
        <w:t xml:space="preserve"> </w:t>
      </w:r>
      <w:r w:rsidRPr="00E53686">
        <w:rPr>
          <w:rStyle w:val="StyleUnderline"/>
        </w:rPr>
        <w:t>otherwise sustained and organised.</w:t>
      </w:r>
      <w:r>
        <w:rPr>
          <w:rStyle w:val="StyleUnderline"/>
        </w:rPr>
        <w:t xml:space="preserve"> </w:t>
      </w:r>
      <w:r w:rsidRPr="006A4805">
        <w:rPr>
          <w:sz w:val="16"/>
        </w:rPr>
        <w:t xml:space="preserve">The second component comes closer to Hardt’s and Negri’s contemplations, in recognition of the link they make between the Internet’s biopolitical production and the common. They use communication as an example to denote how the common is produced and it also becomes productive, by suggesting that we ‘communicate only on the basis of languages, symbols, ideas, and relationships we share in common, and in turn the results of our communication are new common languages, symbols, ideas, and relationships’ (2004, 197). </w:t>
      </w:r>
      <w:r w:rsidRPr="00E53686">
        <w:rPr>
          <w:rStyle w:val="StyleUnderline"/>
        </w:rPr>
        <w:t>The common denotes a raw material that is ‘not</w:t>
      </w:r>
      <w:r>
        <w:rPr>
          <w:rStyle w:val="StyleUnderline"/>
        </w:rPr>
        <w:t xml:space="preserve"> </w:t>
      </w:r>
      <w:r w:rsidRPr="00E53686">
        <w:rPr>
          <w:rStyle w:val="StyleUnderline"/>
        </w:rPr>
        <w:t>consumed in production but actually increases with use’ (2004, 147). Yet, Hardt and</w:t>
      </w:r>
      <w:r>
        <w:rPr>
          <w:rStyle w:val="StyleUnderline"/>
        </w:rPr>
        <w:t xml:space="preserve"> </w:t>
      </w:r>
      <w:r w:rsidRPr="00E53686">
        <w:rPr>
          <w:rStyle w:val="StyleUnderline"/>
        </w:rPr>
        <w:t>Negri warn that, the same way production of value is understood in terms of the</w:t>
      </w:r>
      <w:r>
        <w:rPr>
          <w:rStyle w:val="StyleUnderline"/>
        </w:rPr>
        <w:t xml:space="preserve"> </w:t>
      </w:r>
      <w:r w:rsidRPr="00E53686">
        <w:rPr>
          <w:rStyle w:val="StyleUnderline"/>
        </w:rPr>
        <w:t>common, where the common has become the locus of surplus value, its exploitation</w:t>
      </w:r>
      <w:r>
        <w:rPr>
          <w:rStyle w:val="StyleUnderline"/>
        </w:rPr>
        <w:t xml:space="preserve"> </w:t>
      </w:r>
      <w:r w:rsidRPr="00E53686">
        <w:rPr>
          <w:rStyle w:val="StyleUnderline"/>
        </w:rPr>
        <w:t>equals to its expropriation. Exploitation denotes ‘private appropriation of part or all</w:t>
      </w:r>
      <w:r>
        <w:rPr>
          <w:rStyle w:val="StyleUnderline"/>
        </w:rPr>
        <w:t xml:space="preserve"> </w:t>
      </w:r>
      <w:r w:rsidRPr="00E53686">
        <w:rPr>
          <w:rStyle w:val="StyleUnderline"/>
        </w:rPr>
        <w:t>of the value that has been produced as common’ (2004, 150), even if that refers to</w:t>
      </w:r>
      <w:r>
        <w:rPr>
          <w:rStyle w:val="StyleUnderline"/>
        </w:rPr>
        <w:t xml:space="preserve"> </w:t>
      </w:r>
      <w:r w:rsidRPr="00E53686">
        <w:rPr>
          <w:rStyle w:val="StyleUnderline"/>
        </w:rPr>
        <w:t>relations or communications that are common by their nature, and results in turning</w:t>
      </w:r>
      <w:r>
        <w:rPr>
          <w:rStyle w:val="StyleUnderline"/>
        </w:rPr>
        <w:t xml:space="preserve"> </w:t>
      </w:r>
      <w:r w:rsidRPr="00E53686">
        <w:rPr>
          <w:rStyle w:val="StyleUnderline"/>
        </w:rPr>
        <w:t>what is common into private property and controlling it</w:t>
      </w:r>
      <w:r w:rsidRPr="006A4805">
        <w:rPr>
          <w:sz w:val="16"/>
        </w:rPr>
        <w:t>. Hardt and Negri also note that most often we focus on conflicts between the common and private property, yet it is equally important to keep the common conceptually separate from the public, suggesting the (negative) example of institutional arrangements aiming to regulate common knowledge and culture (2011).</w:t>
      </w:r>
    </w:p>
    <w:p w14:paraId="5234DFDA" w14:textId="77777777" w:rsidR="00E53686" w:rsidRPr="006A4805" w:rsidRDefault="00E53686" w:rsidP="00E53686">
      <w:pPr>
        <w:rPr>
          <w:sz w:val="16"/>
        </w:rPr>
      </w:pPr>
    </w:p>
    <w:p w14:paraId="6686CD6C" w14:textId="5DA00A8B" w:rsidR="00B21093" w:rsidRDefault="00B21093" w:rsidP="00B21093">
      <w:pPr>
        <w:pStyle w:val="Heading3"/>
      </w:pPr>
      <w:r>
        <w:t>AT RC – IP</w:t>
      </w:r>
    </w:p>
    <w:p w14:paraId="4B436C5A" w14:textId="77777777" w:rsidR="00B21093" w:rsidRPr="006A4805" w:rsidRDefault="00B21093" w:rsidP="00B21093">
      <w:pPr>
        <w:pStyle w:val="Heading4"/>
      </w:pPr>
      <w:r>
        <w:t>Marxist commodification frameworks fail to adequately explain the contradictions between life and IP law</w:t>
      </w:r>
    </w:p>
    <w:p w14:paraId="74A094C7" w14:textId="77777777" w:rsidR="00B21093" w:rsidRPr="006A4805" w:rsidRDefault="00B21093" w:rsidP="00B21093">
      <w:pPr>
        <w:rPr>
          <w:rStyle w:val="Style13ptBold"/>
        </w:rPr>
      </w:pPr>
      <w:r w:rsidRPr="006A4805">
        <w:rPr>
          <w:rStyle w:val="Style13ptBold"/>
        </w:rPr>
        <w:t>Hilberg 15</w:t>
      </w:r>
    </w:p>
    <w:p w14:paraId="4F789F90" w14:textId="77777777" w:rsidR="00B21093" w:rsidRPr="006A4805" w:rsidRDefault="00B21093" w:rsidP="00B21093">
      <w:r w:rsidRPr="006A4805">
        <w:t>Eva, phD candidate at the University of Sussex. “Intellectual Property and the Genetic Dispositif of Life: The Changing Role of Intellectual Property Law in Governing Participation and Knowledge in the Bioeconomy.” Submitted for the Degree of Doctor of Philosophy University of Sussex, May 2015. Pp 9-10. LJS</w:t>
      </w:r>
    </w:p>
    <w:p w14:paraId="169E2022" w14:textId="25A7865C" w:rsidR="00B21093" w:rsidRPr="00B21093" w:rsidRDefault="00B21093" w:rsidP="00B21093">
      <w:pPr>
        <w:rPr>
          <w:u w:val="single"/>
        </w:rPr>
      </w:pPr>
      <w:r w:rsidRPr="00B21093">
        <w:rPr>
          <w:sz w:val="16"/>
        </w:rPr>
        <w:t xml:space="preserve">This thesis argues that these “paradoxes plaguing the intersection of the human body and intellectual property regimes in the present moment” (Waldby and Mitchell 2006, 136) cannot be explained through the prism of the “commodification” of life alone. </w:t>
      </w:r>
      <w:r w:rsidRPr="00B21093">
        <w:rPr>
          <w:rStyle w:val="StyleUnderline"/>
        </w:rPr>
        <w:t>Rather, analyses need to account for the emergence of a “new moral</w:t>
      </w:r>
      <w:r>
        <w:rPr>
          <w:rStyle w:val="StyleUnderline"/>
        </w:rPr>
        <w:t xml:space="preserve"> </w:t>
      </w:r>
      <w:r w:rsidRPr="00B21093">
        <w:rPr>
          <w:rStyle w:val="StyleUnderline"/>
        </w:rPr>
        <w:t>economy of R&amp;D” (Lezaun and Montgomery 2015) and IP’s role within a “new</w:t>
      </w:r>
      <w:r>
        <w:rPr>
          <w:rStyle w:val="StyleUnderline"/>
        </w:rPr>
        <w:t xml:space="preserve"> </w:t>
      </w:r>
      <w:r w:rsidRPr="00B21093">
        <w:rPr>
          <w:rStyle w:val="StyleUnderline"/>
        </w:rPr>
        <w:t>somatic ethics” (N. Rose 2008a; 2007a), in which patients are incited to take active</w:t>
      </w:r>
      <w:r>
        <w:rPr>
          <w:rStyle w:val="StyleUnderline"/>
        </w:rPr>
        <w:t xml:space="preserve"> </w:t>
      </w:r>
      <w:r w:rsidRPr="00B21093">
        <w:rPr>
          <w:rStyle w:val="StyleUnderline"/>
        </w:rPr>
        <w:t>responsibility for their wellbeing. It argues that IP is becoming a central site that</w:t>
      </w:r>
      <w:r>
        <w:rPr>
          <w:rStyle w:val="StyleUnderline"/>
        </w:rPr>
        <w:t xml:space="preserve"> </w:t>
      </w:r>
      <w:r w:rsidRPr="00B21093">
        <w:rPr>
          <w:rStyle w:val="StyleUnderline"/>
        </w:rPr>
        <w:t>governs the increasing “problematization” of life (Foucault 1994, 114). Here, the</w:t>
      </w:r>
      <w:r>
        <w:rPr>
          <w:rStyle w:val="StyleUnderline"/>
        </w:rPr>
        <w:t xml:space="preserve"> </w:t>
      </w:r>
      <w:r w:rsidRPr="00B21093">
        <w:rPr>
          <w:rStyle w:val="StyleUnderline"/>
        </w:rPr>
        <w:t>predominant informational-genetic dispositif of life gives rise to intensifying tensions between the patenting of genetic sequences and emerging practices of self-governing</w:t>
      </w:r>
      <w:r>
        <w:rPr>
          <w:rStyle w:val="StyleUnderline"/>
        </w:rPr>
        <w:t xml:space="preserve"> </w:t>
      </w:r>
      <w:r w:rsidRPr="00B21093">
        <w:rPr>
          <w:rStyle w:val="StyleUnderline"/>
        </w:rPr>
        <w:t>on the basis of genetic knowledge.</w:t>
      </w:r>
      <w:r>
        <w:rPr>
          <w:rStyle w:val="StyleUnderline"/>
        </w:rPr>
        <w:t xml:space="preserve"> </w:t>
      </w:r>
      <w:r w:rsidRPr="00B21093">
        <w:rPr>
          <w:sz w:val="16"/>
        </w:rPr>
        <w:t xml:space="preserve">This thesis analyses the role of IP in confrontation with this shifting terrain of a politics of molecular life, and argues that it does more than provide commodities in the bioeconomy: IP governs participation and normalises knowledge, and thus acts as a “tactics” of government (Foucault 2000, 211), engaging “responsively” (Golder and Fitzpatrick 2009, 56) with challenges to these roles. </w:t>
      </w:r>
      <w:r w:rsidRPr="00B21093">
        <w:rPr>
          <w:rStyle w:val="StyleUnderline"/>
        </w:rPr>
        <w:t>IP’s relation to genetic</w:t>
      </w:r>
      <w:r>
        <w:rPr>
          <w:rStyle w:val="StyleUnderline"/>
        </w:rPr>
        <w:t xml:space="preserve"> </w:t>
      </w:r>
      <w:r w:rsidRPr="00B21093">
        <w:rPr>
          <w:rStyle w:val="StyleUnderline"/>
        </w:rPr>
        <w:t>conceptions of life thus goes beyond the “commodification” of life, and is better</w:t>
      </w:r>
      <w:r>
        <w:rPr>
          <w:rStyle w:val="StyleUnderline"/>
        </w:rPr>
        <w:t xml:space="preserve"> </w:t>
      </w:r>
      <w:r w:rsidRPr="00B21093">
        <w:rPr>
          <w:rStyle w:val="StyleUnderline"/>
        </w:rPr>
        <w:t>conceptualised as a confrontation with biopower, which can shed new light on the</w:t>
      </w:r>
      <w:r>
        <w:rPr>
          <w:rStyle w:val="StyleUnderline"/>
        </w:rPr>
        <w:t xml:space="preserve"> </w:t>
      </w:r>
      <w:r w:rsidRPr="00B21093">
        <w:rPr>
          <w:rStyle w:val="StyleUnderline"/>
        </w:rPr>
        <w:t>“paradoxes” at the intersection of genetic conceptions of life and IP law</w:t>
      </w:r>
      <w:r w:rsidRPr="00B21093">
        <w:rPr>
          <w:sz w:val="16"/>
        </w:rPr>
        <w:t xml:space="preserve">. The following chapters provide an in-depth analysis of IP’s contribution to the governing of life by managing tensions around truth discourses over life, the subject’s participation in the bioeconomy, and IP strategies for control over research agendas. </w:t>
      </w:r>
      <w:r w:rsidRPr="00B21093">
        <w:rPr>
          <w:rStyle w:val="StyleUnderline"/>
        </w:rPr>
        <w:t>This highlights two trajectories of challenges that are neglected in an overwhelming</w:t>
      </w:r>
      <w:r>
        <w:rPr>
          <w:rStyle w:val="StyleUnderline"/>
        </w:rPr>
        <w:t xml:space="preserve"> </w:t>
      </w:r>
      <w:r w:rsidRPr="00B21093">
        <w:rPr>
          <w:rStyle w:val="StyleUnderline"/>
        </w:rPr>
        <w:t>emphasis on commodification: the role of IP as a regime that excludes participation in</w:t>
      </w:r>
      <w:r>
        <w:rPr>
          <w:rStyle w:val="StyleUnderline"/>
        </w:rPr>
        <w:t xml:space="preserve"> </w:t>
      </w:r>
      <w:r w:rsidRPr="00B21093">
        <w:rPr>
          <w:rStyle w:val="StyleUnderline"/>
        </w:rPr>
        <w:t>the bioeconomy, and the role of IP in establishing control over a normalised version</w:t>
      </w:r>
      <w:r>
        <w:rPr>
          <w:rStyle w:val="StyleUnderline"/>
        </w:rPr>
        <w:t xml:space="preserve"> </w:t>
      </w:r>
      <w:r w:rsidRPr="00B21093">
        <w:rPr>
          <w:rStyle w:val="StyleUnderline"/>
        </w:rPr>
        <w:t>of knowledge over life.</w:t>
      </w:r>
    </w:p>
    <w:p w14:paraId="47DDDCA3" w14:textId="77777777" w:rsidR="0064010D" w:rsidRDefault="0064010D" w:rsidP="0064010D">
      <w:pPr>
        <w:pStyle w:val="Heading4"/>
      </w:pPr>
      <w:r>
        <w:t>Reductionism DA—commodification arguments detracts from deeper understandings of IP law’s productive function in governing knowledge</w:t>
      </w:r>
    </w:p>
    <w:p w14:paraId="25662C50" w14:textId="77777777" w:rsidR="0064010D" w:rsidRPr="006A4805" w:rsidRDefault="0064010D" w:rsidP="0064010D">
      <w:pPr>
        <w:rPr>
          <w:rStyle w:val="Style13ptBold"/>
        </w:rPr>
      </w:pPr>
      <w:r w:rsidRPr="006A4805">
        <w:rPr>
          <w:rStyle w:val="Style13ptBold"/>
        </w:rPr>
        <w:t>Hilberg 15</w:t>
      </w:r>
    </w:p>
    <w:p w14:paraId="5BBEBD65" w14:textId="77777777" w:rsidR="0064010D" w:rsidRDefault="0064010D" w:rsidP="0064010D">
      <w:r w:rsidRPr="006A4805">
        <w:t xml:space="preserve">Eva, phD candidate at the University of Sussex. “Intellectual Property and the Genetic Dispositif of Life: The Changing Role of Intellectual Property Law in Governing Participation and Knowledge in the Bioeconomy.” Submitted for the Degree of Doctor of Philosophy University of Sussex, May 2015. Pp </w:t>
      </w:r>
      <w:r>
        <w:t>19-20</w:t>
      </w:r>
      <w:r w:rsidRPr="006A4805">
        <w:t>. LJS</w:t>
      </w:r>
    </w:p>
    <w:p w14:paraId="3F74BEB5" w14:textId="77777777" w:rsidR="0064010D" w:rsidRPr="0064010D" w:rsidRDefault="0064010D" w:rsidP="0064010D">
      <w:pPr>
        <w:rPr>
          <w:sz w:val="16"/>
        </w:rPr>
      </w:pPr>
      <w:r w:rsidRPr="0064010D">
        <w:rPr>
          <w:sz w:val="16"/>
        </w:rPr>
        <w:t xml:space="preserve">The focus on the ‘commodification’ of aspects of life presents a clear normative critique of this process’ detrimental effects on developing countries and the availability of knowledge for research and development. However, </w:t>
      </w:r>
      <w:r w:rsidRPr="0064010D">
        <w:rPr>
          <w:rStyle w:val="StyleUnderline"/>
        </w:rPr>
        <w:t>this critique places</w:t>
      </w:r>
      <w:r>
        <w:rPr>
          <w:rStyle w:val="StyleUnderline"/>
        </w:rPr>
        <w:t xml:space="preserve"> </w:t>
      </w:r>
      <w:r w:rsidRPr="0064010D">
        <w:rPr>
          <w:rStyle w:val="StyleUnderline"/>
        </w:rPr>
        <w:t xml:space="preserve">overwhelming emphasis on the </w:t>
      </w:r>
      <w:r w:rsidRPr="0064010D">
        <w:rPr>
          <w:rStyle w:val="Emphasis"/>
        </w:rPr>
        <w:t>economic determination of legal and social relations</w:t>
      </w:r>
      <w:r w:rsidRPr="0064010D">
        <w:rPr>
          <w:rStyle w:val="StyleUnderline"/>
        </w:rPr>
        <w:t>,</w:t>
      </w:r>
      <w:r>
        <w:rPr>
          <w:rStyle w:val="StyleUnderline"/>
        </w:rPr>
        <w:t xml:space="preserve"> </w:t>
      </w:r>
      <w:r w:rsidRPr="0064010D">
        <w:rPr>
          <w:rStyle w:val="StyleUnderline"/>
        </w:rPr>
        <w:t xml:space="preserve">in which IPRs are understood as a </w:t>
      </w:r>
      <w:r w:rsidRPr="0064010D">
        <w:rPr>
          <w:rStyle w:val="Emphasis"/>
        </w:rPr>
        <w:t>unidirectional mechanism</w:t>
      </w:r>
      <w:r w:rsidRPr="0064010D">
        <w:rPr>
          <w:rStyle w:val="StyleUnderline"/>
        </w:rPr>
        <w:t xml:space="preserve"> enabling processes of</w:t>
      </w:r>
      <w:r>
        <w:rPr>
          <w:rStyle w:val="StyleUnderline"/>
        </w:rPr>
        <w:t xml:space="preserve"> </w:t>
      </w:r>
      <w:r w:rsidRPr="0064010D">
        <w:rPr>
          <w:rStyle w:val="Emphasis"/>
        </w:rPr>
        <w:t>commodification for exchange in the economy.</w:t>
      </w:r>
      <w:r w:rsidRPr="0064010D">
        <w:rPr>
          <w:rStyle w:val="StyleUnderline"/>
        </w:rPr>
        <w:t xml:space="preserve"> This unilateral reading of IP’s role in</w:t>
      </w:r>
      <w:r>
        <w:rPr>
          <w:rStyle w:val="StyleUnderline"/>
        </w:rPr>
        <w:t xml:space="preserve"> </w:t>
      </w:r>
      <w:r w:rsidRPr="0064010D">
        <w:rPr>
          <w:rStyle w:val="StyleUnderline"/>
        </w:rPr>
        <w:t xml:space="preserve">the economy </w:t>
      </w:r>
      <w:r w:rsidRPr="0064010D">
        <w:rPr>
          <w:rStyle w:val="Emphasis"/>
        </w:rPr>
        <w:t>detracts from a deeper understanding</w:t>
      </w:r>
      <w:r w:rsidRPr="0064010D">
        <w:rPr>
          <w:rStyle w:val="StyleUnderline"/>
        </w:rPr>
        <w:t xml:space="preserve"> of its conflicted and less</w:t>
      </w:r>
      <w:r>
        <w:rPr>
          <w:rStyle w:val="StyleUnderline"/>
        </w:rPr>
        <w:t xml:space="preserve"> </w:t>
      </w:r>
      <w:r w:rsidRPr="0064010D">
        <w:rPr>
          <w:rStyle w:val="StyleUnderline"/>
        </w:rPr>
        <w:t xml:space="preserve">unidirectional role in the </w:t>
      </w:r>
      <w:r w:rsidRPr="0064010D">
        <w:rPr>
          <w:rStyle w:val="Emphasis"/>
        </w:rPr>
        <w:t>normalisation of knowledge</w:t>
      </w:r>
      <w:r w:rsidRPr="0064010D">
        <w:rPr>
          <w:rStyle w:val="StyleUnderline"/>
        </w:rPr>
        <w:t xml:space="preserve"> and in the </w:t>
      </w:r>
      <w:r w:rsidRPr="0064010D">
        <w:rPr>
          <w:rStyle w:val="Emphasis"/>
        </w:rPr>
        <w:t>regulation of participation</w:t>
      </w:r>
      <w:r w:rsidRPr="0064010D">
        <w:rPr>
          <w:rStyle w:val="StyleUnderline"/>
        </w:rPr>
        <w:t xml:space="preserve"> of patients and developing countries within the bioeconomy.</w:t>
      </w:r>
      <w:r w:rsidRPr="0064010D">
        <w:rPr>
          <w:sz w:val="16"/>
        </w:rPr>
        <w:t xml:space="preserve"> It also does not account for the variety of motivations for participation in such undertakings, not all of which are driven by economic concerns. This thesis argues that an analysis of IP’s encounter with life needs to account for IP’s functions within a developing political sphere based on genetic conceptions of life. </w:t>
      </w:r>
      <w:r w:rsidRPr="0064010D">
        <w:rPr>
          <w:rStyle w:val="StyleUnderline"/>
        </w:rPr>
        <w:t>In contrast with the commodification critique’s unidirectional determination of</w:t>
      </w:r>
      <w:r>
        <w:rPr>
          <w:rStyle w:val="StyleUnderline"/>
        </w:rPr>
        <w:t xml:space="preserve"> </w:t>
      </w:r>
      <w:r w:rsidRPr="0064010D">
        <w:rPr>
          <w:rStyle w:val="StyleUnderline"/>
        </w:rPr>
        <w:t>IP’s role, Foucault’s notion of governmentality “understands the commodification of</w:t>
      </w:r>
      <w:r>
        <w:rPr>
          <w:rStyle w:val="StyleUnderline"/>
        </w:rPr>
        <w:t xml:space="preserve"> </w:t>
      </w:r>
      <w:r w:rsidRPr="0064010D">
        <w:rPr>
          <w:rStyle w:val="StyleUnderline"/>
        </w:rPr>
        <w:t>subjective experience not so much through ideas of passive consumerism,</w:t>
      </w:r>
      <w:r>
        <w:rPr>
          <w:rStyle w:val="StyleUnderline"/>
        </w:rPr>
        <w:t xml:space="preserve"> </w:t>
      </w:r>
      <w:r w:rsidRPr="0064010D">
        <w:rPr>
          <w:rStyle w:val="StyleUnderline"/>
        </w:rPr>
        <w:t>standardization and heteronomy, as through ideas of active differentiation, regulated</w:t>
      </w:r>
      <w:r>
        <w:rPr>
          <w:rStyle w:val="StyleUnderline"/>
        </w:rPr>
        <w:t xml:space="preserve"> </w:t>
      </w:r>
      <w:r w:rsidRPr="0064010D">
        <w:rPr>
          <w:rStyle w:val="StyleUnderline"/>
        </w:rPr>
        <w:t>self-responsibility and depoliticized autonomy” (McNay 2009, 62). Instead of looking</w:t>
      </w:r>
      <w:r>
        <w:rPr>
          <w:rStyle w:val="StyleUnderline"/>
        </w:rPr>
        <w:t xml:space="preserve"> </w:t>
      </w:r>
      <w:r w:rsidRPr="0064010D">
        <w:rPr>
          <w:rStyle w:val="StyleUnderline"/>
        </w:rPr>
        <w:t>at the homogenisation of society with reference to an alienating system of abstract</w:t>
      </w:r>
      <w:r>
        <w:rPr>
          <w:rStyle w:val="StyleUnderline"/>
        </w:rPr>
        <w:t xml:space="preserve"> </w:t>
      </w:r>
      <w:r w:rsidRPr="0064010D">
        <w:rPr>
          <w:rStyle w:val="StyleUnderline"/>
        </w:rPr>
        <w:t xml:space="preserve">value creation, Foucault’s concepts highlight how </w:t>
      </w:r>
      <w:r w:rsidRPr="0064010D">
        <w:rPr>
          <w:rStyle w:val="Emphasis"/>
        </w:rPr>
        <w:t xml:space="preserve">active processes of differentiation </w:t>
      </w:r>
      <w:r w:rsidRPr="0064010D">
        <w:rPr>
          <w:rStyle w:val="StyleUnderline"/>
        </w:rPr>
        <w:t xml:space="preserve">for instance contained in the notion of the “self as enterprise” </w:t>
      </w:r>
      <w:r w:rsidRPr="0064010D">
        <w:rPr>
          <w:rStyle w:val="Emphasis"/>
        </w:rPr>
        <w:t>give rise to a more resilient neoliberal system</w:t>
      </w:r>
      <w:r w:rsidRPr="0064010D">
        <w:rPr>
          <w:rStyle w:val="StyleUnderline"/>
        </w:rPr>
        <w:t xml:space="preserve"> (Ibid., 63). </w:t>
      </w:r>
      <w:r w:rsidRPr="0064010D">
        <w:rPr>
          <w:sz w:val="16"/>
        </w:rPr>
        <w:t xml:space="preserve">The genetic conception of life here provides novel parameters for responsible conduct in a new “somatic ethics” (N. Rose 2008a). Importantly, these active processes of self-governing can both reinforce and also challenge the IP system, as in the case of PXE International’s use of patents on the genetic condition pseudoxanthoma elasticum (PXE) for the purpose of exerting control over research agendas without following commercial aims (see chapter V). IPRs on genetic conceptions of life are thus used in a less unidirectional way than the notion of commodification suggests, and are rather becoming part of a diffuse net of power relations. </w:t>
      </w:r>
      <w:r w:rsidRPr="0064010D">
        <w:rPr>
          <w:rStyle w:val="StyleUnderline"/>
        </w:rPr>
        <w:t>This perspective on the governing of life directs attention to the role of law in</w:t>
      </w:r>
      <w:r>
        <w:rPr>
          <w:rStyle w:val="StyleUnderline"/>
        </w:rPr>
        <w:t xml:space="preserve"> </w:t>
      </w:r>
      <w:r w:rsidRPr="0064010D">
        <w:rPr>
          <w:rStyle w:val="StyleUnderline"/>
        </w:rPr>
        <w:t>setting out the conditions on which the economic system operates – for example</w:t>
      </w:r>
      <w:r>
        <w:rPr>
          <w:rStyle w:val="StyleUnderline"/>
        </w:rPr>
        <w:t xml:space="preserve"> </w:t>
      </w:r>
      <w:r w:rsidRPr="0064010D">
        <w:rPr>
          <w:rStyle w:val="StyleUnderline"/>
        </w:rPr>
        <w:t xml:space="preserve">putting in place the rules necessary to guarantee a ‘free’ market. These </w:t>
      </w:r>
      <w:r w:rsidRPr="0064010D">
        <w:rPr>
          <w:rStyle w:val="Emphasis"/>
        </w:rPr>
        <w:t>conditions conduct the behaviour of individuals</w:t>
      </w:r>
      <w:r w:rsidRPr="0064010D">
        <w:rPr>
          <w:rStyle w:val="StyleUnderline"/>
        </w:rPr>
        <w:t xml:space="preserve"> within this market, rather than just operating as</w:t>
      </w:r>
      <w:r>
        <w:rPr>
          <w:rStyle w:val="StyleUnderline"/>
        </w:rPr>
        <w:t xml:space="preserve"> </w:t>
      </w:r>
      <w:r w:rsidRPr="0064010D">
        <w:rPr>
          <w:rStyle w:val="StyleUnderline"/>
        </w:rPr>
        <w:t>restrictions, or punishments</w:t>
      </w:r>
      <w:r w:rsidRPr="0064010D">
        <w:rPr>
          <w:rStyle w:val="Emphasis"/>
        </w:rPr>
        <w:t>. Law thus is “productive</w:t>
      </w:r>
      <w:r w:rsidRPr="0064010D">
        <w:rPr>
          <w:rStyle w:val="StyleUnderline"/>
        </w:rPr>
        <w:t>” in this function, and becomes</w:t>
      </w:r>
      <w:r>
        <w:rPr>
          <w:rStyle w:val="StyleUnderline"/>
        </w:rPr>
        <w:t xml:space="preserve"> </w:t>
      </w:r>
      <w:r w:rsidRPr="0064010D">
        <w:rPr>
          <w:rStyle w:val="StyleUnderline"/>
        </w:rPr>
        <w:t>increasingly included in the “</w:t>
      </w:r>
      <w:r w:rsidRPr="0064010D">
        <w:rPr>
          <w:rStyle w:val="Emphasis"/>
        </w:rPr>
        <w:t>governing” of economic and social relations</w:t>
      </w:r>
      <w:r w:rsidRPr="0064010D">
        <w:rPr>
          <w:rStyle w:val="StyleUnderline"/>
        </w:rPr>
        <w:t>.</w:t>
      </w:r>
      <w:r w:rsidRPr="0064010D">
        <w:rPr>
          <w:sz w:val="16"/>
        </w:rPr>
        <w:t xml:space="preserve"> Foucault’s concept of governmentality points to the central relevance of knowledge or ‘truth’ for the determination of appropriate conditions that “conduct the conduct” of individuals for example in the market (Foucault 2008, 186). These parameters also seek to enable a form of governing that intervenes as little as possible in the form of direct punishments or orders – heeding an “economic” calculus for determining an optimum amount of governmental intervention (Ibid., 19, 208, 319; N. Rose and Miller 2010). </w:t>
      </w:r>
      <w:r w:rsidRPr="0064010D">
        <w:rPr>
          <w:rStyle w:val="StyleUnderline"/>
        </w:rPr>
        <w:t>This economic calculus can however be challenged by emerging biopolitical</w:t>
      </w:r>
      <w:r>
        <w:rPr>
          <w:rStyle w:val="StyleUnderline"/>
        </w:rPr>
        <w:t xml:space="preserve"> </w:t>
      </w:r>
      <w:r w:rsidRPr="0064010D">
        <w:rPr>
          <w:rStyle w:val="StyleUnderline"/>
        </w:rPr>
        <w:t>strategies, which focus on fostering the life and wellbeing of populations on the basis</w:t>
      </w:r>
      <w:r>
        <w:rPr>
          <w:rStyle w:val="StyleUnderline"/>
        </w:rPr>
        <w:t xml:space="preserve"> </w:t>
      </w:r>
      <w:r w:rsidRPr="0064010D">
        <w:rPr>
          <w:rStyle w:val="StyleUnderline"/>
        </w:rPr>
        <w:t>of knowledge over life itself (Foucault 1978, 138).</w:t>
      </w:r>
      <w:r>
        <w:rPr>
          <w:rStyle w:val="StyleUnderline"/>
        </w:rPr>
        <w:t xml:space="preserve"> </w:t>
      </w:r>
      <w:r w:rsidRPr="0064010D">
        <w:rPr>
          <w:rStyle w:val="StyleUnderline"/>
        </w:rPr>
        <w:t xml:space="preserve">This thesis argues that </w:t>
      </w:r>
      <w:r w:rsidRPr="0064010D">
        <w:rPr>
          <w:rStyle w:val="Emphasis"/>
        </w:rPr>
        <w:t>IPRs are increasingly embroiled in tensions between the operation of the market and the significance of genetic knowledge for the governing of life</w:t>
      </w:r>
      <w:r w:rsidRPr="0064010D">
        <w:rPr>
          <w:rStyle w:val="StyleUnderline"/>
        </w:rPr>
        <w:t xml:space="preserve">. At the intersection of knowledge and the market, the </w:t>
      </w:r>
      <w:r w:rsidRPr="0064010D">
        <w:rPr>
          <w:rStyle w:val="Emphasis"/>
        </w:rPr>
        <w:t>IP regime is doing more than merely creating commodities</w:t>
      </w:r>
      <w:r w:rsidRPr="0064010D">
        <w:rPr>
          <w:rStyle w:val="StyleUnderline"/>
        </w:rPr>
        <w:t xml:space="preserve"> for exchange in the market: it </w:t>
      </w:r>
      <w:r w:rsidRPr="0064010D">
        <w:rPr>
          <w:rStyle w:val="Emphasis"/>
        </w:rPr>
        <w:t>elevates certain forms of knowledge</w:t>
      </w:r>
      <w:r w:rsidRPr="0064010D">
        <w:rPr>
          <w:rStyle w:val="StyleUnderline"/>
        </w:rPr>
        <w:t xml:space="preserve"> over others, </w:t>
      </w:r>
      <w:r w:rsidRPr="0064010D">
        <w:rPr>
          <w:rStyle w:val="Emphasis"/>
        </w:rPr>
        <w:t>normalises an official canon</w:t>
      </w:r>
      <w:r w:rsidRPr="0064010D">
        <w:rPr>
          <w:rStyle w:val="StyleUnderline"/>
        </w:rPr>
        <w:t xml:space="preserve"> of knowledge,</w:t>
      </w:r>
      <w:r>
        <w:rPr>
          <w:rStyle w:val="StyleUnderline"/>
        </w:rPr>
        <w:t xml:space="preserve"> </w:t>
      </w:r>
      <w:r w:rsidRPr="0064010D">
        <w:rPr>
          <w:rStyle w:val="Emphasis"/>
        </w:rPr>
        <w:t>enables specific forms of participation</w:t>
      </w:r>
      <w:r w:rsidRPr="0064010D">
        <w:rPr>
          <w:rStyle w:val="StyleUnderline"/>
        </w:rPr>
        <w:t xml:space="preserve"> in the economy, </w:t>
      </w:r>
      <w:r w:rsidRPr="0064010D">
        <w:rPr>
          <w:rStyle w:val="Emphasis"/>
        </w:rPr>
        <w:t>and prevents others</w:t>
      </w:r>
      <w:r w:rsidRPr="0064010D">
        <w:rPr>
          <w:rStyle w:val="StyleUnderline"/>
        </w:rPr>
        <w:t>. In</w:t>
      </w:r>
      <w:r>
        <w:rPr>
          <w:rStyle w:val="StyleUnderline"/>
        </w:rPr>
        <w:t xml:space="preserve"> </w:t>
      </w:r>
      <w:r w:rsidRPr="0064010D">
        <w:rPr>
          <w:rStyle w:val="StyleUnderline"/>
        </w:rPr>
        <w:t>fulfilling these roles</w:t>
      </w:r>
      <w:r w:rsidRPr="0064010D">
        <w:rPr>
          <w:rStyle w:val="Emphasis"/>
        </w:rPr>
        <w:t>, the IP regime “governs” challenges arising from a genetic conception of life – which give rise to a particular politics of life</w:t>
      </w:r>
      <w:r w:rsidRPr="0064010D">
        <w:rPr>
          <w:rStyle w:val="StyleUnderline"/>
        </w:rPr>
        <w:t>.</w:t>
      </w:r>
      <w:r w:rsidRPr="0064010D">
        <w:rPr>
          <w:sz w:val="16"/>
        </w:rPr>
        <w:t xml:space="preserve"> This analysis certainly does not mean to suggest that IPRs do no longer produce commodities for the economy, or that the entire apparatus of IPRs is undergoing a radical change, but rather seeks to trace an emerging engagement with a political sphere of life that can pose significant challenges to the IP regime on the international and the national level. </w:t>
      </w:r>
    </w:p>
    <w:p w14:paraId="66F19377" w14:textId="77777777" w:rsidR="00007E70" w:rsidRDefault="00007E70" w:rsidP="00007E70">
      <w:pPr>
        <w:pStyle w:val="Heading4"/>
      </w:pPr>
      <w:r>
        <w:t>Economic explanations of IPR are insufficient—the interaction between commodity and gift economies requires an analysis of governmentality—materialism underestimates the new resilient neoliberal subject</w:t>
      </w:r>
    </w:p>
    <w:p w14:paraId="5CB32D39" w14:textId="77777777" w:rsidR="00007E70" w:rsidRPr="006A4805" w:rsidRDefault="00007E70" w:rsidP="00007E70">
      <w:pPr>
        <w:rPr>
          <w:rStyle w:val="Style13ptBold"/>
        </w:rPr>
      </w:pPr>
      <w:r w:rsidRPr="006A4805">
        <w:rPr>
          <w:rStyle w:val="Style13ptBold"/>
        </w:rPr>
        <w:t>Hilberg 15</w:t>
      </w:r>
    </w:p>
    <w:p w14:paraId="60DABA3F" w14:textId="77777777" w:rsidR="00007E70" w:rsidRPr="00007E70" w:rsidRDefault="00007E70" w:rsidP="00007E70">
      <w:pPr>
        <w:rPr>
          <w:sz w:val="16"/>
        </w:rPr>
      </w:pPr>
      <w:r w:rsidRPr="00007E70">
        <w:rPr>
          <w:sz w:val="16"/>
        </w:rPr>
        <w:t>Eva, phD candidate at the University of Sussex. “Intellectual Property and the Genetic Dispositif of Life: The Changing Role of Intellectual Property Law in Governing Participation and Knowledge in the Bioeconomy.” Submitted for the Degree of Doctor of Philosophy University of Sussex, May 2015. Pp 51-56. LJS</w:t>
      </w:r>
    </w:p>
    <w:p w14:paraId="4227FB39" w14:textId="77777777" w:rsidR="00007E70" w:rsidRPr="00007E70" w:rsidRDefault="00007E70" w:rsidP="00007E70">
      <w:pPr>
        <w:rPr>
          <w:sz w:val="16"/>
        </w:rPr>
      </w:pPr>
      <w:r w:rsidRPr="0064010D">
        <w:rPr>
          <w:rStyle w:val="StyleUnderline"/>
        </w:rPr>
        <w:t>However, attempts at categorizing IPRs as gift or commodity reveal a more</w:t>
      </w:r>
      <w:r>
        <w:rPr>
          <w:rStyle w:val="StyleUnderline"/>
        </w:rPr>
        <w:t xml:space="preserve"> </w:t>
      </w:r>
      <w:r w:rsidRPr="0064010D">
        <w:rPr>
          <w:rStyle w:val="StyleUnderline"/>
        </w:rPr>
        <w:t>complex situation. IPRs on information derived from human genetic materials</w:t>
      </w:r>
      <w:r>
        <w:rPr>
          <w:rStyle w:val="StyleUnderline"/>
        </w:rPr>
        <w:t xml:space="preserve"> </w:t>
      </w:r>
      <w:r w:rsidRPr="0064010D">
        <w:rPr>
          <w:rStyle w:val="StyleUnderline"/>
        </w:rPr>
        <w:t xml:space="preserve">incorporate </w:t>
      </w:r>
      <w:r w:rsidRPr="001C101A">
        <w:rPr>
          <w:rStyle w:val="Emphasis"/>
        </w:rPr>
        <w:t>elements of both categories of the commodity and the gift</w:t>
      </w:r>
      <w:r w:rsidRPr="0064010D">
        <w:rPr>
          <w:rStyle w:val="StyleUnderline"/>
        </w:rPr>
        <w:t>, as IP</w:t>
      </w:r>
      <w:r>
        <w:rPr>
          <w:rStyle w:val="StyleUnderline"/>
        </w:rPr>
        <w:t xml:space="preserve"> </w:t>
      </w:r>
      <w:r w:rsidRPr="0064010D">
        <w:rPr>
          <w:rStyle w:val="StyleUnderline"/>
        </w:rPr>
        <w:t>‘commodifies’ information in a manner that actively separates any connection</w:t>
      </w:r>
      <w:r>
        <w:rPr>
          <w:rStyle w:val="StyleUnderline"/>
        </w:rPr>
        <w:t xml:space="preserve"> </w:t>
      </w:r>
      <w:r w:rsidRPr="0064010D">
        <w:rPr>
          <w:rStyle w:val="StyleUnderline"/>
        </w:rPr>
        <w:t>between the donor and the owner of IPRs derived from the donation</w:t>
      </w:r>
      <w:r w:rsidRPr="00007E70">
        <w:rPr>
          <w:sz w:val="16"/>
        </w:rPr>
        <w:t xml:space="preserve">. Titmuss pointed out that the free donation of blood ensured a higher quality of the donation compared to that of paying donors– arguably because of “an altruistic motive” (Titmuss 1997, 124 and 125). But in the case of IP, donors are “legally excluded from any stake in […][IP’s] profitability” (Waldby and Mitchell 2006, 24). </w:t>
      </w:r>
      <w:r w:rsidRPr="00E624CA">
        <w:rPr>
          <w:rStyle w:val="StyleUnderline"/>
        </w:rPr>
        <w:t>Instead of giving rise to the</w:t>
      </w:r>
      <w:r>
        <w:rPr>
          <w:rStyle w:val="StyleUnderline"/>
        </w:rPr>
        <w:t xml:space="preserve"> </w:t>
      </w:r>
      <w:r w:rsidRPr="00E624CA">
        <w:rPr>
          <w:rStyle w:val="StyleUnderline"/>
        </w:rPr>
        <w:t>socially beneficial effects of the gift relation observed by Titmuss in the area of blood</w:t>
      </w:r>
      <w:r>
        <w:rPr>
          <w:rStyle w:val="StyleUnderline"/>
        </w:rPr>
        <w:t xml:space="preserve"> </w:t>
      </w:r>
      <w:r w:rsidRPr="00E624CA">
        <w:rPr>
          <w:rStyle w:val="StyleUnderline"/>
        </w:rPr>
        <w:t>donation, IPRs preclude donors from any form of societal recognition – especially on</w:t>
      </w:r>
      <w:r>
        <w:rPr>
          <w:rStyle w:val="StyleUnderline"/>
        </w:rPr>
        <w:t xml:space="preserve"> </w:t>
      </w:r>
      <w:r w:rsidRPr="00E624CA">
        <w:rPr>
          <w:rStyle w:val="StyleUnderline"/>
        </w:rPr>
        <w:t>the international level. In the case of IP, the dichotomy of gift and commodity results</w:t>
      </w:r>
      <w:r>
        <w:rPr>
          <w:rStyle w:val="StyleUnderline"/>
        </w:rPr>
        <w:t xml:space="preserve"> </w:t>
      </w:r>
      <w:r w:rsidRPr="00E624CA">
        <w:rPr>
          <w:rStyle w:val="StyleUnderline"/>
        </w:rPr>
        <w:t>in a rather cynical situation, in which “[Titmuss’] strategy to make the human body a</w:t>
      </w:r>
      <w:r>
        <w:rPr>
          <w:rStyle w:val="StyleUnderline"/>
        </w:rPr>
        <w:t xml:space="preserve"> </w:t>
      </w:r>
      <w:r w:rsidRPr="00E624CA">
        <w:rPr>
          <w:rStyle w:val="StyleUnderline"/>
        </w:rPr>
        <w:t>bulwark against the commodification of social life, a strategy now institutionalized in</w:t>
      </w:r>
      <w:r>
        <w:rPr>
          <w:rStyle w:val="StyleUnderline"/>
        </w:rPr>
        <w:t xml:space="preserve"> </w:t>
      </w:r>
      <w:r w:rsidRPr="00E624CA">
        <w:rPr>
          <w:rStyle w:val="StyleUnderline"/>
        </w:rPr>
        <w:t xml:space="preserve">bioethical procedure, has simply </w:t>
      </w:r>
      <w:r w:rsidRPr="001C101A">
        <w:rPr>
          <w:rStyle w:val="Emphasis"/>
        </w:rPr>
        <w:t>rendered the body an open source of free biological material for commercial use</w:t>
      </w:r>
      <w:r w:rsidRPr="00E624CA">
        <w:rPr>
          <w:rStyle w:val="StyleUnderline"/>
        </w:rPr>
        <w:t>” (Ibid.).</w:t>
      </w:r>
      <w:r>
        <w:rPr>
          <w:rStyle w:val="StyleUnderline"/>
        </w:rPr>
        <w:t xml:space="preserve"> </w:t>
      </w:r>
      <w:r w:rsidRPr="00E624CA">
        <w:rPr>
          <w:rStyle w:val="StyleUnderline"/>
        </w:rPr>
        <w:t xml:space="preserve">This opportunistic exploitation of altruistic motives for donation goes </w:t>
      </w:r>
      <w:r w:rsidRPr="001C101A">
        <w:rPr>
          <w:rStyle w:val="Emphasis"/>
        </w:rPr>
        <w:t>beyond a dichotomous relation between gift and commodity</w:t>
      </w:r>
      <w:r w:rsidRPr="00E624CA">
        <w:rPr>
          <w:rStyle w:val="StyleUnderline"/>
        </w:rPr>
        <w:t xml:space="preserve">, and needs to be understood as </w:t>
      </w:r>
      <w:r w:rsidRPr="001C101A">
        <w:rPr>
          <w:rStyle w:val="Emphasis"/>
        </w:rPr>
        <w:t>more than a coincidence</w:t>
      </w:r>
      <w:r w:rsidRPr="00E624CA">
        <w:rPr>
          <w:rStyle w:val="StyleUnderline"/>
        </w:rPr>
        <w:t>. While the contrast between commodity exchange and gift</w:t>
      </w:r>
      <w:r>
        <w:rPr>
          <w:rStyle w:val="StyleUnderline"/>
        </w:rPr>
        <w:t xml:space="preserve"> </w:t>
      </w:r>
      <w:r w:rsidRPr="00E624CA">
        <w:rPr>
          <w:rStyle w:val="StyleUnderline"/>
        </w:rPr>
        <w:t>economies can reveal some of the limits of an analysis determined by a focus on</w:t>
      </w:r>
      <w:r>
        <w:rPr>
          <w:rStyle w:val="StyleUnderline"/>
        </w:rPr>
        <w:t xml:space="preserve"> </w:t>
      </w:r>
      <w:r w:rsidRPr="00E624CA">
        <w:rPr>
          <w:rStyle w:val="StyleUnderline"/>
        </w:rPr>
        <w:t xml:space="preserve">economic relations in a market, </w:t>
      </w:r>
      <w:r w:rsidRPr="001C101A">
        <w:rPr>
          <w:rStyle w:val="Emphasis"/>
        </w:rPr>
        <w:t>it cannot further explain the connection between the “moral enforcement” of donations and the exploitative function of IPRs with regards to donations</w:t>
      </w:r>
      <w:r w:rsidRPr="00007E70">
        <w:rPr>
          <w:sz w:val="16"/>
        </w:rPr>
        <w:t xml:space="preserve">. Rather than producing societal cohesion, the moral duty to provide voluntary donations here becomes embroiled in a different political project, as chapter V of this thesis argues. Using the example of active patients who participate in research in the endeavour to improve their own condition, this chapter points out that patients are encouraged to take responsibility for their physical condition, now defined in genetic terms according to a new “somatic ethics” (N. Rose 2008a), and become actively engaged in improving their self in an entrepreneurial manner (McNay 2009). </w:t>
      </w:r>
      <w:r w:rsidRPr="001C101A">
        <w:rPr>
          <w:rStyle w:val="Emphasis"/>
        </w:rPr>
        <w:t>Focusing on reinstating a more ‘appropriate’ kind of property cannot account for the way in which these patients challenge exclusion from research by using IPRs</w:t>
      </w:r>
      <w:r w:rsidRPr="00E624CA">
        <w:rPr>
          <w:rStyle w:val="StyleUnderline"/>
        </w:rPr>
        <w:t xml:space="preserve"> in order to promote their own well-being. This behaviour confronts IP</w:t>
      </w:r>
      <w:r>
        <w:rPr>
          <w:rStyle w:val="StyleUnderline"/>
        </w:rPr>
        <w:t xml:space="preserve"> </w:t>
      </w:r>
      <w:r w:rsidRPr="00E624CA">
        <w:rPr>
          <w:rStyle w:val="StyleUnderline"/>
        </w:rPr>
        <w:t>with a new ethics based on genetic truth, which challenges IP’s exclusionary role</w:t>
      </w:r>
      <w:r>
        <w:rPr>
          <w:rStyle w:val="StyleUnderline"/>
        </w:rPr>
        <w:t xml:space="preserve"> </w:t>
      </w:r>
      <w:r w:rsidRPr="00E624CA">
        <w:rPr>
          <w:rStyle w:val="StyleUnderline"/>
        </w:rPr>
        <w:t>towards patients, preventing them from participating in the use of their donation.</w:t>
      </w:r>
      <w:r>
        <w:rPr>
          <w:rStyle w:val="StyleUnderline"/>
        </w:rPr>
        <w:t xml:space="preserve"> </w:t>
      </w:r>
      <w:r w:rsidRPr="00007E70">
        <w:rPr>
          <w:sz w:val="16"/>
        </w:rPr>
        <w:t xml:space="preserve">After briefly drawing attention to the limitations of the commodification critique’s focus on market relations as the determining force of IP’s relation to life, the last section of this chapter then shows how other analyses of the biotech/ life science sector have begun to engage with the ways in which “life as a productive force” (Yoxen 1981) is harnessed by the economy but also continues to produce problems and challenges for governing. 2.3. The Limits of the Commodification Paradigm – ‘Forgetting’ Life </w:t>
      </w:r>
      <w:r w:rsidRPr="00E624CA">
        <w:rPr>
          <w:rStyle w:val="StyleUnderline"/>
        </w:rPr>
        <w:t>Critical perspectives on IP’s ‘commodification’ of life thus debate the appropriateness</w:t>
      </w:r>
      <w:r>
        <w:rPr>
          <w:rStyle w:val="StyleUnderline"/>
        </w:rPr>
        <w:t xml:space="preserve"> </w:t>
      </w:r>
      <w:r w:rsidRPr="00E624CA">
        <w:rPr>
          <w:rStyle w:val="StyleUnderline"/>
        </w:rPr>
        <w:t>of the underlying parameters of IP, and in this way “</w:t>
      </w:r>
      <w:r w:rsidRPr="001C101A">
        <w:rPr>
          <w:rStyle w:val="Emphasis"/>
        </w:rPr>
        <w:t>serve to reproduce the very processes that they criticise</w:t>
      </w:r>
      <w:r w:rsidRPr="00E624CA">
        <w:rPr>
          <w:rStyle w:val="StyleUnderline"/>
        </w:rPr>
        <w:t>” (Pottage 1998, 758). This focus on the parameters of</w:t>
      </w:r>
      <w:r>
        <w:rPr>
          <w:rStyle w:val="StyleUnderline"/>
        </w:rPr>
        <w:t xml:space="preserve"> </w:t>
      </w:r>
      <w:r w:rsidRPr="00E624CA">
        <w:rPr>
          <w:rStyle w:val="StyleUnderline"/>
        </w:rPr>
        <w:t xml:space="preserve">commodification engenders an </w:t>
      </w:r>
      <w:r w:rsidRPr="001C101A">
        <w:rPr>
          <w:rStyle w:val="Emphasis"/>
        </w:rPr>
        <w:t>economically determined understanding of social relations</w:t>
      </w:r>
      <w:r w:rsidRPr="00E624CA">
        <w:rPr>
          <w:rStyle w:val="StyleUnderline"/>
        </w:rPr>
        <w:t>, and marginalizes a wider politics of life</w:t>
      </w:r>
      <w:r w:rsidRPr="00007E70">
        <w:rPr>
          <w:sz w:val="16"/>
        </w:rPr>
        <w:t xml:space="preserve">. A deeper understanding of the notion of ‘commodifcation’ derived from the work of Marx and the Frankfurt School reveals the extent of the economic determination implied in the commodification critique. While IP’s role in the commodification of life certainly needs to be seen critically, the “paradoxes” (Waldby and Mitchell 2006, 163) at the intersection of the economy and knowledge over life demand a less unidirectional understanding of IP’s role in this. </w:t>
      </w:r>
      <w:r w:rsidRPr="00E624CA">
        <w:rPr>
          <w:rStyle w:val="StyleUnderline"/>
        </w:rPr>
        <w:t>Genetic conceptions of life also challenge IPRs, by undermining the</w:t>
      </w:r>
      <w:r>
        <w:rPr>
          <w:rStyle w:val="StyleUnderline"/>
        </w:rPr>
        <w:t xml:space="preserve"> </w:t>
      </w:r>
      <w:r w:rsidRPr="00E624CA">
        <w:rPr>
          <w:rStyle w:val="StyleUnderline"/>
        </w:rPr>
        <w:t>distinction between inventions and discoveries (see chapter IV), and by giving rise to</w:t>
      </w:r>
      <w:r>
        <w:rPr>
          <w:rStyle w:val="StyleUnderline"/>
        </w:rPr>
        <w:t xml:space="preserve"> </w:t>
      </w:r>
      <w:r w:rsidRPr="00E624CA">
        <w:rPr>
          <w:rStyle w:val="StyleUnderline"/>
        </w:rPr>
        <w:t>new demands on laws and policies regarding the treatment of life (see chapter V and</w:t>
      </w:r>
      <w:r>
        <w:rPr>
          <w:rStyle w:val="StyleUnderline"/>
        </w:rPr>
        <w:t xml:space="preserve"> </w:t>
      </w:r>
      <w:r w:rsidRPr="00E624CA">
        <w:rPr>
          <w:rStyle w:val="StyleUnderline"/>
        </w:rPr>
        <w:t xml:space="preserve">VI). This thesis argues that in the management of these challenges, </w:t>
      </w:r>
      <w:r w:rsidRPr="001C101A">
        <w:rPr>
          <w:rStyle w:val="Emphasis"/>
        </w:rPr>
        <w:t>law takes on a new role as a mode of governing tensions – which goes beyond IP’s unidirectional role in the economy as a tool for commodification</w:t>
      </w:r>
      <w:r w:rsidRPr="00E624CA">
        <w:rPr>
          <w:rStyle w:val="StyleUnderline"/>
        </w:rPr>
        <w:t>.</w:t>
      </w:r>
      <w:r>
        <w:rPr>
          <w:rStyle w:val="StyleUnderline"/>
        </w:rPr>
        <w:t xml:space="preserve"> </w:t>
      </w:r>
      <w:r w:rsidRPr="00E624CA">
        <w:rPr>
          <w:rStyle w:val="StyleUnderline"/>
        </w:rPr>
        <w:t>Marx’s critical analysis of capitalism centres on the relation of labour to the</w:t>
      </w:r>
      <w:r>
        <w:rPr>
          <w:rStyle w:val="StyleUnderline"/>
        </w:rPr>
        <w:t xml:space="preserve"> </w:t>
      </w:r>
      <w:r w:rsidRPr="00E624CA">
        <w:rPr>
          <w:rStyle w:val="StyleUnderline"/>
        </w:rPr>
        <w:t>commodity, which is constituted by a process of abstraction or alienation not from its</w:t>
      </w:r>
      <w:r>
        <w:rPr>
          <w:rStyle w:val="StyleUnderline"/>
        </w:rPr>
        <w:t xml:space="preserve"> </w:t>
      </w:r>
      <w:r w:rsidRPr="00E624CA">
        <w:rPr>
          <w:rStyle w:val="StyleUnderline"/>
        </w:rPr>
        <w:t>use or purpose, but with reference to the amount of human labour spent on it (Marx</w:t>
      </w:r>
      <w:r>
        <w:rPr>
          <w:rStyle w:val="StyleUnderline"/>
        </w:rPr>
        <w:t xml:space="preserve"> </w:t>
      </w:r>
      <w:r w:rsidRPr="00E624CA">
        <w:rPr>
          <w:rStyle w:val="StyleUnderline"/>
        </w:rPr>
        <w:t>1990, 127). This objectification of labour in the commodity gives rise to its “fetish</w:t>
      </w:r>
      <w:r>
        <w:rPr>
          <w:rStyle w:val="StyleUnderline"/>
        </w:rPr>
        <w:t xml:space="preserve"> </w:t>
      </w:r>
      <w:r w:rsidRPr="00E624CA">
        <w:rPr>
          <w:rStyle w:val="StyleUnderline"/>
        </w:rPr>
        <w:t>character” 7:</w:t>
      </w:r>
      <w:r>
        <w:rPr>
          <w:rStyle w:val="StyleUnderline"/>
        </w:rPr>
        <w:t xml:space="preserve"> </w:t>
      </w:r>
      <w:r w:rsidRPr="00007E70">
        <w:rPr>
          <w:sz w:val="16"/>
        </w:rPr>
        <w:t xml:space="preserve">“A commodity is […] a mysterious thing, simply because in it the social character of men’s labour appears to them as an objective character stamped upon the product of that labour; because the relation of the producers to the sum total of their own labour is presented to them as a social relation, existing not between themselves, but between the products of their labour.” (Ibid., 164) The objectification of “men’s labour” in the commodity by means of contingent processes of value attribution is here seen as the basis for social relations. It “transforms every product of labour into a social hieroglyphic… [which] [l]ater on, men try to decipher […] to get behind the secret of their own social product” (Ibid., 167). The process of commodification thus has objective and subjective implications: “Objectively a world of objects and relations between things springs into being […] [whose] laws confront [man] as invisible forces that generate their own power. Subjectively […] a man’s activity becomes estranged from himself, it turns into a commodity which, subject to the non-human objectivity of the natural laws of society, must go its own way independently of man just like any consumer article.” (Lukáçs 1971, 87) </w:t>
      </w:r>
      <w:r w:rsidRPr="001C101A">
        <w:rPr>
          <w:rStyle w:val="StyleUnderline"/>
        </w:rPr>
        <w:t>This determination of the social realm by a system of meaning formed with reference</w:t>
      </w:r>
      <w:r>
        <w:rPr>
          <w:rStyle w:val="StyleUnderline"/>
        </w:rPr>
        <w:t xml:space="preserve"> </w:t>
      </w:r>
      <w:r w:rsidRPr="001C101A">
        <w:rPr>
          <w:rStyle w:val="StyleUnderline"/>
        </w:rPr>
        <w:t>to the exchange value of the commodity is decisive for the understanding of critiques</w:t>
      </w:r>
      <w:r>
        <w:rPr>
          <w:rStyle w:val="StyleUnderline"/>
        </w:rPr>
        <w:t xml:space="preserve"> </w:t>
      </w:r>
      <w:r w:rsidRPr="001C101A">
        <w:rPr>
          <w:rStyle w:val="StyleUnderline"/>
        </w:rPr>
        <w:t>of commodification – which thus focus their critique on a sphere of politics</w:t>
      </w:r>
      <w:r>
        <w:rPr>
          <w:rStyle w:val="StyleUnderline"/>
        </w:rPr>
        <w:t xml:space="preserve"> </w:t>
      </w:r>
      <w:r w:rsidRPr="001C101A">
        <w:rPr>
          <w:rStyle w:val="StyleUnderline"/>
        </w:rPr>
        <w:t>fundamentally determined by the exchange value of commodities. Crucially, this</w:t>
      </w:r>
      <w:r>
        <w:rPr>
          <w:rStyle w:val="StyleUnderline"/>
        </w:rPr>
        <w:t xml:space="preserve"> </w:t>
      </w:r>
      <w:r w:rsidRPr="001C101A">
        <w:rPr>
          <w:rStyle w:val="StyleUnderline"/>
        </w:rPr>
        <w:t xml:space="preserve">critical focus on commodification entails a </w:t>
      </w:r>
      <w:r w:rsidRPr="001C101A">
        <w:rPr>
          <w:rStyle w:val="Emphasis"/>
        </w:rPr>
        <w:t>marginalisation of understandings and content of social relations that do not fit this economic rationale</w:t>
      </w:r>
      <w:r w:rsidRPr="001C101A">
        <w:rPr>
          <w:rStyle w:val="StyleUnderline"/>
        </w:rPr>
        <w:t>, as the processes of</w:t>
      </w:r>
      <w:r>
        <w:rPr>
          <w:rStyle w:val="StyleUnderline"/>
        </w:rPr>
        <w:t xml:space="preserve"> </w:t>
      </w:r>
      <w:r w:rsidRPr="001C101A">
        <w:rPr>
          <w:rStyle w:val="StyleUnderline"/>
        </w:rPr>
        <w:t>abstraction already entail a “forgetting” of those less commodifiable contents</w:t>
      </w:r>
      <w:r w:rsidRPr="00007E70">
        <w:rPr>
          <w:sz w:val="16"/>
        </w:rPr>
        <w:t xml:space="preserve">. As Adorno and Horkheimer point out, “[a]ll objectification is a forgetting” (1979, 230). The use of the concept of commodification in critical theory thus serves as a reminder of the processes of abstraction and alienation involved in the constitution of the commodity, and the net of social relations that emerges from this process, enveloping the individual. The commodification of human tissue, in extension, folds the individual into these relations (determined by exchange value) on the level of physical existence, and critiques focus on the ever-increasing sphere of this economically determined net of social relations. This critique of commodification has a particular normative content, as Honneth notes: “it signifies a type of human behavior that violates moral or ethical principles by not treating other subjects in accordance with their characteristics as human beings, but instead as numb and lifeless objects – as ‘things’ or ‘commodities’.” (Honneth 2005, 94) Importantly, pervasive “invisible forces” created through economic relations of exchange are “confront[ing] [man]” (Lukáçs 1971, 87) and bringing about these morally reprehensible effects of commodification. </w:t>
      </w:r>
      <w:r w:rsidRPr="001C101A">
        <w:rPr>
          <w:rStyle w:val="StyleUnderline"/>
        </w:rPr>
        <w:t>From this perspective, IP’s</w:t>
      </w:r>
      <w:r>
        <w:rPr>
          <w:rStyle w:val="StyleUnderline"/>
        </w:rPr>
        <w:t xml:space="preserve"> </w:t>
      </w:r>
      <w:r w:rsidRPr="001C101A">
        <w:rPr>
          <w:rStyle w:val="StyleUnderline"/>
        </w:rPr>
        <w:t>economic role on the one hand confronts the individual as an abstract regime that is</w:t>
      </w:r>
      <w:r>
        <w:rPr>
          <w:rStyle w:val="StyleUnderline"/>
        </w:rPr>
        <w:t xml:space="preserve"> </w:t>
      </w:r>
      <w:r w:rsidRPr="001C101A">
        <w:rPr>
          <w:rStyle w:val="StyleUnderline"/>
        </w:rPr>
        <w:t>virtually unchangeable, and on the other, turns the subject’s involvement in research</w:t>
      </w:r>
      <w:r>
        <w:rPr>
          <w:rStyle w:val="StyleUnderline"/>
        </w:rPr>
        <w:t xml:space="preserve"> </w:t>
      </w:r>
      <w:r w:rsidRPr="001C101A">
        <w:rPr>
          <w:rStyle w:val="StyleUnderline"/>
        </w:rPr>
        <w:t>into a commodity which “must go its own way independently of man just like any</w:t>
      </w:r>
      <w:r>
        <w:rPr>
          <w:rStyle w:val="StyleUnderline"/>
        </w:rPr>
        <w:t xml:space="preserve"> </w:t>
      </w:r>
      <w:r w:rsidRPr="001C101A">
        <w:rPr>
          <w:rStyle w:val="StyleUnderline"/>
        </w:rPr>
        <w:t xml:space="preserve">consumer article” (Ibid.). In this vein, Haraway for example criticises </w:t>
      </w:r>
      <w:r w:rsidRPr="001C101A">
        <w:rPr>
          <w:rStyle w:val="Emphasis"/>
        </w:rPr>
        <w:t>IP as “the kind of relationality that poses as the-thing-in-itself, the commodity</w:t>
      </w:r>
      <w:r w:rsidRPr="001C101A">
        <w:rPr>
          <w:rStyle w:val="StyleUnderline"/>
        </w:rPr>
        <w:t>, the thing outside relationship, the thing that can be exhaustively measured, mapped, owned,</w:t>
      </w:r>
      <w:r>
        <w:rPr>
          <w:rStyle w:val="StyleUnderline"/>
        </w:rPr>
        <w:t xml:space="preserve"> </w:t>
      </w:r>
      <w:r w:rsidRPr="001C101A">
        <w:rPr>
          <w:rStyle w:val="StyleUnderline"/>
        </w:rPr>
        <w:t>appropriated, disposed”</w:t>
      </w:r>
      <w:r w:rsidRPr="00007E70">
        <w:rPr>
          <w:sz w:val="16"/>
        </w:rPr>
        <w:t xml:space="preserve"> (Haraway 1997, 8). But she also notes that this relationality prefers measurable and knowable content at the expense of all other “bumptious” qualities of nature and life, which are sidelined (Ibid., 135) – for example in the overwhelming focus on the mapping of the human genome, and the discarding of “junk” DNA. </w:t>
      </w:r>
      <w:r w:rsidRPr="001C101A">
        <w:rPr>
          <w:rStyle w:val="StyleUnderline"/>
        </w:rPr>
        <w:t>This ‘forgetting’ or dismissing of a vast array of nature’s ‘content’ highlights</w:t>
      </w:r>
      <w:r>
        <w:rPr>
          <w:rStyle w:val="StyleUnderline"/>
        </w:rPr>
        <w:t xml:space="preserve"> </w:t>
      </w:r>
      <w:r w:rsidRPr="001C101A">
        <w:rPr>
          <w:rStyle w:val="Emphasis"/>
        </w:rPr>
        <w:t>IP’s reliance on measurable forms of knowledge</w:t>
      </w:r>
      <w:r w:rsidRPr="001C101A">
        <w:rPr>
          <w:rStyle w:val="StyleUnderline"/>
        </w:rPr>
        <w:t>, but it also assumes a clear</w:t>
      </w:r>
      <w:r>
        <w:rPr>
          <w:rStyle w:val="StyleUnderline"/>
        </w:rPr>
        <w:t xml:space="preserve"> </w:t>
      </w:r>
      <w:r w:rsidRPr="001C101A">
        <w:rPr>
          <w:rStyle w:val="StyleUnderline"/>
        </w:rPr>
        <w:t>unproblematic complementarity between genetic understandings of life and IP, and</w:t>
      </w:r>
      <w:r>
        <w:rPr>
          <w:rStyle w:val="StyleUnderline"/>
        </w:rPr>
        <w:t xml:space="preserve"> </w:t>
      </w:r>
      <w:r w:rsidRPr="001C101A">
        <w:rPr>
          <w:rStyle w:val="StyleUnderline"/>
        </w:rPr>
        <w:t>does not further complicate this relation</w:t>
      </w:r>
      <w:r w:rsidRPr="00007E70">
        <w:rPr>
          <w:sz w:val="16"/>
        </w:rPr>
        <w:t xml:space="preserve">. But genetic sequences, as the Myriad judgement shows, can pose significant problems to the IP regime, which in response struck a compromise ensuring some patentability while also acknowledging the informational content of genetic sequences. Also, as chapter V shows, patients often freely volunteer their genetic information and even in some cases actively patent their own condition to exert control over research in this area. This thesis argues that these uses of IP require a different perspective, which places emphasis on changes in the use of IPRs beyond the sheer provision of commodities for the market. </w:t>
      </w:r>
      <w:r w:rsidRPr="001C101A">
        <w:rPr>
          <w:rStyle w:val="StyleUnderline"/>
        </w:rPr>
        <w:t>Foucault’s critique takes a “different direction” to that of the Frankfurt School,</w:t>
      </w:r>
      <w:r>
        <w:rPr>
          <w:rStyle w:val="StyleUnderline"/>
        </w:rPr>
        <w:t xml:space="preserve"> </w:t>
      </w:r>
      <w:r w:rsidRPr="001C101A">
        <w:rPr>
          <w:rStyle w:val="StyleUnderline"/>
        </w:rPr>
        <w:t>especially where it comes to the construction of notions of selfhood (McNay 2009,</w:t>
      </w:r>
      <w:r>
        <w:rPr>
          <w:rStyle w:val="StyleUnderline"/>
        </w:rPr>
        <w:t xml:space="preserve"> </w:t>
      </w:r>
      <w:r w:rsidRPr="001C101A">
        <w:rPr>
          <w:rStyle w:val="StyleUnderline"/>
        </w:rPr>
        <w:t>62; Burchell 1993). It “understands the commodification of subjective experience not</w:t>
      </w:r>
      <w:r>
        <w:rPr>
          <w:rStyle w:val="StyleUnderline"/>
        </w:rPr>
        <w:t xml:space="preserve"> </w:t>
      </w:r>
      <w:r w:rsidRPr="001C101A">
        <w:rPr>
          <w:rStyle w:val="StyleUnderline"/>
        </w:rPr>
        <w:t>so much through ideas of passive consumerism, standardization and heteronomy, as</w:t>
      </w:r>
      <w:r>
        <w:rPr>
          <w:rStyle w:val="StyleUnderline"/>
        </w:rPr>
        <w:t xml:space="preserve"> </w:t>
      </w:r>
      <w:r w:rsidRPr="001C101A">
        <w:rPr>
          <w:rStyle w:val="StyleUnderline"/>
        </w:rPr>
        <w:t xml:space="preserve">through ideas of </w:t>
      </w:r>
      <w:r w:rsidRPr="001C101A">
        <w:rPr>
          <w:rStyle w:val="Emphasis"/>
        </w:rPr>
        <w:t>active differentiation, regulated self-responsibility and depoliticized autonomy</w:t>
      </w:r>
      <w:r w:rsidRPr="001C101A">
        <w:rPr>
          <w:rStyle w:val="StyleUnderline"/>
        </w:rPr>
        <w:t>” (McNay 2009, 62). Instead of looking at processes of homogenisation</w:t>
      </w:r>
      <w:r>
        <w:rPr>
          <w:rStyle w:val="StyleUnderline"/>
        </w:rPr>
        <w:t xml:space="preserve"> </w:t>
      </w:r>
      <w:r w:rsidRPr="001C101A">
        <w:rPr>
          <w:rStyle w:val="StyleUnderline"/>
        </w:rPr>
        <w:t>through the production of false freedoms, Foucault’s accounts look at how processes</w:t>
      </w:r>
      <w:r>
        <w:rPr>
          <w:rStyle w:val="StyleUnderline"/>
        </w:rPr>
        <w:t xml:space="preserve"> </w:t>
      </w:r>
      <w:r w:rsidRPr="001C101A">
        <w:rPr>
          <w:rStyle w:val="StyleUnderline"/>
        </w:rPr>
        <w:t xml:space="preserve">of “active differentiation” for instance encouraged by the notion of </w:t>
      </w:r>
      <w:r w:rsidRPr="001C101A">
        <w:rPr>
          <w:rStyle w:val="Emphasis"/>
        </w:rPr>
        <w:t>the “self as enterprise” give rise to a more resilient neoliberal system</w:t>
      </w:r>
      <w:r w:rsidRPr="001C101A">
        <w:rPr>
          <w:rStyle w:val="StyleUnderline"/>
        </w:rPr>
        <w:t xml:space="preserve"> (Ibid., 63).</w:t>
      </w:r>
      <w:r w:rsidRPr="00007E70">
        <w:rPr>
          <w:sz w:val="16"/>
        </w:rPr>
        <w:t xml:space="preserve"> As the next chapter sets out in more detail, this productive way of governing through inciting “active” forms of self-actualisation is explored on three different levels in the remainder of this thesis, exploring the contributions of IP law to the governing of life on the level of knowledge, the subject, and the exercise of power. An emphasis on processes of identity formation and governance has also been applied in some recent analyses of the life science/ biotech sector (N. Rose 2007b; Rajan 2006; Cooper 2008; Rouvroy 2008). While none of them focus on the role of IP in this context in a comprehensive and rigorous manner, the last section of this chapter shows how they account for the wide influence of the genetic vision of life in their analyses.</w:t>
      </w:r>
    </w:p>
    <w:p w14:paraId="5686CAE6" w14:textId="0E0B7E0A" w:rsidR="00CF2EF0" w:rsidRDefault="00CF2EF0" w:rsidP="00CF2EF0">
      <w:pPr>
        <w:pStyle w:val="Heading3"/>
      </w:pPr>
      <w:r>
        <w:t>AT Alt – Marxism</w:t>
      </w:r>
    </w:p>
    <w:p w14:paraId="119BB1A3" w14:textId="77777777" w:rsidR="00CF2EF0" w:rsidRDefault="00CF2EF0" w:rsidP="00CF2EF0">
      <w:pPr>
        <w:pStyle w:val="Heading4"/>
      </w:pPr>
      <w:r>
        <w:t>Materialism DA—Marxist analysis gets the causality between law and economics backwards</w:t>
      </w:r>
    </w:p>
    <w:p w14:paraId="1CFA7F9A" w14:textId="77777777" w:rsidR="00CF2EF0" w:rsidRPr="006A4805" w:rsidRDefault="00CF2EF0" w:rsidP="00CF2EF0">
      <w:pPr>
        <w:rPr>
          <w:rStyle w:val="Style13ptBold"/>
        </w:rPr>
      </w:pPr>
      <w:r w:rsidRPr="006A4805">
        <w:rPr>
          <w:rStyle w:val="Style13ptBold"/>
        </w:rPr>
        <w:t>Hilberg 15</w:t>
      </w:r>
    </w:p>
    <w:p w14:paraId="50FDF210" w14:textId="77777777" w:rsidR="00CF2EF0" w:rsidRPr="006A4805" w:rsidRDefault="00CF2EF0" w:rsidP="00CF2EF0">
      <w:r w:rsidRPr="006A4805">
        <w:t xml:space="preserve">Eva, phD candidate at the University of Sussex. “Intellectual Property and the Genetic Dispositif of Life: The Changing Role of Intellectual Property Law in Governing Participation and Knowledge in the Bioeconomy.” Submitted for the Degree of Doctor of Philosophy University of Sussex, May 2015. Pp </w:t>
      </w:r>
      <w:r>
        <w:t>92-95</w:t>
      </w:r>
      <w:r w:rsidRPr="006A4805">
        <w:t>. LJS</w:t>
      </w:r>
    </w:p>
    <w:p w14:paraId="0E6D4924" w14:textId="55E58884" w:rsidR="00CF2EF0" w:rsidRPr="00CF2EF0" w:rsidRDefault="00CF2EF0" w:rsidP="00CF2EF0">
      <w:pPr>
        <w:rPr>
          <w:u w:val="single"/>
        </w:rPr>
      </w:pPr>
      <w:r w:rsidRPr="00784C54">
        <w:rPr>
          <w:rStyle w:val="StyleUnderline"/>
        </w:rPr>
        <w:t>In his work, Foucault specifically proposed a different type of analysis to Marxist</w:t>
      </w:r>
      <w:r>
        <w:rPr>
          <w:rStyle w:val="StyleUnderline"/>
        </w:rPr>
        <w:t xml:space="preserve"> </w:t>
      </w:r>
      <w:r w:rsidRPr="00784C54">
        <w:rPr>
          <w:rStyle w:val="StyleUnderline"/>
        </w:rPr>
        <w:t>theory’s overwhelming focus on the power effects of economic relations23, or, the</w:t>
      </w:r>
      <w:r>
        <w:rPr>
          <w:rStyle w:val="StyleUnderline"/>
        </w:rPr>
        <w:t xml:space="preserve"> </w:t>
      </w:r>
      <w:r w:rsidRPr="00784C54">
        <w:rPr>
          <w:rStyle w:val="StyleUnderline"/>
        </w:rPr>
        <w:t>“‘economic functionality’ of power” (Foucault 1997, 14). With regards to law,</w:t>
      </w:r>
      <w:r>
        <w:rPr>
          <w:rStyle w:val="StyleUnderline"/>
        </w:rPr>
        <w:t xml:space="preserve"> </w:t>
      </w:r>
      <w:r w:rsidRPr="00784C54">
        <w:rPr>
          <w:rStyle w:val="StyleUnderline"/>
        </w:rPr>
        <w:t>Foucault intentionally reversed the analysis, arguing that “the juridical is clearly not</w:t>
      </w:r>
      <w:r>
        <w:rPr>
          <w:rStyle w:val="StyleUnderline"/>
        </w:rPr>
        <w:t xml:space="preserve"> </w:t>
      </w:r>
      <w:r w:rsidRPr="00784C54">
        <w:rPr>
          <w:rStyle w:val="StyleUnderline"/>
        </w:rPr>
        <w:t>part of the superstructure” (2008, 162), instead “the juridical gives form to the</w:t>
      </w:r>
      <w:r>
        <w:rPr>
          <w:rStyle w:val="StyleUnderline"/>
        </w:rPr>
        <w:t xml:space="preserve"> </w:t>
      </w:r>
      <w:r w:rsidRPr="00784C54">
        <w:rPr>
          <w:rStyle w:val="StyleUnderline"/>
        </w:rPr>
        <w:t>economic” in “an economic-juridical order”</w:t>
      </w:r>
      <w:r w:rsidRPr="00CF2EF0">
        <w:rPr>
          <w:sz w:val="16"/>
        </w:rPr>
        <w:t xml:space="preserve"> (Ibid., 163). The functioning market is no longer understood as a product of nature but as a deliberately constituted system that is being kept in its desired form by means of a juridical order. For example, the conditions for competition in the market are put in place by “formal privileges”: “[t]he beneficial effects of competition are not due to a pre-existing nature, to a natural given that it brings with it. They are due to a formal privilege. [….] [C]ompetition as an essential economic logic will only appear and produce its effects under certain conditions which have to be carefully and artificially constructed” (Ibid., 120, emphasis added). </w:t>
      </w:r>
      <w:r w:rsidRPr="00784C54">
        <w:rPr>
          <w:rStyle w:val="StyleUnderline"/>
        </w:rPr>
        <w:t>In similar way, IPRs are formal privileges conferring property rights necessary for</w:t>
      </w:r>
      <w:r>
        <w:rPr>
          <w:rStyle w:val="StyleUnderline"/>
        </w:rPr>
        <w:t xml:space="preserve"> </w:t>
      </w:r>
      <w:r w:rsidRPr="00784C54">
        <w:rPr>
          <w:rStyle w:val="StyleUnderline"/>
        </w:rPr>
        <w:t>creating value in a market economy. For a functioning market, the objects of property</w:t>
      </w:r>
      <w:r>
        <w:rPr>
          <w:rStyle w:val="StyleUnderline"/>
        </w:rPr>
        <w:t xml:space="preserve"> </w:t>
      </w:r>
      <w:r w:rsidRPr="00784C54">
        <w:rPr>
          <w:rStyle w:val="StyleUnderline"/>
        </w:rPr>
        <w:t>need to be stable and clearly identifiable – even more so in the case of scientific</w:t>
      </w:r>
      <w:r>
        <w:rPr>
          <w:rStyle w:val="StyleUnderline"/>
        </w:rPr>
        <w:t xml:space="preserve"> </w:t>
      </w:r>
      <w:r w:rsidRPr="00784C54">
        <w:rPr>
          <w:rStyle w:val="StyleUnderline"/>
        </w:rPr>
        <w:t>knowledge objects, which need to be artificially constructed in the form of exclusive</w:t>
      </w:r>
      <w:r>
        <w:rPr>
          <w:rStyle w:val="StyleUnderline"/>
        </w:rPr>
        <w:t xml:space="preserve"> </w:t>
      </w:r>
      <w:r w:rsidRPr="00784C54">
        <w:rPr>
          <w:rStyle w:val="StyleUnderline"/>
        </w:rPr>
        <w:t>monopolies in order to gain particular economic value. Without this, the</w:t>
      </w:r>
      <w:r>
        <w:rPr>
          <w:rStyle w:val="StyleUnderline"/>
        </w:rPr>
        <w:t xml:space="preserve"> </w:t>
      </w:r>
      <w:r w:rsidRPr="00784C54">
        <w:rPr>
          <w:rStyle w:val="StyleUnderline"/>
        </w:rPr>
        <w:t>dissemination of knowledge would remain “nonrivalrous”, as the sharing of</w:t>
      </w:r>
      <w:r>
        <w:rPr>
          <w:rStyle w:val="StyleUnderline"/>
        </w:rPr>
        <w:t xml:space="preserve"> </w:t>
      </w:r>
      <w:r w:rsidRPr="00784C54">
        <w:rPr>
          <w:rStyle w:val="StyleUnderline"/>
        </w:rPr>
        <w:t>knowledge does not diminish the value of the information itself (see for example</w:t>
      </w:r>
      <w:r>
        <w:rPr>
          <w:rStyle w:val="StyleUnderline"/>
        </w:rPr>
        <w:t xml:space="preserve"> </w:t>
      </w:r>
      <w:r w:rsidRPr="00784C54">
        <w:rPr>
          <w:rStyle w:val="StyleUnderline"/>
        </w:rPr>
        <w:t>Boyle 2008, 3).</w:t>
      </w:r>
      <w:r>
        <w:rPr>
          <w:rStyle w:val="StyleUnderline"/>
        </w:rPr>
        <w:t xml:space="preserve"> </w:t>
      </w:r>
      <w:r w:rsidRPr="00CF2EF0">
        <w:rPr>
          <w:sz w:val="16"/>
        </w:rPr>
        <w:t xml:space="preserve">Emphasising the constitutive role of law for the market, especially in the technical field of law comprising the rules of property and trust, consequently shows: “that the relation between an economy of competition and a state can no longer be one of the reciprocal delimitation of different domains. [….] Government must accompany the market economy from start to finish. </w:t>
      </w:r>
      <w:r w:rsidRPr="00784C54">
        <w:rPr>
          <w:rStyle w:val="StyleUnderline"/>
        </w:rPr>
        <w:t>The market economy does not take something away from</w:t>
      </w:r>
      <w:r>
        <w:rPr>
          <w:rStyle w:val="StyleUnderline"/>
        </w:rPr>
        <w:t xml:space="preserve"> </w:t>
      </w:r>
      <w:r w:rsidRPr="00784C54">
        <w:rPr>
          <w:rStyle w:val="StyleUnderline"/>
        </w:rPr>
        <w:t>government. [….] One must govern for the market, rather than because</w:t>
      </w:r>
      <w:r>
        <w:rPr>
          <w:rStyle w:val="StyleUnderline"/>
        </w:rPr>
        <w:t xml:space="preserve"> </w:t>
      </w:r>
      <w:r w:rsidRPr="00784C54">
        <w:rPr>
          <w:rStyle w:val="StyleUnderline"/>
        </w:rPr>
        <w:t>of the market</w:t>
      </w:r>
      <w:r w:rsidRPr="00CF2EF0">
        <w:rPr>
          <w:sz w:val="16"/>
        </w:rPr>
        <w:t xml:space="preserve">.” (Foucault 2008, 121, emphasis added) </w:t>
      </w:r>
      <w:r w:rsidRPr="00784C54">
        <w:rPr>
          <w:rStyle w:val="StyleUnderline"/>
        </w:rPr>
        <w:t>This understanding reverses Marxist theory’s analysis of the relation between the</w:t>
      </w:r>
      <w:r>
        <w:rPr>
          <w:rStyle w:val="StyleUnderline"/>
        </w:rPr>
        <w:t xml:space="preserve"> </w:t>
      </w:r>
      <w:r w:rsidRPr="00784C54">
        <w:rPr>
          <w:rStyle w:val="StyleUnderline"/>
        </w:rPr>
        <w:t>forces of the market and of government, and instead stresses that the economy is a</w:t>
      </w:r>
      <w:r>
        <w:rPr>
          <w:rStyle w:val="StyleUnderline"/>
        </w:rPr>
        <w:t xml:space="preserve"> </w:t>
      </w:r>
      <w:r w:rsidRPr="00784C54">
        <w:rPr>
          <w:rStyle w:val="StyleUnderline"/>
        </w:rPr>
        <w:t xml:space="preserve">product of </w:t>
      </w:r>
      <w:r w:rsidRPr="00CF2EF0">
        <w:rPr>
          <w:rStyle w:val="StyleUnderline"/>
        </w:rPr>
        <w:t>law. Connecting this point of reference for law with an understanding of</w:t>
      </w:r>
      <w:r>
        <w:rPr>
          <w:rStyle w:val="StyleUnderline"/>
        </w:rPr>
        <w:t xml:space="preserve"> </w:t>
      </w:r>
      <w:r w:rsidRPr="00CF2EF0">
        <w:rPr>
          <w:rStyle w:val="StyleUnderline"/>
        </w:rPr>
        <w:t>law’s changes towards the norm shows that especially technical fields of law such as</w:t>
      </w:r>
      <w:r>
        <w:rPr>
          <w:rStyle w:val="StyleUnderline"/>
        </w:rPr>
        <w:t xml:space="preserve"> </w:t>
      </w:r>
      <w:r w:rsidRPr="00CF2EF0">
        <w:rPr>
          <w:rStyle w:val="StyleUnderline"/>
        </w:rPr>
        <w:t>IP law are governing for the market – and in this function also increasingly</w:t>
      </w:r>
      <w:r>
        <w:rPr>
          <w:rStyle w:val="StyleUnderline"/>
        </w:rPr>
        <w:t xml:space="preserve"> </w:t>
      </w:r>
      <w:r w:rsidRPr="00CF2EF0">
        <w:rPr>
          <w:rStyle w:val="StyleUnderline"/>
        </w:rPr>
        <w:t xml:space="preserve">contributing to the governing of the problematization of life. </w:t>
      </w:r>
      <w:r w:rsidRPr="00CF2EF0">
        <w:rPr>
          <w:sz w:val="16"/>
        </w:rPr>
        <w:t xml:space="preserve">IP’s growing relevance thus confronts this field of law with tensions between two aims of governing, which need to be resolved incrementally by IP policy and jurisprudence. Law’s constitutive relation to the economy emphasises the political relevance of the field of law, and highlights that it also constitutes an important site for resistance: “we must be able to act on this ensemble and intervene in such a way as to invent a different capitalism” states Foucault, and stresses that instead of “economic interventionism”, interventions need to take the shape of “maximum legal interventionism” (Ibid., 167). This makes a clear case for renewed attention to economic law, understanding tensions within this sector as modes of resistance that can influence the constitution of the economy. </w:t>
      </w:r>
      <w:r w:rsidRPr="00CF2EF0">
        <w:rPr>
          <w:rStyle w:val="StyleUnderline"/>
        </w:rPr>
        <w:t>Law therefore ceases to be an</w:t>
      </w:r>
      <w:r>
        <w:rPr>
          <w:rStyle w:val="StyleUnderline"/>
        </w:rPr>
        <w:t xml:space="preserve"> </w:t>
      </w:r>
      <w:r w:rsidRPr="00CF2EF0">
        <w:rPr>
          <w:rStyle w:val="StyleUnderline"/>
        </w:rPr>
        <w:t>afterthought for political analysis, and rather becomes a central site of analysis.</w:t>
      </w:r>
      <w:r>
        <w:rPr>
          <w:rStyle w:val="StyleUnderline"/>
        </w:rPr>
        <w:t xml:space="preserve"> </w:t>
      </w:r>
      <w:r w:rsidRPr="00CF2EF0">
        <w:rPr>
          <w:rStyle w:val="StyleUnderline"/>
        </w:rPr>
        <w:t>The change towards a norm thus entails more than a change in status, it is</w:t>
      </w:r>
      <w:r>
        <w:rPr>
          <w:rStyle w:val="StyleUnderline"/>
        </w:rPr>
        <w:t xml:space="preserve"> </w:t>
      </w:r>
      <w:r w:rsidRPr="00CF2EF0">
        <w:rPr>
          <w:rStyle w:val="StyleUnderline"/>
        </w:rPr>
        <w:t>rather a change towards becoming a site of contestation at which law is acting as a</w:t>
      </w:r>
      <w:r>
        <w:rPr>
          <w:rStyle w:val="StyleUnderline"/>
        </w:rPr>
        <w:t xml:space="preserve"> </w:t>
      </w:r>
      <w:r w:rsidRPr="00CF2EF0">
        <w:rPr>
          <w:rStyle w:val="StyleUnderline"/>
        </w:rPr>
        <w:t>tactics governing challenges</w:t>
      </w:r>
      <w:r w:rsidRPr="00CF2EF0">
        <w:rPr>
          <w:sz w:val="16"/>
        </w:rPr>
        <w:t xml:space="preserve">. Golder and Fitzpatrick show that law operates in two different modalities in governmentality, as a norm and also “in a constitutive engagement […][with] resistance and transgression”, in which it “extends itself illimitably in its attempt to encompass and respond to what lies outside its definite content” (Golder and Fitzpatrick 2009, 71). In this responsive mode, law can even “[disrupt] itself through becoming receptive of resistances that constantly challenge its position, its content, its being” (Ibid.). Using this understanding of law’s responsiveness to challenges sheds light on the role of law as a “tactics” determining “the right disposition of things” (Foucault 2000, 211). </w:t>
      </w:r>
      <w:r w:rsidRPr="00CF2EF0">
        <w:rPr>
          <w:rStyle w:val="StyleUnderline"/>
        </w:rPr>
        <w:t>At the intersection of governing for the market and governing for life, tensions</w:t>
      </w:r>
      <w:r>
        <w:rPr>
          <w:rStyle w:val="StyleUnderline"/>
        </w:rPr>
        <w:t xml:space="preserve"> </w:t>
      </w:r>
      <w:r w:rsidRPr="00CF2EF0">
        <w:rPr>
          <w:rStyle w:val="StyleUnderline"/>
        </w:rPr>
        <w:t>are growing around the influence of genetic conceptions of life (the ‘genetic</w:t>
      </w:r>
      <w:r>
        <w:rPr>
          <w:rStyle w:val="StyleUnderline"/>
        </w:rPr>
        <w:t xml:space="preserve"> </w:t>
      </w:r>
      <w:r w:rsidRPr="00CF2EF0">
        <w:rPr>
          <w:rStyle w:val="StyleUnderline"/>
        </w:rPr>
        <w:t>dispositif’) and the rising importance of IPRs for deriving economic value from life.</w:t>
      </w:r>
      <w:r>
        <w:rPr>
          <w:rStyle w:val="StyleUnderline"/>
        </w:rPr>
        <w:t xml:space="preserve"> </w:t>
      </w:r>
      <w:r w:rsidRPr="00CF2EF0">
        <w:rPr>
          <w:rStyle w:val="StyleUnderline"/>
        </w:rPr>
        <w:t>Here, IPRs begin to respond to challenges regarding their relation to life while</w:t>
      </w:r>
      <w:r>
        <w:rPr>
          <w:rStyle w:val="StyleUnderline"/>
        </w:rPr>
        <w:t xml:space="preserve"> </w:t>
      </w:r>
      <w:r w:rsidRPr="00CF2EF0">
        <w:rPr>
          <w:rStyle w:val="StyleUnderline"/>
        </w:rPr>
        <w:t>maintaining their economic function – thus becoming operative in the determination</w:t>
      </w:r>
      <w:r>
        <w:rPr>
          <w:rStyle w:val="StyleUnderline"/>
        </w:rPr>
        <w:t xml:space="preserve"> </w:t>
      </w:r>
      <w:r w:rsidRPr="00CF2EF0">
        <w:rPr>
          <w:rStyle w:val="StyleUnderline"/>
        </w:rPr>
        <w:t>of the “right disposition of things”, as a tactics that accommodates challenges while</w:t>
      </w:r>
      <w:r>
        <w:rPr>
          <w:rStyle w:val="StyleUnderline"/>
        </w:rPr>
        <w:t xml:space="preserve"> </w:t>
      </w:r>
      <w:r w:rsidRPr="00CF2EF0">
        <w:rPr>
          <w:rStyle w:val="StyleUnderline"/>
        </w:rPr>
        <w:t>maintaining order.</w:t>
      </w:r>
      <w:r w:rsidRPr="00CF2EF0">
        <w:rPr>
          <w:sz w:val="16"/>
        </w:rPr>
        <w:t xml:space="preserve"> Golder and Fitzpatrick’s understanding of law’s responsiveness towards challenges highlights that this accommodation of resistance can even lead to a disruption of law. </w:t>
      </w:r>
      <w:r w:rsidRPr="00CF2EF0">
        <w:rPr>
          <w:rStyle w:val="StyleUnderline"/>
        </w:rPr>
        <w:t>The analysis of contestations surrounding IP’s relation to life in</w:t>
      </w:r>
      <w:r>
        <w:rPr>
          <w:rStyle w:val="StyleUnderline"/>
        </w:rPr>
        <w:t xml:space="preserve"> </w:t>
      </w:r>
      <w:r w:rsidRPr="00CF2EF0">
        <w:rPr>
          <w:rStyle w:val="StyleUnderline"/>
        </w:rPr>
        <w:t>the coming chapters shows how engaging with different ‘truths’ of life could very</w:t>
      </w:r>
      <w:r>
        <w:rPr>
          <w:rStyle w:val="StyleUnderline"/>
        </w:rPr>
        <w:t xml:space="preserve"> </w:t>
      </w:r>
      <w:r w:rsidRPr="00CF2EF0">
        <w:rPr>
          <w:rStyle w:val="StyleUnderline"/>
        </w:rPr>
        <w:t>quickly disrupt the economic function of IPRs, and how challenges relying on human</w:t>
      </w:r>
      <w:r>
        <w:rPr>
          <w:rStyle w:val="StyleUnderline"/>
        </w:rPr>
        <w:t xml:space="preserve"> </w:t>
      </w:r>
      <w:r w:rsidRPr="00CF2EF0">
        <w:rPr>
          <w:rStyle w:val="StyleUnderline"/>
        </w:rPr>
        <w:t>rights and the notion of ‘market failure’ could contest IP’s legitimacy even on a</w:t>
      </w:r>
      <w:r>
        <w:rPr>
          <w:rStyle w:val="StyleUnderline"/>
        </w:rPr>
        <w:t xml:space="preserve"> </w:t>
      </w:r>
      <w:r w:rsidRPr="00CF2EF0">
        <w:rPr>
          <w:rStyle w:val="StyleUnderline"/>
        </w:rPr>
        <w:t>fundamental economic level. However, it is also shown that as a tactics of</w:t>
      </w:r>
      <w:r>
        <w:rPr>
          <w:rStyle w:val="StyleUnderline"/>
        </w:rPr>
        <w:t xml:space="preserve"> </w:t>
      </w:r>
      <w:r w:rsidRPr="00CF2EF0">
        <w:rPr>
          <w:rStyle w:val="StyleUnderline"/>
        </w:rPr>
        <w:t>government, IPs continue to play a variety of roles that maintain the function of the</w:t>
      </w:r>
      <w:r>
        <w:rPr>
          <w:rStyle w:val="StyleUnderline"/>
        </w:rPr>
        <w:t xml:space="preserve"> </w:t>
      </w:r>
      <w:r w:rsidRPr="00CF2EF0">
        <w:rPr>
          <w:rStyle w:val="StyleUnderline"/>
        </w:rPr>
        <w:t>economy by limiting the participation of donors in the further use of their donated</w:t>
      </w:r>
      <w:r>
        <w:rPr>
          <w:rStyle w:val="StyleUnderline"/>
        </w:rPr>
        <w:t xml:space="preserve"> </w:t>
      </w:r>
      <w:r w:rsidRPr="00CF2EF0">
        <w:rPr>
          <w:rStyle w:val="StyleUnderline"/>
        </w:rPr>
        <w:t>material, transferring ownership to other participants in the bioeconomy, and by normalising scientific knowledge that ensures certainty and predictability instead of a</w:t>
      </w:r>
      <w:r>
        <w:rPr>
          <w:rStyle w:val="StyleUnderline"/>
        </w:rPr>
        <w:t xml:space="preserve"> </w:t>
      </w:r>
      <w:r w:rsidRPr="00CF2EF0">
        <w:rPr>
          <w:rStyle w:val="StyleUnderline"/>
        </w:rPr>
        <w:t>complex genetic conception of life. As IPRs negotiate these pressures and roles, they</w:t>
      </w:r>
      <w:r>
        <w:rPr>
          <w:rStyle w:val="StyleUnderline"/>
        </w:rPr>
        <w:t xml:space="preserve"> </w:t>
      </w:r>
      <w:r w:rsidRPr="00CF2EF0">
        <w:rPr>
          <w:rStyle w:val="StyleUnderline"/>
        </w:rPr>
        <w:t>change from a “mundane” form of technical knowledge to an important site of</w:t>
      </w:r>
      <w:r>
        <w:rPr>
          <w:rStyle w:val="StyleUnderline"/>
        </w:rPr>
        <w:t xml:space="preserve"> </w:t>
      </w:r>
      <w:r w:rsidRPr="00CF2EF0">
        <w:rPr>
          <w:rStyle w:val="StyleUnderline"/>
        </w:rPr>
        <w:t>contestation in an unfolding governmentality.</w:t>
      </w:r>
    </w:p>
    <w:p w14:paraId="10CBEC4C" w14:textId="2463585E" w:rsidR="00292282" w:rsidRDefault="00292282" w:rsidP="00292282">
      <w:pPr>
        <w:pStyle w:val="Heading3"/>
      </w:pPr>
      <w:r>
        <w:t>AT Alt – Mutual Aid</w:t>
      </w:r>
    </w:p>
    <w:p w14:paraId="598F6334" w14:textId="77777777" w:rsidR="00292282" w:rsidRDefault="00292282" w:rsidP="00292282">
      <w:pPr>
        <w:pStyle w:val="Heading4"/>
        <w:rPr>
          <w:lang w:val="en-GB"/>
        </w:rPr>
      </w:pPr>
      <w:r>
        <w:rPr>
          <w:lang w:val="en-GB"/>
        </w:rPr>
        <w:t>The aff mirrors discourses of the gift—communities giving to one another out of altruism, but this is co-opted by biopolitics</w:t>
      </w:r>
    </w:p>
    <w:p w14:paraId="6CDD9821" w14:textId="77777777" w:rsidR="00292282" w:rsidRPr="006A4805" w:rsidRDefault="00292282" w:rsidP="00292282">
      <w:r>
        <w:rPr>
          <w:rStyle w:val="Style13ptBold"/>
        </w:rPr>
        <w:t xml:space="preserve">Tierney ‘16 </w:t>
      </w:r>
      <w:r w:rsidRPr="006A4805">
        <w:t xml:space="preserve">[Thomas F. Tierney, Professor of Sociology and Anthropology, B.A., Moravian 1979 Ph.D., Massachusetts 1990; 1 Dec. 2016; “Toward an Affirmative Biopolitics”; American Sociological Association; </w:t>
      </w:r>
      <w:hyperlink r:id="rId17" w:history="1">
        <w:r w:rsidRPr="0004233E">
          <w:rPr>
            <w:rStyle w:val="Hyperlink"/>
          </w:rPr>
          <w:t>https://doi.org/10.1177/0735275116678998</w:t>
        </w:r>
      </w:hyperlink>
      <w:r w:rsidRPr="006A4805">
        <w:t xml:space="preserve"> ]//InTr</w:t>
      </w:r>
    </w:p>
    <w:p w14:paraId="7FEA4614" w14:textId="161E0719" w:rsidR="00292282" w:rsidRPr="00292282" w:rsidRDefault="00292282" w:rsidP="00292282">
      <w:pPr>
        <w:rPr>
          <w:sz w:val="16"/>
        </w:rPr>
      </w:pPr>
      <w:r w:rsidRPr="00292282">
        <w:rPr>
          <w:sz w:val="16"/>
        </w:rPr>
        <w:t xml:space="preserve">This tension surfaced with Marcel Mauss’s 1925 publication of The Gift, which Esposito (1995:193) aptly describes as “l’architexte” of a line of </w:t>
      </w:r>
      <w:r w:rsidRPr="0026754E">
        <w:rPr>
          <w:u w:val="single"/>
        </w:rPr>
        <w:t xml:space="preserve">discourse that presents the gift as a critique of the ever-expanding </w:t>
      </w:r>
      <w:r w:rsidRPr="00177D9E">
        <w:rPr>
          <w:b/>
          <w:bCs/>
          <w:u w:val="single"/>
        </w:rPr>
        <w:t>utilitarianism of modernity</w:t>
      </w:r>
      <w:r w:rsidRPr="00292282">
        <w:rPr>
          <w:sz w:val="16"/>
        </w:rPr>
        <w:t xml:space="preserve">. Mauss ([1925] 1990:76) presented anthropological accounts of archaic gift-exchange societies precisely to </w:t>
      </w:r>
      <w:r w:rsidRPr="0026754E">
        <w:rPr>
          <w:u w:val="single"/>
        </w:rPr>
        <w:t xml:space="preserve">challenge the instrumental view of </w:t>
      </w:r>
      <w:r w:rsidRPr="00177D9E">
        <w:rPr>
          <w:b/>
          <w:bCs/>
          <w:u w:val="single"/>
        </w:rPr>
        <w:t>human beings as the “‘economic animal’</w:t>
      </w:r>
      <w:r w:rsidRPr="0026754E">
        <w:rPr>
          <w:u w:val="single"/>
        </w:rPr>
        <w:t xml:space="preserve"> . . . homo oeconomicus</w:t>
      </w:r>
      <w:r w:rsidRPr="00292282">
        <w:rPr>
          <w:sz w:val="16"/>
        </w:rPr>
        <w:t xml:space="preserve">.” </w:t>
      </w:r>
      <w:r w:rsidRPr="0026754E">
        <w:rPr>
          <w:u w:val="single"/>
        </w:rPr>
        <w:t xml:space="preserve">As an alternative to the commodity-exchange societies produced by these economic animals, Mauss was particularly intrigued by </w:t>
      </w:r>
      <w:r w:rsidRPr="00177D9E">
        <w:rPr>
          <w:b/>
          <w:bCs/>
          <w:u w:val="single"/>
        </w:rPr>
        <w:t>potlatch communities</w:t>
      </w:r>
      <w:r w:rsidRPr="00292282">
        <w:rPr>
          <w:sz w:val="16"/>
        </w:rPr>
        <w:t xml:space="preserve">, such as the Kwakiutl of Northwest America. </w:t>
      </w:r>
      <w:r w:rsidRPr="0026754E">
        <w:rPr>
          <w:u w:val="single"/>
        </w:rPr>
        <w:t xml:space="preserve">In such communities, </w:t>
      </w:r>
      <w:r w:rsidRPr="00177D9E">
        <w:rPr>
          <w:b/>
          <w:bCs/>
          <w:u w:val="single"/>
        </w:rPr>
        <w:t>gifts were reciprocally exchanged in an obligatory and selfinterested manner rather than a gratuitous and altruistic one</w:t>
      </w:r>
      <w:r w:rsidRPr="0026754E">
        <w:rPr>
          <w:u w:val="single"/>
        </w:rPr>
        <w:t xml:space="preserve">, and social status was determined not by the accumulation of </w:t>
      </w:r>
      <w:r w:rsidRPr="00177D9E">
        <w:rPr>
          <w:b/>
          <w:bCs/>
          <w:u w:val="single"/>
        </w:rPr>
        <w:t>wealth</w:t>
      </w:r>
      <w:r w:rsidRPr="0026754E">
        <w:rPr>
          <w:u w:val="single"/>
        </w:rPr>
        <w:t xml:space="preserve"> but by the ability and </w:t>
      </w:r>
      <w:r w:rsidRPr="00177D9E">
        <w:rPr>
          <w:b/>
          <w:bCs/>
          <w:u w:val="single"/>
        </w:rPr>
        <w:t>willingness to return even greater gifts</w:t>
      </w:r>
      <w:r w:rsidRPr="0026754E">
        <w:rPr>
          <w:u w:val="single"/>
        </w:rPr>
        <w:t xml:space="preserve"> than those received </w:t>
      </w:r>
      <w:r w:rsidRPr="00292282">
        <w:rPr>
          <w:sz w:val="16"/>
        </w:rPr>
        <w:t xml:space="preserve">(Mauss [1925] 1990). </w:t>
      </w:r>
      <w:r w:rsidRPr="0026754E">
        <w:rPr>
          <w:u w:val="single"/>
        </w:rPr>
        <w:t>Despite being governed by a “principle of rivalry and hostility that . . . takes on an extremely marked agonistic character</w:t>
      </w:r>
      <w:r w:rsidRPr="00292282">
        <w:rPr>
          <w:sz w:val="16"/>
        </w:rPr>
        <w:t xml:space="preserve">” (p. 6), </w:t>
      </w:r>
      <w:r w:rsidRPr="0026754E">
        <w:rPr>
          <w:u w:val="single"/>
        </w:rPr>
        <w:t>Mauss</w:t>
      </w:r>
      <w:r w:rsidRPr="00292282">
        <w:rPr>
          <w:sz w:val="16"/>
        </w:rPr>
        <w:t xml:space="preserve"> nevertheless </w:t>
      </w:r>
      <w:r w:rsidRPr="0026754E">
        <w:rPr>
          <w:u w:val="single"/>
        </w:rPr>
        <w:t>claimed</w:t>
      </w:r>
      <w:r w:rsidRPr="00292282">
        <w:rPr>
          <w:sz w:val="16"/>
        </w:rPr>
        <w:t xml:space="preserve"> that the </w:t>
      </w:r>
      <w:r w:rsidRPr="0026754E">
        <w:rPr>
          <w:u w:val="single"/>
        </w:rPr>
        <w:t>three obligations</w:t>
      </w:r>
      <w:r w:rsidRPr="00292282">
        <w:rPr>
          <w:sz w:val="16"/>
        </w:rPr>
        <w:t xml:space="preserve"> of the potlatch—“</w:t>
      </w:r>
      <w:r w:rsidRPr="00177D9E">
        <w:rPr>
          <w:b/>
          <w:bCs/>
          <w:u w:val="single"/>
        </w:rPr>
        <w:t>to give, to receive, to reciprocate</w:t>
      </w:r>
      <w:r w:rsidRPr="00292282">
        <w:rPr>
          <w:sz w:val="16"/>
        </w:rPr>
        <w:t xml:space="preserve">” (pp. 39–43)—were </w:t>
      </w:r>
      <w:r w:rsidRPr="0026754E">
        <w:rPr>
          <w:u w:val="single"/>
        </w:rPr>
        <w:t>the foundation of social integration in these premodern cultures</w:t>
      </w:r>
      <w:r w:rsidRPr="00292282">
        <w:rPr>
          <w:sz w:val="16"/>
        </w:rPr>
        <w:t xml:space="preserve">. </w:t>
      </w:r>
      <w:r w:rsidRPr="003748A3">
        <w:rPr>
          <w:u w:val="single"/>
        </w:rPr>
        <w:t>He recognized vestiges of gift exchange in contemporary culture and sought to cultivate them as a check on the “constant, icy, utilitarian calculation” of capitalist societies</w:t>
      </w:r>
      <w:r w:rsidRPr="00292282">
        <w:rPr>
          <w:sz w:val="16"/>
        </w:rPr>
        <w:t xml:space="preserve"> (p. 76). </w:t>
      </w:r>
      <w:r w:rsidRPr="003748A3">
        <w:rPr>
          <w:u w:val="single"/>
        </w:rPr>
        <w:t>When the first widespread intermingling of body parts occurred, with the transfusion of blood during the world wars, the tension between gift and commodity exchange intensified, and it has shaped the bioeconomy ever since</w:t>
      </w:r>
      <w:r w:rsidRPr="00292282">
        <w:rPr>
          <w:sz w:val="16"/>
        </w:rPr>
        <w:t xml:space="preserve">. As would be expected in this nationalistic context, </w:t>
      </w:r>
      <w:r w:rsidRPr="003748A3">
        <w:rPr>
          <w:u w:val="single"/>
        </w:rPr>
        <w:t>voluntary donation was the standard practice for blood procurement</w:t>
      </w:r>
      <w:r w:rsidRPr="00292282">
        <w:rPr>
          <w:sz w:val="16"/>
        </w:rPr>
        <w:t xml:space="preserve"> among combatant nations; after the wars, the gift remained the prevalent model for gathering blood. England established the Blood Transfusion Service in 1946, which eventually became the National Blood Service, and the American Red Cross began a national civilian donation system in 1948. </w:t>
      </w:r>
      <w:r w:rsidRPr="003748A3">
        <w:rPr>
          <w:u w:val="single"/>
        </w:rPr>
        <w:t>Blood donation was</w:t>
      </w:r>
      <w:r w:rsidRPr="00292282">
        <w:rPr>
          <w:sz w:val="16"/>
        </w:rPr>
        <w:t xml:space="preserve"> of particular symbolic potency in France, where it was </w:t>
      </w:r>
      <w:r w:rsidRPr="003748A3">
        <w:rPr>
          <w:u w:val="single"/>
        </w:rPr>
        <w:t>viewed as a heroic gesture during the Resistance</w:t>
      </w:r>
      <w:r w:rsidRPr="00292282">
        <w:rPr>
          <w:sz w:val="16"/>
        </w:rPr>
        <w:t xml:space="preserve">. In 1949, France established the Centre National de Transfusion Sanguine (CNTS), which “was organized and run according to three sacred guiding principles: benevolence, donor anonymity, absence of profit” (Rabinow 1999:79). Nearly half a century after The Gift, Richard Titmuss (1971) praised this voluntary blood donation model in The Gift Relationship: From Human Blood to Social Policy, claiming that </w:t>
      </w:r>
      <w:r w:rsidRPr="003748A3">
        <w:rPr>
          <w:u w:val="single"/>
        </w:rPr>
        <w:t>this form of gift was morally superior to Mauss’s potlatch because it involved no obligation of reciprocity; blood was exchanged anonymously among strangers</w:t>
      </w:r>
      <w:r w:rsidRPr="00292282">
        <w:rPr>
          <w:sz w:val="16"/>
        </w:rPr>
        <w:t xml:space="preserve">, </w:t>
      </w:r>
      <w:r w:rsidRPr="003748A3">
        <w:rPr>
          <w:u w:val="single"/>
        </w:rPr>
        <w:t>and “[n]o givers require or wish for corresponding gifts in return. They do not expect and would not wish to have a blood transfusion</w:t>
      </w:r>
      <w:r w:rsidRPr="00292282">
        <w:rPr>
          <w:sz w:val="16"/>
        </w:rPr>
        <w:t xml:space="preserve">” (Titmuss 1971:74; see also Waldby and Mitchell 2006). </w:t>
      </w:r>
      <w:r w:rsidRPr="003748A3">
        <w:rPr>
          <w:u w:val="single"/>
        </w:rPr>
        <w:t>Titmuss (1971) was effusive in praising this allogenic gift model, but he was equally scathing in his criticism of the way some blood was procured in the United States</w:t>
      </w:r>
      <w:r w:rsidRPr="00292282">
        <w:rPr>
          <w:sz w:val="16"/>
        </w:rPr>
        <w:t xml:space="preserve">. </w:t>
      </w:r>
      <w:r w:rsidRPr="003748A3">
        <w:rPr>
          <w:u w:val="single"/>
        </w:rPr>
        <w:t>Voluntary donation was the prevalent technique for procuring blood in the United States</w:t>
      </w:r>
      <w:r w:rsidRPr="00292282">
        <w:rPr>
          <w:sz w:val="16"/>
        </w:rPr>
        <w:t xml:space="preserve"> during and 362 Sociological Theory 34(4) </w:t>
      </w:r>
      <w:r w:rsidRPr="003748A3">
        <w:rPr>
          <w:u w:val="single"/>
        </w:rPr>
        <w:t>after the Second World War</w:t>
      </w:r>
      <w:r w:rsidRPr="00292282">
        <w:rPr>
          <w:sz w:val="16"/>
        </w:rPr>
        <w:t xml:space="preserve">, but </w:t>
      </w:r>
      <w:r w:rsidRPr="003748A3">
        <w:rPr>
          <w:u w:val="single"/>
        </w:rPr>
        <w:t>local blood banks also appeared that paid for “donations” or required recipients to make a deposit of their own blood</w:t>
      </w:r>
      <w:r w:rsidRPr="00292282">
        <w:rPr>
          <w:sz w:val="16"/>
        </w:rPr>
        <w:t xml:space="preserve"> or that of a proxy (Titmuss 1971; see also Waldby and Mitchell 2006). Titmuss (1971:158) </w:t>
      </w:r>
      <w:r w:rsidRPr="003748A3">
        <w:rPr>
          <w:u w:val="single"/>
        </w:rPr>
        <w:t>condemned this commodified exchange of blood and warned quite presciently: blood as living tissue may now constitute in Western societies one of the ultimate tests of where the “</w:t>
      </w:r>
      <w:r w:rsidRPr="00DF18EB">
        <w:rPr>
          <w:b/>
          <w:bCs/>
          <w:u w:val="single"/>
        </w:rPr>
        <w:t>social” begins and the “economic” ends</w:t>
      </w:r>
      <w:r w:rsidRPr="00292282">
        <w:rPr>
          <w:sz w:val="16"/>
        </w:rPr>
        <w:t xml:space="preserve">. </w:t>
      </w:r>
      <w:r w:rsidRPr="003748A3">
        <w:rPr>
          <w:u w:val="single"/>
        </w:rPr>
        <w:t>If blood is considered in theory, in law, and is treated in practice as a trading commodity then ultimately human hearts, kidneys, eyes and other organs of the body may also come to be treated as commodities to be bought and sold in the marketplace</w:t>
      </w:r>
      <w:r w:rsidRPr="00292282">
        <w:rPr>
          <w:sz w:val="16"/>
        </w:rPr>
        <w:t xml:space="preserve">. Titmuss’s warning was late, however: </w:t>
      </w:r>
      <w:r w:rsidRPr="003748A3">
        <w:rPr>
          <w:u w:val="single"/>
        </w:rPr>
        <w:t>U.S. biomedical practices had already infiltrated the voluntary donation systems</w:t>
      </w:r>
      <w:r w:rsidRPr="00292282">
        <w:rPr>
          <w:sz w:val="16"/>
        </w:rPr>
        <w:t xml:space="preserve"> of England and France. </w:t>
      </w:r>
      <w:r w:rsidRPr="003748A3">
        <w:rPr>
          <w:u w:val="single"/>
        </w:rPr>
        <w:t>The practice of private blood banking encouraged U.S. pharmaceutical companies to develop techniques for separating blood plasma</w:t>
      </w:r>
      <w:r w:rsidRPr="00292282">
        <w:rPr>
          <w:sz w:val="16"/>
        </w:rPr>
        <w:t xml:space="preserve"> from red blood cells and “fractioning” the plasma into biovaluable components, such as Factor VIII, a concentrated clotting agent that greatly increased hemophiliacs’ life expectancy. These </w:t>
      </w:r>
      <w:r w:rsidRPr="003748A3">
        <w:rPr>
          <w:u w:val="single"/>
        </w:rPr>
        <w:t>U.S. companies began to purchase blood from developing countries</w:t>
      </w:r>
      <w:r w:rsidRPr="00292282">
        <w:rPr>
          <w:sz w:val="16"/>
        </w:rPr>
        <w:t xml:space="preserve"> in the 1970s in order to produce enough Factor VIII to distribute internationally as a bio-commodity. </w:t>
      </w:r>
      <w:r w:rsidRPr="003748A3">
        <w:rPr>
          <w:u w:val="single"/>
        </w:rPr>
        <w:t>Because France and England could not produce enough Factor VIII through their voluntary donation systems, they imported this life-saving product from U.S. pharmaceutical companies</w:t>
      </w:r>
      <w:r w:rsidRPr="00292282">
        <w:rPr>
          <w:sz w:val="16"/>
        </w:rPr>
        <w:t xml:space="preserve"> (Waldby and Mitchell 2006; see also Rabinow 1999), “</w:t>
      </w:r>
      <w:r w:rsidRPr="003748A3">
        <w:rPr>
          <w:u w:val="single"/>
        </w:rPr>
        <w:t>tainting” their gift models by participating in the profitable, commercial exchange of blood</w:t>
      </w:r>
      <w:r w:rsidRPr="00292282">
        <w:rPr>
          <w:sz w:val="16"/>
        </w:rPr>
        <w:t xml:space="preserve">. I will return to this tension between the treatment of blood as a gift and a commodity in the third section, when I discuss the second line’s criticisms of the gift model, but here I want to </w:t>
      </w:r>
      <w:r w:rsidRPr="003748A3">
        <w:rPr>
          <w:u w:val="single"/>
        </w:rPr>
        <w:t>emphasize that the circulation of blood as a commodity occurred in the particular neoliberal culture that developed in the United States during the postwar period</w:t>
      </w:r>
      <w:r w:rsidRPr="00292282">
        <w:rPr>
          <w:sz w:val="16"/>
        </w:rPr>
        <w:t xml:space="preserve">. </w:t>
      </w:r>
      <w:r w:rsidRPr="003748A3">
        <w:rPr>
          <w:u w:val="single"/>
        </w:rPr>
        <w:t>Foucault examined this American strain of neoliberalism, just as it was about to manifest politically as Reaganism and Thatcherism</w:t>
      </w:r>
      <w:r w:rsidRPr="00292282">
        <w:rPr>
          <w:sz w:val="16"/>
        </w:rPr>
        <w:t xml:space="preserve">, in his 1978–1979 Collège de France course La naissance de la biopolitique. These lectures were published in French in 2004, along with the lectures from his 1977–1978 course, Sécurité, Territoire, Population, as what editor Michel Sennelart describes as a “diptych unified by the problematic of bio-power” (Foucault [2004] 2007:369). These volumes appeared in English as Security, Territory, Population in 2007 and The Birth of Biopolitics in 2008, which was too late for them to be taken into account in many of the second line’s major works on the bioeconomy. In fact, among the works from the second line cited here, only Cooper’s (2008) Life as Surplus actually acknowledges these lectures, and she mentions La naissance de la biopolitique in her Introduction only to emphasize that her analysis begins precisely where Foucault’s analysis ended (Cooper 2008:8–11, see also notes 5 and 6, pp. 177–78).1 I would like to linger a bit on The Birth of Biopolitics, however, because these </w:t>
      </w:r>
      <w:r w:rsidRPr="00177D9E">
        <w:rPr>
          <w:u w:val="single"/>
        </w:rPr>
        <w:t>lectures reveal a facet of American neoliberalism that has proven particularly seductive to some members of the second line</w:t>
      </w:r>
      <w:r w:rsidRPr="00292282">
        <w:rPr>
          <w:sz w:val="16"/>
        </w:rPr>
        <w:t xml:space="preserve">, other than Cooper. </w:t>
      </w:r>
      <w:r w:rsidRPr="00177D9E">
        <w:rPr>
          <w:u w:val="single"/>
        </w:rPr>
        <w:t>Foucault distinguished two contrasting models of postwar neoliberalism in The Birth of Biopolitics</w:t>
      </w:r>
      <w:r w:rsidRPr="00292282">
        <w:rPr>
          <w:sz w:val="16"/>
        </w:rPr>
        <w:t xml:space="preserve">: German “ordoliberalism,” which developed at the University of Freiburg in the 1930s to 1950s, and </w:t>
      </w:r>
      <w:r w:rsidRPr="00DF18EB">
        <w:rPr>
          <w:b/>
          <w:bCs/>
          <w:u w:val="single"/>
        </w:rPr>
        <w:t>American neoliberalism</w:t>
      </w:r>
      <w:r w:rsidRPr="00177D9E">
        <w:rPr>
          <w:u w:val="single"/>
        </w:rPr>
        <w:t>, which flourished at the University of Chicago in the 1960s to 1970s. Ordoliberalism sought to create an “</w:t>
      </w:r>
      <w:r w:rsidRPr="00DF18EB">
        <w:rPr>
          <w:b/>
          <w:bCs/>
          <w:u w:val="single"/>
        </w:rPr>
        <w:t>enterprise society</w:t>
      </w:r>
      <w:r w:rsidRPr="00292282">
        <w:rPr>
          <w:sz w:val="16"/>
        </w:rPr>
        <w:t xml:space="preserve">” that was </w:t>
      </w:r>
      <w:r w:rsidRPr="00177D9E">
        <w:rPr>
          <w:u w:val="single"/>
        </w:rPr>
        <w:t xml:space="preserve">conducive to </w:t>
      </w:r>
      <w:r w:rsidRPr="00DF18EB">
        <w:rPr>
          <w:b/>
          <w:bCs/>
          <w:u w:val="single"/>
        </w:rPr>
        <w:t>market competition</w:t>
      </w:r>
      <w:r w:rsidRPr="00292282">
        <w:rPr>
          <w:sz w:val="16"/>
        </w:rPr>
        <w:t xml:space="preserve"> but also supported “the </w:t>
      </w:r>
      <w:r w:rsidRPr="00177D9E">
        <w:rPr>
          <w:u w:val="single"/>
        </w:rPr>
        <w:t>reconstruction of a set of what could be called ‘warm’ moral and cultural values which are presented precisely as antithetical to the ‘cold’ mechanism of competition. . . . The enterprise society imagined by the ordoliberals,” Foucault ([2004] 2008:242) emphasized, “is therefore a society for the market and a society against the market”</w:t>
      </w:r>
      <w:r w:rsidRPr="00292282">
        <w:rPr>
          <w:sz w:val="16"/>
        </w:rPr>
        <w:t xml:space="preserve"> (see also Lemke 2011b; McNay 2009). There was no such Tierney 363 ambivalence in American neoliberalism, which recognized no values beyond economic rationality. Rather than treating society as a check on the extension of “economic analysis,” as both Titmuss and the ordoliberals had, </w:t>
      </w:r>
      <w:r w:rsidRPr="00177D9E">
        <w:rPr>
          <w:u w:val="single"/>
        </w:rPr>
        <w:t>American neoliberalism instead saw society as an “unexplored domain” that offered “the possibility of giving a strictly economic interpretation of a whole domain previously thought to be non-economic”</w:t>
      </w:r>
      <w:r w:rsidRPr="00292282">
        <w:rPr>
          <w:sz w:val="16"/>
        </w:rPr>
        <w:t xml:space="preserve"> (Foucault [2004] 2008:219). The </w:t>
      </w:r>
      <w:r w:rsidRPr="00177D9E">
        <w:rPr>
          <w:u w:val="single"/>
        </w:rPr>
        <w:t>epitome of this American neoliberalism was the “</w:t>
      </w:r>
      <w:r w:rsidRPr="00DF18EB">
        <w:rPr>
          <w:b/>
          <w:bCs/>
          <w:u w:val="single"/>
        </w:rPr>
        <w:t>human capital</w:t>
      </w:r>
      <w:r w:rsidRPr="00177D9E">
        <w:rPr>
          <w:u w:val="single"/>
        </w:rPr>
        <w:t>” theory developed</w:t>
      </w:r>
      <w:r w:rsidRPr="00292282">
        <w:rPr>
          <w:sz w:val="16"/>
        </w:rPr>
        <w:t xml:space="preserve"> at the University of Chicago by Nobel laureates Theodore W. Schultz and Gary Becker, which </w:t>
      </w:r>
      <w:r w:rsidRPr="00177D9E">
        <w:rPr>
          <w:u w:val="single"/>
        </w:rPr>
        <w:t xml:space="preserve">dissolved the “warm” social values of ordoliberalism into nothing more than individual decisions about the </w:t>
      </w:r>
      <w:r w:rsidRPr="00DF18EB">
        <w:rPr>
          <w:b/>
          <w:bCs/>
          <w:u w:val="single"/>
        </w:rPr>
        <w:t>use of scarce resources to satisfy competing ends</w:t>
      </w:r>
      <w:r w:rsidRPr="00292282">
        <w:rPr>
          <w:sz w:val="16"/>
        </w:rPr>
        <w:t xml:space="preserve"> (Foucault [2004] 2008:222– 23; see also Lemke 2011b:109–11).</w:t>
      </w:r>
    </w:p>
    <w:p w14:paraId="5A9307C1" w14:textId="1266FB47" w:rsidR="00DE2FB7" w:rsidRDefault="00DE2FB7" w:rsidP="00DE2FB7">
      <w:pPr>
        <w:pStyle w:val="Heading3"/>
      </w:pPr>
      <w:r>
        <w:t>AT Alt – Compeerism</w:t>
      </w:r>
    </w:p>
    <w:p w14:paraId="2A7D4188" w14:textId="5041B38A" w:rsidR="00DE2FB7" w:rsidRDefault="00DE2FB7" w:rsidP="00DE2FB7">
      <w:pPr>
        <w:pStyle w:val="Heading4"/>
      </w:pPr>
      <w:r>
        <w:t>The alt can’t challenge biopolitics—their romanticized view of open access still leaves bare life unquestioned</w:t>
      </w:r>
      <w:r w:rsidR="00B576D3">
        <w:t>—can’t solve the aff</w:t>
      </w:r>
    </w:p>
    <w:p w14:paraId="65CAC201" w14:textId="578DC1DA" w:rsidR="00DE2FB7" w:rsidRPr="00B576D3" w:rsidRDefault="00DE2FB7" w:rsidP="00DE2FB7">
      <w:pPr>
        <w:rPr>
          <w:rStyle w:val="Style13ptBold"/>
        </w:rPr>
      </w:pPr>
      <w:r w:rsidRPr="00B576D3">
        <w:rPr>
          <w:rStyle w:val="Style13ptBold"/>
        </w:rPr>
        <w:t>Coombe and Chapman 20</w:t>
      </w:r>
    </w:p>
    <w:p w14:paraId="39D21C33" w14:textId="4D875028" w:rsidR="00DE2FB7" w:rsidRDefault="00DE2FB7" w:rsidP="00DE2FB7">
      <w:r>
        <w:t>Rosemary J.</w:t>
      </w:r>
      <w:r w:rsidR="00B576D3">
        <w:t>, Professor, Canada Research Chair, Graduate Program Director of Anthropology in Law &amp; Society (LASO), Socio-Legal Studies (SLST), and Social and Political Thought (SPTH) @ York University; Susannah, PhD Anthropology from University of Georgia, research fellow @ University of Queensland</w:t>
      </w:r>
      <w:r>
        <w:t>. “Ethnographic Explorations of Intellectual Propertyfree,”</w:t>
      </w:r>
      <w:r w:rsidR="00B576D3">
        <w:t xml:space="preserve"> Oxford Research Encyclopedias: Anthropology.</w:t>
      </w:r>
      <w:r>
        <w:t xml:space="preserve"> 27 August 2020. </w:t>
      </w:r>
      <w:r w:rsidR="00B576D3">
        <w:t>LJS</w:t>
      </w:r>
    </w:p>
    <w:p w14:paraId="635DBB68" w14:textId="136C4390" w:rsidR="00DE2FB7" w:rsidRDefault="00DE2FB7" w:rsidP="00DE2FB7">
      <w:pPr>
        <w:rPr>
          <w:rStyle w:val="StyleUnderline"/>
        </w:rPr>
      </w:pPr>
      <w:r w:rsidRPr="00DE2FB7">
        <w:rPr>
          <w:rStyle w:val="StyleUnderline"/>
        </w:rPr>
        <w:t>As anthropologists reassessed their research and publication practices with respect to marginalized communities, digital technologies were transforming the means by which texts could be shared in the discipline, spurring new social movements concerned with the production and circulation of informational goods, which attracted ethnographic inquiry. FLOSS (free [libre] and open source software) and open access publishing (OAP) movements were based on beliefs that new technologies should facilitate the dissemination of knowledge and democratize an informational commons. OAP offered an especially attractive antidote in an environment marked by increasingly expansive IP rights, escalating prices, and industry concentration that threatened to undermine the dissemination of anthropological knowledge.</w:t>
      </w:r>
      <w:r>
        <w:rPr>
          <w:rStyle w:val="StyleUnderline"/>
        </w:rPr>
        <w:t xml:space="preserve"> </w:t>
      </w:r>
      <w:r w:rsidRPr="00DE2FB7">
        <w:rPr>
          <w:sz w:val="16"/>
        </w:rPr>
        <w:t xml:space="preserve">Scholar advocates encouraged their professional associations to adopt new publishing practices to enhance the circulation of scholarship; lively debates ensued about the meaning of open access and its relationship to research ethics and creative alternatives for managing and disseminating research data (Golub 2004; Kelty 2008). OAP ideally made anthropological knowledge more available to subject communities, providing a new means for crafting more ethical research practice (Boellstorf et al. 2008). A number of journals dedicated to making anthropological work more accessible to broader publics emerged. The journal Cultural Anthropology, HAU books, the HAU journal Journal of Ethnographic Theory, and various blogs published ethnographic reviews, commentaries, and conversations for ever-broader publics. </w:t>
      </w:r>
      <w:r w:rsidRPr="00DE2FB7">
        <w:rPr>
          <w:rStyle w:val="StyleUnderline"/>
        </w:rPr>
        <w:t>Such projects prompted a new wave of scholarship exploring the economic, technical, and institutional constraints shaping publishing practices. As open access became increasingly monetized, however, questions emerged about the financial and organizational capacity of publishers to prioritize accessibility</w:t>
      </w:r>
      <w:r w:rsidRPr="00DE2FB7">
        <w:rPr>
          <w:sz w:val="16"/>
        </w:rPr>
        <w:t xml:space="preserve">. Conversations about access turned to more general deliberations over openness and inclusivity in the production of knowledge and in knowledge exchange (Gershon 2018; West 2018). </w:t>
      </w:r>
      <w:r w:rsidRPr="00DE2FB7">
        <w:rPr>
          <w:rStyle w:val="StyleUnderline"/>
        </w:rPr>
        <w:t>Deliberations on the nature of relationships and obligations that were carried into op en access projects (e.g., LaFlamme and Boyer 2018; Mahi Tahi Collective 2018) tended to echo earlier criticisms of the advocacy of an overly romanticized public domain that failed to recognize how old exclusions may be reproduced and new forms of dispossession facilitated when “freedom” was celebrated but structural positions of privilege and precarity remained unchallenged.</w:t>
      </w:r>
    </w:p>
    <w:p w14:paraId="34519353" w14:textId="38A5B9F0" w:rsidR="00B576D3" w:rsidRDefault="00B576D3" w:rsidP="00B576D3">
      <w:pPr>
        <w:pStyle w:val="Heading4"/>
      </w:pPr>
      <w:r>
        <w:t>The alt replicates biopolitical colonialism—it leaves systems of manufactured consent unquestioned—means the alt gets co-opted</w:t>
      </w:r>
    </w:p>
    <w:p w14:paraId="0464B2E4" w14:textId="77777777" w:rsidR="00B576D3" w:rsidRPr="00B576D3" w:rsidRDefault="00B576D3" w:rsidP="00B576D3">
      <w:pPr>
        <w:rPr>
          <w:rStyle w:val="Style13ptBold"/>
        </w:rPr>
      </w:pPr>
      <w:r w:rsidRPr="00B576D3">
        <w:rPr>
          <w:rStyle w:val="Style13ptBold"/>
        </w:rPr>
        <w:t>Coombe and Chapman 20</w:t>
      </w:r>
    </w:p>
    <w:p w14:paraId="262F7C51" w14:textId="77777777" w:rsidR="00B576D3" w:rsidRPr="00B576D3" w:rsidRDefault="00B576D3" w:rsidP="00B576D3">
      <w:pPr>
        <w:rPr>
          <w:sz w:val="16"/>
        </w:rPr>
      </w:pPr>
      <w:r w:rsidRPr="00B576D3">
        <w:rPr>
          <w:sz w:val="16"/>
        </w:rPr>
        <w:t>Rosemary J., Professor, Canada Research Chair, Graduate Program Director of Anthropology in Law &amp; Society (LASO), Socio-Legal Studies (SLST), and Social and Political Thought (SPTH) @ York University; Susannah, PhD Anthropology from University of Georgia, research fellow @ University of Queensland. “Ethnographic Explorations of Intellectual Propertyfree,” Oxford Research Encyclopedias: Anthropology. 27 August 2020. LJS</w:t>
      </w:r>
    </w:p>
    <w:p w14:paraId="311C40BF" w14:textId="48C29258" w:rsidR="00B576D3" w:rsidRDefault="00B576D3" w:rsidP="00B576D3">
      <w:pPr>
        <w:rPr>
          <w:sz w:val="16"/>
        </w:rPr>
      </w:pPr>
      <w:r w:rsidRPr="00B576D3">
        <w:rPr>
          <w:rStyle w:val="StyleUnderline"/>
        </w:rPr>
        <w:t>Critically exploring modern liberal political understandings of Western societies as structured by divisions between public and private spheres of activity, concern, and deliberation (e.g., Habermas 1989), anthropologists undermined the narrow conception of IP as merely an economic domain. Rather, they insisted that IP fundamentally shaped the social life of human communications by commodifying cultural forms</w:t>
      </w:r>
      <w:r w:rsidRPr="00B576D3">
        <w:rPr>
          <w:sz w:val="16"/>
        </w:rPr>
        <w:t xml:space="preserve">. Conceiving of the public as a communicative space along Habermasian lines enabled counter-publics to come into view and revealed IP’s role in restricting counter-hegemonic cultural expression (Coombe 1998). Challenging the modern, liberal concept of a singular public domain, anthropologists explored multiple publics as politically significant zones of cultural production and communicative exchange (e.g., Goodman 2005; Hayden 2003). </w:t>
      </w:r>
      <w:r w:rsidRPr="00B576D3">
        <w:rPr>
          <w:rStyle w:val="StyleUnderline"/>
        </w:rPr>
        <w:t>Ethnographic studies of digital workers and software developers showed how non-proprietary digital goods served as a means of communicative deliberation that created patterns of sociality and innovation challenging IP’s distributions of power (e.g., Coleman 2013; Kelty 2008). In the creation of legal frameworks supporting the creation of open source software, for example, anthropologists revealed how IP was strategically used in new social movements that challenged Western understandings of politics (e.g., Chan 2014).</w:t>
      </w:r>
      <w:r>
        <w:rPr>
          <w:rStyle w:val="StyleUnderline"/>
        </w:rPr>
        <w:t xml:space="preserve"> </w:t>
      </w:r>
      <w:r w:rsidRPr="00B576D3">
        <w:rPr>
          <w:rStyle w:val="StyleUnderline"/>
        </w:rPr>
        <w:t>Poststructuralist understandings of the public domain explored it as a spatial metaphor, dependent upon law while seeming to function independently as somehow outside it (e.g., “before the law” [Flessas 2008]); the concept of the commons established and policed thresholds that shifted historically according to new capacities for proprietary acquisition and thereby served to justify appropriations</w:t>
      </w:r>
      <w:r w:rsidRPr="00B576D3">
        <w:rPr>
          <w:sz w:val="16"/>
        </w:rPr>
        <w:t xml:space="preserve">. For example, as research in Indonesia and India showed, a state could deem local, collectively created knowledge or artistic creations to be part of the public domain—a declaration that transformed goods previously subject to traditional authorities and norms of transmission into national cultural patrimony (Aragon 2012; Aragon and Leach 2008; Halliburton 2017). </w:t>
      </w:r>
      <w:r w:rsidRPr="00B576D3">
        <w:rPr>
          <w:rStyle w:val="StyleUnderline"/>
        </w:rPr>
        <w:t>Public domains could be “scaled” to create new arenas of jurisdiction.</w:t>
      </w:r>
      <w:r>
        <w:rPr>
          <w:rStyle w:val="StyleUnderline"/>
        </w:rPr>
        <w:t xml:space="preserve"> </w:t>
      </w:r>
      <w:r w:rsidRPr="00B576D3">
        <w:rPr>
          <w:rStyle w:val="StyleUnderline"/>
        </w:rPr>
        <w:t>As social movements promoting open and unfettered access to creative productions gained momentum, scholarship showed how valorizations of the public domain mirrored and validated colonial histories of appropriation and dispossession</w:t>
      </w:r>
      <w:r w:rsidRPr="00B576D3">
        <w:rPr>
          <w:sz w:val="16"/>
        </w:rPr>
        <w:t xml:space="preserve"> (Bowrey and Anderson 2009; Christen 2015). </w:t>
      </w:r>
      <w:r w:rsidRPr="00B576D3">
        <w:rPr>
          <w:rStyle w:val="StyleUnderline"/>
        </w:rPr>
        <w:t>Transnational ethnographic research suggested that open access advocates working against the extension of IP may be more interested in Western individual expressive freedoms than the cultural rights of communities when trumpeting the public domain</w:t>
      </w:r>
      <w:r w:rsidRPr="00B576D3">
        <w:rPr>
          <w:sz w:val="16"/>
        </w:rPr>
        <w:t xml:space="preserve"> (Fish 2014). The Western legal tradition of IP legitimates certain goods as private properties based on individuated authorship and innovation, but often ignores collective genres of novel productivity. </w:t>
      </w:r>
      <w:r w:rsidRPr="00B576D3">
        <w:rPr>
          <w:rStyle w:val="StyleUnderline"/>
        </w:rPr>
        <w:t>Under this framework, the works of many kinds of creative industry—from traditional cultural expression to crop varieties developed by farmers—are considered free for general use. Such elisions are especially consequential because states routinely misrecognize the forms of creativity, territorial inscription, and cultural work of minorities, particularly Indigenous peoples in settler colonies who have been deliberately marginalized by policies of cultural assimilation</w:t>
      </w:r>
      <w:r w:rsidRPr="00B576D3">
        <w:rPr>
          <w:sz w:val="16"/>
        </w:rPr>
        <w:t xml:space="preserve"> (Anderson 2009). Anthropologists explored the political consequences of decontextualized distinctions between the public and the private within postcolonial contexts and in decolonizing agendas. They considered the historical conditions under which “the public domain” was forged, the illusions of equality and inclusion it projected, and the means by which modern nation-states thereby assume sovereignty over the products of certain human energies (Aragon 2012; Brush 1999; Christen 2012). </w:t>
      </w:r>
      <w:r w:rsidRPr="00B576D3">
        <w:rPr>
          <w:rStyle w:val="StyleUnderline"/>
        </w:rPr>
        <w:t>In an era of biodiversity loss in which biotechnological innovation was prioritized for agricultural futures, IP regimes clearly privileged the work of laboratory and field science as innovation, denying the contributions made by farmers and peasants to the world’s plant genetic resources</w:t>
      </w:r>
      <w:r w:rsidRPr="00B576D3">
        <w:rPr>
          <w:sz w:val="16"/>
        </w:rPr>
        <w:t xml:space="preserve"> (Brush and Stabinsky 1996; Cleveland and Murray 1997). The historical categorization of crop germ plasm as the common heritage of humankind, despite its distinctive development in culturally and ecologically discrete fields of human endeavor, obscured practices of farmer innovation (Brush 2004). Like the public domain, the common heritage concept denied non-individuated, situated agencies (other than corporate ones), and licensed accumulation by dispossession (Harvey 2003; Kloppenburg 2010). Just as the “tragedy of the commons” (Hardin 1968) was recognized as a central myth justifying private property (Rose 1986), exposing a fictitious “commons” as IP’s other helped shift attention to possessive relations beyond the exclusive market-based rights characteristic of Western models of protection. Anthropological consideration turned to other concepts of attachment (e.g., stewardship [Brosius 1999; Fish 2006; Ogden et al. 2013]) to understand human management of culturally and ecologically significant knowledges, practices, and goods. As anthropologists began to explore a diversity of publics with distinct moral economies of cultural circulation, they became more concerned with issues of governance and types of publicity. Other structuring dichotomies of the law such as discovery and innovation, imitations and originals, tradition and modernity, and other variants of what Lévi-Strauss (1964) described as “the raw and the cooked” came into view. </w:t>
      </w:r>
      <w:r w:rsidRPr="00B576D3">
        <w:rPr>
          <w:rStyle w:val="StyleUnderline"/>
        </w:rPr>
        <w:t>Showing how IP discourse figured in local social imaginaries, ethnographic research from Latin America, Africa, and the Pacific illustrated that the places perceived of as “outside” IP’s governance were not simply places of license, but sites of cultural memory (Goodman 2002, 2005), moral economies of care (Hartigan 2017; Nazarea et al. 2013), significant spaces of responsibility (e.g., Solomon 2004; Wright 2008), and aspirations for global belonging (Larkin 2008).</w:t>
      </w:r>
      <w:r w:rsidRPr="00B576D3">
        <w:rPr>
          <w:sz w:val="16"/>
        </w:rPr>
        <w:t xml:space="preserve"> Whether they were considering the meaning of open source software in animating understandings of democracy and speech in the United States (e.g., Coleman 2013), the protection of plant varieties in Costa Rica (Aistara 2012), the political work of making and marking traditional medicine in Tanzania (Langwick 2015), or the social life of generic drugs in Mexico (Hayden 2007), anthropologists challenged proponents of liberal public goods to attend to significant social relations co-produced through IP regulation.3</w:t>
      </w:r>
    </w:p>
    <w:p w14:paraId="055F9361" w14:textId="33623B8B" w:rsidR="009928A9" w:rsidRDefault="009928A9" w:rsidP="009928A9">
      <w:pPr>
        <w:pStyle w:val="Heading2"/>
      </w:pPr>
      <w:r>
        <w:t>Set Col</w:t>
      </w:r>
    </w:p>
    <w:p w14:paraId="3D970BB8" w14:textId="4CE6F0FF" w:rsidR="000E092E" w:rsidRDefault="000E092E" w:rsidP="000E092E">
      <w:pPr>
        <w:pStyle w:val="Heading3"/>
      </w:pPr>
      <w:r>
        <w:t>AT L – Anthropology</w:t>
      </w:r>
    </w:p>
    <w:p w14:paraId="66A96AC8" w14:textId="77777777" w:rsidR="000E092E" w:rsidRDefault="000E092E" w:rsidP="000E092E">
      <w:pPr>
        <w:pStyle w:val="Heading4"/>
      </w:pPr>
      <w:r>
        <w:t>Anthropology good—the discipline has a colonial history, but we can recon with this and re-appropriate it for anti-biopolitical ends—only a bottom-up approach solves</w:t>
      </w:r>
    </w:p>
    <w:p w14:paraId="0C726BCD" w14:textId="77777777" w:rsidR="000E092E" w:rsidRPr="00B576D3" w:rsidRDefault="000E092E" w:rsidP="000E092E">
      <w:pPr>
        <w:rPr>
          <w:rStyle w:val="Style13ptBold"/>
        </w:rPr>
      </w:pPr>
      <w:r w:rsidRPr="00B576D3">
        <w:rPr>
          <w:rStyle w:val="Style13ptBold"/>
        </w:rPr>
        <w:t>Coombe and Chapman 20</w:t>
      </w:r>
    </w:p>
    <w:p w14:paraId="1C9E5597" w14:textId="77777777" w:rsidR="000E092E" w:rsidRDefault="000E092E" w:rsidP="000E092E">
      <w:r>
        <w:t>Rosemary J., Professor, Canada Research Chair, Graduate Program Director of Anthropology in Law &amp; Society (LASO), Socio-Legal Studies (SLST), and Social and Political Thought (SPTH) @ York University; Susannah, PhD Anthropology from University of Georgia, research fellow @ University of Queensland. “Ethnographic Explorations of Intellectual Propertyfree,” Oxford Research Encyclopedias: Anthropology. 27 August 2020. LJS</w:t>
      </w:r>
    </w:p>
    <w:p w14:paraId="01464B97" w14:textId="77777777" w:rsidR="000E092E" w:rsidRPr="004107DD" w:rsidRDefault="000E092E" w:rsidP="000E092E">
      <w:pPr>
        <w:rPr>
          <w:u w:val="single"/>
        </w:rPr>
      </w:pPr>
      <w:r w:rsidRPr="004107DD">
        <w:rPr>
          <w:sz w:val="16"/>
        </w:rPr>
        <w:t xml:space="preserve">Amid growing concerns about the reproduction and decontextualization of cultural and biological materials through commodification and the spread of digital technologies, anthropological debates about property and propriety proliferated. </w:t>
      </w:r>
      <w:r w:rsidRPr="004107DD">
        <w:rPr>
          <w:rStyle w:val="StyleUnderline"/>
        </w:rPr>
        <w:t>Anthropological interest in indigenous heritage rights and property rights, first voiced in terms of the politics of cultural appropriation, evolved into a larger set of questions around the ethics of anthropological and archaeological research more generally in an era in which community relationships to knowledge were the subject of human rights deliberations. In many instances, this reshaped the nature of relationships between anthropologists and their communities of research.</w:t>
      </w:r>
      <w:r>
        <w:rPr>
          <w:rStyle w:val="StyleUnderline"/>
        </w:rPr>
        <w:t xml:space="preserve"> </w:t>
      </w:r>
      <w:r w:rsidRPr="004107DD">
        <w:rPr>
          <w:sz w:val="16"/>
        </w:rPr>
        <w:t xml:space="preserve">Appropriation and the Ethics of Research </w:t>
      </w:r>
      <w:r w:rsidRPr="004107DD">
        <w:rPr>
          <w:rStyle w:val="StyleUnderline"/>
        </w:rPr>
        <w:t>Just as postmodern celebrations of cultural hybridity, borrowing, and remix gained particular traction in anthropological theory, considerations of cultural appropriation drew new attention to collective cultural rights</w:t>
      </w:r>
      <w:r w:rsidRPr="004107DD">
        <w:rPr>
          <w:sz w:val="16"/>
        </w:rPr>
        <w:t xml:space="preserve"> (Berson 2010; Coombe 2009). Self-identified Indigenous peoples, diasporic communities, and their advocates pointed to the various types of injury enabled by presuppositions of a free, open, and undifferentiated commons (Howes 1996; Ziff and Rao 1997). Such critiques raised acute questions about the ramifications of anthropological research. To what extent may the publication of indigenous knowledge and cultural heritage facilitate misappropriation by placing such material in the public domain (Christen 2005, 2011; Holcombe 2010)? </w:t>
      </w:r>
      <w:r w:rsidRPr="004107DD">
        <w:rPr>
          <w:rStyle w:val="StyleUnderline"/>
        </w:rPr>
        <w:t>Recognizing that cultural rights—understood as the human rights of communities—could be violated by the unauthorized reproduction and circulation of heritage goods posed new challenges to anthropological research methods, sparking reflection on how the terms and aims of research are established and how knowledge is produced and by whom</w:t>
      </w:r>
      <w:r w:rsidRPr="004107DD">
        <w:rPr>
          <w:sz w:val="16"/>
        </w:rPr>
        <w:t xml:space="preserve">. For whose or what ends is research justified? Who should decide how research materials should (or should not) be made available (Nagy 2011; Pels et al. 2018)? These issues were considered central in efforts to decolonize research methodologies (Smith 2012). Questions about the management and ownership of anthropological data, the production and circulation of tangible and intangible materials via research and publication, and new expectations about the repatriation of research outputs characterized a new era of scholarly ethics. </w:t>
      </w:r>
      <w:r w:rsidRPr="004107DD">
        <w:rPr>
          <w:rStyle w:val="StyleUnderline"/>
        </w:rPr>
        <w:t>Within archeology, the capacity of publication to enable information, images, and artifacts to circulate in ways that may negatively impact Indigenous community recognition and rights prompted the creation of new legal tools and ethical protocols with respect to the use of cultural knowledge and property (Nicholas and Bannister 2004; Nicholas and Wylie 2009; Smith 2010).</w:t>
      </w:r>
      <w:r>
        <w:rPr>
          <w:rStyle w:val="StyleUnderline"/>
        </w:rPr>
        <w:t xml:space="preserve"> </w:t>
      </w:r>
      <w:r w:rsidRPr="004107DD">
        <w:rPr>
          <w:sz w:val="16"/>
        </w:rPr>
        <w:t xml:space="preserve">In environmental and ecological anthropology, increased awareness of how publication of ethnobotanical information could facilitate misappropriation of traditional knowledge led ethnobiologists working with indigenous organizations to craft a code of research ethics. The code emphasized the necessity of community participation, informed consent, reciprocity in benefits, and recognition of the customary rights and cultural responsibilities of Indigenous peoples (Bannister et al. 2009). </w:t>
      </w:r>
      <w:r w:rsidRPr="004107DD">
        <w:rPr>
          <w:rStyle w:val="StyleUnderline"/>
        </w:rPr>
        <w:t>Largely driven by the early Brazilian fieldwork and international advocacy of Darrell A. Posey (1990, 1999), this undertaking was influential in bringing principles of benefit-sharing and compensation for indigenous work into international biodiversity policy and linking such practices to internationally recognized Indigenous peoples’ rights of self-determination (Garcés and de Robert 2012).</w:t>
      </w:r>
      <w:r>
        <w:rPr>
          <w:rStyle w:val="StyleUnderline"/>
        </w:rPr>
        <w:t xml:space="preserve"> </w:t>
      </w:r>
      <w:r w:rsidRPr="004107DD">
        <w:rPr>
          <w:rStyle w:val="StyleUnderline"/>
        </w:rPr>
        <w:t>In other anthropological subfields, the acknowledged inability of IP regimes to accommodate indigenous values and customary practices led scholars to consider alternative strategies for documenting, repatriating, and protecting data, recordings, and other cultural materials</w:t>
      </w:r>
      <w:r w:rsidRPr="004107DD">
        <w:rPr>
          <w:sz w:val="16"/>
        </w:rPr>
        <w:t xml:space="preserve">. For example, concerns that the circulation of ethnographic music recordings beyond source communities may misrepresent traditions, deny compensation to creators, and offend community norms led ethnomusicologists to explore different means of vesting rights in recorded music to collective holders of intangible cultural heritage (e.g., Aubert 2010; Fox 2017). In the archeology of the Americas, collaborative and community-based research practices developed, using local norms for managing cultural heritage and knowledge as guides for scholarly research practice (Atalay 2012). Applied Methodologies: Alternative Knowledge Management Strategies </w:t>
      </w:r>
      <w:r w:rsidRPr="004107DD">
        <w:rPr>
          <w:rStyle w:val="StyleUnderline"/>
        </w:rPr>
        <w:t>Digital technologies posed further ethical issues; while they provided new opportunities for source community curation of research, museum, and archival materials, they also created problems for social groups seeking to control the conditions under which cultural resources circulated</w:t>
      </w:r>
      <w:r w:rsidRPr="004107DD">
        <w:rPr>
          <w:sz w:val="16"/>
        </w:rPr>
        <w:t xml:space="preserve"> (Bell et al. 2013). This recognition sparked efforts to create mechanisms for the protection of intangible cultural heritage that would reflect community values, support sustainable development, and foster self-determination (Brown and Nicholas 2012). </w:t>
      </w:r>
      <w:r w:rsidRPr="004107DD">
        <w:rPr>
          <w:rStyle w:val="StyleUnderline"/>
        </w:rPr>
        <w:t>Anthropologists began to work with local heritage centers, museums, and community leaders to help repatriate materials historically collected under colonial conditions of dispossession</w:t>
      </w:r>
      <w:r w:rsidRPr="004107DD">
        <w:rPr>
          <w:sz w:val="16"/>
        </w:rPr>
        <w:t xml:space="preserve"> (e.g., Nagy 2011). Some created interactive online databases with Australian aboriginal and North American tribal communities which embedded culturally specific terms for accessing and interpreting data (e.g., Christen 2011). Others developed protocols to guide practice and set the terms of knowledge collection and management (Anderson and Younging 2015) and tools such as traditional knowledge labels and licenses to help communities better manage their cultural heritage in digital environments (Anderson and Christen 2013; Anderson and Montenegro 2017; Christen 2015). </w:t>
      </w:r>
      <w:r w:rsidRPr="004107DD">
        <w:rPr>
          <w:rStyle w:val="StyleUnderline"/>
        </w:rPr>
        <w:t>Many communities learned to define and assert their customary knowledge practices within the context of research relationships, archival repatriations, and digital rights management. Such articulations made communities and their interests more legible to dominant research and curatorial institutions (Coombe and Kisin 2020) and encouraged both parties to critically (re)interpret IP rights for new ends</w:t>
      </w:r>
      <w:r w:rsidRPr="004107DD">
        <w:rPr>
          <w:sz w:val="16"/>
        </w:rPr>
        <w:t xml:space="preserve"> (Colwell-Chanthaphonh 2011). </w:t>
      </w:r>
      <w:r w:rsidRPr="004107DD">
        <w:rPr>
          <w:rStyle w:val="StyleUnderline"/>
        </w:rPr>
        <w:t>Increasingly organized and internationally networked Indigenous peoples began to exchange knowledge and experience of their practices of digital database management and heritage protection. In the face of widespread state reluctance to revise national IP legislation to address the needs of Indigenous communities, these collaborations helped to establish what became known as international “best practices” for the management and return of archival materials and other culturally significant heritage goods. New cultural policies were thereby recursively produced through collaborations in which anthropological knowledge became enmeshed in broader struggles for community political, legal, and social recognition.</w:t>
      </w:r>
    </w:p>
    <w:p w14:paraId="49AF923F" w14:textId="2BAD8248" w:rsidR="009928A9" w:rsidRPr="009928A9" w:rsidRDefault="009928A9" w:rsidP="009928A9">
      <w:pPr>
        <w:pStyle w:val="Heading3"/>
      </w:pPr>
      <w:r>
        <w:t>RC</w:t>
      </w:r>
    </w:p>
    <w:p w14:paraId="2DE8A00D" w14:textId="77777777" w:rsidR="009928A9" w:rsidRDefault="009928A9" w:rsidP="009928A9">
      <w:pPr>
        <w:pStyle w:val="Heading4"/>
        <w:rPr>
          <w:lang w:val="en-GB"/>
        </w:rPr>
      </w:pPr>
      <w:r>
        <w:rPr>
          <w:lang w:val="en-GB"/>
        </w:rPr>
        <w:t>Biopolitics structures neocolonialism—capitalist expansion requires exploitation of resources via biopiracy</w:t>
      </w:r>
    </w:p>
    <w:p w14:paraId="5050D7CE" w14:textId="77777777" w:rsidR="009928A9" w:rsidRPr="006A4805" w:rsidRDefault="009928A9" w:rsidP="009928A9">
      <w:r>
        <w:rPr>
          <w:rStyle w:val="Style13ptBold"/>
        </w:rPr>
        <w:t xml:space="preserve">Karvat 23 </w:t>
      </w:r>
      <w:r w:rsidRPr="006A4805">
        <w:t xml:space="preserve">[Jaciel Santos Karvat, Master's candidate in the Master's Program Regional Development at Universidade do Contestado - Campus Canoinhas/SC. Professor in the Law graduation course at Universidade do Contestado -UNC - Campus Rio Negrinho/SC; Febuary 2023; “Biopolitics and the Issue of Biopiracy: The Right of Traditional Peoples to Benefit Sharing”; Home Publishing Brazil; </w:t>
      </w:r>
      <w:hyperlink r:id="rId18" w:history="1">
        <w:r w:rsidRPr="0004233E">
          <w:rPr>
            <w:rStyle w:val="Hyperlink"/>
          </w:rPr>
          <w:t>https://homepublishing.com.br/index.php/cadernodeanais/article/view/57]//InTr</w:t>
        </w:r>
      </w:hyperlink>
    </w:p>
    <w:p w14:paraId="4873E5CF" w14:textId="77777777" w:rsidR="009928A9" w:rsidRPr="006A4805" w:rsidRDefault="009928A9" w:rsidP="009928A9">
      <w:pPr>
        <w:rPr>
          <w:sz w:val="16"/>
        </w:rPr>
      </w:pPr>
      <w:r w:rsidRPr="00486955">
        <w:rPr>
          <w:u w:val="single"/>
        </w:rPr>
        <w:t>Biopolitics is as old as the organization of the first cities, when the term was used, more specifically, in relation to the way the State appropriated the bodies and sexualities of its citizens</w:t>
      </w:r>
      <w:r w:rsidRPr="006A4805">
        <w:rPr>
          <w:sz w:val="16"/>
        </w:rPr>
        <w:t xml:space="preserve">, </w:t>
      </w:r>
      <w:r w:rsidRPr="00486955">
        <w:rPr>
          <w:u w:val="single"/>
        </w:rPr>
        <w:t>in order to sustain a determined political and economic model.</w:t>
      </w:r>
      <w:r w:rsidRPr="006A4805">
        <w:rPr>
          <w:sz w:val="16"/>
        </w:rPr>
        <w:t xml:space="preserve"> But, </w:t>
      </w:r>
      <w:r w:rsidRPr="00486955">
        <w:rPr>
          <w:u w:val="single"/>
        </w:rPr>
        <w:t>with technological evolution, the center of the political dispute has changed, becoming biological life and the possibility of "making" or "modifying" it in its essence, which had never occurred before in history</w:t>
      </w:r>
      <w:r w:rsidRPr="006A4805">
        <w:rPr>
          <w:sz w:val="16"/>
        </w:rPr>
        <w:t xml:space="preserve">. With this </w:t>
      </w:r>
      <w:r w:rsidRPr="00486955">
        <w:rPr>
          <w:u w:val="single"/>
        </w:rPr>
        <w:t>change in focus, biopolitics added new issues, that is, new material-biological realities</w:t>
      </w:r>
      <w:r w:rsidRPr="006A4805">
        <w:rPr>
          <w:sz w:val="16"/>
        </w:rPr>
        <w:t xml:space="preserve">, such as cells, chromosomes, molecules, genes, which, in the case of biotechnology, for example, </w:t>
      </w:r>
      <w:r w:rsidRPr="00486955">
        <w:rPr>
          <w:u w:val="single"/>
        </w:rPr>
        <w:t>have economic utility and become a desire for appropriation by large capitalist corporations</w:t>
      </w:r>
      <w:r w:rsidRPr="006A4805">
        <w:rPr>
          <w:sz w:val="16"/>
        </w:rPr>
        <w:t xml:space="preserve">. In this context, </w:t>
      </w:r>
      <w:r w:rsidRPr="00486955">
        <w:rPr>
          <w:u w:val="single"/>
        </w:rPr>
        <w:t>technique, science and industry, which are intimately related, become pillars of the economic system</w:t>
      </w:r>
      <w:r w:rsidRPr="006A4805">
        <w:rPr>
          <w:sz w:val="16"/>
        </w:rPr>
        <w:t xml:space="preserve">1 . The </w:t>
      </w:r>
      <w:r w:rsidRPr="00486955">
        <w:rPr>
          <w:u w:val="single"/>
        </w:rPr>
        <w:t>true dimension and conception of biopolitics was born with Foucault, in his work "The Birth of Biopolitics"</w:t>
      </w:r>
      <w:r w:rsidRPr="006A4805">
        <w:rPr>
          <w:sz w:val="16"/>
        </w:rPr>
        <w:t xml:space="preserve">. Based on an </w:t>
      </w:r>
      <w:r w:rsidRPr="00486955">
        <w:rPr>
          <w:u w:val="single"/>
        </w:rPr>
        <w:t>examination of the modes of domination operated by the practices of local biopowers in the context of Nazism and socialism</w:t>
      </w:r>
      <w:r w:rsidRPr="006A4805">
        <w:rPr>
          <w:sz w:val="16"/>
        </w:rPr>
        <w:t xml:space="preserve">, the author brings the vision of the constitution of the newest technologies of domination, elaborated at the </w:t>
      </w:r>
      <w:r w:rsidRPr="00486955">
        <w:rPr>
          <w:u w:val="single"/>
        </w:rPr>
        <w:t xml:space="preserve">level of market economies under the aegis of the economic neoliberalism </w:t>
      </w:r>
      <w:r w:rsidRPr="006A4805">
        <w:rPr>
          <w:sz w:val="16"/>
        </w:rPr>
        <w:t xml:space="preserve">of the Chicago School. Thus, there emerges what he calls the </w:t>
      </w:r>
      <w:r w:rsidRPr="00486955">
        <w:rPr>
          <w:u w:val="single"/>
        </w:rPr>
        <w:t>figure of the homo economicus that transcends the individual's autonomous juridical-political personality, making the individual a simple pawn of the globalized market's economic rules.</w:t>
      </w:r>
      <w:r w:rsidRPr="006A4805">
        <w:rPr>
          <w:sz w:val="16"/>
        </w:rPr>
        <w:t xml:space="preserve"> In this way, the homo economicus becomes an economic agent, who responds to the stimuli of the market logic and </w:t>
      </w:r>
      <w:r w:rsidRPr="00486955">
        <w:rPr>
          <w:u w:val="single"/>
        </w:rPr>
        <w:t>assumes the responsibility for the constitution of his professional capital and for the maintenance of his competitive capacity in the labor market</w:t>
      </w:r>
      <w:r w:rsidRPr="006A4805">
        <w:rPr>
          <w:sz w:val="16"/>
        </w:rPr>
        <w:t xml:space="preserve">, which will be made possible and potentiated by the manipulation of biogenetics, possibly beyond any ethical discussion2 . </w:t>
      </w:r>
      <w:r w:rsidRPr="00486955">
        <w:rPr>
          <w:u w:val="single"/>
        </w:rPr>
        <w:t>In light of this new paradigm, biopolitics has become a field that allows the aggregation, approximation and association of sectors of reality related to life, nature and knowledge, whose changes over time have been provoked by industry, science and technology, which today dispute the global politicaleconomic field</w:t>
      </w:r>
      <w:r w:rsidRPr="006A4805">
        <w:rPr>
          <w:sz w:val="16"/>
        </w:rPr>
        <w:t xml:space="preserve">. Thus, </w:t>
      </w:r>
      <w:r w:rsidRPr="00486955">
        <w:rPr>
          <w:u w:val="single"/>
        </w:rPr>
        <w:t>among the sectors of reality and branches of science that can be grouped in the field of biopolitics are biotechnology, genetic engineering, biosecurity, biopiracy, the water problem, the privatization and computerization of knowledge, the accelerated development of biomedicine, scientific experiments, the artificiality and commodification of human reproduction, research using embryonic tissue, and bionanotechnology</w:t>
      </w:r>
      <w:r w:rsidRPr="006A4805">
        <w:rPr>
          <w:sz w:val="16"/>
        </w:rPr>
        <w:t xml:space="preserve">. These </w:t>
      </w:r>
      <w:r w:rsidRPr="00486955">
        <w:rPr>
          <w:u w:val="single"/>
        </w:rPr>
        <w:t>sectors are part of an economy and a politics that transform life and nature as a whole into market slices and objects of commodification3</w:t>
      </w:r>
      <w:r w:rsidRPr="006A4805">
        <w:rPr>
          <w:sz w:val="16"/>
        </w:rPr>
        <w:t xml:space="preserve"> . This study </w:t>
      </w:r>
      <w:r w:rsidRPr="00486955">
        <w:rPr>
          <w:u w:val="single"/>
        </w:rPr>
        <w:t>focuses on the issue of biopiracy, which can be defined as the illegal exploitation of natural resources, including plants, animals, seeds and any other source of genetic material, from national forests, with the intention of using this material for commercial, medicinal or cosmetic purposes, together with the appropriation and monopolization of traditional knowledge of traditional peoples and communities for economic profit</w:t>
      </w:r>
      <w:r w:rsidRPr="006A4805">
        <w:rPr>
          <w:sz w:val="16"/>
        </w:rPr>
        <w:t xml:space="preserve">4 . In the </w:t>
      </w:r>
      <w:r w:rsidRPr="00C80B16">
        <w:rPr>
          <w:u w:val="single"/>
        </w:rPr>
        <w:t>latter case is the characterization of the current mode of colonization, where large international corporations send employees disguised as "emissaries" to countries that hold a wealth of biodiversity, in order to find out for what purposes and functions traditional local peoples and communities use this biodiversity</w:t>
      </w:r>
      <w:r w:rsidRPr="006A4805">
        <w:rPr>
          <w:sz w:val="16"/>
        </w:rPr>
        <w:t xml:space="preserve">. Thus, </w:t>
      </w:r>
      <w:r w:rsidRPr="00C80B16">
        <w:rPr>
          <w:u w:val="single"/>
        </w:rPr>
        <w:t>they appropriate this knowledge and then claim that they have invented something that has actually been used for a long time by these populations</w:t>
      </w:r>
      <w:r w:rsidRPr="006A4805">
        <w:rPr>
          <w:sz w:val="16"/>
        </w:rPr>
        <w:t xml:space="preserve"> .5 On the other hand, </w:t>
      </w:r>
      <w:r w:rsidRPr="00C80B16">
        <w:rPr>
          <w:u w:val="single"/>
        </w:rPr>
        <w:t>it is possible to do this in a legitimate way</w:t>
      </w:r>
      <w:r w:rsidRPr="006A4805">
        <w:rPr>
          <w:sz w:val="16"/>
        </w:rPr>
        <w:t xml:space="preserve">, through the Sharing of Benefits, which </w:t>
      </w:r>
      <w:r w:rsidRPr="00C80B16">
        <w:rPr>
          <w:u w:val="single"/>
        </w:rPr>
        <w:t>consists of sharing the benefits derived from the economic exploitation of finished products or reproductive material developed from access to genetic heritage or associated traditional knowledge</w:t>
      </w:r>
      <w:r w:rsidRPr="006A4805">
        <w:rPr>
          <w:sz w:val="16"/>
        </w:rPr>
        <w:t xml:space="preserve">6 . However, this </w:t>
      </w:r>
      <w:r w:rsidRPr="00C80B16">
        <w:rPr>
          <w:u w:val="single"/>
        </w:rPr>
        <w:t>sharing of knowledge is not always done in a legal way and, unfortunately, all the biodiversity existing in Brazil, as well as the knowledge of the traditional peoples and communities about it, have attracted the action of international biopiracy, which is considered the third largest traffic in the world</w:t>
      </w:r>
      <w:r w:rsidRPr="006A4805">
        <w:rPr>
          <w:sz w:val="16"/>
        </w:rPr>
        <w:t xml:space="preserve">7 . </w:t>
      </w:r>
      <w:r w:rsidRPr="00C80B16">
        <w:rPr>
          <w:u w:val="single"/>
        </w:rPr>
        <w:t>Biopiracy has become a multi-billion dollar business</w:t>
      </w:r>
      <w:r w:rsidRPr="006A4805">
        <w:rPr>
          <w:sz w:val="16"/>
        </w:rPr>
        <w:t xml:space="preserve">, with Brazil being one of the main targets of this criminal business. In light of this, </w:t>
      </w:r>
      <w:r w:rsidRPr="00C80B16">
        <w:rPr>
          <w:u w:val="single"/>
        </w:rPr>
        <w:t>the losses suffered are great, and are related to the loss of knowledge and bioproducts. This damage is estimated at R$ 33.3 billion per year</w:t>
      </w:r>
      <w:r w:rsidRPr="006A4805">
        <w:rPr>
          <w:sz w:val="16"/>
        </w:rPr>
        <w:t xml:space="preserve"> and </w:t>
      </w:r>
      <w:r w:rsidRPr="00C80B16">
        <w:rPr>
          <w:u w:val="single"/>
        </w:rPr>
        <w:t>is linked not only to the illegal trade in genetic heritage, but also to the financial loss for not receiving royalties resulting from the patenting that these corporations do, of active ingredients present in pharmaceuticals, cosmetics and other products, which are obtained from the Brazilian biodiversity and the knowledge of traditional peoples and communities, which are registered in other countries</w:t>
      </w:r>
      <w:r w:rsidRPr="006A4805">
        <w:rPr>
          <w:sz w:val="16"/>
        </w:rPr>
        <w:t xml:space="preserve"> .8 Given these facts, the general objective of this study was to verify whether the Brazilian government has been </w:t>
      </w:r>
      <w:r w:rsidRPr="00C80B16">
        <w:rPr>
          <w:u w:val="single"/>
        </w:rPr>
        <w:t>defending the right of traditional peoples and communities to benefit sharing, as well as how it acts in the fight against biopiracy, which can be considered a crime against the country</w:t>
      </w:r>
      <w:r w:rsidRPr="006A4805">
        <w:rPr>
          <w:sz w:val="16"/>
        </w:rPr>
        <w:t xml:space="preserve">. </w:t>
      </w:r>
      <w:r w:rsidRPr="00C80B16">
        <w:rPr>
          <w:u w:val="single"/>
        </w:rPr>
        <w:t>The methodology used for this article was the deductive method</w:t>
      </w:r>
      <w:r w:rsidRPr="006A4805">
        <w:rPr>
          <w:sz w:val="16"/>
        </w:rPr>
        <w:t xml:space="preserve"> , which starts from general arguments to particular ones. It was established as sources of consultation books, doctrines, articles and legislation , many accessed via the Internet, through specialized sites such as Scielo, CAPES, Google Academic, the Public Domain, the Library of the Federal Senate and others. This research also had a qualitative approach to the data collected, with a descriptive objective, where the content was evaluated seeking a more global understanding of the information, favoring its quality and its context with the theme.</w:t>
      </w:r>
    </w:p>
    <w:p w14:paraId="58CC3A62" w14:textId="77777777" w:rsidR="009928A9" w:rsidRPr="006A4805" w:rsidRDefault="009928A9" w:rsidP="009928A9">
      <w:pPr>
        <w:rPr>
          <w:sz w:val="16"/>
        </w:rPr>
      </w:pPr>
    </w:p>
    <w:p w14:paraId="6092FA2F" w14:textId="77777777" w:rsidR="000E092E" w:rsidRDefault="000E092E" w:rsidP="000E092E">
      <w:pPr>
        <w:pStyle w:val="Heading4"/>
      </w:pPr>
      <w:r>
        <w:t>IP makes biocolonialism possible, but these critiques also fail to question the exclusionary premise of IP</w:t>
      </w:r>
    </w:p>
    <w:p w14:paraId="0194D783" w14:textId="77777777" w:rsidR="000E092E" w:rsidRPr="006A4805" w:rsidRDefault="000E092E" w:rsidP="000E092E">
      <w:pPr>
        <w:rPr>
          <w:rStyle w:val="Style13ptBold"/>
        </w:rPr>
      </w:pPr>
      <w:r w:rsidRPr="006A4805">
        <w:rPr>
          <w:rStyle w:val="Style13ptBold"/>
        </w:rPr>
        <w:t>Hilberg 15</w:t>
      </w:r>
    </w:p>
    <w:p w14:paraId="461C7F6D" w14:textId="77777777" w:rsidR="000E092E" w:rsidRPr="006A4805" w:rsidRDefault="000E092E" w:rsidP="000E092E">
      <w:r w:rsidRPr="006A4805">
        <w:t xml:space="preserve">Eva, phD candidate at the University of Sussex. “Intellectual Property and the Genetic Dispositif of Life: The Changing Role of Intellectual Property Law in Governing Participation and Knowledge in the Bioeconomy.” Submitted for the Degree of Doctor of Philosophy University of Sussex, May 2015. Pp </w:t>
      </w:r>
      <w:r>
        <w:t>157-161</w:t>
      </w:r>
      <w:r w:rsidRPr="006A4805">
        <w:t>. LJS</w:t>
      </w:r>
    </w:p>
    <w:p w14:paraId="4E515356" w14:textId="77777777" w:rsidR="000E092E" w:rsidRPr="001F2F75" w:rsidRDefault="000E092E" w:rsidP="000E092E">
      <w:pPr>
        <w:rPr>
          <w:sz w:val="16"/>
        </w:rPr>
      </w:pPr>
      <w:r w:rsidRPr="001F2F75">
        <w:rPr>
          <w:sz w:val="16"/>
        </w:rPr>
        <w:t xml:space="preserve">Processes of exclusion need to be understood as a separate strategic power exercise of the IP system, as shown in the previous chapter. </w:t>
      </w:r>
      <w:r w:rsidRPr="001F2F75">
        <w:rPr>
          <w:rStyle w:val="StyleUnderline"/>
        </w:rPr>
        <w:t>This chapter argues that</w:t>
      </w:r>
      <w:r>
        <w:rPr>
          <w:rStyle w:val="StyleUnderline"/>
        </w:rPr>
        <w:t xml:space="preserve"> </w:t>
      </w:r>
      <w:r w:rsidRPr="001F2F75">
        <w:rPr>
          <w:rStyle w:val="StyleUnderline"/>
        </w:rPr>
        <w:t>the IP system exercises power not only by bestowing exclusive rights on the IP</w:t>
      </w:r>
      <w:r>
        <w:rPr>
          <w:rStyle w:val="StyleUnderline"/>
        </w:rPr>
        <w:t xml:space="preserve"> </w:t>
      </w:r>
      <w:r w:rsidRPr="001F2F75">
        <w:rPr>
          <w:rStyle w:val="StyleUnderline"/>
        </w:rPr>
        <w:t>holder, but also by operating in relative isolation on the international level</w:t>
      </w:r>
      <w:r w:rsidRPr="001F2F75">
        <w:rPr>
          <w:sz w:val="16"/>
        </w:rPr>
        <w:t xml:space="preserve">. The continuing international division between IP on information derived from human genetic materials and the places of source of this material highlights IP’s exclusionary role in its starkest terms. On the basis of this realisation, the chapter then explores strategies challenging IP’s institutional isolation on the international level within an emerging frame of reference centred on life, which requires new legitimations from the previously entirely separate IP system. These responses are better understood as instances of governing. This thesis’ analytical perspective on IP as an emerging tactics of governing highlights how IP’s exclusivity is beginning to be contested in debates about IP and health, and IP and human rights, held within pro-IP international organisations such as the WTO and WIPO. </w:t>
      </w:r>
      <w:r w:rsidRPr="001F2F75">
        <w:rPr>
          <w:rStyle w:val="StyleUnderline"/>
        </w:rPr>
        <w:t>The IP system continues to fulfil its</w:t>
      </w:r>
      <w:r>
        <w:rPr>
          <w:rStyle w:val="StyleUnderline"/>
        </w:rPr>
        <w:t xml:space="preserve"> </w:t>
      </w:r>
      <w:r w:rsidRPr="001F2F75">
        <w:rPr>
          <w:rStyle w:val="StyleUnderline"/>
        </w:rPr>
        <w:t>economic role, however, this now needs to accommodate demands made on the basis</w:t>
      </w:r>
      <w:r>
        <w:rPr>
          <w:rStyle w:val="StyleUnderline"/>
        </w:rPr>
        <w:t xml:space="preserve"> </w:t>
      </w:r>
      <w:r w:rsidRPr="001F2F75">
        <w:rPr>
          <w:rStyle w:val="StyleUnderline"/>
        </w:rPr>
        <w:t>of life and health, leading to a process of accommodation in which IP begins to act as</w:t>
      </w:r>
      <w:r>
        <w:rPr>
          <w:rStyle w:val="StyleUnderline"/>
        </w:rPr>
        <w:t xml:space="preserve"> </w:t>
      </w:r>
      <w:r w:rsidRPr="001F2F75">
        <w:rPr>
          <w:rStyle w:val="StyleUnderline"/>
        </w:rPr>
        <w:t>a tactics of governing between life and the market.</w:t>
      </w:r>
      <w:r>
        <w:rPr>
          <w:rStyle w:val="StyleUnderline"/>
        </w:rPr>
        <w:t xml:space="preserve"> </w:t>
      </w:r>
      <w:r w:rsidRPr="001F2F75">
        <w:rPr>
          <w:sz w:val="16"/>
        </w:rPr>
        <w:t xml:space="preserve">1.1. Deriving exclusive rights from international bioprospecting and biobanking projects </w:t>
      </w:r>
      <w:r w:rsidRPr="001F2F75">
        <w:rPr>
          <w:rStyle w:val="StyleUnderline"/>
        </w:rPr>
        <w:t>The relation between IP and genetic conceptions of life on the international level has</w:t>
      </w:r>
      <w:r>
        <w:rPr>
          <w:rStyle w:val="StyleUnderline"/>
        </w:rPr>
        <w:t xml:space="preserve"> </w:t>
      </w:r>
      <w:r w:rsidRPr="001F2F75">
        <w:rPr>
          <w:rStyle w:val="StyleUnderline"/>
        </w:rPr>
        <w:t>been marked by several highly controversial instances of “bioprospecting” (Robinson</w:t>
      </w:r>
      <w:r>
        <w:rPr>
          <w:rStyle w:val="StyleUnderline"/>
        </w:rPr>
        <w:t xml:space="preserve"> </w:t>
      </w:r>
      <w:r w:rsidRPr="001F2F75">
        <w:rPr>
          <w:rStyle w:val="StyleUnderline"/>
        </w:rPr>
        <w:t>2010, 11) in developing countries followed by registration of gene patents on the</w:t>
      </w:r>
      <w:r>
        <w:rPr>
          <w:rStyle w:val="StyleUnderline"/>
        </w:rPr>
        <w:t xml:space="preserve"> </w:t>
      </w:r>
      <w:r w:rsidRPr="001F2F75">
        <w:rPr>
          <w:rStyle w:val="StyleUnderline"/>
        </w:rPr>
        <w:t>gathered ‘materials’ in industrialised countries</w:t>
      </w:r>
      <w:r w:rsidRPr="001F2F75">
        <w:rPr>
          <w:sz w:val="16"/>
        </w:rPr>
        <w:t xml:space="preserve">. Most notable amongst these was the Human Genome Diversity Project (HGDP)82, which collected a diverse range of genetic samples from different distinct peoples across the world, and gave rise to allegations of racism and ‘biocolonialism’. Indigenous peoples referred to it as the “Vampire Project” and strongly criticised the range of chosen donor populations and the patents derived from the samples later on (see Thacker 2005a, 134). An unrelated patent application on a leukaemia-resistant human T-cell line derived from a Papua New Guinean, filed by the US Department of Health and Human Services and the National Institutes of Health in 1993 (Oriola 2007, 6; Thacker 2005a, 134) was also heavily criticised for the cursory way in which it dealt with the original donor. These issues were addressed in the later Human Genome Project (HGP) in a dedicated ‘ELSI’ (Ethical, Legal and Social Implications) programme, entirely funded as part of the larger project itself. This programme focused in particular on the question of informed consent. IP is usually not included in such formal considerations of bioethics beyond the question of informed consent. The HGP proved less controversial due to the ELSI programme and the project’s less racially charged connotations, however, further controversies arose when an Australian pharmaceutical company named Autogen attempted to create a biobank containing blood samples and DNA of Tonga’s people in 2000 – also seeking to capitalise on this community’s relative isolation and distinctiveness. The project was dropped in the face of vociferous criticism from Tonga’s population, which complained that the informed consent procedures disregarded Tonga’s particular social structure and the importance of the family unit within it. Consent could thus not be obtained from the individual alone, but needed to take into account the views from the extended family group (Nwabueze 2007, 167). However, Autogen’s project addressed previous criticisms made of ‘bioprospecting’ programmes by promising to share the proceeds of any commercial products derived from the research, establishing laboratories on Tonga and assigning property rights over individual genetic samples to Tonga’s government – effectively nationalising this property (Ibid.). A similar approach to property was taken by deCode’s Icelandic Population Biobank. However, in the Icelandic case “informed consent was claimed on behalf of the people of Iceland through an act of parliament” (Senituli and Boyes 2002, 4; see also Fortun 2008). This model differs from other biobanks, which adopted a much more protectionist position towards the material and background information, as for example was the case in Sweden (Nilsson and Rose 1999, 894). Part of the Icelandic plan was to establish a Health Sector Database (HSD) in the Act on a Health Sector Database (No. 139/1998), passed by the Icelandic parliament on 17.12.1998, “which would link its clinical and research data to both the Icelandic health care system records and the genealogies” (H. Rose 2003, 78).83 The Icelandic government created a tissue bank “to complement the HSD” in the Act on Biobanks No. 110/2000 (Nwabueze 2007, 156). This tissue bank and the HSD operated on the basis of licenses, so that the property in the materials collected remained with the government of Iceland. However, the blanket presumption of consent encountered strong criticism, and “six years later that statute was overturned as unconstitutional, and subsequent national biobanks such as those in Australia, Estonia and the United Kingdom have required explicit consent at the time of donation” (Dickenson 2007, 126). </w:t>
      </w:r>
      <w:r w:rsidRPr="001F2F75">
        <w:rPr>
          <w:rStyle w:val="StyleUnderline"/>
        </w:rPr>
        <w:t>Interestingly, the transfer of IP was not directly discussed in ethical debates,</w:t>
      </w:r>
      <w:r>
        <w:rPr>
          <w:rStyle w:val="StyleUnderline"/>
        </w:rPr>
        <w:t xml:space="preserve"> </w:t>
      </w:r>
      <w:r w:rsidRPr="001F2F75">
        <w:rPr>
          <w:rStyle w:val="StyleUnderline"/>
        </w:rPr>
        <w:t>even in these very contentious examples of biobanks and bioprospecting projects.</w:t>
      </w:r>
      <w:r>
        <w:rPr>
          <w:rStyle w:val="StyleUnderline"/>
        </w:rPr>
        <w:t xml:space="preserve"> </w:t>
      </w:r>
      <w:r w:rsidRPr="001F2F75">
        <w:rPr>
          <w:rStyle w:val="StyleUnderline"/>
        </w:rPr>
        <w:t>Bioethics debates usually revolve around the issue of informed consent to counter</w:t>
      </w:r>
      <w:r>
        <w:rPr>
          <w:rStyle w:val="StyleUnderline"/>
        </w:rPr>
        <w:t xml:space="preserve"> </w:t>
      </w:r>
      <w:r w:rsidRPr="001F2F75">
        <w:rPr>
          <w:rStyle w:val="StyleUnderline"/>
        </w:rPr>
        <w:t>allegations of ‘biocolonialism’ perpetrated by companies based in industrial countries,</w:t>
      </w:r>
      <w:r>
        <w:rPr>
          <w:rStyle w:val="StyleUnderline"/>
        </w:rPr>
        <w:t xml:space="preserve"> </w:t>
      </w:r>
      <w:r w:rsidRPr="001F2F75">
        <w:rPr>
          <w:rStyle w:val="StyleUnderline"/>
        </w:rPr>
        <w:t>and are slowly also including problems of IP in informed consent structure</w:t>
      </w:r>
      <w:r>
        <w:rPr>
          <w:rStyle w:val="StyleUnderline"/>
        </w:rPr>
        <w:t xml:space="preserve"> </w:t>
      </w:r>
      <w:r w:rsidRPr="001F2F75">
        <w:rPr>
          <w:sz w:val="16"/>
        </w:rPr>
        <w:t xml:space="preserve">(Dickenson 2004). The assumption of IP rights by the Icelandic government did not give rise to a debate similar to that of its presumed consent – and still does not, as the details of the transfer of rights in the recently established structures of UK Biobank show. Where it comes to intellectual property, the consent form of UK Biobank clearly states: “I […] relinquish all rights to these samples which I am donating to UK Biobank” (UK Biobank 2011). There is an option for withdrawal from the programme promising “UK Biobank would destroy your samples (although it may not be possible to trace all distributed sample remnants)” (UK Biobank 2010). Thus the transfer of property rights is permanent, even though the samples themselves may be destroyed at a later date. UK Biobank then grants licenses to private corporations and scientists for the use of the genetic information (UK Biobank 2007, 13). </w:t>
      </w:r>
      <w:r w:rsidRPr="001F2F75">
        <w:rPr>
          <w:rStyle w:val="StyleUnderline"/>
        </w:rPr>
        <w:t>Exclusive rights are derived from individually donated samples in all these</w:t>
      </w:r>
      <w:r>
        <w:rPr>
          <w:rStyle w:val="StyleUnderline"/>
        </w:rPr>
        <w:t xml:space="preserve"> </w:t>
      </w:r>
      <w:r w:rsidRPr="001F2F75">
        <w:rPr>
          <w:rStyle w:val="StyleUnderline"/>
        </w:rPr>
        <w:t>examples of bioprospecting and biobanking projects – held either directly by a private</w:t>
      </w:r>
      <w:r>
        <w:rPr>
          <w:rStyle w:val="StyleUnderline"/>
        </w:rPr>
        <w:t xml:space="preserve"> </w:t>
      </w:r>
      <w:r w:rsidRPr="001F2F75">
        <w:rPr>
          <w:rStyle w:val="StyleUnderline"/>
        </w:rPr>
        <w:t>company or in some cases by the respective national government</w:t>
      </w:r>
      <w:r w:rsidRPr="001F2F75">
        <w:rPr>
          <w:sz w:val="16"/>
        </w:rPr>
        <w:t xml:space="preserve">. These rights are not directly contested in bioethics debates – but they are nonetheless criticised strongly by the Biopiracy and New Enclosure literature. In response, demands for Access and Benefit Sharing (ABS) aim to ensure a more direct connection between the donation of the materials and the eventual profits made from the intellectual property and commercialised products derived from this donation – albeit only in the area of plant genetic material. ABS agreements such as the Nagoya Protocol have been debated extensively for example under the CBD, suggesting amongst others a requirement for the disclosure of the provenance of the sample used for a particular patent application – but have not been included into the list of minimum provisions for patentability under TRIPS. </w:t>
      </w:r>
      <w:r w:rsidRPr="001F2F75">
        <w:rPr>
          <w:rStyle w:val="StyleUnderline"/>
        </w:rPr>
        <w:t>The IP system thus remains doubly exclusionary – assigning exclusive</w:t>
      </w:r>
      <w:r>
        <w:rPr>
          <w:rStyle w:val="StyleUnderline"/>
        </w:rPr>
        <w:t xml:space="preserve"> </w:t>
      </w:r>
      <w:r w:rsidRPr="001F2F75">
        <w:rPr>
          <w:rStyle w:val="StyleUnderline"/>
        </w:rPr>
        <w:t>monopoly rights to private entities and at the same time excluding any reference to</w:t>
      </w:r>
      <w:r>
        <w:rPr>
          <w:rStyle w:val="StyleUnderline"/>
        </w:rPr>
        <w:t xml:space="preserve"> </w:t>
      </w:r>
      <w:r w:rsidRPr="001F2F75">
        <w:rPr>
          <w:rStyle w:val="StyleUnderline"/>
        </w:rPr>
        <w:t>the origin of samples used for the genetic ‘invention’ in question</w:t>
      </w:r>
      <w:r w:rsidRPr="001F2F75">
        <w:rPr>
          <w:sz w:val="16"/>
        </w:rPr>
        <w:t xml:space="preserve">. This detachedness is mirrored in the division of debates between pro-IP international organisations such as WTO and WIPO, and pro-ABS organisations such as the CBD. </w:t>
      </w:r>
      <w:r w:rsidRPr="001F2F75">
        <w:rPr>
          <w:rStyle w:val="StyleUnderline"/>
        </w:rPr>
        <w:t>This separation</w:t>
      </w:r>
      <w:r>
        <w:rPr>
          <w:rStyle w:val="StyleUnderline"/>
        </w:rPr>
        <w:t xml:space="preserve"> </w:t>
      </w:r>
      <w:r w:rsidRPr="001F2F75">
        <w:rPr>
          <w:rStyle w:val="StyleUnderline"/>
        </w:rPr>
        <w:t>between sites of debate also masks a division of interests between industrial, IP-producing countries and developing countries, which are often the location of</w:t>
      </w:r>
      <w:r>
        <w:rPr>
          <w:rStyle w:val="StyleUnderline"/>
        </w:rPr>
        <w:t xml:space="preserve"> </w:t>
      </w:r>
      <w:r w:rsidRPr="001F2F75">
        <w:rPr>
          <w:rStyle w:val="StyleUnderline"/>
        </w:rPr>
        <w:t>provenance of samples used in the production of IP.</w:t>
      </w:r>
      <w:r w:rsidRPr="001F2F75">
        <w:rPr>
          <w:sz w:val="16"/>
        </w:rPr>
        <w:t xml:space="preserve"> As the next section will show, this division of debates perpetuates the exclusive status of IP, as ABS agreements fail to make inroads on the TRIPS system. While the relation between the Nagoya Protocol and TRIPS is still under discussion, the exclusivity of the IP system remains especially effective in the area of IPRs on information derived from human genetic materials, where no similar ABS agreement has been negotiated. </w:t>
      </w:r>
    </w:p>
    <w:sectPr w:rsidR="000E092E" w:rsidRPr="001F2F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88F7CD" w14:textId="77777777" w:rsidR="000773A0" w:rsidRDefault="000773A0" w:rsidP="00066D2C">
      <w:pPr>
        <w:spacing w:after="0" w:line="240" w:lineRule="auto"/>
      </w:pPr>
      <w:r>
        <w:separator/>
      </w:r>
    </w:p>
  </w:endnote>
  <w:endnote w:type="continuationSeparator" w:id="0">
    <w:p w14:paraId="296CDF88" w14:textId="77777777" w:rsidR="000773A0" w:rsidRDefault="000773A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6419A3" w14:textId="77777777" w:rsidR="000773A0" w:rsidRDefault="000773A0" w:rsidP="00066D2C">
      <w:pPr>
        <w:spacing w:after="0" w:line="240" w:lineRule="auto"/>
      </w:pPr>
      <w:r>
        <w:separator/>
      </w:r>
    </w:p>
  </w:footnote>
  <w:footnote w:type="continuationSeparator" w:id="0">
    <w:p w14:paraId="0CA3FFA1" w14:textId="77777777" w:rsidR="000773A0" w:rsidRDefault="000773A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6E308C"/>
    <w:multiLevelType w:val="hybridMultilevel"/>
    <w:tmpl w:val="20C6BD1C"/>
    <w:lvl w:ilvl="0" w:tplc="AB06804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E3253A"/>
    <w:multiLevelType w:val="hybridMultilevel"/>
    <w:tmpl w:val="9D5AF1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527335344">
    <w:abstractNumId w:val="14"/>
  </w:num>
  <w:num w:numId="46" w16cid:durableId="8812871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31054626016"/>
    <w:docVar w:name="VerbatimVersion" w:val="6.0.0"/>
    <w:docVar w:name="WordVersion" w:val="16.0"/>
  </w:docVars>
  <w:rsids>
    <w:rsidRoot w:val="00BB4381"/>
    <w:rsid w:val="00001C7E"/>
    <w:rsid w:val="0000487C"/>
    <w:rsid w:val="00007E70"/>
    <w:rsid w:val="00011FEF"/>
    <w:rsid w:val="00013C8B"/>
    <w:rsid w:val="00023AEF"/>
    <w:rsid w:val="000250CA"/>
    <w:rsid w:val="00032119"/>
    <w:rsid w:val="00040806"/>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3A0"/>
    <w:rsid w:val="00080E37"/>
    <w:rsid w:val="00080F27"/>
    <w:rsid w:val="000912B1"/>
    <w:rsid w:val="00093AB9"/>
    <w:rsid w:val="00094DF4"/>
    <w:rsid w:val="000961CD"/>
    <w:rsid w:val="000A0198"/>
    <w:rsid w:val="000A0585"/>
    <w:rsid w:val="000A218A"/>
    <w:rsid w:val="000A239C"/>
    <w:rsid w:val="000A4AE6"/>
    <w:rsid w:val="000A5EE1"/>
    <w:rsid w:val="000B0973"/>
    <w:rsid w:val="000B3425"/>
    <w:rsid w:val="000B5FBB"/>
    <w:rsid w:val="000B6974"/>
    <w:rsid w:val="000B6B3E"/>
    <w:rsid w:val="000C0702"/>
    <w:rsid w:val="000C073A"/>
    <w:rsid w:val="000C137E"/>
    <w:rsid w:val="000D0D08"/>
    <w:rsid w:val="000D5E32"/>
    <w:rsid w:val="000D739E"/>
    <w:rsid w:val="000D7A2C"/>
    <w:rsid w:val="000E0913"/>
    <w:rsid w:val="000E092E"/>
    <w:rsid w:val="000E13F7"/>
    <w:rsid w:val="000E2525"/>
    <w:rsid w:val="000F5C68"/>
    <w:rsid w:val="000F6390"/>
    <w:rsid w:val="000F6530"/>
    <w:rsid w:val="000F775F"/>
    <w:rsid w:val="001014FC"/>
    <w:rsid w:val="001030EF"/>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01A"/>
    <w:rsid w:val="001C48D7"/>
    <w:rsid w:val="001D1994"/>
    <w:rsid w:val="001D6D5C"/>
    <w:rsid w:val="001D7A6D"/>
    <w:rsid w:val="001E4A64"/>
    <w:rsid w:val="001E61F5"/>
    <w:rsid w:val="001F0C01"/>
    <w:rsid w:val="001F1F4D"/>
    <w:rsid w:val="001F2F75"/>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5480"/>
    <w:rsid w:val="00276E12"/>
    <w:rsid w:val="00277BB1"/>
    <w:rsid w:val="00280380"/>
    <w:rsid w:val="00281B05"/>
    <w:rsid w:val="00282932"/>
    <w:rsid w:val="00282FFC"/>
    <w:rsid w:val="002878D0"/>
    <w:rsid w:val="00290F1B"/>
    <w:rsid w:val="00291C09"/>
    <w:rsid w:val="0029228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EB7"/>
    <w:rsid w:val="0031761F"/>
    <w:rsid w:val="00323E50"/>
    <w:rsid w:val="003264E7"/>
    <w:rsid w:val="00333A69"/>
    <w:rsid w:val="003352D6"/>
    <w:rsid w:val="00344219"/>
    <w:rsid w:val="00345BF2"/>
    <w:rsid w:val="00347131"/>
    <w:rsid w:val="003479B5"/>
    <w:rsid w:val="003500B6"/>
    <w:rsid w:val="00352622"/>
    <w:rsid w:val="00355B45"/>
    <w:rsid w:val="00361FA0"/>
    <w:rsid w:val="003662DB"/>
    <w:rsid w:val="003665E5"/>
    <w:rsid w:val="00367D96"/>
    <w:rsid w:val="003706D8"/>
    <w:rsid w:val="00373B7F"/>
    <w:rsid w:val="003753F6"/>
    <w:rsid w:val="003779C8"/>
    <w:rsid w:val="003823AF"/>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7DD"/>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74B"/>
    <w:rsid w:val="004433A0"/>
    <w:rsid w:val="004436F8"/>
    <w:rsid w:val="0044559F"/>
    <w:rsid w:val="00446BEB"/>
    <w:rsid w:val="00447BAE"/>
    <w:rsid w:val="00450DA4"/>
    <w:rsid w:val="00457F13"/>
    <w:rsid w:val="004604DA"/>
    <w:rsid w:val="00462267"/>
    <w:rsid w:val="00462B60"/>
    <w:rsid w:val="00474720"/>
    <w:rsid w:val="00480A40"/>
    <w:rsid w:val="004827C9"/>
    <w:rsid w:val="00485D62"/>
    <w:rsid w:val="00486F5E"/>
    <w:rsid w:val="004875B9"/>
    <w:rsid w:val="00491C5F"/>
    <w:rsid w:val="0049341D"/>
    <w:rsid w:val="00493AA8"/>
    <w:rsid w:val="00497AFF"/>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AEA"/>
    <w:rsid w:val="004F16CA"/>
    <w:rsid w:val="004F4139"/>
    <w:rsid w:val="004F682B"/>
    <w:rsid w:val="00500F93"/>
    <w:rsid w:val="005015BF"/>
    <w:rsid w:val="00503593"/>
    <w:rsid w:val="005036B1"/>
    <w:rsid w:val="00511177"/>
    <w:rsid w:val="00511E26"/>
    <w:rsid w:val="005125C9"/>
    <w:rsid w:val="00515BDD"/>
    <w:rsid w:val="00521B9F"/>
    <w:rsid w:val="005268F8"/>
    <w:rsid w:val="0053626E"/>
    <w:rsid w:val="00543003"/>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2FBD"/>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10D"/>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1DE"/>
    <w:rsid w:val="00691FF9"/>
    <w:rsid w:val="0069285F"/>
    <w:rsid w:val="0069752C"/>
    <w:rsid w:val="006A0DE5"/>
    <w:rsid w:val="006A0F5C"/>
    <w:rsid w:val="006A3677"/>
    <w:rsid w:val="006A4805"/>
    <w:rsid w:val="006A5B27"/>
    <w:rsid w:val="006B1653"/>
    <w:rsid w:val="006B1A78"/>
    <w:rsid w:val="006B4E4E"/>
    <w:rsid w:val="006B5952"/>
    <w:rsid w:val="006B6C5F"/>
    <w:rsid w:val="006B7E39"/>
    <w:rsid w:val="006C0B77"/>
    <w:rsid w:val="006C2072"/>
    <w:rsid w:val="006C43E7"/>
    <w:rsid w:val="006C4820"/>
    <w:rsid w:val="006C5872"/>
    <w:rsid w:val="006C60E0"/>
    <w:rsid w:val="006C676D"/>
    <w:rsid w:val="006C69E2"/>
    <w:rsid w:val="006C7825"/>
    <w:rsid w:val="006D16ED"/>
    <w:rsid w:val="006D767A"/>
    <w:rsid w:val="006E2A45"/>
    <w:rsid w:val="006E37D4"/>
    <w:rsid w:val="006F3768"/>
    <w:rsid w:val="006F71DE"/>
    <w:rsid w:val="00704573"/>
    <w:rsid w:val="007072CC"/>
    <w:rsid w:val="0071254A"/>
    <w:rsid w:val="007131D2"/>
    <w:rsid w:val="00713917"/>
    <w:rsid w:val="00717AF8"/>
    <w:rsid w:val="00720F86"/>
    <w:rsid w:val="00722E77"/>
    <w:rsid w:val="00723E80"/>
    <w:rsid w:val="007245F1"/>
    <w:rsid w:val="0072478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85C"/>
    <w:rsid w:val="007750DF"/>
    <w:rsid w:val="00777C19"/>
    <w:rsid w:val="00782487"/>
    <w:rsid w:val="00784C54"/>
    <w:rsid w:val="00784C8D"/>
    <w:rsid w:val="00785E47"/>
    <w:rsid w:val="007873F5"/>
    <w:rsid w:val="0078760F"/>
    <w:rsid w:val="0079136A"/>
    <w:rsid w:val="00792AD8"/>
    <w:rsid w:val="00792D84"/>
    <w:rsid w:val="007930B5"/>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53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8FB"/>
    <w:rsid w:val="008C5B87"/>
    <w:rsid w:val="008D0448"/>
    <w:rsid w:val="008D0677"/>
    <w:rsid w:val="008D0C9E"/>
    <w:rsid w:val="008D2F03"/>
    <w:rsid w:val="008D6762"/>
    <w:rsid w:val="008E30D8"/>
    <w:rsid w:val="008E447C"/>
    <w:rsid w:val="008E596E"/>
    <w:rsid w:val="008E6741"/>
    <w:rsid w:val="008E74A1"/>
    <w:rsid w:val="008F04C5"/>
    <w:rsid w:val="008F125D"/>
    <w:rsid w:val="00901E9C"/>
    <w:rsid w:val="00906B08"/>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431"/>
    <w:rsid w:val="00953429"/>
    <w:rsid w:val="009539A4"/>
    <w:rsid w:val="009569E3"/>
    <w:rsid w:val="00960035"/>
    <w:rsid w:val="0096040F"/>
    <w:rsid w:val="0096145A"/>
    <w:rsid w:val="009632EF"/>
    <w:rsid w:val="00973D8A"/>
    <w:rsid w:val="009804B4"/>
    <w:rsid w:val="00980709"/>
    <w:rsid w:val="0098278C"/>
    <w:rsid w:val="00991819"/>
    <w:rsid w:val="009928A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FB1"/>
    <w:rsid w:val="009E53AF"/>
    <w:rsid w:val="009E6D4B"/>
    <w:rsid w:val="009E6DF5"/>
    <w:rsid w:val="009F02C5"/>
    <w:rsid w:val="009F076C"/>
    <w:rsid w:val="009F34CC"/>
    <w:rsid w:val="009F3C4D"/>
    <w:rsid w:val="009F479E"/>
    <w:rsid w:val="009F66D9"/>
    <w:rsid w:val="00A01AAC"/>
    <w:rsid w:val="00A035A3"/>
    <w:rsid w:val="00A1128F"/>
    <w:rsid w:val="00A16440"/>
    <w:rsid w:val="00A169AC"/>
    <w:rsid w:val="00A2231D"/>
    <w:rsid w:val="00A2334F"/>
    <w:rsid w:val="00A249B6"/>
    <w:rsid w:val="00A250AA"/>
    <w:rsid w:val="00A277E6"/>
    <w:rsid w:val="00A30A8F"/>
    <w:rsid w:val="00A3174A"/>
    <w:rsid w:val="00A35A28"/>
    <w:rsid w:val="00A368EF"/>
    <w:rsid w:val="00A40A4C"/>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1A0"/>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7EBE"/>
    <w:rsid w:val="00AE00AE"/>
    <w:rsid w:val="00AE56E1"/>
    <w:rsid w:val="00AE6C9A"/>
    <w:rsid w:val="00AF2207"/>
    <w:rsid w:val="00AF2612"/>
    <w:rsid w:val="00AF2A61"/>
    <w:rsid w:val="00AF30D9"/>
    <w:rsid w:val="00AF63BF"/>
    <w:rsid w:val="00AF6B3B"/>
    <w:rsid w:val="00AF79DD"/>
    <w:rsid w:val="00AF7F2C"/>
    <w:rsid w:val="00AF7F46"/>
    <w:rsid w:val="00B00124"/>
    <w:rsid w:val="00B0178C"/>
    <w:rsid w:val="00B019F0"/>
    <w:rsid w:val="00B02885"/>
    <w:rsid w:val="00B04EC7"/>
    <w:rsid w:val="00B06440"/>
    <w:rsid w:val="00B1231F"/>
    <w:rsid w:val="00B15BF2"/>
    <w:rsid w:val="00B17927"/>
    <w:rsid w:val="00B21093"/>
    <w:rsid w:val="00B2113E"/>
    <w:rsid w:val="00B2123B"/>
    <w:rsid w:val="00B2410E"/>
    <w:rsid w:val="00B2727D"/>
    <w:rsid w:val="00B301A2"/>
    <w:rsid w:val="00B31350"/>
    <w:rsid w:val="00B315A8"/>
    <w:rsid w:val="00B32C3E"/>
    <w:rsid w:val="00B41D37"/>
    <w:rsid w:val="00B45128"/>
    <w:rsid w:val="00B53DB3"/>
    <w:rsid w:val="00B575F2"/>
    <w:rsid w:val="00B576D3"/>
    <w:rsid w:val="00B66AF2"/>
    <w:rsid w:val="00B72848"/>
    <w:rsid w:val="00B74544"/>
    <w:rsid w:val="00B77754"/>
    <w:rsid w:val="00B81054"/>
    <w:rsid w:val="00B820DB"/>
    <w:rsid w:val="00B837F0"/>
    <w:rsid w:val="00B83896"/>
    <w:rsid w:val="00B860A9"/>
    <w:rsid w:val="00B97264"/>
    <w:rsid w:val="00B97CA1"/>
    <w:rsid w:val="00BA0143"/>
    <w:rsid w:val="00BA227A"/>
    <w:rsid w:val="00BA4C69"/>
    <w:rsid w:val="00BA61AF"/>
    <w:rsid w:val="00BB14E6"/>
    <w:rsid w:val="00BB1630"/>
    <w:rsid w:val="00BB4381"/>
    <w:rsid w:val="00BB6860"/>
    <w:rsid w:val="00BC3256"/>
    <w:rsid w:val="00BC3592"/>
    <w:rsid w:val="00BC36DF"/>
    <w:rsid w:val="00BC4B41"/>
    <w:rsid w:val="00BC66ED"/>
    <w:rsid w:val="00BD11D3"/>
    <w:rsid w:val="00BD2B47"/>
    <w:rsid w:val="00BD2CAA"/>
    <w:rsid w:val="00BD3B65"/>
    <w:rsid w:val="00BD4EF9"/>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FDA"/>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2A72"/>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2EF0"/>
    <w:rsid w:val="00CF61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5E79"/>
    <w:rsid w:val="00D839C5"/>
    <w:rsid w:val="00D84043"/>
    <w:rsid w:val="00D91348"/>
    <w:rsid w:val="00D9566D"/>
    <w:rsid w:val="00DA0EF7"/>
    <w:rsid w:val="00DA4B3F"/>
    <w:rsid w:val="00DA4EB6"/>
    <w:rsid w:val="00DA5F0C"/>
    <w:rsid w:val="00DB20EB"/>
    <w:rsid w:val="00DB33F6"/>
    <w:rsid w:val="00DB38CC"/>
    <w:rsid w:val="00DB5946"/>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2FB7"/>
    <w:rsid w:val="00DE419E"/>
    <w:rsid w:val="00DE44C3"/>
    <w:rsid w:val="00DE4D5E"/>
    <w:rsid w:val="00DF139C"/>
    <w:rsid w:val="00DF7D53"/>
    <w:rsid w:val="00E12F22"/>
    <w:rsid w:val="00E159BC"/>
    <w:rsid w:val="00E165FC"/>
    <w:rsid w:val="00E168D7"/>
    <w:rsid w:val="00E23A47"/>
    <w:rsid w:val="00E23E0E"/>
    <w:rsid w:val="00E2482B"/>
    <w:rsid w:val="00E2592B"/>
    <w:rsid w:val="00E25D98"/>
    <w:rsid w:val="00E264F8"/>
    <w:rsid w:val="00E30C52"/>
    <w:rsid w:val="00E33666"/>
    <w:rsid w:val="00E3771A"/>
    <w:rsid w:val="00E40B45"/>
    <w:rsid w:val="00E41637"/>
    <w:rsid w:val="00E47FE1"/>
    <w:rsid w:val="00E50C30"/>
    <w:rsid w:val="00E51410"/>
    <w:rsid w:val="00E515E7"/>
    <w:rsid w:val="00E53686"/>
    <w:rsid w:val="00E5580D"/>
    <w:rsid w:val="00E56402"/>
    <w:rsid w:val="00E564F1"/>
    <w:rsid w:val="00E56CB5"/>
    <w:rsid w:val="00E61828"/>
    <w:rsid w:val="00E624CA"/>
    <w:rsid w:val="00E65E56"/>
    <w:rsid w:val="00E664D0"/>
    <w:rsid w:val="00E66F94"/>
    <w:rsid w:val="00E670E5"/>
    <w:rsid w:val="00E6767D"/>
    <w:rsid w:val="00E717C1"/>
    <w:rsid w:val="00E71E63"/>
    <w:rsid w:val="00E76D4C"/>
    <w:rsid w:val="00E81786"/>
    <w:rsid w:val="00E85DE5"/>
    <w:rsid w:val="00E87D5C"/>
    <w:rsid w:val="00E90EC0"/>
    <w:rsid w:val="00E944C1"/>
    <w:rsid w:val="00E97D8B"/>
    <w:rsid w:val="00EA0862"/>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68C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505"/>
    <w:rsid w:val="00F40C6B"/>
    <w:rsid w:val="00F41113"/>
    <w:rsid w:val="00F44385"/>
    <w:rsid w:val="00F45C61"/>
    <w:rsid w:val="00F471F2"/>
    <w:rsid w:val="00F51138"/>
    <w:rsid w:val="00F5306F"/>
    <w:rsid w:val="00F532A6"/>
    <w:rsid w:val="00F569D6"/>
    <w:rsid w:val="00F57FCC"/>
    <w:rsid w:val="00F605E7"/>
    <w:rsid w:val="00F61907"/>
    <w:rsid w:val="00F61AB2"/>
    <w:rsid w:val="00F65464"/>
    <w:rsid w:val="00F70E1C"/>
    <w:rsid w:val="00F72FCE"/>
    <w:rsid w:val="00F734F9"/>
    <w:rsid w:val="00F73F90"/>
    <w:rsid w:val="00F74D13"/>
    <w:rsid w:val="00F80FBD"/>
    <w:rsid w:val="00F81AC8"/>
    <w:rsid w:val="00F849FF"/>
    <w:rsid w:val="00F86F58"/>
    <w:rsid w:val="00F936BB"/>
    <w:rsid w:val="00F93BAD"/>
    <w:rsid w:val="00F941DD"/>
    <w:rsid w:val="00F95311"/>
    <w:rsid w:val="00F95F8F"/>
    <w:rsid w:val="00FA0A18"/>
    <w:rsid w:val="00FA1BBD"/>
    <w:rsid w:val="00FA565D"/>
    <w:rsid w:val="00FA70EC"/>
    <w:rsid w:val="00FB4AD7"/>
    <w:rsid w:val="00FC1707"/>
    <w:rsid w:val="00FC1C82"/>
    <w:rsid w:val="00FC1D2F"/>
    <w:rsid w:val="00FC45AC"/>
    <w:rsid w:val="00FC4CFF"/>
    <w:rsid w:val="00FC5DE9"/>
    <w:rsid w:val="00FD0415"/>
    <w:rsid w:val="00FD44E2"/>
    <w:rsid w:val="00FD48FA"/>
    <w:rsid w:val="00FD73C3"/>
    <w:rsid w:val="00FE2FD3"/>
    <w:rsid w:val="00FE3A4C"/>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D44C98"/>
  <w15:chartTrackingRefBased/>
  <w15:docId w15:val="{4EC3B7D8-6DC3-4984-9B60-384AC1C14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0B77"/>
    <w:rPr>
      <w:rFonts w:ascii="Calibri" w:hAnsi="Calibri" w:cs="Calibri"/>
    </w:rPr>
  </w:style>
  <w:style w:type="paragraph" w:styleId="Heading1">
    <w:name w:val="heading 1"/>
    <w:aliases w:val="Pocket"/>
    <w:basedOn w:val="Normal"/>
    <w:next w:val="Normal"/>
    <w:link w:val="Heading1Char"/>
    <w:qFormat/>
    <w:rsid w:val="006C0B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C0B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No Underline,Char Char Char Char Char Char Char,Text 7,Heading 3 Char Char,Char,Tags v 2,3: Cite,Char1,Underlines,Heading 3 Char3,Bold Cite,Cite 1,Read Char,Foldover,no, Char Char, Char,Read Char Ch,n,Heading 3 - Citation"/>
    <w:basedOn w:val="Normal"/>
    <w:next w:val="Normal"/>
    <w:link w:val="Heading3Char"/>
    <w:uiPriority w:val="2"/>
    <w:qFormat/>
    <w:rsid w:val="006C0B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3"/>
    <w:qFormat/>
    <w:rsid w:val="006C0B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C0B7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40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C0B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0B77"/>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6C0B7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C0B77"/>
    <w:rPr>
      <w:color w:val="auto"/>
      <w:u w:val="none"/>
    </w:rPr>
  </w:style>
  <w:style w:type="character" w:customStyle="1" w:styleId="Heading1Char">
    <w:name w:val="Heading 1 Char"/>
    <w:aliases w:val="Pocket Char"/>
    <w:basedOn w:val="DefaultParagraphFont"/>
    <w:link w:val="Heading1"/>
    <w:rsid w:val="006C0B7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C0B77"/>
    <w:rPr>
      <w:rFonts w:ascii="Calibri" w:eastAsiaTheme="majorEastAsia" w:hAnsi="Calibri" w:cstheme="majorBidi"/>
      <w:b/>
      <w:sz w:val="44"/>
      <w:szCs w:val="26"/>
      <w:u w:val="double"/>
    </w:rPr>
  </w:style>
  <w:style w:type="character" w:customStyle="1" w:styleId="Heading3Char">
    <w:name w:val="Heading 3 Char"/>
    <w:aliases w:val="Block Char,!!Heading 3 Char,No Underline Char,Char Char Char Char Char Char Char Char,Text 7 Char,Heading 3 Char Char Char,Char Char,Tags v 2 Char,3: Cite Char,Char1 Char,Underlines Char,Heading 3 Char3 Char,Bold Cite Char,Cite 1 Char"/>
    <w:basedOn w:val="DefaultParagraphFont"/>
    <w:link w:val="Heading3"/>
    <w:uiPriority w:val="2"/>
    <w:rsid w:val="006C0B7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6C0B7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C0B77"/>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Intense Emphasis111,Intense Emphasis1111,Intense Emphasis3,Intense Emphasis11111,ci"/>
    <w:basedOn w:val="DefaultParagraphFont"/>
    <w:uiPriority w:val="7"/>
    <w:qFormat/>
    <w:rsid w:val="006C0B77"/>
    <w:rPr>
      <w:b w:val="0"/>
      <w:sz w:val="22"/>
      <w:u w:val="single"/>
    </w:rPr>
  </w:style>
  <w:style w:type="character" w:styleId="Strong">
    <w:name w:val="Strong"/>
    <w:basedOn w:val="DefaultParagraphFont"/>
    <w:uiPriority w:val="22"/>
    <w:qFormat/>
    <w:rsid w:val="006C0B77"/>
    <w:rPr>
      <w:b/>
      <w:bCs/>
    </w:rPr>
  </w:style>
  <w:style w:type="character" w:styleId="BookTitle">
    <w:name w:val="Book Title"/>
    <w:basedOn w:val="DefaultParagraphFont"/>
    <w:uiPriority w:val="33"/>
    <w:qFormat/>
    <w:rsid w:val="006C0B77"/>
    <w:rPr>
      <w:b/>
      <w:bCs/>
      <w:i/>
      <w:iCs/>
      <w:spacing w:val="5"/>
    </w:rPr>
  </w:style>
  <w:style w:type="character" w:customStyle="1" w:styleId="Heading5Char">
    <w:name w:val="Heading 5 Char"/>
    <w:basedOn w:val="DefaultParagraphFont"/>
    <w:link w:val="Heading5"/>
    <w:uiPriority w:val="9"/>
    <w:semiHidden/>
    <w:rsid w:val="006C0B7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C0B77"/>
  </w:style>
  <w:style w:type="paragraph" w:styleId="Header">
    <w:name w:val="header"/>
    <w:basedOn w:val="Normal"/>
    <w:link w:val="HeaderChar"/>
    <w:uiPriority w:val="99"/>
    <w:semiHidden/>
    <w:rsid w:val="006C0B7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0B77"/>
    <w:rPr>
      <w:rFonts w:ascii="Calibri" w:hAnsi="Calibri" w:cs="Calibri"/>
    </w:rPr>
  </w:style>
  <w:style w:type="paragraph" w:styleId="Footer">
    <w:name w:val="footer"/>
    <w:basedOn w:val="Normal"/>
    <w:link w:val="FooterChar"/>
    <w:uiPriority w:val="99"/>
    <w:semiHidden/>
    <w:rsid w:val="006C0B7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C0B77"/>
    <w:rPr>
      <w:rFonts w:ascii="Calibri" w:hAnsi="Calibri" w:cs="Calibri"/>
    </w:rPr>
  </w:style>
  <w:style w:type="paragraph" w:styleId="BodyText">
    <w:name w:val="Body Text"/>
    <w:basedOn w:val="Normal"/>
    <w:link w:val="BodyTextChar"/>
    <w:uiPriority w:val="99"/>
    <w:semiHidden/>
    <w:unhideWhenUsed/>
    <w:rsid w:val="006C0B77"/>
    <w:pPr>
      <w:spacing w:after="120"/>
    </w:pPr>
  </w:style>
  <w:style w:type="character" w:customStyle="1" w:styleId="BodyTextChar">
    <w:name w:val="Body Text Char"/>
    <w:basedOn w:val="DefaultParagraphFont"/>
    <w:link w:val="BodyText"/>
    <w:uiPriority w:val="99"/>
    <w:semiHidden/>
    <w:rsid w:val="006C0B77"/>
    <w:rPr>
      <w:rFonts w:ascii="Calibri" w:hAnsi="Calibri" w:cs="Calibri"/>
    </w:rPr>
  </w:style>
  <w:style w:type="paragraph" w:styleId="NoSpacing">
    <w:name w:val="No Spacing"/>
    <w:link w:val="NoSpacingChar"/>
    <w:uiPriority w:val="99"/>
    <w:unhideWhenUsed/>
    <w:qFormat/>
    <w:rsid w:val="006C0B7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C0B7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Card"/>
    <w:uiPriority w:val="99"/>
    <w:unhideWhenUsed/>
    <w:rsid w:val="006C0B77"/>
    <w:rPr>
      <w:color w:val="0563C1" w:themeColor="hyperlink"/>
      <w:u w:val="single"/>
    </w:rPr>
  </w:style>
  <w:style w:type="character" w:styleId="UnresolvedMention">
    <w:name w:val="Unresolved Mention"/>
    <w:basedOn w:val="DefaultParagraphFont"/>
    <w:uiPriority w:val="99"/>
    <w:semiHidden/>
    <w:unhideWhenUsed/>
    <w:rsid w:val="006C0B77"/>
    <w:rPr>
      <w:color w:val="605E5C"/>
      <w:shd w:val="clear" w:color="auto" w:fill="E1DFDD"/>
    </w:rPr>
  </w:style>
  <w:style w:type="character" w:customStyle="1" w:styleId="Heading6Char">
    <w:name w:val="Heading 6 Char"/>
    <w:basedOn w:val="DefaultParagraphFont"/>
    <w:link w:val="Heading6"/>
    <w:uiPriority w:val="9"/>
    <w:semiHidden/>
    <w:rsid w:val="00A40A4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40A4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40A4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40A4C"/>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A40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A4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40A4C"/>
    <w:pPr>
      <w:spacing w:before="160"/>
      <w:jc w:val="center"/>
    </w:pPr>
    <w:rPr>
      <w:i/>
      <w:iCs/>
      <w:color w:val="404040" w:themeColor="text1" w:themeTint="BF"/>
    </w:rPr>
  </w:style>
  <w:style w:type="character" w:customStyle="1" w:styleId="QuoteChar">
    <w:name w:val="Quote Char"/>
    <w:basedOn w:val="DefaultParagraphFont"/>
    <w:link w:val="Quote"/>
    <w:uiPriority w:val="29"/>
    <w:rsid w:val="00A40A4C"/>
    <w:rPr>
      <w:rFonts w:ascii="Calibri" w:hAnsi="Calibri" w:cs="Calibri"/>
      <w:i/>
      <w:iCs/>
      <w:color w:val="404040" w:themeColor="text1" w:themeTint="BF"/>
    </w:rPr>
  </w:style>
  <w:style w:type="paragraph" w:styleId="ListParagraph">
    <w:name w:val="List Paragraph"/>
    <w:basedOn w:val="Normal"/>
    <w:uiPriority w:val="34"/>
    <w:qFormat/>
    <w:rsid w:val="00A40A4C"/>
    <w:pPr>
      <w:ind w:left="720"/>
      <w:contextualSpacing/>
    </w:pPr>
  </w:style>
  <w:style w:type="character" w:styleId="IntenseEmphasis">
    <w:name w:val="Intense Emphasis"/>
    <w:aliases w:val="8"/>
    <w:basedOn w:val="DefaultParagraphFont"/>
    <w:uiPriority w:val="6"/>
    <w:qFormat/>
    <w:rsid w:val="00A40A4C"/>
    <w:rPr>
      <w:i/>
      <w:iCs/>
      <w:color w:val="2F5496" w:themeColor="accent1" w:themeShade="BF"/>
    </w:rPr>
  </w:style>
  <w:style w:type="paragraph" w:styleId="IntenseQuote">
    <w:name w:val="Intense Quote"/>
    <w:basedOn w:val="Normal"/>
    <w:next w:val="Normal"/>
    <w:link w:val="IntenseQuoteChar"/>
    <w:uiPriority w:val="30"/>
    <w:qFormat/>
    <w:rsid w:val="00A40A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A4C"/>
    <w:rPr>
      <w:rFonts w:ascii="Calibri" w:hAnsi="Calibri" w:cs="Calibri"/>
      <w:i/>
      <w:iCs/>
      <w:color w:val="2F5496" w:themeColor="accent1" w:themeShade="BF"/>
    </w:rPr>
  </w:style>
  <w:style w:type="character" w:styleId="IntenseReference">
    <w:name w:val="Intense Reference"/>
    <w:basedOn w:val="DefaultParagraphFont"/>
    <w:uiPriority w:val="32"/>
    <w:qFormat/>
    <w:rsid w:val="00A40A4C"/>
    <w:rPr>
      <w:b/>
      <w:bCs/>
      <w:smallCaps/>
      <w:color w:val="2F5496" w:themeColor="accent1" w:themeShade="BF"/>
      <w:spacing w:val="5"/>
    </w:rPr>
  </w:style>
  <w:style w:type="paragraph" w:customStyle="1" w:styleId="textbold">
    <w:name w:val="text bold"/>
    <w:basedOn w:val="Normal"/>
    <w:link w:val="Emphasis"/>
    <w:uiPriority w:val="8"/>
    <w:qFormat/>
    <w:rsid w:val="00FA565D"/>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styleId="NormalWeb">
    <w:name w:val="Normal (Web)"/>
    <w:basedOn w:val="Normal"/>
    <w:uiPriority w:val="99"/>
    <w:unhideWhenUsed/>
    <w:rsid w:val="00D75E79"/>
    <w:pPr>
      <w:spacing w:before="100" w:beforeAutospacing="1" w:after="100" w:afterAutospacing="1"/>
    </w:pPr>
  </w:style>
  <w:style w:type="paragraph" w:customStyle="1" w:styleId="card0">
    <w:name w:val="card"/>
    <w:aliases w:val="Medium Grid 21"/>
    <w:basedOn w:val="Normal"/>
    <w:next w:val="Normal"/>
    <w:uiPriority w:val="7"/>
    <w:qFormat/>
    <w:rsid w:val="00511E26"/>
    <w:pPr>
      <w:ind w:left="288" w:right="288"/>
    </w:pPr>
    <w:rPr>
      <w:rFonts w:asciiTheme="minorHAnsi" w:hAnsiTheme="minorHAnsi" w:cstheme="minorBidi"/>
      <w:u w:val="single"/>
    </w:rPr>
  </w:style>
  <w:style w:type="paragraph" w:customStyle="1" w:styleId="Emphasis1">
    <w:name w:val="Emphasis1"/>
    <w:basedOn w:val="Normal"/>
    <w:autoRedefine/>
    <w:uiPriority w:val="8"/>
    <w:qFormat/>
    <w:rsid w:val="008E74A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basedOn w:val="Heading1"/>
    <w:link w:val="Hyperlink"/>
    <w:autoRedefine/>
    <w:uiPriority w:val="99"/>
    <w:qFormat/>
    <w:rsid w:val="008E74A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pple-converted-space">
    <w:name w:val="apple-converted-space"/>
    <w:basedOn w:val="DefaultParagraphFont"/>
    <w:rsid w:val="008E74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676539510">
      <w:bodyDiv w:val="1"/>
      <w:marLeft w:val="0"/>
      <w:marRight w:val="0"/>
      <w:marTop w:val="0"/>
      <w:marBottom w:val="0"/>
      <w:divBdr>
        <w:top w:val="none" w:sz="0" w:space="0" w:color="auto"/>
        <w:left w:val="none" w:sz="0" w:space="0" w:color="auto"/>
        <w:bottom w:val="none" w:sz="0" w:space="0" w:color="auto"/>
        <w:right w:val="none" w:sz="0" w:space="0" w:color="auto"/>
      </w:divBdr>
    </w:div>
    <w:div w:id="955327708">
      <w:bodyDiv w:val="1"/>
      <w:marLeft w:val="0"/>
      <w:marRight w:val="0"/>
      <w:marTop w:val="0"/>
      <w:marBottom w:val="0"/>
      <w:divBdr>
        <w:top w:val="none" w:sz="0" w:space="0" w:color="auto"/>
        <w:left w:val="none" w:sz="0" w:space="0" w:color="auto"/>
        <w:bottom w:val="none" w:sz="0" w:space="0" w:color="auto"/>
        <w:right w:val="none" w:sz="0" w:space="0" w:color="auto"/>
      </w:divBdr>
    </w:div>
    <w:div w:id="1389180506">
      <w:bodyDiv w:val="1"/>
      <w:marLeft w:val="0"/>
      <w:marRight w:val="0"/>
      <w:marTop w:val="0"/>
      <w:marBottom w:val="0"/>
      <w:divBdr>
        <w:top w:val="none" w:sz="0" w:space="0" w:color="auto"/>
        <w:left w:val="none" w:sz="0" w:space="0" w:color="auto"/>
        <w:bottom w:val="none" w:sz="0" w:space="0" w:color="auto"/>
        <w:right w:val="none" w:sz="0" w:space="0" w:color="auto"/>
      </w:divBdr>
    </w:div>
    <w:div w:id="2140028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ssex.figshare.com/articles/thesis/Intellectual_property_and_the_genetic_dispositif_of_life_the_changing_role_of_intellectual_property_law_in_governing_participation_and_knowledge_in_the_bioeconomy/23430041" TargetMode="External"/><Relationship Id="rId13" Type="http://schemas.openxmlformats.org/officeDocument/2006/relationships/hyperlink" Target="http://www.geneticsandsociety.org/downloads/Biopolitics_Essay.pdf" TargetMode="External"/><Relationship Id="rId18" Type="http://schemas.openxmlformats.org/officeDocument/2006/relationships/hyperlink" Target="https://homepublishing.com.br/index.php/cadernodeanais/article/view/57%5d//InT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ssex.figshare.com/articles/thesis/Intellectual_property_and_the_genetic_dispositif_of_life_the_changing_role_of_intellectual_property_law_in_governing_participation_and_knowledge_in_the_bioeconomy/23430041" TargetMode="External"/><Relationship Id="rId17" Type="http://schemas.openxmlformats.org/officeDocument/2006/relationships/hyperlink" Target="https://doi.org/10.1177/0735275116678998" TargetMode="External"/><Relationship Id="rId2" Type="http://schemas.openxmlformats.org/officeDocument/2006/relationships/numbering" Target="numbering.xml"/><Relationship Id="rId16" Type="http://schemas.openxmlformats.org/officeDocument/2006/relationships/hyperlink" Target="https://sussex.figshare.com/articles/thesis/Intellectual_property_and_the_genetic_dispositif_of_life_the_changing_role_of_intellectual_property_law_in_governing_participation_and_knowledge_in_the_bioeconomy/2343004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93/acrefore/9780190854584.013.115" TargetMode="External"/><Relationship Id="rId5" Type="http://schemas.openxmlformats.org/officeDocument/2006/relationships/webSettings" Target="webSettings.xml"/><Relationship Id="rId15" Type="http://schemas.openxmlformats.org/officeDocument/2006/relationships/hyperlink" Target="https://www.academia.edu/679231/_Foucaults_Genealogy_" TargetMode="External"/><Relationship Id="rId10" Type="http://schemas.openxmlformats.org/officeDocument/2006/relationships/hyperlink" Target="http://nationalinterest.org/blog/the-skeptics/endless-war-no-honor-americas-veterans-23261?page=show"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ciencedirect.com/science/article/pii/S0160791X22001464" TargetMode="External"/><Relationship Id="rId14" Type="http://schemas.openxmlformats.org/officeDocument/2006/relationships/hyperlink" Target="https://www.academia.edu/679231/_Foucaults_Genealogy_"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gh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4299</TotalTime>
  <Pages>1</Pages>
  <Words>90679</Words>
  <Characters>516875</Characters>
  <Application>Microsoft Office Word</Application>
  <DocSecurity>0</DocSecurity>
  <Lines>4307</Lines>
  <Paragraphs>1212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Lucia Scott</dc:creator>
  <cp:keywords>6.0.0</cp:keywords>
  <dc:description/>
  <cp:lastModifiedBy>Lucia Scott</cp:lastModifiedBy>
  <cp:revision>10</cp:revision>
  <dcterms:created xsi:type="dcterms:W3CDTF">2024-07-12T21:49:00Z</dcterms:created>
  <dcterms:modified xsi:type="dcterms:W3CDTF">2024-07-16T20:32:00Z</dcterms:modified>
</cp:coreProperties>
</file>