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4D2534" w14:textId="77777777" w:rsidR="00215BDB" w:rsidRDefault="00215BDB" w:rsidP="00215BDB">
      <w:pPr>
        <w:pStyle w:val="Heading1"/>
      </w:pPr>
      <w:r>
        <w:t>Public Interest PIC</w:t>
      </w:r>
    </w:p>
    <w:p w14:paraId="7898F0F0" w14:textId="77777777" w:rsidR="00215BDB" w:rsidRDefault="00215BDB" w:rsidP="00215BDB">
      <w:pPr>
        <w:pStyle w:val="Heading4"/>
      </w:pPr>
      <w:r>
        <w:t>Notes</w:t>
      </w:r>
    </w:p>
    <w:p w14:paraId="1E60181B" w14:textId="77777777" w:rsidR="00215BDB" w:rsidRDefault="00215BDB" w:rsidP="00215BDB">
      <w:r>
        <w:t xml:space="preserve">You should use this file in conjunction with the Public Interest DA, specifically the Green Tech arguments. </w:t>
      </w:r>
    </w:p>
    <w:p w14:paraId="67899375" w14:textId="77777777" w:rsidR="00215BDB" w:rsidRPr="00E65AD7" w:rsidRDefault="00215BDB" w:rsidP="00215BDB">
      <w:r>
        <w:t>This</w:t>
      </w:r>
      <w:r w:rsidRPr="00E65AD7">
        <w:t xml:space="preserve"> CP pics out of the “presumptive” remedy of injunctions, and instead creates a new standard for courts to use to determine if the injunction should be granted. Specifically, it reverses 3 out of the 4 prongs established in eBay but keeps the “public interest” standard. The CP would increase the authority of the courts to issue injunctions (sufficient to solve the aff) but preserve</w:t>
      </w:r>
      <w:r>
        <w:t>s</w:t>
      </w:r>
      <w:r w:rsidRPr="00E65AD7">
        <w:t xml:space="preserve"> the courts ability to use the “public interest” standard to let helpful technology stay in production (like green tech)</w:t>
      </w:r>
      <w:r>
        <w:t xml:space="preserve">. The Public Interest DA is the net-benefit. </w:t>
      </w:r>
    </w:p>
    <w:p w14:paraId="23EACC91" w14:textId="77777777" w:rsidR="00215BDB" w:rsidRDefault="00215BDB" w:rsidP="00215BDB">
      <w:pPr>
        <w:pStyle w:val="Heading2"/>
      </w:pPr>
      <w:r>
        <w:lastRenderedPageBreak/>
        <w:t>Neg</w:t>
      </w:r>
    </w:p>
    <w:p w14:paraId="01B6A115" w14:textId="4D6905EF" w:rsidR="00215BDB" w:rsidRDefault="00215BDB" w:rsidP="00215BDB">
      <w:pPr>
        <w:pStyle w:val="Heading3"/>
      </w:pPr>
      <w:r>
        <w:lastRenderedPageBreak/>
        <w:t>1</w:t>
      </w:r>
      <w:r w:rsidR="002B5286">
        <w:t>NC</w:t>
      </w:r>
    </w:p>
    <w:p w14:paraId="564E6444" w14:textId="77777777" w:rsidR="00215BDB" w:rsidRDefault="00215BDB" w:rsidP="00215BDB">
      <w:pPr>
        <w:pStyle w:val="Heading4"/>
      </w:pPr>
      <w:r>
        <w:t xml:space="preserve">Text: </w:t>
      </w:r>
      <w:r w:rsidRPr="00D6524C">
        <w:t xml:space="preserve">The United States federal government should </w:t>
      </w:r>
      <w:r w:rsidRPr="00195920">
        <w:t xml:space="preserve">restore the general rule for injunctive relief </w:t>
      </w:r>
      <w:r>
        <w:t xml:space="preserve">in patent cases </w:t>
      </w:r>
      <w:r w:rsidRPr="00195920">
        <w:t xml:space="preserve">except </w:t>
      </w:r>
      <w:r>
        <w:t>in instances where “the</w:t>
      </w:r>
      <w:r w:rsidRPr="00195920">
        <w:t xml:space="preserve"> public interest would be disserved by” the issuance of an injunction</w:t>
      </w:r>
      <w:r>
        <w:t xml:space="preserve">. </w:t>
      </w:r>
    </w:p>
    <w:p w14:paraId="1869630B" w14:textId="77777777" w:rsidR="00215BDB" w:rsidRDefault="00215BDB" w:rsidP="00215BDB"/>
    <w:p w14:paraId="1E095B6A" w14:textId="77777777" w:rsidR="00215BDB" w:rsidRDefault="00215BDB" w:rsidP="00215BDB">
      <w:pPr>
        <w:pStyle w:val="Heading4"/>
      </w:pPr>
      <w:r>
        <w:t xml:space="preserve">The CP is possible, plan minus, and solvent. </w:t>
      </w:r>
    </w:p>
    <w:p w14:paraId="6804B0BF" w14:textId="77777777" w:rsidR="00215BDB" w:rsidRDefault="00215BDB" w:rsidP="00215BDB">
      <w:proofErr w:type="spellStart"/>
      <w:r w:rsidRPr="00E65AD7">
        <w:rPr>
          <w:rStyle w:val="Style13ptBold"/>
        </w:rPr>
        <w:t>Sease</w:t>
      </w:r>
      <w:proofErr w:type="spellEnd"/>
      <w:r w:rsidRPr="00E65AD7">
        <w:rPr>
          <w:rStyle w:val="Style13ptBold"/>
        </w:rPr>
        <w:t xml:space="preserve"> '21</w:t>
      </w:r>
      <w:r w:rsidRPr="00E65AD7">
        <w:t xml:space="preserve"> (Edmund, Professor of Patent Law at Drake University</w:t>
      </w:r>
      <w:r>
        <w:t xml:space="preserve">, “Court Decisions and Recent Legislation Are Creating a "Perfect Storm" Incentive for Inventors to Rely on Trade Secrets, Not Patents.” </w:t>
      </w:r>
      <w:r w:rsidRPr="00E65AD7">
        <w:t>69 Drake L. Rev. 53 (2021)</w:t>
      </w:r>
      <w:r>
        <w:t xml:space="preserve">, </w:t>
      </w:r>
      <w:hyperlink r:id="rId8" w:history="1">
        <w:r w:rsidRPr="00144ACD">
          <w:rPr>
            <w:rStyle w:val="Hyperlink"/>
          </w:rPr>
          <w:t>https://drakelawreview.org/wp-content/uploads/2021/06/sease-final.pdf</w:t>
        </w:r>
      </w:hyperlink>
      <w:r>
        <w:t>)</w:t>
      </w:r>
    </w:p>
    <w:p w14:paraId="16FD74EB" w14:textId="77777777" w:rsidR="00215BDB" w:rsidRDefault="00215BDB" w:rsidP="00215BDB">
      <w:pPr>
        <w:rPr>
          <w:rStyle w:val="StyleUnderline"/>
        </w:rPr>
      </w:pPr>
      <w:r w:rsidRPr="00E65AD7">
        <w:rPr>
          <w:sz w:val="16"/>
        </w:rPr>
        <w:t xml:space="preserve">IX. </w:t>
      </w:r>
      <w:r w:rsidRPr="002B5286">
        <w:rPr>
          <w:rStyle w:val="StyleUnderline"/>
          <w:highlight w:val="cyan"/>
        </w:rPr>
        <w:t>NEEDED</w:t>
      </w:r>
      <w:r w:rsidRPr="00E65AD7">
        <w:rPr>
          <w:rStyle w:val="StyleUnderline"/>
        </w:rPr>
        <w:t xml:space="preserve"> CONGRESSIONAL </w:t>
      </w:r>
      <w:r w:rsidRPr="002B5286">
        <w:rPr>
          <w:rStyle w:val="StyleUnderline"/>
          <w:highlight w:val="cyan"/>
        </w:rPr>
        <w:t>ACTION</w:t>
      </w:r>
      <w:r w:rsidRPr="00E65AD7">
        <w:rPr>
          <w:rStyle w:val="StyleUnderline"/>
        </w:rPr>
        <w:t xml:space="preserve"> </w:t>
      </w:r>
    </w:p>
    <w:p w14:paraId="147B1392" w14:textId="77777777" w:rsidR="00215BDB" w:rsidRPr="00E65AD7" w:rsidRDefault="00215BDB" w:rsidP="00215BDB">
      <w:pPr>
        <w:rPr>
          <w:sz w:val="16"/>
        </w:rPr>
      </w:pPr>
      <w:r w:rsidRPr="00E65AD7">
        <w:rPr>
          <w:rStyle w:val="StyleUnderline"/>
        </w:rPr>
        <w:t xml:space="preserve">Two </w:t>
      </w:r>
      <w:r w:rsidRPr="002B5286">
        <w:rPr>
          <w:rStyle w:val="StyleUnderline"/>
          <w:highlight w:val="cyan"/>
        </w:rPr>
        <w:t>simple laws will rebalance the equation in favor of patents</w:t>
      </w:r>
      <w:r w:rsidRPr="00E65AD7">
        <w:rPr>
          <w:sz w:val="16"/>
        </w:rPr>
        <w:t xml:space="preserve">, as Article 1, section 8, clause 8 intends: </w:t>
      </w:r>
    </w:p>
    <w:p w14:paraId="50AA845B" w14:textId="77777777" w:rsidR="00215BDB" w:rsidRPr="00E65AD7" w:rsidRDefault="00215BDB" w:rsidP="00215BDB">
      <w:pPr>
        <w:rPr>
          <w:sz w:val="16"/>
        </w:rPr>
      </w:pPr>
      <w:r w:rsidRPr="00E65AD7">
        <w:rPr>
          <w:sz w:val="16"/>
        </w:rPr>
        <w:t xml:space="preserve">1. Legislatively overrule </w:t>
      </w:r>
      <w:proofErr w:type="gramStart"/>
      <w:r w:rsidRPr="00E65AD7">
        <w:rPr>
          <w:sz w:val="16"/>
        </w:rPr>
        <w:t>In</w:t>
      </w:r>
      <w:proofErr w:type="gramEnd"/>
      <w:r w:rsidRPr="00E65AD7">
        <w:rPr>
          <w:sz w:val="16"/>
        </w:rPr>
        <w:t xml:space="preserve"> re </w:t>
      </w:r>
      <w:proofErr w:type="spellStart"/>
      <w:r w:rsidRPr="00E65AD7">
        <w:rPr>
          <w:sz w:val="16"/>
        </w:rPr>
        <w:t>Etter</w:t>
      </w:r>
      <w:proofErr w:type="spellEnd"/>
      <w:r w:rsidRPr="00E65AD7">
        <w:rPr>
          <w:sz w:val="16"/>
        </w:rPr>
        <w:t xml:space="preserve"> and restore the presumption of validity in all post patent issuance examination proceedings;147 and </w:t>
      </w:r>
    </w:p>
    <w:p w14:paraId="38A4795E" w14:textId="77777777" w:rsidR="00215BDB" w:rsidRPr="00E65AD7" w:rsidRDefault="00215BDB" w:rsidP="00215BDB">
      <w:pPr>
        <w:rPr>
          <w:sz w:val="16"/>
        </w:rPr>
      </w:pPr>
      <w:r w:rsidRPr="00E65AD7">
        <w:rPr>
          <w:sz w:val="16"/>
        </w:rPr>
        <w:t xml:space="preserve">2. </w:t>
      </w:r>
      <w:r w:rsidRPr="00E65AD7">
        <w:rPr>
          <w:rStyle w:val="StyleUnderline"/>
        </w:rPr>
        <w:t xml:space="preserve">Legislatively </w:t>
      </w:r>
      <w:r w:rsidRPr="002B5286">
        <w:rPr>
          <w:rStyle w:val="StyleUnderline"/>
          <w:highlight w:val="cyan"/>
        </w:rPr>
        <w:t xml:space="preserve">overrule </w:t>
      </w:r>
      <w:r w:rsidRPr="002B5286">
        <w:rPr>
          <w:rStyle w:val="StyleUnderline"/>
          <w:i/>
          <w:iCs/>
          <w:highlight w:val="cyan"/>
        </w:rPr>
        <w:t>eBay</w:t>
      </w:r>
      <w:r w:rsidRPr="002B5286">
        <w:rPr>
          <w:sz w:val="16"/>
          <w:highlight w:val="cyan"/>
        </w:rPr>
        <w:t xml:space="preserve">, </w:t>
      </w:r>
      <w:r w:rsidRPr="002B5286">
        <w:rPr>
          <w:rStyle w:val="StyleUnderline"/>
          <w:highlight w:val="cyan"/>
        </w:rPr>
        <w:t>restoring the general rule for injunctive relief in patent cases</w:t>
      </w:r>
      <w:r w:rsidRPr="00E65AD7">
        <w:rPr>
          <w:rStyle w:val="StyleUnderline"/>
        </w:rPr>
        <w:t xml:space="preserve"> when infringement and validity issues are won by the patentee.</w:t>
      </w:r>
      <w:r w:rsidRPr="00E65AD7">
        <w:rPr>
          <w:sz w:val="16"/>
        </w:rPr>
        <w:t xml:space="preserve">148 </w:t>
      </w:r>
    </w:p>
    <w:p w14:paraId="18D0CA9E" w14:textId="77777777" w:rsidR="00215BDB" w:rsidRPr="00E65AD7" w:rsidRDefault="00215BDB" w:rsidP="00215BDB">
      <w:pPr>
        <w:rPr>
          <w:sz w:val="16"/>
        </w:rPr>
      </w:pPr>
      <w:r w:rsidRPr="00E65AD7">
        <w:rPr>
          <w:rStyle w:val="StyleUnderline"/>
        </w:rPr>
        <w:t xml:space="preserve">Legislatively overruling court decisions is not a new thought and has been </w:t>
      </w:r>
      <w:r w:rsidRPr="002B5286">
        <w:rPr>
          <w:rStyle w:val="StyleUnderline"/>
          <w:highlight w:val="cyan"/>
        </w:rPr>
        <w:t>done</w:t>
      </w:r>
      <w:r w:rsidRPr="00E65AD7">
        <w:rPr>
          <w:rStyle w:val="StyleUnderline"/>
        </w:rPr>
        <w:t xml:space="preserve"> before </w:t>
      </w:r>
      <w:r w:rsidRPr="002B5286">
        <w:rPr>
          <w:rStyle w:val="StyleUnderline"/>
          <w:highlight w:val="cyan"/>
        </w:rPr>
        <w:t>to cure incorrect thinking</w:t>
      </w:r>
      <w:r w:rsidRPr="00E65AD7">
        <w:rPr>
          <w:rStyle w:val="StyleUnderline"/>
        </w:rPr>
        <w:t xml:space="preserve"> in patent cases.</w:t>
      </w:r>
      <w:r w:rsidRPr="00E65AD7">
        <w:rPr>
          <w:sz w:val="16"/>
        </w:rPr>
        <w:t xml:space="preserve"> For example, in the </w:t>
      </w:r>
      <w:proofErr w:type="spellStart"/>
      <w:r w:rsidRPr="00E65AD7">
        <w:rPr>
          <w:sz w:val="16"/>
        </w:rPr>
        <w:t>Cuno</w:t>
      </w:r>
      <w:proofErr w:type="spellEnd"/>
      <w:r w:rsidRPr="00E65AD7">
        <w:rPr>
          <w:sz w:val="16"/>
        </w:rPr>
        <w:t xml:space="preserve"> Engineering Corp. v. Automatic Devices Corp. opinion, written by Justice William Douglas, the Supreme Court imposed a “ﬂash of genius test” for non-obviousness which was at best a catastrophe.149 The 1952 Patent Act overruled it by saying in 35 U.S.C. § 103, “Patentability shall not be negated by the manner in which the invention was made.”</w:t>
      </w:r>
      <w:r w:rsidRPr="00E65AD7">
        <w:rPr>
          <w:rStyle w:val="StyleUnderline"/>
        </w:rPr>
        <w:t xml:space="preserve">150 In no more words than this, the presumption of </w:t>
      </w:r>
      <w:r w:rsidRPr="002B5286">
        <w:rPr>
          <w:rStyle w:val="StyleUnderline"/>
          <w:highlight w:val="cyan"/>
        </w:rPr>
        <w:t>validity could be restored</w:t>
      </w:r>
      <w:r w:rsidRPr="00E65AD7">
        <w:rPr>
          <w:rStyle w:val="StyleUnderline"/>
        </w:rPr>
        <w:t xml:space="preserve"> by amendment to 35 U.S.C. § 282 for post-issuance examination and the general rule of injunction</w:t>
      </w:r>
      <w:r w:rsidRPr="00E65AD7">
        <w:rPr>
          <w:sz w:val="16"/>
        </w:rPr>
        <w:t xml:space="preserve"> for 35 U.S.C. § 283: </w:t>
      </w:r>
    </w:p>
    <w:p w14:paraId="1CF9BD1B" w14:textId="77777777" w:rsidR="00215BDB" w:rsidRPr="00E65AD7" w:rsidRDefault="00215BDB" w:rsidP="00215BDB">
      <w:pPr>
        <w:rPr>
          <w:sz w:val="16"/>
        </w:rPr>
      </w:pPr>
      <w:r w:rsidRPr="00E65AD7">
        <w:rPr>
          <w:sz w:val="16"/>
        </w:rPr>
        <w:t xml:space="preserve">35 U.S.C. § 282(a): (first sentence amended) (addition underlined) A patent shall be presumed valid in all post issuance proceedings. 35 U.S.C. § 283: (amended, adding new last sentence) (addition underlined) </w:t>
      </w:r>
    </w:p>
    <w:p w14:paraId="33D88702" w14:textId="77777777" w:rsidR="00215BDB" w:rsidRPr="00E65AD7" w:rsidRDefault="00215BDB" w:rsidP="00215BDB">
      <w:pPr>
        <w:rPr>
          <w:sz w:val="16"/>
        </w:rPr>
      </w:pPr>
      <w:r w:rsidRPr="00E65AD7">
        <w:rPr>
          <w:sz w:val="16"/>
        </w:rPr>
        <w:t xml:space="preserve">The several courts having jurisdiction of cases under this title may grant injunctions in accordance with the principles of equity to prevent the violation of any right secured by patent. . . as the court deems reasonable. </w:t>
      </w:r>
      <w:r w:rsidRPr="00E65AD7">
        <w:rPr>
          <w:rStyle w:val="StyleUnderline"/>
        </w:rPr>
        <w:t xml:space="preserve">Only in </w:t>
      </w:r>
      <w:r w:rsidRPr="002B5286">
        <w:rPr>
          <w:rStyle w:val="StyleUnderline"/>
          <w:highlight w:val="cyan"/>
        </w:rPr>
        <w:t>excepti</w:t>
      </w:r>
      <w:r w:rsidRPr="00E65AD7">
        <w:rPr>
          <w:rStyle w:val="StyleUnderline"/>
        </w:rPr>
        <w:t xml:space="preserve">onal </w:t>
      </w:r>
      <w:r w:rsidRPr="002B5286">
        <w:rPr>
          <w:rStyle w:val="Emphasis"/>
          <w:highlight w:val="cyan"/>
        </w:rPr>
        <w:t>public interest</w:t>
      </w:r>
      <w:r w:rsidRPr="002B5286">
        <w:rPr>
          <w:rStyle w:val="StyleUnderline"/>
          <w:highlight w:val="cyan"/>
        </w:rPr>
        <w:t xml:space="preserve"> cases shall an injunction be denied</w:t>
      </w:r>
      <w:r w:rsidRPr="00E65AD7">
        <w:rPr>
          <w:rStyle w:val="StyleUnderline"/>
        </w:rPr>
        <w:t xml:space="preserve"> after a holding of infringement and non-invalidity.</w:t>
      </w:r>
      <w:r w:rsidRPr="00E65AD7">
        <w:rPr>
          <w:sz w:val="16"/>
        </w:rPr>
        <w:t xml:space="preserve"> </w:t>
      </w:r>
    </w:p>
    <w:p w14:paraId="14C0152C" w14:textId="77777777" w:rsidR="00215BDB" w:rsidRPr="00E65AD7" w:rsidRDefault="00215BDB" w:rsidP="00215BDB">
      <w:pPr>
        <w:rPr>
          <w:sz w:val="16"/>
        </w:rPr>
      </w:pPr>
      <w:r w:rsidRPr="00E65AD7">
        <w:rPr>
          <w:rStyle w:val="StyleUnderline"/>
        </w:rPr>
        <w:t>These two amendments</w:t>
      </w:r>
      <w:r w:rsidRPr="00E65AD7">
        <w:rPr>
          <w:sz w:val="16"/>
        </w:rPr>
        <w:t xml:space="preserve">151 </w:t>
      </w:r>
      <w:r w:rsidRPr="00E65AD7">
        <w:rPr>
          <w:rStyle w:val="StyleUnderline"/>
        </w:rPr>
        <w:t xml:space="preserve">would mean requestors for reexamination would have to prove their case by clear and convincing evidence—the same standard used in Article III district court cases—and </w:t>
      </w:r>
      <w:r w:rsidRPr="002B5286">
        <w:rPr>
          <w:rStyle w:val="StyleUnderline"/>
          <w:highlight w:val="cyan"/>
        </w:rPr>
        <w:t>successfully litigated patents could get the injunction</w:t>
      </w:r>
      <w:r w:rsidRPr="00E65AD7">
        <w:rPr>
          <w:rStyle w:val="StyleUnderline"/>
        </w:rPr>
        <w:t xml:space="preserve"> they deserve to breathe life into the exclusionary right grant of 35 U.S.C. § 154</w:t>
      </w:r>
      <w:r w:rsidRPr="00E65AD7">
        <w:rPr>
          <w:sz w:val="16"/>
        </w:rPr>
        <w:t xml:space="preserve">. </w:t>
      </w:r>
      <w:r w:rsidRPr="002B5286">
        <w:rPr>
          <w:rStyle w:val="StyleUnderline"/>
          <w:highlight w:val="cyan"/>
        </w:rPr>
        <w:t>In an almost inevitable result, it is likely post-issuance proceedings would plunge in popularity</w:t>
      </w:r>
      <w:r w:rsidRPr="00E65AD7">
        <w:rPr>
          <w:sz w:val="16"/>
        </w:rPr>
        <w:t xml:space="preserve">.152 </w:t>
      </w:r>
    </w:p>
    <w:p w14:paraId="27F8EA5D" w14:textId="77777777" w:rsidR="00215BDB" w:rsidRPr="00E65AD7" w:rsidRDefault="00215BDB" w:rsidP="00215BDB">
      <w:pPr>
        <w:rPr>
          <w:sz w:val="16"/>
        </w:rPr>
      </w:pPr>
      <w:r w:rsidRPr="00E65AD7">
        <w:rPr>
          <w:sz w:val="16"/>
        </w:rPr>
        <w:t xml:space="preserve">X. CONCLUSION </w:t>
      </w:r>
    </w:p>
    <w:p w14:paraId="1343C02A" w14:textId="77777777" w:rsidR="00215BDB" w:rsidRDefault="00215BDB" w:rsidP="00215BDB">
      <w:pPr>
        <w:rPr>
          <w:rStyle w:val="StyleUnderline"/>
        </w:rPr>
      </w:pPr>
      <w:r w:rsidRPr="00E65AD7">
        <w:rPr>
          <w:sz w:val="16"/>
        </w:rPr>
        <w:t xml:space="preserve">Many, if not </w:t>
      </w:r>
      <w:r w:rsidRPr="00E65AD7">
        <w:rPr>
          <w:rStyle w:val="StyleUnderline"/>
        </w:rPr>
        <w:t>most, commentators would say the United States has the most valuable patent system in the world. These two simple amendments would end the perfect storm and keep it that way.</w:t>
      </w:r>
    </w:p>
    <w:p w14:paraId="3E4A708B" w14:textId="77777777" w:rsidR="002B5286" w:rsidRDefault="002B5286" w:rsidP="00215BDB">
      <w:pPr>
        <w:rPr>
          <w:rStyle w:val="StyleUnderline"/>
        </w:rPr>
      </w:pPr>
    </w:p>
    <w:p w14:paraId="4B22E5BE" w14:textId="496B5A8C" w:rsidR="002B5286" w:rsidRDefault="002B5286" w:rsidP="002B5286">
      <w:pPr>
        <w:pStyle w:val="Heading4"/>
        <w:rPr>
          <w:rFonts w:cs="Arial"/>
        </w:rPr>
      </w:pPr>
      <w:r>
        <w:rPr>
          <w:rFonts w:cs="Arial"/>
        </w:rPr>
        <w:lastRenderedPageBreak/>
        <w:t xml:space="preserve">The CP’s balanced approach to enables green tech diffusion necessary to solve climate change. </w:t>
      </w:r>
    </w:p>
    <w:p w14:paraId="4AFB4C5C" w14:textId="25B84C64" w:rsidR="002B5286" w:rsidRPr="002B5286" w:rsidRDefault="002B5286" w:rsidP="002B5286">
      <w:pPr>
        <w:pStyle w:val="ListParagraph"/>
        <w:numPr>
          <w:ilvl w:val="0"/>
          <w:numId w:val="45"/>
        </w:numPr>
      </w:pPr>
      <w:r w:rsidRPr="002B5286">
        <w:t>Green tech innovation is coming now and is key to mitigate climate change—but only because IP protection law is balanced to enable innovation via the injunction analysis enabled by eBay.</w:t>
      </w:r>
    </w:p>
    <w:p w14:paraId="25AD4961" w14:textId="77777777" w:rsidR="002B5286" w:rsidRPr="00020CF7" w:rsidRDefault="002B5286" w:rsidP="002B5286">
      <w:pPr>
        <w:spacing w:line="240" w:lineRule="auto"/>
      </w:pPr>
      <w:r w:rsidRPr="00020CF7">
        <w:rPr>
          <w:rStyle w:val="Style13ptBold"/>
        </w:rPr>
        <w:t>Fowler 24</w:t>
      </w:r>
      <w:r w:rsidRPr="00020CF7">
        <w:t xml:space="preserve">—JD from Villanova University School of Law with experience in Patent Law, MS Bioengineering and B.Sc. Chemical Engineering (Addison. “No Need to Reinvent the Wheel: The Positive Relationship Between Green Technology and Patent Enforcement.” </w:t>
      </w:r>
      <w:r w:rsidRPr="00020CF7">
        <w:rPr>
          <w:i/>
          <w:iCs/>
        </w:rPr>
        <w:t>Villanova Environmental Law Journal</w:t>
      </w:r>
      <w:r w:rsidRPr="00020CF7">
        <w:t>, vol. 35, no. 1, Feb. 2024, pp. 151–52, https://digitalcommons.law.villanova.edu/elj/vol35/iss1/4)//mgm</w:t>
      </w:r>
    </w:p>
    <w:p w14:paraId="03E4E48F" w14:textId="77777777" w:rsidR="002B5286" w:rsidRPr="00020CF7" w:rsidRDefault="002B5286" w:rsidP="002B5286">
      <w:pPr>
        <w:spacing w:line="240" w:lineRule="auto"/>
        <w:rPr>
          <w:b/>
          <w:bCs/>
          <w:u w:val="single"/>
        </w:rPr>
      </w:pPr>
      <w:r w:rsidRPr="00020CF7">
        <w:rPr>
          <w:sz w:val="16"/>
        </w:rPr>
        <w:t xml:space="preserve">2. </w:t>
      </w:r>
      <w:r w:rsidRPr="002B5286">
        <w:rPr>
          <w:b/>
          <w:bCs/>
          <w:highlight w:val="cyan"/>
          <w:u w:val="single"/>
        </w:rPr>
        <w:t>Current Injunction Law Is Equipped to</w:t>
      </w:r>
      <w:r w:rsidRPr="00020CF7">
        <w:rPr>
          <w:b/>
          <w:bCs/>
          <w:u w:val="single"/>
        </w:rPr>
        <w:t xml:space="preserve"> Maintain the </w:t>
      </w:r>
      <w:r w:rsidRPr="002B5286">
        <w:rPr>
          <w:b/>
          <w:bCs/>
          <w:highlight w:val="cyan"/>
          <w:u w:val="single"/>
        </w:rPr>
        <w:t>Fight</w:t>
      </w:r>
      <w:r w:rsidRPr="00020CF7">
        <w:rPr>
          <w:b/>
          <w:bCs/>
          <w:u w:val="single"/>
        </w:rPr>
        <w:t xml:space="preserve"> Against </w:t>
      </w:r>
      <w:r w:rsidRPr="002B5286">
        <w:rPr>
          <w:b/>
          <w:bCs/>
          <w:highlight w:val="cyan"/>
          <w:u w:val="single"/>
        </w:rPr>
        <w:t>Climate Change</w:t>
      </w:r>
    </w:p>
    <w:p w14:paraId="7F20FF03" w14:textId="77777777" w:rsidR="002B5286" w:rsidRPr="00020CF7" w:rsidRDefault="002B5286" w:rsidP="002B5286">
      <w:pPr>
        <w:spacing w:line="240" w:lineRule="auto"/>
        <w:rPr>
          <w:sz w:val="16"/>
        </w:rPr>
      </w:pPr>
      <w:r w:rsidRPr="00020CF7">
        <w:rPr>
          <w:sz w:val="16"/>
        </w:rPr>
        <w:t xml:space="preserve">This Comment argues that the </w:t>
      </w:r>
      <w:r w:rsidRPr="002B5286">
        <w:rPr>
          <w:b/>
          <w:bCs/>
          <w:highlight w:val="cyan"/>
          <w:u w:val="single"/>
        </w:rPr>
        <w:t>equitable discretion</w:t>
      </w:r>
      <w:r w:rsidRPr="002B5286">
        <w:rPr>
          <w:highlight w:val="cyan"/>
          <w:u w:val="single"/>
        </w:rPr>
        <w:t xml:space="preserve"> </w:t>
      </w:r>
      <w:r w:rsidRPr="002B5286">
        <w:rPr>
          <w:b/>
          <w:bCs/>
          <w:highlight w:val="cyan"/>
          <w:u w:val="single"/>
        </w:rPr>
        <w:t>afforded to courts</w:t>
      </w:r>
      <w:r w:rsidRPr="00020CF7">
        <w:rPr>
          <w:u w:val="single"/>
        </w:rPr>
        <w:t xml:space="preserve"> in </w:t>
      </w:r>
      <w:r w:rsidRPr="00020CF7">
        <w:rPr>
          <w:b/>
          <w:bCs/>
          <w:u w:val="single"/>
        </w:rPr>
        <w:t>injunction</w:t>
      </w:r>
      <w:r w:rsidRPr="00020CF7">
        <w:rPr>
          <w:u w:val="single"/>
        </w:rPr>
        <w:t xml:space="preserve"> decisions, as </w:t>
      </w:r>
      <w:r w:rsidRPr="002B5286">
        <w:rPr>
          <w:rStyle w:val="Emphasis"/>
          <w:szCs w:val="28"/>
          <w:highlight w:val="cyan"/>
        </w:rPr>
        <w:t>bolstered by eBay</w:t>
      </w:r>
      <w:r w:rsidRPr="00020CF7">
        <w:rPr>
          <w:sz w:val="16"/>
        </w:rPr>
        <w:t xml:space="preserve">, </w:t>
      </w:r>
      <w:r w:rsidRPr="002B5286">
        <w:rPr>
          <w:highlight w:val="cyan"/>
          <w:u w:val="single"/>
        </w:rPr>
        <w:t xml:space="preserve">provides </w:t>
      </w:r>
      <w:r w:rsidRPr="002B5286">
        <w:rPr>
          <w:b/>
          <w:bCs/>
          <w:highlight w:val="cyan"/>
          <w:u w:val="single"/>
        </w:rPr>
        <w:t>adequate assurance</w:t>
      </w:r>
      <w:r w:rsidRPr="00020CF7">
        <w:rPr>
          <w:u w:val="single"/>
        </w:rPr>
        <w:t xml:space="preserve"> that </w:t>
      </w:r>
      <w:r w:rsidRPr="002B5286">
        <w:rPr>
          <w:highlight w:val="cyan"/>
          <w:u w:val="single"/>
        </w:rPr>
        <w:t>patent infringement</w:t>
      </w:r>
      <w:r w:rsidRPr="00020CF7">
        <w:rPr>
          <w:u w:val="single"/>
        </w:rPr>
        <w:t xml:space="preserve"> proceedings </w:t>
      </w:r>
      <w:r w:rsidRPr="002B5286">
        <w:rPr>
          <w:highlight w:val="cyan"/>
          <w:u w:val="single"/>
        </w:rPr>
        <w:t xml:space="preserve">do </w:t>
      </w:r>
      <w:r w:rsidRPr="002B5286">
        <w:rPr>
          <w:b/>
          <w:bCs/>
          <w:highlight w:val="cyan"/>
          <w:u w:val="single"/>
        </w:rPr>
        <w:t>not harm the public</w:t>
      </w:r>
      <w:r w:rsidRPr="002B5286">
        <w:rPr>
          <w:highlight w:val="cyan"/>
          <w:u w:val="single"/>
        </w:rPr>
        <w:t xml:space="preserve"> through</w:t>
      </w:r>
      <w:r w:rsidRPr="00020CF7">
        <w:rPr>
          <w:u w:val="single"/>
        </w:rPr>
        <w:t xml:space="preserve"> a </w:t>
      </w:r>
      <w:r w:rsidRPr="002B5286">
        <w:rPr>
          <w:b/>
          <w:bCs/>
          <w:highlight w:val="cyan"/>
          <w:u w:val="single"/>
        </w:rPr>
        <w:t>lack of</w:t>
      </w:r>
      <w:r w:rsidRPr="00020CF7">
        <w:rPr>
          <w:b/>
          <w:bCs/>
          <w:u w:val="single"/>
        </w:rPr>
        <w:t xml:space="preserve"> access to </w:t>
      </w:r>
      <w:r w:rsidRPr="002B5286">
        <w:rPr>
          <w:b/>
          <w:bCs/>
          <w:highlight w:val="cyan"/>
          <w:u w:val="single"/>
        </w:rPr>
        <w:t>green technology</w:t>
      </w:r>
      <w:r w:rsidRPr="00020CF7">
        <w:rPr>
          <w:sz w:val="16"/>
        </w:rPr>
        <w:t xml:space="preserve">. Cases such as Siemens Gamesa, BASF, and the other </w:t>
      </w:r>
      <w:r w:rsidRPr="00020CF7">
        <w:rPr>
          <w:rStyle w:val="StyleUnderline"/>
          <w:bCs/>
        </w:rPr>
        <w:t>above-discussed</w:t>
      </w:r>
      <w:r w:rsidRPr="00020CF7">
        <w:rPr>
          <w:rStyle w:val="StyleUnderline"/>
        </w:rPr>
        <w:t xml:space="preserve"> </w:t>
      </w:r>
      <w:r w:rsidRPr="00020CF7">
        <w:rPr>
          <w:rStyle w:val="StyleUnderline"/>
          <w:bCs/>
        </w:rPr>
        <w:t>injunction decisions</w:t>
      </w:r>
      <w:r w:rsidRPr="00020CF7">
        <w:rPr>
          <w:rStyle w:val="StyleUnderline"/>
        </w:rPr>
        <w:t xml:space="preserve"> </w:t>
      </w:r>
      <w:r w:rsidRPr="00020CF7">
        <w:rPr>
          <w:rStyle w:val="StyleUnderline"/>
          <w:bCs/>
        </w:rPr>
        <w:t>exemplify</w:t>
      </w:r>
      <w:r w:rsidRPr="00020CF7">
        <w:rPr>
          <w:sz w:val="16"/>
        </w:rPr>
        <w:t xml:space="preserve"> the </w:t>
      </w:r>
      <w:r w:rsidRPr="002B5286">
        <w:rPr>
          <w:b/>
          <w:bCs/>
          <w:highlight w:val="cyan"/>
          <w:u w:val="single"/>
        </w:rPr>
        <w:t>highly practical</w:t>
      </w:r>
      <w:r w:rsidRPr="002B5286">
        <w:rPr>
          <w:highlight w:val="cyan"/>
          <w:u w:val="single"/>
        </w:rPr>
        <w:t xml:space="preserve">, </w:t>
      </w:r>
      <w:r w:rsidRPr="002B5286">
        <w:rPr>
          <w:b/>
          <w:bCs/>
          <w:highlight w:val="cyan"/>
          <w:u w:val="single"/>
        </w:rPr>
        <w:t>fact-specific analysis</w:t>
      </w:r>
      <w:r w:rsidRPr="00020CF7">
        <w:rPr>
          <w:u w:val="single"/>
        </w:rPr>
        <w:t xml:space="preserve"> in which courts can </w:t>
      </w:r>
      <w:r w:rsidRPr="00020CF7">
        <w:rPr>
          <w:b/>
          <w:bCs/>
          <w:u w:val="single"/>
        </w:rPr>
        <w:t>engage</w:t>
      </w:r>
      <w:r w:rsidRPr="00020CF7">
        <w:rPr>
          <w:u w:val="single"/>
        </w:rPr>
        <w:t xml:space="preserve"> </w:t>
      </w:r>
      <w:r w:rsidRPr="002B5286">
        <w:rPr>
          <w:highlight w:val="cyan"/>
          <w:u w:val="single"/>
        </w:rPr>
        <w:t xml:space="preserve">when </w:t>
      </w:r>
      <w:r w:rsidRPr="002B5286">
        <w:rPr>
          <w:b/>
          <w:bCs/>
          <w:highlight w:val="cyan"/>
          <w:u w:val="single"/>
        </w:rPr>
        <w:t>adjudicating</w:t>
      </w:r>
      <w:r w:rsidRPr="00020CF7">
        <w:rPr>
          <w:b/>
          <w:bCs/>
          <w:u w:val="single"/>
        </w:rPr>
        <w:t xml:space="preserve"> an </w:t>
      </w:r>
      <w:r w:rsidRPr="002B5286">
        <w:rPr>
          <w:b/>
          <w:bCs/>
          <w:highlight w:val="cyan"/>
          <w:u w:val="single"/>
        </w:rPr>
        <w:t>injunction</w:t>
      </w:r>
      <w:r w:rsidRPr="00020CF7">
        <w:rPr>
          <w:b/>
          <w:bCs/>
          <w:u w:val="single"/>
        </w:rPr>
        <w:t xml:space="preserve"> request</w:t>
      </w:r>
      <w:r w:rsidRPr="00020CF7">
        <w:rPr>
          <w:u w:val="single"/>
        </w:rPr>
        <w:t xml:space="preserve">, especially within the </w:t>
      </w:r>
      <w:r w:rsidRPr="00020CF7">
        <w:rPr>
          <w:b/>
          <w:bCs/>
          <w:u w:val="single"/>
        </w:rPr>
        <w:t>public interest prong</w:t>
      </w:r>
      <w:r w:rsidRPr="00020CF7">
        <w:rPr>
          <w:sz w:val="16"/>
        </w:rPr>
        <w:t xml:space="preserve">. </w:t>
      </w:r>
      <w:r w:rsidRPr="00020CF7">
        <w:rPr>
          <w:u w:val="single"/>
        </w:rPr>
        <w:t>Courts</w:t>
      </w:r>
      <w:r w:rsidRPr="00020CF7">
        <w:rPr>
          <w:sz w:val="16"/>
        </w:rPr>
        <w:t xml:space="preserve"> have extended this discretion to </w:t>
      </w:r>
      <w:r w:rsidRPr="002B5286">
        <w:rPr>
          <w:b/>
          <w:bCs/>
          <w:highlight w:val="cyan"/>
          <w:u w:val="single"/>
        </w:rPr>
        <w:t>embrace sensitivity</w:t>
      </w:r>
      <w:r w:rsidRPr="002B5286">
        <w:rPr>
          <w:highlight w:val="cyan"/>
          <w:u w:val="single"/>
        </w:rPr>
        <w:t xml:space="preserve"> to</w:t>
      </w:r>
      <w:r w:rsidRPr="00020CF7">
        <w:rPr>
          <w:u w:val="single"/>
        </w:rPr>
        <w:t xml:space="preserve"> public </w:t>
      </w:r>
      <w:r w:rsidRPr="002B5286">
        <w:rPr>
          <w:b/>
          <w:bCs/>
          <w:highlight w:val="cyan"/>
          <w:u w:val="single"/>
        </w:rPr>
        <w:t>environmental concerns</w:t>
      </w:r>
      <w:r w:rsidRPr="00020CF7">
        <w:rPr>
          <w:sz w:val="16"/>
        </w:rPr>
        <w:t xml:space="preserve">. The Siemens Gamesa decision is notable for its explicit invocation of climate science to inform its analysis and its subsequent tailored injunction. Because injunction cases have not often hinged on the public interest inquiry, the Siemens Gamesa decision will likely have outsized influence going forward when the public interest is threatened.   </w:t>
      </w:r>
    </w:p>
    <w:p w14:paraId="2FE417B8" w14:textId="77777777" w:rsidR="002B5286" w:rsidRPr="00020CF7" w:rsidRDefault="002B5286" w:rsidP="002B5286">
      <w:pPr>
        <w:spacing w:line="240" w:lineRule="auto"/>
        <w:rPr>
          <w:b/>
          <w:bCs/>
          <w:u w:val="single"/>
        </w:rPr>
      </w:pPr>
      <w:r w:rsidRPr="00020CF7">
        <w:rPr>
          <w:u w:val="single"/>
        </w:rPr>
        <w:t xml:space="preserve">The </w:t>
      </w:r>
      <w:r w:rsidRPr="002B5286">
        <w:rPr>
          <w:b/>
          <w:bCs/>
          <w:sz w:val="24"/>
          <w:szCs w:val="28"/>
          <w:highlight w:val="cyan"/>
          <w:u w:val="single"/>
        </w:rPr>
        <w:t xml:space="preserve">fight against climate change depends </w:t>
      </w:r>
      <w:r w:rsidRPr="002B5286">
        <w:rPr>
          <w:sz w:val="24"/>
          <w:szCs w:val="28"/>
          <w:highlight w:val="cyan"/>
          <w:u w:val="single"/>
        </w:rPr>
        <w:t>on</w:t>
      </w:r>
      <w:r w:rsidRPr="00020CF7">
        <w:rPr>
          <w:sz w:val="24"/>
          <w:szCs w:val="28"/>
          <w:u w:val="single"/>
        </w:rPr>
        <w:t xml:space="preserve"> </w:t>
      </w:r>
      <w:r w:rsidRPr="00020CF7">
        <w:rPr>
          <w:u w:val="single"/>
        </w:rPr>
        <w:t>a</w:t>
      </w:r>
      <w:r w:rsidRPr="00020CF7">
        <w:rPr>
          <w:b/>
          <w:bCs/>
          <w:u w:val="single"/>
        </w:rPr>
        <w:t xml:space="preserve"> </w:t>
      </w:r>
      <w:r w:rsidRPr="002B5286">
        <w:rPr>
          <w:b/>
          <w:bCs/>
          <w:highlight w:val="cyan"/>
          <w:u w:val="single"/>
        </w:rPr>
        <w:t>robust</w:t>
      </w:r>
      <w:r w:rsidRPr="00020CF7">
        <w:rPr>
          <w:b/>
          <w:bCs/>
          <w:u w:val="single"/>
        </w:rPr>
        <w:t xml:space="preserve"> market of </w:t>
      </w:r>
      <w:r w:rsidRPr="002B5286">
        <w:rPr>
          <w:b/>
          <w:bCs/>
          <w:highlight w:val="cyan"/>
          <w:u w:val="single"/>
        </w:rPr>
        <w:t>sustainable innovation</w:t>
      </w:r>
      <w:r w:rsidRPr="00020CF7">
        <w:rPr>
          <w:sz w:val="16"/>
        </w:rPr>
        <w:t xml:space="preserve">. </w:t>
      </w:r>
      <w:r w:rsidRPr="002B5286">
        <w:rPr>
          <w:b/>
          <w:bCs/>
          <w:highlight w:val="cyan"/>
          <w:u w:val="single"/>
        </w:rPr>
        <w:t>Efforts</w:t>
      </w:r>
      <w:r w:rsidRPr="00020CF7">
        <w:rPr>
          <w:u w:val="single"/>
        </w:rPr>
        <w:t xml:space="preserve"> to weaken patent protections for green technologies </w:t>
      </w:r>
      <w:r w:rsidRPr="002B5286">
        <w:rPr>
          <w:b/>
          <w:bCs/>
          <w:highlight w:val="cyan"/>
          <w:u w:val="single"/>
        </w:rPr>
        <w:t>risk disrupting</w:t>
      </w:r>
      <w:r w:rsidRPr="00020CF7">
        <w:rPr>
          <w:u w:val="single"/>
        </w:rPr>
        <w:t xml:space="preserve"> the </w:t>
      </w:r>
      <w:r w:rsidRPr="00020CF7">
        <w:rPr>
          <w:b/>
          <w:bCs/>
          <w:u w:val="single"/>
        </w:rPr>
        <w:t xml:space="preserve">motivations </w:t>
      </w:r>
      <w:r w:rsidRPr="002B5286">
        <w:rPr>
          <w:b/>
          <w:bCs/>
          <w:highlight w:val="cyan"/>
          <w:u w:val="single"/>
        </w:rPr>
        <w:t>crucial</w:t>
      </w:r>
      <w:r w:rsidRPr="00020CF7">
        <w:rPr>
          <w:b/>
          <w:bCs/>
          <w:u w:val="single"/>
        </w:rPr>
        <w:t xml:space="preserve"> </w:t>
      </w:r>
      <w:r w:rsidRPr="00020CF7">
        <w:rPr>
          <w:u w:val="single"/>
        </w:rPr>
        <w:t xml:space="preserve">to </w:t>
      </w:r>
      <w:r w:rsidRPr="00020CF7">
        <w:rPr>
          <w:b/>
          <w:bCs/>
          <w:u w:val="single"/>
        </w:rPr>
        <w:t xml:space="preserve">future </w:t>
      </w:r>
      <w:r w:rsidRPr="002B5286">
        <w:rPr>
          <w:b/>
          <w:bCs/>
          <w:highlight w:val="cyan"/>
          <w:u w:val="single"/>
        </w:rPr>
        <w:t>progress</w:t>
      </w:r>
      <w:r w:rsidRPr="00020CF7">
        <w:rPr>
          <w:sz w:val="16"/>
        </w:rPr>
        <w:t xml:space="preserve">. Courts have continued to grant injunctions to a significant majority of requests following a finding of infringement, thereby largely maintaining patent exclusivity. </w:t>
      </w:r>
      <w:r w:rsidRPr="00020CF7">
        <w:rPr>
          <w:b/>
          <w:bCs/>
          <w:u w:val="single"/>
        </w:rPr>
        <w:t>Even</w:t>
      </w:r>
      <w:r w:rsidRPr="00020CF7">
        <w:rPr>
          <w:u w:val="single"/>
        </w:rPr>
        <w:t xml:space="preserve"> </w:t>
      </w:r>
      <w:r w:rsidRPr="008B49BC">
        <w:rPr>
          <w:b/>
          <w:bCs/>
          <w:u w:val="single"/>
        </w:rPr>
        <w:t>still</w:t>
      </w:r>
      <w:r w:rsidRPr="008B49BC">
        <w:rPr>
          <w:u w:val="single"/>
        </w:rPr>
        <w:t xml:space="preserve">, </w:t>
      </w:r>
      <w:r w:rsidRPr="008B49BC">
        <w:rPr>
          <w:b/>
          <w:bCs/>
          <w:u w:val="single"/>
        </w:rPr>
        <w:t>many commentators view eBay</w:t>
      </w:r>
      <w:r w:rsidRPr="008B49BC">
        <w:rPr>
          <w:u w:val="single"/>
        </w:rPr>
        <w:t xml:space="preserve"> itself as a </w:t>
      </w:r>
      <w:r w:rsidRPr="008B49BC">
        <w:rPr>
          <w:b/>
          <w:bCs/>
          <w:u w:val="single"/>
        </w:rPr>
        <w:t>destructive decision</w:t>
      </w:r>
      <w:r w:rsidRPr="008B49BC">
        <w:rPr>
          <w:sz w:val="16"/>
        </w:rPr>
        <w:t xml:space="preserve"> for patent protection. Further steps to undermine patent rights, especially those specifically targeted at green technology, would be counterproductive to the continue</w:t>
      </w:r>
      <w:r w:rsidRPr="00020CF7">
        <w:rPr>
          <w:sz w:val="16"/>
        </w:rPr>
        <w:t xml:space="preserve">d advancement of these key areas of innovation.227 This Comment asserts </w:t>
      </w:r>
      <w:r w:rsidRPr="002B5286">
        <w:rPr>
          <w:b/>
          <w:bCs/>
          <w:highlight w:val="cyan"/>
          <w:u w:val="single"/>
        </w:rPr>
        <w:t>strong</w:t>
      </w:r>
      <w:r w:rsidRPr="00020CF7">
        <w:rPr>
          <w:b/>
          <w:bCs/>
          <w:u w:val="single"/>
        </w:rPr>
        <w:t xml:space="preserve"> patent </w:t>
      </w:r>
      <w:r w:rsidRPr="002B5286">
        <w:rPr>
          <w:b/>
          <w:bCs/>
          <w:highlight w:val="cyan"/>
          <w:u w:val="single"/>
        </w:rPr>
        <w:t>rights</w:t>
      </w:r>
      <w:r w:rsidRPr="00020CF7">
        <w:rPr>
          <w:u w:val="single"/>
        </w:rPr>
        <w:t xml:space="preserve">, </w:t>
      </w:r>
      <w:r w:rsidRPr="002B5286">
        <w:rPr>
          <w:highlight w:val="cyan"/>
          <w:u w:val="single"/>
        </w:rPr>
        <w:t>enforced by</w:t>
      </w:r>
      <w:r w:rsidRPr="00020CF7">
        <w:rPr>
          <w:u w:val="single"/>
        </w:rPr>
        <w:t xml:space="preserve"> a </w:t>
      </w:r>
      <w:r w:rsidRPr="00020CF7">
        <w:rPr>
          <w:b/>
          <w:bCs/>
          <w:u w:val="single"/>
        </w:rPr>
        <w:t>court’s equitable discretion post-</w:t>
      </w:r>
      <w:r w:rsidRPr="002B5286">
        <w:rPr>
          <w:b/>
          <w:bCs/>
          <w:highlight w:val="cyan"/>
          <w:u w:val="single"/>
        </w:rPr>
        <w:t>eBay</w:t>
      </w:r>
      <w:r w:rsidRPr="00020CF7">
        <w:rPr>
          <w:u w:val="single"/>
        </w:rPr>
        <w:t xml:space="preserve">, will </w:t>
      </w:r>
      <w:r w:rsidRPr="002B5286">
        <w:rPr>
          <w:b/>
          <w:bCs/>
          <w:highlight w:val="cyan"/>
          <w:u w:val="single"/>
        </w:rPr>
        <w:t>best serve this innovative ecosystem</w:t>
      </w:r>
      <w:r w:rsidRPr="00020CF7">
        <w:rPr>
          <w:u w:val="single"/>
        </w:rPr>
        <w:t xml:space="preserve">, </w:t>
      </w:r>
      <w:r w:rsidRPr="002B5286">
        <w:rPr>
          <w:highlight w:val="cyan"/>
          <w:u w:val="single"/>
        </w:rPr>
        <w:t>and</w:t>
      </w:r>
      <w:r w:rsidRPr="00020CF7">
        <w:rPr>
          <w:u w:val="single"/>
        </w:rPr>
        <w:t xml:space="preserve"> thus, the </w:t>
      </w:r>
      <w:r w:rsidRPr="002B5286">
        <w:rPr>
          <w:b/>
          <w:bCs/>
          <w:highlight w:val="cyan"/>
          <w:u w:val="single"/>
        </w:rPr>
        <w:t>fight against climate change.</w:t>
      </w:r>
    </w:p>
    <w:p w14:paraId="4B521315" w14:textId="77777777" w:rsidR="002B5286" w:rsidRPr="00020CF7" w:rsidRDefault="002B5286" w:rsidP="002B5286">
      <w:pPr>
        <w:keepNext/>
        <w:keepLines/>
        <w:spacing w:before="40" w:after="0"/>
        <w:outlineLvl w:val="3"/>
        <w:rPr>
          <w:rFonts w:eastAsia="Times New Roman"/>
          <w:b/>
          <w:iCs/>
          <w:sz w:val="26"/>
        </w:rPr>
      </w:pPr>
      <w:r w:rsidRPr="00020CF7">
        <w:rPr>
          <w:rFonts w:eastAsia="Times New Roman"/>
          <w:b/>
          <w:iCs/>
          <w:sz w:val="26"/>
          <w:u w:val="single"/>
        </w:rPr>
        <w:t>Extinction</w:t>
      </w:r>
      <w:r w:rsidRPr="00020CF7">
        <w:rPr>
          <w:rFonts w:eastAsia="Times New Roman"/>
          <w:b/>
          <w:iCs/>
          <w:sz w:val="26"/>
        </w:rPr>
        <w:t>—</w:t>
      </w:r>
      <w:r w:rsidRPr="00020CF7">
        <w:rPr>
          <w:rFonts w:eastAsia="Times New Roman"/>
          <w:b/>
          <w:iCs/>
          <w:sz w:val="26"/>
          <w:u w:val="single"/>
        </w:rPr>
        <w:t>nuclear war</w:t>
      </w:r>
      <w:r w:rsidRPr="00020CF7">
        <w:rPr>
          <w:rFonts w:eastAsia="Times New Roman"/>
          <w:b/>
          <w:iCs/>
          <w:sz w:val="26"/>
        </w:rPr>
        <w:t xml:space="preserve"> and </w:t>
      </w:r>
      <w:r w:rsidRPr="00020CF7">
        <w:rPr>
          <w:rFonts w:eastAsia="Times New Roman"/>
          <w:b/>
          <w:iCs/>
          <w:sz w:val="26"/>
          <w:u w:val="single"/>
        </w:rPr>
        <w:t>ecological breakdown</w:t>
      </w:r>
      <w:r w:rsidRPr="00020CF7">
        <w:rPr>
          <w:rFonts w:eastAsia="Times New Roman"/>
          <w:b/>
          <w:iCs/>
          <w:sz w:val="26"/>
        </w:rPr>
        <w:t xml:space="preserve">—feedback loops make adaptation </w:t>
      </w:r>
      <w:r w:rsidRPr="00020CF7">
        <w:rPr>
          <w:rFonts w:eastAsia="Times New Roman"/>
          <w:b/>
          <w:iCs/>
          <w:sz w:val="26"/>
          <w:u w:val="single"/>
        </w:rPr>
        <w:t>impossible</w:t>
      </w:r>
    </w:p>
    <w:p w14:paraId="26B2F920" w14:textId="77777777" w:rsidR="002B5286" w:rsidRPr="00020CF7" w:rsidRDefault="002B5286" w:rsidP="002B5286">
      <w:pPr>
        <w:spacing w:line="240" w:lineRule="auto"/>
        <w:rPr>
          <w:rFonts w:eastAsia="Times New Roman"/>
        </w:rPr>
      </w:pPr>
      <w:r w:rsidRPr="00020CF7">
        <w:rPr>
          <w:rFonts w:eastAsia="Times New Roman"/>
          <w:b/>
          <w:bCs/>
          <w:sz w:val="26"/>
        </w:rPr>
        <w:t>Spratt &amp; Dunlop 18</w:t>
      </w:r>
      <w:r w:rsidRPr="00020CF7">
        <w:rPr>
          <w:rFonts w:eastAsia="Times New Roman"/>
        </w:rPr>
        <w:t>—David Spratt, Research Director for Breakthrough, climate-policy analyst, co-founder of Carbon Equity; and Ian Dunlop, senior Advisory Board member at Breakthrough, Former Chair of the Australian Coal Association (</w:t>
      </w:r>
      <w:r w:rsidRPr="00020CF7">
        <w:rPr>
          <w:rFonts w:eastAsia="Times New Roman"/>
          <w:i/>
          <w:iCs/>
        </w:rPr>
        <w:t>What Lies Beneath: The Understatement of Existential Climate Risk</w:t>
      </w:r>
      <w:r w:rsidRPr="00020CF7">
        <w:rPr>
          <w:rFonts w:eastAsia="Times New Roman"/>
        </w:rPr>
        <w:t xml:space="preserve">. The Breakthrough Institute, Aug. 2018, pp. 13–15, </w:t>
      </w:r>
      <w:hyperlink r:id="rId9" w:history="1">
        <w:r w:rsidRPr="00020CF7">
          <w:rPr>
            <w:rFonts w:eastAsia="Times New Roman"/>
          </w:rPr>
          <w:t>https://52a87f3e-7945-4bb1-abbf-9aa66cd4e93e.filesusr.com/ugd/148cb0_a0d7c18a1bf64e698a9c8c8f18a42889.pdf)//mgm</w:t>
        </w:r>
      </w:hyperlink>
    </w:p>
    <w:p w14:paraId="3B0C1B10" w14:textId="77777777" w:rsidR="002B5286" w:rsidRPr="00020CF7" w:rsidRDefault="002B5286" w:rsidP="002B5286">
      <w:pPr>
        <w:spacing w:line="240" w:lineRule="auto"/>
        <w:rPr>
          <w:rFonts w:eastAsia="Times New Roman"/>
          <w:sz w:val="16"/>
        </w:rPr>
      </w:pPr>
      <w:r w:rsidRPr="002B5286">
        <w:rPr>
          <w:rFonts w:eastAsia="Times New Roman"/>
          <w:highlight w:val="cyan"/>
          <w:u w:val="single"/>
        </w:rPr>
        <w:t xml:space="preserve">Climate change is an </w:t>
      </w:r>
      <w:r w:rsidRPr="002B5286">
        <w:rPr>
          <w:rFonts w:eastAsia="Times New Roman"/>
          <w:b/>
          <w:bCs/>
          <w:highlight w:val="cyan"/>
          <w:u w:val="single"/>
        </w:rPr>
        <w:t>existential risk</w:t>
      </w:r>
      <w:r w:rsidRPr="002B5286">
        <w:rPr>
          <w:rFonts w:eastAsia="Times New Roman"/>
          <w:highlight w:val="cyan"/>
          <w:u w:val="single"/>
        </w:rPr>
        <w:t xml:space="preserve"> to </w:t>
      </w:r>
      <w:r w:rsidRPr="002B5286">
        <w:rPr>
          <w:rFonts w:eastAsia="Times New Roman"/>
          <w:b/>
          <w:bCs/>
          <w:highlight w:val="cyan"/>
          <w:u w:val="single"/>
        </w:rPr>
        <w:t xml:space="preserve">human </w:t>
      </w:r>
      <w:proofErr w:type="spellStart"/>
      <w:r w:rsidRPr="002B5286">
        <w:rPr>
          <w:rFonts w:eastAsia="Times New Roman"/>
          <w:b/>
          <w:bCs/>
          <w:highlight w:val="cyan"/>
          <w:u w:val="single"/>
        </w:rPr>
        <w:t>civilisation</w:t>
      </w:r>
      <w:proofErr w:type="spellEnd"/>
      <w:r w:rsidRPr="00020CF7">
        <w:rPr>
          <w:rFonts w:eastAsia="Times New Roman"/>
          <w:sz w:val="16"/>
        </w:rPr>
        <w:t xml:space="preserve">: that is, an adverse outcome </w:t>
      </w:r>
      <w:r w:rsidRPr="002B5286">
        <w:rPr>
          <w:rFonts w:eastAsia="Times New Roman"/>
          <w:highlight w:val="cyan"/>
          <w:u w:val="single"/>
        </w:rPr>
        <w:t>that would</w:t>
      </w:r>
      <w:r w:rsidRPr="00020CF7">
        <w:rPr>
          <w:rFonts w:eastAsia="Times New Roman"/>
          <w:sz w:val="16"/>
        </w:rPr>
        <w:t xml:space="preserve"> either </w:t>
      </w:r>
      <w:r w:rsidRPr="002B5286">
        <w:rPr>
          <w:rFonts w:eastAsia="Times New Roman"/>
          <w:b/>
          <w:bCs/>
          <w:highlight w:val="cyan"/>
          <w:u w:val="single"/>
        </w:rPr>
        <w:t>annihilate</w:t>
      </w:r>
      <w:r w:rsidRPr="00020CF7">
        <w:rPr>
          <w:rFonts w:eastAsia="Times New Roman"/>
          <w:sz w:val="16"/>
        </w:rPr>
        <w:t xml:space="preserve"> intelligent </w:t>
      </w:r>
      <w:r w:rsidRPr="002B5286">
        <w:rPr>
          <w:rFonts w:eastAsia="Times New Roman"/>
          <w:b/>
          <w:iCs/>
          <w:highlight w:val="cyan"/>
          <w:u w:val="single"/>
        </w:rPr>
        <w:t>life</w:t>
      </w:r>
      <w:r w:rsidRPr="00020CF7">
        <w:rPr>
          <w:rFonts w:eastAsia="Times New Roman"/>
          <w:sz w:val="16"/>
        </w:rPr>
        <w:t xml:space="preserve"> or permanently and drastically curtail its potential.</w:t>
      </w:r>
    </w:p>
    <w:p w14:paraId="5A7717DE" w14:textId="77777777" w:rsidR="002B5286" w:rsidRPr="00020CF7" w:rsidRDefault="002B5286" w:rsidP="002B5286">
      <w:pPr>
        <w:spacing w:line="240" w:lineRule="auto"/>
        <w:rPr>
          <w:rFonts w:eastAsia="Times New Roman"/>
          <w:sz w:val="16"/>
        </w:rPr>
      </w:pPr>
      <w:r w:rsidRPr="00020CF7">
        <w:rPr>
          <w:rFonts w:eastAsia="Times New Roman"/>
          <w:sz w:val="16"/>
        </w:rPr>
        <w:t xml:space="preserve">Temperature rises that are now in prospect, after the Paris Agreement, are in the range of 3–5°C. At present, the Paris Agreement voluntary emission reduction commitments, if implemented, would result in planetary warming of 3.4°C by 2100,30 without taking into account “long-term” </w:t>
      </w:r>
      <w:proofErr w:type="spellStart"/>
      <w:r w:rsidRPr="00020CF7">
        <w:rPr>
          <w:rFonts w:eastAsia="Times New Roman"/>
          <w:sz w:val="16"/>
        </w:rPr>
        <w:t>carboncycle</w:t>
      </w:r>
      <w:proofErr w:type="spellEnd"/>
      <w:r w:rsidRPr="00020CF7">
        <w:rPr>
          <w:rFonts w:eastAsia="Times New Roman"/>
          <w:sz w:val="16"/>
        </w:rPr>
        <w:t xml:space="preserve"> </w:t>
      </w:r>
      <w:proofErr w:type="gramStart"/>
      <w:r w:rsidRPr="00020CF7">
        <w:rPr>
          <w:rFonts w:eastAsia="Times New Roman"/>
          <w:sz w:val="16"/>
        </w:rPr>
        <w:t>feedbacks</w:t>
      </w:r>
      <w:proofErr w:type="gramEnd"/>
      <w:r w:rsidRPr="00020CF7">
        <w:rPr>
          <w:rFonts w:eastAsia="Times New Roman"/>
          <w:sz w:val="16"/>
        </w:rPr>
        <w:t xml:space="preserve">. With a higher climate sensitivity figure of 4.5°C, for example, which would account for such feedbacks, the Paris path would result in around 5°C of warming, according to a MIT study.31 A study by Schroder Investment Management published in June 2017 found — after taking into account indicators across a wide range of the political, financial, energy and regulatory sectors — the average temperature increase implied for the Paris Agreement across all sectors was 4.1°C.32 Yet 3°C of warming already constitutes an existential risk. A 2007 study by two US national security think-tanks concluded that </w:t>
      </w:r>
      <w:r w:rsidRPr="00020CF7">
        <w:rPr>
          <w:rFonts w:eastAsia="Times New Roman"/>
          <w:u w:val="single"/>
        </w:rPr>
        <w:t xml:space="preserve">3°C of </w:t>
      </w:r>
      <w:r w:rsidRPr="00020CF7">
        <w:rPr>
          <w:rFonts w:eastAsia="Times New Roman"/>
          <w:b/>
          <w:bCs/>
          <w:u w:val="single"/>
        </w:rPr>
        <w:t>warming</w:t>
      </w:r>
      <w:r w:rsidRPr="00020CF7">
        <w:rPr>
          <w:rFonts w:eastAsia="Times New Roman"/>
          <w:u w:val="single"/>
        </w:rPr>
        <w:t xml:space="preserve"> and a 0.5 </w:t>
      </w:r>
      <w:proofErr w:type="spellStart"/>
      <w:r w:rsidRPr="00020CF7">
        <w:rPr>
          <w:rFonts w:eastAsia="Times New Roman"/>
          <w:u w:val="single"/>
        </w:rPr>
        <w:t>metre</w:t>
      </w:r>
      <w:proofErr w:type="spellEnd"/>
      <w:r w:rsidRPr="00020CF7">
        <w:rPr>
          <w:rFonts w:eastAsia="Times New Roman"/>
          <w:u w:val="single"/>
        </w:rPr>
        <w:t xml:space="preserve"> sea-level rise would </w:t>
      </w:r>
      <w:r w:rsidRPr="00020CF7">
        <w:rPr>
          <w:rFonts w:eastAsia="Times New Roman"/>
          <w:b/>
          <w:bCs/>
          <w:u w:val="single"/>
        </w:rPr>
        <w:t>likely</w:t>
      </w:r>
      <w:r w:rsidRPr="00020CF7">
        <w:rPr>
          <w:rFonts w:eastAsia="Times New Roman"/>
          <w:u w:val="single"/>
        </w:rPr>
        <w:t xml:space="preserve"> </w:t>
      </w:r>
      <w:r w:rsidRPr="002B5286">
        <w:rPr>
          <w:rFonts w:eastAsia="Times New Roman"/>
          <w:highlight w:val="cyan"/>
          <w:u w:val="single"/>
        </w:rPr>
        <w:t>lead to</w:t>
      </w:r>
      <w:r w:rsidRPr="00020CF7">
        <w:rPr>
          <w:rFonts w:eastAsia="Times New Roman"/>
          <w:u w:val="single"/>
        </w:rPr>
        <w:t xml:space="preserve"> “</w:t>
      </w:r>
      <w:r w:rsidRPr="00020CF7">
        <w:rPr>
          <w:rFonts w:eastAsia="Times New Roman"/>
          <w:b/>
          <w:bCs/>
          <w:u w:val="single"/>
        </w:rPr>
        <w:t xml:space="preserve">outright </w:t>
      </w:r>
      <w:r w:rsidRPr="002B5286">
        <w:rPr>
          <w:rFonts w:eastAsia="Times New Roman"/>
          <w:b/>
          <w:bCs/>
          <w:highlight w:val="cyan"/>
          <w:u w:val="single"/>
        </w:rPr>
        <w:t>chaos</w:t>
      </w:r>
      <w:r w:rsidRPr="00020CF7">
        <w:rPr>
          <w:rFonts w:eastAsia="Times New Roman"/>
          <w:u w:val="single"/>
        </w:rPr>
        <w:t xml:space="preserve">” </w:t>
      </w:r>
      <w:r w:rsidRPr="002B5286">
        <w:rPr>
          <w:rFonts w:eastAsia="Times New Roman"/>
          <w:highlight w:val="cyan"/>
          <w:u w:val="single"/>
        </w:rPr>
        <w:t>and</w:t>
      </w:r>
      <w:r w:rsidRPr="00020CF7">
        <w:rPr>
          <w:rFonts w:eastAsia="Times New Roman"/>
          <w:u w:val="single"/>
        </w:rPr>
        <w:t xml:space="preserve"> “</w:t>
      </w:r>
      <w:r w:rsidRPr="002B5286">
        <w:rPr>
          <w:rFonts w:eastAsia="Times New Roman"/>
          <w:b/>
          <w:bCs/>
          <w:highlight w:val="cyan"/>
          <w:u w:val="single"/>
        </w:rPr>
        <w:t>nuclear war</w:t>
      </w:r>
      <w:r w:rsidRPr="00020CF7">
        <w:rPr>
          <w:rFonts w:eastAsia="Times New Roman"/>
          <w:sz w:val="16"/>
        </w:rPr>
        <w:t xml:space="preserve"> is possible”, </w:t>
      </w:r>
      <w:proofErr w:type="spellStart"/>
      <w:r w:rsidRPr="00020CF7">
        <w:rPr>
          <w:rFonts w:eastAsia="Times New Roman"/>
          <w:sz w:val="16"/>
        </w:rPr>
        <w:t>emphasising</w:t>
      </w:r>
      <w:proofErr w:type="spellEnd"/>
      <w:r w:rsidRPr="00020CF7">
        <w:rPr>
          <w:rFonts w:eastAsia="Times New Roman"/>
          <w:sz w:val="16"/>
        </w:rPr>
        <w:t xml:space="preserve"> how “massive non-linear events in the global </w:t>
      </w:r>
      <w:r w:rsidRPr="00020CF7">
        <w:rPr>
          <w:rFonts w:eastAsia="Times New Roman"/>
          <w:sz w:val="16"/>
        </w:rPr>
        <w:lastRenderedPageBreak/>
        <w:t xml:space="preserve">environment </w:t>
      </w:r>
      <w:r w:rsidRPr="00020CF7">
        <w:rPr>
          <w:rFonts w:eastAsia="Times New Roman"/>
          <w:u w:val="single"/>
        </w:rPr>
        <w:t xml:space="preserve">give rise to massive </w:t>
      </w:r>
      <w:r w:rsidRPr="00020CF7">
        <w:rPr>
          <w:rFonts w:eastAsia="Times New Roman"/>
          <w:b/>
          <w:bCs/>
          <w:u w:val="single"/>
        </w:rPr>
        <w:t>nonlinear societal events</w:t>
      </w:r>
      <w:r w:rsidRPr="00020CF7">
        <w:rPr>
          <w:rFonts w:eastAsia="Times New Roman"/>
          <w:sz w:val="16"/>
        </w:rPr>
        <w:t xml:space="preserve">”.33 The Global Challenges Foundation (GCF) explains what could happen: </w:t>
      </w:r>
    </w:p>
    <w:p w14:paraId="25DB7E6F" w14:textId="77777777" w:rsidR="002B5286" w:rsidRPr="00020CF7" w:rsidRDefault="002B5286" w:rsidP="002B5286">
      <w:pPr>
        <w:spacing w:line="240" w:lineRule="auto"/>
        <w:rPr>
          <w:rFonts w:eastAsia="Times New Roman"/>
          <w:sz w:val="16"/>
        </w:rPr>
      </w:pPr>
      <w:r w:rsidRPr="00020CF7">
        <w:rPr>
          <w:rFonts w:eastAsia="Times New Roman"/>
          <w:sz w:val="16"/>
        </w:rPr>
        <w:t xml:space="preserve">“If climate change was to reach 3°C, </w:t>
      </w:r>
      <w:r w:rsidRPr="00020CF7">
        <w:rPr>
          <w:rFonts w:eastAsia="Times New Roman"/>
          <w:u w:val="single"/>
        </w:rPr>
        <w:t xml:space="preserve">most of Bangladesh and Florida would drown, while major </w:t>
      </w:r>
      <w:r w:rsidRPr="002B5286">
        <w:rPr>
          <w:rFonts w:eastAsia="Times New Roman"/>
          <w:b/>
          <w:bCs/>
          <w:highlight w:val="cyan"/>
          <w:u w:val="single"/>
        </w:rPr>
        <w:t>coastal cities</w:t>
      </w:r>
      <w:r w:rsidRPr="00020CF7">
        <w:rPr>
          <w:rFonts w:eastAsia="Times New Roman"/>
          <w:u w:val="single"/>
        </w:rPr>
        <w:t xml:space="preserve"> — Shanghai, Lagos, Mumbai — </w:t>
      </w:r>
      <w:r w:rsidRPr="002B5286">
        <w:rPr>
          <w:rFonts w:eastAsia="Times New Roman"/>
          <w:highlight w:val="cyan"/>
          <w:u w:val="single"/>
        </w:rPr>
        <w:t xml:space="preserve">would be </w:t>
      </w:r>
      <w:r w:rsidRPr="002B5286">
        <w:rPr>
          <w:rFonts w:eastAsia="Times New Roman"/>
          <w:b/>
          <w:bCs/>
          <w:highlight w:val="cyan"/>
          <w:u w:val="single"/>
        </w:rPr>
        <w:t>swamped</w:t>
      </w:r>
      <w:r w:rsidRPr="00020CF7">
        <w:rPr>
          <w:rFonts w:eastAsia="Times New Roman"/>
          <w:sz w:val="16"/>
        </w:rPr>
        <w:t xml:space="preserve">, likely </w:t>
      </w:r>
      <w:r w:rsidRPr="00020CF7">
        <w:rPr>
          <w:rFonts w:eastAsia="Times New Roman"/>
          <w:u w:val="single"/>
        </w:rPr>
        <w:t xml:space="preserve">creating large flows of </w:t>
      </w:r>
      <w:r w:rsidRPr="00020CF7">
        <w:rPr>
          <w:rFonts w:eastAsia="Times New Roman"/>
          <w:b/>
          <w:bCs/>
          <w:u w:val="single"/>
        </w:rPr>
        <w:t>climate refugees</w:t>
      </w:r>
      <w:r w:rsidRPr="00020CF7">
        <w:rPr>
          <w:rFonts w:eastAsia="Times New Roman"/>
          <w:sz w:val="16"/>
        </w:rPr>
        <w:t xml:space="preserve">. Most regions in </w:t>
      </w:r>
      <w:r w:rsidRPr="00020CF7">
        <w:rPr>
          <w:rFonts w:eastAsia="Times New Roman"/>
          <w:u w:val="single"/>
        </w:rPr>
        <w:t xml:space="preserve">the world would see a </w:t>
      </w:r>
      <w:r w:rsidRPr="002B5286">
        <w:rPr>
          <w:rFonts w:eastAsia="Times New Roman"/>
          <w:b/>
          <w:bCs/>
          <w:highlight w:val="cyan"/>
          <w:u w:val="single"/>
        </w:rPr>
        <w:t>significant drop</w:t>
      </w:r>
      <w:r w:rsidRPr="002B5286">
        <w:rPr>
          <w:rFonts w:eastAsia="Times New Roman"/>
          <w:highlight w:val="cyan"/>
          <w:u w:val="single"/>
        </w:rPr>
        <w:t xml:space="preserve"> in </w:t>
      </w:r>
      <w:r w:rsidRPr="002B5286">
        <w:rPr>
          <w:rFonts w:eastAsia="Times New Roman"/>
          <w:b/>
          <w:bCs/>
          <w:highlight w:val="cyan"/>
          <w:u w:val="single"/>
        </w:rPr>
        <w:t>food production</w:t>
      </w:r>
      <w:r w:rsidRPr="00020CF7">
        <w:rPr>
          <w:rFonts w:eastAsia="Times New Roman"/>
          <w:u w:val="single"/>
        </w:rPr>
        <w:t xml:space="preserve"> and</w:t>
      </w:r>
      <w:r w:rsidRPr="00020CF7">
        <w:rPr>
          <w:rFonts w:eastAsia="Times New Roman"/>
          <w:sz w:val="16"/>
        </w:rPr>
        <w:t xml:space="preserve"> increasing numbers of </w:t>
      </w:r>
      <w:r w:rsidRPr="00020CF7">
        <w:rPr>
          <w:rFonts w:eastAsia="Times New Roman"/>
          <w:b/>
          <w:bCs/>
          <w:u w:val="single"/>
        </w:rPr>
        <w:t>extreme weather events</w:t>
      </w:r>
      <w:r w:rsidRPr="00020CF7">
        <w:rPr>
          <w:rFonts w:eastAsia="Times New Roman"/>
          <w:u w:val="single"/>
        </w:rPr>
        <w:t>,</w:t>
      </w:r>
      <w:r w:rsidRPr="00020CF7">
        <w:rPr>
          <w:rFonts w:eastAsia="Times New Roman"/>
          <w:sz w:val="16"/>
        </w:rPr>
        <w:t xml:space="preserve"> whether heat waves, floods or storms. This likely scenario for a 3°C rise does not take into account the </w:t>
      </w:r>
      <w:r w:rsidRPr="00020CF7">
        <w:rPr>
          <w:rFonts w:eastAsia="Times New Roman"/>
          <w:u w:val="single"/>
        </w:rPr>
        <w:t xml:space="preserve">considerable risk that </w:t>
      </w:r>
      <w:r w:rsidRPr="002B5286">
        <w:rPr>
          <w:rFonts w:eastAsia="Times New Roman"/>
          <w:b/>
          <w:bCs/>
          <w:highlight w:val="cyan"/>
          <w:u w:val="single"/>
        </w:rPr>
        <w:t>self-reinforcing feedback loops</w:t>
      </w:r>
      <w:r w:rsidRPr="00020CF7">
        <w:rPr>
          <w:rFonts w:eastAsia="Times New Roman"/>
          <w:u w:val="single"/>
        </w:rPr>
        <w:t xml:space="preserve"> set in when a certain threshold is reached, </w:t>
      </w:r>
      <w:r w:rsidRPr="002B5286">
        <w:rPr>
          <w:rFonts w:eastAsia="Times New Roman"/>
          <w:highlight w:val="cyan"/>
          <w:u w:val="single"/>
        </w:rPr>
        <w:t>leading to</w:t>
      </w:r>
      <w:r w:rsidRPr="00020CF7">
        <w:rPr>
          <w:rFonts w:eastAsia="Times New Roman"/>
          <w:u w:val="single"/>
        </w:rPr>
        <w:t xml:space="preserve"> an </w:t>
      </w:r>
      <w:proofErr w:type="gramStart"/>
      <w:r w:rsidRPr="002B5286">
        <w:rPr>
          <w:rFonts w:eastAsia="Times New Roman"/>
          <w:b/>
          <w:bCs/>
          <w:highlight w:val="cyan"/>
          <w:u w:val="single"/>
        </w:rPr>
        <w:t>ever increasing</w:t>
      </w:r>
      <w:proofErr w:type="gramEnd"/>
      <w:r w:rsidRPr="00020CF7">
        <w:rPr>
          <w:rFonts w:eastAsia="Times New Roman"/>
          <w:u w:val="single"/>
        </w:rPr>
        <w:t xml:space="preserve"> rise in </w:t>
      </w:r>
      <w:r w:rsidRPr="002B5286">
        <w:rPr>
          <w:rFonts w:eastAsia="Times New Roman"/>
          <w:highlight w:val="cyan"/>
          <w:u w:val="single"/>
        </w:rPr>
        <w:t>temperature</w:t>
      </w:r>
      <w:r w:rsidRPr="00020CF7">
        <w:rPr>
          <w:rFonts w:eastAsia="Times New Roman"/>
          <w:sz w:val="16"/>
        </w:rPr>
        <w:t xml:space="preserve">. Potential </w:t>
      </w:r>
      <w:r w:rsidRPr="002B5286">
        <w:rPr>
          <w:rFonts w:eastAsia="Times New Roman"/>
          <w:highlight w:val="cyan"/>
          <w:u w:val="single"/>
        </w:rPr>
        <w:t>thresholds include</w:t>
      </w:r>
      <w:r w:rsidRPr="00020CF7">
        <w:rPr>
          <w:rFonts w:eastAsia="Times New Roman"/>
          <w:sz w:val="16"/>
        </w:rPr>
        <w:t xml:space="preserve"> the </w:t>
      </w:r>
      <w:r w:rsidRPr="00020CF7">
        <w:rPr>
          <w:rFonts w:eastAsia="Times New Roman"/>
          <w:u w:val="single"/>
        </w:rPr>
        <w:t>melting</w:t>
      </w:r>
      <w:r w:rsidRPr="00020CF7">
        <w:rPr>
          <w:rFonts w:eastAsia="Times New Roman"/>
          <w:sz w:val="16"/>
        </w:rPr>
        <w:t xml:space="preserve"> of the </w:t>
      </w:r>
      <w:r w:rsidRPr="00020CF7">
        <w:rPr>
          <w:rFonts w:eastAsia="Times New Roman"/>
          <w:b/>
          <w:bCs/>
          <w:u w:val="single"/>
        </w:rPr>
        <w:t xml:space="preserve">Arctic </w:t>
      </w:r>
      <w:r w:rsidRPr="002B5286">
        <w:rPr>
          <w:rFonts w:eastAsia="Times New Roman"/>
          <w:b/>
          <w:bCs/>
          <w:highlight w:val="cyan"/>
          <w:u w:val="single"/>
        </w:rPr>
        <w:t>permafrost</w:t>
      </w:r>
      <w:r w:rsidRPr="00020CF7">
        <w:rPr>
          <w:rFonts w:eastAsia="Times New Roman"/>
          <w:u w:val="single"/>
        </w:rPr>
        <w:t xml:space="preserve"> releasing </w:t>
      </w:r>
      <w:r w:rsidRPr="00020CF7">
        <w:rPr>
          <w:rFonts w:eastAsia="Times New Roman"/>
          <w:b/>
          <w:bCs/>
          <w:u w:val="single"/>
        </w:rPr>
        <w:t>methane</w:t>
      </w:r>
      <w:r w:rsidRPr="00020CF7">
        <w:rPr>
          <w:rFonts w:eastAsia="Times New Roman"/>
          <w:u w:val="single"/>
        </w:rPr>
        <w:t xml:space="preserve"> into the atmosphere, </w:t>
      </w:r>
      <w:r w:rsidRPr="002B5286">
        <w:rPr>
          <w:rFonts w:eastAsia="Times New Roman"/>
          <w:highlight w:val="cyan"/>
          <w:u w:val="single"/>
        </w:rPr>
        <w:t>forest dieback</w:t>
      </w:r>
      <w:r w:rsidRPr="00020CF7">
        <w:rPr>
          <w:rFonts w:eastAsia="Times New Roman"/>
          <w:u w:val="single"/>
        </w:rPr>
        <w:t xml:space="preserve"> releasing</w:t>
      </w:r>
      <w:r w:rsidRPr="00020CF7">
        <w:rPr>
          <w:rFonts w:eastAsia="Times New Roman"/>
          <w:sz w:val="16"/>
        </w:rPr>
        <w:t xml:space="preserve"> the </w:t>
      </w:r>
      <w:r w:rsidRPr="00020CF7">
        <w:rPr>
          <w:rFonts w:eastAsia="Times New Roman"/>
          <w:u w:val="single"/>
        </w:rPr>
        <w:t>carbon</w:t>
      </w:r>
      <w:r w:rsidRPr="00020CF7">
        <w:rPr>
          <w:rFonts w:eastAsia="Times New Roman"/>
          <w:sz w:val="16"/>
        </w:rPr>
        <w:t xml:space="preserve"> currently stored in the Amazon and boreal forests, </w:t>
      </w:r>
      <w:r w:rsidRPr="002B5286">
        <w:rPr>
          <w:rFonts w:eastAsia="Times New Roman"/>
          <w:highlight w:val="cyan"/>
          <w:u w:val="single"/>
        </w:rPr>
        <w:t>or</w:t>
      </w:r>
      <w:r w:rsidRPr="00020CF7">
        <w:rPr>
          <w:rFonts w:eastAsia="Times New Roman"/>
          <w:u w:val="single"/>
        </w:rPr>
        <w:t xml:space="preserve"> the </w:t>
      </w:r>
      <w:r w:rsidRPr="002B5286">
        <w:rPr>
          <w:rFonts w:eastAsia="Times New Roman"/>
          <w:b/>
          <w:bCs/>
          <w:highlight w:val="cyan"/>
          <w:u w:val="single"/>
        </w:rPr>
        <w:t>melting</w:t>
      </w:r>
      <w:r w:rsidRPr="00020CF7">
        <w:rPr>
          <w:rFonts w:eastAsia="Times New Roman"/>
          <w:u w:val="single"/>
        </w:rPr>
        <w:t xml:space="preserve"> of </w:t>
      </w:r>
      <w:r w:rsidRPr="00020CF7">
        <w:rPr>
          <w:rFonts w:eastAsia="Times New Roman"/>
          <w:b/>
          <w:bCs/>
          <w:u w:val="single"/>
        </w:rPr>
        <w:t xml:space="preserve">polar </w:t>
      </w:r>
      <w:r w:rsidRPr="002B5286">
        <w:rPr>
          <w:rFonts w:eastAsia="Times New Roman"/>
          <w:b/>
          <w:bCs/>
          <w:highlight w:val="cyan"/>
          <w:u w:val="single"/>
        </w:rPr>
        <w:t>ice caps</w:t>
      </w:r>
      <w:r w:rsidRPr="00020CF7">
        <w:rPr>
          <w:rFonts w:eastAsia="Times New Roman"/>
          <w:sz w:val="16"/>
        </w:rPr>
        <w:t xml:space="preserve"> that would no longer reflect away light and heat from the sun.”34</w:t>
      </w:r>
    </w:p>
    <w:p w14:paraId="708E398B" w14:textId="77777777" w:rsidR="002B5286" w:rsidRPr="00020CF7" w:rsidRDefault="002B5286" w:rsidP="002B5286">
      <w:pPr>
        <w:spacing w:line="240" w:lineRule="auto"/>
        <w:rPr>
          <w:rFonts w:eastAsia="Times New Roman"/>
          <w:sz w:val="16"/>
        </w:rPr>
      </w:pPr>
      <w:r w:rsidRPr="00020CF7">
        <w:rPr>
          <w:rFonts w:eastAsia="Times New Roman"/>
          <w:sz w:val="16"/>
        </w:rPr>
        <w:t>Warming of 4°C or more could reduce the global human population by 80% or 90%,35 and the World Bank reports “</w:t>
      </w:r>
      <w:r w:rsidRPr="00020CF7">
        <w:rPr>
          <w:rFonts w:eastAsia="Times New Roman"/>
          <w:u w:val="single"/>
        </w:rPr>
        <w:t xml:space="preserve">there is </w:t>
      </w:r>
      <w:r w:rsidRPr="00020CF7">
        <w:rPr>
          <w:rFonts w:eastAsia="Times New Roman"/>
          <w:b/>
          <w:bCs/>
          <w:u w:val="single"/>
        </w:rPr>
        <w:t>no</w:t>
      </w:r>
      <w:r w:rsidRPr="00020CF7">
        <w:rPr>
          <w:rFonts w:eastAsia="Times New Roman"/>
          <w:sz w:val="16"/>
        </w:rPr>
        <w:t xml:space="preserve"> certainty that </w:t>
      </w:r>
      <w:r w:rsidRPr="00020CF7">
        <w:rPr>
          <w:rFonts w:eastAsia="Times New Roman"/>
          <w:b/>
          <w:bCs/>
          <w:u w:val="single"/>
        </w:rPr>
        <w:t>adaptation</w:t>
      </w:r>
      <w:r w:rsidRPr="00020CF7">
        <w:rPr>
          <w:rFonts w:eastAsia="Times New Roman"/>
          <w:u w:val="single"/>
        </w:rPr>
        <w:t xml:space="preserve"> to a 4°C world </w:t>
      </w:r>
      <w:r w:rsidRPr="00020CF7">
        <w:rPr>
          <w:rFonts w:eastAsia="Times New Roman"/>
          <w:sz w:val="16"/>
        </w:rPr>
        <w:t>is</w:t>
      </w:r>
      <w:r w:rsidRPr="00020CF7">
        <w:rPr>
          <w:rFonts w:eastAsia="Times New Roman"/>
          <w:u w:val="single"/>
        </w:rPr>
        <w:t xml:space="preserve"> </w:t>
      </w:r>
      <w:r w:rsidRPr="00020CF7">
        <w:rPr>
          <w:rFonts w:eastAsia="Times New Roman"/>
          <w:b/>
          <w:bCs/>
          <w:u w:val="single"/>
        </w:rPr>
        <w:t>possible</w:t>
      </w:r>
      <w:r w:rsidRPr="00020CF7">
        <w:rPr>
          <w:rFonts w:eastAsia="Times New Roman"/>
          <w:sz w:val="16"/>
        </w:rPr>
        <w:t xml:space="preserve">”.36 Prof. Kevin Anderson says a </w:t>
      </w:r>
      <w:r w:rsidRPr="00020CF7">
        <w:rPr>
          <w:rFonts w:eastAsia="Times New Roman"/>
          <w:u w:val="single"/>
        </w:rPr>
        <w:t xml:space="preserve">4°C future “is </w:t>
      </w:r>
      <w:r w:rsidRPr="00020CF7">
        <w:rPr>
          <w:rFonts w:eastAsia="Times New Roman"/>
          <w:b/>
          <w:bCs/>
          <w:u w:val="single"/>
        </w:rPr>
        <w:t>incompatible</w:t>
      </w:r>
      <w:r w:rsidRPr="00020CF7">
        <w:rPr>
          <w:rFonts w:eastAsia="Times New Roman"/>
          <w:u w:val="single"/>
        </w:rPr>
        <w:t xml:space="preserve"> with an organized global community, is</w:t>
      </w:r>
      <w:r w:rsidRPr="00020CF7">
        <w:rPr>
          <w:rFonts w:eastAsia="Times New Roman"/>
          <w:sz w:val="16"/>
        </w:rPr>
        <w:t xml:space="preserve"> likely to be </w:t>
      </w:r>
      <w:r w:rsidRPr="002B5286">
        <w:rPr>
          <w:rFonts w:eastAsia="Times New Roman"/>
          <w:b/>
          <w:bCs/>
          <w:highlight w:val="cyan"/>
          <w:u w:val="single"/>
        </w:rPr>
        <w:t>beyond ‘adaptation’</w:t>
      </w:r>
      <w:r w:rsidRPr="002B5286">
        <w:rPr>
          <w:rFonts w:eastAsia="Times New Roman"/>
          <w:highlight w:val="cyan"/>
          <w:u w:val="single"/>
        </w:rPr>
        <w:t>,</w:t>
      </w:r>
      <w:r w:rsidRPr="00020CF7">
        <w:rPr>
          <w:rFonts w:eastAsia="Times New Roman"/>
          <w:u w:val="single"/>
        </w:rPr>
        <w:t xml:space="preserve"> is </w:t>
      </w:r>
      <w:r w:rsidRPr="00020CF7">
        <w:rPr>
          <w:rFonts w:eastAsia="Times New Roman"/>
          <w:b/>
          <w:bCs/>
          <w:u w:val="single"/>
        </w:rPr>
        <w:t>devastating</w:t>
      </w:r>
      <w:r w:rsidRPr="00020CF7">
        <w:rPr>
          <w:rFonts w:eastAsia="Times New Roman"/>
          <w:u w:val="single"/>
        </w:rPr>
        <w:t xml:space="preserve"> to the majority of </w:t>
      </w:r>
      <w:r w:rsidRPr="00020CF7">
        <w:rPr>
          <w:rFonts w:eastAsia="Times New Roman"/>
          <w:b/>
          <w:bCs/>
          <w:u w:val="single"/>
        </w:rPr>
        <w:t>ecosystems</w:t>
      </w:r>
      <w:r w:rsidRPr="00020CF7">
        <w:rPr>
          <w:rFonts w:eastAsia="Times New Roman"/>
          <w:u w:val="single"/>
        </w:rPr>
        <w:t>, and has a high probability of not being stable</w:t>
      </w:r>
      <w:r w:rsidRPr="00020CF7">
        <w:rPr>
          <w:rFonts w:eastAsia="Times New Roman"/>
          <w:sz w:val="16"/>
        </w:rPr>
        <w:t>”.37 This is a commonly-held sentiment amongst climate scientists. A recent study by the European Commission’s Joint Research Centre found that if the global temperature rose 4°C, then extreme heatwaves with “apparent temperatures” peaking at over 55°C will begin to regularly affect many densely populated parts of the world, forcing much activity in the modern industrial world to stop.38 (“Apparent temperatures” refers to the Heat Index, which quantifies the combined effect of heat and humidity to provide people with a means of avoiding dangerous conditions.) In 2017, one of the first research papers to focus explicitly on existential climate risks proposed that “mitigation goals be set in terms of climate risk category instead of a temperature threshold</w:t>
      </w:r>
      <w:proofErr w:type="gramStart"/>
      <w:r w:rsidRPr="00020CF7">
        <w:rPr>
          <w:rFonts w:eastAsia="Times New Roman"/>
          <w:sz w:val="16"/>
        </w:rPr>
        <w:t>”, and</w:t>
      </w:r>
      <w:proofErr w:type="gramEnd"/>
      <w:r w:rsidRPr="00020CF7">
        <w:rPr>
          <w:rFonts w:eastAsia="Times New Roman"/>
          <w:sz w:val="16"/>
        </w:rPr>
        <w:t xml:space="preserve"> established a “dangerous” risk category of warming greater than 1.5°C, and a “catastrophic” category for warming of 3°C or more. The authors </w:t>
      </w:r>
      <w:proofErr w:type="spellStart"/>
      <w:r w:rsidRPr="00020CF7">
        <w:rPr>
          <w:rFonts w:eastAsia="Times New Roman"/>
          <w:sz w:val="16"/>
        </w:rPr>
        <w:t>focussed</w:t>
      </w:r>
      <w:proofErr w:type="spellEnd"/>
      <w:r w:rsidRPr="00020CF7">
        <w:rPr>
          <w:rFonts w:eastAsia="Times New Roman"/>
          <w:sz w:val="16"/>
        </w:rPr>
        <w:t xml:space="preserve"> on the impacts on the world’s poorest three billion people, on health and heat stress, and the impacts of climate extremes on such people with limited adaptation resources. They found that a 2°C warming “would double the land area subject to deadly heat and expose 48% of the population (to deadly heat). A 4°C warming by 2100 would subject 47% of the land area and almost 74% of the world population to deadly heat, which could pose existential risks to humans and mammals alike unless massive adaptation measures are implemented.”39 A 2017 survey of global catastrophic risks by the Global Challenges Foundation found that: “In high-end [climate] scenarios, </w:t>
      </w:r>
      <w:r w:rsidRPr="002B5286">
        <w:rPr>
          <w:rFonts w:eastAsia="Times New Roman"/>
          <w:highlight w:val="cyan"/>
          <w:u w:val="single"/>
        </w:rPr>
        <w:t xml:space="preserve">the </w:t>
      </w:r>
      <w:r w:rsidRPr="002B5286">
        <w:rPr>
          <w:rFonts w:eastAsia="Times New Roman"/>
          <w:b/>
          <w:bCs/>
          <w:highlight w:val="cyan"/>
          <w:u w:val="single"/>
        </w:rPr>
        <w:t>scale</w:t>
      </w:r>
      <w:r w:rsidRPr="00020CF7">
        <w:rPr>
          <w:rFonts w:eastAsia="Times New Roman"/>
          <w:b/>
          <w:bCs/>
          <w:u w:val="single"/>
        </w:rPr>
        <w:t xml:space="preserve"> of destruction</w:t>
      </w:r>
      <w:r w:rsidRPr="00020CF7">
        <w:rPr>
          <w:rFonts w:eastAsia="Times New Roman"/>
          <w:u w:val="single"/>
        </w:rPr>
        <w:t xml:space="preserve"> </w:t>
      </w:r>
      <w:r w:rsidRPr="002B5286">
        <w:rPr>
          <w:rFonts w:eastAsia="Times New Roman"/>
          <w:highlight w:val="cyan"/>
          <w:u w:val="single"/>
        </w:rPr>
        <w:t xml:space="preserve">is </w:t>
      </w:r>
      <w:r w:rsidRPr="002B5286">
        <w:rPr>
          <w:rFonts w:eastAsia="Times New Roman"/>
          <w:b/>
          <w:bCs/>
          <w:highlight w:val="cyan"/>
          <w:u w:val="single"/>
        </w:rPr>
        <w:t>beyond</w:t>
      </w:r>
      <w:r w:rsidRPr="00020CF7">
        <w:rPr>
          <w:rFonts w:eastAsia="Times New Roman"/>
          <w:u w:val="single"/>
        </w:rPr>
        <w:t xml:space="preserve"> our </w:t>
      </w:r>
      <w:r w:rsidRPr="002B5286">
        <w:rPr>
          <w:rFonts w:eastAsia="Times New Roman"/>
          <w:b/>
          <w:bCs/>
          <w:highlight w:val="cyan"/>
          <w:u w:val="single"/>
        </w:rPr>
        <w:t>capacity to model</w:t>
      </w:r>
      <w:r w:rsidRPr="002B5286">
        <w:rPr>
          <w:rFonts w:eastAsia="Times New Roman"/>
          <w:highlight w:val="cyan"/>
          <w:u w:val="single"/>
        </w:rPr>
        <w:t xml:space="preserve">, with a </w:t>
      </w:r>
      <w:r w:rsidRPr="002B5286">
        <w:rPr>
          <w:rFonts w:eastAsia="Times New Roman"/>
          <w:b/>
          <w:bCs/>
          <w:highlight w:val="cyan"/>
          <w:u w:val="single"/>
        </w:rPr>
        <w:t>high likelihood</w:t>
      </w:r>
      <w:r w:rsidRPr="002B5286">
        <w:rPr>
          <w:rFonts w:eastAsia="Times New Roman"/>
          <w:highlight w:val="cyan"/>
          <w:u w:val="single"/>
        </w:rPr>
        <w:t xml:space="preserve"> of </w:t>
      </w:r>
      <w:r w:rsidRPr="002B5286">
        <w:rPr>
          <w:rFonts w:eastAsia="Times New Roman"/>
          <w:b/>
          <w:bCs/>
          <w:highlight w:val="cyan"/>
          <w:u w:val="single"/>
        </w:rPr>
        <w:t>human civilization</w:t>
      </w:r>
      <w:r w:rsidRPr="002B5286">
        <w:rPr>
          <w:rFonts w:eastAsia="Times New Roman"/>
          <w:highlight w:val="cyan"/>
          <w:u w:val="single"/>
        </w:rPr>
        <w:t xml:space="preserve"> coming to an </w:t>
      </w:r>
      <w:r w:rsidRPr="002B5286">
        <w:rPr>
          <w:rFonts w:eastAsia="Times New Roman"/>
          <w:b/>
          <w:bCs/>
          <w:highlight w:val="cyan"/>
          <w:u w:val="single"/>
        </w:rPr>
        <w:t>end</w:t>
      </w:r>
      <w:r w:rsidRPr="00020CF7">
        <w:rPr>
          <w:rFonts w:eastAsia="Times New Roman"/>
          <w:sz w:val="16"/>
        </w:rPr>
        <w:t xml:space="preserve">.”40 84% of 8000 people in eight countries surveyed for the Foundation considered climate change </w:t>
      </w:r>
      <w:r w:rsidRPr="002B5286">
        <w:rPr>
          <w:rFonts w:eastAsia="Times New Roman"/>
          <w:b/>
          <w:bCs/>
          <w:iCs/>
          <w:highlight w:val="cyan"/>
          <w:u w:val="single"/>
        </w:rPr>
        <w:t xml:space="preserve">a </w:t>
      </w:r>
      <w:r w:rsidRPr="002B5286">
        <w:rPr>
          <w:rFonts w:eastAsia="Times New Roman"/>
          <w:b/>
          <w:iCs/>
          <w:highlight w:val="cyan"/>
          <w:u w:val="single"/>
        </w:rPr>
        <w:t>“global catastrophic risk</w:t>
      </w:r>
      <w:r w:rsidRPr="00020CF7">
        <w:rPr>
          <w:rFonts w:eastAsia="Times New Roman"/>
          <w:sz w:val="16"/>
        </w:rPr>
        <w:t xml:space="preserve">”.41 </w:t>
      </w:r>
      <w:r w:rsidRPr="00020CF7">
        <w:rPr>
          <w:rFonts w:eastAsia="Times New Roman"/>
          <w:u w:val="single"/>
        </w:rPr>
        <w:t>Existential risk</w:t>
      </w:r>
      <w:r w:rsidRPr="00020CF7">
        <w:rPr>
          <w:rFonts w:eastAsia="Times New Roman"/>
          <w:sz w:val="16"/>
        </w:rPr>
        <w:t xml:space="preserve"> may </w:t>
      </w:r>
      <w:r w:rsidRPr="00020CF7">
        <w:rPr>
          <w:rFonts w:eastAsia="Times New Roman"/>
          <w:u w:val="single"/>
        </w:rPr>
        <w:t xml:space="preserve">arise from a </w:t>
      </w:r>
      <w:r w:rsidRPr="00020CF7">
        <w:rPr>
          <w:rFonts w:eastAsia="Times New Roman"/>
          <w:b/>
          <w:bCs/>
          <w:u w:val="single"/>
        </w:rPr>
        <w:t>fast rate of</w:t>
      </w:r>
      <w:r w:rsidRPr="00020CF7">
        <w:rPr>
          <w:rFonts w:eastAsia="Times New Roman"/>
          <w:u w:val="single"/>
        </w:rPr>
        <w:t xml:space="preserve"> </w:t>
      </w:r>
      <w:r w:rsidRPr="00020CF7">
        <w:rPr>
          <w:rFonts w:eastAsia="Times New Roman"/>
          <w:b/>
          <w:bCs/>
          <w:u w:val="single"/>
        </w:rPr>
        <w:t>system change</w:t>
      </w:r>
      <w:r w:rsidRPr="00020CF7">
        <w:rPr>
          <w:rFonts w:eastAsia="Times New Roman"/>
          <w:u w:val="single"/>
        </w:rPr>
        <w:t xml:space="preserve">, since the capacity to adapt, </w:t>
      </w:r>
      <w:r w:rsidRPr="00020CF7">
        <w:rPr>
          <w:rFonts w:eastAsia="Times New Roman"/>
          <w:sz w:val="16"/>
        </w:rPr>
        <w:t>in both the natural and human worlds,</w:t>
      </w:r>
      <w:r w:rsidRPr="00020CF7">
        <w:rPr>
          <w:rFonts w:eastAsia="Times New Roman"/>
          <w:u w:val="single"/>
        </w:rPr>
        <w:t xml:space="preserve"> is </w:t>
      </w:r>
      <w:r w:rsidRPr="00020CF7">
        <w:rPr>
          <w:rFonts w:eastAsia="Times New Roman"/>
          <w:b/>
          <w:bCs/>
          <w:u w:val="single"/>
        </w:rPr>
        <w:t>inversely proportional</w:t>
      </w:r>
      <w:r w:rsidRPr="00020CF7">
        <w:rPr>
          <w:rFonts w:eastAsia="Times New Roman"/>
          <w:u w:val="single"/>
        </w:rPr>
        <w:t xml:space="preserve"> to the </w:t>
      </w:r>
      <w:r w:rsidRPr="00020CF7">
        <w:rPr>
          <w:rFonts w:eastAsia="Times New Roman"/>
          <w:b/>
          <w:bCs/>
          <w:u w:val="single"/>
        </w:rPr>
        <w:t>pace of change</w:t>
      </w:r>
      <w:r w:rsidRPr="00020CF7">
        <w:rPr>
          <w:rFonts w:eastAsia="Times New Roman"/>
          <w:sz w:val="16"/>
        </w:rPr>
        <w:t>, amongst other factors. In 2004, researchers reported on the rate of warming as a driver of extinction.42 Given we are now on a 3–5°C warming path this century, their findings are instructive:</w:t>
      </w:r>
    </w:p>
    <w:p w14:paraId="1B4285CE" w14:textId="77777777" w:rsidR="002B5286" w:rsidRPr="00020CF7" w:rsidRDefault="002B5286" w:rsidP="002B5286">
      <w:pPr>
        <w:spacing w:line="240" w:lineRule="auto"/>
        <w:rPr>
          <w:rFonts w:eastAsia="Times New Roman"/>
          <w:sz w:val="12"/>
          <w:szCs w:val="12"/>
        </w:rPr>
      </w:pPr>
      <w:r w:rsidRPr="00020CF7">
        <w:rPr>
          <w:rFonts w:eastAsia="Times New Roman"/>
          <w:sz w:val="12"/>
          <w:szCs w:val="12"/>
        </w:rPr>
        <w:t xml:space="preserve">• If the rate of change is 0.3°C per decade (3°C per century), 15% of ecosystems will not be able to adapt. </w:t>
      </w:r>
    </w:p>
    <w:p w14:paraId="6213F07F" w14:textId="77777777" w:rsidR="002B5286" w:rsidRPr="00020CF7" w:rsidRDefault="002B5286" w:rsidP="002B5286">
      <w:pPr>
        <w:spacing w:line="240" w:lineRule="auto"/>
        <w:rPr>
          <w:rFonts w:eastAsia="Times New Roman"/>
          <w:sz w:val="16"/>
        </w:rPr>
      </w:pPr>
      <w:r w:rsidRPr="00020CF7">
        <w:rPr>
          <w:rFonts w:eastAsia="Times New Roman"/>
          <w:sz w:val="16"/>
        </w:rPr>
        <w:t xml:space="preserve">• If the rate should exceed 0.4°C per decade, </w:t>
      </w:r>
      <w:r w:rsidRPr="002B5286">
        <w:rPr>
          <w:rFonts w:eastAsia="Times New Roman"/>
          <w:b/>
          <w:bCs/>
          <w:highlight w:val="cyan"/>
          <w:u w:val="single"/>
        </w:rPr>
        <w:t>all ecosystems</w:t>
      </w:r>
      <w:r w:rsidRPr="002B5286">
        <w:rPr>
          <w:rFonts w:eastAsia="Times New Roman"/>
          <w:highlight w:val="cyan"/>
          <w:u w:val="single"/>
        </w:rPr>
        <w:t xml:space="preserve"> will be </w:t>
      </w:r>
      <w:r w:rsidRPr="002B5286">
        <w:rPr>
          <w:rFonts w:eastAsia="Times New Roman"/>
          <w:b/>
          <w:bCs/>
          <w:highlight w:val="cyan"/>
          <w:u w:val="single"/>
        </w:rPr>
        <w:t>quickly destroyed</w:t>
      </w:r>
      <w:r w:rsidRPr="00020CF7">
        <w:rPr>
          <w:rFonts w:eastAsia="Times New Roman"/>
          <w:sz w:val="16"/>
        </w:rPr>
        <w:t xml:space="preserve">, opportunistic species will dominate, and </w:t>
      </w:r>
      <w:r w:rsidRPr="00020CF7">
        <w:rPr>
          <w:rFonts w:eastAsia="Times New Roman"/>
          <w:u w:val="single"/>
        </w:rPr>
        <w:t xml:space="preserve">the breakdown of biological material will lead to </w:t>
      </w:r>
      <w:r w:rsidRPr="00020CF7">
        <w:rPr>
          <w:rFonts w:eastAsia="Times New Roman"/>
          <w:b/>
          <w:bCs/>
          <w:u w:val="single"/>
        </w:rPr>
        <w:t>even greater emissions</w:t>
      </w:r>
      <w:r w:rsidRPr="00020CF7">
        <w:rPr>
          <w:rFonts w:eastAsia="Times New Roman"/>
          <w:sz w:val="16"/>
        </w:rPr>
        <w:t xml:space="preserve"> of CO2. </w:t>
      </w:r>
    </w:p>
    <w:p w14:paraId="31FE2EF9" w14:textId="77777777" w:rsidR="002B5286" w:rsidRPr="00020CF7" w:rsidRDefault="002B5286" w:rsidP="002B5286">
      <w:pPr>
        <w:spacing w:line="240" w:lineRule="auto"/>
        <w:rPr>
          <w:rFonts w:eastAsia="Times New Roman"/>
          <w:sz w:val="16"/>
        </w:rPr>
      </w:pPr>
      <w:r w:rsidRPr="00020CF7">
        <w:rPr>
          <w:rFonts w:eastAsia="Times New Roman"/>
          <w:sz w:val="16"/>
        </w:rPr>
        <w:t>At 4°C of warming “</w:t>
      </w:r>
      <w:r w:rsidRPr="002B5286">
        <w:rPr>
          <w:rFonts w:eastAsia="Times New Roman"/>
          <w:highlight w:val="cyan"/>
          <w:u w:val="single"/>
        </w:rPr>
        <w:t xml:space="preserve">the </w:t>
      </w:r>
      <w:r w:rsidRPr="002B5286">
        <w:rPr>
          <w:rFonts w:eastAsia="Times New Roman"/>
          <w:b/>
          <w:bCs/>
          <w:highlight w:val="cyan"/>
          <w:u w:val="single"/>
        </w:rPr>
        <w:t>limits for adaptation</w:t>
      </w:r>
      <w:r w:rsidRPr="00020CF7">
        <w:rPr>
          <w:rFonts w:eastAsia="Times New Roman"/>
          <w:u w:val="single"/>
        </w:rPr>
        <w:t xml:space="preserve"> for natural systems </w:t>
      </w:r>
      <w:r w:rsidRPr="002B5286">
        <w:rPr>
          <w:rFonts w:eastAsia="Times New Roman"/>
          <w:highlight w:val="cyan"/>
          <w:u w:val="single"/>
        </w:rPr>
        <w:t xml:space="preserve">would </w:t>
      </w:r>
      <w:r w:rsidRPr="00020CF7">
        <w:rPr>
          <w:rFonts w:eastAsia="Times New Roman"/>
          <w:u w:val="single"/>
        </w:rPr>
        <w:t xml:space="preserve">largely </w:t>
      </w:r>
      <w:r w:rsidRPr="002B5286">
        <w:rPr>
          <w:rFonts w:eastAsia="Times New Roman"/>
          <w:highlight w:val="cyan"/>
          <w:u w:val="single"/>
        </w:rPr>
        <w:t xml:space="preserve">be </w:t>
      </w:r>
      <w:r w:rsidRPr="002B5286">
        <w:rPr>
          <w:rFonts w:eastAsia="Times New Roman"/>
          <w:b/>
          <w:bCs/>
          <w:highlight w:val="cyan"/>
          <w:u w:val="single"/>
        </w:rPr>
        <w:t>exceeded</w:t>
      </w:r>
      <w:r w:rsidRPr="00020CF7">
        <w:rPr>
          <w:rFonts w:eastAsia="Times New Roman"/>
          <w:u w:val="single"/>
        </w:rPr>
        <w:t xml:space="preserve"> throughout the </w:t>
      </w:r>
      <w:r w:rsidRPr="00020CF7">
        <w:rPr>
          <w:rStyle w:val="StyleUnderline"/>
        </w:rPr>
        <w:t>world</w:t>
      </w:r>
      <w:r w:rsidRPr="00020CF7">
        <w:rPr>
          <w:rFonts w:eastAsia="Times New Roman"/>
          <w:sz w:val="16"/>
        </w:rPr>
        <w:t xml:space="preserve">”.43 </w:t>
      </w:r>
      <w:r w:rsidRPr="002B5286">
        <w:rPr>
          <w:rFonts w:eastAsia="Times New Roman"/>
          <w:b/>
          <w:bCs/>
          <w:highlight w:val="cyan"/>
          <w:u w:val="single"/>
        </w:rPr>
        <w:t>Ecological breakdown</w:t>
      </w:r>
      <w:r w:rsidRPr="00020CF7">
        <w:rPr>
          <w:rFonts w:eastAsia="Times New Roman"/>
          <w:u w:val="single"/>
        </w:rPr>
        <w:t xml:space="preserve"> of this scale </w:t>
      </w:r>
      <w:r w:rsidRPr="002B5286">
        <w:rPr>
          <w:rFonts w:eastAsia="Times New Roman"/>
          <w:highlight w:val="cyan"/>
          <w:u w:val="single"/>
        </w:rPr>
        <w:t xml:space="preserve">would </w:t>
      </w:r>
      <w:r w:rsidRPr="002B5286">
        <w:rPr>
          <w:rFonts w:eastAsia="Times New Roman"/>
          <w:b/>
          <w:bCs/>
          <w:highlight w:val="cyan"/>
          <w:u w:val="single"/>
        </w:rPr>
        <w:t>ensure</w:t>
      </w:r>
      <w:r w:rsidRPr="002B5286">
        <w:rPr>
          <w:rFonts w:eastAsia="Times New Roman"/>
          <w:highlight w:val="cyan"/>
          <w:u w:val="single"/>
        </w:rPr>
        <w:t xml:space="preserve"> an </w:t>
      </w:r>
      <w:r w:rsidRPr="002B5286">
        <w:rPr>
          <w:rFonts w:eastAsia="Times New Roman"/>
          <w:b/>
          <w:bCs/>
          <w:highlight w:val="cyan"/>
          <w:u w:val="single"/>
        </w:rPr>
        <w:t>existential human crisis</w:t>
      </w:r>
      <w:r w:rsidRPr="00020CF7">
        <w:rPr>
          <w:rFonts w:eastAsia="Times New Roman"/>
          <w:sz w:val="16"/>
        </w:rPr>
        <w:t xml:space="preserve">. By slow degrees, these existential risks are being </w:t>
      </w:r>
      <w:proofErr w:type="spellStart"/>
      <w:r w:rsidRPr="00020CF7">
        <w:rPr>
          <w:rFonts w:eastAsia="Times New Roman"/>
          <w:sz w:val="16"/>
        </w:rPr>
        <w:t>recognised</w:t>
      </w:r>
      <w:proofErr w:type="spellEnd"/>
      <w:r w:rsidRPr="00020CF7">
        <w:rPr>
          <w:rFonts w:eastAsia="Times New Roman"/>
          <w:sz w:val="16"/>
        </w:rPr>
        <w:t xml:space="preserve">. In May 2018, an inquiry by the Australian Senate into national security and global warming </w:t>
      </w:r>
      <w:proofErr w:type="spellStart"/>
      <w:r w:rsidRPr="00020CF7">
        <w:rPr>
          <w:rFonts w:eastAsia="Times New Roman"/>
          <w:sz w:val="16"/>
        </w:rPr>
        <w:t>recognised</w:t>
      </w:r>
      <w:proofErr w:type="spellEnd"/>
      <w:r w:rsidRPr="00020CF7">
        <w:rPr>
          <w:rFonts w:eastAsia="Times New Roman"/>
          <w:sz w:val="16"/>
        </w:rPr>
        <w:t xml:space="preserve"> “climate change as a current and existential national security risk… defined as ‘one that threatens the premature extinction of Earth-originating intelligent life or the permanent and drastic destruction of its potential for desirable future development’”.44 In April 2018, the Intelligence on European Pensions and Institutional Investment think-tank warned business leaders that “climate change is an existential risk whose elimination must become a corporate objective”.45 However the most recent IPCC Assessment Report did not consider the issue. Whilst the term “risk management” appears in the 2014 IPCC Synthesis Report fourteen times, the terms “existential” and “catastrophic” do not appear. </w:t>
      </w:r>
    </w:p>
    <w:p w14:paraId="38AFB874" w14:textId="77777777" w:rsidR="002B5286" w:rsidRDefault="002B5286" w:rsidP="002B5286">
      <w:pPr>
        <w:spacing w:line="240" w:lineRule="auto"/>
        <w:rPr>
          <w:rFonts w:eastAsia="Times New Roman"/>
          <w:sz w:val="16"/>
        </w:rPr>
      </w:pPr>
      <w:r w:rsidRPr="00020CF7">
        <w:rPr>
          <w:rFonts w:eastAsia="Times New Roman"/>
          <w:sz w:val="16"/>
        </w:rPr>
        <w:t xml:space="preserve">Existential risks require a particular approach to risk management. They are not amenable to the reactive (learn from failure) approach of conventional risk management, and we cannot necessarily rely on the institutions, moral norms, or social attitudes developed from our experience with managing other sorts of risks. Because the consequences are so severe — perhaps </w:t>
      </w:r>
      <w:r w:rsidRPr="002B5286">
        <w:rPr>
          <w:rFonts w:eastAsia="Times New Roman"/>
          <w:b/>
          <w:bCs/>
          <w:iCs/>
          <w:highlight w:val="cyan"/>
          <w:u w:val="single"/>
        </w:rPr>
        <w:t>the</w:t>
      </w:r>
      <w:r w:rsidRPr="002B5286">
        <w:rPr>
          <w:rFonts w:eastAsia="Times New Roman"/>
          <w:b/>
          <w:iCs/>
          <w:highlight w:val="cyan"/>
          <w:u w:val="single"/>
        </w:rPr>
        <w:t xml:space="preserve"> end of global human </w:t>
      </w:r>
      <w:proofErr w:type="spellStart"/>
      <w:r w:rsidRPr="002B5286">
        <w:rPr>
          <w:rFonts w:eastAsia="Times New Roman"/>
          <w:b/>
          <w:iCs/>
          <w:highlight w:val="cyan"/>
          <w:u w:val="single"/>
        </w:rPr>
        <w:t>civilisation</w:t>
      </w:r>
      <w:proofErr w:type="spellEnd"/>
      <w:r w:rsidRPr="00020CF7">
        <w:rPr>
          <w:rFonts w:eastAsia="Times New Roman"/>
          <w:sz w:val="16"/>
        </w:rPr>
        <w:t xml:space="preserve"> as we know it — “even for an honest, truth-seeking, and well-intentioned investigator it is difficult to think and act rationally in regard to… existential risks”.</w:t>
      </w:r>
    </w:p>
    <w:p w14:paraId="76ED53C8" w14:textId="77777777" w:rsidR="002B5286" w:rsidRDefault="002B5286" w:rsidP="002B5286">
      <w:pPr>
        <w:spacing w:line="240" w:lineRule="auto"/>
        <w:rPr>
          <w:rFonts w:eastAsia="Times New Roman"/>
          <w:sz w:val="16"/>
        </w:rPr>
      </w:pPr>
    </w:p>
    <w:p w14:paraId="3EAD0115" w14:textId="45F50DBA" w:rsidR="002B5286" w:rsidRPr="002B5286" w:rsidRDefault="002B5286" w:rsidP="002B5286">
      <w:pPr>
        <w:pStyle w:val="Heading3"/>
        <w:rPr>
          <w:rFonts w:eastAsia="Times New Roman"/>
        </w:rPr>
      </w:pPr>
      <w:r>
        <w:rPr>
          <w:rFonts w:eastAsia="Times New Roman"/>
        </w:rPr>
        <w:lastRenderedPageBreak/>
        <w:t xml:space="preserve">2NC – Solvency </w:t>
      </w:r>
    </w:p>
    <w:p w14:paraId="0E0F6B88" w14:textId="6B3E093B" w:rsidR="002B5286" w:rsidRPr="00020CF7" w:rsidRDefault="002B5286" w:rsidP="002B5286">
      <w:pPr>
        <w:pStyle w:val="Heading4"/>
        <w:rPr>
          <w:rFonts w:cs="Arial"/>
        </w:rPr>
      </w:pPr>
      <w:r>
        <w:rPr>
          <w:rFonts w:cs="Arial"/>
        </w:rPr>
        <w:t>O</w:t>
      </w:r>
      <w:r w:rsidRPr="00020CF7">
        <w:rPr>
          <w:rFonts w:cs="Arial"/>
        </w:rPr>
        <w:t xml:space="preserve">verruling </w:t>
      </w:r>
      <w:r w:rsidRPr="00020CF7">
        <w:rPr>
          <w:rFonts w:cs="Arial"/>
          <w:i/>
        </w:rPr>
        <w:t>eBay</w:t>
      </w:r>
      <w:r w:rsidRPr="00020CF7">
        <w:rPr>
          <w:rFonts w:cs="Arial"/>
        </w:rPr>
        <w:t xml:space="preserve"> </w:t>
      </w:r>
      <w:r w:rsidRPr="00020CF7">
        <w:rPr>
          <w:rFonts w:cs="Arial"/>
          <w:u w:val="single"/>
        </w:rPr>
        <w:t>destroys</w:t>
      </w:r>
      <w:r w:rsidRPr="00020CF7">
        <w:rPr>
          <w:rFonts w:cs="Arial"/>
        </w:rPr>
        <w:t xml:space="preserve"> that balance—removing </w:t>
      </w:r>
      <w:r w:rsidRPr="00020CF7">
        <w:rPr>
          <w:rFonts w:cs="Arial"/>
          <w:i/>
        </w:rPr>
        <w:t>eBay’s</w:t>
      </w:r>
      <w:r w:rsidRPr="00020CF7">
        <w:rPr>
          <w:rFonts w:cs="Arial"/>
        </w:rPr>
        <w:t xml:space="preserve"> </w:t>
      </w:r>
      <w:r w:rsidRPr="00020CF7">
        <w:rPr>
          <w:rFonts w:cs="Arial"/>
          <w:u w:val="single"/>
        </w:rPr>
        <w:t>public interest prong</w:t>
      </w:r>
      <w:r w:rsidRPr="00020CF7">
        <w:rPr>
          <w:rFonts w:cs="Arial"/>
        </w:rPr>
        <w:t xml:space="preserve"> means </w:t>
      </w:r>
      <w:r w:rsidRPr="00020CF7">
        <w:rPr>
          <w:rFonts w:cs="Arial"/>
          <w:u w:val="single"/>
        </w:rPr>
        <w:t>automatic injunctions</w:t>
      </w:r>
      <w:r w:rsidRPr="00020CF7">
        <w:rPr>
          <w:rFonts w:cs="Arial"/>
        </w:rPr>
        <w:t xml:space="preserve"> </w:t>
      </w:r>
      <w:r w:rsidRPr="00020CF7">
        <w:rPr>
          <w:rFonts w:cs="Arial"/>
          <w:u w:val="single"/>
        </w:rPr>
        <w:t>wreck</w:t>
      </w:r>
      <w:r w:rsidRPr="00020CF7">
        <w:rPr>
          <w:rFonts w:cs="Arial"/>
        </w:rPr>
        <w:t xml:space="preserve"> innovation. </w:t>
      </w:r>
      <w:proofErr w:type="gramStart"/>
      <w:r w:rsidRPr="00020CF7">
        <w:rPr>
          <w:rFonts w:cs="Arial"/>
          <w:u w:val="single"/>
        </w:rPr>
        <w:t>And</w:t>
      </w:r>
      <w:r w:rsidRPr="00020CF7">
        <w:rPr>
          <w:rFonts w:cs="Arial"/>
        </w:rPr>
        <w:t>,</w:t>
      </w:r>
      <w:proofErr w:type="gramEnd"/>
      <w:r w:rsidRPr="00020CF7">
        <w:rPr>
          <w:rFonts w:cs="Arial"/>
        </w:rPr>
        <w:t xml:space="preserve"> </w:t>
      </w:r>
      <w:r w:rsidRPr="00020CF7">
        <w:rPr>
          <w:rFonts w:cs="Arial"/>
          <w:i/>
        </w:rPr>
        <w:t>eBay</w:t>
      </w:r>
      <w:r w:rsidRPr="00020CF7">
        <w:rPr>
          <w:rFonts w:cs="Arial"/>
        </w:rPr>
        <w:t xml:space="preserve">’s </w:t>
      </w:r>
      <w:r w:rsidRPr="00020CF7">
        <w:rPr>
          <w:rFonts w:cs="Arial"/>
          <w:u w:val="single"/>
        </w:rPr>
        <w:t>good</w:t>
      </w:r>
      <w:r w:rsidRPr="00020CF7">
        <w:rPr>
          <w:rFonts w:cs="Arial"/>
        </w:rPr>
        <w:t xml:space="preserve"> for patent protection—it </w:t>
      </w:r>
      <w:r w:rsidRPr="00020CF7">
        <w:rPr>
          <w:rFonts w:cs="Arial"/>
          <w:u w:val="single"/>
        </w:rPr>
        <w:t>doesn’t</w:t>
      </w:r>
      <w:r w:rsidRPr="00020CF7">
        <w:rPr>
          <w:rFonts w:cs="Arial"/>
        </w:rPr>
        <w:t xml:space="preserve"> swing the pendulum too far.</w:t>
      </w:r>
    </w:p>
    <w:p w14:paraId="009CFF46" w14:textId="77777777" w:rsidR="002B5286" w:rsidRPr="00020CF7" w:rsidRDefault="002B5286" w:rsidP="002B5286">
      <w:pPr>
        <w:spacing w:line="240" w:lineRule="auto"/>
      </w:pPr>
      <w:r w:rsidRPr="00020CF7">
        <w:rPr>
          <w:rStyle w:val="Style13ptBold"/>
        </w:rPr>
        <w:t>Fowler 24</w:t>
      </w:r>
      <w:r w:rsidRPr="00020CF7">
        <w:t xml:space="preserve">—JD from Villanova University School of Law with experience in Patent Law, MS Bioengineering and B.Sc. Chemical Engineering (Addison. “No Need to Reinvent the Wheel: The Positive Relationship Between Green Technology and Patent Enforcement.” </w:t>
      </w:r>
      <w:r w:rsidRPr="00020CF7">
        <w:rPr>
          <w:i/>
          <w:iCs/>
        </w:rPr>
        <w:t>Villanova Environmental Law Journal</w:t>
      </w:r>
      <w:r w:rsidRPr="00020CF7">
        <w:t>, vol. 35, no. 1, Feb. 2024, pp. 135–37, https://digitalcommons.law.villanova.edu/elj/vol35/iss1/4)//mgm</w:t>
      </w:r>
    </w:p>
    <w:p w14:paraId="21F9E31E" w14:textId="77777777" w:rsidR="002B5286" w:rsidRPr="00020CF7" w:rsidRDefault="002B5286" w:rsidP="002B5286">
      <w:pPr>
        <w:rPr>
          <w:b/>
          <w:bCs/>
          <w:u w:val="single"/>
        </w:rPr>
      </w:pPr>
      <w:r w:rsidRPr="00020CF7">
        <w:rPr>
          <w:sz w:val="16"/>
        </w:rPr>
        <w:t xml:space="preserve">III. </w:t>
      </w:r>
      <w:r w:rsidRPr="00020CF7">
        <w:rPr>
          <w:u w:val="single"/>
        </w:rPr>
        <w:t>NEW INDUSTRY-STANDARD</w:t>
      </w:r>
      <w:r w:rsidRPr="00020CF7">
        <w:rPr>
          <w:sz w:val="16"/>
        </w:rPr>
        <w:t xml:space="preserve">: </w:t>
      </w:r>
      <w:r w:rsidRPr="00020CF7">
        <w:rPr>
          <w:b/>
          <w:bCs/>
          <w:u w:val="single"/>
        </w:rPr>
        <w:t>LEGAL LANDSCAPE POST-</w:t>
      </w:r>
      <w:r w:rsidRPr="002B5286">
        <w:rPr>
          <w:b/>
          <w:bCs/>
          <w:highlight w:val="cyan"/>
          <w:u w:val="single"/>
        </w:rPr>
        <w:t>EBAY MAKES ROOM FOR ENVIRONMENTAL CONCERNS</w:t>
      </w:r>
      <w:r w:rsidRPr="00020CF7">
        <w:rPr>
          <w:b/>
          <w:bCs/>
          <w:u w:val="single"/>
        </w:rPr>
        <w:t xml:space="preserve"> </w:t>
      </w:r>
    </w:p>
    <w:p w14:paraId="0A8AC2B4" w14:textId="77777777" w:rsidR="002B5286" w:rsidRPr="00020CF7" w:rsidRDefault="002B5286" w:rsidP="002B5286">
      <w:pPr>
        <w:rPr>
          <w:b/>
          <w:bCs/>
          <w:sz w:val="16"/>
        </w:rPr>
      </w:pPr>
      <w:r w:rsidRPr="002B5286">
        <w:rPr>
          <w:b/>
          <w:bCs/>
          <w:highlight w:val="cyan"/>
          <w:u w:val="single"/>
        </w:rPr>
        <w:t>eBay</w:t>
      </w:r>
      <w:r w:rsidRPr="002B5286">
        <w:rPr>
          <w:highlight w:val="cyan"/>
          <w:u w:val="single"/>
        </w:rPr>
        <w:t xml:space="preserve"> </w:t>
      </w:r>
      <w:r w:rsidRPr="002B5286">
        <w:rPr>
          <w:b/>
          <w:bCs/>
          <w:highlight w:val="cyan"/>
          <w:u w:val="single"/>
        </w:rPr>
        <w:t>marked</w:t>
      </w:r>
      <w:r w:rsidRPr="00020CF7">
        <w:rPr>
          <w:u w:val="single"/>
        </w:rPr>
        <w:t xml:space="preserve"> the </w:t>
      </w:r>
      <w:r w:rsidRPr="002B5286">
        <w:rPr>
          <w:b/>
          <w:bCs/>
          <w:highlight w:val="cyan"/>
          <w:u w:val="single"/>
        </w:rPr>
        <w:t>demise</w:t>
      </w:r>
      <w:r w:rsidRPr="002B5286">
        <w:rPr>
          <w:highlight w:val="cyan"/>
          <w:u w:val="single"/>
        </w:rPr>
        <w:t xml:space="preserve"> of</w:t>
      </w:r>
      <w:r w:rsidRPr="00020CF7">
        <w:rPr>
          <w:u w:val="single"/>
        </w:rPr>
        <w:t xml:space="preserve"> courts’ </w:t>
      </w:r>
      <w:r w:rsidRPr="00020CF7">
        <w:rPr>
          <w:sz w:val="16"/>
        </w:rPr>
        <w:t>nearly</w:t>
      </w:r>
      <w:r w:rsidRPr="00020CF7">
        <w:rPr>
          <w:u w:val="single"/>
        </w:rPr>
        <w:t xml:space="preserve"> </w:t>
      </w:r>
      <w:r w:rsidRPr="002B5286">
        <w:rPr>
          <w:b/>
          <w:bCs/>
          <w:highlight w:val="cyan"/>
          <w:u w:val="single"/>
        </w:rPr>
        <w:t xml:space="preserve">automatic grant </w:t>
      </w:r>
      <w:r w:rsidRPr="002B5286">
        <w:rPr>
          <w:highlight w:val="cyan"/>
          <w:u w:val="single"/>
        </w:rPr>
        <w:t xml:space="preserve">of </w:t>
      </w:r>
      <w:r w:rsidRPr="002B5286">
        <w:rPr>
          <w:b/>
          <w:bCs/>
          <w:highlight w:val="cyan"/>
          <w:u w:val="single"/>
        </w:rPr>
        <w:t>injunctive relief</w:t>
      </w:r>
      <w:r w:rsidRPr="00020CF7">
        <w:rPr>
          <w:b/>
          <w:bCs/>
          <w:u w:val="single"/>
        </w:rPr>
        <w:t xml:space="preserve"> based</w:t>
      </w:r>
      <w:r w:rsidRPr="00020CF7">
        <w:rPr>
          <w:u w:val="single"/>
        </w:rPr>
        <w:t xml:space="preserve"> on the </w:t>
      </w:r>
      <w:r w:rsidRPr="00020CF7">
        <w:rPr>
          <w:b/>
          <w:bCs/>
          <w:u w:val="single"/>
        </w:rPr>
        <w:t xml:space="preserve">presumption </w:t>
      </w:r>
      <w:r w:rsidRPr="00020CF7">
        <w:rPr>
          <w:u w:val="single"/>
        </w:rPr>
        <w:t>of</w:t>
      </w:r>
      <w:r w:rsidRPr="00020CF7">
        <w:rPr>
          <w:b/>
          <w:bCs/>
          <w:u w:val="single"/>
        </w:rPr>
        <w:t xml:space="preserve"> irreparable</w:t>
      </w:r>
      <w:r w:rsidRPr="00020CF7">
        <w:rPr>
          <w:u w:val="single"/>
        </w:rPr>
        <w:t xml:space="preserve"> </w:t>
      </w:r>
      <w:r w:rsidRPr="00020CF7">
        <w:rPr>
          <w:b/>
          <w:bCs/>
          <w:u w:val="single"/>
        </w:rPr>
        <w:t>harm</w:t>
      </w:r>
      <w:r w:rsidRPr="00020CF7">
        <w:rPr>
          <w:u w:val="single"/>
        </w:rPr>
        <w:t>.</w:t>
      </w:r>
      <w:r w:rsidRPr="00020CF7">
        <w:rPr>
          <w:sz w:val="16"/>
        </w:rPr>
        <w:t xml:space="preserve"> As the Federal Circuit has since certified, “</w:t>
      </w:r>
      <w:r w:rsidRPr="00020CF7">
        <w:rPr>
          <w:u w:val="single"/>
        </w:rPr>
        <w:t>eBay</w:t>
      </w:r>
      <w:r w:rsidRPr="00020CF7">
        <w:rPr>
          <w:sz w:val="16"/>
        </w:rPr>
        <w:t xml:space="preserve"> jettisoned the presumption of irreparable harm as it applies to determining the appropriateness of injunctive relief.” Granted, the Federal Circuit has specified this development “</w:t>
      </w:r>
      <w:r w:rsidRPr="002B5286">
        <w:rPr>
          <w:b/>
          <w:bCs/>
          <w:highlight w:val="cyan"/>
          <w:u w:val="single"/>
        </w:rPr>
        <w:t>does not swing</w:t>
      </w:r>
      <w:r w:rsidRPr="002B5286">
        <w:rPr>
          <w:highlight w:val="cyan"/>
          <w:u w:val="single"/>
        </w:rPr>
        <w:t xml:space="preserve"> the </w:t>
      </w:r>
      <w:r w:rsidRPr="002B5286">
        <w:rPr>
          <w:b/>
          <w:bCs/>
          <w:highlight w:val="cyan"/>
          <w:u w:val="single"/>
        </w:rPr>
        <w:t>pendulum</w:t>
      </w:r>
      <w:r w:rsidRPr="002B5286">
        <w:rPr>
          <w:highlight w:val="cyan"/>
          <w:u w:val="single"/>
        </w:rPr>
        <w:t xml:space="preserve"> in the </w:t>
      </w:r>
      <w:r w:rsidRPr="002B5286">
        <w:rPr>
          <w:b/>
          <w:bCs/>
          <w:highlight w:val="cyan"/>
          <w:u w:val="single"/>
        </w:rPr>
        <w:t>opposite direction</w:t>
      </w:r>
      <w:r w:rsidRPr="00020CF7">
        <w:rPr>
          <w:sz w:val="16"/>
        </w:rPr>
        <w:t xml:space="preserve">,” noting the </w:t>
      </w:r>
      <w:r w:rsidRPr="00020CF7">
        <w:rPr>
          <w:b/>
          <w:bCs/>
          <w:u w:val="single"/>
        </w:rPr>
        <w:t xml:space="preserve">fundamental </w:t>
      </w:r>
      <w:r w:rsidRPr="002B5286">
        <w:rPr>
          <w:b/>
          <w:bCs/>
          <w:highlight w:val="cyan"/>
          <w:u w:val="single"/>
        </w:rPr>
        <w:t>exclusivity</w:t>
      </w:r>
      <w:r w:rsidRPr="00020CF7">
        <w:rPr>
          <w:u w:val="single"/>
        </w:rPr>
        <w:t xml:space="preserve"> of a patent property right must </w:t>
      </w:r>
      <w:r w:rsidRPr="002B5286">
        <w:rPr>
          <w:b/>
          <w:bCs/>
          <w:highlight w:val="cyan"/>
          <w:u w:val="single"/>
        </w:rPr>
        <w:t>still</w:t>
      </w:r>
      <w:r w:rsidRPr="00020CF7">
        <w:rPr>
          <w:b/>
          <w:bCs/>
          <w:u w:val="single"/>
        </w:rPr>
        <w:t xml:space="preserve"> be </w:t>
      </w:r>
      <w:r w:rsidRPr="002B5286">
        <w:rPr>
          <w:b/>
          <w:bCs/>
          <w:highlight w:val="cyan"/>
          <w:u w:val="single"/>
        </w:rPr>
        <w:t>considered</w:t>
      </w:r>
      <w:r w:rsidRPr="00020CF7">
        <w:rPr>
          <w:u w:val="single"/>
        </w:rPr>
        <w:t xml:space="preserve"> in the analysis</w:t>
      </w:r>
      <w:r w:rsidRPr="00020CF7">
        <w:rPr>
          <w:sz w:val="16"/>
        </w:rPr>
        <w:t>. Nonetheless</w:t>
      </w:r>
      <w:r w:rsidRPr="00020CF7">
        <w:rPr>
          <w:rStyle w:val="StyleUnderline"/>
        </w:rPr>
        <w:t xml:space="preserve">, a trend </w:t>
      </w:r>
      <w:r w:rsidRPr="00020CF7">
        <w:rPr>
          <w:rStyle w:val="StyleUnderline"/>
          <w:bCs/>
        </w:rPr>
        <w:t>began</w:t>
      </w:r>
      <w:r w:rsidRPr="00020CF7">
        <w:rPr>
          <w:rStyle w:val="StyleUnderline"/>
        </w:rPr>
        <w:t xml:space="preserve"> in the </w:t>
      </w:r>
      <w:r w:rsidRPr="00020CF7">
        <w:rPr>
          <w:rStyle w:val="StyleUnderline"/>
          <w:bCs/>
        </w:rPr>
        <w:t>post-eBay era</w:t>
      </w:r>
      <w:r w:rsidRPr="00020CF7">
        <w:rPr>
          <w:rStyle w:val="StyleUnderline"/>
        </w:rPr>
        <w:t xml:space="preserve"> for district courts to </w:t>
      </w:r>
      <w:r w:rsidRPr="00020CF7">
        <w:rPr>
          <w:rStyle w:val="StyleUnderline"/>
          <w:bCs/>
        </w:rPr>
        <w:t>forgo permanent injunctions</w:t>
      </w:r>
      <w:r w:rsidRPr="00020CF7">
        <w:rPr>
          <w:rStyle w:val="StyleUnderline"/>
        </w:rPr>
        <w:t xml:space="preserve"> and instead award </w:t>
      </w:r>
      <w:r w:rsidRPr="00020CF7">
        <w:rPr>
          <w:rStyle w:val="StyleUnderline"/>
          <w:bCs/>
        </w:rPr>
        <w:t>ongoing royalty damages</w:t>
      </w:r>
      <w:r w:rsidRPr="00020CF7">
        <w:rPr>
          <w:b/>
          <w:bCs/>
          <w:sz w:val="16"/>
        </w:rPr>
        <w:t xml:space="preserve">. </w:t>
      </w:r>
    </w:p>
    <w:p w14:paraId="085C3957" w14:textId="77777777" w:rsidR="002B5286" w:rsidRPr="00020CF7" w:rsidRDefault="002B5286" w:rsidP="002B5286">
      <w:pPr>
        <w:rPr>
          <w:sz w:val="16"/>
        </w:rPr>
      </w:pPr>
      <w:r w:rsidRPr="00020CF7">
        <w:rPr>
          <w:u w:val="single"/>
        </w:rPr>
        <w:t xml:space="preserve">Another noteworthy aspect of the </w:t>
      </w:r>
      <w:r w:rsidRPr="002B5286">
        <w:rPr>
          <w:highlight w:val="cyan"/>
          <w:u w:val="single"/>
        </w:rPr>
        <w:t>eBay</w:t>
      </w:r>
      <w:r w:rsidRPr="00020CF7">
        <w:rPr>
          <w:u w:val="single"/>
        </w:rPr>
        <w:t xml:space="preserve"> decision is that it </w:t>
      </w:r>
      <w:r w:rsidRPr="002B5286">
        <w:rPr>
          <w:b/>
          <w:bCs/>
          <w:highlight w:val="cyan"/>
          <w:u w:val="single"/>
        </w:rPr>
        <w:t>requires district</w:t>
      </w:r>
      <w:r w:rsidRPr="00020CF7">
        <w:rPr>
          <w:u w:val="single"/>
        </w:rPr>
        <w:t xml:space="preserve"> courts </w:t>
      </w:r>
      <w:r w:rsidRPr="002B5286">
        <w:rPr>
          <w:highlight w:val="cyan"/>
          <w:u w:val="single"/>
        </w:rPr>
        <w:t>to</w:t>
      </w:r>
      <w:r w:rsidRPr="00020CF7">
        <w:rPr>
          <w:u w:val="single"/>
        </w:rPr>
        <w:t xml:space="preserve"> </w:t>
      </w:r>
      <w:r w:rsidRPr="00020CF7">
        <w:rPr>
          <w:b/>
          <w:bCs/>
          <w:u w:val="single"/>
        </w:rPr>
        <w:t xml:space="preserve">affirmatively </w:t>
      </w:r>
      <w:r w:rsidRPr="002B5286">
        <w:rPr>
          <w:b/>
          <w:bCs/>
          <w:highlight w:val="cyan"/>
          <w:u w:val="single"/>
        </w:rPr>
        <w:t>address public interest</w:t>
      </w:r>
      <w:r w:rsidRPr="00020CF7">
        <w:rPr>
          <w:u w:val="single"/>
        </w:rPr>
        <w:t xml:space="preserve"> </w:t>
      </w:r>
      <w:r w:rsidRPr="00020CF7">
        <w:rPr>
          <w:b/>
          <w:bCs/>
          <w:u w:val="single"/>
        </w:rPr>
        <w:t>considerations</w:t>
      </w:r>
      <w:r w:rsidRPr="00020CF7">
        <w:rPr>
          <w:u w:val="single"/>
        </w:rPr>
        <w:t xml:space="preserve"> in their </w:t>
      </w:r>
      <w:r w:rsidRPr="00020CF7">
        <w:rPr>
          <w:b/>
          <w:bCs/>
          <w:u w:val="single"/>
        </w:rPr>
        <w:t>injunction analyses</w:t>
      </w:r>
      <w:r w:rsidRPr="00020CF7">
        <w:rPr>
          <w:sz w:val="16"/>
        </w:rPr>
        <w:t>.   District courts have since deferred strongly to Justice Kennedy’s eBay concurrence in their own decisions.92 As such, some observers argue the concurrence is even more impactful than the unanimous majority.93</w:t>
      </w:r>
    </w:p>
    <w:p w14:paraId="55107471" w14:textId="77777777" w:rsidR="002B5286" w:rsidRPr="00020CF7" w:rsidRDefault="002B5286" w:rsidP="002B5286">
      <w:pPr>
        <w:rPr>
          <w:u w:val="single"/>
        </w:rPr>
      </w:pPr>
      <w:r w:rsidRPr="00020CF7">
        <w:rPr>
          <w:sz w:val="16"/>
        </w:rPr>
        <w:t xml:space="preserve">The Federal Circuit has since reflected on the public interest prong in several decisions. </w:t>
      </w:r>
      <w:r w:rsidRPr="00020CF7">
        <w:rPr>
          <w:u w:val="single"/>
        </w:rPr>
        <w:t xml:space="preserve">The court notably affirmed the </w:t>
      </w:r>
      <w:r w:rsidRPr="002B5286">
        <w:rPr>
          <w:b/>
          <w:bCs/>
          <w:highlight w:val="cyan"/>
          <w:u w:val="single"/>
        </w:rPr>
        <w:t>public’s</w:t>
      </w:r>
      <w:r w:rsidRPr="00020CF7">
        <w:rPr>
          <w:b/>
          <w:bCs/>
          <w:u w:val="single"/>
        </w:rPr>
        <w:t xml:space="preserve"> “strong” </w:t>
      </w:r>
      <w:r w:rsidRPr="002B5286">
        <w:rPr>
          <w:b/>
          <w:bCs/>
          <w:highlight w:val="cyan"/>
          <w:u w:val="single"/>
        </w:rPr>
        <w:t>interest</w:t>
      </w:r>
      <w:r w:rsidRPr="00020CF7">
        <w:rPr>
          <w:b/>
          <w:bCs/>
          <w:u w:val="single"/>
        </w:rPr>
        <w:t xml:space="preserve"> </w:t>
      </w:r>
      <w:r w:rsidRPr="00020CF7">
        <w:rPr>
          <w:u w:val="single"/>
        </w:rPr>
        <w:t xml:space="preserve">in maintaining patent property rights as a </w:t>
      </w:r>
      <w:r w:rsidRPr="002B5286">
        <w:rPr>
          <w:b/>
          <w:bCs/>
          <w:highlight w:val="cyan"/>
          <w:u w:val="single"/>
        </w:rPr>
        <w:t>driver</w:t>
      </w:r>
      <w:r w:rsidRPr="00020CF7">
        <w:rPr>
          <w:b/>
          <w:bCs/>
          <w:u w:val="single"/>
        </w:rPr>
        <w:t xml:space="preserve"> </w:t>
      </w:r>
      <w:r w:rsidRPr="002B5286">
        <w:rPr>
          <w:b/>
          <w:bCs/>
          <w:highlight w:val="cyan"/>
          <w:u w:val="single"/>
        </w:rPr>
        <w:t>of</w:t>
      </w:r>
      <w:r w:rsidRPr="002B5286">
        <w:rPr>
          <w:highlight w:val="cyan"/>
          <w:u w:val="single"/>
        </w:rPr>
        <w:t xml:space="preserve"> </w:t>
      </w:r>
      <w:r w:rsidRPr="002B5286">
        <w:rPr>
          <w:b/>
          <w:bCs/>
          <w:highlight w:val="cyan"/>
          <w:u w:val="single"/>
        </w:rPr>
        <w:t>innovation</w:t>
      </w:r>
      <w:r w:rsidRPr="00020CF7">
        <w:rPr>
          <w:u w:val="single"/>
        </w:rPr>
        <w:t>.</w:t>
      </w:r>
      <w:r w:rsidRPr="00020CF7">
        <w:rPr>
          <w:sz w:val="16"/>
        </w:rPr>
        <w:t xml:space="preserve"> Nonetheless, the court has expressed that </w:t>
      </w:r>
      <w:r w:rsidRPr="00020CF7">
        <w:rPr>
          <w:u w:val="single"/>
        </w:rPr>
        <w:t>the “</w:t>
      </w:r>
      <w:r w:rsidRPr="002B5286">
        <w:rPr>
          <w:b/>
          <w:bCs/>
          <w:sz w:val="24"/>
          <w:szCs w:val="28"/>
          <w:highlight w:val="cyan"/>
          <w:u w:val="single"/>
        </w:rPr>
        <w:t>touchstone</w:t>
      </w:r>
      <w:r w:rsidRPr="00020CF7">
        <w:rPr>
          <w:u w:val="single"/>
        </w:rPr>
        <w:t xml:space="preserve">” </w:t>
      </w:r>
      <w:r w:rsidRPr="002B5286">
        <w:rPr>
          <w:highlight w:val="cyan"/>
          <w:u w:val="single"/>
        </w:rPr>
        <w:t xml:space="preserve">for </w:t>
      </w:r>
      <w:r w:rsidRPr="002B5286">
        <w:rPr>
          <w:b/>
          <w:bCs/>
          <w:highlight w:val="cyan"/>
          <w:u w:val="single"/>
        </w:rPr>
        <w:t>adjudicating</w:t>
      </w:r>
      <w:r w:rsidRPr="00020CF7">
        <w:rPr>
          <w:u w:val="single"/>
        </w:rPr>
        <w:t xml:space="preserve"> an </w:t>
      </w:r>
      <w:r w:rsidRPr="002B5286">
        <w:rPr>
          <w:b/>
          <w:bCs/>
          <w:highlight w:val="cyan"/>
          <w:u w:val="single"/>
        </w:rPr>
        <w:t>injunction</w:t>
      </w:r>
      <w:r w:rsidRPr="00020CF7">
        <w:rPr>
          <w:b/>
          <w:bCs/>
          <w:u w:val="single"/>
        </w:rPr>
        <w:t xml:space="preserve"> request </w:t>
      </w:r>
      <w:r w:rsidRPr="002B5286">
        <w:rPr>
          <w:b/>
          <w:bCs/>
          <w:highlight w:val="cyan"/>
          <w:u w:val="single"/>
        </w:rPr>
        <w:t>involves</w:t>
      </w:r>
      <w:r w:rsidRPr="00020CF7">
        <w:rPr>
          <w:u w:val="single"/>
        </w:rPr>
        <w:t xml:space="preserve"> “</w:t>
      </w:r>
      <w:proofErr w:type="spellStart"/>
      <w:r w:rsidRPr="00020CF7">
        <w:rPr>
          <w:b/>
          <w:bCs/>
          <w:u w:val="single"/>
        </w:rPr>
        <w:t>strik</w:t>
      </w:r>
      <w:proofErr w:type="spellEnd"/>
      <w:r w:rsidRPr="00020CF7">
        <w:rPr>
          <w:b/>
          <w:bCs/>
          <w:u w:val="single"/>
        </w:rPr>
        <w:t>[</w:t>
      </w:r>
      <w:proofErr w:type="spellStart"/>
      <w:r w:rsidRPr="00020CF7">
        <w:rPr>
          <w:b/>
          <w:bCs/>
          <w:u w:val="single"/>
        </w:rPr>
        <w:t>ing</w:t>
      </w:r>
      <w:proofErr w:type="spellEnd"/>
      <w:r w:rsidRPr="00020CF7">
        <w:rPr>
          <w:b/>
          <w:bCs/>
          <w:u w:val="single"/>
        </w:rPr>
        <w:t xml:space="preserve">] </w:t>
      </w:r>
      <w:r w:rsidRPr="002B5286">
        <w:rPr>
          <w:b/>
          <w:bCs/>
          <w:highlight w:val="cyan"/>
          <w:u w:val="single"/>
        </w:rPr>
        <w:t>a workable balanc</w:t>
      </w:r>
      <w:r w:rsidRPr="002B5286">
        <w:rPr>
          <w:highlight w:val="cyan"/>
          <w:u w:val="single"/>
        </w:rPr>
        <w:t>e between</w:t>
      </w:r>
      <w:r w:rsidRPr="00020CF7">
        <w:rPr>
          <w:u w:val="single"/>
        </w:rPr>
        <w:t xml:space="preserve"> </w:t>
      </w:r>
      <w:r w:rsidRPr="00020CF7">
        <w:rPr>
          <w:b/>
          <w:bCs/>
          <w:u w:val="single"/>
        </w:rPr>
        <w:t>protecting</w:t>
      </w:r>
      <w:r w:rsidRPr="00020CF7">
        <w:rPr>
          <w:u w:val="single"/>
        </w:rPr>
        <w:t xml:space="preserve"> the </w:t>
      </w:r>
      <w:r w:rsidRPr="002B5286">
        <w:rPr>
          <w:b/>
          <w:bCs/>
          <w:highlight w:val="cyan"/>
          <w:u w:val="single"/>
        </w:rPr>
        <w:t>patent</w:t>
      </w:r>
      <w:r w:rsidRPr="00020CF7">
        <w:rPr>
          <w:b/>
          <w:bCs/>
          <w:u w:val="single"/>
        </w:rPr>
        <w:t xml:space="preserve">ee’s </w:t>
      </w:r>
      <w:r w:rsidRPr="002B5286">
        <w:rPr>
          <w:b/>
          <w:bCs/>
          <w:highlight w:val="cyan"/>
          <w:u w:val="single"/>
        </w:rPr>
        <w:t>rights</w:t>
      </w:r>
      <w:r w:rsidRPr="00020CF7">
        <w:rPr>
          <w:u w:val="single"/>
        </w:rPr>
        <w:t xml:space="preserve"> </w:t>
      </w:r>
      <w:r w:rsidRPr="002B5286">
        <w:rPr>
          <w:highlight w:val="cyan"/>
          <w:u w:val="single"/>
        </w:rPr>
        <w:t xml:space="preserve">and </w:t>
      </w:r>
      <w:r w:rsidRPr="002B5286">
        <w:rPr>
          <w:b/>
          <w:bCs/>
          <w:highlight w:val="cyan"/>
          <w:u w:val="single"/>
        </w:rPr>
        <w:t>protecting</w:t>
      </w:r>
      <w:r w:rsidRPr="002B5286">
        <w:rPr>
          <w:highlight w:val="cyan"/>
          <w:u w:val="single"/>
        </w:rPr>
        <w:t xml:space="preserve"> the </w:t>
      </w:r>
      <w:r w:rsidRPr="002B5286">
        <w:rPr>
          <w:b/>
          <w:bCs/>
          <w:highlight w:val="cyan"/>
          <w:u w:val="single"/>
        </w:rPr>
        <w:t>public</w:t>
      </w:r>
      <w:r w:rsidRPr="002B5286">
        <w:rPr>
          <w:highlight w:val="cyan"/>
          <w:u w:val="single"/>
        </w:rPr>
        <w:t xml:space="preserve"> from</w:t>
      </w:r>
      <w:r w:rsidRPr="00020CF7">
        <w:rPr>
          <w:u w:val="single"/>
        </w:rPr>
        <w:t xml:space="preserve"> the </w:t>
      </w:r>
      <w:r w:rsidRPr="00020CF7">
        <w:rPr>
          <w:b/>
          <w:bCs/>
          <w:u w:val="single"/>
        </w:rPr>
        <w:t xml:space="preserve">injunction’s </w:t>
      </w:r>
      <w:r w:rsidRPr="002B5286">
        <w:rPr>
          <w:b/>
          <w:bCs/>
          <w:highlight w:val="cyan"/>
          <w:u w:val="single"/>
        </w:rPr>
        <w:t>adverse effects</w:t>
      </w:r>
      <w:r w:rsidRPr="00020CF7">
        <w:rPr>
          <w:u w:val="single"/>
        </w:rPr>
        <w:t xml:space="preserve">.” </w:t>
      </w:r>
    </w:p>
    <w:p w14:paraId="01EF0E11" w14:textId="0D4D0F9E" w:rsidR="002B5286" w:rsidRPr="002B5286" w:rsidRDefault="002B5286" w:rsidP="00215BDB">
      <w:pPr>
        <w:rPr>
          <w:rStyle w:val="StyleUnderline"/>
          <w:b/>
          <w:bCs/>
        </w:rPr>
      </w:pPr>
      <w:r w:rsidRPr="00020CF7">
        <w:rPr>
          <w:sz w:val="16"/>
        </w:rPr>
        <w:t xml:space="preserve">The Federal Circuit, in Amgen, Inc. v. Sanofi, described the </w:t>
      </w:r>
      <w:r w:rsidRPr="002B5286">
        <w:rPr>
          <w:b/>
          <w:bCs/>
          <w:highlight w:val="cyan"/>
          <w:u w:val="single"/>
        </w:rPr>
        <w:t>public interest prong</w:t>
      </w:r>
      <w:r w:rsidRPr="00020CF7">
        <w:rPr>
          <w:u w:val="single"/>
        </w:rPr>
        <w:t xml:space="preserve"> as its own </w:t>
      </w:r>
      <w:r w:rsidRPr="00020CF7">
        <w:rPr>
          <w:b/>
          <w:bCs/>
          <w:u w:val="single"/>
        </w:rPr>
        <w:t>independent requirement</w:t>
      </w:r>
      <w:r w:rsidRPr="00020CF7">
        <w:rPr>
          <w:sz w:val="16"/>
        </w:rPr>
        <w:t xml:space="preserve">. There, the Federal Circuit went so far as to characterize the injunction the district court granted despite a finding it would be a disservice to the public interest, as a “clear violation of eBay.” To that end, </w:t>
      </w:r>
      <w:r w:rsidRPr="00020CF7">
        <w:rPr>
          <w:u w:val="single"/>
        </w:rPr>
        <w:t xml:space="preserve">the Federal Circuit has favored injunctions </w:t>
      </w:r>
      <w:r w:rsidRPr="002B5286">
        <w:rPr>
          <w:highlight w:val="cyan"/>
          <w:u w:val="single"/>
        </w:rPr>
        <w:t xml:space="preserve">tailored to </w:t>
      </w:r>
      <w:r w:rsidRPr="002B5286">
        <w:rPr>
          <w:b/>
          <w:bCs/>
          <w:highlight w:val="cyan"/>
          <w:u w:val="single"/>
        </w:rPr>
        <w:t>avoid</w:t>
      </w:r>
      <w:r w:rsidRPr="00020CF7">
        <w:rPr>
          <w:b/>
          <w:bCs/>
          <w:u w:val="single"/>
        </w:rPr>
        <w:t xml:space="preserve"> unduly </w:t>
      </w:r>
      <w:r w:rsidRPr="002B5286">
        <w:rPr>
          <w:b/>
          <w:bCs/>
          <w:highlight w:val="cyan"/>
          <w:u w:val="single"/>
        </w:rPr>
        <w:t>disrupting markets</w:t>
      </w:r>
      <w:r w:rsidRPr="002B5286">
        <w:rPr>
          <w:highlight w:val="cyan"/>
          <w:u w:val="single"/>
        </w:rPr>
        <w:t xml:space="preserve"> and </w:t>
      </w:r>
      <w:r w:rsidRPr="002B5286">
        <w:rPr>
          <w:b/>
          <w:bCs/>
          <w:highlight w:val="cyan"/>
          <w:u w:val="single"/>
        </w:rPr>
        <w:t>consumer interests</w:t>
      </w:r>
      <w:r w:rsidRPr="00020CF7">
        <w:rPr>
          <w:b/>
          <w:bCs/>
          <w:u w:val="single"/>
        </w:rPr>
        <w:t xml:space="preserve">. </w:t>
      </w:r>
    </w:p>
    <w:p w14:paraId="6559E33F" w14:textId="77777777" w:rsidR="002B5286" w:rsidRDefault="002B5286" w:rsidP="00215BDB">
      <w:pPr>
        <w:rPr>
          <w:rStyle w:val="StyleUnderline"/>
        </w:rPr>
      </w:pPr>
    </w:p>
    <w:p w14:paraId="126F8160" w14:textId="77777777" w:rsidR="002B5286" w:rsidRPr="00B30CA9" w:rsidRDefault="002B5286" w:rsidP="002B5286">
      <w:pPr>
        <w:pStyle w:val="Heading3"/>
        <w:rPr>
          <w:rFonts w:cs="Calibri"/>
        </w:rPr>
      </w:pPr>
      <w:r w:rsidRPr="00B30CA9">
        <w:rPr>
          <w:rFonts w:cs="Calibri"/>
        </w:rPr>
        <w:lastRenderedPageBreak/>
        <w:t>2NC – PICs Good</w:t>
      </w:r>
    </w:p>
    <w:p w14:paraId="5AC309E7" w14:textId="77777777" w:rsidR="002B5286" w:rsidRPr="00B30CA9" w:rsidRDefault="002B5286" w:rsidP="002B5286">
      <w:pPr>
        <w:pStyle w:val="Heading4"/>
        <w:rPr>
          <w:rFonts w:cs="Calibri"/>
        </w:rPr>
      </w:pPr>
      <w:r w:rsidRPr="00B30CA9">
        <w:rPr>
          <w:rFonts w:cs="Calibri"/>
        </w:rPr>
        <w:t>PICs good</w:t>
      </w:r>
    </w:p>
    <w:p w14:paraId="075FCE72" w14:textId="77777777" w:rsidR="002B5286" w:rsidRPr="00B30CA9" w:rsidRDefault="002B5286" w:rsidP="002B5286">
      <w:pPr>
        <w:pStyle w:val="Heading4"/>
        <w:rPr>
          <w:rFonts w:cs="Calibri"/>
        </w:rPr>
      </w:pPr>
      <w:r w:rsidRPr="00B30CA9">
        <w:rPr>
          <w:rFonts w:cs="Calibri"/>
        </w:rPr>
        <w:t>1. Predictable clash---generates in depth debate over the core controversies of the 1AC</w:t>
      </w:r>
    </w:p>
    <w:p w14:paraId="017F91A2" w14:textId="77777777" w:rsidR="002B5286" w:rsidRPr="00B30CA9" w:rsidRDefault="002B5286" w:rsidP="002B5286">
      <w:pPr>
        <w:pStyle w:val="Heading4"/>
        <w:rPr>
          <w:rFonts w:cs="Calibri"/>
        </w:rPr>
      </w:pPr>
      <w:r w:rsidRPr="00B30CA9">
        <w:rPr>
          <w:rFonts w:cs="Calibri"/>
        </w:rPr>
        <w:t>2. Rigorous research---requires the aff to defend their proposal---the alternative to which is lazy plan writing and researching</w:t>
      </w:r>
    </w:p>
    <w:p w14:paraId="16029965" w14:textId="77777777" w:rsidR="002B5286" w:rsidRPr="00B30CA9" w:rsidRDefault="002B5286" w:rsidP="002B5286">
      <w:pPr>
        <w:pStyle w:val="Heading4"/>
        <w:rPr>
          <w:rFonts w:cs="Calibri"/>
        </w:rPr>
      </w:pPr>
      <w:r w:rsidRPr="00B30CA9">
        <w:rPr>
          <w:rFonts w:cs="Calibri"/>
        </w:rPr>
        <w:t>3. Advocacy---they should be able to defend every part of the 1AC, not just parts of it---their interpretation makes them bad advocates</w:t>
      </w:r>
    </w:p>
    <w:p w14:paraId="7CC36B3D" w14:textId="77777777" w:rsidR="002B5286" w:rsidRPr="00B30CA9" w:rsidRDefault="002B5286" w:rsidP="002B5286">
      <w:pPr>
        <w:pStyle w:val="Heading4"/>
        <w:rPr>
          <w:rFonts w:cs="Calibri"/>
        </w:rPr>
      </w:pPr>
      <w:r w:rsidRPr="00B30CA9">
        <w:rPr>
          <w:rFonts w:cs="Calibri"/>
        </w:rPr>
        <w:t>4. Aff choice---they read it, so they should be forced to defend it---that proves it’s predictable</w:t>
      </w:r>
    </w:p>
    <w:p w14:paraId="6FF60DAA" w14:textId="77777777" w:rsidR="002B5286" w:rsidRPr="00B30CA9" w:rsidRDefault="002B5286" w:rsidP="002B5286">
      <w:pPr>
        <w:pStyle w:val="Heading4"/>
        <w:rPr>
          <w:rFonts w:cs="Calibri"/>
        </w:rPr>
      </w:pPr>
      <w:r w:rsidRPr="00B30CA9">
        <w:rPr>
          <w:rFonts w:cs="Calibri"/>
        </w:rPr>
        <w:t>5. Logic---only logical to do the CP if it’s better and requires less action</w:t>
      </w:r>
    </w:p>
    <w:p w14:paraId="13BE9BE6" w14:textId="77777777" w:rsidR="002B5286" w:rsidRPr="00E65AD7" w:rsidRDefault="002B5286" w:rsidP="00215BDB">
      <w:pPr>
        <w:rPr>
          <w:rStyle w:val="StyleUnderline"/>
        </w:rPr>
      </w:pPr>
    </w:p>
    <w:p w14:paraId="292FBE96" w14:textId="77777777" w:rsidR="00215BDB" w:rsidRDefault="00215BDB" w:rsidP="00215BDB">
      <w:pPr>
        <w:pStyle w:val="Heading2"/>
      </w:pPr>
      <w:r>
        <w:lastRenderedPageBreak/>
        <w:t>Aff</w:t>
      </w:r>
    </w:p>
    <w:p w14:paraId="78FC7D5A" w14:textId="66D21041" w:rsidR="00861C4F" w:rsidRPr="00861C4F" w:rsidRDefault="00861C4F" w:rsidP="00861C4F">
      <w:r>
        <w:t>Read aff cards from the Public Interest DA.</w:t>
      </w:r>
    </w:p>
    <w:p w14:paraId="1E9E4DA3" w14:textId="20AA392A" w:rsidR="002B5286" w:rsidRDefault="002B5286" w:rsidP="002B5286">
      <w:pPr>
        <w:pStyle w:val="Heading3"/>
      </w:pPr>
      <w:r>
        <w:lastRenderedPageBreak/>
        <w:t xml:space="preserve">2AC – Perm </w:t>
      </w:r>
    </w:p>
    <w:p w14:paraId="12AF9145" w14:textId="2502677E" w:rsidR="002B5286" w:rsidRDefault="002B5286" w:rsidP="002B5286">
      <w:pPr>
        <w:pStyle w:val="Heading4"/>
      </w:pPr>
      <w:r>
        <w:t>Perm: Do Both</w:t>
      </w:r>
    </w:p>
    <w:p w14:paraId="552C3EE1" w14:textId="03AD173B" w:rsidR="00861C4F" w:rsidRPr="00861C4F" w:rsidRDefault="00861C4F" w:rsidP="00861C4F">
      <w:pPr>
        <w:pStyle w:val="Heading4"/>
      </w:pPr>
      <w:r>
        <w:t xml:space="preserve">The CP isn’t textually competitive because they simply add exception clause. We’ll insert the perm text that includes </w:t>
      </w:r>
      <w:proofErr w:type="gramStart"/>
      <w:r>
        <w:t>all of</w:t>
      </w:r>
      <w:proofErr w:type="gramEnd"/>
      <w:r>
        <w:t xml:space="preserve"> the aff and only words from the CP text:</w:t>
      </w:r>
    </w:p>
    <w:p w14:paraId="4A137070" w14:textId="38B7ED1A" w:rsidR="002B5286" w:rsidRDefault="002B5286" w:rsidP="002B5286">
      <w:r w:rsidRPr="002B5286">
        <w:t>The United States federal government should substantially increase its use of injunctions as the presumptive remedy for an ongoing violation of a valid patent except in instances where “the public interest would be disserved by” the issuance of an injunction.</w:t>
      </w:r>
    </w:p>
    <w:p w14:paraId="2072D3B3" w14:textId="77777777" w:rsidR="002B5286" w:rsidRPr="002B5286" w:rsidRDefault="002B5286" w:rsidP="002B5286"/>
    <w:p w14:paraId="6D767ADE" w14:textId="77777777" w:rsidR="002B5286" w:rsidRPr="001030BF" w:rsidRDefault="002B5286" w:rsidP="002B5286">
      <w:pPr>
        <w:pStyle w:val="Heading3"/>
        <w:rPr>
          <w:rFonts w:cs="Times New Roman"/>
        </w:rPr>
      </w:pPr>
      <w:r w:rsidRPr="001030BF">
        <w:rPr>
          <w:rFonts w:cs="Times New Roman"/>
        </w:rPr>
        <w:lastRenderedPageBreak/>
        <w:t>2AC – PICs Bad</w:t>
      </w:r>
    </w:p>
    <w:p w14:paraId="755475F4" w14:textId="77777777" w:rsidR="002B5286" w:rsidRPr="001030BF" w:rsidRDefault="002B5286" w:rsidP="002B5286">
      <w:pPr>
        <w:pStyle w:val="Heading4"/>
        <w:rPr>
          <w:rFonts w:cs="Times New Roman"/>
        </w:rPr>
      </w:pPr>
      <w:r w:rsidRPr="001030BF">
        <w:rPr>
          <w:rFonts w:cs="Times New Roman"/>
        </w:rPr>
        <w:t xml:space="preserve">PICs aren’t legitimate </w:t>
      </w:r>
    </w:p>
    <w:p w14:paraId="43442A0D" w14:textId="77903720" w:rsidR="002B5286" w:rsidRDefault="002B5286" w:rsidP="002B5286">
      <w:pPr>
        <w:pStyle w:val="Heading4"/>
        <w:rPr>
          <w:rFonts w:cs="Times New Roman"/>
        </w:rPr>
      </w:pPr>
      <w:r w:rsidRPr="001030BF">
        <w:rPr>
          <w:rFonts w:cs="Times New Roman"/>
        </w:rPr>
        <w:t xml:space="preserve">--- </w:t>
      </w:r>
      <w:proofErr w:type="spellStart"/>
      <w:r w:rsidRPr="001030BF">
        <w:rPr>
          <w:rFonts w:cs="Times New Roman"/>
        </w:rPr>
        <w:t>PICing</w:t>
      </w:r>
      <w:proofErr w:type="spellEnd"/>
      <w:r w:rsidRPr="001030BF">
        <w:rPr>
          <w:rFonts w:cs="Times New Roman"/>
        </w:rPr>
        <w:t xml:space="preserve"> out of small parts of the plan make it impossible to generate substantial offense because they </w:t>
      </w:r>
      <w:r>
        <w:rPr>
          <w:rFonts w:cs="Times New Roman"/>
        </w:rPr>
        <w:t>steal</w:t>
      </w:r>
      <w:r w:rsidRPr="001030BF">
        <w:rPr>
          <w:rFonts w:cs="Times New Roman"/>
        </w:rPr>
        <w:t xml:space="preserve"> the aff</w:t>
      </w:r>
      <w:r>
        <w:rPr>
          <w:rFonts w:cs="Times New Roman"/>
        </w:rPr>
        <w:t xml:space="preserve">, which ruins ground. </w:t>
      </w:r>
    </w:p>
    <w:p w14:paraId="443E13A4" w14:textId="1DE7576C" w:rsidR="002B5286" w:rsidRPr="001030BF" w:rsidRDefault="002B5286" w:rsidP="002B5286">
      <w:pPr>
        <w:pStyle w:val="Heading4"/>
        <w:rPr>
          <w:rFonts w:cs="Times New Roman"/>
        </w:rPr>
      </w:pPr>
      <w:r w:rsidRPr="001030BF">
        <w:rPr>
          <w:rFonts w:cs="Times New Roman"/>
        </w:rPr>
        <w:t>--- they’re also not predictable</w:t>
      </w:r>
      <w:r>
        <w:rPr>
          <w:rFonts w:cs="Times New Roman"/>
        </w:rPr>
        <w:t xml:space="preserve"> and infinitely regressive</w:t>
      </w:r>
      <w:r w:rsidRPr="001030BF">
        <w:rPr>
          <w:rFonts w:cs="Times New Roman"/>
        </w:rPr>
        <w:t xml:space="preserve"> because they </w:t>
      </w:r>
      <w:r>
        <w:rPr>
          <w:rFonts w:cs="Times New Roman"/>
        </w:rPr>
        <w:t xml:space="preserve">justify tiny word pics </w:t>
      </w:r>
      <w:r w:rsidRPr="001030BF">
        <w:rPr>
          <w:rFonts w:cs="Times New Roman"/>
        </w:rPr>
        <w:t xml:space="preserve"> </w:t>
      </w:r>
    </w:p>
    <w:p w14:paraId="1C845A1D" w14:textId="77777777" w:rsidR="002B5286" w:rsidRPr="001030BF" w:rsidRDefault="002B5286" w:rsidP="002B5286">
      <w:pPr>
        <w:pStyle w:val="Heading4"/>
        <w:rPr>
          <w:rFonts w:cs="Times New Roman"/>
        </w:rPr>
      </w:pPr>
      <w:r w:rsidRPr="001030BF">
        <w:rPr>
          <w:rFonts w:cs="Times New Roman"/>
        </w:rPr>
        <w:t>Reading the net benefit as a DA solves their offense</w:t>
      </w:r>
    </w:p>
    <w:p w14:paraId="5B127099" w14:textId="77777777" w:rsidR="002B5286" w:rsidRPr="002B5286" w:rsidRDefault="002B5286" w:rsidP="002B5286"/>
    <w:p w14:paraId="421FD550"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E77A2B" w14:textId="77777777" w:rsidR="004F5401" w:rsidRDefault="004F5401" w:rsidP="00066D2C">
      <w:pPr>
        <w:spacing w:after="0" w:line="240" w:lineRule="auto"/>
      </w:pPr>
      <w:r>
        <w:separator/>
      </w:r>
    </w:p>
  </w:endnote>
  <w:endnote w:type="continuationSeparator" w:id="0">
    <w:p w14:paraId="52D4FA6C" w14:textId="77777777" w:rsidR="004F5401" w:rsidRDefault="004F5401"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7289DC" w14:textId="77777777" w:rsidR="004F5401" w:rsidRDefault="004F5401" w:rsidP="00066D2C">
      <w:pPr>
        <w:spacing w:after="0" w:line="240" w:lineRule="auto"/>
      </w:pPr>
      <w:r>
        <w:separator/>
      </w:r>
    </w:p>
  </w:footnote>
  <w:footnote w:type="continuationSeparator" w:id="0">
    <w:p w14:paraId="5E991274" w14:textId="77777777" w:rsidR="004F5401" w:rsidRDefault="004F5401"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F3A5358"/>
    <w:multiLevelType w:val="hybridMultilevel"/>
    <w:tmpl w:val="083EAD0C"/>
    <w:lvl w:ilvl="0" w:tplc="D520C834">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84502307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69"/>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6384413872"/>
    <w:docVar w:name="VerbatimVersion" w:val="6.0.0"/>
    <w:docVar w:name="WordVersion" w:val="16.0"/>
  </w:docVars>
  <w:rsids>
    <w:rsidRoot w:val="00215BDB"/>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15BDB"/>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286"/>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844"/>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5401"/>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10EEA"/>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44F"/>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1C4F"/>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50AB"/>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26"/>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434D"/>
    <w:rsid w:val="00EA5878"/>
    <w:rsid w:val="00EA7F55"/>
    <w:rsid w:val="00EB1CE6"/>
    <w:rsid w:val="00EB1F19"/>
    <w:rsid w:val="00EB6FFA"/>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235E995"/>
  <w15:chartTrackingRefBased/>
  <w15:docId w15:val="{AB2FCE51-879C-F54C-A9EA-828E7B421B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B5286"/>
    <w:rPr>
      <w:rFonts w:ascii="Calibri" w:hAnsi="Calibri" w:cs="Calibri"/>
    </w:rPr>
  </w:style>
  <w:style w:type="paragraph" w:styleId="Heading1">
    <w:name w:val="heading 1"/>
    <w:aliases w:val="Pocket"/>
    <w:basedOn w:val="Normal"/>
    <w:next w:val="Normal"/>
    <w:link w:val="Heading1Char"/>
    <w:qFormat/>
    <w:rsid w:val="002B528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B528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1,No Underline,Char Char Char Char Char Char Char, Char Char Char Char Char Char Char,Text 7,Heading 3 Char Char,Char, Char,Tags v 2,3: Cite,Char1,Underlines,Heading 3 Char3,Tag Char Char,Bold Cite,Cite 1,Read Char,Foldover"/>
    <w:basedOn w:val="Normal"/>
    <w:next w:val="Normal"/>
    <w:link w:val="Heading3Char"/>
    <w:uiPriority w:val="2"/>
    <w:qFormat/>
    <w:rsid w:val="002B528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Ch, Ch,TAG,no read,No Spacing211,No Spacing12,No Spacing2111,No Spacing4,No Spacing11111,No Spacing5,No Spacing21,Card,Tags,tags,No Spacing1111,ta,t"/>
    <w:basedOn w:val="Normal"/>
    <w:next w:val="Normal"/>
    <w:link w:val="Heading4Char"/>
    <w:uiPriority w:val="3"/>
    <w:qFormat/>
    <w:rsid w:val="002B528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B5286"/>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2B528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B5286"/>
  </w:style>
  <w:style w:type="character" w:styleId="Emphasis">
    <w:name w:val="Emphasis"/>
    <w:aliases w:val="Bold Underline,Minimized,Highlighted,Evidence,minimized,tag2,Size 10,emphasis in card,CD Card,ED - Tag,Underlined,emphasis,Emphasis!!,small,Qualifications,normal card text,Shrunk,qualifications in card,qualifications,Style1,Debate,Text 8,s,smal"/>
    <w:basedOn w:val="DefaultParagraphFont"/>
    <w:link w:val="Emphasis1"/>
    <w:uiPriority w:val="8"/>
    <w:qFormat/>
    <w:rsid w:val="002B5286"/>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2B5286"/>
    <w:rPr>
      <w:color w:val="auto"/>
      <w:u w:val="none"/>
    </w:rPr>
  </w:style>
  <w:style w:type="character" w:customStyle="1" w:styleId="Heading1Char">
    <w:name w:val="Heading 1 Char"/>
    <w:aliases w:val="Pocket Char"/>
    <w:basedOn w:val="DefaultParagraphFont"/>
    <w:link w:val="Heading1"/>
    <w:rsid w:val="002B528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B5286"/>
    <w:rPr>
      <w:rFonts w:ascii="Calibri" w:eastAsiaTheme="majorEastAsia" w:hAnsi="Calibri" w:cstheme="majorBidi"/>
      <w:b/>
      <w:sz w:val="44"/>
      <w:szCs w:val="26"/>
      <w:u w:val="double"/>
    </w:rPr>
  </w:style>
  <w:style w:type="character" w:customStyle="1" w:styleId="Heading3Char">
    <w:name w:val="Heading 3 Char"/>
    <w:aliases w:val="Block Char,Heading 3 Char1 Char,No Underline Char,Char Char Char Char Char Char Char Char, Char Char Char Char Char Char Char Char,Text 7 Char,Heading 3 Char Char Char,Char Char, Char Char,Tags v 2 Char,3: Cite Char,Char1 Char,Cite 1 Char"/>
    <w:basedOn w:val="DefaultParagraphFont"/>
    <w:link w:val="Heading3"/>
    <w:uiPriority w:val="2"/>
    <w:rsid w:val="002B5286"/>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Ch Char, Ch Char,TAG Char,no read Char,No Spacing211 Char,No Spacing12 Char,No Spacing2111 Char,ta Char"/>
    <w:basedOn w:val="DefaultParagraphFont"/>
    <w:link w:val="Heading4"/>
    <w:uiPriority w:val="3"/>
    <w:rsid w:val="002B5286"/>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B5286"/>
    <w:rPr>
      <w:b/>
      <w:bCs/>
      <w:sz w:val="24"/>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Style,ci,Citation Char Char Char,Heading 3 Char1 Char Char Char"/>
    <w:basedOn w:val="DefaultParagraphFont"/>
    <w:uiPriority w:val="7"/>
    <w:qFormat/>
    <w:rsid w:val="002B5286"/>
    <w:rPr>
      <w:b w:val="0"/>
      <w:sz w:val="22"/>
      <w:u w:val="single"/>
    </w:rPr>
  </w:style>
  <w:style w:type="character" w:styleId="Strong">
    <w:name w:val="Strong"/>
    <w:basedOn w:val="DefaultParagraphFont"/>
    <w:uiPriority w:val="22"/>
    <w:semiHidden/>
    <w:qFormat/>
    <w:rsid w:val="002B5286"/>
    <w:rPr>
      <w:b/>
      <w:bCs/>
    </w:rPr>
  </w:style>
  <w:style w:type="character" w:styleId="BookTitle">
    <w:name w:val="Book Title"/>
    <w:basedOn w:val="DefaultParagraphFont"/>
    <w:uiPriority w:val="33"/>
    <w:semiHidden/>
    <w:qFormat/>
    <w:rsid w:val="002B5286"/>
    <w:rPr>
      <w:b/>
      <w:bCs/>
      <w:i/>
      <w:iCs/>
      <w:spacing w:val="5"/>
    </w:rPr>
  </w:style>
  <w:style w:type="character" w:customStyle="1" w:styleId="Heading5Char">
    <w:name w:val="Heading 5 Char"/>
    <w:basedOn w:val="DefaultParagraphFont"/>
    <w:link w:val="Heading5"/>
    <w:uiPriority w:val="9"/>
    <w:semiHidden/>
    <w:rsid w:val="002B528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B5286"/>
  </w:style>
  <w:style w:type="paragraph" w:styleId="Header">
    <w:name w:val="header"/>
    <w:basedOn w:val="Normal"/>
    <w:link w:val="HeaderChar"/>
    <w:uiPriority w:val="99"/>
    <w:semiHidden/>
    <w:rsid w:val="002B528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B5286"/>
    <w:rPr>
      <w:rFonts w:ascii="Calibri" w:hAnsi="Calibri" w:cs="Calibri"/>
    </w:rPr>
  </w:style>
  <w:style w:type="paragraph" w:styleId="Footer">
    <w:name w:val="footer"/>
    <w:basedOn w:val="Normal"/>
    <w:link w:val="FooterChar"/>
    <w:uiPriority w:val="99"/>
    <w:semiHidden/>
    <w:rsid w:val="002B528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B5286"/>
    <w:rPr>
      <w:rFonts w:ascii="Calibri" w:hAnsi="Calibri" w:cs="Calibri"/>
    </w:rPr>
  </w:style>
  <w:style w:type="paragraph" w:styleId="BodyText">
    <w:name w:val="Body Text"/>
    <w:basedOn w:val="Normal"/>
    <w:link w:val="BodyTextChar"/>
    <w:uiPriority w:val="99"/>
    <w:semiHidden/>
    <w:unhideWhenUsed/>
    <w:rsid w:val="002B5286"/>
    <w:pPr>
      <w:spacing w:after="120"/>
    </w:pPr>
  </w:style>
  <w:style w:type="character" w:customStyle="1" w:styleId="BodyTextChar">
    <w:name w:val="Body Text Char"/>
    <w:basedOn w:val="DefaultParagraphFont"/>
    <w:link w:val="BodyText"/>
    <w:uiPriority w:val="99"/>
    <w:semiHidden/>
    <w:rsid w:val="002B5286"/>
    <w:rPr>
      <w:rFonts w:ascii="Calibri" w:hAnsi="Calibri" w:cs="Calibri"/>
    </w:rPr>
  </w:style>
  <w:style w:type="paragraph" w:styleId="NoSpacing">
    <w:name w:val="No Spacing"/>
    <w:link w:val="NoSpacingChar"/>
    <w:uiPriority w:val="99"/>
    <w:semiHidden/>
    <w:unhideWhenUsed/>
    <w:qFormat/>
    <w:rsid w:val="002B5286"/>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2B5286"/>
    <w:rPr>
      <w:rFonts w:ascii="Calibri" w:hAnsi="Calibri" w:cs="Calibri"/>
    </w:rPr>
  </w:style>
  <w:style w:type="character" w:styleId="Hyperlink">
    <w:name w:val="Hyperlink"/>
    <w:basedOn w:val="DefaultParagraphFont"/>
    <w:uiPriority w:val="99"/>
    <w:unhideWhenUsed/>
    <w:rsid w:val="002B5286"/>
    <w:rPr>
      <w:color w:val="0563C1" w:themeColor="hyperlink"/>
      <w:u w:val="single"/>
    </w:rPr>
  </w:style>
  <w:style w:type="character" w:styleId="UnresolvedMention">
    <w:name w:val="Unresolved Mention"/>
    <w:basedOn w:val="DefaultParagraphFont"/>
    <w:uiPriority w:val="99"/>
    <w:semiHidden/>
    <w:unhideWhenUsed/>
    <w:rsid w:val="002B5286"/>
    <w:rPr>
      <w:color w:val="605E5C"/>
      <w:shd w:val="clear" w:color="auto" w:fill="E1DFDD"/>
    </w:rPr>
  </w:style>
  <w:style w:type="paragraph" w:customStyle="1" w:styleId="Emphasis1">
    <w:name w:val="Emphasis1"/>
    <w:basedOn w:val="Normal"/>
    <w:link w:val="Emphasis"/>
    <w:autoRedefine/>
    <w:uiPriority w:val="8"/>
    <w:qFormat/>
    <w:rsid w:val="002B5286"/>
    <w:pPr>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ListParagraph">
    <w:name w:val="List Paragraph"/>
    <w:basedOn w:val="Normal"/>
    <w:uiPriority w:val="34"/>
    <w:unhideWhenUsed/>
    <w:qFormat/>
    <w:rsid w:val="002B528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akelawreview.org/wp-content/uploads/2021/06/sease-final.pdf"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52a87f3e-7945-4bb1-abbf-9aa66cd4e93e.filesusr.com/ugd/148cb0_a0d7c18a1bf64e698a9c8c8f18a42889.pdf)//mg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keshackelford/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9</TotalTime>
  <Pages>10</Pages>
  <Words>2650</Words>
  <Characters>15111</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17726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Mike Shackelford</cp:lastModifiedBy>
  <cp:revision>2</cp:revision>
  <dcterms:created xsi:type="dcterms:W3CDTF">2024-07-11T23:14:00Z</dcterms:created>
  <dcterms:modified xsi:type="dcterms:W3CDTF">2024-07-12T00:20:00Z</dcterms:modified>
</cp:coreProperties>
</file>