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88F" w:rsidRDefault="00F01155" w:rsidP="00F01155">
      <w:pPr>
        <w:pStyle w:val="Heading1"/>
      </w:pPr>
      <w:r>
        <w:t xml:space="preserve">Settler Colonialism Kritik Supplement – CNDI 2024  </w:t>
      </w:r>
    </w:p>
    <w:p w:rsidR="009004A2" w:rsidRDefault="009004A2" w:rsidP="009004A2">
      <w:pPr>
        <w:pStyle w:val="Heading2"/>
      </w:pPr>
      <w:r>
        <w:t>TOP</w:t>
      </w:r>
    </w:p>
    <w:p w:rsidR="002E141E" w:rsidRDefault="002E141E" w:rsidP="002E141E">
      <w:pPr>
        <w:pStyle w:val="Heading3"/>
      </w:pPr>
      <w:r>
        <w:t>TOP – Byrd</w:t>
      </w:r>
    </w:p>
    <w:p w:rsidR="002E141E" w:rsidRPr="00100971" w:rsidRDefault="002E141E" w:rsidP="002E141E">
      <w:pPr>
        <w:pStyle w:val="Heading4"/>
        <w:rPr>
          <w:rFonts w:cs="Arial"/>
        </w:rPr>
      </w:pPr>
      <w:bookmarkStart w:id="0" w:name="_Hlk75188014"/>
      <w:r w:rsidRPr="00100971">
        <w:rPr>
          <w:rFonts w:cs="Arial"/>
        </w:rPr>
        <w:t>Liberal democracy and US sovereignty deterritorialize indigenous land claims, constituting Nativeness as the constitutive outside of citizenship in order to impose juridical and territorial order onto the colony – recourse to rights-based models and the legal system in order to biopolitically manage populations through law-making violence, mystifying settlement and annihilating the Native through assimilation.</w:t>
      </w:r>
    </w:p>
    <w:p w:rsidR="002E141E" w:rsidRPr="00100971" w:rsidRDefault="002E141E" w:rsidP="002E141E">
      <w:pPr>
        <w:spacing w:after="0" w:line="240" w:lineRule="auto"/>
        <w:rPr>
          <w:rFonts w:eastAsia="Times New Roman"/>
          <w:sz w:val="21"/>
          <w:szCs w:val="21"/>
        </w:rPr>
      </w:pPr>
      <w:r w:rsidRPr="00100971">
        <w:rPr>
          <w:rStyle w:val="Style13ptBold"/>
        </w:rPr>
        <w:t>Byrd 2011</w:t>
      </w:r>
      <w:r w:rsidRPr="00100971">
        <w:rPr>
          <w:rFonts w:eastAsia="Times New Roman"/>
          <w:sz w:val="21"/>
          <w:szCs w:val="21"/>
        </w:rPr>
        <w:t xml:space="preserve">(Jodi A. “Killing States Removals, Other Americans, and the “Pale Promise of Democracy” Book Title: The Transit of Empire” Published by: University of Minnesota Press. (2011) Stable URL: </w:t>
      </w:r>
      <w:hyperlink r:id="rId8" w:history="1">
        <w:r w:rsidRPr="00100971">
          <w:rPr>
            <w:rStyle w:val="Hyperlink"/>
            <w:rFonts w:eastAsia="Times New Roman"/>
            <w:sz w:val="21"/>
            <w:szCs w:val="21"/>
          </w:rPr>
          <w:t>https://www.jstor.org/stable/10.5749/j.ctttv97j.10//ajoseph</w:t>
        </w:r>
      </w:hyperlink>
      <w:r w:rsidRPr="00100971">
        <w:rPr>
          <w:rFonts w:eastAsia="Times New Roman"/>
          <w:sz w:val="21"/>
          <w:szCs w:val="21"/>
        </w:rPr>
        <w:t xml:space="preserve"> pg189-194</w:t>
      </w:r>
    </w:p>
    <w:p w:rsidR="002E141E" w:rsidRPr="00100971" w:rsidRDefault="002E141E" w:rsidP="002E141E">
      <w:pPr>
        <w:rPr>
          <w:sz w:val="16"/>
        </w:rPr>
      </w:pPr>
    </w:p>
    <w:p w:rsidR="002E141E" w:rsidRPr="00100971" w:rsidRDefault="002E141E" w:rsidP="002E141E">
      <w:pPr>
        <w:rPr>
          <w:rStyle w:val="StyleUnderline"/>
        </w:rPr>
      </w:pPr>
      <w:r w:rsidRPr="00100971">
        <w:rPr>
          <w:sz w:val="16"/>
        </w:rPr>
        <w:t xml:space="preserve">The second goal of this chapter is to reframe Japanese American internment and the concomitant “yellow peril” that traps Asian Americans in a third space between immigrant threat/model minority, within those distortive parallactic effects that have been used to disrupt and deny indigenous sovereignty. By focusing on the internment of Japanese Americans at Poston and the role that John Collier, the father of the Indian Reorganization Act of , played in promoting Japanese American wartime relocation as an experiment in self-governance toward assimilation, I hope to deepen our understandings of how </w:t>
      </w:r>
      <w:r w:rsidRPr="005928B4">
        <w:rPr>
          <w:rStyle w:val="StyleUnderline"/>
          <w:highlight w:val="cyan"/>
        </w:rPr>
        <w:t>U.S. colonial policies targeting indigenous nations</w:t>
      </w:r>
      <w:r w:rsidRPr="00100971">
        <w:rPr>
          <w:rStyle w:val="StyleUnderline"/>
        </w:rPr>
        <w:t xml:space="preserve"> inform the assumptions of multicultural liberal democracy that now exemplify current U.S. preoccupations with race and diaspora and </w:t>
      </w:r>
      <w:r w:rsidRPr="005928B4">
        <w:rPr>
          <w:rStyle w:val="StyleUnderline"/>
          <w:highlight w:val="cyan"/>
        </w:rPr>
        <w:t>serve to deterritorialize indigenous prior claims</w:t>
      </w:r>
      <w:r w:rsidRPr="00100971">
        <w:rPr>
          <w:rStyle w:val="StyleUnderline"/>
        </w:rPr>
        <w:t>.</w:t>
      </w:r>
      <w:r w:rsidRPr="00100971">
        <w:rPr>
          <w:sz w:val="16"/>
        </w:rPr>
        <w:t xml:space="preserve"> And finally, I will draw upon Gerald Vizenor’s work in Hiroshima Bugi to consider American Indian participation in and disruptions of conviviality within the transits This content downloaded from 45.36.152.108 on Wed, 13 May 2020 08:13:12 UTC All use subject to https://about.jstor.org/terms 190  KILLING STATES of empire. Vizenor’s unmapping of the nineteenth-century voyager and half-Chinook Ranald MacDonald’s travels through the Pacific and into Ainu territory in Japan troublingly parallels, for Vizenor, the consequences of the atomic weaponry that violently ended World War II. Giorgio Agamben links </w:t>
      </w:r>
      <w:r w:rsidRPr="00100971">
        <w:rPr>
          <w:rStyle w:val="StyleUnderline"/>
        </w:rPr>
        <w:t xml:space="preserve">the political power of </w:t>
      </w:r>
      <w:r w:rsidRPr="005928B4">
        <w:rPr>
          <w:rStyle w:val="StyleUnderline"/>
          <w:highlight w:val="cyan"/>
        </w:rPr>
        <w:t>U.S. sovereignty</w:t>
      </w:r>
      <w:r w:rsidRPr="00100971">
        <w:rPr>
          <w:rStyle w:val="StyleUnderline"/>
        </w:rPr>
        <w:t xml:space="preserve"> </w:t>
      </w:r>
      <w:r w:rsidRPr="00100971">
        <w:rPr>
          <w:sz w:val="16"/>
        </w:rPr>
        <w:t xml:space="preserve">to </w:t>
      </w:r>
      <w:r w:rsidRPr="00100971">
        <w:rPr>
          <w:rStyle w:val="StyleUnderline"/>
        </w:rPr>
        <w:t xml:space="preserve">a series of states of exception that </w:t>
      </w:r>
      <w:r w:rsidRPr="005928B4">
        <w:rPr>
          <w:rStyle w:val="StyleUnderline"/>
          <w:highlight w:val="cyan"/>
        </w:rPr>
        <w:t xml:space="preserve">track how </w:t>
      </w:r>
      <w:r w:rsidRPr="00100971">
        <w:rPr>
          <w:rStyle w:val="StyleUnderline"/>
        </w:rPr>
        <w:t xml:space="preserve">martial </w:t>
      </w:r>
      <w:r w:rsidRPr="005928B4">
        <w:rPr>
          <w:rStyle w:val="StyleUnderline"/>
          <w:highlight w:val="cyan"/>
        </w:rPr>
        <w:t>law and discourses</w:t>
      </w:r>
      <w:r w:rsidRPr="00100971">
        <w:rPr>
          <w:rStyle w:val="StyleUnderline"/>
        </w:rPr>
        <w:t xml:space="preserve"> of emergencies have </w:t>
      </w:r>
      <w:r w:rsidRPr="005928B4">
        <w:rPr>
          <w:rStyle w:val="StyleUnderline"/>
          <w:highlight w:val="cyan"/>
        </w:rPr>
        <w:t xml:space="preserve">led to the consolidation of executive power and its </w:t>
      </w:r>
      <w:r w:rsidRPr="00100971">
        <w:rPr>
          <w:rStyle w:val="StyleUnderline"/>
        </w:rPr>
        <w:t xml:space="preserve">subsequent </w:t>
      </w:r>
      <w:r w:rsidRPr="005928B4">
        <w:rPr>
          <w:rStyle w:val="StyleUnderline"/>
          <w:highlight w:val="cyan"/>
        </w:rPr>
        <w:t>expansion into the legislative sphere</w:t>
      </w:r>
      <w:r w:rsidRPr="00100971">
        <w:rPr>
          <w:sz w:val="16"/>
        </w:rPr>
        <w:t xml:space="preserve">. Agamben’s theorization of </w:t>
      </w:r>
      <w:r w:rsidRPr="005928B4">
        <w:rPr>
          <w:rStyle w:val="StyleUnderline"/>
          <w:highlight w:val="cyan"/>
        </w:rPr>
        <w:t>sovereignty</w:t>
      </w:r>
      <w:r w:rsidRPr="00100971">
        <w:rPr>
          <w:rStyle w:val="StyleUnderline"/>
        </w:rPr>
        <w:t xml:space="preserve"> as that which determines and enacts the state of exception— understood as that which </w:t>
      </w:r>
      <w:r w:rsidRPr="005928B4">
        <w:rPr>
          <w:rStyle w:val="StyleUnderline"/>
          <w:highlight w:val="cyan"/>
        </w:rPr>
        <w:t>breaks the law to enforce the law</w:t>
      </w:r>
      <w:r w:rsidRPr="00100971">
        <w:rPr>
          <w:rStyle w:val="StyleUnderline"/>
        </w:rPr>
        <w:t>—demonstrates the degree to which Western democracies exist in a dialectic with totalitarian regimes</w:t>
      </w:r>
      <w:r w:rsidRPr="00100971">
        <w:rPr>
          <w:sz w:val="16"/>
        </w:rPr>
        <w:t>. Though Agamben typically theorizes sovereignty within Greco-Roman and European contexts, his State of Exception marks a notable shift. In his diagnosis of U.S. sovereignty and its deployment of the state of exception as a “conflict over sovereign decision” arising from a “dialectic between the powers of the president and those of Congress,” the first example Agamben gives of a U.S. president appropriating dictatorial powers is Abraham Lincoln, who violated the law to suspend habeas corpus in  and then, on his sole authority, declared the emancipation of slaves in .¹³ The second president Agamben cites as an example is Woodrow Wilson, who during World War I appropriated even broader powers to the office of the presidency when Congress passed a series of espionage acts between  and . Agamben notes that “</w:t>
      </w:r>
      <w:r w:rsidRPr="00100971">
        <w:rPr>
          <w:rStyle w:val="StyleUnderline"/>
        </w:rPr>
        <w:t>because the sovereign power of the president is essentially grounded in the emergency linked to the state of war, over the course of the twentieth century the metaphor of war becomes an integral part of the presidential political vocabulary.”¹⁴</w:t>
      </w:r>
      <w:r w:rsidRPr="00100971">
        <w:rPr>
          <w:sz w:val="16"/>
        </w:rPr>
        <w:t xml:space="preserve"> By deploying the linguistic logic of waging war, according to Agamben, Franklin D. Roosevelt was able to appropriate extraordinary powers to deal with the economic crisis of the s, and the New Deal represents Agamben’s third example of the U.S. presidency locating in itself the ability to declare the state of emergency. The final example Agamben gives us is </w:t>
      </w:r>
      <w:r w:rsidRPr="005928B4">
        <w:rPr>
          <w:rStyle w:val="StyleUnderline"/>
          <w:highlight w:val="cyan"/>
        </w:rPr>
        <w:t>Franklin D. Roosevelt’s Executive Order</w:t>
      </w:r>
      <w:r w:rsidRPr="00100971">
        <w:rPr>
          <w:rStyle w:val="StyleUnderline"/>
        </w:rPr>
        <w:t xml:space="preserve">  that Agamben describes as “the most spectacular violation of civil rights</w:t>
      </w:r>
      <w:r w:rsidRPr="00100971">
        <w:rPr>
          <w:sz w:val="16"/>
        </w:rPr>
        <w:t xml:space="preserve"> (all the more serious because of its solely racial motivation) [,which] occurred on February , .”¹⁵ </w:t>
      </w:r>
      <w:r w:rsidRPr="00100971">
        <w:rPr>
          <w:rStyle w:val="StyleUnderline"/>
        </w:rPr>
        <w:t xml:space="preserve">Roosevelt’s order, which </w:t>
      </w:r>
      <w:r w:rsidRPr="005928B4">
        <w:rPr>
          <w:rStyle w:val="StyleUnderline"/>
          <w:highlight w:val="cyan"/>
        </w:rPr>
        <w:t>authorized the secretary of war</w:t>
      </w:r>
      <w:r w:rsidRPr="00100971">
        <w:rPr>
          <w:rStyle w:val="StyleUnderline"/>
        </w:rPr>
        <w:t xml:space="preserve"> and the military commanders he might designate </w:t>
      </w:r>
      <w:r w:rsidRPr="005928B4">
        <w:rPr>
          <w:rStyle w:val="StyleUnderline"/>
          <w:highlight w:val="cyan"/>
        </w:rPr>
        <w:t>to “prescribe military areas</w:t>
      </w:r>
      <w:r w:rsidRPr="00100971">
        <w:rPr>
          <w:rStyle w:val="StyleUnderline"/>
        </w:rPr>
        <w:t xml:space="preserve"> in such places and of such extent as he or the Military Commander may determine, from which any or all per</w:t>
      </w:r>
      <w:r w:rsidRPr="00100971">
        <w:rPr>
          <w:sz w:val="16"/>
        </w:rPr>
        <w:t xml:space="preserve">This content downloaded from 45.36.152.108 on Wed, 13 May 2020 08:13:12 UTC All use subject to https://about.jstor.org/terms KILLING STATES  191 </w:t>
      </w:r>
      <w:r w:rsidRPr="00100971">
        <w:rPr>
          <w:rStyle w:val="StyleUnderline"/>
        </w:rPr>
        <w:t xml:space="preserve">sons may be excluded,” directed the U.S. war machine to </w:t>
      </w:r>
      <w:r w:rsidRPr="005928B4">
        <w:rPr>
          <w:rStyle w:val="StyleUnderline"/>
          <w:highlight w:val="cyan"/>
        </w:rPr>
        <w:t>define and enforce “regulations for the conduct and control of alien enemies.</w:t>
      </w:r>
      <w:r w:rsidRPr="00100971">
        <w:rPr>
          <w:rStyle w:val="StyleUnderline"/>
        </w:rPr>
        <w:t>”¹⁶</w:t>
      </w:r>
      <w:r w:rsidRPr="00100971">
        <w:rPr>
          <w:sz w:val="16"/>
        </w:rPr>
        <w:t xml:space="preserve"> Though it did not name them or any other ethnic communities specifically, and in fact allowed the secretary and those military commanders to exclude “any or all persons,” the order interpellated Japanese American citizens of the United States particularly as “alien enemies” to be evacuated to relocation centers in the name of national defense. Poston, Arizona, functions as a temporal and spatial site within these states of exception not least because it was one of the camps that represented “the most spectacular violation of civil rights.” </w:t>
      </w:r>
      <w:r w:rsidRPr="005928B4">
        <w:rPr>
          <w:rStyle w:val="StyleUnderline"/>
          <w:highlight w:val="cyan"/>
        </w:rPr>
        <w:t>The state of exception as</w:t>
      </w:r>
      <w:r w:rsidRPr="00100971">
        <w:rPr>
          <w:rStyle w:val="StyleUnderline"/>
        </w:rPr>
        <w:t xml:space="preserve"> first theorized by Carl Schmitt and later developed by Agamben depends upon </w:t>
      </w:r>
      <w:r w:rsidRPr="005928B4">
        <w:rPr>
          <w:rStyle w:val="StyleUnderline"/>
          <w:highlight w:val="cyan"/>
        </w:rPr>
        <w:t xml:space="preserve">the </w:t>
      </w:r>
      <w:r w:rsidRPr="00100971">
        <w:rPr>
          <w:rStyle w:val="StyleUnderline"/>
        </w:rPr>
        <w:t xml:space="preserve">sovereign’s </w:t>
      </w:r>
      <w:r w:rsidRPr="005928B4">
        <w:rPr>
          <w:rStyle w:val="StyleUnderline"/>
          <w:highlight w:val="cyan"/>
        </w:rPr>
        <w:t>ability to order space as “not only a ‘taking of land’</w:t>
      </w:r>
      <w:r w:rsidRPr="00100971">
        <w:rPr>
          <w:rStyle w:val="StyleUnderline"/>
        </w:rPr>
        <w:t xml:space="preserve"> (Landesnahme)—the determination of a juridical and a territorial ordering (of an Ordnung and an Ortung)—</w:t>
      </w:r>
      <w:r w:rsidRPr="005928B4">
        <w:rPr>
          <w:rStyle w:val="StyleUnderline"/>
          <w:highlight w:val="cyan"/>
        </w:rPr>
        <w:t>but above all a ‘taking of the outside,’</w:t>
      </w:r>
      <w:r w:rsidRPr="00100971">
        <w:rPr>
          <w:rStyle w:val="StyleUnderline"/>
        </w:rPr>
        <w:t xml:space="preserve"> an exception</w:t>
      </w:r>
      <w:r w:rsidRPr="00100971">
        <w:rPr>
          <w:sz w:val="16"/>
        </w:rPr>
        <w:t xml:space="preserve"> (Ausnahme).”¹⁷ This ordering of space begs a question, however: Why doesn’t Agamben theorize the state of exception in relation to American Indians in the first place? It is striking, if not unanticipated, that all three of his presidential examples played a significant role in ordering the historical landscape that stretched beyond the text of Roosevelt’s executive order instituting internment camps that in itself serves as exemplary exception within Agamben’s text. </w:t>
      </w:r>
      <w:r w:rsidRPr="005928B4">
        <w:rPr>
          <w:rStyle w:val="StyleUnderline"/>
          <w:highlight w:val="cyan"/>
        </w:rPr>
        <w:t xml:space="preserve">The Colorado River Indian Reservation was created by </w:t>
      </w:r>
      <w:r w:rsidRPr="00100971">
        <w:rPr>
          <w:rStyle w:val="StyleUnderline"/>
        </w:rPr>
        <w:t xml:space="preserve">an act of </w:t>
      </w:r>
      <w:r w:rsidRPr="005928B4">
        <w:rPr>
          <w:rStyle w:val="StyleUnderline"/>
          <w:highlight w:val="cyan"/>
        </w:rPr>
        <w:t>Congres</w:t>
      </w:r>
      <w:r w:rsidRPr="00100971">
        <w:rPr>
          <w:rStyle w:val="StyleUnderline"/>
        </w:rPr>
        <w:t>s signed into law by Abraham Lincoln</w:t>
      </w:r>
      <w:r w:rsidRPr="00100971">
        <w:rPr>
          <w:sz w:val="16"/>
        </w:rPr>
        <w:t xml:space="preserve"> in , and on November , , </w:t>
      </w:r>
      <w:r w:rsidRPr="005928B4">
        <w:rPr>
          <w:rStyle w:val="StyleUnderline"/>
          <w:highlight w:val="cyan"/>
        </w:rPr>
        <w:t>President Woodrow</w:t>
      </w:r>
      <w:r w:rsidRPr="00100971">
        <w:rPr>
          <w:rStyle w:val="StyleUnderline"/>
        </w:rPr>
        <w:t xml:space="preserve"> Wilson issued an executive order </w:t>
      </w:r>
      <w:r w:rsidRPr="005928B4">
        <w:rPr>
          <w:rStyle w:val="StyleUnderline"/>
          <w:highlight w:val="cyan"/>
        </w:rPr>
        <w:t>remapping the boundaries of the CRIR to steal</w:t>
      </w:r>
      <w:r w:rsidRPr="00100971">
        <w:rPr>
          <w:sz w:val="16"/>
        </w:rPr>
        <w:t xml:space="preserve"> , </w:t>
      </w:r>
      <w:r w:rsidRPr="005928B4">
        <w:rPr>
          <w:rStyle w:val="StyleUnderline"/>
          <w:highlight w:val="cyan"/>
        </w:rPr>
        <w:t>acres for miners and cattlemen in the region</w:t>
      </w:r>
      <w:r w:rsidRPr="00100971">
        <w:rPr>
          <w:sz w:val="16"/>
        </w:rPr>
        <w:t xml:space="preserve">.¹⁸ In  </w:t>
      </w:r>
      <w:r w:rsidRPr="00100971">
        <w:rPr>
          <w:rStyle w:val="StyleUnderline"/>
        </w:rPr>
        <w:t>Roosevelt appointed John Collier to the Office of Indian Affairs to implement the “Indian New Deal” in the form of the Indian Reorganization Act, and on February , , his order set the stage for the Colorado River Indian Reservation to house an internment camp through which Collier planned to wage his war for democracy in the form of the doctrine of self-governance that was the basis for his administration over colonized indigenous nations</w:t>
      </w:r>
      <w:r w:rsidRPr="00100971">
        <w:rPr>
          <w:sz w:val="16"/>
        </w:rPr>
        <w:t xml:space="preserve">. Linking Japanese American experiences of the state of exception that was internment to American Indian history allows us to scrutinize the theoretical blind spots within critical philosophy and postcolonial theory and identify the discourses of colonialism that facilitated the violation of Japanese American civil rights. The </w:t>
      </w:r>
      <w:r w:rsidRPr="005928B4">
        <w:rPr>
          <w:szCs w:val="32"/>
          <w:highlight w:val="cyan"/>
          <w:u w:val="single"/>
        </w:rPr>
        <w:t>bare life</w:t>
      </w:r>
      <w:r w:rsidRPr="00100971">
        <w:rPr>
          <w:szCs w:val="32"/>
          <w:u w:val="single"/>
        </w:rPr>
        <w:t xml:space="preserve"> </w:t>
      </w:r>
      <w:r w:rsidRPr="00100971">
        <w:rPr>
          <w:sz w:val="16"/>
        </w:rPr>
        <w:t>that the internment camps reveal</w:t>
      </w:r>
      <w:r w:rsidRPr="00100971">
        <w:rPr>
          <w:szCs w:val="32"/>
          <w:u w:val="single"/>
        </w:rPr>
        <w:t xml:space="preserve"> </w:t>
      </w:r>
      <w:r w:rsidRPr="005928B4">
        <w:rPr>
          <w:szCs w:val="32"/>
          <w:highlight w:val="cyan"/>
          <w:u w:val="single"/>
        </w:rPr>
        <w:t>is</w:t>
      </w:r>
      <w:r w:rsidRPr="005928B4">
        <w:rPr>
          <w:szCs w:val="32"/>
          <w:highlight w:val="cyan"/>
        </w:rPr>
        <w:t xml:space="preserve"> </w:t>
      </w:r>
      <w:r w:rsidRPr="005928B4">
        <w:rPr>
          <w:rStyle w:val="StyleUnderline"/>
          <w:highlight w:val="cyan"/>
        </w:rPr>
        <w:t>the life of U.S. colonialism laid bare in all its settler/native dialectical glory</w:t>
      </w:r>
      <w:r w:rsidRPr="00100971">
        <w:rPr>
          <w:sz w:val="16"/>
        </w:rPr>
        <w:t xml:space="preserve">. Such an observation allows for a reordering of the colonial This content downloaded from 45.36.152.108 on Wed, 13 May 2020 08:13:12 UTC All use subject to https://about.jstor.org/terms 192  KILLING STATES logics that underpin the United States’ internment of Japanese Americans and locates its source in </w:t>
      </w:r>
      <w:r w:rsidRPr="00100971">
        <w:rPr>
          <w:rStyle w:val="StyleUnderline"/>
        </w:rPr>
        <w:t xml:space="preserve">the prior </w:t>
      </w:r>
      <w:r w:rsidRPr="005928B4">
        <w:rPr>
          <w:rStyle w:val="StyleUnderline"/>
          <w:highlight w:val="cyan"/>
        </w:rPr>
        <w:t>colonization</w:t>
      </w:r>
      <w:r w:rsidRPr="00100971">
        <w:rPr>
          <w:rStyle w:val="StyleUnderline"/>
        </w:rPr>
        <w:t xml:space="preserve"> of indigenous peoples</w:t>
      </w:r>
      <w:r w:rsidRPr="00100971">
        <w:rPr>
          <w:sz w:val="16"/>
        </w:rPr>
        <w:t xml:space="preserve">. As both captives and settlers, interned Japanese Americans are forced to play out in an abridged trajectory the U.S. frontier discourses, in which the only way to become “true” American citizens is to first go native and then carve democracy out of the wilderness. That Japanese American labor is used by Collier to tame the desert and make it productive </w:t>
      </w:r>
      <w:r w:rsidRPr="005928B4">
        <w:rPr>
          <w:rStyle w:val="StyleUnderline"/>
          <w:highlight w:val="cyan"/>
        </w:rPr>
        <w:t>allows the U</w:t>
      </w:r>
      <w:r w:rsidRPr="00100971">
        <w:rPr>
          <w:rStyle w:val="StyleUnderline"/>
        </w:rPr>
        <w:t xml:space="preserve">nited </w:t>
      </w:r>
      <w:r w:rsidRPr="005928B4">
        <w:rPr>
          <w:rStyle w:val="StyleUnderline"/>
          <w:highlight w:val="cyan"/>
        </w:rPr>
        <w:t>S</w:t>
      </w:r>
      <w:r w:rsidRPr="00100971">
        <w:rPr>
          <w:rStyle w:val="StyleUnderline"/>
        </w:rPr>
        <w:t xml:space="preserve">tates </w:t>
      </w:r>
      <w:r w:rsidRPr="005928B4">
        <w:rPr>
          <w:rStyle w:val="StyleUnderline"/>
          <w:highlight w:val="cyan"/>
        </w:rPr>
        <w:t>to enforce the frontier as the site of exception</w:t>
      </w:r>
      <w:r w:rsidRPr="00100971">
        <w:rPr>
          <w:rStyle w:val="StyleUnderline"/>
        </w:rPr>
        <w:t xml:space="preserve"> that proves the norm for U.S. colonial democracy </w:t>
      </w:r>
      <w:r w:rsidRPr="005928B4">
        <w:rPr>
          <w:rStyle w:val="StyleUnderline"/>
          <w:highlight w:val="cyan"/>
        </w:rPr>
        <w:t>and</w:t>
      </w:r>
      <w:r w:rsidRPr="00100971">
        <w:rPr>
          <w:rStyle w:val="StyleUnderline"/>
        </w:rPr>
        <w:t xml:space="preserve"> at the same time </w:t>
      </w:r>
      <w:r w:rsidRPr="005928B4">
        <w:rPr>
          <w:rStyle w:val="StyleUnderline"/>
          <w:highlight w:val="cyan"/>
        </w:rPr>
        <w:t>enacts in microcosm the progessivist history that leads civilization out of savagery</w:t>
      </w:r>
      <w:r w:rsidRPr="00100971">
        <w:rPr>
          <w:rStyle w:val="StyleUnderline"/>
        </w:rPr>
        <w:t>.</w:t>
      </w:r>
      <w:r w:rsidRPr="00100971">
        <w:rPr>
          <w:sz w:val="16"/>
        </w:rPr>
        <w:t xml:space="preserve"> </w:t>
      </w:r>
      <w:r w:rsidRPr="00100971">
        <w:rPr>
          <w:rStyle w:val="StyleUnderline"/>
        </w:rPr>
        <w:t>But the problem of the sovereign is not necessarily just the state of exception but the project of democracy itself</w:t>
      </w:r>
      <w:r w:rsidRPr="00100971">
        <w:rPr>
          <w:sz w:val="16"/>
        </w:rPr>
        <w:t>. Agamben hints at this in Homo Sacer, when he implies that “</w:t>
      </w:r>
      <w:r w:rsidRPr="005928B4">
        <w:rPr>
          <w:rStyle w:val="StyleUnderline"/>
          <w:highlight w:val="cyan"/>
        </w:rPr>
        <w:t>Western politics is a biopolitics</w:t>
      </w:r>
      <w:r w:rsidRPr="00100971">
        <w:rPr>
          <w:rStyle w:val="StyleUnderline"/>
        </w:rPr>
        <w:t xml:space="preserve"> from the very beginning, and that </w:t>
      </w:r>
      <w:r w:rsidRPr="005928B4">
        <w:rPr>
          <w:rStyle w:val="StyleUnderline"/>
          <w:highlight w:val="cyan"/>
        </w:rPr>
        <w:t xml:space="preserve">every attempt to found political liberties in the rights of the citizens is, </w:t>
      </w:r>
      <w:r w:rsidRPr="00100971">
        <w:rPr>
          <w:rStyle w:val="StyleUnderline"/>
        </w:rPr>
        <w:t>therefore</w:t>
      </w:r>
      <w:r w:rsidRPr="005928B4">
        <w:rPr>
          <w:rStyle w:val="StyleUnderline"/>
          <w:highlight w:val="cyan"/>
        </w:rPr>
        <w:t>, in vain</w:t>
      </w:r>
      <w:r w:rsidRPr="00100971">
        <w:rPr>
          <w:rStyle w:val="StyleUnderline"/>
        </w:rPr>
        <w:t xml:space="preserve">” and that observation supports Wendy Brown’s critique of </w:t>
      </w:r>
      <w:r w:rsidRPr="005928B4">
        <w:rPr>
          <w:rStyle w:val="StyleUnderline"/>
          <w:highlight w:val="cyan"/>
        </w:rPr>
        <w:t xml:space="preserve">liberal politics that seek, </w:t>
      </w:r>
      <w:r w:rsidRPr="00100971">
        <w:rPr>
          <w:rStyle w:val="StyleUnderline"/>
        </w:rPr>
        <w:t>through injury,</w:t>
      </w:r>
      <w:r w:rsidRPr="005928B4">
        <w:rPr>
          <w:rStyle w:val="StyleUnderline"/>
          <w:highlight w:val="cyan"/>
        </w:rPr>
        <w:t xml:space="preserve"> recourse </w:t>
      </w:r>
      <w:r w:rsidRPr="00100971">
        <w:rPr>
          <w:rStyle w:val="StyleUnderline"/>
        </w:rPr>
        <w:t xml:space="preserve">from the state and in the process </w:t>
      </w:r>
      <w:r w:rsidRPr="005928B4">
        <w:rPr>
          <w:rStyle w:val="StyleUnderline"/>
          <w:highlight w:val="cyan"/>
        </w:rPr>
        <w:t>serve to negate</w:t>
      </w:r>
      <w:r w:rsidRPr="00100971">
        <w:rPr>
          <w:rStyle w:val="StyleUnderline"/>
        </w:rPr>
        <w:t xml:space="preserve"> the originary violence in Benjamin’s delineation of </w:t>
      </w:r>
      <w:r w:rsidRPr="005928B4">
        <w:rPr>
          <w:rStyle w:val="StyleUnderline"/>
          <w:highlight w:val="cyan"/>
        </w:rPr>
        <w:t>law-making</w:t>
      </w:r>
      <w:r w:rsidRPr="00100971">
        <w:rPr>
          <w:rStyle w:val="StyleUnderline"/>
        </w:rPr>
        <w:t xml:space="preserve"> </w:t>
      </w:r>
      <w:r w:rsidRPr="005928B4">
        <w:rPr>
          <w:rStyle w:val="StyleUnderline"/>
          <w:highlight w:val="cyan"/>
        </w:rPr>
        <w:t>and law-preserving violence</w:t>
      </w:r>
      <w:r w:rsidRPr="00100971">
        <w:rPr>
          <w:rStyle w:val="StyleUnderline"/>
        </w:rPr>
        <w:t>.¹⁹</w:t>
      </w:r>
      <w:r w:rsidRPr="00100971">
        <w:rPr>
          <w:sz w:val="16"/>
        </w:rPr>
        <w:t xml:space="preserve"> Collier has come to epitomize </w:t>
      </w:r>
      <w:r w:rsidRPr="005928B4">
        <w:rPr>
          <w:rStyle w:val="StyleUnderline"/>
          <w:highlight w:val="cyan"/>
        </w:rPr>
        <w:t>the</w:t>
      </w:r>
      <w:r w:rsidRPr="00100971">
        <w:rPr>
          <w:rStyle w:val="StyleUnderline"/>
        </w:rPr>
        <w:t xml:space="preserve"> ambivalent colonial administrator whose </w:t>
      </w:r>
      <w:r w:rsidRPr="005928B4">
        <w:rPr>
          <w:rStyle w:val="StyleUnderline"/>
          <w:highlight w:val="cyan"/>
        </w:rPr>
        <w:t>efforts to reform the government-to-government relationship</w:t>
      </w:r>
      <w:r w:rsidRPr="00100971">
        <w:rPr>
          <w:rStyle w:val="StyleUnderline"/>
        </w:rPr>
        <w:t xml:space="preserve"> that </w:t>
      </w:r>
      <w:r w:rsidRPr="005928B4">
        <w:rPr>
          <w:rStyle w:val="StyleUnderline"/>
          <w:highlight w:val="cyan"/>
        </w:rPr>
        <w:t>provides the basis</w:t>
      </w:r>
      <w:r w:rsidRPr="00100971">
        <w:rPr>
          <w:rStyle w:val="StyleUnderline"/>
        </w:rPr>
        <w:t xml:space="preserve"> </w:t>
      </w:r>
      <w:r w:rsidRPr="005928B4">
        <w:rPr>
          <w:rStyle w:val="StyleUnderline"/>
          <w:highlight w:val="cyan"/>
        </w:rPr>
        <w:t xml:space="preserve">for the </w:t>
      </w:r>
      <w:r w:rsidRPr="00100971">
        <w:rPr>
          <w:rStyle w:val="StyleUnderline"/>
        </w:rPr>
        <w:t xml:space="preserve">continued U.S. </w:t>
      </w:r>
      <w:r w:rsidRPr="005928B4">
        <w:rPr>
          <w:rStyle w:val="StyleUnderline"/>
          <w:highlight w:val="cyan"/>
        </w:rPr>
        <w:t>occupation of indigenous lands</w:t>
      </w:r>
      <w:r w:rsidRPr="00100971">
        <w:rPr>
          <w:rStyle w:val="StyleUnderline"/>
        </w:rPr>
        <w:t xml:space="preserve"> mark a fundamental shift in U.S. colonial administration. </w:t>
      </w:r>
      <w:r w:rsidRPr="00100971">
        <w:rPr>
          <w:sz w:val="16"/>
        </w:rPr>
        <w:t>According to Vine Deloria Jr., John Collier was “probably the greatest of all Indian commissioners,” and much of the scholarship about his role as commissioner of the Office of Indian Affairs tends to frame Collier as a liberal prophetic politician who embodied the social welfare vision of Roosevelt’s administration—though in Deloria’s case, that praise may be faint given that most Indian commissioners were devastating to indigenous nations.²⁰ Even Ruth Okimoto came to appreciate Collier and found his decision to use Japanese American internment to realize his plans for the Colorado River Indian Reservation to be a “brilliant organizational move.”²¹ John Collier was ultimately contradictory in his fundamental support of indigenous communities and peoples. On the one hand, he greatly esteemed indigenous cultures, communities, and spiritual traditions, especially in the Southwest; on the other, he thought that there was a vacuum in indigenous governance in most communities that needed to be redressed through the imposition of democratic and bureaucratic structures.²² FunThis content downloaded from 45.36.152.108 on Wed, 13 May 2020 08:13:12 UTC All use subject to https://about.jstor.org/terms KILLING STATES  193 damentally, Collier, in his own words, believed American Indian democracies to be deeper and thicker democracies than those of the West, that they represented “the long hope” for humanity. “They had what the world has lost,” Collier wrote at the beginning of his  Indians of the Americas, “they have it now. What the world has lost, the world must have again, lest it die.”²³ That lost ingredient for Collier was “the power for living” in the face of bare life, and he advocated that “if the modern world should be able to recapture this power, the earth’s natural resources and web of life would not be irrevocably wasted within the twentieth century, which is the prospect now. True democracy, founded in neighborhoods and reaching over the world, would become the realized heaven on earth. And living peace—not just an interlude between wars—would be born and would last through ages.”²⁴ In many ways, then, this sentiment of “true democracy” that arises out of “the power for living” is what led Collier to address Japanese American internees at Poston Camp on June , , and speak of a “pale promise of democracy” that would spark real Democracy out of the shadows of struggle and endurance</w:t>
      </w:r>
      <w:r w:rsidRPr="005928B4">
        <w:rPr>
          <w:sz w:val="16"/>
          <w:highlight w:val="cyan"/>
        </w:rPr>
        <w:t xml:space="preserve">. </w:t>
      </w:r>
      <w:r w:rsidRPr="005928B4">
        <w:rPr>
          <w:rStyle w:val="StyleUnderline"/>
          <w:highlight w:val="cyan"/>
        </w:rPr>
        <w:t>This</w:t>
      </w:r>
      <w:r w:rsidRPr="00100971">
        <w:rPr>
          <w:sz w:val="16"/>
        </w:rPr>
        <w:t xml:space="preserve"> pale promise resided in Collier’s administrative vision and </w:t>
      </w:r>
      <w:r w:rsidRPr="005928B4">
        <w:rPr>
          <w:rStyle w:val="StyleUnderline"/>
          <w:highlight w:val="cyan"/>
        </w:rPr>
        <w:t>idea</w:t>
      </w:r>
      <w:r w:rsidRPr="00100971">
        <w:rPr>
          <w:rStyle w:val="StyleUnderline"/>
        </w:rPr>
        <w:t xml:space="preserve"> that </w:t>
      </w:r>
      <w:r w:rsidRPr="005928B4">
        <w:rPr>
          <w:rStyle w:val="StyleUnderline"/>
          <w:highlight w:val="cyan"/>
        </w:rPr>
        <w:t>the U.S.</w:t>
      </w:r>
      <w:r w:rsidRPr="00100971">
        <w:rPr>
          <w:rStyle w:val="StyleUnderline"/>
        </w:rPr>
        <w:t xml:space="preserve"> </w:t>
      </w:r>
      <w:r w:rsidRPr="005928B4">
        <w:rPr>
          <w:rStyle w:val="StyleUnderline"/>
          <w:highlight w:val="cyan"/>
        </w:rPr>
        <w:t>could manage difference</w:t>
      </w:r>
      <w:r w:rsidRPr="00100971">
        <w:rPr>
          <w:rStyle w:val="StyleUnderline"/>
        </w:rPr>
        <w:t xml:space="preserve"> best and most benignly </w:t>
      </w:r>
      <w:r w:rsidRPr="005928B4">
        <w:rPr>
          <w:rStyle w:val="StyleUnderline"/>
          <w:highlight w:val="cyan"/>
        </w:rPr>
        <w:t>by deploying self-management</w:t>
      </w:r>
      <w:r w:rsidRPr="00100971">
        <w:rPr>
          <w:rStyle w:val="StyleUnderline"/>
        </w:rPr>
        <w:t xml:space="preserve"> </w:t>
      </w:r>
      <w:r w:rsidRPr="005928B4">
        <w:rPr>
          <w:rStyle w:val="StyleUnderline"/>
          <w:highlight w:val="cyan"/>
        </w:rPr>
        <w:t>and</w:t>
      </w:r>
      <w:r w:rsidRPr="00100971">
        <w:rPr>
          <w:rStyle w:val="StyleUnderline"/>
        </w:rPr>
        <w:t xml:space="preserve"> indirect, </w:t>
      </w:r>
      <w:r w:rsidRPr="005928B4">
        <w:rPr>
          <w:rStyle w:val="StyleUnderline"/>
          <w:highlight w:val="cyan"/>
        </w:rPr>
        <w:t>bilateral colonialist regimes</w:t>
      </w:r>
      <w:r w:rsidRPr="00100971">
        <w:rPr>
          <w:rStyle w:val="StyleUnderline"/>
        </w:rPr>
        <w:t xml:space="preserve"> </w:t>
      </w:r>
      <w:r w:rsidRPr="005928B4">
        <w:rPr>
          <w:rStyle w:val="StyleUnderline"/>
          <w:highlight w:val="cyan"/>
        </w:rPr>
        <w:t xml:space="preserve">to construct a </w:t>
      </w:r>
      <w:r w:rsidRPr="00100971">
        <w:rPr>
          <w:rStyle w:val="StyleUnderline"/>
        </w:rPr>
        <w:t>permanent</w:t>
      </w:r>
      <w:r w:rsidRPr="005928B4">
        <w:rPr>
          <w:rStyle w:val="StyleUnderline"/>
          <w:highlight w:val="cyan"/>
        </w:rPr>
        <w:t xml:space="preserve"> security state to manage indigenous peoples</w:t>
      </w:r>
      <w:r w:rsidRPr="00100971">
        <w:rPr>
          <w:rStyle w:val="StyleUnderline"/>
        </w:rPr>
        <w:t>, internal minorities, and overseas territorial holdings</w:t>
      </w:r>
      <w:r w:rsidRPr="00100971">
        <w:rPr>
          <w:sz w:val="16"/>
        </w:rPr>
        <w:t xml:space="preserve">.²⁵ With only eight years separating the implementation of the Indian Reorganization Act from Roosevelt’s Executive Order , </w:t>
      </w:r>
      <w:r w:rsidRPr="005928B4">
        <w:rPr>
          <w:szCs w:val="32"/>
          <w:highlight w:val="cyan"/>
          <w:u w:val="single"/>
        </w:rPr>
        <w:t>Collier</w:t>
      </w:r>
      <w:r w:rsidRPr="00100971">
        <w:rPr>
          <w:sz w:val="16"/>
        </w:rPr>
        <w:t xml:space="preserve"> expanded his vision of colonial administration </w:t>
      </w:r>
      <w:r w:rsidRPr="00100971">
        <w:rPr>
          <w:rStyle w:val="StyleUnderline"/>
        </w:rPr>
        <w:t>to include indigenous and racial minorities alike</w:t>
      </w:r>
      <w:r w:rsidRPr="00100971">
        <w:rPr>
          <w:sz w:val="16"/>
        </w:rPr>
        <w:t xml:space="preserve"> as he </w:t>
      </w:r>
      <w:r w:rsidRPr="005928B4">
        <w:rPr>
          <w:rStyle w:val="StyleUnderline"/>
          <w:highlight w:val="cyan"/>
        </w:rPr>
        <w:t xml:space="preserve">advocated for reconsideration of self-government </w:t>
      </w:r>
      <w:r w:rsidRPr="00100971">
        <w:rPr>
          <w:rStyle w:val="StyleUnderline"/>
        </w:rPr>
        <w:t xml:space="preserve">as a tool </w:t>
      </w:r>
      <w:r w:rsidRPr="005928B4">
        <w:rPr>
          <w:rStyle w:val="StyleUnderline"/>
          <w:highlight w:val="cyan"/>
        </w:rPr>
        <w:t xml:space="preserve">for </w:t>
      </w:r>
      <w:r w:rsidRPr="00100971">
        <w:rPr>
          <w:rStyle w:val="StyleUnderline"/>
        </w:rPr>
        <w:t xml:space="preserve">assimilative </w:t>
      </w:r>
      <w:r w:rsidRPr="005928B4">
        <w:rPr>
          <w:rStyle w:val="StyleUnderline"/>
          <w:highlight w:val="cyan"/>
        </w:rPr>
        <w:t>incorporation</w:t>
      </w:r>
      <w:r w:rsidRPr="005928B4">
        <w:rPr>
          <w:sz w:val="16"/>
          <w:highlight w:val="cyan"/>
        </w:rPr>
        <w:t>.</w:t>
      </w:r>
      <w:r w:rsidRPr="00100971">
        <w:rPr>
          <w:sz w:val="16"/>
        </w:rPr>
        <w:t xml:space="preserve"> Collier’s vision for </w:t>
      </w:r>
      <w:r w:rsidRPr="005928B4">
        <w:rPr>
          <w:rStyle w:val="StyleUnderline"/>
          <w:highlight w:val="cyan"/>
        </w:rPr>
        <w:t>the IRA,</w:t>
      </w:r>
      <w:r w:rsidRPr="00100971">
        <w:rPr>
          <w:rStyle w:val="StyleUnderline"/>
        </w:rPr>
        <w:t xml:space="preserve"> which provides </w:t>
      </w:r>
      <w:r w:rsidRPr="005928B4">
        <w:rPr>
          <w:rStyle w:val="StyleUnderline"/>
          <w:highlight w:val="cyan"/>
        </w:rPr>
        <w:t>the cornerstone for</w:t>
      </w:r>
      <w:r w:rsidRPr="00100971">
        <w:rPr>
          <w:rStyle w:val="StyleUnderline"/>
        </w:rPr>
        <w:t xml:space="preserve"> the </w:t>
      </w:r>
      <w:r w:rsidRPr="005928B4">
        <w:rPr>
          <w:rStyle w:val="StyleUnderline"/>
          <w:highlight w:val="cyan"/>
        </w:rPr>
        <w:t>federal recognition</w:t>
      </w:r>
      <w:r w:rsidRPr="00100971">
        <w:rPr>
          <w:rStyle w:val="StyleUnderline"/>
        </w:rPr>
        <w:t xml:space="preserve"> and </w:t>
      </w:r>
      <w:r w:rsidRPr="005928B4">
        <w:rPr>
          <w:rStyle w:val="StyleUnderline"/>
          <w:highlight w:val="cyan"/>
        </w:rPr>
        <w:t>nation-to-nation status</w:t>
      </w:r>
      <w:r w:rsidRPr="00100971">
        <w:rPr>
          <w:rStyle w:val="StyleUnderline"/>
        </w:rPr>
        <w:t xml:space="preserve"> </w:t>
      </w:r>
      <w:r w:rsidRPr="005928B4">
        <w:rPr>
          <w:rStyle w:val="StyleUnderline"/>
          <w:highlight w:val="cyan"/>
        </w:rPr>
        <w:t>of indigenous nations</w:t>
      </w:r>
      <w:r w:rsidRPr="00100971">
        <w:rPr>
          <w:rStyle w:val="StyleUnderline"/>
        </w:rPr>
        <w:t xml:space="preserve"> colonized by the United States, </w:t>
      </w:r>
      <w:r w:rsidRPr="005928B4">
        <w:rPr>
          <w:rStyle w:val="StyleUnderline"/>
          <w:highlight w:val="cyan"/>
        </w:rPr>
        <w:t xml:space="preserve">reveals the </w:t>
      </w:r>
      <w:r w:rsidRPr="00100971">
        <w:rPr>
          <w:rStyle w:val="StyleUnderline"/>
        </w:rPr>
        <w:t xml:space="preserve">syllogistic </w:t>
      </w:r>
      <w:r w:rsidRPr="005928B4">
        <w:rPr>
          <w:rStyle w:val="StyleUnderline"/>
          <w:highlight w:val="cyan"/>
        </w:rPr>
        <w:t>fallacy</w:t>
      </w:r>
      <w:r w:rsidRPr="00100971">
        <w:rPr>
          <w:rStyle w:val="StyleUnderline"/>
        </w:rPr>
        <w:t xml:space="preserve"> at the heart </w:t>
      </w:r>
      <w:r w:rsidRPr="005928B4">
        <w:rPr>
          <w:rStyle w:val="StyleUnderline"/>
          <w:highlight w:val="cyan"/>
        </w:rPr>
        <w:t>of such policies</w:t>
      </w:r>
      <w:r w:rsidRPr="00100971">
        <w:rPr>
          <w:rStyle w:val="StyleUnderline"/>
        </w:rPr>
        <w:t>, that because the IRA reestablished the language of self-governance, the act recognized indigenous nations as sovereign entities rather than as racial, ethnic communities who would one day be assimilated into the U.S. body politic</w:t>
      </w:r>
      <w:r w:rsidRPr="00100971">
        <w:rPr>
          <w:sz w:val="16"/>
        </w:rPr>
        <w:t xml:space="preserve">. </w:t>
      </w:r>
      <w:r w:rsidRPr="00100971">
        <w:rPr>
          <w:rStyle w:val="StyleUnderline"/>
        </w:rPr>
        <w:t>The implications for American Indian studies and our reliance on the Indian Reorganization Act to provide the language of government-to-government sovereignty and self-determination are profoundly eclipsed by the intersection of colonial and racist agendas that collude to oppress on the one hand and offer</w:t>
      </w:r>
      <w:r w:rsidRPr="00100971">
        <w:rPr>
          <w:sz w:val="16"/>
        </w:rPr>
        <w:t xml:space="preserve"> This content downloaded from 45.36.152.108 on Wed, 13 May 2020 08:13:12 UTC All use subject to https://about.jstor.org/terms 194  KILLING STATES </w:t>
      </w:r>
      <w:r w:rsidRPr="00100971">
        <w:rPr>
          <w:rStyle w:val="StyleUnderline"/>
        </w:rPr>
        <w:t xml:space="preserve">the </w:t>
      </w:r>
      <w:r w:rsidRPr="005928B4">
        <w:rPr>
          <w:rStyle w:val="StyleUnderline"/>
          <w:highlight w:val="cyan"/>
        </w:rPr>
        <w:t>seductive recognitions</w:t>
      </w:r>
      <w:r w:rsidRPr="00100971">
        <w:rPr>
          <w:rStyle w:val="StyleUnderline"/>
        </w:rPr>
        <w:t xml:space="preserve"> </w:t>
      </w:r>
      <w:r w:rsidRPr="005928B4">
        <w:rPr>
          <w:rStyle w:val="StyleUnderline"/>
          <w:highlight w:val="cyan"/>
        </w:rPr>
        <w:t>that maintain state hegemony on the other</w:t>
      </w:r>
      <w:r w:rsidRPr="00100971">
        <w:rPr>
          <w:rStyle w:val="StyleUnderline"/>
        </w:rPr>
        <w:t xml:space="preserve">. </w:t>
      </w:r>
      <w:r w:rsidRPr="00100971">
        <w:rPr>
          <w:sz w:val="16"/>
        </w:rPr>
        <w:t xml:space="preserve">The intersection of Collier’s administrative colonialism with his affirmation of self-government served the larger agenda of furthering liberal democracy that sought to bring the world into U.S. alignment. And as Justice Robert Jackson observed in his dissention to the Korematsu decision that upheld the constitutionality of Japanese American relocation, </w:t>
      </w:r>
      <w:r w:rsidRPr="005928B4">
        <w:rPr>
          <w:rStyle w:val="StyleUnderline"/>
          <w:highlight w:val="cyan"/>
        </w:rPr>
        <w:t>the</w:t>
      </w:r>
      <w:r w:rsidRPr="00100971">
        <w:rPr>
          <w:rStyle w:val="StyleUnderline"/>
        </w:rPr>
        <w:t xml:space="preserve"> loaded </w:t>
      </w:r>
      <w:r w:rsidRPr="005928B4">
        <w:rPr>
          <w:rStyle w:val="StyleUnderline"/>
          <w:highlight w:val="cyan"/>
        </w:rPr>
        <w:t>weapon in the law created</w:t>
      </w:r>
      <w:r w:rsidRPr="00100971">
        <w:rPr>
          <w:rStyle w:val="StyleUnderline"/>
        </w:rPr>
        <w:t xml:space="preserve"> in part </w:t>
      </w:r>
      <w:r w:rsidRPr="005928B4">
        <w:rPr>
          <w:rStyle w:val="StyleUnderline"/>
          <w:highlight w:val="cyan"/>
        </w:rPr>
        <w:t>by the juridical principle of stare decisis,</w:t>
      </w:r>
      <w:r w:rsidRPr="00100971">
        <w:rPr>
          <w:rStyle w:val="StyleUnderline"/>
        </w:rPr>
        <w:t xml:space="preserve"> which</w:t>
      </w:r>
      <w:r w:rsidRPr="00100971">
        <w:rPr>
          <w:sz w:val="16"/>
        </w:rPr>
        <w:t xml:space="preserve"> Robert A. Williams Jr. </w:t>
      </w:r>
      <w:r w:rsidRPr="00100971">
        <w:rPr>
          <w:rStyle w:val="StyleUnderline"/>
        </w:rPr>
        <w:t xml:space="preserve">defines as “like cases should be decided alike,” </w:t>
      </w:r>
      <w:r w:rsidRPr="005928B4">
        <w:rPr>
          <w:rStyle w:val="StyleUnderline"/>
          <w:highlight w:val="cyan"/>
        </w:rPr>
        <w:t>facilitates a transit of colonial subjectivities</w:t>
      </w:r>
      <w:r w:rsidRPr="00100971">
        <w:rPr>
          <w:rStyle w:val="StyleUnderline"/>
        </w:rPr>
        <w:t xml:space="preserve"> </w:t>
      </w:r>
      <w:r w:rsidRPr="005928B4">
        <w:rPr>
          <w:rStyle w:val="StyleUnderline"/>
          <w:highlight w:val="cyan"/>
        </w:rPr>
        <w:t>across which “Indianness</w:t>
      </w:r>
      <w:r w:rsidRPr="00100971">
        <w:rPr>
          <w:rStyle w:val="StyleUnderline"/>
        </w:rPr>
        <w:t>” becomes a homology emptied of indigenous contexts and content.²⁶</w:t>
      </w:r>
      <w:r w:rsidRPr="00100971">
        <w:rPr>
          <w:sz w:val="16"/>
        </w:rPr>
        <w:t xml:space="preserve"> </w:t>
      </w:r>
      <w:r w:rsidRPr="00100971">
        <w:rPr>
          <w:rStyle w:val="StyleUnderline"/>
        </w:rPr>
        <w:t xml:space="preserve">These contexts are then, through the logics of settler colonialism, spatially, physically, and psychically mapped onto other arrivants and trajectories. </w:t>
      </w:r>
      <w:r w:rsidRPr="005928B4">
        <w:rPr>
          <w:rStyle w:val="StyleUnderline"/>
          <w:highlight w:val="cyan"/>
        </w:rPr>
        <w:t>Such processes lead to</w:t>
      </w:r>
      <w:r w:rsidRPr="00100971">
        <w:rPr>
          <w:rStyle w:val="StyleUnderline"/>
        </w:rPr>
        <w:t xml:space="preserve"> </w:t>
      </w:r>
      <w:r w:rsidRPr="00100971">
        <w:rPr>
          <w:sz w:val="16"/>
        </w:rPr>
        <w:t xml:space="preserve">what Ruth Okimoto rightly recognizes as “a brief moment in history [in which] the Japanese American detainees experienced what the American Indians have endured for centuries” but absents why that might be.²⁷ And while many scholars locate those intersections in Dillon Myer’s reign first in the War Relocation Authority and then in the Bureau of Indian Affairs, where he implemented policies of relocation and termination in the s, Collier shoulders his own responsibilities for implementing and advocating a process of “democratizing the enemy” that sought to layer the U.S. colonial administration of colonized Indian nations onto first Japanese American citizens and then Pacific Island holdings at the end of the war.²⁸ Next stop, the world. In other words, Collier intended to enact a third space of sovereignty that functioned as a state of exception, </w:t>
      </w:r>
      <w:r w:rsidRPr="005928B4">
        <w:rPr>
          <w:rStyle w:val="StyleUnderline"/>
          <w:highlight w:val="cyan"/>
        </w:rPr>
        <w:t>the establishing of the outside in order to facilitate</w:t>
      </w:r>
      <w:r w:rsidRPr="00100971">
        <w:rPr>
          <w:rStyle w:val="StyleUnderline"/>
        </w:rPr>
        <w:t xml:space="preserve"> its </w:t>
      </w:r>
      <w:r w:rsidRPr="005928B4">
        <w:rPr>
          <w:rStyle w:val="StyleUnderline"/>
          <w:highlight w:val="cyan"/>
        </w:rPr>
        <w:t>reincorporation</w:t>
      </w:r>
      <w:r w:rsidRPr="00100971">
        <w:rPr>
          <w:rStyle w:val="StyleUnderline"/>
        </w:rPr>
        <w:t xml:space="preserve">, </w:t>
      </w:r>
      <w:r w:rsidRPr="005928B4">
        <w:rPr>
          <w:rStyle w:val="StyleUnderline"/>
          <w:highlight w:val="cyan"/>
        </w:rPr>
        <w:t xml:space="preserve">for indigenous nations, </w:t>
      </w:r>
      <w:r w:rsidRPr="00100971">
        <w:rPr>
          <w:rStyle w:val="StyleUnderline"/>
        </w:rPr>
        <w:t xml:space="preserve">recent immigrants, </w:t>
      </w:r>
      <w:r w:rsidRPr="005928B4">
        <w:rPr>
          <w:rStyle w:val="StyleUnderline"/>
          <w:highlight w:val="cyan"/>
        </w:rPr>
        <w:t>and new</w:t>
      </w:r>
      <w:r w:rsidRPr="00100971">
        <w:rPr>
          <w:rStyle w:val="StyleUnderline"/>
        </w:rPr>
        <w:t>ly acquired</w:t>
      </w:r>
      <w:r w:rsidRPr="005928B4">
        <w:rPr>
          <w:rStyle w:val="StyleUnderline"/>
          <w:highlight w:val="cyan"/>
        </w:rPr>
        <w:t xml:space="preserve"> territories</w:t>
      </w:r>
      <w:r w:rsidRPr="00100971">
        <w:rPr>
          <w:rStyle w:val="StyleUnderline"/>
        </w:rPr>
        <w:t xml:space="preserve"> at the end of the war that would allow not-quite-citizens to be formally recaptured through the maintenance of the colonialist logics that cohered U.S. territory into the nationstate</w:t>
      </w:r>
      <w:r w:rsidRPr="00100971">
        <w:rPr>
          <w:sz w:val="16"/>
        </w:rPr>
        <w:t xml:space="preserve">. When Japanese Americans are forced by Collier into the third space of sovereignty, however, what happens to American Indians nations is an extension of the egalitarian processes that David Kazanjian has termed the colonizing trick, whereby Indians become colonists, Japanese Americans Indians.²⁹ And in the process, </w:t>
      </w:r>
      <w:r w:rsidRPr="005928B4">
        <w:rPr>
          <w:rStyle w:val="StyleUnderline"/>
          <w:highlight w:val="cyan"/>
        </w:rPr>
        <w:t>the entire territorial conquest that is the basis for U.S. hegemony</w:t>
      </w:r>
      <w:r w:rsidRPr="00100971">
        <w:rPr>
          <w:rStyle w:val="StyleUnderline"/>
        </w:rPr>
        <w:t xml:space="preserve"> </w:t>
      </w:r>
      <w:r w:rsidRPr="005928B4">
        <w:rPr>
          <w:rStyle w:val="StyleUnderline"/>
          <w:highlight w:val="cyan"/>
        </w:rPr>
        <w:t>is elided</w:t>
      </w:r>
      <w:r w:rsidRPr="00100971">
        <w:rPr>
          <w:rStyle w:val="StyleUnderline"/>
        </w:rPr>
        <w:t xml:space="preserve">, </w:t>
      </w:r>
      <w:r w:rsidRPr="005928B4">
        <w:rPr>
          <w:rStyle w:val="StyleUnderline"/>
          <w:highlight w:val="cyan"/>
        </w:rPr>
        <w:t xml:space="preserve">and the colonization of indigenous peoples is then abjected outside </w:t>
      </w:r>
      <w:r w:rsidRPr="00100971">
        <w:rPr>
          <w:rStyle w:val="StyleUnderline"/>
        </w:rPr>
        <w:t xml:space="preserve">the dialectics of settler/native and </w:t>
      </w:r>
      <w:r w:rsidRPr="005928B4">
        <w:rPr>
          <w:rStyle w:val="StyleUnderline"/>
          <w:highlight w:val="cyan"/>
        </w:rPr>
        <w:t>into a now movable and infinitely repeatable state of assimilation through exception.</w:t>
      </w:r>
    </w:p>
    <w:bookmarkEnd w:id="0"/>
    <w:p w:rsidR="002E141E" w:rsidRPr="00003F2D" w:rsidRDefault="002E141E" w:rsidP="002E141E"/>
    <w:p w:rsidR="002E141E" w:rsidRDefault="002E141E" w:rsidP="002E141E">
      <w:pPr>
        <w:pStyle w:val="Heading3"/>
      </w:pPr>
      <w:r>
        <w:t xml:space="preserve">TOP – Yusoff </w:t>
      </w:r>
    </w:p>
    <w:p w:rsidR="002E141E" w:rsidRPr="005928B4" w:rsidRDefault="002E141E" w:rsidP="002E141E">
      <w:pPr>
        <w:pStyle w:val="Heading4"/>
      </w:pPr>
      <w:r>
        <w:t xml:space="preserve">The world itself has now become encompassed in a </w:t>
      </w:r>
      <w:r w:rsidRPr="00CC0A0D">
        <w:rPr>
          <w:u w:val="single"/>
        </w:rPr>
        <w:t xml:space="preserve">geological </w:t>
      </w:r>
      <w:r w:rsidRPr="006A0420">
        <w:rPr>
          <w:u w:val="single"/>
        </w:rPr>
        <w:t>meta ontology</w:t>
      </w:r>
      <w:r>
        <w:t xml:space="preserve"> that eliminates subaltern heterogeneity. A refusal to grapple with the material and representational exces</w:t>
      </w:r>
      <w:r w:rsidR="002B1F99">
        <w:t xml:space="preserve">s of Empire is not neutral but </w:t>
      </w:r>
      <w:r>
        <w:t>remains integral for endless military interventions, rampant unchecked economic growth, and the dispossessio</w:t>
      </w:r>
      <w:r>
        <w:rPr>
          <w:rFonts w:hint="eastAsia"/>
        </w:rPr>
        <w:t>n</w:t>
      </w:r>
      <w:r>
        <w:t xml:space="preserve"> of </w:t>
      </w:r>
      <w:r w:rsidR="002B1F99">
        <w:t>subaltern</w:t>
      </w:r>
      <w:r>
        <w:t xml:space="preserve"> peoples across the world. You should reject this genocidal way of knowing the world in favor of a new geo-aesthetic</w:t>
      </w:r>
      <w:r w:rsidRPr="00112874">
        <w:t>: one that restructures our temporal and material affiliation</w:t>
      </w:r>
      <w:r w:rsidRPr="00112874">
        <w:rPr>
          <w:rFonts w:hint="eastAsia"/>
        </w:rPr>
        <w:t>s</w:t>
      </w:r>
      <w:r w:rsidRPr="00112874">
        <w:t xml:space="preserve"> through a </w:t>
      </w:r>
      <w:r w:rsidRPr="00112874">
        <w:rPr>
          <w:u w:val="single"/>
        </w:rPr>
        <w:t>decolonization of spatiality.</w:t>
      </w:r>
      <w:r w:rsidRPr="00CC0A0D">
        <w:rPr>
          <w:u w:val="single"/>
        </w:rPr>
        <w:t xml:space="preserve"> </w:t>
      </w:r>
    </w:p>
    <w:p w:rsidR="002E141E" w:rsidRPr="009F282C" w:rsidRDefault="002E141E" w:rsidP="002E141E">
      <w:pPr>
        <w:rPr>
          <w:rStyle w:val="Style13ptBold"/>
          <w:b w:val="0"/>
          <w:sz w:val="24"/>
        </w:rPr>
      </w:pPr>
      <w:r>
        <w:rPr>
          <w:rStyle w:val="Style13ptBold"/>
        </w:rPr>
        <w:t xml:space="preserve">YUSOFF </w:t>
      </w:r>
      <w:r w:rsidRPr="00DD35D2">
        <w:rPr>
          <w:rStyle w:val="Style13ptBold"/>
        </w:rPr>
        <w:t>17</w:t>
      </w:r>
      <w:r w:rsidRPr="00DD35D2">
        <w:rPr>
          <w:rStyle w:val="Style13ptBold"/>
          <w:b w:val="0"/>
        </w:rPr>
        <w:t xml:space="preserve">. </w:t>
      </w:r>
      <w:r w:rsidRPr="000B1962">
        <w:rPr>
          <w:rStyle w:val="Style13ptBold"/>
          <w:b w:val="0"/>
          <w:sz w:val="18"/>
          <w:szCs w:val="18"/>
        </w:rPr>
        <w:t xml:space="preserve">[Kathryn Yussof, Reader in Human Geography at Queen Mary University of London. Her research focuses on geophilosophy, political aesthetics, and the Anthropocene, “Epochal Aesthetics: Affectual Infrastructures of the Anthropocene” </w:t>
      </w:r>
      <w:hyperlink r:id="rId9" w:history="1">
        <w:r w:rsidRPr="000B1962">
          <w:rPr>
            <w:rStyle w:val="Hyperlink"/>
            <w:sz w:val="18"/>
            <w:szCs w:val="18"/>
          </w:rPr>
          <w:t>https://www.e-flux.com/architecture/accumulation/121847/epochal-aesthetics-affectual-infrastructures-of-the-anthropocene/</w:t>
        </w:r>
      </w:hyperlink>
      <w:r w:rsidRPr="000B1962">
        <w:rPr>
          <w:rStyle w:val="Style13ptBold"/>
          <w:b w:val="0"/>
          <w:sz w:val="18"/>
          <w:szCs w:val="18"/>
        </w:rPr>
        <w:t xml:space="preserve">] </w:t>
      </w:r>
      <w:r>
        <w:rPr>
          <w:rStyle w:val="Style13ptBold"/>
          <w:b w:val="0"/>
          <w:sz w:val="18"/>
          <w:szCs w:val="18"/>
        </w:rPr>
        <w:t>//EJ</w:t>
      </w:r>
    </w:p>
    <w:p w:rsidR="002E141E" w:rsidRDefault="002E141E" w:rsidP="002E141E">
      <w:pPr>
        <w:rPr>
          <w:u w:val="single"/>
        </w:rPr>
      </w:pPr>
      <w:r w:rsidRPr="005928B4">
        <w:rPr>
          <w:highlight w:val="cyan"/>
          <w:u w:val="single"/>
        </w:rPr>
        <w:t>The Anthropocene renders visible</w:t>
      </w:r>
      <w:r w:rsidRPr="009F282C">
        <w:rPr>
          <w:u w:val="single"/>
        </w:rPr>
        <w:t xml:space="preserve"> new </w:t>
      </w:r>
      <w:r w:rsidRPr="005928B4">
        <w:rPr>
          <w:highlight w:val="cyan"/>
          <w:u w:val="single"/>
        </w:rPr>
        <w:t>architectures of time and matter</w:t>
      </w:r>
      <w:r w:rsidRPr="00CF14B7">
        <w:rPr>
          <w:sz w:val="16"/>
        </w:rPr>
        <w:t xml:space="preserve">, both sedimenting existing genealogies of global-world-space and </w:t>
      </w:r>
      <w:r w:rsidRPr="005928B4">
        <w:rPr>
          <w:highlight w:val="cyan"/>
          <w:u w:val="single"/>
        </w:rPr>
        <w:t>radically reorganizing an imagination of the</w:t>
      </w:r>
      <w:r w:rsidRPr="009F282C">
        <w:rPr>
          <w:u w:val="single"/>
        </w:rPr>
        <w:t xml:space="preserve"> scope and material duration of what the </w:t>
      </w:r>
      <w:r w:rsidRPr="005928B4">
        <w:rPr>
          <w:highlight w:val="cyan"/>
          <w:u w:val="single"/>
        </w:rPr>
        <w:t>human</w:t>
      </w:r>
      <w:r w:rsidRPr="009F282C">
        <w:rPr>
          <w:u w:val="single"/>
        </w:rPr>
        <w:t xml:space="preserve"> is in and through time</w:t>
      </w:r>
      <w:r w:rsidRPr="00CF14B7">
        <w:rPr>
          <w:sz w:val="16"/>
        </w:rPr>
        <w:t xml:space="preserve">. The idealized architectures of social formations that have hitherto been thought of as purely “social” structures are now beginning to betray their subtended geologies. Unraveling the fantasies of growth without accumulation, the global effects of climate change and resource depletion suggest that </w:t>
      </w:r>
      <w:r w:rsidRPr="005928B4">
        <w:rPr>
          <w:highlight w:val="cyan"/>
          <w:u w:val="single"/>
        </w:rPr>
        <w:t>there is no accumulation without dispossession</w:t>
      </w:r>
      <w:r w:rsidRPr="00CE7B3C">
        <w:rPr>
          <w:u w:val="single"/>
        </w:rPr>
        <w:t xml:space="preserve"> in both social or geological worlds</w:t>
      </w:r>
      <w:r w:rsidRPr="00CF14B7">
        <w:rPr>
          <w:sz w:val="16"/>
        </w:rPr>
        <w:t xml:space="preserve">. </w:t>
      </w:r>
      <w:r w:rsidRPr="00CE7B3C">
        <w:rPr>
          <w:u w:val="single"/>
        </w:rPr>
        <w:t>This new vision of</w:t>
      </w:r>
      <w:r w:rsidRPr="00CF14B7">
        <w:rPr>
          <w:sz w:val="16"/>
        </w:rPr>
        <w:t xml:space="preserve"> the geologic underpinnings of social formations suggests that </w:t>
      </w:r>
      <w:r w:rsidRPr="00CE7B3C">
        <w:rPr>
          <w:u w:val="single"/>
        </w:rPr>
        <w:t>the “standing stock” of matter was never a suitable means to theorize how the geo and social hook up</w:t>
      </w:r>
      <w:r w:rsidRPr="00CF14B7">
        <w:rPr>
          <w:sz w:val="16"/>
        </w:rPr>
        <w:t xml:space="preserve">, or come to matter, nor does it adequately account for the full reach of those geosocial formations into time and sub-surface matter. </w:t>
      </w:r>
      <w:r w:rsidRPr="005928B4">
        <w:rPr>
          <w:b/>
          <w:bCs/>
          <w:highlight w:val="cyan"/>
          <w:u w:val="single"/>
        </w:rPr>
        <w:t>Ruination of the future</w:t>
      </w:r>
      <w:r w:rsidRPr="00CE7B3C">
        <w:rPr>
          <w:b/>
          <w:bCs/>
          <w:u w:val="single"/>
        </w:rPr>
        <w:t xml:space="preserve">, it seems, </w:t>
      </w:r>
      <w:r w:rsidRPr="005928B4">
        <w:rPr>
          <w:b/>
          <w:bCs/>
          <w:highlight w:val="cyan"/>
          <w:u w:val="single"/>
        </w:rPr>
        <w:t>is</w:t>
      </w:r>
      <w:r w:rsidRPr="00CE7B3C">
        <w:rPr>
          <w:b/>
          <w:bCs/>
          <w:u w:val="single"/>
        </w:rPr>
        <w:t xml:space="preserve"> </w:t>
      </w:r>
      <w:r w:rsidRPr="005928B4">
        <w:rPr>
          <w:b/>
          <w:bCs/>
          <w:highlight w:val="cyan"/>
          <w:u w:val="single"/>
        </w:rPr>
        <w:t>as a much a</w:t>
      </w:r>
      <w:r w:rsidRPr="00CE7B3C">
        <w:rPr>
          <w:b/>
          <w:bCs/>
          <w:u w:val="single"/>
        </w:rPr>
        <w:t xml:space="preserve"> </w:t>
      </w:r>
      <w:r w:rsidRPr="005928B4">
        <w:rPr>
          <w:b/>
          <w:bCs/>
          <w:highlight w:val="cyan"/>
          <w:u w:val="single"/>
        </w:rPr>
        <w:t>product of</w:t>
      </w:r>
      <w:r w:rsidRPr="00CE7B3C">
        <w:rPr>
          <w:b/>
          <w:bCs/>
          <w:u w:val="single"/>
        </w:rPr>
        <w:t xml:space="preserve"> the </w:t>
      </w:r>
      <w:r w:rsidRPr="005928B4">
        <w:rPr>
          <w:b/>
          <w:bCs/>
          <w:highlight w:val="cyan"/>
          <w:u w:val="single"/>
        </w:rPr>
        <w:t>subtended infrastructures</w:t>
      </w:r>
      <w:r w:rsidRPr="00CE7B3C">
        <w:rPr>
          <w:b/>
          <w:bCs/>
          <w:u w:val="single"/>
        </w:rPr>
        <w:t xml:space="preserve"> of architectural projects </w:t>
      </w:r>
      <w:r w:rsidRPr="005928B4">
        <w:rPr>
          <w:b/>
          <w:bCs/>
          <w:highlight w:val="cyan"/>
          <w:u w:val="single"/>
        </w:rPr>
        <w:t>as it is</w:t>
      </w:r>
      <w:r w:rsidRPr="00CE7B3C">
        <w:rPr>
          <w:b/>
          <w:bCs/>
          <w:u w:val="single"/>
        </w:rPr>
        <w:t xml:space="preserve"> of these </w:t>
      </w:r>
      <w:r w:rsidRPr="005928B4">
        <w:rPr>
          <w:b/>
          <w:bCs/>
          <w:highlight w:val="cyan"/>
          <w:u w:val="single"/>
        </w:rPr>
        <w:t>interventions themselves.</w:t>
      </w:r>
      <w:r w:rsidRPr="00CF14B7">
        <w:rPr>
          <w:sz w:val="16"/>
        </w:rPr>
        <w:t xml:space="preserve"> Or, to put it another way, what was once imagined and imaged as extraneous and external to the rational projects of materializing late modernity might now seem to have found it had a missing substratum. </w:t>
      </w:r>
      <w:r w:rsidRPr="005928B4">
        <w:rPr>
          <w:b/>
          <w:bCs/>
          <w:sz w:val="28"/>
          <w:szCs w:val="28"/>
          <w:highlight w:val="cyan"/>
          <w:u w:val="single"/>
        </w:rPr>
        <w:t>The substratum of the technosphere</w:t>
      </w:r>
      <w:r w:rsidRPr="00CF14B7">
        <w:rPr>
          <w:sz w:val="16"/>
        </w:rPr>
        <w:t>—the output of contemporary enterprise—</w:t>
      </w:r>
      <w:r w:rsidRPr="005928B4">
        <w:rPr>
          <w:highlight w:val="cyan"/>
          <w:u w:val="single"/>
        </w:rPr>
        <w:t>has a central claim in</w:t>
      </w:r>
      <w:r w:rsidRPr="00CE7B3C">
        <w:rPr>
          <w:u w:val="single"/>
        </w:rPr>
        <w:t xml:space="preserve"> accounts of the Anthropocene’s </w:t>
      </w:r>
      <w:r w:rsidRPr="005928B4">
        <w:rPr>
          <w:highlight w:val="cyan"/>
          <w:u w:val="single"/>
        </w:rPr>
        <w:t>material geographies</w:t>
      </w:r>
      <w:r w:rsidRPr="005928B4">
        <w:rPr>
          <w:sz w:val="16"/>
          <w:highlight w:val="cyan"/>
        </w:rPr>
        <w:t>.</w:t>
      </w:r>
      <w:r w:rsidRPr="005C3FFA">
        <w:rPr>
          <w:sz w:val="16"/>
        </w:rPr>
        <w:t xml:space="preserve"> </w:t>
      </w:r>
      <w:r w:rsidRPr="005C3FFA">
        <w:rPr>
          <w:b/>
          <w:bCs/>
          <w:u w:val="single"/>
        </w:rPr>
        <w:t>Waste sites, mining shafts and extraction zones</w:t>
      </w:r>
      <w:r w:rsidRPr="005C3FFA">
        <w:rPr>
          <w:u w:val="single"/>
        </w:rPr>
        <w:t xml:space="preserve"> </w:t>
      </w:r>
      <w:r w:rsidRPr="005C3FFA">
        <w:rPr>
          <w:b/>
          <w:bCs/>
          <w:u w:val="single"/>
        </w:rPr>
        <w:t>are imagined as</w:t>
      </w:r>
      <w:r w:rsidRPr="005C3FFA">
        <w:rPr>
          <w:u w:val="single"/>
        </w:rPr>
        <w:t xml:space="preserve"> </w:t>
      </w:r>
      <w:r w:rsidRPr="005C3FFA">
        <w:rPr>
          <w:b/>
          <w:bCs/>
          <w:u w:val="single"/>
        </w:rPr>
        <w:t>the new museums of humanity</w:t>
      </w:r>
      <w:r w:rsidRPr="005C3FFA">
        <w:rPr>
          <w:i/>
          <w:iCs/>
          <w:sz w:val="16"/>
        </w:rPr>
        <w:t>,</w:t>
      </w:r>
      <w:r w:rsidRPr="005C3FFA">
        <w:rPr>
          <w:sz w:val="16"/>
        </w:rPr>
        <w:t xml:space="preserve"> alongside the more affectual and accumulative material registers of pollution, toxicity and climate shifts. More than the by-products of social projects and industrial practices, such chemical and atmospheric modes of ruination are producing their own unique traces or architectural fossils in the Earth in the form of coral bleachings, plasticized rocks and carbon dioxide measurements. </w:t>
      </w:r>
      <w:r w:rsidRPr="005C3FFA">
        <w:rPr>
          <w:b/>
          <w:bCs/>
          <w:u w:val="single"/>
        </w:rPr>
        <w:t>The accumulation of new mineralogical arrangements and organic-inorganic composites in the flow of geologic matter provides the evidential base</w:t>
      </w:r>
      <w:r w:rsidRPr="00FB0160">
        <w:rPr>
          <w:b/>
          <w:bCs/>
          <w:u w:val="single"/>
        </w:rPr>
        <w:t xml:space="preserve"> for the Anthropocene.</w:t>
      </w:r>
      <w:r w:rsidRPr="00CF14B7">
        <w:rPr>
          <w:sz w:val="16"/>
        </w:rPr>
        <w:t xml:space="preserve"> This new intemperate science of fossilization is generating the technofossils of the future. Everything from the occurrence of McDonalds, Dairy Queen and Walmart chains to changes in nitrogen and carbon cycles position the geologies of the present into interlocking geosocial architectures. </w:t>
      </w:r>
      <w:r w:rsidRPr="00FB0160">
        <w:rPr>
          <w:u w:val="single"/>
        </w:rPr>
        <w:t xml:space="preserve">We might imagine the term “architecture” to refer to the organization of the material structures of space and its temporal patterning; or, how </w:t>
      </w:r>
      <w:r w:rsidRPr="005928B4">
        <w:rPr>
          <w:highlight w:val="cyan"/>
          <w:u w:val="single"/>
        </w:rPr>
        <w:t>the material mediation of space orders a specific temporal indexing</w:t>
      </w:r>
      <w:r w:rsidRPr="00CF14B7">
        <w:rPr>
          <w:sz w:val="16"/>
        </w:rPr>
        <w:t xml:space="preserve">. These new empirics of sedimentation, of rapidly destratifying and restratifying social, economic and mineral practices, are rearranging the global dynamics of the bio and geosphere. </w:t>
      </w:r>
      <w:r w:rsidRPr="00FB0160">
        <w:rPr>
          <w:u w:val="single"/>
        </w:rPr>
        <w:t xml:space="preserve">This suggests that the old artifacts of Earth that constituted the imagination of global-world-space are overly reliant on a stable material foundation and therefore a temporal location. </w:t>
      </w:r>
      <w:r w:rsidRPr="00FB0160">
        <w:rPr>
          <w:b/>
          <w:bCs/>
          <w:u w:val="single"/>
        </w:rPr>
        <w:t xml:space="preserve">In this sense, </w:t>
      </w:r>
      <w:r w:rsidRPr="005928B4">
        <w:rPr>
          <w:b/>
          <w:bCs/>
          <w:highlight w:val="cyan"/>
          <w:u w:val="single"/>
        </w:rPr>
        <w:t>the Anthropocene</w:t>
      </w:r>
      <w:r w:rsidRPr="00FB0160">
        <w:rPr>
          <w:b/>
          <w:bCs/>
          <w:u w:val="single"/>
        </w:rPr>
        <w:t xml:space="preserve"> as </w:t>
      </w:r>
      <w:r w:rsidRPr="005928B4">
        <w:rPr>
          <w:b/>
          <w:bCs/>
          <w:highlight w:val="cyan"/>
          <w:u w:val="single"/>
        </w:rPr>
        <w:t>a new rendering of time, subjectivity and agency</w:t>
      </w:r>
      <w:r w:rsidRPr="00FB0160">
        <w:rPr>
          <w:b/>
          <w:bCs/>
          <w:u w:val="single"/>
        </w:rPr>
        <w:t xml:space="preserve"> announces both </w:t>
      </w:r>
      <w:r w:rsidRPr="005928B4">
        <w:rPr>
          <w:b/>
          <w:bCs/>
          <w:highlight w:val="cyan"/>
          <w:u w:val="single"/>
        </w:rPr>
        <w:t>a break in</w:t>
      </w:r>
      <w:r w:rsidRPr="00FB0160">
        <w:rPr>
          <w:b/>
          <w:bCs/>
          <w:u w:val="single"/>
        </w:rPr>
        <w:t xml:space="preserve"> and consolidation of </w:t>
      </w:r>
      <w:r w:rsidRPr="005928B4">
        <w:rPr>
          <w:b/>
          <w:bCs/>
          <w:highlight w:val="cyan"/>
          <w:u w:val="single"/>
        </w:rPr>
        <w:t>modernity’s temporal arc.</w:t>
      </w:r>
      <w:r w:rsidRPr="00FB0160">
        <w:rPr>
          <w:b/>
          <w:bCs/>
          <w:u w:val="single"/>
        </w:rPr>
        <w:t xml:space="preserve"> </w:t>
      </w:r>
      <w:r w:rsidRPr="00CF14B7">
        <w:rPr>
          <w:sz w:val="16"/>
        </w:rPr>
        <w:t xml:space="preserve">The city, as an ever-expanding urban fossil, is enacting a temporal buckling in its allegiance to the “now” in the form of its on-going contribution to a hominid geology with a duration far in excess of contemporary visions of disposability, newness and change. </w:t>
      </w:r>
      <w:r w:rsidRPr="005928B4">
        <w:rPr>
          <w:b/>
          <w:bCs/>
          <w:i/>
          <w:iCs/>
          <w:highlight w:val="cyan"/>
          <w:u w:val="single"/>
        </w:rPr>
        <w:t>The provisionality of the present</w:t>
      </w:r>
      <w:r w:rsidRPr="00FB0160">
        <w:rPr>
          <w:b/>
          <w:bCs/>
          <w:u w:val="single"/>
        </w:rPr>
        <w:t xml:space="preserve"> and its organization of </w:t>
      </w:r>
      <w:r w:rsidRPr="005928B4">
        <w:rPr>
          <w:b/>
          <w:bCs/>
          <w:i/>
          <w:iCs/>
          <w:highlight w:val="cyan"/>
          <w:u w:val="single"/>
        </w:rPr>
        <w:t>a form of politics</w:t>
      </w:r>
      <w:r w:rsidRPr="005928B4">
        <w:rPr>
          <w:b/>
          <w:bCs/>
          <w:highlight w:val="cyan"/>
          <w:u w:val="single"/>
        </w:rPr>
        <w:t>,</w:t>
      </w:r>
      <w:r w:rsidRPr="00FB0160">
        <w:rPr>
          <w:b/>
          <w:bCs/>
          <w:u w:val="single"/>
        </w:rPr>
        <w:t xml:space="preserve"> thought to be a contingent social relation, </w:t>
      </w:r>
      <w:r w:rsidRPr="005928B4">
        <w:rPr>
          <w:b/>
          <w:bCs/>
          <w:i/>
          <w:iCs/>
          <w:highlight w:val="cyan"/>
          <w:u w:val="single"/>
        </w:rPr>
        <w:t>is being fractured</w:t>
      </w:r>
      <w:r w:rsidRPr="00FB0160">
        <w:rPr>
          <w:b/>
          <w:bCs/>
          <w:u w:val="single"/>
        </w:rPr>
        <w:t xml:space="preserve"> through the temporal break of geology</w:t>
      </w:r>
      <w:r w:rsidRPr="00CF14B7">
        <w:rPr>
          <w:sz w:val="16"/>
        </w:rPr>
        <w:t xml:space="preserve">. And, </w:t>
      </w:r>
      <w:r w:rsidRPr="008A317B">
        <w:rPr>
          <w:u w:val="single"/>
        </w:rPr>
        <w:t>it is through the violent infrastructures of geology that new forms of politics are emerging</w:t>
      </w:r>
      <w:r w:rsidRPr="00CF14B7">
        <w:rPr>
          <w:sz w:val="16"/>
        </w:rPr>
        <w:t xml:space="preserve">, </w:t>
      </w:r>
      <w:r w:rsidRPr="00115E29">
        <w:rPr>
          <w:sz w:val="16"/>
        </w:rPr>
        <w:t xml:space="preserve">such as </w:t>
      </w:r>
      <w:r w:rsidRPr="005928B4">
        <w:rPr>
          <w:highlight w:val="cyan"/>
          <w:u w:val="single"/>
        </w:rPr>
        <w:t>those at Standing Rock around the</w:t>
      </w:r>
      <w:r w:rsidRPr="008A317B">
        <w:rPr>
          <w:u w:val="single"/>
        </w:rPr>
        <w:t xml:space="preserve"> </w:t>
      </w:r>
      <w:r w:rsidRPr="005928B4">
        <w:rPr>
          <w:highlight w:val="cyan"/>
          <w:u w:val="single"/>
        </w:rPr>
        <w:t>D</w:t>
      </w:r>
      <w:r w:rsidRPr="008A317B">
        <w:rPr>
          <w:u w:val="single"/>
        </w:rPr>
        <w:t xml:space="preserve">akota </w:t>
      </w:r>
      <w:r w:rsidRPr="005928B4">
        <w:rPr>
          <w:highlight w:val="cyan"/>
          <w:u w:val="single"/>
        </w:rPr>
        <w:t>A</w:t>
      </w:r>
      <w:r w:rsidRPr="008A317B">
        <w:rPr>
          <w:u w:val="single"/>
        </w:rPr>
        <w:t xml:space="preserve">ccess </w:t>
      </w:r>
      <w:r w:rsidRPr="005928B4">
        <w:rPr>
          <w:highlight w:val="cyan"/>
          <w:u w:val="single"/>
        </w:rPr>
        <w:t>P</w:t>
      </w:r>
      <w:r w:rsidRPr="008A317B">
        <w:rPr>
          <w:u w:val="single"/>
        </w:rPr>
        <w:t xml:space="preserve">ipeline that </w:t>
      </w:r>
      <w:r w:rsidRPr="005928B4">
        <w:rPr>
          <w:highlight w:val="cyan"/>
          <w:u w:val="single"/>
        </w:rPr>
        <w:t>insist</w:t>
      </w:r>
      <w:r w:rsidRPr="008A317B">
        <w:rPr>
          <w:u w:val="single"/>
        </w:rPr>
        <w:t xml:space="preserve"> of </w:t>
      </w:r>
      <w:r w:rsidRPr="005928B4">
        <w:rPr>
          <w:highlight w:val="cyan"/>
          <w:u w:val="single"/>
        </w:rPr>
        <w:t xml:space="preserve">a different vision of temporal </w:t>
      </w:r>
      <w:r w:rsidRPr="008B21D2">
        <w:rPr>
          <w:u w:val="single"/>
        </w:rPr>
        <w:t>affiliation</w:t>
      </w:r>
      <w:r w:rsidRPr="008A317B">
        <w:rPr>
          <w:u w:val="single"/>
        </w:rPr>
        <w:t xml:space="preserve"> </w:t>
      </w:r>
      <w:r w:rsidRPr="005928B4">
        <w:rPr>
          <w:highlight w:val="cyan"/>
          <w:u w:val="single"/>
        </w:rPr>
        <w:t>and material filiation</w:t>
      </w:r>
      <w:r w:rsidRPr="00CF14B7">
        <w:rPr>
          <w:sz w:val="16"/>
        </w:rPr>
        <w:t xml:space="preserve">. As Lauren Berlant argues, “An infrastructural analysis helps us see that </w:t>
      </w:r>
      <w:r w:rsidRPr="008A317B">
        <w:rPr>
          <w:u w:val="single"/>
        </w:rPr>
        <w:t>what we commonly call ‘structure’ is not what we usually call it, an intractable principle of continuity across time and space, but is really a convergence of force and value in patterns of movement that’s only solid when seen from a distance</w:t>
      </w:r>
      <w:r w:rsidRPr="00CF14B7">
        <w:rPr>
          <w:sz w:val="16"/>
        </w:rPr>
        <w:t xml:space="preserve">. Objects are always looser than they appear. </w:t>
      </w:r>
      <w:r w:rsidRPr="005928B4">
        <w:rPr>
          <w:b/>
          <w:bCs/>
          <w:sz w:val="28"/>
          <w:szCs w:val="28"/>
          <w:highlight w:val="cyan"/>
          <w:u w:val="single"/>
        </w:rPr>
        <w:t>Objectness is only a semblance</w:t>
      </w:r>
      <w:r w:rsidRPr="008A317B">
        <w:rPr>
          <w:b/>
          <w:bCs/>
          <w:u w:val="single"/>
        </w:rPr>
        <w:t xml:space="preserve">, a seeming, </w:t>
      </w:r>
      <w:r w:rsidRPr="005928B4">
        <w:rPr>
          <w:b/>
          <w:bCs/>
          <w:sz w:val="28"/>
          <w:szCs w:val="28"/>
          <w:highlight w:val="cyan"/>
          <w:u w:val="single"/>
        </w:rPr>
        <w:t>a projection effect of interest in a thing we are trying to stabilize</w:t>
      </w:r>
      <w:r w:rsidRPr="005928B4">
        <w:rPr>
          <w:sz w:val="16"/>
          <w:highlight w:val="cyan"/>
        </w:rPr>
        <w:t>.</w:t>
      </w:r>
      <w:r w:rsidRPr="00CF14B7">
        <w:rPr>
          <w:sz w:val="16"/>
        </w:rPr>
        <w:t xml:space="preserve">” </w:t>
      </w:r>
      <w:r w:rsidRPr="008A317B">
        <w:rPr>
          <w:b/>
          <w:bCs/>
          <w:sz w:val="28"/>
          <w:szCs w:val="28"/>
          <w:u w:val="single"/>
        </w:rPr>
        <w:t>If</w:t>
      </w:r>
      <w:r w:rsidRPr="00CF14B7">
        <w:rPr>
          <w:sz w:val="16"/>
          <w:szCs w:val="28"/>
        </w:rPr>
        <w:t xml:space="preserve"> </w:t>
      </w:r>
      <w:r w:rsidRPr="005928B4">
        <w:rPr>
          <w:b/>
          <w:bCs/>
          <w:sz w:val="28"/>
          <w:szCs w:val="28"/>
          <w:highlight w:val="cyan"/>
          <w:u w:val="single"/>
        </w:rPr>
        <w:t>infrastructures are also structures of feeling</w:t>
      </w:r>
      <w:r w:rsidRPr="008A317B">
        <w:rPr>
          <w:b/>
          <w:bCs/>
          <w:sz w:val="28"/>
          <w:szCs w:val="28"/>
          <w:u w:val="single"/>
        </w:rPr>
        <w:t xml:space="preserve"> and convergences of force, then </w:t>
      </w:r>
      <w:r w:rsidRPr="005928B4">
        <w:rPr>
          <w:b/>
          <w:bCs/>
          <w:sz w:val="28"/>
          <w:szCs w:val="28"/>
          <w:highlight w:val="cyan"/>
          <w:u w:val="single"/>
        </w:rPr>
        <w:t>the appreciation of those affects need to reach down below the surface into the substratum</w:t>
      </w:r>
      <w:r w:rsidRPr="008A317B">
        <w:rPr>
          <w:b/>
          <w:bCs/>
          <w:sz w:val="28"/>
          <w:szCs w:val="28"/>
          <w:u w:val="single"/>
        </w:rPr>
        <w:t xml:space="preserve"> to see how those forces both maintain and disrupt edifices of intention on the </w:t>
      </w:r>
      <w:r w:rsidRPr="00F20054">
        <w:rPr>
          <w:b/>
          <w:bCs/>
          <w:sz w:val="28"/>
          <w:szCs w:val="28"/>
          <w:u w:val="single"/>
        </w:rPr>
        <w:t>surface.</w:t>
      </w:r>
      <w:r w:rsidRPr="00F20054">
        <w:rPr>
          <w:b/>
          <w:bCs/>
          <w:u w:val="single"/>
        </w:rPr>
        <w:t xml:space="preserve"> The underground spaces of extraction and the cavernous holes of excavated fossil fuels are now the curatorial spaces that await an anticipatory geology and a future direction beyond human agency</w:t>
      </w:r>
      <w:r w:rsidRPr="00F20054">
        <w:rPr>
          <w:sz w:val="16"/>
        </w:rPr>
        <w:t xml:space="preserve">. </w:t>
      </w:r>
      <w:r w:rsidRPr="00F20054">
        <w:rPr>
          <w:b/>
          <w:bCs/>
          <w:u w:val="single"/>
        </w:rPr>
        <w:t xml:space="preserve">These </w:t>
      </w:r>
      <w:r w:rsidRPr="005928B4">
        <w:rPr>
          <w:b/>
          <w:bCs/>
          <w:highlight w:val="cyan"/>
          <w:u w:val="single"/>
        </w:rPr>
        <w:t>spaces of extraction are</w:t>
      </w:r>
      <w:r w:rsidRPr="008A317B">
        <w:rPr>
          <w:b/>
          <w:bCs/>
          <w:u w:val="single"/>
        </w:rPr>
        <w:t xml:space="preserve"> nonetheless </w:t>
      </w:r>
      <w:r w:rsidRPr="005928B4">
        <w:rPr>
          <w:b/>
          <w:bCs/>
          <w:highlight w:val="cyan"/>
          <w:u w:val="single"/>
        </w:rPr>
        <w:t>tied to</w:t>
      </w:r>
      <w:r w:rsidRPr="008A317B">
        <w:rPr>
          <w:b/>
          <w:bCs/>
          <w:u w:val="single"/>
        </w:rPr>
        <w:t xml:space="preserve"> the global socio-economic expulsions of late neoliberal subjective life through the </w:t>
      </w:r>
      <w:r w:rsidRPr="005928B4">
        <w:rPr>
          <w:b/>
          <w:bCs/>
          <w:highlight w:val="cyan"/>
          <w:u w:val="single"/>
        </w:rPr>
        <w:t>invisible labors of</w:t>
      </w:r>
      <w:r w:rsidRPr="008A317B">
        <w:rPr>
          <w:b/>
          <w:bCs/>
          <w:u w:val="single"/>
        </w:rPr>
        <w:t xml:space="preserve"> subterranean </w:t>
      </w:r>
      <w:r w:rsidRPr="005928B4">
        <w:rPr>
          <w:b/>
          <w:bCs/>
          <w:highlight w:val="cyan"/>
          <w:u w:val="single"/>
        </w:rPr>
        <w:t>workers and the toxicities that accompany</w:t>
      </w:r>
      <w:r w:rsidRPr="008A317B">
        <w:rPr>
          <w:b/>
          <w:bCs/>
          <w:u w:val="single"/>
        </w:rPr>
        <w:t xml:space="preserve"> these </w:t>
      </w:r>
      <w:r w:rsidRPr="005928B4">
        <w:rPr>
          <w:b/>
          <w:bCs/>
          <w:highlight w:val="cyan"/>
          <w:u w:val="single"/>
        </w:rPr>
        <w:t>material mobilizations</w:t>
      </w:r>
      <w:r w:rsidRPr="00CF14B7">
        <w:rPr>
          <w:sz w:val="16"/>
        </w:rPr>
        <w:t xml:space="preserve">. </w:t>
      </w:r>
      <w:r w:rsidRPr="00F20054">
        <w:rPr>
          <w:u w:val="single"/>
        </w:rPr>
        <w:t xml:space="preserve">The material </w:t>
      </w:r>
      <w:r w:rsidRPr="005928B4">
        <w:rPr>
          <w:b/>
          <w:bCs/>
          <w:i/>
          <w:iCs/>
          <w:highlight w:val="cyan"/>
          <w:u w:val="single"/>
        </w:rPr>
        <w:t>destratifications</w:t>
      </w:r>
      <w:r w:rsidRPr="00E45FCA">
        <w:rPr>
          <w:u w:val="single"/>
        </w:rPr>
        <w:t xml:space="preserve"> of marine, mineral and chemical flows of carbon and nitrogen are returning in various accumulative modalities of pollution, toxicity and anthropogenic climate change, which in turn </w:t>
      </w:r>
      <w:r w:rsidRPr="005928B4">
        <w:rPr>
          <w:b/>
          <w:bCs/>
          <w:i/>
          <w:iCs/>
          <w:highlight w:val="cyan"/>
          <w:u w:val="single"/>
        </w:rPr>
        <w:t>reconfigure the biopolitical possibilities of life</w:t>
      </w:r>
      <w:r w:rsidRPr="008B0E7F">
        <w:rPr>
          <w:b/>
          <w:bCs/>
          <w:u w:val="single"/>
        </w:rPr>
        <w:t xml:space="preserve">. </w:t>
      </w:r>
      <w:r w:rsidRPr="005928B4">
        <w:rPr>
          <w:b/>
          <w:bCs/>
          <w:highlight w:val="cyan"/>
          <w:u w:val="single"/>
        </w:rPr>
        <w:t>These affectual material infrastructures are shifting</w:t>
      </w:r>
      <w:r w:rsidRPr="008B0E7F">
        <w:rPr>
          <w:b/>
          <w:bCs/>
          <w:u w:val="single"/>
        </w:rPr>
        <w:t xml:space="preserve"> </w:t>
      </w:r>
      <w:r w:rsidRPr="00E45FCA">
        <w:rPr>
          <w:u w:val="single"/>
        </w:rPr>
        <w:t xml:space="preserve">a sense of the planetary </w:t>
      </w:r>
      <w:r w:rsidRPr="005928B4">
        <w:rPr>
          <w:b/>
          <w:bCs/>
          <w:highlight w:val="cyan"/>
          <w:u w:val="single"/>
        </w:rPr>
        <w:t>by generating new orders of time and a geo-logics of existence</w:t>
      </w:r>
      <w:r w:rsidRPr="00E45FCA">
        <w:rPr>
          <w:u w:val="single"/>
        </w:rPr>
        <w:t xml:space="preserve">, simultaneously </w:t>
      </w:r>
      <w:r w:rsidRPr="005928B4">
        <w:rPr>
          <w:b/>
          <w:bCs/>
          <w:highlight w:val="cyan"/>
          <w:u w:val="single"/>
        </w:rPr>
        <w:t>hacking and re-syncing the planet</w:t>
      </w:r>
      <w:r w:rsidRPr="00E45FCA">
        <w:rPr>
          <w:u w:val="single"/>
        </w:rPr>
        <w:t xml:space="preserve"> and its temporal structures </w:t>
      </w:r>
      <w:r w:rsidRPr="005928B4">
        <w:rPr>
          <w:b/>
          <w:bCs/>
          <w:highlight w:val="cyan"/>
          <w:u w:val="single"/>
        </w:rPr>
        <w:t xml:space="preserve">to produce an arrangement of the future </w:t>
      </w:r>
      <w:r w:rsidRPr="00DF6D32">
        <w:rPr>
          <w:b/>
          <w:bCs/>
          <w:u w:val="single"/>
        </w:rPr>
        <w:t>that</w:t>
      </w:r>
      <w:r w:rsidRPr="00DF6D32">
        <w:rPr>
          <w:u w:val="single"/>
        </w:rPr>
        <w:t xml:space="preserve"> looks decidedly </w:t>
      </w:r>
      <w:r w:rsidRPr="00DF6D32">
        <w:rPr>
          <w:b/>
          <w:bCs/>
          <w:u w:val="single"/>
        </w:rPr>
        <w:t>irrational and unthought</w:t>
      </w:r>
      <w:r w:rsidRPr="00DF6D32">
        <w:rPr>
          <w:u w:val="single"/>
        </w:rPr>
        <w:t>: infrastructures of geologic mobility th</w:t>
      </w:r>
      <w:r w:rsidRPr="00E45FCA">
        <w:rPr>
          <w:u w:val="single"/>
        </w:rPr>
        <w:t>at far outstrip, but are a direct consequence of, conventional forms of material communication and transnational infrastructures; geo-logics of social and material expulsions whose visible effects have been hidden in plain sight all along, understood as the waste and excess of normative modes of agency, architectural planning and capital accumulation</w:t>
      </w:r>
      <w:r w:rsidRPr="00CF14B7">
        <w:rPr>
          <w:sz w:val="16"/>
        </w:rPr>
        <w:t xml:space="preserve">. The task of geomorphic aesthetics is to think these new duration and material recombinations as an unthought affective infrastructure that subtends the architectures of materiality and resource distribution that themselves inscribe the planetary present of global-world-space. </w:t>
      </w:r>
      <w:r w:rsidRPr="00E45FCA">
        <w:rPr>
          <w:u w:val="single"/>
        </w:rPr>
        <w:t xml:space="preserve">Specifically, </w:t>
      </w:r>
      <w:r w:rsidRPr="005928B4">
        <w:rPr>
          <w:highlight w:val="cyan"/>
          <w:u w:val="single"/>
        </w:rPr>
        <w:t>geoaesthetics</w:t>
      </w:r>
      <w:r w:rsidRPr="00E45FCA">
        <w:rPr>
          <w:u w:val="single"/>
        </w:rPr>
        <w:t xml:space="preserve"> might make sensible how geologic forces move across time and space to </w:t>
      </w:r>
      <w:r w:rsidRPr="005928B4">
        <w:rPr>
          <w:highlight w:val="cyan"/>
          <w:u w:val="single"/>
        </w:rPr>
        <w:t>disrupt the provisional unity of global-world-space and render new</w:t>
      </w:r>
      <w:r w:rsidRPr="00E45FCA">
        <w:rPr>
          <w:u w:val="single"/>
        </w:rPr>
        <w:t xml:space="preserve"> geographical </w:t>
      </w:r>
      <w:r w:rsidRPr="005928B4">
        <w:rPr>
          <w:highlight w:val="cyan"/>
          <w:u w:val="single"/>
        </w:rPr>
        <w:t>imaginations</w:t>
      </w:r>
      <w:r w:rsidRPr="00E45FCA">
        <w:rPr>
          <w:u w:val="single"/>
        </w:rPr>
        <w:t xml:space="preserve"> of intemperate locations in both political and geologic time.</w:t>
      </w:r>
      <w:r w:rsidRPr="00CF14B7">
        <w:rPr>
          <w:sz w:val="16"/>
        </w:rPr>
        <w:t xml:space="preserve"> </w:t>
      </w:r>
      <w:r w:rsidRPr="00E45FCA">
        <w:rPr>
          <w:b/>
          <w:bCs/>
          <w:u w:val="single"/>
        </w:rPr>
        <w:t xml:space="preserve">This new form of geopolitics would </w:t>
      </w:r>
      <w:r w:rsidRPr="005928B4">
        <w:rPr>
          <w:b/>
          <w:bCs/>
          <w:highlight w:val="cyan"/>
          <w:u w:val="single"/>
        </w:rPr>
        <w:t>understand the “geo” as a temporal disfigurement of political space</w:t>
      </w:r>
      <w:r w:rsidRPr="00E45FCA">
        <w:rPr>
          <w:b/>
          <w:bCs/>
          <w:u w:val="single"/>
        </w:rPr>
        <w:t xml:space="preserve"> </w:t>
      </w:r>
      <w:r w:rsidRPr="005928B4">
        <w:rPr>
          <w:b/>
          <w:bCs/>
          <w:highlight w:val="cyan"/>
          <w:u w:val="single"/>
        </w:rPr>
        <w:t>rather than</w:t>
      </w:r>
      <w:r w:rsidRPr="00E45FCA">
        <w:rPr>
          <w:b/>
          <w:bCs/>
          <w:u w:val="single"/>
        </w:rPr>
        <w:t xml:space="preserve"> as </w:t>
      </w:r>
      <w:r w:rsidRPr="005928B4">
        <w:rPr>
          <w:b/>
          <w:bCs/>
          <w:highlight w:val="cyan"/>
          <w:u w:val="single"/>
        </w:rPr>
        <w:t>a descriptive mode of spatiality</w:t>
      </w:r>
      <w:r w:rsidRPr="00E45FCA">
        <w:rPr>
          <w:b/>
          <w:bCs/>
          <w:u w:val="single"/>
        </w:rPr>
        <w:t>.</w:t>
      </w:r>
      <w:r>
        <w:rPr>
          <w:b/>
          <w:bCs/>
          <w:u w:val="single"/>
        </w:rPr>
        <w:t xml:space="preserve"> </w:t>
      </w:r>
      <w:r w:rsidRPr="00CF14B7">
        <w:rPr>
          <w:sz w:val="16"/>
        </w:rPr>
        <w:t xml:space="preserve">In locating the temporal rupture of Anthropocenic planetary thought, </w:t>
      </w:r>
      <w:r w:rsidRPr="00E41987">
        <w:rPr>
          <w:u w:val="single"/>
        </w:rPr>
        <w:t>a</w:t>
      </w:r>
      <w:r w:rsidRPr="00CF14B7">
        <w:rPr>
          <w:sz w:val="16"/>
        </w:rPr>
        <w:t xml:space="preserve"> brief genealogy of </w:t>
      </w:r>
      <w:r w:rsidRPr="00E41987">
        <w:rPr>
          <w:u w:val="single"/>
        </w:rPr>
        <w:t>global-image-space is required that situates climate change in its geographical imaginations</w:t>
      </w:r>
      <w:r w:rsidRPr="00CF14B7">
        <w:rPr>
          <w:sz w:val="16"/>
        </w:rPr>
        <w:t xml:space="preserve">. In the context of this new epoch, </w:t>
      </w:r>
      <w:r w:rsidRPr="00E41987">
        <w:rPr>
          <w:u w:val="single"/>
        </w:rPr>
        <w:t>geomorphic aesthetics are a space in which ideas and ideals about the affective qualities of this new sensibility are represented not as a depiction of world-space or globality, but as a sensibility that can define the parameters of those organizations of thought or affective infrastructures</w:t>
      </w:r>
      <w:r w:rsidRPr="00CF14B7">
        <w:rPr>
          <w:sz w:val="16"/>
        </w:rPr>
        <w:t xml:space="preserve"> (and their critique). </w:t>
      </w:r>
      <w:r w:rsidRPr="005928B4">
        <w:rPr>
          <w:b/>
          <w:bCs/>
          <w:highlight w:val="cyan"/>
          <w:u w:val="single"/>
        </w:rPr>
        <w:t>The geologic</w:t>
      </w:r>
      <w:r w:rsidRPr="00E41987">
        <w:rPr>
          <w:b/>
          <w:bCs/>
          <w:u w:val="single"/>
        </w:rPr>
        <w:t xml:space="preserve"> and how it comes to matter beyond representational genres as a sensibility of time as well as a quality of materiality </w:t>
      </w:r>
      <w:r w:rsidRPr="005928B4">
        <w:rPr>
          <w:b/>
          <w:bCs/>
          <w:highlight w:val="cyan"/>
          <w:u w:val="single"/>
        </w:rPr>
        <w:t>is</w:t>
      </w:r>
      <w:r w:rsidRPr="00E41987">
        <w:rPr>
          <w:b/>
          <w:bCs/>
          <w:u w:val="single"/>
        </w:rPr>
        <w:t xml:space="preserve"> firstly </w:t>
      </w:r>
      <w:r w:rsidRPr="005928B4">
        <w:rPr>
          <w:b/>
          <w:bCs/>
          <w:highlight w:val="cyan"/>
          <w:u w:val="single"/>
        </w:rPr>
        <w:t xml:space="preserve">an </w:t>
      </w:r>
      <w:r w:rsidRPr="003F4536">
        <w:rPr>
          <w:b/>
          <w:bCs/>
          <w:u w:val="single"/>
        </w:rPr>
        <w:t xml:space="preserve">archeology of the unthought; an </w:t>
      </w:r>
      <w:r w:rsidRPr="005928B4">
        <w:rPr>
          <w:b/>
          <w:bCs/>
          <w:highlight w:val="cyan"/>
          <w:u w:val="single"/>
        </w:rPr>
        <w:t>arena of building</w:t>
      </w:r>
      <w:r w:rsidRPr="00E41987">
        <w:rPr>
          <w:b/>
          <w:bCs/>
          <w:u w:val="single"/>
        </w:rPr>
        <w:t xml:space="preserve"> and accumulation </w:t>
      </w:r>
      <w:r w:rsidRPr="005928B4">
        <w:rPr>
          <w:b/>
          <w:bCs/>
          <w:highlight w:val="cyan"/>
          <w:u w:val="single"/>
        </w:rPr>
        <w:t>that has been rendered invisible</w:t>
      </w:r>
      <w:r w:rsidRPr="00E41987">
        <w:rPr>
          <w:b/>
          <w:bCs/>
          <w:u w:val="single"/>
        </w:rPr>
        <w:t xml:space="preserve"> and contractually mute</w:t>
      </w:r>
      <w:r w:rsidRPr="00CF14B7">
        <w:rPr>
          <w:sz w:val="16"/>
        </w:rPr>
        <w:t xml:space="preserve">. </w:t>
      </w:r>
      <w:r w:rsidRPr="00E41987">
        <w:rPr>
          <w:b/>
          <w:bCs/>
          <w:u w:val="single"/>
        </w:rPr>
        <w:t xml:space="preserve">In this zone of agitation between matter, what comes to matter and that which has seemingly escaped material memory, </w:t>
      </w:r>
      <w:r w:rsidRPr="005928B4">
        <w:rPr>
          <w:b/>
          <w:bCs/>
          <w:highlight w:val="cyan"/>
          <w:u w:val="single"/>
        </w:rPr>
        <w:t>aesthetics become a crucial space for engaging</w:t>
      </w:r>
      <w:r w:rsidRPr="00E41987">
        <w:rPr>
          <w:b/>
          <w:bCs/>
          <w:u w:val="single"/>
        </w:rPr>
        <w:t xml:space="preserve"> with geologic force and time and its proposition to stand against the architectures of agency (and reason) that brought the Anthropocene into being.</w:t>
      </w:r>
      <w:r>
        <w:rPr>
          <w:b/>
          <w:bCs/>
          <w:u w:val="single"/>
        </w:rPr>
        <w:t xml:space="preserve"> </w:t>
      </w:r>
      <w:r w:rsidRPr="00CF14B7">
        <w:rPr>
          <w:sz w:val="16"/>
        </w:rPr>
        <w:t xml:space="preserve">Fractures in the Architectures of Global World-Space </w:t>
      </w:r>
      <w:r w:rsidRPr="005928B4">
        <w:rPr>
          <w:highlight w:val="cyan"/>
          <w:u w:val="single"/>
        </w:rPr>
        <w:t>Every image</w:t>
      </w:r>
      <w:r w:rsidRPr="002A67AE">
        <w:rPr>
          <w:u w:val="single"/>
        </w:rPr>
        <w:t xml:space="preserve">, every affective architecture that </w:t>
      </w:r>
      <w:r w:rsidRPr="005928B4">
        <w:rPr>
          <w:highlight w:val="cyan"/>
          <w:u w:val="single"/>
        </w:rPr>
        <w:t>pertains to a</w:t>
      </w:r>
      <w:r w:rsidRPr="002A67AE">
        <w:rPr>
          <w:u w:val="single"/>
        </w:rPr>
        <w:t xml:space="preserve"> global vision and a </w:t>
      </w:r>
      <w:r w:rsidRPr="005928B4">
        <w:rPr>
          <w:highlight w:val="cyan"/>
          <w:u w:val="single"/>
        </w:rPr>
        <w:t>spatial imaginary,</w:t>
      </w:r>
      <w:r w:rsidRPr="002A67AE">
        <w:rPr>
          <w:u w:val="single"/>
        </w:rPr>
        <w:t xml:space="preserve"> comes from somewhere, located in specific geopolitical modes of production and technologies of reproduction</w:t>
      </w:r>
      <w:r w:rsidRPr="00CF14B7">
        <w:rPr>
          <w:sz w:val="16"/>
        </w:rPr>
        <w:t xml:space="preserve">. </w:t>
      </w:r>
      <w:r w:rsidRPr="002A67AE">
        <w:rPr>
          <w:u w:val="single"/>
        </w:rPr>
        <w:t>This somewhere of feeling that structures perspective and renders orientation is global world image space</w:t>
      </w:r>
      <w:r w:rsidRPr="00CF14B7">
        <w:rPr>
          <w:sz w:val="16"/>
        </w:rPr>
        <w:t>. It is the persuasion of a globalizing force that encompasses world image space from a certain location and within specific locational media</w:t>
      </w:r>
      <w:r w:rsidRPr="005928B4">
        <w:rPr>
          <w:sz w:val="16"/>
          <w:highlight w:val="cyan"/>
        </w:rPr>
        <w:t xml:space="preserve">. </w:t>
      </w:r>
      <w:r w:rsidRPr="005928B4">
        <w:rPr>
          <w:b/>
          <w:bCs/>
          <w:sz w:val="28"/>
          <w:szCs w:val="28"/>
          <w:highlight w:val="cyan"/>
          <w:u w:val="single"/>
        </w:rPr>
        <w:t>The material</w:t>
      </w:r>
      <w:r w:rsidRPr="002A67AE">
        <w:rPr>
          <w:b/>
          <w:bCs/>
          <w:sz w:val="28"/>
          <w:szCs w:val="28"/>
          <w:u w:val="single"/>
        </w:rPr>
        <w:t xml:space="preserve">, political and technical </w:t>
      </w:r>
      <w:r w:rsidRPr="005928B4">
        <w:rPr>
          <w:b/>
          <w:bCs/>
          <w:sz w:val="28"/>
          <w:szCs w:val="28"/>
          <w:highlight w:val="cyan"/>
          <w:u w:val="single"/>
        </w:rPr>
        <w:t>geographies of the globe constitute its</w:t>
      </w:r>
      <w:r w:rsidRPr="002A67AE">
        <w:rPr>
          <w:b/>
          <w:bCs/>
          <w:sz w:val="28"/>
          <w:szCs w:val="28"/>
          <w:u w:val="single"/>
        </w:rPr>
        <w:t xml:space="preserve"> locative </w:t>
      </w:r>
      <w:r w:rsidRPr="005928B4">
        <w:rPr>
          <w:b/>
          <w:bCs/>
          <w:sz w:val="28"/>
          <w:szCs w:val="28"/>
          <w:highlight w:val="cyan"/>
          <w:u w:val="single"/>
        </w:rPr>
        <w:t>vision within</w:t>
      </w:r>
      <w:r w:rsidRPr="002A67AE">
        <w:rPr>
          <w:b/>
          <w:bCs/>
          <w:sz w:val="28"/>
          <w:szCs w:val="28"/>
          <w:u w:val="single"/>
        </w:rPr>
        <w:t xml:space="preserve"> a heterogeneous space of different “worldings,” or </w:t>
      </w:r>
      <w:r w:rsidRPr="005928B4">
        <w:rPr>
          <w:b/>
          <w:bCs/>
          <w:sz w:val="28"/>
          <w:szCs w:val="28"/>
          <w:highlight w:val="cyan"/>
          <w:u w:val="single"/>
        </w:rPr>
        <w:t xml:space="preserve">meta-ontologies </w:t>
      </w:r>
      <w:r w:rsidRPr="00E97718">
        <w:rPr>
          <w:b/>
          <w:bCs/>
          <w:sz w:val="28"/>
          <w:szCs w:val="28"/>
          <w:u w:val="single"/>
        </w:rPr>
        <w:t>of the world.</w:t>
      </w:r>
      <w:r w:rsidRPr="002A67AE">
        <w:rPr>
          <w:b/>
          <w:bCs/>
          <w:sz w:val="28"/>
          <w:szCs w:val="28"/>
          <w:u w:val="single"/>
        </w:rPr>
        <w:t xml:space="preserve"> These meta-ontologies are not just a political but </w:t>
      </w:r>
      <w:r w:rsidRPr="005928B4">
        <w:rPr>
          <w:b/>
          <w:bCs/>
          <w:sz w:val="28"/>
          <w:szCs w:val="28"/>
          <w:highlight w:val="cyan"/>
          <w:u w:val="single"/>
        </w:rPr>
        <w:t>a material ordering of the world.</w:t>
      </w:r>
      <w:r w:rsidRPr="00CF14B7">
        <w:rPr>
          <w:sz w:val="16"/>
        </w:rPr>
        <w:t xml:space="preserve"> </w:t>
      </w:r>
      <w:r w:rsidRPr="008D2CBA">
        <w:rPr>
          <w:u w:val="single"/>
        </w:rPr>
        <w:t xml:space="preserve">This is why global-world-space is world-making in the sensibility of space rather than simply a descriptive act of spatiality. </w:t>
      </w:r>
      <w:r w:rsidRPr="005928B4">
        <w:rPr>
          <w:b/>
          <w:bCs/>
          <w:i/>
          <w:iCs/>
          <w:sz w:val="28"/>
          <w:szCs w:val="28"/>
          <w:highlight w:val="cyan"/>
          <w:u w:val="single"/>
        </w:rPr>
        <w:t>Global-world-space is the conceit of a global spatiality constructed through</w:t>
      </w:r>
      <w:r w:rsidRPr="003F4536">
        <w:rPr>
          <w:b/>
          <w:bCs/>
          <w:sz w:val="28"/>
          <w:szCs w:val="28"/>
          <w:u w:val="single"/>
        </w:rPr>
        <w:t xml:space="preserve"> uneven geographies of experience and </w:t>
      </w:r>
      <w:r w:rsidRPr="005928B4">
        <w:rPr>
          <w:b/>
          <w:bCs/>
          <w:i/>
          <w:iCs/>
          <w:sz w:val="28"/>
          <w:szCs w:val="28"/>
          <w:highlight w:val="cyan"/>
          <w:u w:val="single"/>
        </w:rPr>
        <w:t>exploitation in order to maintain the privilege of its vision</w:t>
      </w:r>
      <w:r w:rsidRPr="005928B4">
        <w:rPr>
          <w:b/>
          <w:bCs/>
          <w:sz w:val="28"/>
          <w:szCs w:val="28"/>
          <w:highlight w:val="cyan"/>
          <w:u w:val="single"/>
        </w:rPr>
        <w:t>.</w:t>
      </w:r>
      <w:r w:rsidRPr="008D2CBA">
        <w:rPr>
          <w:u w:val="single"/>
        </w:rPr>
        <w:t xml:space="preserve"> The Anthropocene is both an addition to and radical departure from these meta-ontologies of the globe.</w:t>
      </w:r>
      <w:r>
        <w:rPr>
          <w:u w:val="single"/>
        </w:rPr>
        <w:t xml:space="preserve"> </w:t>
      </w:r>
      <w:r w:rsidRPr="00CF14B7">
        <w:rPr>
          <w:sz w:val="16"/>
        </w:rPr>
        <w:t xml:space="preserve">The development of actual geographic infrastructures that deliver a convincing architecture of global world-space began in earnest in the early twentieth century, but </w:t>
      </w:r>
      <w:r w:rsidRPr="005928B4">
        <w:rPr>
          <w:highlight w:val="cyan"/>
          <w:u w:val="single"/>
        </w:rPr>
        <w:t>the origin of the desire for real-time globality</w:t>
      </w:r>
      <w:r w:rsidRPr="000F5068">
        <w:rPr>
          <w:u w:val="single"/>
        </w:rPr>
        <w:t xml:space="preserve"> and telepresent communications </w:t>
      </w:r>
      <w:r w:rsidRPr="005928B4">
        <w:rPr>
          <w:highlight w:val="cyan"/>
          <w:u w:val="single"/>
        </w:rPr>
        <w:t>are already evident in the colonial networks of Empire</w:t>
      </w:r>
      <w:r w:rsidRPr="005928B4">
        <w:rPr>
          <w:sz w:val="16"/>
          <w:highlight w:val="cyan"/>
        </w:rPr>
        <w:t>,</w:t>
      </w:r>
      <w:r w:rsidRPr="00CF14B7">
        <w:rPr>
          <w:sz w:val="16"/>
        </w:rPr>
        <w:t xml:space="preserve"> the telecommunication and transportation networks powered by coal and before coal by slavery. </w:t>
      </w:r>
      <w:r w:rsidRPr="000F5068">
        <w:rPr>
          <w:u w:val="single"/>
        </w:rPr>
        <w:t>These architectures of globalizing space came to a point of culmination with the International Geophysical Year</w:t>
      </w:r>
      <w:r w:rsidRPr="00CF14B7">
        <w:rPr>
          <w:sz w:val="16"/>
        </w:rPr>
        <w:t xml:space="preserve"> (IGY) of 1957-58 and the deployment of a line of weather stations that circled the globe, watching the meteorological shifts in weather patterns for the telling presence of ballistic missiles. That is, </w:t>
      </w:r>
      <w:r w:rsidRPr="005928B4">
        <w:rPr>
          <w:highlight w:val="cyan"/>
          <w:u w:val="single"/>
        </w:rPr>
        <w:t>the synoptic accumulation of weather</w:t>
      </w:r>
      <w:r w:rsidRPr="000F5068">
        <w:rPr>
          <w:u w:val="single"/>
        </w:rPr>
        <w:t xml:space="preserve"> that </w:t>
      </w:r>
      <w:r w:rsidRPr="005928B4">
        <w:rPr>
          <w:highlight w:val="cyan"/>
          <w:u w:val="single"/>
        </w:rPr>
        <w:t>later became</w:t>
      </w:r>
      <w:r w:rsidRPr="000F5068">
        <w:rPr>
          <w:u w:val="single"/>
        </w:rPr>
        <w:t xml:space="preserve"> the baseline correlative of climate was initially envisaged as a </w:t>
      </w:r>
      <w:r w:rsidRPr="005928B4">
        <w:rPr>
          <w:highlight w:val="cyan"/>
          <w:u w:val="single"/>
        </w:rPr>
        <w:t>screen for watching incoming rocketry</w:t>
      </w:r>
      <w:r w:rsidRPr="005928B4">
        <w:rPr>
          <w:sz w:val="16"/>
          <w:highlight w:val="cyan"/>
        </w:rPr>
        <w:t>.</w:t>
      </w:r>
      <w:r>
        <w:rPr>
          <w:sz w:val="16"/>
        </w:rPr>
        <w:t xml:space="preserve"> </w:t>
      </w:r>
      <w:r w:rsidRPr="00CF14B7">
        <w:rPr>
          <w:sz w:val="16"/>
        </w:rPr>
        <w:t xml:space="preserve"> Alongside these geopolitical experiments in the vertical architectures of aerial and atmospheric control, Sputnik was launched to provide the first geographical “elsewhere” of territory (after the oceans and Antarctica). The new satellite also launched the geographic imagination of an extra-territorial planetary state of sensing and consolidated the Earth as artifactual sphere of operations. The launch of artificial satellites and the landing on the Earth’s own satellite (the moon) initiate the beginnings of what Jennifer Gabrys calls a Program Earth (2016). </w:t>
      </w:r>
      <w:r w:rsidRPr="000F5068">
        <w:rPr>
          <w:u w:val="single"/>
        </w:rPr>
        <w:t>As Gabrys notes, Sputnik “activated a multitude of new experiences for inhabiting the earth,” first as an audio map of a new orbital environment, and then as a programmable space.</w:t>
      </w:r>
      <w:r>
        <w:rPr>
          <w:u w:val="single"/>
        </w:rPr>
        <w:t xml:space="preserve"> </w:t>
      </w:r>
      <w:r w:rsidRPr="00CF14B7">
        <w:rPr>
          <w:sz w:val="16"/>
        </w:rPr>
        <w:t xml:space="preserve">Galvanized by the geopolitical context of the prospect of Global War, </w:t>
      </w:r>
      <w:r w:rsidRPr="005928B4">
        <w:rPr>
          <w:highlight w:val="cyan"/>
          <w:u w:val="single"/>
        </w:rPr>
        <w:t>in the Cold War</w:t>
      </w:r>
      <w:r w:rsidRPr="00CF14B7">
        <w:rPr>
          <w:sz w:val="16"/>
        </w:rPr>
        <w:t xml:space="preserve"> the </w:t>
      </w:r>
      <w:r w:rsidRPr="005928B4">
        <w:rPr>
          <w:highlight w:val="cyan"/>
          <w:u w:val="single"/>
        </w:rPr>
        <w:t>earth sciences</w:t>
      </w:r>
      <w:r w:rsidRPr="007A07E4">
        <w:rPr>
          <w:u w:val="single"/>
        </w:rPr>
        <w:t xml:space="preserve"> and their sensing technologies became one of the main </w:t>
      </w:r>
      <w:r w:rsidRPr="005928B4">
        <w:rPr>
          <w:highlight w:val="cyan"/>
          <w:u w:val="single"/>
        </w:rPr>
        <w:t>recipients of funding for new spatial</w:t>
      </w:r>
      <w:r w:rsidRPr="007A07E4">
        <w:rPr>
          <w:u w:val="single"/>
        </w:rPr>
        <w:t xml:space="preserve"> and visual </w:t>
      </w:r>
      <w:r w:rsidRPr="005928B4">
        <w:rPr>
          <w:highlight w:val="cyan"/>
          <w:u w:val="single"/>
        </w:rPr>
        <w:t>tech</w:t>
      </w:r>
      <w:r w:rsidRPr="007A07E4">
        <w:rPr>
          <w:u w:val="single"/>
        </w:rPr>
        <w:t>nologies</w:t>
      </w:r>
      <w:r w:rsidRPr="00CF14B7">
        <w:rPr>
          <w:sz w:val="16"/>
        </w:rPr>
        <w:t xml:space="preserve"> and thus the architects of its vision. Furthermore, </w:t>
      </w:r>
      <w:r w:rsidRPr="007A07E4">
        <w:rPr>
          <w:u w:val="single"/>
        </w:rPr>
        <w:t>“Satellites were promoted as making an easy transition from military research and development to ecological and social applications. Remote sensing developed into a critical technology and method within environmental science and became a crucial way in which to study environmental change on a global scale.”</w:t>
      </w:r>
      <w:r w:rsidRPr="00CF14B7">
        <w:rPr>
          <w:sz w:val="16"/>
        </w:rPr>
        <w:t xml:space="preserve"> While the globe appears in the context of the Cold War as the ultimate commodity fetish of the military-industrial complex, how these geographical imaginations of universal spatiality create a homogenizing surface of projection matters in the operationalization of materiality, particularly in how the earth as a global world-space is viewed as infrastructure of intentional propositions rather than a geography undercut by geological processes. </w:t>
      </w:r>
      <w:r w:rsidRPr="007A07E4">
        <w:rPr>
          <w:b/>
          <w:bCs/>
          <w:u w:val="single"/>
        </w:rPr>
        <w:t xml:space="preserve">We </w:t>
      </w:r>
      <w:r w:rsidRPr="00F17AAE">
        <w:rPr>
          <w:b/>
          <w:bCs/>
          <w:u w:val="single"/>
        </w:rPr>
        <w:t>should understand the images of globality from space and the verticality o</w:t>
      </w:r>
      <w:r w:rsidRPr="007A07E4">
        <w:rPr>
          <w:b/>
          <w:bCs/>
          <w:u w:val="single"/>
        </w:rPr>
        <w:t>f vision that aimed for an increasingly spectacular encompassing of the globe—</w:t>
      </w:r>
      <w:r w:rsidRPr="005928B4">
        <w:rPr>
          <w:b/>
          <w:bCs/>
          <w:sz w:val="28"/>
          <w:szCs w:val="28"/>
          <w:highlight w:val="cyan"/>
          <w:u w:val="single"/>
        </w:rPr>
        <w:t>a God's-eye view</w:t>
      </w:r>
      <w:r w:rsidRPr="007A07E4">
        <w:rPr>
          <w:b/>
          <w:bCs/>
          <w:u w:val="single"/>
        </w:rPr>
        <w:t>—</w:t>
      </w:r>
      <w:r w:rsidRPr="00F17AAE">
        <w:rPr>
          <w:b/>
          <w:bCs/>
          <w:u w:val="single"/>
        </w:rPr>
        <w:t xml:space="preserve">as </w:t>
      </w:r>
      <w:r w:rsidRPr="005928B4">
        <w:rPr>
          <w:b/>
          <w:bCs/>
          <w:highlight w:val="cyan"/>
          <w:u w:val="single"/>
        </w:rPr>
        <w:t>an attempt to grapple with the indeterminacy of materiality</w:t>
      </w:r>
      <w:r w:rsidRPr="007A07E4">
        <w:rPr>
          <w:b/>
          <w:bCs/>
          <w:u w:val="single"/>
        </w:rPr>
        <w:t xml:space="preserve">; </w:t>
      </w:r>
      <w:r w:rsidRPr="005928B4">
        <w:rPr>
          <w:b/>
          <w:bCs/>
          <w:highlight w:val="cyan"/>
          <w:u w:val="single"/>
        </w:rPr>
        <w:t>to banish an atmospheric optic and still the dynamic of the Earth</w:t>
      </w:r>
      <w:r w:rsidRPr="00CF14B7">
        <w:rPr>
          <w:sz w:val="16"/>
        </w:rPr>
        <w:t>. At a technical level, the campaign was against the weather, specifically clouds and their powers to disrupt a clear line of sight. Even before the far side of the moon was photographed in 1959 by the Soviet Luna 3 probe, the ability to picture the Earth became coterminous with the desire to operationalize aerial space, crucial to which was the establishment of accurate weather reporting systems</w:t>
      </w:r>
      <w:r w:rsidRPr="00D40947">
        <w:rPr>
          <w:u w:val="single"/>
        </w:rPr>
        <w:t>. This involved the strategic positioning of bases at the Poles to both detect and measure changes in Cold War atmospheres</w:t>
      </w:r>
      <w:r w:rsidRPr="00CF14B7">
        <w:rPr>
          <w:sz w:val="16"/>
        </w:rPr>
        <w:t xml:space="preserve">. Most notably, the US claimed the South Pole and established “Weather Central” at the Antarctic axis. This remote outpost which formed a terminal link in a pole-to-pole chain of sites running along three meridians provided a geopolitical encircling of the whole earth and “ground truthed” its global claim. These bipolar measurements attempted to achieve the first synoptic measurements as a co-present image of the world’s weather, which laid the foundation for climate to be constructed as a globalized space of data exchange. This first global meteorological model of climate circulation served as the baseline data point for anthropogenic climate change and ozone depletion. Climate change (both long term climate shifts and anthropogenic-induced) introduced fractures into universalizing architectures and ruptured the neat enclosure of the whole, both in representational and socio-political terms. </w:t>
      </w:r>
      <w:r w:rsidRPr="00AB01DE">
        <w:rPr>
          <w:u w:val="single"/>
        </w:rPr>
        <w:t>Just as global-world-space is nearly mapped from pole to pole, climate change introduces a shock to the imagination of earth systems as independent from social action.</w:t>
      </w:r>
      <w:r w:rsidRPr="00AB01DE">
        <w:rPr>
          <w:sz w:val="16"/>
          <w:u w:val="single"/>
        </w:rPr>
        <w:t xml:space="preserve"> </w:t>
      </w:r>
      <w:r w:rsidRPr="005928B4">
        <w:rPr>
          <w:b/>
          <w:bCs/>
          <w:highlight w:val="cyan"/>
          <w:u w:val="single"/>
        </w:rPr>
        <w:t>Climate change becomes representative</w:t>
      </w:r>
      <w:r w:rsidRPr="00D40947">
        <w:rPr>
          <w:b/>
          <w:bCs/>
          <w:u w:val="single"/>
        </w:rPr>
        <w:t>—in the double sense of representing practices and ontological arrangements—of the unintended global (side-)effects of these totalizing Western colonial visions of the world and their inability to deal with the material and representative excess of closed world systems</w:t>
      </w:r>
      <w:r w:rsidRPr="00CF14B7">
        <w:rPr>
          <w:sz w:val="16"/>
        </w:rPr>
        <w:t xml:space="preserve">. It also demonstrates how </w:t>
      </w:r>
      <w:r w:rsidRPr="00D40947">
        <w:rPr>
          <w:u w:val="single"/>
        </w:rPr>
        <w:t>world resources have been mobilized for Western growth, while entropy or waste has been exported both into the atmosphere and various colonial and neo-colonial sacrifice zones that constitute the dynamics of global-world-space.</w:t>
      </w:r>
      <w:r w:rsidRPr="00CF14B7">
        <w:rPr>
          <w:sz w:val="16"/>
        </w:rPr>
        <w:t xml:space="preserve"> </w:t>
      </w:r>
      <w:r w:rsidRPr="00D40947">
        <w:rPr>
          <w:u w:val="single"/>
        </w:rPr>
        <w:t>Excess is not an outside to these visions of global-world-space but a constituent condition of its infrastructures</w:t>
      </w:r>
      <w:r w:rsidRPr="00CF14B7">
        <w:rPr>
          <w:sz w:val="16"/>
        </w:rPr>
        <w:t xml:space="preserve">; a condition that is systematically unthought through those structures. </w:t>
      </w:r>
      <w:r w:rsidRPr="005928B4">
        <w:rPr>
          <w:b/>
          <w:bCs/>
          <w:highlight w:val="cyan"/>
          <w:u w:val="single"/>
        </w:rPr>
        <w:t>It is a spatio-affective infrastructure in which certain modes of subjectivization are generated to create constitutive outsides to the privileged subjects of global-world-space</w:t>
      </w:r>
      <w:r w:rsidRPr="005928B4">
        <w:rPr>
          <w:highlight w:val="cyan"/>
          <w:u w:val="single"/>
        </w:rPr>
        <w:t>;</w:t>
      </w:r>
      <w:r w:rsidRPr="00D40947">
        <w:rPr>
          <w:u w:val="single"/>
        </w:rPr>
        <w:t xml:space="preserve"> marginal subjects that are differentiated in terms of race and territorial autonomy</w:t>
      </w:r>
      <w:r w:rsidRPr="00CF14B7">
        <w:rPr>
          <w:sz w:val="16"/>
        </w:rPr>
        <w:t xml:space="preserve">. It is into this scene of representational failure, in which climate change models have struggled to compete with the changes already at work in the world (or, the various nonlinear and erratic material undoings that can’t successfully be modeled into a model, like capitalism), that a “geologic turn” makes its material-temporal intervention. </w:t>
      </w:r>
      <w:r w:rsidRPr="00903725">
        <w:rPr>
          <w:u w:val="single"/>
        </w:rPr>
        <w:t>The claim of an epochal shift in the material and ontological ground of knowledge can also be viewed as a claim for a new epoch of thought</w:t>
      </w:r>
      <w:r w:rsidRPr="00CF14B7">
        <w:rPr>
          <w:sz w:val="16"/>
        </w:rPr>
        <w:t xml:space="preserve">. </w:t>
      </w:r>
      <w:r w:rsidRPr="005928B4">
        <w:rPr>
          <w:b/>
          <w:bCs/>
          <w:sz w:val="28"/>
          <w:szCs w:val="28"/>
          <w:highlight w:val="cyan"/>
          <w:u w:val="single"/>
        </w:rPr>
        <w:t>Epochal thought needs to re-materialize, re-ontologize, de-anthropomorphize and geologize humanity through the specificities of differentiating mineralogical forces</w:t>
      </w:r>
      <w:r w:rsidRPr="005928B4">
        <w:rPr>
          <w:b/>
          <w:bCs/>
          <w:highlight w:val="cyan"/>
          <w:u w:val="single"/>
        </w:rPr>
        <w:t>.</w:t>
      </w:r>
      <w:r w:rsidRPr="00CF14B7">
        <w:rPr>
          <w:sz w:val="16"/>
        </w:rPr>
        <w:t xml:space="preserve"> The Anthropocene is both a claim to inhuman life and the recognition of geologic claims on social life. </w:t>
      </w:r>
      <w:r w:rsidRPr="00CF14B7">
        <w:rPr>
          <w:u w:val="single"/>
        </w:rPr>
        <w:t xml:space="preserve">While climate change modelling enacted a transformation of the representative scale of human-environmental relations into atmospheres, ice and oceans, it did not represent a change in kind in the Modernist drive towards the totality of global-world-image, imagined as an accumulative strategy of denser and more representative data architectures of the world. </w:t>
      </w:r>
      <w:r w:rsidRPr="00CF14B7">
        <w:rPr>
          <w:sz w:val="16"/>
        </w:rPr>
        <w:t xml:space="preserve">Thinking with the strata or the “geotrauma” of the Anthropocene as an epochal shift from socio-political to geosocial relations is a provocation to think about how the Earth stratifies thought, bodies and disciplines (in ways that the epistemes of Western knowledge cannot entirely take account of). </w:t>
      </w:r>
      <w:r w:rsidRPr="00CF14B7">
        <w:rPr>
          <w:u w:val="single"/>
        </w:rPr>
        <w:t>The inability to comprehend the unthought of thought in the infrastructures of global-world-space and its affective residues in relation to the conceptualization of material agency that constitute and actualize reason might seem like a double erasure in social worlds given the embrace of geologic metaphors and materiality that populate some of the most energetic thinking of the twentieth century</w:t>
      </w:r>
      <w:r w:rsidRPr="00CF14B7">
        <w:rPr>
          <w:sz w:val="16"/>
        </w:rPr>
        <w:t xml:space="preserve">. Leibniz’s and Kant’s political philosophy that emerged from the 1755 Lisbon Earthquake; Deleuze and Guattari’s plateaus; Foucault’s archaeologies and social formations; Freud’s unconscious; and more recently, in the realm of feminist materialisms, Elizabeth Grosz’s Geopower, Elizabeth Povinelli’s Geontologies and Angela Last’s </w:t>
      </w:r>
      <w:r w:rsidRPr="00CF14B7">
        <w:rPr>
          <w:u w:val="single"/>
        </w:rPr>
        <w:t>Geopoetics all engage the geophilosophy of a dynamic ground in the making of time, space and ontology</w:t>
      </w:r>
      <w:r>
        <w:rPr>
          <w:u w:val="single"/>
        </w:rPr>
        <w:t>.</w:t>
      </w:r>
    </w:p>
    <w:p w:rsidR="002E141E" w:rsidRPr="00861B49" w:rsidRDefault="002E141E" w:rsidP="002E141E"/>
    <w:p w:rsidR="009004A2" w:rsidRDefault="009004A2" w:rsidP="009004A2">
      <w:pPr>
        <w:pStyle w:val="Heading2"/>
      </w:pPr>
      <w:r>
        <w:t>LINKS</w:t>
      </w:r>
    </w:p>
    <w:p w:rsidR="002E141E" w:rsidRDefault="002E141E" w:rsidP="002E141E">
      <w:pPr>
        <w:pStyle w:val="Heading3"/>
      </w:pPr>
      <w:r>
        <w:t xml:space="preserve">Crisis Reps </w:t>
      </w:r>
    </w:p>
    <w:p w:rsidR="002E141E" w:rsidRPr="00100971" w:rsidRDefault="002E141E" w:rsidP="002E141E">
      <w:pPr>
        <w:pStyle w:val="Heading4"/>
        <w:rPr>
          <w:rFonts w:cs="Arial"/>
        </w:rPr>
      </w:pPr>
      <w:r w:rsidRPr="00100971">
        <w:rPr>
          <w:rFonts w:cs="Arial"/>
        </w:rPr>
        <w:t xml:space="preserve">The 1AC is crisis management. They have pointed towards violent symptoms of this global regime without pointing towards the violent crisis that constitutes its foundation. Colonial racial capitalism undergirds the 1AC advocacy and legitimizes a future world that murders countless bodies in the name of the preservation of a few. </w:t>
      </w:r>
    </w:p>
    <w:p w:rsidR="002E141E" w:rsidRPr="00100971" w:rsidRDefault="002E141E" w:rsidP="002E141E">
      <w:r w:rsidRPr="00100971">
        <w:rPr>
          <w:rStyle w:val="Style13ptBold"/>
        </w:rPr>
        <w:t>Cazdyn, 12</w:t>
      </w:r>
      <w:r w:rsidRPr="00100971">
        <w:t xml:space="preserve"> – Eric Cazdyn is Distinguished Professor of Aesthetics and Politics at the University of Toronto (located in the Centre for Comparative Literature and Department of East Asian Studies) (“The Already Dead: The New Time of Politics, Culture, and Illness,” Duke University Press Durham and London 2012)//HEX</w:t>
      </w:r>
    </w:p>
    <w:p w:rsidR="002E141E" w:rsidRPr="00100971" w:rsidRDefault="002E141E" w:rsidP="002E141E">
      <w:pPr>
        <w:rPr>
          <w:sz w:val="16"/>
        </w:rPr>
      </w:pPr>
      <w:r w:rsidRPr="00100971">
        <w:rPr>
          <w:sz w:val="16"/>
        </w:rPr>
        <w:t xml:space="preserve">What attracts me to this scenario is the short-circuiting of a whole series of expectations and assumptions, not only about psychoanalysis, but about crisis, time, illness, cure, capitalism, life, death, and politics—the very problems around which this book is organized. </w:t>
      </w:r>
      <w:r w:rsidRPr="00100971">
        <w:rPr>
          <w:rStyle w:val="StyleUnderline"/>
        </w:rPr>
        <w:t xml:space="preserve">The lesson here is </w:t>
      </w:r>
      <w:r w:rsidRPr="005928B4">
        <w:rPr>
          <w:rStyle w:val="StyleUnderline"/>
          <w:highlight w:val="cyan"/>
        </w:rPr>
        <w:t>that if you</w:t>
      </w:r>
      <w:r w:rsidRPr="00100971">
        <w:rPr>
          <w:rStyle w:val="StyleUnderline"/>
        </w:rPr>
        <w:t xml:space="preserve"> really </w:t>
      </w:r>
      <w:r w:rsidRPr="005928B4">
        <w:rPr>
          <w:rStyle w:val="StyleUnderline"/>
          <w:highlight w:val="cyan"/>
        </w:rPr>
        <w:t>want to</w:t>
      </w:r>
      <w:r w:rsidRPr="00100971">
        <w:rPr>
          <w:rStyle w:val="StyleUnderline"/>
        </w:rPr>
        <w:t xml:space="preserve"> understand a system and </w:t>
      </w:r>
      <w:r w:rsidRPr="005928B4">
        <w:rPr>
          <w:rStyle w:val="StyleUnderline"/>
          <w:highlight w:val="cyan"/>
        </w:rPr>
        <w:t>make</w:t>
      </w:r>
      <w:r w:rsidRPr="00100971">
        <w:rPr>
          <w:rStyle w:val="StyleUnderline"/>
        </w:rPr>
        <w:t xml:space="preserve"> significant </w:t>
      </w:r>
      <w:r w:rsidRPr="005928B4">
        <w:rPr>
          <w:rStyle w:val="StyleUnderline"/>
          <w:highlight w:val="cyan"/>
        </w:rPr>
        <w:t>change (and not</w:t>
      </w:r>
      <w:r w:rsidRPr="00100971">
        <w:rPr>
          <w:rStyle w:val="StyleUnderline"/>
        </w:rPr>
        <w:t xml:space="preserve"> just </w:t>
      </w:r>
      <w:r w:rsidRPr="005928B4">
        <w:rPr>
          <w:rStyle w:val="StyleUnderline"/>
          <w:highlight w:val="cyan"/>
        </w:rPr>
        <w:t>manage symptoms</w:t>
      </w:r>
      <w:r w:rsidRPr="00100971">
        <w:rPr>
          <w:rStyle w:val="StyleUnderline"/>
        </w:rPr>
        <w:t xml:space="preserve">), you must </w:t>
      </w:r>
      <w:r w:rsidRPr="005928B4">
        <w:rPr>
          <w:rStyle w:val="StyleUnderline"/>
          <w:highlight w:val="cyan"/>
        </w:rPr>
        <w:t>look away from</w:t>
      </w:r>
      <w:r w:rsidRPr="00100971">
        <w:rPr>
          <w:rStyle w:val="StyleUnderline"/>
        </w:rPr>
        <w:t xml:space="preserve"> what appears to be the </w:t>
      </w:r>
      <w:r w:rsidRPr="005928B4">
        <w:rPr>
          <w:rStyle w:val="StyleUnderline"/>
          <w:highlight w:val="cyan"/>
        </w:rPr>
        <w:t>immediate crisis and toward</w:t>
      </w:r>
      <w:r w:rsidRPr="00100971">
        <w:rPr>
          <w:rStyle w:val="StyleUnderline"/>
        </w:rPr>
        <w:t xml:space="preserve"> </w:t>
      </w:r>
      <w:r w:rsidRPr="005928B4">
        <w:rPr>
          <w:rStyle w:val="StyleUnderline"/>
          <w:highlight w:val="cyan"/>
        </w:rPr>
        <w:t xml:space="preserve">the crisis that is at work even when the system is </w:t>
      </w:r>
      <w:r w:rsidRPr="005928B4">
        <w:rPr>
          <w:rStyle w:val="Emphasis"/>
          <w:highlight w:val="cyan"/>
        </w:rPr>
        <w:t>functioning well</w:t>
      </w:r>
      <w:r w:rsidRPr="00100971">
        <w:rPr>
          <w:sz w:val="16"/>
        </w:rPr>
        <w:t xml:space="preserve">. </w:t>
      </w:r>
      <w:r w:rsidRPr="00100971">
        <w:rPr>
          <w:rStyle w:val="StyleUnderline"/>
        </w:rPr>
        <w:t>This crisis constitutes the system itself; the system cannot function without its internal crisis.</w:t>
      </w:r>
      <w:r w:rsidRPr="00100971">
        <w:rPr>
          <w:sz w:val="16"/>
        </w:rPr>
        <w:t xml:space="preserve"> Psychoanalysis is less about digging up buried treasures than about carefully inspecting the ground—a relent- less listening to and intervention with the patient when he or she is most functional and thus symptomatic (or most symp- tomatic and thus functional). Psychoanalysis, therefore, is not a last-ditch effort at disaster relief. It might serve as an object lesson to study why this project of psychoanalysis departs so radically from the vast majority of cultural representations of psychoanalysis, representations in television, film, not to mention many clinical case studies in which the ‘‘aha moments’’ are perfectly cued by close-ups, cloying music, or narrative momentum. </w:t>
      </w:r>
      <w:r w:rsidRPr="00100971">
        <w:rPr>
          <w:rStyle w:val="StyleUnderline"/>
        </w:rPr>
        <w:t>Crisis is not what happens when we go wrong; crisis is what happens when we go right</w:t>
      </w:r>
      <w:r w:rsidRPr="00100971">
        <w:rPr>
          <w:sz w:val="16"/>
        </w:rPr>
        <w:t xml:space="preserve">. </w:t>
      </w:r>
      <w:r w:rsidRPr="00100971">
        <w:rPr>
          <w:rStyle w:val="StyleUnderline"/>
        </w:rPr>
        <w:t>The logic of this last sentence will serve as a sort of mantra throughout this work.</w:t>
      </w:r>
      <w:r w:rsidRPr="00100971">
        <w:rPr>
          <w:sz w:val="16"/>
        </w:rPr>
        <w:t xml:space="preserve"> </w:t>
      </w:r>
      <w:r w:rsidRPr="00100971">
        <w:rPr>
          <w:rStyle w:val="StyleUnderline"/>
        </w:rPr>
        <w:t xml:space="preserve">Take, for example, capitalism: </w:t>
      </w:r>
      <w:r w:rsidRPr="005928B4">
        <w:rPr>
          <w:rStyle w:val="Emphasis"/>
          <w:highlight w:val="cyan"/>
        </w:rPr>
        <w:t>crisis is not what happens when capitalism goes wrong, but when it goes right</w:t>
      </w:r>
      <w:r w:rsidRPr="00100971">
        <w:rPr>
          <w:sz w:val="16"/>
        </w:rPr>
        <w:t xml:space="preserve">. In this light, Alan Greenspan’s mea culpa in October 2008 (when the bankruptcies and bailouts began to flow) is particularly revealing. Greenspan was shocked; he thought he understood how things worked. But what really shocked Greenspan is that today’s capitalism is still capitalism. </w:t>
      </w:r>
      <w:r w:rsidRPr="00100971">
        <w:rPr>
          <w:rStyle w:val="StyleUnderline"/>
        </w:rPr>
        <w:t>He believed that we were in some mode of production that could have the productivity and wealth-generation of capitalism without capitalism’s crises, or at least a capitalism in which the crises could be managed by mathematicians and derivative dealers.</w:t>
      </w:r>
      <w:r w:rsidRPr="00100971">
        <w:rPr>
          <w:sz w:val="16"/>
        </w:rPr>
        <w:t xml:space="preserve"> What a horror it must have been for Greenspan to realize that </w:t>
      </w:r>
      <w:r w:rsidRPr="005928B4">
        <w:rPr>
          <w:rStyle w:val="StyleUnderline"/>
          <w:highlight w:val="cyan"/>
        </w:rPr>
        <w:t>capitalism</w:t>
      </w:r>
      <w:r w:rsidRPr="00100971">
        <w:rPr>
          <w:rStyle w:val="StyleUnderline"/>
        </w:rPr>
        <w:t xml:space="preserve"> is still the system it has always been: one that </w:t>
      </w:r>
      <w:r w:rsidRPr="005928B4">
        <w:rPr>
          <w:rStyle w:val="StyleUnderline"/>
          <w:highlight w:val="cyan"/>
        </w:rPr>
        <w:t xml:space="preserve">cannot </w:t>
      </w:r>
      <w:r w:rsidRPr="005928B4">
        <w:rPr>
          <w:rStyle w:val="Emphasis"/>
          <w:highlight w:val="cyan"/>
        </w:rPr>
        <w:t>suspend</w:t>
      </w:r>
      <w:r w:rsidRPr="005928B4">
        <w:rPr>
          <w:rStyle w:val="StyleUnderline"/>
          <w:highlight w:val="cyan"/>
        </w:rPr>
        <w:t xml:space="preserve"> its</w:t>
      </w:r>
      <w:r w:rsidRPr="00100971">
        <w:rPr>
          <w:rStyle w:val="StyleUnderline"/>
        </w:rPr>
        <w:t xml:space="preserve"> fundamental </w:t>
      </w:r>
      <w:r w:rsidRPr="005928B4">
        <w:rPr>
          <w:rStyle w:val="StyleUnderline"/>
          <w:highlight w:val="cyan"/>
        </w:rPr>
        <w:t>rules of profit creation and expansion</w:t>
      </w:r>
      <w:r w:rsidRPr="00100971">
        <w:rPr>
          <w:rStyle w:val="StyleUnderline"/>
        </w:rPr>
        <w:t xml:space="preserve"> under any circumstances (and thus cannot suspend class conflict, gender inequality, imperial violence, brutal dispossessions, ecological destruction, and psychological suffering).</w:t>
      </w:r>
      <w:r w:rsidRPr="00100971">
        <w:rPr>
          <w:sz w:val="16"/>
        </w:rPr>
        <w:t xml:space="preserve"> The </w:t>
      </w:r>
      <w:r w:rsidRPr="00100971">
        <w:rPr>
          <w:rStyle w:val="StyleUnderline"/>
        </w:rPr>
        <w:t xml:space="preserve">point is that </w:t>
      </w:r>
      <w:r w:rsidRPr="005928B4">
        <w:rPr>
          <w:rStyle w:val="StyleUnderline"/>
          <w:highlight w:val="cyan"/>
        </w:rPr>
        <w:t>crisis is built</w:t>
      </w:r>
      <w:r w:rsidRPr="00100971">
        <w:rPr>
          <w:rStyle w:val="StyleUnderline"/>
        </w:rPr>
        <w:t xml:space="preserve"> right</w:t>
      </w:r>
      <w:r w:rsidRPr="005928B4">
        <w:rPr>
          <w:rStyle w:val="StyleUnderline"/>
          <w:highlight w:val="cyan"/>
        </w:rPr>
        <w:t xml:space="preserve"> into the system</w:t>
      </w:r>
      <w:r w:rsidRPr="00100971">
        <w:rPr>
          <w:rStyle w:val="StyleUnderline"/>
        </w:rPr>
        <w:t xml:space="preserve"> of capitalism—not only when it busts, but when it booms</w:t>
      </w:r>
      <w:r w:rsidRPr="00100971">
        <w:rPr>
          <w:sz w:val="16"/>
        </w:rPr>
        <w:t xml:space="preserve">. Exploitation occurs within capitalism, therefore, not only when pen- sions disappear, jobs are slashed, and factories burn down, but it is also present when contracts are obeyed and factories are clean and safe. To prove this point, one should consider the valorization of surplus value and the logic of the commodity. </w:t>
      </w:r>
      <w:r w:rsidRPr="00100971">
        <w:rPr>
          <w:rStyle w:val="StyleUnderline"/>
        </w:rPr>
        <w:t>For example, the inequality built into capitalism is due not simply to the pursuit of profit or so many bad capitalists, but to the seemingly natural and benign control a capitalist has over a worker’s labor power</w:t>
      </w:r>
      <w:r w:rsidRPr="00100971">
        <w:rPr>
          <w:sz w:val="16"/>
        </w:rPr>
        <w:t xml:space="preserve">. </w:t>
      </w:r>
      <w:r w:rsidRPr="00100971">
        <w:rPr>
          <w:rStyle w:val="StyleUnderline"/>
        </w:rPr>
        <w:t>That labor power is reproduced daily with the making, selling, and buying of commodities—especially when the capitalist is kind, com- passionate, and humane</w:t>
      </w:r>
      <w:r w:rsidRPr="00100971">
        <w:rPr>
          <w:sz w:val="16"/>
        </w:rPr>
        <w:t xml:space="preserve">. Such an understanding of capitalism, one that emphasizes a larger structural logic over the personalities of the individual actors, is, in fact, the foundation of all economic theories, from neoclassical to Marxist. Moreover, understanding capitalism in such a way compels us not to moralize cheaply about factory layoffs or be incredulous about financial meltdowns. These should be expected by anyone who under- stands capitalism. In other words, these adverse effects are not simply about greedy politicians and corrupt executives. There are plenty of them. But to focus on them is a strategic error. In March 2009, headlines were filled with outrage over the bonuses paid to Wall Street executives. The problem, however, was, and still is, not the bonuses at American International Group, but the radical inequality of income that sustains the larger economic system itself. Yes, outrage should be directed at the executives who received lavish bonuses despite selling the very financial products that exacerbated the meltdown. But a more focused and sustained outrage should be directed at the hard socioeconomic fact that these </w:t>
      </w:r>
      <w:r w:rsidRPr="00100971">
        <w:rPr>
          <w:rStyle w:val="StyleUnderline"/>
        </w:rPr>
        <w:t>executives make $15,000 an hour compared to the $8 an hour of the custodial staff.</w:t>
      </w:r>
      <w:r w:rsidRPr="00100971">
        <w:rPr>
          <w:sz w:val="16"/>
        </w:rPr>
        <w:t xml:space="preserve"> </w:t>
      </w:r>
      <w:r w:rsidRPr="00100971">
        <w:rPr>
          <w:rStyle w:val="StyleUnderline"/>
        </w:rPr>
        <w:t>Somehow this legal and even celebrated model of wealth distribution does not deserve our condemnation, but the latest scandal or public humiliation does</w:t>
      </w:r>
      <w:r w:rsidRPr="00100971">
        <w:rPr>
          <w:sz w:val="16"/>
        </w:rPr>
        <w:t xml:space="preserve">. The great trauma of the economic meltdown of 2008, I believe, is only now descending upon us. That trauma has to do with the recognition that capitalism is still here, that despite the most significant economic crisis since the Great Depression the very structures in place since capitalism’s inception have not substantially changed. It is brutal enough to lose one’s job or one’s home due to the crisis, but when very little changes in the process then we lose on both fronts. We lose our savings and our exhilaration, if not our joy, at watching the system give way—not to mention our desire, however unconscious, for the the world to be organized differently. This rethinking of crisis returns us to the anecdote about the psycho- analyst and to the problem of time. </w:t>
      </w:r>
      <w:r w:rsidRPr="00100971">
        <w:rPr>
          <w:rStyle w:val="StyleUnderline"/>
        </w:rPr>
        <w:t>If crisis is always at work and not a sign that something has gone wrong, then how might we understand the time of crisis?</w:t>
      </w:r>
      <w:r w:rsidRPr="00100971">
        <w:rPr>
          <w:sz w:val="16"/>
        </w:rPr>
        <w:t xml:space="preserve"> </w:t>
      </w:r>
      <w:r w:rsidRPr="00100971">
        <w:rPr>
          <w:rStyle w:val="StyleUnderline"/>
        </w:rPr>
        <w:t>Crisis used to be defined by its short-termness—requiring a decision on the spot, with no possibility of deferral, evasion, or repression</w:t>
      </w:r>
      <w:r w:rsidRPr="00100971">
        <w:rPr>
          <w:sz w:val="16"/>
        </w:rPr>
        <w:t xml:space="preserve">. </w:t>
      </w:r>
      <w:r w:rsidRPr="005928B4">
        <w:rPr>
          <w:rStyle w:val="StyleUnderline"/>
          <w:highlight w:val="cyan"/>
        </w:rPr>
        <w:t>A crisis means we can,</w:t>
      </w:r>
      <w:r w:rsidRPr="00100971">
        <w:rPr>
          <w:rStyle w:val="StyleUnderline"/>
        </w:rPr>
        <w:t xml:space="preserve"> perhaps, </w:t>
      </w:r>
      <w:r w:rsidRPr="005928B4">
        <w:rPr>
          <w:rStyle w:val="StyleUnderline"/>
          <w:highlight w:val="cyan"/>
        </w:rPr>
        <w:t>suspend</w:t>
      </w:r>
      <w:r w:rsidRPr="00100971">
        <w:rPr>
          <w:rStyle w:val="StyleUnderline"/>
        </w:rPr>
        <w:t xml:space="preserve"> our usual rules and </w:t>
      </w:r>
      <w:r w:rsidRPr="005928B4">
        <w:rPr>
          <w:rStyle w:val="Emphasis"/>
          <w:highlight w:val="cyan"/>
        </w:rPr>
        <w:t>ethical standards</w:t>
      </w:r>
      <w:r w:rsidRPr="00100971">
        <w:rPr>
          <w:rStyle w:val="StyleUnderline"/>
        </w:rPr>
        <w:t xml:space="preserve"> </w:t>
      </w:r>
      <w:r w:rsidRPr="005928B4">
        <w:rPr>
          <w:rStyle w:val="StyleUnderline"/>
          <w:highlight w:val="cyan"/>
        </w:rPr>
        <w:t>because we must ‘‘act now</w:t>
      </w:r>
      <w:r w:rsidRPr="00100971">
        <w:rPr>
          <w:rStyle w:val="StyleUnderline"/>
        </w:rPr>
        <w:t>!’’</w:t>
      </w:r>
      <w:r w:rsidRPr="00100971">
        <w:rPr>
          <w:sz w:val="16"/>
        </w:rPr>
        <w:t xml:space="preserve"> </w:t>
      </w:r>
      <w:r w:rsidRPr="00100971">
        <w:rPr>
          <w:rStyle w:val="StyleUnderline"/>
        </w:rPr>
        <w:t>But something has happened on the way to the shelter. The bombs have been launched, but they are suspended overhead, allowing us to continue on with our lives under the shadow of destruction. If crisis is always already with us, if it is the rule of the system rather than its exception, then in what cases could we justify suspending our principles</w:t>
      </w:r>
      <w:r w:rsidRPr="00100971">
        <w:rPr>
          <w:sz w:val="16"/>
        </w:rPr>
        <w:t xml:space="preserve">? Would we have to live by them all the time? </w:t>
      </w:r>
      <w:r w:rsidRPr="00100971">
        <w:rPr>
          <w:rStyle w:val="StyleUnderline"/>
        </w:rPr>
        <w:t>Or would this new temporality of crisis demand the rethinking of our society’s cherished principles altogether?</w:t>
      </w:r>
      <w:r w:rsidRPr="00100971">
        <w:rPr>
          <w:sz w:val="16"/>
        </w:rPr>
        <w:t xml:space="preserve"> </w:t>
      </w:r>
      <w:r w:rsidRPr="00100971">
        <w:rPr>
          <w:rStyle w:val="StyleUnderline"/>
        </w:rPr>
        <w:t xml:space="preserve">Rethinking </w:t>
      </w:r>
      <w:r w:rsidRPr="005928B4">
        <w:rPr>
          <w:rStyle w:val="StyleUnderline"/>
          <w:highlight w:val="cyan"/>
        </w:rPr>
        <w:t>the meaning of crisis</w:t>
      </w:r>
      <w:r w:rsidRPr="00100971">
        <w:rPr>
          <w:rStyle w:val="StyleUnderline"/>
        </w:rPr>
        <w:t xml:space="preserve"> not only </w:t>
      </w:r>
      <w:r w:rsidRPr="005928B4">
        <w:rPr>
          <w:rStyle w:val="StyleUnderline"/>
          <w:highlight w:val="cyan"/>
        </w:rPr>
        <w:t>affects our temporal experience of the present</w:t>
      </w:r>
      <w:r w:rsidRPr="00100971">
        <w:rPr>
          <w:rStyle w:val="StyleUnderline"/>
        </w:rPr>
        <w:t xml:space="preserve">, </w:t>
      </w:r>
      <w:r w:rsidRPr="005928B4">
        <w:rPr>
          <w:rStyle w:val="StyleUnderline"/>
          <w:highlight w:val="cyan"/>
        </w:rPr>
        <w:t>but also colonizes and preempts claims upon the future</w:t>
      </w:r>
      <w:r w:rsidRPr="00100971">
        <w:rPr>
          <w:rStyle w:val="StyleUnderline"/>
        </w:rPr>
        <w:t>.</w:t>
      </w:r>
      <w:r w:rsidRPr="00100971">
        <w:rPr>
          <w:sz w:val="16"/>
        </w:rPr>
        <w:t xml:space="preserve"> Paul Virilio once argued that what defines the post–Cold War moment of accelerated communications and military technologies is a deadly simultaneity, a temporality in which a target is destroyed the mo- ment it becomes visible. “When a missile threatening in ‘real time’ is picked up on a radar or video, the present as mediatised by the display console already contains the future of the missile’s impending arrival at its target.” To see the enemy is to have already killed him. This logic intensifies an older paradigm in which one first scopes a target before trying to kill it. The converse logic holds that one kills the target even though one does not see it. Instead of precision bombs, we have under this converse logic carpet or cluster bombs and casualties, intended and unintended, that are identi- fied after the fact. The atomic bombs dropped on Hiroshima and Nagasaki, as well as the improvised weapons detonated by suicide bombers, also fall into this lethal category. This series of military logics, however, requires one more turn: today one kills the target but it does not die, at least not immediately. The target has been killed but has yet to die. There is a time warp at work, one in which the future has already come and is still to come, a double future. </w:t>
      </w:r>
      <w:r w:rsidRPr="00100971">
        <w:rPr>
          <w:rStyle w:val="StyleUnderline"/>
        </w:rPr>
        <w:t>We can think about ecological predictions that forecast the end of natural resources and how it is already too late to reverse this categorical trend, or we can return to the military realm and consider how posttraumatic stress disorder attacks the soldier in the future for acts committed or witnessed in the present</w:t>
      </w:r>
      <w:r w:rsidRPr="00100971">
        <w:rPr>
          <w:sz w:val="16"/>
        </w:rPr>
        <w:t xml:space="preserve">. </w:t>
      </w:r>
      <w:r w:rsidRPr="00100971">
        <w:rPr>
          <w:rStyle w:val="StyleUnderline"/>
        </w:rPr>
        <w:t xml:space="preserve">In both cases there is </w:t>
      </w:r>
      <w:r w:rsidRPr="005928B4">
        <w:rPr>
          <w:rStyle w:val="StyleUnderline"/>
          <w:highlight w:val="cyan"/>
        </w:rPr>
        <w:t>a looping of time</w:t>
      </w:r>
      <w:r w:rsidRPr="00100971">
        <w:rPr>
          <w:rStyle w:val="StyleUnderline"/>
        </w:rPr>
        <w:t xml:space="preserve"> in which </w:t>
      </w:r>
      <w:r w:rsidRPr="005928B4">
        <w:rPr>
          <w:rStyle w:val="StyleUnderline"/>
          <w:highlight w:val="cyan"/>
        </w:rPr>
        <w:t>the future is spelled out in advance,</w:t>
      </w:r>
      <w:r w:rsidRPr="00100971">
        <w:rPr>
          <w:rStyle w:val="StyleUnderline"/>
        </w:rPr>
        <w:t xml:space="preserve"> granting to the meantime an impossible location that is heading somewhere and nowhere at once. But this is not a simple fortune telling, a determination already decided and thus eliminating contingency.</w:t>
      </w:r>
      <w:r w:rsidRPr="00100971">
        <w:rPr>
          <w:sz w:val="16"/>
        </w:rPr>
        <w:t xml:space="preserve"> </w:t>
      </w:r>
      <w:r w:rsidRPr="00100971">
        <w:rPr>
          <w:rStyle w:val="StyleUnderline"/>
        </w:rPr>
        <w:t>This is, rather, a radically different experience and operation of time, one in which categories such as determination and contingency are refunctionalized. Or, even more to the point, this is an experience of time that enables the very shifting of how time works</w:t>
      </w:r>
      <w:r w:rsidRPr="00100971">
        <w:rPr>
          <w:sz w:val="16"/>
        </w:rPr>
        <w:t xml:space="preserve">. </w:t>
      </w:r>
      <w:r w:rsidRPr="00100971">
        <w:rPr>
          <w:rStyle w:val="StyleUnderline"/>
        </w:rPr>
        <w:t>The paradigmatic condition illustrating the already dead is that of the medical patient who has been diagnosed with a terminal disease only to live through medical advances that then turn the terminal illness into a chronic one</w:t>
      </w:r>
      <w:r w:rsidRPr="00100971">
        <w:rPr>
          <w:sz w:val="16"/>
        </w:rPr>
        <w:t xml:space="preserve">. The disease remains life threatening, still incurable, even though it is managed and controlled, perhaps indefinitely. The patient is now afforded a meantime that functions like a hole in time, an escape route to somewhere else and a trap door to where he began. Freud could only anticipate this double future in 1937 in a letter to Marie Bonaparte, written two years before his death and while he was in great physical and psycho- logical pain (due to oral cancer and Nazi advances in Austria, respec- tively): ‘‘In order to find all of this bearable, one must remind oneself constantly that one really has no right to be living any longer.’’ Freud’s statement is symptomatic of his moment, while something qualitatively different is at work today. Of course, our present shares much in common with the modernity of Freud’s time, but to tease out the differ- ences we might want to invert Freud’s statement: in order to find the current moment unbearable, we must remind ourselves that we really have the right to die. This is less about euthanasia, masochism, or legalized suicide than a certain relation to time, a relation to the present and the future, as well as the capacity to shape these temporal realities. Whereas Freud’s project was to make the unbearable bearable by way of psychoana- lytical practice, ours is to make the bearable unbearable by any means possible or, and perhaps more important, by any means impossible—un- bearable to the extent that we cannot help but act toward another way of feeling and being, and impossible to the extent that we cannot help but act even even in the face of an unavoidable fate.≥ What is the relation between unbearability and revolution? Or between bearability and the status quo? Or between deadening environments (both social and ecological) and our relationship to death itself? This is where politics, culture, and medicine come together, especially around the con- cept of the already dead and the problem of time. We have entered a new chronic mode, a mode of time that cares little for terminality or acuteness, but more for an undying present that remains forever sick, without the danger of sudden death. The maintenance of the status quo becomes, if not quite our ultimate goal, what we will settle for, and even fight for. </w:t>
      </w:r>
      <w:r w:rsidRPr="00100971">
        <w:rPr>
          <w:rStyle w:val="StyleUnderline"/>
        </w:rPr>
        <w:t>If t</w:t>
      </w:r>
      <w:r w:rsidRPr="005928B4">
        <w:rPr>
          <w:rStyle w:val="StyleUnderline"/>
          <w:highlight w:val="cyan"/>
        </w:rPr>
        <w:t>he system cannot be reformed</w:t>
      </w:r>
      <w:r w:rsidRPr="00100971">
        <w:rPr>
          <w:rStyle w:val="StyleUnderline"/>
        </w:rPr>
        <w:t xml:space="preserve"> (the cancer eradicated, the ocean cleaned, the corruption expunged), then the new chronic mode insists on </w:t>
      </w:r>
      <w:r w:rsidRPr="005928B4">
        <w:rPr>
          <w:rStyle w:val="Emphasis"/>
          <w:highlight w:val="cyan"/>
        </w:rPr>
        <w:t>maintaining</w:t>
      </w:r>
      <w:r w:rsidRPr="005928B4">
        <w:rPr>
          <w:rStyle w:val="StyleUnderline"/>
          <w:highlight w:val="cyan"/>
        </w:rPr>
        <w:t xml:space="preserve"> the system</w:t>
      </w:r>
      <w:r w:rsidRPr="00100971">
        <w:rPr>
          <w:rStyle w:val="StyleUnderline"/>
        </w:rPr>
        <w:t xml:space="preserve"> </w:t>
      </w:r>
      <w:r w:rsidRPr="005928B4">
        <w:rPr>
          <w:rStyle w:val="StyleUnderline"/>
          <w:highlight w:val="cyan"/>
        </w:rPr>
        <w:t>and</w:t>
      </w:r>
      <w:r w:rsidRPr="00100971">
        <w:rPr>
          <w:rStyle w:val="StyleUnderline"/>
        </w:rPr>
        <w:t xml:space="preserve"> perpetually </w:t>
      </w:r>
      <w:r w:rsidRPr="005928B4">
        <w:rPr>
          <w:rStyle w:val="Emphasis"/>
          <w:highlight w:val="cyan"/>
        </w:rPr>
        <w:t>managing</w:t>
      </w:r>
      <w:r w:rsidRPr="005928B4">
        <w:rPr>
          <w:rStyle w:val="StyleUnderline"/>
          <w:highlight w:val="cyan"/>
        </w:rPr>
        <w:t xml:space="preserve"> its constitutive crises</w:t>
      </w:r>
      <w:r w:rsidRPr="00100971">
        <w:rPr>
          <w:rStyle w:val="StyleUnderline"/>
        </w:rPr>
        <w:t xml:space="preserve">, </w:t>
      </w:r>
      <w:r w:rsidRPr="005928B4">
        <w:rPr>
          <w:rStyle w:val="StyleUnderline"/>
          <w:highlight w:val="cyan"/>
        </w:rPr>
        <w:t>rather than confronting even a hint of the terminal</w:t>
      </w:r>
      <w:r w:rsidRPr="00100971">
        <w:rPr>
          <w:rStyle w:val="StyleUnderline"/>
        </w:rPr>
        <w:t>, the system’s (the body’s, the planet’s, capitalism’s) own death</w:t>
      </w:r>
      <w:r w:rsidRPr="00100971">
        <w:rPr>
          <w:sz w:val="16"/>
        </w:rPr>
        <w:t>. In this work, I produce this concept of ‘‘the chronic,’’ place it in the context of late capitalism, and track it in the political-economic, cultural, and medical realms. Departing from how changing medical practices (dominated by a new paradigm of targeted drug therapy and biotechnology) have reconfigured standard notions of ‘‘cure,’’ as well as the meanings of ‘‘acute,’’ ‘‘terminal,’’ ‘‘crisis,’’ and ‘‘mean- time,’’ I explore the radical and reactionary effects of this temporal shift.</w:t>
      </w:r>
    </w:p>
    <w:p w:rsidR="002E141E" w:rsidRPr="00AE6789" w:rsidRDefault="002E141E" w:rsidP="002E141E"/>
    <w:p w:rsidR="002E141E" w:rsidRDefault="002E141E" w:rsidP="002E141E">
      <w:pPr>
        <w:pStyle w:val="Heading3"/>
      </w:pPr>
      <w:r>
        <w:t xml:space="preserve">FW </w:t>
      </w:r>
    </w:p>
    <w:p w:rsidR="00E32D56" w:rsidRPr="00E32D56" w:rsidRDefault="00E32D56" w:rsidP="00E32D56">
      <w:pPr>
        <w:pStyle w:val="Heading4"/>
      </w:pPr>
      <w:r>
        <w:t xml:space="preserve">The desire to the set the terms of debate around heteronormative standards represents a colonization of politics that bolsters the links.  </w:t>
      </w:r>
    </w:p>
    <w:p w:rsidR="002E141E" w:rsidRPr="00100971" w:rsidRDefault="002E141E" w:rsidP="002E141E">
      <w:pPr>
        <w:rPr>
          <w:rStyle w:val="Style13ptBold"/>
        </w:rPr>
      </w:pPr>
      <w:r w:rsidRPr="00100971">
        <w:rPr>
          <w:rStyle w:val="Style13ptBold"/>
        </w:rPr>
        <w:t>Bruyneel 15 – professor of history @ Babson College</w:t>
      </w:r>
    </w:p>
    <w:p w:rsidR="002E141E" w:rsidRPr="00100971" w:rsidRDefault="002E141E" w:rsidP="002E141E">
      <w:r w:rsidRPr="00100971">
        <w:t xml:space="preserve">(Kevin, ‘Codename Geronimo: settler memory and the production of American statism,’ Settler Colonial Studies, Special Issue on Globalizing Unsettlement) </w:t>
      </w:r>
    </w:p>
    <w:p w:rsidR="002E141E" w:rsidRPr="00100971" w:rsidRDefault="002E141E" w:rsidP="002E141E">
      <w:pPr>
        <w:rPr>
          <w:rStyle w:val="Emphasis"/>
        </w:rPr>
      </w:pPr>
      <w:r w:rsidRPr="00100971">
        <w:rPr>
          <w:rStyle w:val="StyleUnderline"/>
        </w:rPr>
        <w:t xml:space="preserve">In the contemporary era, I would include </w:t>
      </w:r>
      <w:r w:rsidRPr="005928B4">
        <w:rPr>
          <w:rStyle w:val="StyleUnderline"/>
          <w:highlight w:val="cyan"/>
        </w:rPr>
        <w:t>politics itself</w:t>
      </w:r>
      <w:r w:rsidRPr="00100971">
        <w:rPr>
          <w:rStyle w:val="StyleUnderline"/>
        </w:rPr>
        <w:t xml:space="preserve"> as among </w:t>
      </w:r>
      <w:r w:rsidRPr="005928B4">
        <w:rPr>
          <w:rStyle w:val="StyleUnderline"/>
          <w:highlight w:val="cyan"/>
        </w:rPr>
        <w:t>the facets</w:t>
      </w:r>
      <w:r w:rsidRPr="00100971">
        <w:rPr>
          <w:rStyle w:val="StyleUnderline"/>
        </w:rPr>
        <w:t xml:space="preserve"> of existence that </w:t>
      </w:r>
      <w:r w:rsidRPr="005928B4">
        <w:rPr>
          <w:rStyle w:val="StyleUnderline"/>
          <w:highlight w:val="cyan"/>
        </w:rPr>
        <w:t>settler colonialism colonizes</w:t>
      </w:r>
      <w:r w:rsidRPr="00100971">
        <w:rPr>
          <w:sz w:val="16"/>
        </w:rPr>
        <w:t xml:space="preserve">. That is, </w:t>
      </w:r>
      <w:r w:rsidRPr="005928B4">
        <w:rPr>
          <w:rStyle w:val="StyleUnderline"/>
          <w:highlight w:val="cyan"/>
        </w:rPr>
        <w:t xml:space="preserve">settler colonial assemblage </w:t>
      </w:r>
      <w:r w:rsidRPr="005928B4">
        <w:rPr>
          <w:rStyle w:val="Emphasis"/>
          <w:highlight w:val="cyan"/>
        </w:rPr>
        <w:t>defines and seeks to bound</w:t>
      </w:r>
      <w:r w:rsidRPr="005928B4">
        <w:rPr>
          <w:rStyle w:val="StyleUnderline"/>
          <w:highlight w:val="cyan"/>
        </w:rPr>
        <w:t xml:space="preserve"> that which is </w:t>
      </w:r>
      <w:r w:rsidRPr="005928B4">
        <w:rPr>
          <w:rStyle w:val="Emphasis"/>
          <w:highlight w:val="cyan"/>
        </w:rPr>
        <w:t>legitimately subject for debate and contestation</w:t>
      </w:r>
      <w:r w:rsidRPr="00100971">
        <w:rPr>
          <w:rStyle w:val="StyleUnderline"/>
        </w:rPr>
        <w:t xml:space="preserve"> as it concerns the distribution and role of power, identity, interest and institutions</w:t>
      </w:r>
      <w:r w:rsidRPr="00100971">
        <w:rPr>
          <w:sz w:val="16"/>
        </w:rPr>
        <w:t xml:space="preserve">. </w:t>
      </w:r>
      <w:r w:rsidRPr="005928B4">
        <w:rPr>
          <w:rStyle w:val="Emphasis"/>
          <w:highlight w:val="cyan"/>
        </w:rPr>
        <w:t xml:space="preserve">Before one can even ask </w:t>
      </w:r>
      <w:r w:rsidRPr="00100971">
        <w:rPr>
          <w:rStyle w:val="Emphasis"/>
        </w:rPr>
        <w:t>the question</w:t>
      </w:r>
      <w:r w:rsidRPr="00100971">
        <w:rPr>
          <w:rStyle w:val="StyleUnderline"/>
        </w:rPr>
        <w:t xml:space="preserve"> of settler colonial violence, dispossession, and appropriation, </w:t>
      </w:r>
      <w:r w:rsidRPr="005928B4">
        <w:rPr>
          <w:rStyle w:val="StyleUnderline"/>
          <w:highlight w:val="cyan"/>
        </w:rPr>
        <w:t xml:space="preserve">the question may be </w:t>
      </w:r>
      <w:r w:rsidRPr="005928B4">
        <w:rPr>
          <w:rStyle w:val="Emphasis"/>
          <w:highlight w:val="cyan"/>
        </w:rPr>
        <w:t>rendered moot, outside the bounds of legitimate, or realistic, politics</w:t>
      </w:r>
      <w:r w:rsidRPr="00100971">
        <w:rPr>
          <w:sz w:val="16"/>
        </w:rPr>
        <w:t xml:space="preserve">. In this light, my suggestion here is that </w:t>
      </w:r>
      <w:r w:rsidRPr="005928B4">
        <w:rPr>
          <w:rStyle w:val="StyleUnderline"/>
          <w:highlight w:val="cyan"/>
        </w:rPr>
        <w:t>the response</w:t>
      </w:r>
      <w:r w:rsidRPr="00100971">
        <w:rPr>
          <w:sz w:val="16"/>
        </w:rPr>
        <w:t xml:space="preserve"> to such appropriations as that of Geronimo's name </w:t>
      </w:r>
      <w:r w:rsidRPr="005928B4">
        <w:rPr>
          <w:rStyle w:val="StyleUnderline"/>
          <w:highlight w:val="cyan"/>
        </w:rPr>
        <w:t>should not be to</w:t>
      </w:r>
      <w:r w:rsidRPr="00100971">
        <w:rPr>
          <w:sz w:val="16"/>
        </w:rPr>
        <w:t xml:space="preserve"> ask the White House for an apology, and thus </w:t>
      </w:r>
      <w:r w:rsidRPr="005928B4">
        <w:rPr>
          <w:rStyle w:val="Emphasis"/>
          <w:highlight w:val="cyan"/>
        </w:rPr>
        <w:t>concede the status of this statist institution</w:t>
      </w:r>
      <w:r w:rsidRPr="00100971">
        <w:rPr>
          <w:sz w:val="16"/>
        </w:rPr>
        <w:t xml:space="preserve">. </w:t>
      </w:r>
      <w:r w:rsidRPr="00100971">
        <w:rPr>
          <w:rStyle w:val="StyleUnderline"/>
        </w:rPr>
        <w:t>Instead</w:t>
      </w:r>
      <w:r w:rsidRPr="00100971">
        <w:rPr>
          <w:sz w:val="16"/>
        </w:rPr>
        <w:t xml:space="preserve">, the association should be embraced, in one key respect. To embrace </w:t>
      </w:r>
      <w:r w:rsidRPr="00100971">
        <w:rPr>
          <w:rStyle w:val="StyleUnderline"/>
        </w:rPr>
        <w:t>the association is</w:t>
      </w:r>
      <w:r w:rsidRPr="00100971">
        <w:rPr>
          <w:sz w:val="16"/>
        </w:rPr>
        <w:t xml:space="preserve"> not to stand in alliance with Osama Bin Laden or Al Qaeda at all or the US military, but rather </w:t>
      </w:r>
      <w:r w:rsidRPr="00100971">
        <w:rPr>
          <w:rStyle w:val="StyleUnderline"/>
        </w:rPr>
        <w:t>to re-assert the fact that Geronimo was, indeed, an enemy of American statism and settler colonialism. It is to maintain the political posture of friend versus enemy, and to render</w:t>
      </w:r>
      <w:r w:rsidRPr="00100971">
        <w:rPr>
          <w:sz w:val="16"/>
        </w:rPr>
        <w:t xml:space="preserve"> as important and necessary the status and actions of what political theorist Joel Olson called the zealot or fanatic as </w:t>
      </w:r>
      <w:r w:rsidRPr="00100971">
        <w:rPr>
          <w:rStyle w:val="StyleUnderline"/>
        </w:rPr>
        <w:t xml:space="preserve">an important political category that </w:t>
      </w:r>
      <w:r w:rsidRPr="005928B4">
        <w:rPr>
          <w:rStyle w:val="StyleUnderline"/>
          <w:highlight w:val="cyan"/>
        </w:rPr>
        <w:t>hold</w:t>
      </w:r>
      <w:r w:rsidRPr="00100971">
        <w:rPr>
          <w:rStyle w:val="StyleUnderline"/>
        </w:rPr>
        <w:t xml:space="preserve">s </w:t>
      </w:r>
      <w:r w:rsidRPr="005928B4">
        <w:rPr>
          <w:rStyle w:val="StyleUnderline"/>
          <w:highlight w:val="cyan"/>
        </w:rPr>
        <w:t xml:space="preserve">out the possibility for </w:t>
      </w:r>
      <w:r w:rsidRPr="005928B4">
        <w:rPr>
          <w:rStyle w:val="Emphasis"/>
          <w:highlight w:val="cyan"/>
        </w:rPr>
        <w:t>more radical transformation of the political order</w:t>
      </w:r>
      <w:r w:rsidRPr="005928B4">
        <w:rPr>
          <w:sz w:val="16"/>
          <w:highlight w:val="cyan"/>
        </w:rPr>
        <w:t xml:space="preserve">.27 </w:t>
      </w:r>
      <w:r w:rsidRPr="005928B4">
        <w:rPr>
          <w:rStyle w:val="StyleUnderline"/>
          <w:highlight w:val="cyan"/>
        </w:rPr>
        <w:t>It</w:t>
      </w:r>
      <w:r w:rsidRPr="00100971">
        <w:rPr>
          <w:sz w:val="16"/>
        </w:rPr>
        <w:t xml:space="preserve"> is to say that the use of Geronimo's name </w:t>
      </w:r>
      <w:r w:rsidRPr="005928B4">
        <w:rPr>
          <w:rStyle w:val="StyleUnderline"/>
          <w:highlight w:val="cyan"/>
        </w:rPr>
        <w:t>is not simply the sign of an absence of respect</w:t>
      </w:r>
      <w:r w:rsidRPr="00100971">
        <w:rPr>
          <w:rStyle w:val="StyleUnderline"/>
        </w:rPr>
        <w:t xml:space="preserve"> or sensitivity for Indigenous people, but is more evidence of the </w:t>
      </w:r>
      <w:r w:rsidRPr="005928B4">
        <w:rPr>
          <w:rStyle w:val="Emphasis"/>
          <w:highlight w:val="cyan"/>
        </w:rPr>
        <w:t>active presence of settler colonial assemblage</w:t>
      </w:r>
      <w:r w:rsidRPr="00100971">
        <w:rPr>
          <w:rStyle w:val="StyleUnderline"/>
        </w:rPr>
        <w:t xml:space="preserve"> in the specific form of US liberal colonialism</w:t>
      </w:r>
      <w:r w:rsidRPr="00100971">
        <w:rPr>
          <w:sz w:val="16"/>
        </w:rPr>
        <w:t xml:space="preserve">. In sum, in critiquing the problem with the Codename Geronimo case, we should seek to avoid either reproducing a politics of recognition and multicultural discourse or diagnosing it as a sign of collective amnesia, as if only people knew all the ‘facts’ of history things would be fine, or better. Rather, in this regard, </w:t>
      </w:r>
      <w:r w:rsidRPr="00100971">
        <w:rPr>
          <w:rStyle w:val="StyleUnderline"/>
        </w:rPr>
        <w:t>LaDuke and Harjo get it right</w:t>
      </w:r>
      <w:r w:rsidRPr="00100971">
        <w:rPr>
          <w:sz w:val="16"/>
        </w:rPr>
        <w:t xml:space="preserve"> I believe </w:t>
      </w:r>
      <w:r w:rsidRPr="00100971">
        <w:rPr>
          <w:rStyle w:val="StyleUnderline"/>
        </w:rPr>
        <w:t xml:space="preserve">in emphasizing the </w:t>
      </w:r>
      <w:r w:rsidRPr="00100971">
        <w:rPr>
          <w:rStyle w:val="Emphasis"/>
        </w:rPr>
        <w:t>persistent posture of American warfare against Indigenous people</w:t>
      </w:r>
      <w:r w:rsidRPr="00100971">
        <w:rPr>
          <w:sz w:val="16"/>
        </w:rPr>
        <w:t xml:space="preserve">. </w:t>
      </w:r>
      <w:r w:rsidRPr="005928B4">
        <w:rPr>
          <w:rStyle w:val="StyleUnderline"/>
          <w:highlight w:val="cyan"/>
        </w:rPr>
        <w:t xml:space="preserve">While this is a </w:t>
      </w:r>
      <w:r w:rsidRPr="005928B4">
        <w:rPr>
          <w:rStyle w:val="Emphasis"/>
          <w:highlight w:val="cyan"/>
        </w:rPr>
        <w:t>difficult framework</w:t>
      </w:r>
      <w:r w:rsidRPr="005928B4">
        <w:rPr>
          <w:rStyle w:val="StyleUnderline"/>
          <w:highlight w:val="cyan"/>
        </w:rPr>
        <w:t xml:space="preserve"> to ponder, it is the </w:t>
      </w:r>
      <w:r w:rsidRPr="005928B4">
        <w:rPr>
          <w:rStyle w:val="Emphasis"/>
          <w:highlight w:val="cyan"/>
        </w:rPr>
        <w:t>appropriate one for a decolonizing, unsettling politics</w:t>
      </w:r>
      <w:r w:rsidRPr="005928B4">
        <w:rPr>
          <w:rStyle w:val="StyleUnderline"/>
          <w:highlight w:val="cyan"/>
        </w:rPr>
        <w:t xml:space="preserve"> which insists on drawing clear lines</w:t>
      </w:r>
      <w:r w:rsidRPr="00100971">
        <w:rPr>
          <w:rStyle w:val="StyleUnderline"/>
        </w:rPr>
        <w:t xml:space="preserve"> for and </w:t>
      </w:r>
      <w:r w:rsidRPr="005928B4">
        <w:rPr>
          <w:rStyle w:val="StyleUnderline"/>
          <w:highlight w:val="cyan"/>
        </w:rPr>
        <w:t>against settler colonialism</w:t>
      </w:r>
      <w:r w:rsidRPr="00100971">
        <w:rPr>
          <w:rStyle w:val="StyleUnderline"/>
        </w:rPr>
        <w:t>.</w:t>
      </w:r>
      <w:r w:rsidRPr="00100971">
        <w:rPr>
          <w:sz w:val="16"/>
        </w:rPr>
        <w:t xml:space="preserve"> In this sense, </w:t>
      </w:r>
      <w:r w:rsidRPr="00100971">
        <w:rPr>
          <w:rStyle w:val="StyleUnderline"/>
        </w:rPr>
        <w:t xml:space="preserve">the unsettling response here is to </w:t>
      </w:r>
      <w:r w:rsidRPr="005928B4">
        <w:rPr>
          <w:rStyle w:val="Emphasis"/>
          <w:highlight w:val="cyan"/>
        </w:rPr>
        <w:t>put settler memory front and center</w:t>
      </w:r>
      <w:r w:rsidRPr="005928B4">
        <w:rPr>
          <w:rStyle w:val="StyleUnderline"/>
          <w:highlight w:val="cyan"/>
        </w:rPr>
        <w:t xml:space="preserve"> as an </w:t>
      </w:r>
      <w:r w:rsidRPr="005928B4">
        <w:rPr>
          <w:rStyle w:val="Emphasis"/>
          <w:highlight w:val="cyan"/>
        </w:rPr>
        <w:t>active contemporary practice</w:t>
      </w:r>
      <w:r w:rsidRPr="005928B4">
        <w:rPr>
          <w:rStyle w:val="StyleUnderline"/>
          <w:highlight w:val="cyan"/>
        </w:rPr>
        <w:t>,</w:t>
      </w:r>
      <w:r w:rsidRPr="00100971">
        <w:rPr>
          <w:rStyle w:val="StyleUnderline"/>
        </w:rPr>
        <w:t xml:space="preserve"> in which</w:t>
      </w:r>
      <w:r w:rsidRPr="00100971">
        <w:rPr>
          <w:sz w:val="16"/>
        </w:rPr>
        <w:t xml:space="preserve"> Geronimo's name is utilized by </w:t>
      </w:r>
      <w:r w:rsidRPr="00100971">
        <w:rPr>
          <w:rStyle w:val="StyleUnderline"/>
        </w:rPr>
        <w:t>the US military</w:t>
      </w:r>
      <w:r w:rsidRPr="00100971">
        <w:rPr>
          <w:sz w:val="16"/>
        </w:rPr>
        <w:t xml:space="preserve"> because the invocation of his legend </w:t>
      </w:r>
      <w:r w:rsidRPr="00100971">
        <w:rPr>
          <w:rStyle w:val="StyleUnderline"/>
        </w:rPr>
        <w:t>habitually calls forth</w:t>
      </w:r>
      <w:r w:rsidRPr="00100971">
        <w:rPr>
          <w:sz w:val="16"/>
        </w:rPr>
        <w:t xml:space="preserve"> – possibly unlike any single figure in US-Indigenous history – </w:t>
      </w:r>
      <w:r w:rsidRPr="00100971">
        <w:rPr>
          <w:rStyle w:val="Emphasis"/>
        </w:rPr>
        <w:t>the appropriative violence of settler colonial conquest that fundamentally shapes, as an active verb in the twenty-first century, the political development and status of American liberal colonialism.</w:t>
      </w:r>
    </w:p>
    <w:p w:rsidR="00523B2D" w:rsidRDefault="002E141E" w:rsidP="00523B2D">
      <w:pPr>
        <w:pStyle w:val="Heading4"/>
        <w:rPr>
          <w:rFonts w:cs="Arial"/>
        </w:rPr>
      </w:pPr>
      <w:r w:rsidRPr="00100971">
        <w:rPr>
          <w:rFonts w:cs="Arial"/>
        </w:rPr>
        <w:t xml:space="preserve">Their </w:t>
      </w:r>
      <w:r w:rsidR="00523B2D">
        <w:rPr>
          <w:rFonts w:cs="Arial"/>
        </w:rPr>
        <w:t xml:space="preserve">insistence on the existence of a singular approach to debate is </w:t>
      </w:r>
      <w:r w:rsidRPr="00100971">
        <w:rPr>
          <w:rFonts w:cs="Arial"/>
          <w:u w:val="single"/>
        </w:rPr>
        <w:t>jurispathic, not jurisgenerative</w:t>
      </w:r>
      <w:r w:rsidR="00523B2D">
        <w:rPr>
          <w:rFonts w:cs="Arial"/>
        </w:rPr>
        <w:t>. The fear of otherness becomes a justification to exclude other models of debate and seals debate to a singular heteronormative model that refuses clash with alternative mode</w:t>
      </w:r>
      <w:r w:rsidR="0098480D">
        <w:rPr>
          <w:rFonts w:cs="Arial"/>
        </w:rPr>
        <w:t>ls</w:t>
      </w:r>
      <w:r w:rsidR="00523B2D">
        <w:rPr>
          <w:rFonts w:cs="Arial"/>
        </w:rPr>
        <w:t xml:space="preserve">. </w:t>
      </w:r>
    </w:p>
    <w:p w:rsidR="002E141E" w:rsidRPr="00100971" w:rsidRDefault="002E141E" w:rsidP="002E141E">
      <w:r w:rsidRPr="00100971">
        <w:rPr>
          <w:rStyle w:val="Style13ptBold"/>
        </w:rPr>
        <w:t>Berman 13</w:t>
      </w:r>
      <w:r w:rsidRPr="00100971">
        <w:t xml:space="preserve"> [Paul Schiff, George Washington University Law School, “Jurisgenerative Constitutionalism: Procedural Principles for Managing Global Legal Pluralism,” pp. 671-5, https://scholarship.law.gwu.edu/cgi/viewcontent.cgi?article=2228&amp;context=faculty_publications//]</w:t>
      </w:r>
    </w:p>
    <w:p w:rsidR="002E141E" w:rsidRPr="00100971" w:rsidRDefault="002E141E" w:rsidP="002E141E">
      <w:pPr>
        <w:rPr>
          <w:sz w:val="10"/>
        </w:rPr>
      </w:pPr>
      <w:r w:rsidRPr="00100971">
        <w:rPr>
          <w:sz w:val="10"/>
        </w:rPr>
        <w:t xml:space="preserve">SELF, OTHER, AND THE NEGOTIATION OF DIFFERENCE </w:t>
      </w:r>
      <w:r w:rsidRPr="005928B4">
        <w:rPr>
          <w:rStyle w:val="StyleUnderline"/>
          <w:highlight w:val="cyan"/>
        </w:rPr>
        <w:t>How do we encounter the Other?</w:t>
      </w:r>
      <w:r w:rsidRPr="00100971">
        <w:rPr>
          <w:rStyle w:val="StyleUnderline"/>
        </w:rPr>
        <w:t xml:space="preserve"> How do we experience those who are different?</w:t>
      </w:r>
      <w:r w:rsidRPr="00100971">
        <w:rPr>
          <w:sz w:val="10"/>
        </w:rPr>
        <w:t xml:space="preserve"> Can we communicate? Can we live in parallel? Can we learn from those who are different? Can we ignore them? How do we manage the inevitable jostling that may arise? These are questions that are simultaneously psychological, sociological, political, and legal and, therefore, should be addressed on many different levels at once. </w:t>
      </w:r>
      <w:r w:rsidRPr="00100971">
        <w:rPr>
          <w:rStyle w:val="StyleUnderline"/>
        </w:rPr>
        <w:t xml:space="preserve">One possible response to the encounter with the Other is to focus on those attributes that make the Other not so different at all. This is </w:t>
      </w:r>
      <w:r w:rsidRPr="005928B4">
        <w:rPr>
          <w:rStyle w:val="StyleUnderline"/>
          <w:highlight w:val="cyan"/>
        </w:rPr>
        <w:t>the</w:t>
      </w:r>
      <w:r w:rsidRPr="00100971">
        <w:rPr>
          <w:rStyle w:val="StyleUnderline"/>
        </w:rPr>
        <w:t xml:space="preserve"> “we’re all fundamentally the same” gambit we hear so often.</w:t>
      </w:r>
      <w:r w:rsidRPr="00100971">
        <w:rPr>
          <w:sz w:val="10"/>
        </w:rPr>
        <w:t xml:space="preserve"> And, interestingly, </w:t>
      </w:r>
      <w:r w:rsidRPr="00100971">
        <w:rPr>
          <w:rStyle w:val="StyleUnderline"/>
        </w:rPr>
        <w:t xml:space="preserve">this </w:t>
      </w:r>
      <w:r w:rsidRPr="005928B4">
        <w:rPr>
          <w:rStyle w:val="StyleUnderline"/>
          <w:highlight w:val="cyan"/>
        </w:rPr>
        <w:t>focus on sameness</w:t>
      </w:r>
      <w:r w:rsidRPr="00100971">
        <w:rPr>
          <w:rStyle w:val="StyleUnderline"/>
        </w:rPr>
        <w:t xml:space="preserve"> can be </w:t>
      </w:r>
      <w:r w:rsidRPr="005928B4">
        <w:rPr>
          <w:rStyle w:val="StyleUnderline"/>
          <w:highlight w:val="cyan"/>
        </w:rPr>
        <w:t xml:space="preserve">adopted both by </w:t>
      </w:r>
      <w:r w:rsidRPr="00100971">
        <w:rPr>
          <w:rStyle w:val="StyleUnderline"/>
        </w:rPr>
        <w:t xml:space="preserve">die-hard </w:t>
      </w:r>
      <w:r w:rsidRPr="005928B4">
        <w:rPr>
          <w:rStyle w:val="StyleUnderline"/>
          <w:highlight w:val="cyan"/>
        </w:rPr>
        <w:t xml:space="preserve">nationalists—who </w:t>
      </w:r>
      <w:r w:rsidRPr="00100971">
        <w:rPr>
          <w:rStyle w:val="StyleUnderline"/>
        </w:rPr>
        <w:t xml:space="preserve">use it to </w:t>
      </w:r>
      <w:r w:rsidRPr="005928B4">
        <w:rPr>
          <w:rStyle w:val="StyleUnderline"/>
          <w:highlight w:val="cyan"/>
        </w:rPr>
        <w:t>insist that “our” norms</w:t>
      </w:r>
      <w:r w:rsidRPr="00100971">
        <w:rPr>
          <w:sz w:val="10"/>
        </w:rPr>
        <w:t xml:space="preserve"> (whoever the “our” might be) </w:t>
      </w:r>
      <w:r w:rsidRPr="005928B4">
        <w:rPr>
          <w:rStyle w:val="StyleUnderline"/>
          <w:highlight w:val="cyan"/>
        </w:rPr>
        <w:t>should govern all</w:t>
      </w:r>
      <w:r w:rsidRPr="005928B4">
        <w:rPr>
          <w:sz w:val="10"/>
          <w:highlight w:val="cyan"/>
        </w:rPr>
        <w:t>—</w:t>
      </w:r>
      <w:r w:rsidRPr="005928B4">
        <w:rPr>
          <w:rStyle w:val="StyleUnderline"/>
          <w:highlight w:val="cyan"/>
        </w:rPr>
        <w:t xml:space="preserve">and </w:t>
      </w:r>
      <w:r w:rsidRPr="00100971">
        <w:rPr>
          <w:rStyle w:val="StyleUnderline"/>
        </w:rPr>
        <w:t xml:space="preserve">committed </w:t>
      </w:r>
      <w:r w:rsidRPr="005928B4">
        <w:rPr>
          <w:rStyle w:val="StyleUnderline"/>
          <w:highlight w:val="cyan"/>
        </w:rPr>
        <w:t xml:space="preserve">universalists, who </w:t>
      </w:r>
      <w:r w:rsidRPr="00100971">
        <w:rPr>
          <w:rStyle w:val="StyleUnderline"/>
        </w:rPr>
        <w:t xml:space="preserve">use it to </w:t>
      </w:r>
      <w:r w:rsidRPr="005928B4">
        <w:rPr>
          <w:rStyle w:val="StyleUnderline"/>
          <w:highlight w:val="cyan"/>
        </w:rPr>
        <w:t xml:space="preserve">push for uniform norms operating cross-culturally </w:t>
      </w:r>
      <w:r w:rsidRPr="00100971">
        <w:rPr>
          <w:rStyle w:val="StyleUnderline"/>
        </w:rPr>
        <w:t>throughout space and time.</w:t>
      </w:r>
      <w:r w:rsidRPr="00100971">
        <w:rPr>
          <w:sz w:val="10"/>
        </w:rPr>
        <w:t xml:space="preserve"> In this same vein, some sociological studies of communication start from the idea that interpersonal interaction requires both parties in an encounter to believe (or at least assume) that the other is not truly other at all.17 According to this view, most associated with Alfred Schutz,18 differences in individual perspectives are overcome only if each party tacitly believes that he or she could effectively trade places with the other. As Schutz describes it, “I am able to understand other people’s acts only if I can imagine that I myself would perform analogous acts if I were in the same situation.”19 </w:t>
      </w:r>
      <w:r w:rsidRPr="005928B4">
        <w:rPr>
          <w:rStyle w:val="StyleUnderline"/>
          <w:highlight w:val="cyan"/>
        </w:rPr>
        <w:t>Thus,</w:t>
      </w:r>
      <w:r w:rsidRPr="00100971">
        <w:rPr>
          <w:rStyle w:val="StyleUnderline"/>
        </w:rPr>
        <w:t xml:space="preserve"> differences in perspective are reduced to differences in situation. Any, possibly more fundamental, </w:t>
      </w:r>
      <w:r w:rsidRPr="005928B4">
        <w:rPr>
          <w:rStyle w:val="Emphasis"/>
          <w:highlight w:val="cyan"/>
        </w:rPr>
        <w:t>differences are suppressed to facilitate dialogue.</w:t>
      </w:r>
      <w:r w:rsidRPr="00100971">
        <w:rPr>
          <w:rStyle w:val="StyleUnderline"/>
        </w:rPr>
        <w:t xml:space="preserve"> As a result, the deliberate assuming away of the unfamiliar is seen as a constant part of everyday life. The unfamiliar is relegated to the category of “strange,” and “strangeness” necessarily is placed elsewhere, somewhere other than the interaction at hand.</w:t>
      </w:r>
      <w:r w:rsidRPr="00100971">
        <w:rPr>
          <w:sz w:val="10"/>
        </w:rPr>
        <w:t xml:space="preserve">20 Moreover, Harold Garfinkel and other ethnomethodologists have argued that individuals do not simply passively maintain these assumptions but are constantly engaged in a joint enterprise aimed at sustaining this familiarity.21 In all of these studies, </w:t>
      </w:r>
      <w:r w:rsidRPr="005928B4">
        <w:rPr>
          <w:rStyle w:val="StyleUnderline"/>
          <w:highlight w:val="cyan"/>
        </w:rPr>
        <w:t>the emphasis is on</w:t>
      </w:r>
      <w:r w:rsidRPr="00100971">
        <w:rPr>
          <w:rStyle w:val="StyleUnderline"/>
        </w:rPr>
        <w:t xml:space="preserve"> “the human production of </w:t>
      </w:r>
      <w:r w:rsidRPr="005928B4">
        <w:rPr>
          <w:rStyle w:val="StyleUnderline"/>
          <w:highlight w:val="cyan"/>
        </w:rPr>
        <w:t>common worlds of meaning as the only axis on which dialogue rotates.”</w:t>
      </w:r>
      <w:r w:rsidRPr="00100971">
        <w:rPr>
          <w:sz w:val="10"/>
        </w:rPr>
        <w:t xml:space="preserve">22 But is that all there is to the experience of the Other? Is it really imperative constantly to assume that our fellow human beings are fundamentally identical to us? After all, </w:t>
      </w:r>
      <w:r w:rsidRPr="005928B4">
        <w:rPr>
          <w:rStyle w:val="Emphasis"/>
          <w:highlight w:val="cyan"/>
        </w:rPr>
        <w:t xml:space="preserve">“[u]nder this </w:t>
      </w:r>
      <w:r w:rsidRPr="00100971">
        <w:rPr>
          <w:rStyle w:val="Emphasis"/>
        </w:rPr>
        <w:t xml:space="preserve">principle, </w:t>
      </w:r>
      <w:r w:rsidRPr="005928B4">
        <w:rPr>
          <w:rStyle w:val="Emphasis"/>
          <w:highlight w:val="cyan"/>
        </w:rPr>
        <w:t>if a dialogue is to take place, strangeness</w:t>
      </w:r>
      <w:r w:rsidRPr="00100971">
        <w:rPr>
          <w:rStyle w:val="Emphasis"/>
        </w:rPr>
        <w:t xml:space="preserve"> as a phenomenon of everyday interaction </w:t>
      </w:r>
      <w:r w:rsidRPr="005928B4">
        <w:rPr>
          <w:rStyle w:val="Emphasis"/>
          <w:highlight w:val="cyan"/>
        </w:rPr>
        <w:t xml:space="preserve">must be considered negatively, </w:t>
      </w:r>
      <w:r w:rsidRPr="00100971">
        <w:rPr>
          <w:rStyle w:val="Emphasis"/>
        </w:rPr>
        <w:t xml:space="preserve">namely, </w:t>
      </w:r>
      <w:r w:rsidRPr="005928B4">
        <w:rPr>
          <w:rStyle w:val="Emphasis"/>
          <w:highlight w:val="cyan"/>
        </w:rPr>
        <w:t xml:space="preserve">as </w:t>
      </w:r>
      <w:r w:rsidRPr="00100971">
        <w:rPr>
          <w:rStyle w:val="Emphasis"/>
        </w:rPr>
        <w:t xml:space="preserve">that </w:t>
      </w:r>
      <w:r w:rsidRPr="005928B4">
        <w:rPr>
          <w:rStyle w:val="Emphasis"/>
          <w:highlight w:val="cyan"/>
        </w:rPr>
        <w:t xml:space="preserve">part of an encounter that must be </w:t>
      </w:r>
      <w:r w:rsidRPr="00100971">
        <w:rPr>
          <w:rStyle w:val="Emphasis"/>
        </w:rPr>
        <w:t xml:space="preserve">constantly </w:t>
      </w:r>
      <w:r w:rsidRPr="005928B4">
        <w:rPr>
          <w:rStyle w:val="Emphasis"/>
          <w:highlight w:val="cyan"/>
        </w:rPr>
        <w:t>‘assumed away’ by the participants.”</w:t>
      </w:r>
      <w:r w:rsidRPr="00100971">
        <w:rPr>
          <w:sz w:val="10"/>
        </w:rPr>
        <w:t xml:space="preserve">23 Thus, we are left with a world in which people are classified either as familiar or as strangers. </w:t>
      </w:r>
      <w:r w:rsidRPr="00100971">
        <w:rPr>
          <w:rStyle w:val="StyleUnderline"/>
        </w:rPr>
        <w:t xml:space="preserve">Even more problematic, these studies suggest that </w:t>
      </w:r>
      <w:r w:rsidRPr="005928B4">
        <w:rPr>
          <w:rStyle w:val="StyleUnderline"/>
          <w:highlight w:val="cyan"/>
        </w:rPr>
        <w:t xml:space="preserve">it will be </w:t>
      </w:r>
      <w:r w:rsidRPr="00100971">
        <w:rPr>
          <w:rStyle w:val="StyleUnderline"/>
        </w:rPr>
        <w:t xml:space="preserve">simply </w:t>
      </w:r>
      <w:r w:rsidRPr="005928B4">
        <w:rPr>
          <w:rStyle w:val="StyleUnderline"/>
          <w:highlight w:val="cyan"/>
        </w:rPr>
        <w:t>impossible to bridge the communication gap with those deemed strangers.</w:t>
      </w:r>
      <w:r w:rsidRPr="00100971">
        <w:rPr>
          <w:sz w:val="10"/>
        </w:rPr>
        <w:t xml:space="preserve"> Yet, as Georg Simmel noted long ago, the stranger is never truly distant,24 so there will need to be some way of bridging gaps short of assuming away strangeness altogether. On the other hand, </w:t>
      </w:r>
      <w:r w:rsidRPr="00100971">
        <w:rPr>
          <w:rStyle w:val="StyleUnderline"/>
        </w:rPr>
        <w:t xml:space="preserve">we might respond to such encounters with the Other </w:t>
      </w:r>
      <w:r w:rsidRPr="005928B4">
        <w:rPr>
          <w:rStyle w:val="StyleUnderline"/>
          <w:highlight w:val="cyan"/>
        </w:rPr>
        <w:t xml:space="preserve">by retreating to </w:t>
      </w:r>
      <w:r w:rsidRPr="005928B4">
        <w:rPr>
          <w:rStyle w:val="Emphasis"/>
          <w:highlight w:val="cyan"/>
        </w:rPr>
        <w:t>a gated community</w:t>
      </w:r>
      <w:r w:rsidRPr="005928B4">
        <w:rPr>
          <w:rStyle w:val="StyleUnderline"/>
          <w:highlight w:val="cyan"/>
        </w:rPr>
        <w:t xml:space="preserve"> and </w:t>
      </w:r>
      <w:r w:rsidRPr="00100971">
        <w:rPr>
          <w:rStyle w:val="StyleUnderline"/>
        </w:rPr>
        <w:t xml:space="preserve">trying to </w:t>
      </w:r>
      <w:r w:rsidRPr="00100971">
        <w:rPr>
          <w:rStyle w:val="Emphasis"/>
        </w:rPr>
        <w:t xml:space="preserve">lead </w:t>
      </w:r>
      <w:r w:rsidRPr="005928B4">
        <w:rPr>
          <w:rStyle w:val="Emphasis"/>
          <w:highlight w:val="cyan"/>
        </w:rPr>
        <w:t>a hermetically-sealed existence</w:t>
      </w:r>
      <w:r w:rsidRPr="00100971">
        <w:rPr>
          <w:rStyle w:val="StyleUnderline"/>
        </w:rPr>
        <w:t xml:space="preserve">. Here, </w:t>
      </w:r>
      <w:r w:rsidRPr="005928B4">
        <w:rPr>
          <w:rStyle w:val="StyleUnderline"/>
          <w:highlight w:val="cyan"/>
        </w:rPr>
        <w:t>the Other remains fully Other</w:t>
      </w:r>
      <w:r w:rsidRPr="00100971">
        <w:rPr>
          <w:rStyle w:val="StyleUnderline"/>
        </w:rPr>
        <w:t xml:space="preserve">, and no communication is possible. </w:t>
      </w:r>
      <w:r w:rsidRPr="00100971">
        <w:rPr>
          <w:sz w:val="10"/>
        </w:rPr>
        <w:t xml:space="preserve">Both of </w:t>
      </w:r>
      <w:r w:rsidRPr="005928B4">
        <w:rPr>
          <w:rStyle w:val="Emphasis"/>
          <w:highlight w:val="cyan"/>
        </w:rPr>
        <w:t xml:space="preserve">these responses, </w:t>
      </w:r>
      <w:r w:rsidRPr="00100971">
        <w:rPr>
          <w:rStyle w:val="Emphasis"/>
        </w:rPr>
        <w:t xml:space="preserve">when translated to law, </w:t>
      </w:r>
      <w:r w:rsidRPr="005928B4">
        <w:rPr>
          <w:rStyle w:val="Emphasis"/>
          <w:highlight w:val="cyan"/>
        </w:rPr>
        <w:t xml:space="preserve">are fundamentally jurispathic. They kill off competing interpretations by </w:t>
      </w:r>
      <w:r w:rsidRPr="00100971">
        <w:rPr>
          <w:rStyle w:val="Emphasis"/>
        </w:rPr>
        <w:t xml:space="preserve">authoritatively </w:t>
      </w:r>
      <w:r w:rsidRPr="005928B4">
        <w:rPr>
          <w:rStyle w:val="Emphasis"/>
          <w:highlight w:val="cyan"/>
        </w:rPr>
        <w:t>saying that this is the law and that is not.</w:t>
      </w:r>
      <w:r w:rsidRPr="00100971">
        <w:rPr>
          <w:sz w:val="10"/>
        </w:rPr>
        <w:t xml:space="preserve"> So, either a single nation-state’s norms govern or one universal law governs. </w:t>
      </w:r>
      <w:r w:rsidRPr="00100971">
        <w:rPr>
          <w:rStyle w:val="StyleUnderline"/>
        </w:rPr>
        <w:t xml:space="preserve">Such </w:t>
      </w:r>
      <w:r w:rsidRPr="005928B4">
        <w:rPr>
          <w:rStyle w:val="StyleUnderline"/>
          <w:highlight w:val="cyan"/>
        </w:rPr>
        <w:t>jurispathic legal assertions</w:t>
      </w:r>
      <w:r w:rsidRPr="00100971">
        <w:rPr>
          <w:rStyle w:val="StyleUnderline"/>
        </w:rPr>
        <w:t xml:space="preserve"> </w:t>
      </w:r>
      <w:r w:rsidRPr="00100971">
        <w:rPr>
          <w:sz w:val="10"/>
        </w:rPr>
        <w:t xml:space="preserve">may sometimes be effective, necessary, or desirable, but they </w:t>
      </w:r>
      <w:r w:rsidRPr="005928B4">
        <w:rPr>
          <w:rStyle w:val="StyleUnderline"/>
          <w:highlight w:val="cyan"/>
        </w:rPr>
        <w:t>are not the only ways to structure legal relations among multiple communities. Indeed, they</w:t>
      </w:r>
      <w:r w:rsidRPr="00100971">
        <w:rPr>
          <w:rStyle w:val="StyleUnderline"/>
        </w:rPr>
        <w:t xml:space="preserve"> both </w:t>
      </w:r>
      <w:r w:rsidRPr="005928B4">
        <w:rPr>
          <w:rStyle w:val="StyleUnderline"/>
          <w:highlight w:val="cyan"/>
        </w:rPr>
        <w:t>represent a fundamental retreat from hybridity.</w:t>
      </w:r>
      <w:r w:rsidRPr="00100971">
        <w:rPr>
          <w:sz w:val="10"/>
        </w:rPr>
        <w:t xml:space="preserve"> Yet, hybridity is difficult to escape in a world of overlapping jurisdictions and normative diversity, where— as the pluralists would say—multiple conflicting legal systems occupy the same social field. The question therefore often becomes: are there other approaches to managing pluralism? Can we come up with a more pluralist constitutional order? What are the constitutional principles we might apply? Unlike the universalist approach, </w:t>
      </w:r>
      <w:r w:rsidRPr="005928B4">
        <w:rPr>
          <w:rStyle w:val="StyleUnderline"/>
          <w:highlight w:val="cyan"/>
        </w:rPr>
        <w:t>a pluralist vision does not require people to be</w:t>
      </w:r>
      <w:r w:rsidRPr="00100971">
        <w:rPr>
          <w:rStyle w:val="StyleUnderline"/>
        </w:rPr>
        <w:t xml:space="preserve"> conceptualized as fundamentally </w:t>
      </w:r>
      <w:r w:rsidRPr="005928B4">
        <w:rPr>
          <w:rStyle w:val="StyleUnderline"/>
          <w:highlight w:val="cyan"/>
        </w:rPr>
        <w:t>identical</w:t>
      </w:r>
      <w:r w:rsidRPr="00100971">
        <w:rPr>
          <w:sz w:val="10"/>
        </w:rPr>
        <w:t xml:space="preserve"> in order to be brought within the same normative system. Nor does a pluralist vision render outsiders irrelevant, </w:t>
      </w:r>
      <w:r w:rsidRPr="005928B4">
        <w:rPr>
          <w:rStyle w:val="StyleUnderline"/>
          <w:highlight w:val="cyan"/>
        </w:rPr>
        <w:t>as sovereignist territorialism does.</w:t>
      </w:r>
      <w:r w:rsidRPr="00100971">
        <w:rPr>
          <w:rStyle w:val="StyleUnderline"/>
        </w:rPr>
        <w:t xml:space="preserve"> Instead,</w:t>
      </w:r>
      <w:r w:rsidRPr="00100971">
        <w:rPr>
          <w:sz w:val="10"/>
        </w:rPr>
        <w:t xml:space="preserve"> pluralism attempts to navigate a different path altogether. </w:t>
      </w:r>
      <w:r w:rsidRPr="00100971">
        <w:rPr>
          <w:rStyle w:val="StyleUnderline"/>
        </w:rPr>
        <w:t>A pluralist constitutional frame asks whether we can seek solutions without assuming commonality or</w:t>
      </w:r>
      <w:r w:rsidRPr="00100971">
        <w:rPr>
          <w:sz w:val="10"/>
        </w:rPr>
        <w:t xml:space="preserve"> seek harmonization </w:t>
      </w:r>
      <w:r w:rsidRPr="00100971">
        <w:rPr>
          <w:rStyle w:val="StyleUnderline"/>
        </w:rPr>
        <w:t>while preserving the insistence on difference that contextualists rightly emphasize.</w:t>
      </w:r>
      <w:r w:rsidRPr="00100971">
        <w:rPr>
          <w:sz w:val="10"/>
        </w:rPr>
        <w:t xml:space="preserve"> In short, pluralism questions whether we are doomed either to require commonality or to essentialize difference. Are those truly the only possible approaches? Think again of how we encounter a stranger. Do we necessarily see that stranger as fundamentally the same as we are or fundamentally different? Might not we see (and celebrate) important differences while seeking ways to bridge those gaps so that we might communicate with each other and live peaceably side by side? </w:t>
      </w:r>
      <w:r w:rsidRPr="00100971">
        <w:rPr>
          <w:rStyle w:val="StyleUnderline"/>
        </w:rPr>
        <w:t>Perhaps we might draw from Hannah Arendt, who offers a different way of conceptualizing the encounter with the stranger. Instead of assuming commonality, she seeks</w:t>
      </w:r>
      <w:r w:rsidRPr="00100971">
        <w:rPr>
          <w:sz w:val="10"/>
        </w:rPr>
        <w:t xml:space="preserve">, in Understanding and Politics, </w:t>
      </w:r>
      <w:r w:rsidRPr="00100971">
        <w:rPr>
          <w:rStyle w:val="StyleUnderline"/>
        </w:rPr>
        <w:t>the quality that “makes it bearable for us to live with other people, strangers forever, in the same world, and makes it possible for them to bear with us.</w:t>
      </w:r>
      <w:r w:rsidRPr="00100971">
        <w:rPr>
          <w:sz w:val="10"/>
        </w:rPr>
        <w:t xml:space="preserve">”25 Note that for Arendt, the task is how to “bear with” strangers, even while recognizing that they will forever be strange.26 </w:t>
      </w:r>
      <w:r w:rsidRPr="00100971">
        <w:rPr>
          <w:rStyle w:val="StyleUnderline"/>
        </w:rPr>
        <w:t>Arendt’s strategy for bearing with strangers is more than just mutual indifference and more than just toleration as well.</w:t>
      </w:r>
      <w:r w:rsidRPr="00100971">
        <w:rPr>
          <w:sz w:val="10"/>
        </w:rPr>
        <w:t xml:space="preserve"> It “involves a mental capacity appropriate for an active relation to that which is distant,”27 which Arendt locates in King Solomon’s gift of the “understanding heart.”28 Understanding, according to Arendt, “is the specifically human way of being alive; for every single person needs to be reconciled to a world into which he was born a stranger and in which, to the extent of his distinct uniqueness, he always remains a stranger.”29 What does “understanding” entail for Arendt? This is a bit difficult to pin down, but she makes clear that understanding is not gained through direct experience of the Other, and it is not just knowledge of the other.30 Instead, understanding starts from the individual situated apart from others. Thus, instead of “feeling your pain,” understanding involves determining what aspects of the pain people feel have to do with politics and what politics can do to resolve our common dilemmas. Moreover, “[u]nderstanding can be challenged and is compelled to respond to an alternative argument or interpretation.”31 In short, understanding in Arendt’s formulation looks a lot less like empathy and a lot more like judging.32 While assuming sameness leads to a universalist harmonization approach, Arendt’s more distanced conception of the encounter with the stranger is akin to the pluralist vision I am pursuing as an alternative. Likewise, consider Iris Marion Young’s idea of “unassimilated otherness,” which she posits as the relation among people in the ideal “unoppressive city.”33 Young envisions ideal city life as the “‘being-together’ of strangers.”34 These strangers may remain strangers and continue to “experience each other as other.”35 Indeed, they do not necessarily seek an overall group identification and loyalty. Yet, </w:t>
      </w:r>
      <w:r w:rsidRPr="00100971">
        <w:rPr>
          <w:rStyle w:val="Emphasis"/>
        </w:rPr>
        <w:t>they are open to “unassimilated otherness.”</w:t>
      </w:r>
      <w:r w:rsidRPr="00100971">
        <w:rPr>
          <w:sz w:val="10"/>
        </w:rPr>
        <w:t xml:space="preserve">36 </w:t>
      </w:r>
      <w:r w:rsidRPr="00100971">
        <w:rPr>
          <w:rStyle w:val="StyleUnderline"/>
        </w:rPr>
        <w:t xml:space="preserve">They belong to various distinct groups or cultures and are constantly interacting with other groups. But, they do so </w:t>
      </w:r>
      <w:r w:rsidRPr="005928B4">
        <w:rPr>
          <w:rStyle w:val="StyleUnderline"/>
          <w:highlight w:val="cyan"/>
        </w:rPr>
        <w:t>without seeking either to assimilate or to reject those others.</w:t>
      </w:r>
      <w:r w:rsidRPr="00100971">
        <w:rPr>
          <w:rStyle w:val="StyleUnderline"/>
        </w:rPr>
        <w:t xml:space="preserve"> Such </w:t>
      </w:r>
      <w:r w:rsidRPr="005928B4">
        <w:rPr>
          <w:rStyle w:val="StyleUnderline"/>
          <w:highlight w:val="cyan"/>
        </w:rPr>
        <w:t>interactions</w:t>
      </w:r>
      <w:r w:rsidRPr="00100971">
        <w:rPr>
          <w:rStyle w:val="StyleUnderline"/>
        </w:rPr>
        <w:t xml:space="preserve"> </w:t>
      </w:r>
      <w:r w:rsidRPr="005928B4">
        <w:rPr>
          <w:rStyle w:val="StyleUnderline"/>
          <w:highlight w:val="cyan"/>
        </w:rPr>
        <w:t>instantiate an alternative kind of community</w:t>
      </w:r>
      <w:r w:rsidRPr="00100971">
        <w:rPr>
          <w:rStyle w:val="StyleUnderline"/>
        </w:rPr>
        <w:t>,</w:t>
      </w:r>
      <w:r w:rsidRPr="00100971">
        <w:rPr>
          <w:sz w:val="10"/>
        </w:rPr>
        <w:t xml:space="preserve">37 </w:t>
      </w:r>
      <w:r w:rsidRPr="00100971">
        <w:rPr>
          <w:rStyle w:val="StyleUnderline"/>
        </w:rPr>
        <w:t>one that is never a hegemonic imposition of sameness but that nevertheless prevents different groups from ever being completely outside one another.</w:t>
      </w:r>
      <w:r w:rsidRPr="00100971">
        <w:rPr>
          <w:sz w:val="10"/>
        </w:rPr>
        <w:t xml:space="preserve">38 In a city’s public spaces, Young argues, we see glimpses of this ideal: “The city consists in a great diversity of people and groups, with a multitude of subcultures and differentiated activities and functions, whose lives and movements mingle and overlap in public spaces.”39 In this vision, there can be community without sameness, shifting affiliations without ostracism. </w:t>
      </w:r>
    </w:p>
    <w:p w:rsidR="002E141E" w:rsidRPr="00AE6789" w:rsidRDefault="002E141E" w:rsidP="002E141E"/>
    <w:p w:rsidR="002E141E" w:rsidRDefault="002E141E" w:rsidP="002E141E">
      <w:pPr>
        <w:pStyle w:val="Heading3"/>
      </w:pPr>
      <w:r>
        <w:t xml:space="preserve">Fiat </w:t>
      </w:r>
    </w:p>
    <w:p w:rsidR="002E141E" w:rsidRPr="00100971" w:rsidRDefault="002E141E" w:rsidP="002E141E">
      <w:pPr>
        <w:pStyle w:val="Heading4"/>
        <w:rPr>
          <w:rFonts w:cs="Arial"/>
        </w:rPr>
      </w:pPr>
      <w:r w:rsidRPr="00100971">
        <w:rPr>
          <w:rFonts w:cs="Arial"/>
        </w:rPr>
        <w:t>The 1AC’s politics cannot be disimbricated from its affirmation of white futuri</w:t>
      </w:r>
      <w:r w:rsidR="0059620C">
        <w:rPr>
          <w:rFonts w:cs="Arial"/>
        </w:rPr>
        <w:t>ty as a necessary pre condition for</w:t>
      </w:r>
      <w:r w:rsidRPr="00100971">
        <w:rPr>
          <w:rFonts w:cs="Arial"/>
        </w:rPr>
        <w:t xml:space="preserve"> preserving the human. The future is not a neutral space for policy experimentation, </w:t>
      </w:r>
      <w:r w:rsidR="0059620C">
        <w:rPr>
          <w:rFonts w:cs="Arial"/>
        </w:rPr>
        <w:t>but</w:t>
      </w:r>
      <w:r w:rsidRPr="00100971">
        <w:rPr>
          <w:rFonts w:cs="Arial"/>
        </w:rPr>
        <w:t xml:space="preserve"> an investment in racialized</w:t>
      </w:r>
      <w:r w:rsidR="0059620C">
        <w:rPr>
          <w:rFonts w:cs="Arial"/>
        </w:rPr>
        <w:t xml:space="preserve"> speculation that </w:t>
      </w:r>
      <w:r w:rsidRPr="00100971">
        <w:rPr>
          <w:rFonts w:cs="Arial"/>
        </w:rPr>
        <w:t xml:space="preserve">ontologizes the right of self-preservation </w:t>
      </w:r>
      <w:r w:rsidR="0059620C">
        <w:rPr>
          <w:rFonts w:cs="Arial"/>
        </w:rPr>
        <w:t xml:space="preserve">and expands </w:t>
      </w:r>
      <w:r w:rsidRPr="00100971">
        <w:rPr>
          <w:rFonts w:cs="Arial"/>
        </w:rPr>
        <w:t xml:space="preserve">liberal governance. </w:t>
      </w:r>
    </w:p>
    <w:p w:rsidR="002E141E" w:rsidRPr="00100971" w:rsidRDefault="002E141E" w:rsidP="002E141E">
      <w:r w:rsidRPr="00100971">
        <w:rPr>
          <w:rStyle w:val="Style13ptBold"/>
        </w:rPr>
        <w:t xml:space="preserve">Baldwin 12 </w:t>
      </w:r>
      <w:r w:rsidRPr="00100971">
        <w:t>– prof of geography @ Durham University (Andrew, Whiteness and futurity: towards a research agenda, Progress in Human Geography April 2012 vol. 36 no. 2 172-187)</w:t>
      </w:r>
    </w:p>
    <w:p w:rsidR="002E141E" w:rsidRPr="00100971" w:rsidRDefault="002E141E" w:rsidP="002E141E">
      <w:pPr>
        <w:rPr>
          <w:sz w:val="16"/>
        </w:rPr>
      </w:pPr>
      <w:r w:rsidRPr="00100971">
        <w:rPr>
          <w:sz w:val="16"/>
        </w:rPr>
        <w:t xml:space="preserve">This paper argues that research on whiteness and geography is oriented almost exclusively around some notion of the past. While this is perhaps to be expected given that whiteness studies builds off two past-oriented bodies of scholarship – US labour studies (Roediger, 1991) and postcolonial theory (Said, 1994) – the argument is that privileging the past when researching geographies of whiteness risks overlooking the ways in which </w:t>
      </w:r>
      <w:r w:rsidRPr="00100971">
        <w:rPr>
          <w:rStyle w:val="StyleUnderline"/>
        </w:rPr>
        <w:t>whiteness and</w:t>
      </w:r>
      <w:r w:rsidRPr="00100971">
        <w:rPr>
          <w:sz w:val="16"/>
        </w:rPr>
        <w:t xml:space="preserve"> hence various forms of </w:t>
      </w:r>
      <w:r w:rsidRPr="005928B4">
        <w:rPr>
          <w:rStyle w:val="StyleUnderline"/>
          <w:highlight w:val="cyan"/>
        </w:rPr>
        <w:t>racism</w:t>
      </w:r>
      <w:r w:rsidRPr="00100971">
        <w:rPr>
          <w:rStyle w:val="StyleUnderline"/>
        </w:rPr>
        <w:t xml:space="preserve"> are </w:t>
      </w:r>
      <w:r w:rsidRPr="005928B4">
        <w:rPr>
          <w:rStyle w:val="StyleUnderline"/>
          <w:highlight w:val="cyan"/>
        </w:rPr>
        <w:t>configured in relation to</w:t>
      </w:r>
      <w:r w:rsidRPr="00100971">
        <w:rPr>
          <w:sz w:val="16"/>
        </w:rPr>
        <w:t xml:space="preserve"> a different temporal horizon: </w:t>
      </w:r>
      <w:r w:rsidRPr="005928B4">
        <w:rPr>
          <w:rStyle w:val="StyleUnderline"/>
          <w:highlight w:val="cyan"/>
        </w:rPr>
        <w:t>the future</w:t>
      </w:r>
      <w:r w:rsidRPr="00100971">
        <w:rPr>
          <w:sz w:val="16"/>
        </w:rPr>
        <w:t xml:space="preserve">. In pressing this claim, the argument is not to suggest that history is irrelevant for understanding the politics of whiteness. Analysing the past remains indispensable for understanding the numerous forms whiteness can take. Instead, the argument is that </w:t>
      </w:r>
      <w:r w:rsidRPr="00100971">
        <w:rPr>
          <w:rStyle w:val="StyleUnderline"/>
        </w:rPr>
        <w:t xml:space="preserve">analysing discourses of ‘the future’ can reveal important insights about </w:t>
      </w:r>
      <w:r w:rsidRPr="00100971">
        <w:rPr>
          <w:sz w:val="16"/>
        </w:rPr>
        <w:t xml:space="preserve">the ways in which </w:t>
      </w:r>
      <w:r w:rsidRPr="00100971">
        <w:rPr>
          <w:rStyle w:val="StyleUnderline"/>
        </w:rPr>
        <w:t>white geographies</w:t>
      </w:r>
      <w:r w:rsidRPr="00100971">
        <w:rPr>
          <w:sz w:val="16"/>
        </w:rPr>
        <w:t xml:space="preserve"> are configured that might otherwise be foreclosed if the past is privileged as the exclusive time-space through which such geographies are produced and maintained. As such, </w:t>
      </w:r>
      <w:r w:rsidRPr="00100971">
        <w:rPr>
          <w:rStyle w:val="StyleUnderline"/>
        </w:rPr>
        <w:t xml:space="preserve">any politics seeking to </w:t>
      </w:r>
      <w:r w:rsidRPr="005928B4">
        <w:rPr>
          <w:rStyle w:val="StyleUnderline"/>
          <w:highlight w:val="cyan"/>
        </w:rPr>
        <w:t>challenge whitenesses</w:t>
      </w:r>
      <w:r w:rsidRPr="00100971">
        <w:rPr>
          <w:rStyle w:val="StyleUnderline"/>
        </w:rPr>
        <w:t xml:space="preserve"> and</w:t>
      </w:r>
      <w:r w:rsidRPr="00100971">
        <w:rPr>
          <w:sz w:val="16"/>
        </w:rPr>
        <w:t xml:space="preserve"> their hold on </w:t>
      </w:r>
      <w:r w:rsidRPr="00100971">
        <w:rPr>
          <w:rStyle w:val="StyleUnderline"/>
        </w:rPr>
        <w:t xml:space="preserve">racist social imaginaries may benefit by </w:t>
      </w:r>
      <w:r w:rsidRPr="005928B4">
        <w:rPr>
          <w:rStyle w:val="StyleUnderline"/>
          <w:highlight w:val="cyan"/>
        </w:rPr>
        <w:t xml:space="preserve">analysing </w:t>
      </w:r>
      <w:r w:rsidRPr="005928B4">
        <w:rPr>
          <w:rStyle w:val="Emphasis"/>
          <w:highlight w:val="cyan"/>
        </w:rPr>
        <w:t>how the future is invoked in articulations of white identity</w:t>
      </w:r>
      <w:r w:rsidRPr="00100971">
        <w:rPr>
          <w:sz w:val="16"/>
        </w:rPr>
        <w:t xml:space="preserve"> and how such future-oriented articulations shape geographies of all kinds.</w:t>
      </w:r>
      <w:r w:rsidR="00AE702A" w:rsidRPr="00AE702A">
        <w:rPr>
          <w:sz w:val="12"/>
        </w:rPr>
        <w:t>¶</w:t>
      </w:r>
      <w:r w:rsidRPr="00100971">
        <w:rPr>
          <w:sz w:val="16"/>
        </w:rPr>
        <w:t xml:space="preserve"> Why the future? By future I refer to an imagined time that is yet-to-come. The future can be understood to follow sequentially from a past-present trajectory, or it can be understood as a form of absent presence. </w:t>
      </w:r>
      <w:r w:rsidRPr="00100971">
        <w:rPr>
          <w:rStyle w:val="StyleUnderline"/>
        </w:rPr>
        <w:t xml:space="preserve">From </w:t>
      </w:r>
      <w:r w:rsidRPr="005928B4">
        <w:rPr>
          <w:rStyle w:val="StyleUnderline"/>
          <w:highlight w:val="cyan"/>
        </w:rPr>
        <w:t xml:space="preserve">tropes of </w:t>
      </w:r>
      <w:r w:rsidRPr="00100971">
        <w:rPr>
          <w:rStyle w:val="StyleUnderline"/>
        </w:rPr>
        <w:t>uncertainty</w:t>
      </w:r>
      <w:r w:rsidRPr="00100971">
        <w:rPr>
          <w:sz w:val="16"/>
        </w:rPr>
        <w:t xml:space="preserve">, Utopia, </w:t>
      </w:r>
      <w:r w:rsidRPr="005928B4">
        <w:rPr>
          <w:rStyle w:val="Emphasis"/>
          <w:highlight w:val="cyan"/>
        </w:rPr>
        <w:t xml:space="preserve">apocalypse, </w:t>
      </w:r>
      <w:r w:rsidRPr="00100971">
        <w:rPr>
          <w:rStyle w:val="Emphasis"/>
        </w:rPr>
        <w:t>prophesy, hope, fear</w:t>
      </w:r>
      <w:r w:rsidRPr="00100971">
        <w:rPr>
          <w:rStyle w:val="StyleUnderline"/>
        </w:rPr>
        <w:t xml:space="preserve">, possibility </w:t>
      </w:r>
      <w:r w:rsidRPr="005928B4">
        <w:rPr>
          <w:rStyle w:val="StyleUnderline"/>
          <w:highlight w:val="cyan"/>
        </w:rPr>
        <w:t>and</w:t>
      </w:r>
      <w:r w:rsidRPr="00100971">
        <w:rPr>
          <w:rStyle w:val="StyleUnderline"/>
        </w:rPr>
        <w:t xml:space="preserve"> potentiality, </w:t>
      </w:r>
      <w:r w:rsidRPr="005928B4">
        <w:rPr>
          <w:rStyle w:val="Emphasis"/>
          <w:highlight w:val="cyan"/>
        </w:rPr>
        <w:t>the future shape</w:t>
      </w:r>
      <w:r w:rsidRPr="00100971">
        <w:rPr>
          <w:rStyle w:val="Emphasis"/>
        </w:rPr>
        <w:t xml:space="preserve">s </w:t>
      </w:r>
      <w:r w:rsidRPr="005928B4">
        <w:rPr>
          <w:rStyle w:val="Emphasis"/>
          <w:highlight w:val="cyan"/>
        </w:rPr>
        <w:t>the present</w:t>
      </w:r>
      <w:r w:rsidRPr="00100971">
        <w:rPr>
          <w:sz w:val="16"/>
        </w:rPr>
        <w:t xml:space="preserve"> in all manner of ways. For instance, </w:t>
      </w:r>
      <w:r w:rsidRPr="00100971">
        <w:rPr>
          <w:rStyle w:val="StyleUnderline"/>
        </w:rPr>
        <w:t xml:space="preserve">in politics, </w:t>
      </w:r>
      <w:r w:rsidRPr="005928B4">
        <w:rPr>
          <w:rStyle w:val="StyleUnderline"/>
          <w:highlight w:val="cyan"/>
        </w:rPr>
        <w:t>rights are</w:t>
      </w:r>
      <w:r w:rsidRPr="00100971">
        <w:rPr>
          <w:rStyle w:val="StyleUnderline"/>
        </w:rPr>
        <w:t xml:space="preserve"> often </w:t>
      </w:r>
      <w:r w:rsidRPr="005928B4">
        <w:rPr>
          <w:rStyle w:val="StyleUnderline"/>
          <w:highlight w:val="cyan"/>
        </w:rPr>
        <w:t xml:space="preserve">suspended </w:t>
      </w:r>
      <w:r w:rsidRPr="005928B4">
        <w:rPr>
          <w:rStyle w:val="Emphasis"/>
          <w:highlight w:val="cyan"/>
        </w:rPr>
        <w:t xml:space="preserve">to safeguard against </w:t>
      </w:r>
      <w:r w:rsidRPr="00100971">
        <w:rPr>
          <w:rStyle w:val="Emphasis"/>
        </w:rPr>
        <w:t>future events of</w:t>
      </w:r>
      <w:r w:rsidRPr="00100971">
        <w:rPr>
          <w:sz w:val="16"/>
        </w:rPr>
        <w:t xml:space="preserve"> insurrection, </w:t>
      </w:r>
      <w:r w:rsidRPr="005928B4">
        <w:rPr>
          <w:rStyle w:val="Emphasis"/>
          <w:highlight w:val="cyan"/>
        </w:rPr>
        <w:t xml:space="preserve">catastrophe </w:t>
      </w:r>
      <w:r w:rsidRPr="00100971">
        <w:rPr>
          <w:rStyle w:val="Emphasis"/>
        </w:rPr>
        <w:t>and terror</w:t>
      </w:r>
      <w:r w:rsidRPr="00100971">
        <w:rPr>
          <w:sz w:val="16"/>
        </w:rPr>
        <w:t>. In religion, moral judgements in the present are shaped by a concern for one’s safe passage into a future afterlife, and, in finance, the pricing of securities necessarily entails some calculation of future risk. Given the ubiquity of the future in the present, it is perhaps no surprise that the future is an important object of inquiry in contemporary thought (see, for example, Adams and Groves, 2007; Anderson, 2010b; Jameson, 2005; Luhmann, 1993).</w:t>
      </w:r>
      <w:r w:rsidR="00AE702A" w:rsidRPr="00AE702A">
        <w:rPr>
          <w:sz w:val="12"/>
        </w:rPr>
        <w:t>¶</w:t>
      </w:r>
      <w:r w:rsidRPr="00100971">
        <w:rPr>
          <w:sz w:val="16"/>
        </w:rPr>
        <w:t xml:space="preserve"> Ben Anderson (2010a) provides a useful sketch of this research in a recent article in this journal. His point is that </w:t>
      </w:r>
      <w:r w:rsidRPr="005928B4">
        <w:rPr>
          <w:rStyle w:val="StyleUnderline"/>
          <w:highlight w:val="cyan"/>
        </w:rPr>
        <w:t>the future is rendered knowable through</w:t>
      </w:r>
      <w:r w:rsidRPr="00100971">
        <w:rPr>
          <w:rStyle w:val="StyleUnderline"/>
        </w:rPr>
        <w:t xml:space="preserve"> specific practices (i.e. </w:t>
      </w:r>
      <w:r w:rsidRPr="005928B4">
        <w:rPr>
          <w:rStyle w:val="StyleUnderline"/>
          <w:highlight w:val="cyan"/>
        </w:rPr>
        <w:t>calculation, imagination and performance)</w:t>
      </w:r>
      <w:r w:rsidRPr="00100971">
        <w:rPr>
          <w:rStyle w:val="StyleUnderline"/>
        </w:rPr>
        <w:t xml:space="preserve"> and, in turn, intervenes on the present</w:t>
      </w:r>
      <w:r w:rsidRPr="00100971">
        <w:rPr>
          <w:sz w:val="16"/>
        </w:rPr>
        <w:t xml:space="preserve"> through three anticipatory logics (i.e. pre-caution, pre-emption and preparedness). So, too, others have made the case that </w:t>
      </w:r>
      <w:r w:rsidRPr="005928B4">
        <w:rPr>
          <w:rStyle w:val="Emphasis"/>
          <w:highlight w:val="cyan"/>
        </w:rPr>
        <w:t>pre-empting the future</w:t>
      </w:r>
      <w:r w:rsidRPr="00100971">
        <w:rPr>
          <w:rStyle w:val="StyleUnderline"/>
        </w:rPr>
        <w:t xml:space="preserve"> is now a common feature of contemporary political life</w:t>
      </w:r>
      <w:r w:rsidRPr="00100971">
        <w:rPr>
          <w:sz w:val="16"/>
        </w:rPr>
        <w:t xml:space="preserve"> (Braun, 2007; Cooper, 2006). </w:t>
      </w:r>
      <w:r w:rsidRPr="005928B4">
        <w:rPr>
          <w:rStyle w:val="StyleUnderline"/>
          <w:highlight w:val="cyan"/>
        </w:rPr>
        <w:t>Futurity is</w:t>
      </w:r>
      <w:r w:rsidRPr="00100971">
        <w:rPr>
          <w:sz w:val="16"/>
        </w:rPr>
        <w:t xml:space="preserve"> also </w:t>
      </w:r>
      <w:r w:rsidRPr="00100971">
        <w:rPr>
          <w:rStyle w:val="StyleUnderline"/>
        </w:rPr>
        <w:t xml:space="preserve">an </w:t>
      </w:r>
      <w:r w:rsidRPr="005928B4">
        <w:rPr>
          <w:rStyle w:val="StyleUnderline"/>
          <w:highlight w:val="cyan"/>
        </w:rPr>
        <w:t xml:space="preserve">important </w:t>
      </w:r>
      <w:r w:rsidRPr="00100971">
        <w:rPr>
          <w:rStyle w:val="StyleUnderline"/>
        </w:rPr>
        <w:t xml:space="preserve">feature of </w:t>
      </w:r>
      <w:r w:rsidRPr="00100971">
        <w:rPr>
          <w:rStyle w:val="Emphasis"/>
        </w:rPr>
        <w:t xml:space="preserve">the </w:t>
      </w:r>
      <w:r w:rsidRPr="005928B4">
        <w:rPr>
          <w:rStyle w:val="Emphasis"/>
          <w:highlight w:val="cyan"/>
        </w:rPr>
        <w:t xml:space="preserve">affective dimensions </w:t>
      </w:r>
      <w:r w:rsidRPr="00100971">
        <w:rPr>
          <w:rStyle w:val="Emphasis"/>
        </w:rPr>
        <w:t>of daily life.</w:t>
      </w:r>
      <w:r w:rsidRPr="00100971">
        <w:rPr>
          <w:rStyle w:val="StyleUnderline"/>
        </w:rPr>
        <w:t xml:space="preserve"> Take, for instance, </w:t>
      </w:r>
      <w:r w:rsidRPr="005928B4">
        <w:rPr>
          <w:rStyle w:val="StyleUnderline"/>
          <w:highlight w:val="cyan"/>
        </w:rPr>
        <w:t>fear</w:t>
      </w:r>
      <w:r w:rsidRPr="00100971">
        <w:rPr>
          <w:sz w:val="16"/>
        </w:rPr>
        <w:t xml:space="preserve"> (Pain, 2009) and hope (Anderson, 2006; Anderson and Holden, 2008). Both </w:t>
      </w:r>
      <w:r w:rsidRPr="005928B4">
        <w:rPr>
          <w:rStyle w:val="StyleUnderline"/>
          <w:highlight w:val="cyan"/>
        </w:rPr>
        <w:t>are</w:t>
      </w:r>
      <w:r w:rsidRPr="00100971">
        <w:rPr>
          <w:sz w:val="16"/>
        </w:rPr>
        <w:t xml:space="preserve"> simultaneously </w:t>
      </w:r>
      <w:r w:rsidRPr="005928B4">
        <w:rPr>
          <w:rStyle w:val="StyleUnderline"/>
          <w:highlight w:val="cyan"/>
        </w:rPr>
        <w:t xml:space="preserve">embodied experiences </w:t>
      </w:r>
      <w:r w:rsidRPr="00100971">
        <w:rPr>
          <w:rStyle w:val="StyleUnderline"/>
        </w:rPr>
        <w:t xml:space="preserve">and atmospheric qualities </w:t>
      </w:r>
      <w:r w:rsidRPr="005928B4">
        <w:rPr>
          <w:rStyle w:val="StyleUnderline"/>
          <w:highlight w:val="cyan"/>
        </w:rPr>
        <w:t>animated by imagined futures</w:t>
      </w:r>
      <w:r w:rsidRPr="00100971">
        <w:rPr>
          <w:sz w:val="16"/>
        </w:rPr>
        <w:t xml:space="preserve">: one fears the yet-to-come and the other hopes for better things to come. In both, </w:t>
      </w:r>
      <w:r w:rsidRPr="00100971">
        <w:rPr>
          <w:rStyle w:val="StyleUnderline"/>
        </w:rPr>
        <w:t>the here-and-now of the psyche</w:t>
      </w:r>
      <w:r w:rsidRPr="00100971">
        <w:rPr>
          <w:sz w:val="16"/>
        </w:rPr>
        <w:t xml:space="preserve"> or of collective mood </w:t>
      </w:r>
      <w:r w:rsidRPr="00100971">
        <w:rPr>
          <w:rStyle w:val="StyleUnderline"/>
        </w:rPr>
        <w:t>is shaped by the yet-to-come</w:t>
      </w:r>
      <w:r w:rsidRPr="00100971">
        <w:rPr>
          <w:sz w:val="16"/>
        </w:rPr>
        <w:t xml:space="preserve">. Or, as Brian Massumi (2002) argues, </w:t>
      </w:r>
      <w:r w:rsidRPr="00100971">
        <w:rPr>
          <w:rStyle w:val="StyleUnderline"/>
        </w:rPr>
        <w:t xml:space="preserve">affect occurs precisely in </w:t>
      </w:r>
      <w:r w:rsidRPr="005928B4">
        <w:rPr>
          <w:rStyle w:val="Emphasis"/>
          <w:highlight w:val="cyan"/>
        </w:rPr>
        <w:t>the overlap between the actual and the virtual</w:t>
      </w:r>
      <w:r w:rsidRPr="00100971">
        <w:rPr>
          <w:sz w:val="16"/>
        </w:rPr>
        <w:t xml:space="preserve">, which I take to mean an overlap between that which is and a very specific form of the virtual – the yet-to-come. By virtual I refer to things that are real but not actual (Shields, 2003); in this way, </w:t>
      </w:r>
      <w:r w:rsidRPr="005928B4">
        <w:rPr>
          <w:rStyle w:val="Emphasis"/>
          <w:highlight w:val="cyan"/>
        </w:rPr>
        <w:t>the future</w:t>
      </w:r>
      <w:r w:rsidRPr="00100971">
        <w:rPr>
          <w:rStyle w:val="Emphasis"/>
        </w:rPr>
        <w:t xml:space="preserve"> is exemplary of the virtual</w:t>
      </w:r>
      <w:r w:rsidRPr="00100971">
        <w:rPr>
          <w:rStyle w:val="StyleUnderline"/>
        </w:rPr>
        <w:t>. It can be known and hence real</w:t>
      </w:r>
      <w:r w:rsidRPr="00100971">
        <w:rPr>
          <w:sz w:val="16"/>
        </w:rPr>
        <w:t xml:space="preserve">, as Anderson suggests, </w:t>
      </w:r>
      <w:r w:rsidRPr="00100971">
        <w:rPr>
          <w:rStyle w:val="StyleUnderline"/>
        </w:rPr>
        <w:t xml:space="preserve">but because it </w:t>
      </w:r>
      <w:r w:rsidRPr="005928B4">
        <w:rPr>
          <w:rStyle w:val="StyleUnderline"/>
          <w:highlight w:val="cyan"/>
        </w:rPr>
        <w:t xml:space="preserve">can never be fully actualized </w:t>
      </w:r>
      <w:r w:rsidRPr="00100971">
        <w:rPr>
          <w:rStyle w:val="StyleUnderline"/>
        </w:rPr>
        <w:t xml:space="preserve">as the future, </w:t>
      </w:r>
      <w:r w:rsidRPr="00100971">
        <w:rPr>
          <w:rStyle w:val="Emphasis"/>
        </w:rPr>
        <w:t xml:space="preserve">the future </w:t>
      </w:r>
      <w:r w:rsidRPr="005928B4">
        <w:rPr>
          <w:rStyle w:val="Emphasis"/>
          <w:highlight w:val="cyan"/>
        </w:rPr>
        <w:t>remains</w:t>
      </w:r>
      <w:r w:rsidRPr="00100971">
        <w:rPr>
          <w:rStyle w:val="Emphasis"/>
        </w:rPr>
        <w:t xml:space="preserve"> a </w:t>
      </w:r>
      <w:r w:rsidRPr="005928B4">
        <w:rPr>
          <w:rStyle w:val="Emphasis"/>
          <w:highlight w:val="cyan"/>
        </w:rPr>
        <w:t>permanent virtuality</w:t>
      </w:r>
      <w:r w:rsidRPr="00100971">
        <w:rPr>
          <w:sz w:val="16"/>
        </w:rPr>
        <w:t xml:space="preserve">. </w:t>
      </w:r>
      <w:r w:rsidRPr="00100971">
        <w:rPr>
          <w:rStyle w:val="StyleUnderline"/>
        </w:rPr>
        <w:t>Thus, analysing atmospheres of fear</w:t>
      </w:r>
      <w:r w:rsidRPr="00100971">
        <w:rPr>
          <w:sz w:val="16"/>
        </w:rPr>
        <w:t xml:space="preserve"> and hope, for instance, </w:t>
      </w:r>
      <w:r w:rsidRPr="00100971">
        <w:rPr>
          <w:rStyle w:val="StyleUnderline"/>
        </w:rPr>
        <w:t>may tell us something about the way politics takes shape through the conjugation of the actual and the virtual, or at the threshold of the future event.</w:t>
      </w:r>
      <w:r w:rsidR="00AE702A" w:rsidRPr="00AE702A">
        <w:rPr>
          <w:sz w:val="12"/>
        </w:rPr>
        <w:t>¶</w:t>
      </w:r>
      <w:r w:rsidRPr="00100971">
        <w:rPr>
          <w:sz w:val="16"/>
        </w:rPr>
        <w:t xml:space="preserve"> But the future as an object or orientation of inquiry is not limited to the affective, and nor is it confined to an actual-virtual binary. Hegel, for instance, paid considerable attention to transactions of the actual and the possible. For Hegel, the dialectic is made possible by the actual-possible relation where the dialectical movement of the actual is the possible.1 So, too, Heidegger argued that the future is indispensable to meaning. For instance, the significance that attaches to certain kinds of information would vanish were it not for the anticipated (i.e. future) consequences that lay dormant in information. Currency exchange rates would matter little, for instance, were it not for the anticipated consequences of exchange rate volatility. Although radically different, the Hegelian and Heideggerian traditions share in common the idea not simply that politics take shape through the collision of social forces that gathered pace in the past, but that political contests are shaped by the future as well.</w:t>
      </w:r>
      <w:r w:rsidR="00AE702A" w:rsidRPr="00AE702A">
        <w:rPr>
          <w:sz w:val="12"/>
        </w:rPr>
        <w:t>¶</w:t>
      </w:r>
      <w:r w:rsidRPr="00100971">
        <w:rPr>
          <w:sz w:val="16"/>
        </w:rPr>
        <w:t xml:space="preserve"> </w:t>
      </w:r>
      <w:r w:rsidRPr="00100971">
        <w:rPr>
          <w:rStyle w:val="StyleUnderline"/>
        </w:rPr>
        <w:t>This essay</w:t>
      </w:r>
      <w:r w:rsidRPr="00100971">
        <w:rPr>
          <w:sz w:val="16"/>
        </w:rPr>
        <w:t xml:space="preserve"> argues for a research agenda that </w:t>
      </w:r>
      <w:r w:rsidRPr="00100971">
        <w:rPr>
          <w:rStyle w:val="StyleUnderline"/>
        </w:rPr>
        <w:t>situates the future at the centre of analyses of white geographies.</w:t>
      </w:r>
      <w:r w:rsidRPr="00100971">
        <w:rPr>
          <w:sz w:val="16"/>
        </w:rPr>
        <w:t xml:space="preserve"> It shows how the geographic literature on whiteness is past-oriented and suggests how this literature might benefit by attending to the ways in which </w:t>
      </w:r>
      <w:r w:rsidRPr="005928B4">
        <w:rPr>
          <w:highlight w:val="cyan"/>
          <w:u w:val="single"/>
        </w:rPr>
        <w:t>white geographies are infused by notions of futurity.</w:t>
      </w:r>
      <w:r w:rsidRPr="00100971">
        <w:rPr>
          <w:u w:val="single"/>
        </w:rPr>
        <w:t xml:space="preserve"> </w:t>
      </w:r>
      <w:r w:rsidRPr="00100971">
        <w:rPr>
          <w:sz w:val="16"/>
        </w:rPr>
        <w:t>I develop this argument more fully below. For now let me offer a few preliminary thoughts about geographies of whiteness. By whiteness I refer to a racialized subject position that is remarkable for its seeming invisibility (Dwyer and Jones, 2000; Dyer, 1997). In this sense, whiteness is only partially about skin. More important, whiteness plays a foundational role in racist epistemology by serving as the norm against which others come to be viewed as different (Dwyer and Jones, 2000; Kobayashi and Peake, 2000). As such, whiteness does not name a set of stereotypes, so much as a set of ‘narrative structural positions, rhetorical tropes and habits of perception’ (Dyer, 1997: 12) that stand in for the normal. This makes defining whiteness almost impossible but then, as Richard Dyer (1997) argues, the power of whiteness lies in its capacity for almost infinite variability (see also Kobayashi, 2003; Vanderbeck, 2006). For myself, the power of racisms rest in their capacity to normalize their corresponding whitenesses (Kobayashi and Peake, 2000).</w:t>
      </w:r>
      <w:r w:rsidR="00AE702A" w:rsidRPr="00AE702A">
        <w:rPr>
          <w:sz w:val="12"/>
        </w:rPr>
        <w:t>¶</w:t>
      </w:r>
      <w:r w:rsidRPr="00100971">
        <w:rPr>
          <w:sz w:val="16"/>
        </w:rPr>
        <w:t xml:space="preserve"> What, then, are geographies of whiteness? For my purposes here, they refer to geographies – spaces, places, landscapes, natures, mobilities, bodies, etc. – that are assumed to be white or are in some way structured, though often implicitly, by some notion of whiteness (Bonnett, 1997; McCarthy and Hague, 2004; Vanderbeck, 2006). The argument put forward in this paper is that research on geographies of whiteness is almost invariably past-oriented (Bonnett, 1997, 2000; Hoelscher, 2003; Pulido, 2000). By ‘past-oriented’ I mean that whiteness, whether understood as a past or present phenomenon, tends to be explained, accounted for and examined as an expression of social relations that took shape in the past (Satzewich, 2007). In the paper, I aim to show how this work is dominated by an orientation that looks to the past as the temporal horizon through which research and learning about past or present white racial identity occurs. By and large, this work assumes that in order to challenge or reconfigure whitenesses and their corresponding racisms whiteness must be diagnosed using some form of past-oriented analysis (Bonnett, 1997). The racist past is, thus, used to explain the racist present. A brief example makes the point. In an essay that many (Baldwin, 2009a; Dwyer and Jones, 2000; Jackson, 1998; McCarthy and Hague, 2004) suggest is a main point of reference for debate about whiteness in geography, Alastair Bonnett (1997) argues that whiteness ought to be understood as a function of historical geography.2 As such, Bonnett privileges a methodological approach that reaches into the past for answers about contemporary race and racism. Elsewhere, Audrey Kobayashi and Linda Peake (2000) make a similar claim that whiteness is a historically constructed position: to understand whiteness requires understanding its multiple genealogies.</w:t>
      </w:r>
      <w:r w:rsidR="00AE702A" w:rsidRPr="00AE702A">
        <w:rPr>
          <w:sz w:val="12"/>
        </w:rPr>
        <w:t>¶</w:t>
      </w:r>
      <w:r w:rsidRPr="00100971">
        <w:rPr>
          <w:sz w:val="16"/>
        </w:rPr>
        <w:t xml:space="preserve"> I do wonder, though, whether a past-oriented approach to the study of white geographies reproduces the teleological assumption that white racism can be modernized away. Such an assumption privileges an ontology of linear causality in which the past is thought to act on the present and the present is said to be an effect of whatever came before. Consequently, efforts to understand racism are thought to proceed from, or be enhanced by, some correct historical analysis of whiteness. According to this kind of temporality, the future is the terrain upon or through which white racism will get resolved. It cleaves the future from the present and, thus, gives the future discrete ontological form. Yet, in so doing, this kind of temporality disregards the ways in which </w:t>
      </w:r>
      <w:r w:rsidRPr="00100971">
        <w:rPr>
          <w:rStyle w:val="StyleUnderline"/>
        </w:rPr>
        <w:t>the future is very often already present in the present not as a discrete ontological time-space, but as an absent or virtual presence that constitutes the very meaning of the present</w:t>
      </w:r>
      <w:r w:rsidRPr="00100971">
        <w:rPr>
          <w:sz w:val="16"/>
        </w:rPr>
        <w:t xml:space="preserve"> (Anderson, 2010a; Massumi, 2007). This is a rather significant oversight when attempting to account for geographies of whiteness because it means that such geographies are not simply a function of the past but of the future as well.</w:t>
      </w:r>
      <w:r w:rsidR="00AE702A" w:rsidRPr="00AE702A">
        <w:rPr>
          <w:sz w:val="12"/>
        </w:rPr>
        <w:t>¶</w:t>
      </w:r>
      <w:r w:rsidRPr="00100971">
        <w:rPr>
          <w:sz w:val="16"/>
        </w:rPr>
        <w:t xml:space="preserve"> So, then, what about the future? To what extent are geographies of whiteness a function not just of the past but of the future? How are white geographies maintained in relation to the future? </w:t>
      </w:r>
      <w:r w:rsidRPr="00100971">
        <w:rPr>
          <w:rStyle w:val="StyleUnderline"/>
        </w:rPr>
        <w:t>In what ways is the future already present in various forms of whiteness?</w:t>
      </w:r>
      <w:r w:rsidRPr="00100971">
        <w:rPr>
          <w:sz w:val="16"/>
        </w:rPr>
        <w:t xml:space="preserve">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whitenesses and the various racisms to which they give rise. I simply wish to acknowledge that by foregrounding the past in the present the geographic study of whiteness risks overlooking how whitenesses are made and maintained in relation to futures both distant and immanent. Here, the task for a future-oriented geographic research on whiteness might be to understand how both contemporary and past forms of whiteness relate to the future (Anderson, 2010a), or how specific geographic </w:t>
      </w:r>
      <w:r w:rsidRPr="00100971">
        <w:rPr>
          <w:rStyle w:val="StyleUnderline"/>
        </w:rPr>
        <w:t>expressions of whiteness are contingent on the future</w:t>
      </w:r>
      <w:r w:rsidRPr="00100971">
        <w:rPr>
          <w:sz w:val="16"/>
        </w:rPr>
        <w:t xml:space="preserve">. For instance, the task might be to understand how </w:t>
      </w:r>
      <w:r w:rsidRPr="005928B4">
        <w:rPr>
          <w:rStyle w:val="Emphasis"/>
          <w:highlight w:val="cyan"/>
        </w:rPr>
        <w:t>discourses of futurity shape</w:t>
      </w:r>
      <w:r w:rsidRPr="00100971">
        <w:rPr>
          <w:rStyle w:val="Emphasis"/>
        </w:rPr>
        <w:t xml:space="preserve"> various forms of </w:t>
      </w:r>
      <w:r w:rsidRPr="005928B4">
        <w:rPr>
          <w:rStyle w:val="Emphasis"/>
          <w:highlight w:val="cyan"/>
        </w:rPr>
        <w:t>white supremacy</w:t>
      </w:r>
      <w:r w:rsidRPr="005928B4">
        <w:rPr>
          <w:rStyle w:val="StyleUnderline"/>
          <w:highlight w:val="cyan"/>
        </w:rPr>
        <w:t xml:space="preserve"> from</w:t>
      </w:r>
      <w:r w:rsidRPr="00100971">
        <w:rPr>
          <w:rStyle w:val="StyleUnderline"/>
        </w:rPr>
        <w:t xml:space="preserve"> </w:t>
      </w:r>
      <w:r w:rsidRPr="00100971">
        <w:rPr>
          <w:rStyle w:val="Emphasis"/>
        </w:rPr>
        <w:t xml:space="preserve">right-wing </w:t>
      </w:r>
      <w:r w:rsidRPr="005928B4">
        <w:rPr>
          <w:rStyle w:val="Emphasis"/>
          <w:highlight w:val="cyan"/>
        </w:rPr>
        <w:t>xenophobias to</w:t>
      </w:r>
      <w:r w:rsidRPr="00100971">
        <w:rPr>
          <w:rStyle w:val="Emphasis"/>
        </w:rPr>
        <w:t xml:space="preserve"> left-</w:t>
      </w:r>
      <w:r w:rsidRPr="005928B4">
        <w:rPr>
          <w:rStyle w:val="Emphasis"/>
          <w:highlight w:val="cyan"/>
        </w:rPr>
        <w:t xml:space="preserve">nationalisms </w:t>
      </w:r>
      <w:r w:rsidRPr="00100971">
        <w:rPr>
          <w:rStyle w:val="Emphasis"/>
        </w:rPr>
        <w:t>to practices of liberal humanitarianism</w:t>
      </w:r>
      <w:r w:rsidRPr="00100971">
        <w:rPr>
          <w:sz w:val="16"/>
        </w:rPr>
        <w:t xml:space="preserve">, and how these shape, for instance, geographies of place, nature, space, mobility, bodies and so on. A worthwhile starting point for this work might be to analyse how </w:t>
      </w:r>
      <w:r w:rsidRPr="00100971">
        <w:rPr>
          <w:rStyle w:val="StyleUnderline"/>
        </w:rPr>
        <w:t xml:space="preserve">discourses of </w:t>
      </w:r>
      <w:r w:rsidRPr="005928B4">
        <w:rPr>
          <w:rStyle w:val="Emphasis"/>
          <w:highlight w:val="cyan"/>
        </w:rPr>
        <w:t>white crisis</w:t>
      </w:r>
      <w:r w:rsidRPr="00100971">
        <w:rPr>
          <w:rStyle w:val="StyleUnderline"/>
        </w:rPr>
        <w:t>, such as</w:t>
      </w:r>
      <w:r w:rsidRPr="00100971">
        <w:rPr>
          <w:sz w:val="16"/>
        </w:rPr>
        <w:t xml:space="preserve"> those found in Great Britain in the early 1900s (Bonnett, 2004) or throughout the West </w:t>
      </w:r>
      <w:r w:rsidRPr="00100971">
        <w:rPr>
          <w:rStyle w:val="StyleUnderline"/>
        </w:rPr>
        <w:t>during</w:t>
      </w:r>
      <w:r w:rsidRPr="00100971">
        <w:rPr>
          <w:sz w:val="16"/>
        </w:rPr>
        <w:t xml:space="preserve"> processes of post-Second World War </w:t>
      </w:r>
      <w:r w:rsidRPr="00100971">
        <w:rPr>
          <w:rStyle w:val="StyleUnderline"/>
        </w:rPr>
        <w:t>decolonization</w:t>
      </w:r>
      <w:r w:rsidRPr="00100971">
        <w:rPr>
          <w:sz w:val="16"/>
        </w:rPr>
        <w:t xml:space="preserve"> (Thobani, 2007), relate to and </w:t>
      </w:r>
      <w:r w:rsidRPr="00100971">
        <w:rPr>
          <w:rStyle w:val="StyleUnderline"/>
        </w:rPr>
        <w:t>are shaped by notions of futurity.</w:t>
      </w:r>
      <w:r w:rsidRPr="00100971">
        <w:rPr>
          <w:sz w:val="16"/>
        </w:rPr>
        <w:t xml:space="preserve"> They do relate to the future. The question is: how and to what effect?</w:t>
      </w:r>
      <w:r w:rsidR="00AE702A" w:rsidRPr="00AE702A">
        <w:rPr>
          <w:sz w:val="12"/>
        </w:rPr>
        <w:t>¶</w:t>
      </w:r>
      <w:r w:rsidRPr="00100971">
        <w:rPr>
          <w:sz w:val="16"/>
        </w:rPr>
        <w:t xml:space="preserve"> Acknowledging how the future is made present in white geographies is important for at least three reasons. First, as many now argue (Grusin, 2010; Massumi, 2007), </w:t>
      </w:r>
      <w:r w:rsidRPr="005928B4">
        <w:rPr>
          <w:rStyle w:val="StyleUnderline"/>
          <w:highlight w:val="cyan"/>
        </w:rPr>
        <w:t xml:space="preserve">the future is </w:t>
      </w:r>
      <w:r w:rsidRPr="00100971">
        <w:rPr>
          <w:rStyle w:val="StyleUnderline"/>
        </w:rPr>
        <w:t xml:space="preserve">an important site </w:t>
      </w:r>
      <w:r w:rsidRPr="005928B4">
        <w:rPr>
          <w:rStyle w:val="Emphasis"/>
          <w:highlight w:val="cyan"/>
        </w:rPr>
        <w:t xml:space="preserve">through which </w:t>
      </w:r>
      <w:r w:rsidRPr="00100971">
        <w:rPr>
          <w:rStyle w:val="Emphasis"/>
        </w:rPr>
        <w:t xml:space="preserve">individuals and </w:t>
      </w:r>
      <w:r w:rsidRPr="005928B4">
        <w:rPr>
          <w:rStyle w:val="Emphasis"/>
          <w:highlight w:val="cyan"/>
        </w:rPr>
        <w:t>societies are governed</w:t>
      </w:r>
      <w:r w:rsidRPr="00100971">
        <w:rPr>
          <w:sz w:val="16"/>
        </w:rPr>
        <w:t xml:space="preserve"> (Anderson, 2010a). A focus on whiteness and futurity provides scope for thinking about the way in which </w:t>
      </w:r>
      <w:r w:rsidRPr="00100971">
        <w:rPr>
          <w:rStyle w:val="StyleUnderline"/>
        </w:rPr>
        <w:t xml:space="preserve">governing through the future might </w:t>
      </w:r>
      <w:r w:rsidRPr="005928B4">
        <w:rPr>
          <w:rStyle w:val="Emphasis"/>
          <w:highlight w:val="cyan"/>
        </w:rPr>
        <w:t xml:space="preserve">inaugurate new </w:t>
      </w:r>
      <w:r w:rsidRPr="00100971">
        <w:rPr>
          <w:rStyle w:val="Emphasis"/>
        </w:rPr>
        <w:t xml:space="preserve">or reconfigure old </w:t>
      </w:r>
      <w:r w:rsidRPr="005928B4">
        <w:rPr>
          <w:rStyle w:val="Emphasis"/>
          <w:highlight w:val="cyan"/>
        </w:rPr>
        <w:t>forms of whiteness</w:t>
      </w:r>
      <w:r w:rsidRPr="005928B4">
        <w:rPr>
          <w:sz w:val="16"/>
          <w:highlight w:val="cyan"/>
        </w:rPr>
        <w:t>.</w:t>
      </w:r>
      <w:r w:rsidRPr="00100971">
        <w:rPr>
          <w:sz w:val="16"/>
        </w:rPr>
        <w:t xml:space="preserve"> Eugenic science is a useful example here. Eugenics was underwritten by an imagined future eradicated of human imperfections. Thus we might seek to understand how </w:t>
      </w:r>
      <w:r w:rsidRPr="00100971">
        <w:rPr>
          <w:rStyle w:val="StyleUnderline"/>
        </w:rPr>
        <w:t>white geographies are reproduced through new future-oriented technologies, like genetic screening and nanotechnology</w:t>
      </w:r>
      <w:r w:rsidRPr="00100971">
        <w:rPr>
          <w:sz w:val="16"/>
        </w:rPr>
        <w:t xml:space="preserve"> (Rose, 2007). Second, understanding how white geographies articulate with discourses of futurity opens up new terrains for conceptualizing and challenging racism. If white supremacy is, in part, reproduced through shared practices of futurity, what then are these practices? What kinds of futures do such practices seek to expunge or produce, and how can they be resisted? The case of genetic medicine is again illustrative. For instance, individual gene mapping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w:t>
      </w:r>
      <w:r w:rsidRPr="00100971">
        <w:rPr>
          <w:rStyle w:val="StyleUnderline"/>
        </w:rPr>
        <w:t xml:space="preserve">a focus on whiteness and futurity points to the idea that </w:t>
      </w:r>
      <w:r w:rsidRPr="005928B4">
        <w:rPr>
          <w:rStyle w:val="Emphasis"/>
          <w:highlight w:val="cyan"/>
        </w:rPr>
        <w:t>affect shapes white racial formation</w:t>
      </w:r>
      <w:r w:rsidRPr="00100971">
        <w:rPr>
          <w:sz w:val="16"/>
        </w:rPr>
        <w:t xml:space="preserve"> (Hook, 2005). For </w:t>
      </w:r>
      <w:r w:rsidRPr="00100971">
        <w:rPr>
          <w:rStyle w:val="StyleUnderline"/>
        </w:rPr>
        <w:t xml:space="preserve">the future can never exist except as a form of </w:t>
      </w:r>
      <w:r w:rsidRPr="00100971">
        <w:rPr>
          <w:rStyle w:val="Emphasis"/>
        </w:rPr>
        <w:t>virtual present</w:t>
      </w:r>
      <w:r w:rsidRPr="00100971">
        <w:rPr>
          <w:rStyle w:val="StyleUnderline"/>
        </w:rPr>
        <w:t>, and affect can be understood</w:t>
      </w:r>
      <w:r w:rsidRPr="00100971">
        <w:rPr>
          <w:sz w:val="16"/>
        </w:rPr>
        <w:t xml:space="preserve">, in part, </w:t>
      </w:r>
      <w:r w:rsidRPr="00100971">
        <w:rPr>
          <w:rStyle w:val="StyleUnderline"/>
        </w:rPr>
        <w:t>as a generalized attitude towards the presencing of particular futures</w:t>
      </w:r>
      <w:r w:rsidRPr="00100971">
        <w:rPr>
          <w:sz w:val="16"/>
        </w:rPr>
        <w:t xml:space="preserve">. (Important, however, is that affect can also be understood as a generalized attitude towards presencings of the past. Think, for example, affects of nostalgia and loss.) </w:t>
      </w:r>
      <w:r w:rsidRPr="00100971">
        <w:rPr>
          <w:rStyle w:val="StyleUnderline"/>
        </w:rPr>
        <w:t>Thus, we might ask:</w:t>
      </w:r>
      <w:r w:rsidRPr="00100971">
        <w:rPr>
          <w:sz w:val="16"/>
        </w:rPr>
        <w:t xml:space="preserve"> </w:t>
      </w:r>
      <w:r w:rsidRPr="00100971">
        <w:rPr>
          <w:rStyle w:val="Emphasis"/>
        </w:rPr>
        <w:t>what futures infuse the affective logics of whiteness?</w:t>
      </w:r>
      <w:r w:rsidRPr="00100971">
        <w:rPr>
          <w:rStyle w:val="StyleUnderline"/>
        </w:rPr>
        <w:t xml:space="preserve"> How does this future presencing occur?</w:t>
      </w:r>
      <w:r w:rsidRPr="00100971">
        <w:rPr>
          <w:sz w:val="16"/>
        </w:rPr>
        <w:t xml:space="preserve"> And how, if at all, are these futures constitutive of specific white spatio-temporalities? These reasons together provide a rationale for a research agenda concerned with understanding how the future works as a resource in the geographic expression of whitenesses.</w:t>
      </w:r>
    </w:p>
    <w:p w:rsidR="002E141E" w:rsidRPr="00100971" w:rsidRDefault="002E141E" w:rsidP="002E141E"/>
    <w:p w:rsidR="002E141E" w:rsidRPr="00003F2D" w:rsidRDefault="002E141E" w:rsidP="002E141E"/>
    <w:p w:rsidR="002E141E" w:rsidRDefault="002E141E" w:rsidP="002E141E">
      <w:pPr>
        <w:pStyle w:val="Heading3"/>
      </w:pPr>
      <w:r>
        <w:t>Heg</w:t>
      </w:r>
    </w:p>
    <w:p w:rsidR="00870C15" w:rsidRPr="001C6584" w:rsidRDefault="00870C15" w:rsidP="00870C15">
      <w:pPr>
        <w:pStyle w:val="Heading4"/>
      </w:pPr>
      <w:r w:rsidRPr="001C6584">
        <w:t xml:space="preserve">The 1AC’s study of liberal military structures embodies a methodological whiteness that assumes a universal white subject as the basis of analysis, </w:t>
      </w:r>
      <w:r>
        <w:t>occluding the very colonial structures that constitute the roots of imperialist warfare</w:t>
      </w:r>
    </w:p>
    <w:p w:rsidR="00870C15" w:rsidRPr="006A337B" w:rsidRDefault="00870C15" w:rsidP="00870C15">
      <w:pPr>
        <w:rPr>
          <w:rStyle w:val="Style13ptBold"/>
        </w:rPr>
      </w:pPr>
      <w:r w:rsidRPr="006A337B">
        <w:rPr>
          <w:b/>
          <w:bCs/>
          <w:sz w:val="26"/>
        </w:rPr>
        <w:t>Richter-Montpetit</w:t>
      </w:r>
      <w:r>
        <w:rPr>
          <w:b/>
          <w:bCs/>
          <w:sz w:val="26"/>
        </w:rPr>
        <w:t xml:space="preserve"> &amp; Howell 19 </w:t>
      </w:r>
      <w:r w:rsidRPr="00E82DE6">
        <w:t>(</w:t>
      </w:r>
      <w:r w:rsidRPr="005C4673">
        <w:t>Melanie Richter-Montpetit</w:t>
      </w:r>
      <w:r>
        <w:t xml:space="preserve">, </w:t>
      </w:r>
      <w:r w:rsidRPr="009B2860">
        <w:t>Senior Lecturer in International Security</w:t>
      </w:r>
      <w:r>
        <w:t xml:space="preserve"> at University of Sussex, Alison Howell </w:t>
      </w:r>
      <w:r w:rsidRPr="00476992">
        <w:t>Assistant Professor of Political Science at Rutgers University</w:t>
      </w:r>
      <w:r>
        <w:t>; “</w:t>
      </w:r>
      <w:r w:rsidRPr="00426CB7">
        <w:t>Racism in Foucauldian Security Studies: Biopolitics, Liberal War and the Whitewashing of colonial and racial violence</w:t>
      </w:r>
      <w:r>
        <w:t xml:space="preserve">”; March, 2019; </w:t>
      </w:r>
      <w:r w:rsidRPr="007B62BF">
        <w:t>https://academic.oup.com/ips/article-abstract/13/1/2/5265732?redirectedFrom=fulltext</w:t>
      </w:r>
      <w:r>
        <w:t>) - EY</w:t>
      </w:r>
    </w:p>
    <w:p w:rsidR="00870C15" w:rsidRDefault="00870C15" w:rsidP="00870C15">
      <w:pPr>
        <w:rPr>
          <w:sz w:val="16"/>
        </w:rPr>
      </w:pPr>
      <w:r w:rsidRPr="0020244F">
        <w:rPr>
          <w:sz w:val="16"/>
        </w:rPr>
        <w:t xml:space="preserve">Liberalism has traditionally been associated with the quest for peace, not least in IR scholarship (cf. Doyle 1983a, 1983b; Levy 1988)1 . More recently ‘illiberal’ security practices (i.e. torture; indefinite detention) deployed by liberal states as part of post-9/11 wars have called this relationship into question. One common response, on both right and left, has been to decry the liberal claim to use war as a means to end war (cf. Howard 2008) as a hypocritical paradox, and to blame exceptionalist rhetoric or securitization (cf. Aradau and van Munster 2009; Huysmans 2008). Amidst this clamor, Foucauldian Security Studies (FSS) claims to mount a more fundamental critique. For FSS, the paradox of liberal peace “turns out to be not a paradox at all” (Reid 2004, 74). Instead, liberalism is predicated on the model of war, and relations of war suffuse even its domestic and seemingly benign operations (Jabri 2006; Reid 2010). Building on Foucault’s concept of biopolitics, FSS sees the ambitions of liberal war as going beyond the merely territorial (Bell 2011; Bell and Evans 2010; Dillon and Reid 2009; Evans 2011; Howell 2014, 2015; Jabri 2006, 2007a), aiming to transform and improve spaces and populations cast as developmentally backwards (Holmqvist 2016). Contemporary liberal war is therefore a vital force claiming to serve “humanity as species being” </w:t>
      </w:r>
      <w:r w:rsidRPr="00E41D58">
        <w:t>(Jabri 2007a, 187</w:t>
      </w:r>
      <w:r w:rsidRPr="00D711D4">
        <w:rPr>
          <w:rStyle w:val="StyleUnderline"/>
        </w:rPr>
        <w:t>). FSS, then, purports to offer new ways of understanding liberalism and war, to “theorize with Foucault beyond Foucault</w:t>
      </w:r>
      <w:r w:rsidRPr="00D711D4">
        <w:rPr>
          <w:sz w:val="16"/>
        </w:rPr>
        <w:t>” (Dillon and Reid 2009, 36)</w:t>
      </w:r>
      <w:r w:rsidRPr="00D711D4">
        <w:rPr>
          <w:rStyle w:val="StyleUnderline"/>
        </w:rPr>
        <w:t xml:space="preserve"> in order to understand the biopolitics of security. Unfortunately, despite these ambitions, </w:t>
      </w:r>
      <w:r w:rsidRPr="007B62BF">
        <w:rPr>
          <w:rStyle w:val="Emphasis"/>
        </w:rPr>
        <w:t>contemporary FFS largely perpetuates Foucault’s undertheorization of racism</w:t>
      </w:r>
      <w:r w:rsidRPr="00D711D4">
        <w:rPr>
          <w:rStyle w:val="StyleUnderline"/>
        </w:rPr>
        <w:t xml:space="preserve">. As a result, like the liberal approaches it criticizes, FSS </w:t>
      </w:r>
      <w:r w:rsidRPr="007B62BF">
        <w:rPr>
          <w:rStyle w:val="Emphasis"/>
        </w:rPr>
        <w:t>whitewashes the foundational role of colonial and racist violence and exploitation in modernity</w:t>
      </w:r>
      <w:r w:rsidRPr="00D711D4">
        <w:rPr>
          <w:rStyle w:val="StyleUnderline"/>
        </w:rPr>
        <w:t xml:space="preserve">. FSS </w:t>
      </w:r>
      <w:r w:rsidRPr="007B62BF">
        <w:rPr>
          <w:rStyle w:val="Emphasis"/>
        </w:rPr>
        <w:t>overwhelmingly ignores racialized and colonial relations, subjects and spaces subjected primarily or exclusively to punitive sovereign forms of power, and the constitutive role of racial and colonial violence in the genealogy of biopower</w:t>
      </w:r>
      <w:r w:rsidRPr="00D711D4">
        <w:rPr>
          <w:rStyle w:val="StyleUnderline"/>
        </w:rPr>
        <w:t>. As a result, FSS exemplifies “</w:t>
      </w:r>
      <w:r w:rsidRPr="007B62BF">
        <w:rPr>
          <w:rStyle w:val="Emphasis"/>
        </w:rPr>
        <w:t>methodological Whiteness</w:t>
      </w:r>
      <w:r w:rsidRPr="00D711D4">
        <w:rPr>
          <w:rStyle w:val="StyleUnderline"/>
        </w:rPr>
        <w:t>”</w:t>
      </w:r>
      <w:r w:rsidRPr="00E41D58">
        <w:t xml:space="preserve"> </w:t>
      </w:r>
      <w:r w:rsidRPr="00EE6F83">
        <w:rPr>
          <w:sz w:val="16"/>
        </w:rPr>
        <w:t xml:space="preserve">(Bhambra 2017a, </w:t>
      </w:r>
      <w:r w:rsidRPr="00EE6F83">
        <w:rPr>
          <w:sz w:val="14"/>
        </w:rPr>
        <w:t>2017b): a way of reflecting on the world that fails to acknowledge the role played by 1 Jack Levy (1988, 661) famously celebrated the liberal peace thesis as "the closest thing we have to empirical law in the study of international relations." 2 race in the very structuring of that world, and of the ways in which knowledge is constructed and legitimated within it</w:t>
      </w:r>
      <w:r w:rsidRPr="00EE6F83">
        <w:rPr>
          <w:rStyle w:val="StyleUnderline"/>
        </w:rPr>
        <w:t xml:space="preserve">. It </w:t>
      </w:r>
      <w:r w:rsidRPr="007B62BF">
        <w:rPr>
          <w:rStyle w:val="Emphasis"/>
        </w:rPr>
        <w:t>fails to recognise the dominance of ‘Whiteness’ as anything other than the standard state of affairs and treats a limited perspective</w:t>
      </w:r>
      <w:r w:rsidRPr="00EE6F83">
        <w:rPr>
          <w:rStyle w:val="StyleUnderline"/>
        </w:rPr>
        <w:t xml:space="preserve"> – that deriving from White experience – as a universal perspective</w:t>
      </w:r>
      <w:r w:rsidRPr="00E41D58">
        <w:t xml:space="preserve"> (Bhambra 2017b, np). </w:t>
      </w:r>
      <w:r w:rsidRPr="00EE6F83">
        <w:rPr>
          <w:rStyle w:val="StyleUnderline"/>
        </w:rPr>
        <w:t>This methodological Whiteness gives rise to two core propositions in the FSS literature on the biopolitics of security: First, that the reason for the martial character of liberal politics is that human life cannot ever be secured; Second, that everyone is (potentially) dangerous, and vulnerable to the punitive or lethal dimensions of liberal power. Both claims represent spectacular failures to engage with racism and coloniality.</w:t>
      </w:r>
      <w:r w:rsidRPr="00E41D58">
        <w:t xml:space="preserve"> </w:t>
      </w:r>
      <w:r w:rsidRPr="00EE6F83">
        <w:rPr>
          <w:sz w:val="16"/>
        </w:rPr>
        <w:t xml:space="preserve">The claim that life cannot be secured, we argue, fails to take account of how – conceptually and materially </w:t>
      </w:r>
      <w:r w:rsidRPr="00EE6F83">
        <w:rPr>
          <w:rStyle w:val="StyleUnderline"/>
        </w:rPr>
        <w:t>– the</w:t>
      </w:r>
      <w:r w:rsidRPr="007B62BF">
        <w:rPr>
          <w:rStyle w:val="Emphasis"/>
        </w:rPr>
        <w:t xml:space="preserve"> idea of human life is an effect of racism and colonialism. This history</w:t>
      </w:r>
      <w:r w:rsidRPr="00EE6F83">
        <w:rPr>
          <w:rStyle w:val="StyleUnderline"/>
        </w:rPr>
        <w:t xml:space="preserve"> has been amply documented in Black studies, Black feminist, and decolonial thought – fields which have challenged Foucault’s Eurocentric account of the rise of biopower</w:t>
      </w:r>
      <w:r w:rsidRPr="00E41D58">
        <w:t xml:space="preserve">. </w:t>
      </w:r>
      <w:r w:rsidRPr="00EE6F83">
        <w:rPr>
          <w:sz w:val="16"/>
        </w:rPr>
        <w:t xml:space="preserve">These histories have been widely discussed in IR and security studies (Agathangelou and Ling 2004; Agathangelou 2010a, 2010b, 2013; Barkawi and Laffey 1999, 2006; Biswas 2001; Chowdhry and Nair 2004; Grovogui 1996, 2001; Howell 2018; Inayatullah and Riley 2006; Jabri 2007b; Krishna 2001; Muppidi 1999, 2001; Richter-Montpetit 2007, 2014; Sabaratnam 2013; Shilliam 2008). Despite its claim to internationalize Foucault, FSS scholarship on liberal war and the biopolitics of security has not seriously engaged with questions of racism or coloniality. In order to move beyond methodological Whiteness, FSS needs to inquire into subjects who were never understood to be (fully) human in the first place. Likewise, the claim that everyone is potentially dangerous, potentially a target of violent security practices, we argue, </w:t>
      </w:r>
      <w:r w:rsidRPr="00E41D58">
        <w:t xml:space="preserve">obscures </w:t>
      </w:r>
      <w:r w:rsidRPr="00032FC8">
        <w:rPr>
          <w:rStyle w:val="StyleUnderline"/>
        </w:rPr>
        <w:t>the fundamentally “parasitical nature of white freedom</w:t>
      </w:r>
      <w:r w:rsidRPr="00032FC8">
        <w:t xml:space="preserve">” </w:t>
      </w:r>
      <w:r w:rsidRPr="00032FC8">
        <w:rPr>
          <w:sz w:val="16"/>
        </w:rPr>
        <w:t>(Morrison 1997, 57</w:t>
      </w:r>
      <w:r w:rsidRPr="00032FC8">
        <w:rPr>
          <w:rStyle w:val="StyleUnderline"/>
        </w:rPr>
        <w:t>) and White security, which require certain lives to serve as their “literal raw materials”</w:t>
      </w:r>
      <w:r w:rsidRPr="00032FC8">
        <w:rPr>
          <w:sz w:val="16"/>
        </w:rPr>
        <w:t xml:space="preserve"> (Agathangelou 2013, 455). If it isto apprehend the raciality and coloniality of contemporary liberal order and war, including the postcolonial and settler colonial present, FSS will have to grapple, not only with the ways subjects are targeted differently for security interventions by virtue of racialization, but, more fundamentally, with the mutually constitutive nature of modernity and colonialism. To be clear, </w:t>
      </w:r>
      <w:r w:rsidRPr="00032FC8">
        <w:rPr>
          <w:rStyle w:val="StyleUnderline"/>
        </w:rPr>
        <w:t xml:space="preserve">our argument is not that race and racism are ignored in FSS. Both Foucault and FSS ascribe racism a central role in the martial operations of liberal rule. However, because </w:t>
      </w:r>
      <w:r w:rsidRPr="007B62BF">
        <w:rPr>
          <w:rStyle w:val="Emphasis"/>
        </w:rPr>
        <w:t>they rely on White humanist notions of Man prior to racialization, the racism they deal with is a kind of racism-without-colonialism, more an unfortunate cultural artifact than a global system of expropriation fundamental to the conditions of possibility for the liberal way of war and biopolitical security assemblages</w:t>
      </w:r>
      <w:r w:rsidRPr="000A7700">
        <w:rPr>
          <w:sz w:val="16"/>
        </w:rPr>
        <w:t xml:space="preserve">. This minimization of racism results from a lack of sustained engagement with (feminist) critical race, Black studies, or postcolonial and decolonial perspectives, as documented throughout this article. We focus on the debates in FSS on the biopolitics of security because this literature forms a core of the FSS approach as an intellectual space within which theoretical debates about war, security, biopolitics and liberalism have been significantly elaborated. Situated at the intersection of Security Studies and International Political Sociology, the broader FSS field 3 has similarly deployed concepts of biopolitics, liberalism, and war more empirically. Indeed, this journal has been a major hub of research on topics situated at this intersection, including mobility, migration and airports (Salter 2007; Chambers 2011; D'Aoust 2013; Frowd 2017); humanitarianism and the development-security nexus (Reid 2013; Abdelnour &amp; Saeed 2014; Ilcan &amp; Rygiel 2015; Pallister-Wilkins 2015); counter-terrorism (Dillon 2007, Debrix &amp; Barder 2009; Neal 2012 de Goede, &amp; de Graaf 2013); technoscience and security (Lundborg &amp; Vaughan-Williams 2011; Thomas 2014; Busse 2015; Allinson 2015); global health security (Howell 2007, 2012, Elbe 2012) and the political economy of security (LoboGuerrero 2008; Abrahamsen and Williams 2009; Best 2016). In focusing on the biopolitics of liberal war thesis, we equip readers to judge whether the problems we identify in this approach also underwrite the more empirical FSS literature. This article thus provides a tool to challenge the full breadth of the FSS literature as well as the wider use of the concept of biopolitics in International Political Sociology and International Relations (IR). Our argument proceeds in three sections. The first provides a précis of Foucault’s work on biopolitics and biopower and details (feminist) Black studies, postcolonial and decolonial critiques. The second analyzes FSS scholarship on the biopolitics of security and liberal war, arguing that it consistently underestimates, undertheorizes and misconstrues the raciality and coloniality of liberal modernity. The third explores some of the resulting empirical oversights in FSS, including examples relating to state violence, the molecular and digital ‘revolutions’, and labour, capital and enslavement. </w:t>
      </w:r>
    </w:p>
    <w:p w:rsidR="00870C15" w:rsidRDefault="00870C15" w:rsidP="00870C15">
      <w:pPr>
        <w:rPr>
          <w:sz w:val="16"/>
        </w:rPr>
      </w:pPr>
    </w:p>
    <w:p w:rsidR="002E141E" w:rsidRPr="00AE6789" w:rsidRDefault="002E141E" w:rsidP="002E141E">
      <w:pPr>
        <w:pStyle w:val="Heading4"/>
        <w:rPr>
          <w:rStyle w:val="Style13ptBold"/>
          <w:rFonts w:cs="Arial"/>
          <w:b/>
          <w:bCs w:val="0"/>
        </w:rPr>
      </w:pPr>
      <w:r w:rsidRPr="00AE6789">
        <w:rPr>
          <w:rStyle w:val="Style13ptBold"/>
          <w:rFonts w:cs="Arial"/>
          <w:b/>
          <w:bCs w:val="0"/>
        </w:rPr>
        <w:t xml:space="preserve">National security rhetoric provides direct justification for further militarization of Native lands, justifying seizure of lands and environmental exploitation to produce ever-more lethal weapons </w:t>
      </w:r>
    </w:p>
    <w:p w:rsidR="002E141E" w:rsidRPr="00100971" w:rsidRDefault="002E141E" w:rsidP="002E141E">
      <w:pPr>
        <w:rPr>
          <w:rStyle w:val="Style13ptBold"/>
        </w:rPr>
      </w:pPr>
      <w:r w:rsidRPr="00100971">
        <w:rPr>
          <w:rStyle w:val="Style13ptBold"/>
        </w:rPr>
        <w:t>LaDuke 13 – activist, environmentalist, former candidate for the vice presidency</w:t>
      </w:r>
    </w:p>
    <w:p w:rsidR="002E141E" w:rsidRPr="00100971" w:rsidRDefault="002E141E" w:rsidP="002E141E">
      <w:r w:rsidRPr="00100971">
        <w:t xml:space="preserve">(Winona, </w:t>
      </w:r>
      <w:r w:rsidRPr="00100971">
        <w:rPr>
          <w:i/>
        </w:rPr>
        <w:t>The Militarization of Indian Country</w:t>
      </w:r>
      <w:r w:rsidRPr="00100971">
        <w:t>, pp. 36-9)</w:t>
      </w:r>
    </w:p>
    <w:p w:rsidR="002E141E" w:rsidRPr="00100971" w:rsidRDefault="002E141E" w:rsidP="002E141E">
      <w:pPr>
        <w:rPr>
          <w:rStyle w:val="Emphasis"/>
        </w:rPr>
      </w:pPr>
      <w:r w:rsidRPr="00100971">
        <w:rPr>
          <w:sz w:val="16"/>
        </w:rPr>
        <w:t xml:space="preserve">He had been so close to it, caught up in </w:t>
      </w:r>
      <w:r w:rsidRPr="00100971">
        <w:rPr>
          <w:rStyle w:val="StyleUnderline"/>
        </w:rPr>
        <w:t>it</w:t>
      </w:r>
      <w:r w:rsidRPr="00100971">
        <w:rPr>
          <w:sz w:val="16"/>
        </w:rPr>
        <w:t xml:space="preserve"> for so long that its simplicity </w:t>
      </w:r>
      <w:r w:rsidRPr="00100971">
        <w:rPr>
          <w:rStyle w:val="StyleUnderline"/>
        </w:rPr>
        <w:t>struck him deep inside his chest: Trinity Site, where they exploded the first atomic bomb, was</w:t>
      </w:r>
      <w:r w:rsidRPr="00100971">
        <w:rPr>
          <w:sz w:val="16"/>
        </w:rPr>
        <w:t xml:space="preserve"> only three hundred miles to the southeast, </w:t>
      </w:r>
      <w:r w:rsidRPr="00100971">
        <w:rPr>
          <w:rStyle w:val="StyleUnderline"/>
        </w:rPr>
        <w:t>at White Sands. And the top-secret laboratories where the bomb had been created were</w:t>
      </w:r>
      <w:r w:rsidRPr="00100971">
        <w:rPr>
          <w:sz w:val="16"/>
        </w:rPr>
        <w:t xml:space="preserve"> deep inside the Jemez Mountains, </w:t>
      </w:r>
      <w:r w:rsidRPr="00100971">
        <w:rPr>
          <w:rStyle w:val="StyleUnderline"/>
        </w:rPr>
        <w:t>on land the Government took from Cochiti Pueblo</w:t>
      </w:r>
      <w:r w:rsidRPr="00100971">
        <w:rPr>
          <w:sz w:val="16"/>
        </w:rPr>
        <w:t xml:space="preserve">: Los Alamos, only a hundred miles northeast of him now, still sur- rounded by high electric fences and the ponderosa pine and tawny sand rock of the Jemez mountain canyon where the shrine of the twin mountain lions had always been. </w:t>
      </w:r>
      <w:r w:rsidRPr="00100971">
        <w:rPr>
          <w:rStyle w:val="StyleUnderline"/>
        </w:rPr>
        <w:t>There was no end to it. It knew no boundaries</w:t>
      </w:r>
      <w:r w:rsidRPr="00100971">
        <w:rPr>
          <w:sz w:val="16"/>
        </w:rPr>
        <w:t xml:space="preserve">. . . . From the jungles of his dreaming he rec- ognized why </w:t>
      </w:r>
      <w:r w:rsidRPr="00100971">
        <w:rPr>
          <w:rStyle w:val="StyleUnderline"/>
        </w:rPr>
        <w:t>the Japanese voices had merged with Laguna voices</w:t>
      </w:r>
      <w:r w:rsidRPr="00100971">
        <w:rPr>
          <w:sz w:val="16"/>
        </w:rPr>
        <w:t xml:space="preserve">. . . . From that time on, human beings were one clan again, </w:t>
      </w:r>
      <w:r w:rsidRPr="00100971">
        <w:rPr>
          <w:rStyle w:val="StyleUnderline"/>
        </w:rPr>
        <w:t>united by ‘</w:t>
      </w:r>
      <w:r w:rsidRPr="00100971">
        <w:rPr>
          <w:rStyle w:val="Emphasis"/>
        </w:rPr>
        <w:t>the fate the destroyers had planned for all of them</w:t>
      </w:r>
      <w:r w:rsidRPr="00100971">
        <w:rPr>
          <w:sz w:val="16"/>
        </w:rPr>
        <w:t xml:space="preserve"> for all living things’ united by </w:t>
      </w:r>
      <w:r w:rsidRPr="00100971">
        <w:rPr>
          <w:rStyle w:val="Emphasis"/>
        </w:rPr>
        <w:t>a circle of death that devoured people in cities twelve thousand miles away,</w:t>
      </w:r>
      <w:r w:rsidRPr="00100971">
        <w:rPr>
          <w:sz w:val="16"/>
        </w:rPr>
        <w:t xml:space="preserve"> victims who had never known these mesas, who had never seen the delicate colors of the rocks which boiled up their slaughter. – Excerpted from the novel Ceremony, by Leslie Marmon Silko On a worldwide scale, </w:t>
      </w:r>
      <w:r w:rsidRPr="00100971">
        <w:rPr>
          <w:rStyle w:val="StyleUnderline"/>
        </w:rPr>
        <w:t xml:space="preserve">Native people hold around </w:t>
      </w:r>
      <w:r w:rsidRPr="00100971">
        <w:rPr>
          <w:rStyle w:val="Emphasis"/>
        </w:rPr>
        <w:t>70 percent of the world’s uranium resources</w:t>
      </w:r>
      <w:r w:rsidRPr="00100971">
        <w:rPr>
          <w:sz w:val="16"/>
        </w:rPr>
        <w:t xml:space="preserve">—from the north of Saskatchewan, to the Diné and other Indigenous territories of the southwest, the Lakota Nation to the Mirarr nation of Australia. Despite a 30-year hiatus from building new nuclear power plants in the United States, </w:t>
      </w:r>
      <w:r w:rsidRPr="00100971">
        <w:rPr>
          <w:rStyle w:val="StyleUnderline"/>
        </w:rPr>
        <w:t>there is intense pressure to</w:t>
      </w:r>
      <w:r w:rsidRPr="00100971">
        <w:rPr>
          <w:sz w:val="16"/>
        </w:rPr>
        <w:t xml:space="preserve"> reboot the nuclear industry and, in the process, </w:t>
      </w:r>
      <w:r w:rsidRPr="00100971">
        <w:rPr>
          <w:rStyle w:val="Emphasis"/>
        </w:rPr>
        <w:t>restart uranium mining operations in Native America.</w:t>
      </w:r>
      <w:r w:rsidRPr="00100971">
        <w:rPr>
          <w:sz w:val="16"/>
        </w:rPr>
        <w:t xml:space="preserve"> All of </w:t>
      </w:r>
      <w:r w:rsidRPr="00100971">
        <w:rPr>
          <w:rStyle w:val="StyleUnderline"/>
        </w:rPr>
        <w:t xml:space="preserve">this is of serious concern to Native people. Over 1,000 uranium mines </w:t>
      </w:r>
      <w:r w:rsidRPr="00100971">
        <w:rPr>
          <w:rStyle w:val="Emphasis"/>
        </w:rPr>
        <w:t>gouged</w:t>
      </w:r>
      <w:r w:rsidRPr="00100971">
        <w:rPr>
          <w:sz w:val="16"/>
        </w:rPr>
        <w:t xml:space="preserve"> the earth in the area of the Diné Bikeyah— </w:t>
      </w:r>
      <w:r w:rsidRPr="00100971">
        <w:rPr>
          <w:rStyle w:val="StyleUnderline"/>
        </w:rPr>
        <w:t>the land of the Navajo, during a 30-year period</w:t>
      </w:r>
      <w:r w:rsidRPr="00100971">
        <w:rPr>
          <w:sz w:val="16"/>
        </w:rPr>
        <w:t xml:space="preserve">, beginning in the 1950s. Those mines, the largest uranium mine in the world at the time, at Laguna Pueblo, mines on the Spokane and near the Pine Ridge reservation are part of the uranium industry’s deadly legacy in Native America. </w:t>
      </w:r>
      <w:r w:rsidRPr="00100971">
        <w:rPr>
          <w:rStyle w:val="StyleUnderline"/>
        </w:rPr>
        <w:t xml:space="preserve">The </w:t>
      </w:r>
      <w:r w:rsidRPr="00100971">
        <w:rPr>
          <w:rStyle w:val="Emphasis"/>
        </w:rPr>
        <w:t>lethal nature</w:t>
      </w:r>
      <w:r w:rsidRPr="00100971">
        <w:rPr>
          <w:rStyle w:val="StyleUnderline"/>
        </w:rPr>
        <w:t xml:space="preserve"> of the uranium industry led it to the </w:t>
      </w:r>
      <w:r w:rsidRPr="00100971">
        <w:rPr>
          <w:rStyle w:val="Emphasis"/>
        </w:rPr>
        <w:t xml:space="preserve">isolated lands of Native America. </w:t>
      </w:r>
      <w:r w:rsidRPr="00100971">
        <w:rPr>
          <w:sz w:val="16"/>
        </w:rPr>
        <w:t xml:space="preserve">Indeed, as the Los Alamos Scientific Laboratory would note in 1978, “per- haps the solution to the radon emission problem is to zone the land into uranium mining and milling districts so as to forbid human habitation.”68 By the mid 1970s, there were 380 uranium leases on Native land and only four on public or acquired lands. Not only are Indigenous peoples’ territories underlain by uranium, but </w:t>
      </w:r>
      <w:r w:rsidRPr="00100971">
        <w:rPr>
          <w:rStyle w:val="StyleUnderline"/>
        </w:rPr>
        <w:t xml:space="preserve">the industry and government were fully aware of the </w:t>
      </w:r>
      <w:r w:rsidRPr="00100971">
        <w:rPr>
          <w:rStyle w:val="Emphasis"/>
        </w:rPr>
        <w:t>health impacts of uranium mining</w:t>
      </w:r>
      <w:r w:rsidRPr="00100971">
        <w:rPr>
          <w:rStyle w:val="StyleUnderline"/>
        </w:rPr>
        <w:t xml:space="preserve"> on workers, their families and the land upon which their descendents would come to live. </w:t>
      </w:r>
      <w:r w:rsidRPr="00100971">
        <w:rPr>
          <w:sz w:val="16"/>
        </w:rPr>
        <w:t xml:space="preserve">The uranium used “to boil up their slaughter” likely came from a variety of sources, whether Tayo’s blessed Laguna Pueblo, or El Dorado’s Port Radium Mine in the Northwest Territories.69 </w:t>
      </w:r>
      <w:r w:rsidRPr="00100971">
        <w:rPr>
          <w:rStyle w:val="StyleUnderline"/>
        </w:rPr>
        <w:t xml:space="preserve">In all cases, Indigenous people of the Americas are </w:t>
      </w:r>
      <w:r w:rsidRPr="00100971">
        <w:rPr>
          <w:rStyle w:val="Emphasis"/>
        </w:rPr>
        <w:t>linked to the Hiroshima and Nagasaki bombs</w:t>
      </w:r>
      <w:r w:rsidRPr="00100971">
        <w:rPr>
          <w:rStyle w:val="StyleUnderline"/>
        </w:rPr>
        <w:t xml:space="preserve">, as well as to more than a </w:t>
      </w:r>
      <w:r w:rsidRPr="00100971">
        <w:rPr>
          <w:rStyle w:val="Emphasis"/>
        </w:rPr>
        <w:t>thousand nuclear tests</w:t>
      </w:r>
      <w:r w:rsidRPr="00100971">
        <w:rPr>
          <w:sz w:val="16"/>
        </w:rPr>
        <w:t xml:space="preserve"> undertaken in the Paci c and in Nevada. </w:t>
      </w:r>
      <w:r w:rsidRPr="00100971">
        <w:rPr>
          <w:rStyle w:val="Emphasis"/>
        </w:rPr>
        <w:t xml:space="preserve">DOMESTIC WARS </w:t>
      </w:r>
      <w:r w:rsidRPr="00100971">
        <w:rPr>
          <w:rStyle w:val="StyleUnderline"/>
        </w:rPr>
        <w:t xml:space="preserve">The </w:t>
      </w:r>
      <w:r w:rsidRPr="00100971">
        <w:rPr>
          <w:rStyle w:val="Emphasis"/>
        </w:rPr>
        <w:t>D</w:t>
      </w:r>
      <w:r w:rsidRPr="00100971">
        <w:rPr>
          <w:sz w:val="16"/>
        </w:rPr>
        <w:t xml:space="preserve">epartment </w:t>
      </w:r>
      <w:r w:rsidRPr="00100971">
        <w:rPr>
          <w:rStyle w:val="Emphasis"/>
        </w:rPr>
        <w:t>o</w:t>
      </w:r>
      <w:r w:rsidRPr="00100971">
        <w:rPr>
          <w:sz w:val="16"/>
        </w:rPr>
        <w:t xml:space="preserve">f </w:t>
      </w:r>
      <w:r w:rsidRPr="00100971">
        <w:rPr>
          <w:rStyle w:val="Emphasis"/>
        </w:rPr>
        <w:t>D</w:t>
      </w:r>
      <w:r w:rsidRPr="00100971">
        <w:rPr>
          <w:sz w:val="16"/>
        </w:rPr>
        <w:t xml:space="preserve">efense </w:t>
      </w:r>
      <w:r w:rsidRPr="00100971">
        <w:rPr>
          <w:rStyle w:val="StyleUnderline"/>
        </w:rPr>
        <w:t>states that as part of carrying out its mission to defend America, “certain activities—such as weapons testing, practice bombing and field maneuvers—may have had effects on tribal environmental health</w:t>
      </w:r>
      <w:r w:rsidRPr="00100971">
        <w:rPr>
          <w:sz w:val="16"/>
        </w:rPr>
        <w:t xml:space="preserve"> and safety as well as tribal economic, social and cultural welfare.”70 </w:t>
      </w:r>
      <w:r w:rsidRPr="00100971">
        <w:rPr>
          <w:rStyle w:val="StyleUnderline"/>
        </w:rPr>
        <w:t xml:space="preserve">That would be an </w:t>
      </w:r>
      <w:r w:rsidRPr="00100971">
        <w:rPr>
          <w:rStyle w:val="Emphasis"/>
        </w:rPr>
        <w:t>understatement</w:t>
      </w:r>
      <w:r w:rsidRPr="00100971">
        <w:rPr>
          <w:rStyle w:val="StyleUnderline"/>
        </w:rPr>
        <w:t xml:space="preserve">. The US military is one of the </w:t>
      </w:r>
      <w:r w:rsidRPr="00100971">
        <w:rPr>
          <w:rStyle w:val="Emphasis"/>
        </w:rPr>
        <w:t>largest landowners</w:t>
      </w:r>
      <w:r w:rsidRPr="00100971">
        <w:rPr>
          <w:rStyle w:val="StyleUnderline"/>
        </w:rPr>
        <w:t xml:space="preserve"> in the United States, with some 30 million acres of land under its control</w:t>
      </w:r>
      <w:r w:rsidRPr="00100971">
        <w:rPr>
          <w:sz w:val="16"/>
        </w:rPr>
        <w:t xml:space="preserve">. The US federal government is the largest landowner in the United States, </w:t>
      </w:r>
      <w:r w:rsidRPr="00100971">
        <w:rPr>
          <w:rStyle w:val="StyleUnderline"/>
        </w:rPr>
        <w:t xml:space="preserve">with much of this land base annexed or otherwise </w:t>
      </w:r>
      <w:r w:rsidRPr="00100971">
        <w:rPr>
          <w:rStyle w:val="Emphasis"/>
        </w:rPr>
        <w:t xml:space="preserve">stolen from Native peoples. </w:t>
      </w:r>
      <w:r w:rsidRPr="00100971">
        <w:rPr>
          <w:sz w:val="16"/>
        </w:rPr>
        <w:t xml:space="preserve">The states with the top two federal land holdings are Nevada with 84.5 per- cent of the state, and Alaska at 69.1 percent of the state being held by the federal government. These represent takings under the 1863 Ruby Valley Treaty with the Shoshone, and the Alaskan Native Claims Settlement Act of 1971. </w:t>
      </w:r>
      <w:r w:rsidRPr="00100971">
        <w:rPr>
          <w:rStyle w:val="StyleUnderline"/>
        </w:rPr>
        <w:t>The military controls a large percentage of Hawaii as well, including some 25 percent of Oahu</w:t>
      </w:r>
      <w:r w:rsidRPr="00100971">
        <w:rPr>
          <w:sz w:val="16"/>
        </w:rPr>
        <w:t xml:space="preserve">, valuable “submerged lands” (i.e., estuaries and bays), and until relatively recently, the island of Kaho’olawe. </w:t>
      </w:r>
      <w:r w:rsidRPr="00100971">
        <w:rPr>
          <w:rStyle w:val="StyleUnderline"/>
        </w:rPr>
        <w:t>The army seized the entire island of Kaho’olawe after the attack on Pearl Harbor.</w:t>
      </w:r>
      <w:r w:rsidRPr="00100971">
        <w:rPr>
          <w:sz w:val="16"/>
        </w:rPr>
        <w:t xml:space="preserve"> This island was the only national historic site also used as a bombing range. The military reigns over more than 200,000 acres of Hawaii, with over 100 military installations, and at least 150,000 personnel.71 </w:t>
      </w:r>
      <w:r w:rsidRPr="00100971">
        <w:rPr>
          <w:rStyle w:val="Emphasis"/>
        </w:rPr>
        <w:t xml:space="preserve">SEIZING LAND IN THE NAME OF NATIONAL SECURITY </w:t>
      </w:r>
      <w:r w:rsidRPr="00100971">
        <w:rPr>
          <w:sz w:val="16"/>
        </w:rPr>
        <w:t xml:space="preserve">As of 1916, the US Army owned approximately 1.5 million acres. </w:t>
      </w:r>
      <w:r w:rsidRPr="00100971">
        <w:rPr>
          <w:rStyle w:val="StyleUnderline"/>
        </w:rPr>
        <w:t>Land ownership grew by 33 percent in the course of the World War I mobilization.</w:t>
      </w:r>
      <w:r w:rsidRPr="00100971">
        <w:rPr>
          <w:sz w:val="16"/>
        </w:rPr>
        <w:t xml:space="preserve"> As of 1940, the army owned approximately 2 million acres. </w:t>
      </w:r>
      <w:r w:rsidRPr="00100971">
        <w:rPr>
          <w:rStyle w:val="StyleUnderline"/>
        </w:rPr>
        <w:t xml:space="preserve">The scale of World War II mobilization was </w:t>
      </w:r>
      <w:r w:rsidRPr="00100971">
        <w:rPr>
          <w:rStyle w:val="Emphasis"/>
        </w:rPr>
        <w:t>unprecedented</w:t>
      </w:r>
      <w:r w:rsidRPr="00100971">
        <w:rPr>
          <w:rStyle w:val="StyleUnderline"/>
        </w:rPr>
        <w:t>: the army</w:t>
      </w:r>
      <w:r w:rsidRPr="00100971">
        <w:rPr>
          <w:sz w:val="16"/>
        </w:rPr>
        <w:t xml:space="preserve"> (including the Army Air Force) </w:t>
      </w:r>
      <w:r w:rsidRPr="00100971">
        <w:rPr>
          <w:rStyle w:val="StyleUnderline"/>
        </w:rPr>
        <w:t xml:space="preserve">acquired </w:t>
      </w:r>
      <w:r w:rsidRPr="00100971">
        <w:rPr>
          <w:rStyle w:val="Emphasis"/>
        </w:rPr>
        <w:t>8 million additional acres</w:t>
      </w:r>
      <w:r w:rsidRPr="00100971">
        <w:rPr>
          <w:rStyle w:val="StyleUnderline"/>
        </w:rPr>
        <w:t xml:space="preserve">, thereby </w:t>
      </w:r>
      <w:r w:rsidRPr="00100971">
        <w:rPr>
          <w:rStyle w:val="Emphasis"/>
        </w:rPr>
        <w:t>quintupling land ownership</w:t>
      </w:r>
      <w:r w:rsidRPr="00100971">
        <w:rPr>
          <w:sz w:val="16"/>
        </w:rPr>
        <w:t xml:space="preserve">. </w:t>
      </w:r>
      <w:r w:rsidRPr="00100971">
        <w:rPr>
          <w:rStyle w:val="StyleUnderline"/>
        </w:rPr>
        <w:t>Military agencies were given nearly unlimited spending authority to acquire land</w:t>
      </w:r>
      <w:r w:rsidRPr="00100971">
        <w:rPr>
          <w:sz w:val="16"/>
        </w:rPr>
        <w:t xml:space="preserve"> from private owners </w:t>
      </w:r>
      <w:r w:rsidRPr="00100971">
        <w:rPr>
          <w:rStyle w:val="StyleUnderline"/>
        </w:rPr>
        <w:t xml:space="preserve">and had the option of foreclosing on lands it deemed </w:t>
      </w:r>
      <w:r w:rsidRPr="00100971">
        <w:rPr>
          <w:rStyle w:val="Emphasis"/>
        </w:rPr>
        <w:t>necessary to national security</w:t>
      </w:r>
      <w:r w:rsidRPr="00100971">
        <w:rPr>
          <w:sz w:val="16"/>
        </w:rPr>
        <w:t xml:space="preserve">.72 Most of the new acreage cost the army practically nothing. More than 6 million acres, more than three quarters of the land it acquired, came from the public domain.73 What is clear is that </w:t>
      </w:r>
      <w:r w:rsidRPr="00100971">
        <w:rPr>
          <w:rStyle w:val="StyleUnderline"/>
        </w:rPr>
        <w:t xml:space="preserve">“public domain” is often really, truthfully </w:t>
      </w:r>
      <w:r w:rsidRPr="00100971">
        <w:rPr>
          <w:rStyle w:val="Emphasis"/>
        </w:rPr>
        <w:t>Native land</w:t>
      </w:r>
      <w:r w:rsidRPr="00100971">
        <w:rPr>
          <w:sz w:val="16"/>
        </w:rPr>
        <w:t xml:space="preserve">. Some of these land transfers came early from Native people. The army took some 10,000 acres from the Cheyenne and Arapaho people for Fort Reno in 1881, and until 1993 had use of Zuni and Navajo lands near Fort Wingate. In fact, much of </w:t>
      </w:r>
      <w:r w:rsidRPr="00100971">
        <w:rPr>
          <w:rStyle w:val="StyleUnderline"/>
        </w:rPr>
        <w:t xml:space="preserve">what is today US military land was at some time </w:t>
      </w:r>
      <w:r w:rsidRPr="00100971">
        <w:rPr>
          <w:rStyle w:val="Emphasis"/>
        </w:rPr>
        <w:t>taken from Native peoples</w:t>
      </w:r>
      <w:r w:rsidRPr="00100971">
        <w:rPr>
          <w:rStyle w:val="StyleUnderline"/>
        </w:rPr>
        <w:t xml:space="preserve">, </w:t>
      </w:r>
      <w:r w:rsidRPr="00100971">
        <w:rPr>
          <w:rStyle w:val="Emphasis"/>
        </w:rPr>
        <w:t>sometimes at gunpoint</w:t>
      </w:r>
      <w:r w:rsidRPr="00100971">
        <w:rPr>
          <w:rStyle w:val="StyleUnderline"/>
        </w:rPr>
        <w:t xml:space="preserve">, sometimes in the wake of </w:t>
      </w:r>
      <w:r w:rsidRPr="00100971">
        <w:rPr>
          <w:rStyle w:val="Emphasis"/>
        </w:rPr>
        <w:t>massacres or forced marches</w:t>
      </w:r>
      <w:r w:rsidRPr="00100971">
        <w:rPr>
          <w:rStyle w:val="StyleUnderline"/>
        </w:rPr>
        <w:t>, sometimes through starvation, and sometimes through</w:t>
      </w:r>
      <w:r w:rsidRPr="00100971">
        <w:rPr>
          <w:sz w:val="16"/>
        </w:rPr>
        <w:t xml:space="preserve"> pen and paper, </w:t>
      </w:r>
      <w:r w:rsidRPr="00100971">
        <w:rPr>
          <w:rStyle w:val="Emphasis"/>
        </w:rPr>
        <w:t>broken treaty</w:t>
      </w:r>
      <w:r w:rsidRPr="00100971">
        <w:rPr>
          <w:sz w:val="16"/>
        </w:rPr>
        <w:t xml:space="preserve">, acts of Congress or state legislatures, or by presidential authority, by the “Great White Father” himself. </w:t>
      </w:r>
      <w:r w:rsidRPr="00100971">
        <w:rPr>
          <w:rStyle w:val="StyleUnderline"/>
        </w:rPr>
        <w:t>As weapons became more lethal</w:t>
      </w:r>
      <w:r w:rsidRPr="00100971">
        <w:rPr>
          <w:sz w:val="16"/>
        </w:rPr>
        <w:t xml:space="preserve">—as harmful </w:t>
      </w:r>
      <w:r w:rsidRPr="00100971">
        <w:rPr>
          <w:rStyle w:val="StyleUnderline"/>
        </w:rPr>
        <w:t>to those manufacturing, handling or storing these materials</w:t>
      </w:r>
      <w:r w:rsidRPr="00100971">
        <w:rPr>
          <w:sz w:val="16"/>
        </w:rPr>
        <w:t xml:space="preserve"> as they would be against an enemy—</w:t>
      </w:r>
      <w:r w:rsidRPr="00100971">
        <w:rPr>
          <w:rStyle w:val="Emphasis"/>
        </w:rPr>
        <w:t>access to more isolated lands</w:t>
      </w:r>
      <w:r w:rsidRPr="00100971">
        <w:rPr>
          <w:rStyle w:val="StyleUnderline"/>
        </w:rPr>
        <w:t xml:space="preserve"> became a </w:t>
      </w:r>
      <w:r w:rsidRPr="00100971">
        <w:rPr>
          <w:rStyle w:val="Emphasis"/>
        </w:rPr>
        <w:t>major military priority</w:t>
      </w:r>
      <w:r w:rsidRPr="00100971">
        <w:rPr>
          <w:sz w:val="16"/>
        </w:rPr>
        <w:t xml:space="preserve">. With the massive increases of chemical, biological and nuclear weaponry that took place during the Cold War, it was clear that the military would need to take more land far from populated areas. </w:t>
      </w:r>
      <w:r w:rsidRPr="00100971">
        <w:rPr>
          <w:rStyle w:val="StyleUnderline"/>
        </w:rPr>
        <w:t xml:space="preserve">That would mean the </w:t>
      </w:r>
      <w:r w:rsidRPr="00100971">
        <w:rPr>
          <w:rStyle w:val="Emphasis"/>
        </w:rPr>
        <w:t>additional seizure of Indian land.</w:t>
      </w:r>
    </w:p>
    <w:p w:rsidR="002E141E" w:rsidRPr="00100971" w:rsidRDefault="002E141E" w:rsidP="002E141E"/>
    <w:p w:rsidR="002E141E" w:rsidRPr="00AE6789" w:rsidRDefault="002E141E" w:rsidP="002E141E"/>
    <w:p w:rsidR="002E141E" w:rsidRPr="005C323D" w:rsidRDefault="002E141E" w:rsidP="002E141E">
      <w:pPr>
        <w:pStyle w:val="Heading4"/>
        <w:rPr>
          <w:rFonts w:cs="Calibri"/>
        </w:rPr>
      </w:pPr>
      <w:r w:rsidRPr="005C323D">
        <w:rPr>
          <w:rFonts w:cs="Calibri"/>
        </w:rPr>
        <w:t>The 1AC’s participation in the liberal order</w:t>
      </w:r>
      <w:r w:rsidR="0059620C">
        <w:rPr>
          <w:rFonts w:cs="Calibri"/>
        </w:rPr>
        <w:t xml:space="preserve"> is a</w:t>
      </w:r>
      <w:r w:rsidRPr="005C323D">
        <w:rPr>
          <w:rFonts w:cs="Calibri"/>
        </w:rPr>
        <w:t xml:space="preserve"> product of American </w:t>
      </w:r>
      <w:r w:rsidR="0059620C">
        <w:rPr>
          <w:rFonts w:cs="Calibri"/>
        </w:rPr>
        <w:t xml:space="preserve">exceptionalism </w:t>
      </w:r>
      <w:r w:rsidRPr="005C323D">
        <w:rPr>
          <w:rFonts w:cs="Calibri"/>
        </w:rPr>
        <w:t xml:space="preserve">that seeks to dominate and control those who are deemed </w:t>
      </w:r>
      <w:r w:rsidR="0059620C">
        <w:rPr>
          <w:rFonts w:cs="Calibri"/>
        </w:rPr>
        <w:t>“</w:t>
      </w:r>
      <w:r w:rsidRPr="005C323D">
        <w:rPr>
          <w:rFonts w:cs="Calibri"/>
        </w:rPr>
        <w:t>uncivilized</w:t>
      </w:r>
      <w:r w:rsidR="0059620C">
        <w:rPr>
          <w:rFonts w:cs="Calibri"/>
        </w:rPr>
        <w:t>”</w:t>
      </w:r>
      <w:r w:rsidRPr="005C323D">
        <w:rPr>
          <w:rFonts w:cs="Calibri"/>
        </w:rPr>
        <w:t xml:space="preserve">. The historical amnesia of the 1AC </w:t>
      </w:r>
      <w:r w:rsidR="0059620C">
        <w:rPr>
          <w:rFonts w:cs="Calibri"/>
        </w:rPr>
        <w:t>that invests in the rule of law</w:t>
      </w:r>
      <w:r w:rsidRPr="005C323D">
        <w:rPr>
          <w:rFonts w:cs="Calibri"/>
        </w:rPr>
        <w:t xml:space="preserve"> is a discourse that is deadly and produces American exceptionalist thought that constructs and justifies racial hierarchies and intervention across the periphery.</w:t>
      </w:r>
    </w:p>
    <w:p w:rsidR="002E141E" w:rsidRPr="005C323D" w:rsidRDefault="002E141E" w:rsidP="002E141E">
      <w:pPr>
        <w:rPr>
          <w:color w:val="333333"/>
          <w:sz w:val="18"/>
          <w:szCs w:val="18"/>
          <w:shd w:val="clear" w:color="auto" w:fill="FFFFFF"/>
        </w:rPr>
      </w:pPr>
      <w:r w:rsidRPr="005C323D">
        <w:rPr>
          <w:b/>
          <w:color w:val="333333"/>
          <w:sz w:val="26"/>
          <w:szCs w:val="26"/>
          <w:shd w:val="clear" w:color="auto" w:fill="FFFFFF"/>
        </w:rPr>
        <w:t>Bâli &amp; Rana 18</w:t>
      </w:r>
      <w:r w:rsidRPr="005C323D">
        <w:rPr>
          <w:color w:val="333333"/>
          <w:shd w:val="clear" w:color="auto" w:fill="FFFFFF"/>
        </w:rPr>
        <w:t xml:space="preserve"> </w:t>
      </w:r>
      <w:r w:rsidRPr="005C323D">
        <w:rPr>
          <w:color w:val="333333"/>
          <w:sz w:val="18"/>
          <w:szCs w:val="18"/>
          <w:shd w:val="clear" w:color="auto" w:fill="FFFFFF"/>
        </w:rPr>
        <w:t>[Bâli Aslı is a professor of law at UCLA, Aziz Rana is a professor of law at Cornell University,  “Constitutionalism and the American Imperial Imagination.” </w:t>
      </w:r>
      <w:r w:rsidRPr="005C323D">
        <w:rPr>
          <w:iCs/>
          <w:color w:val="333333"/>
          <w:sz w:val="18"/>
          <w:szCs w:val="18"/>
          <w:shd w:val="clear" w:color="auto" w:fill="FFFFFF"/>
        </w:rPr>
        <w:t>The University of Chicago Law Review</w:t>
      </w:r>
      <w:r w:rsidRPr="005C323D">
        <w:rPr>
          <w:color w:val="333333"/>
          <w:sz w:val="18"/>
          <w:szCs w:val="18"/>
          <w:shd w:val="clear" w:color="auto" w:fill="FFFFFF"/>
        </w:rPr>
        <w:t>, vol. 85, no. 2, 2018, pp. 257–292. </w:t>
      </w:r>
      <w:r w:rsidRPr="005C323D">
        <w:rPr>
          <w:i/>
          <w:iCs/>
          <w:color w:val="333333"/>
          <w:sz w:val="18"/>
          <w:szCs w:val="18"/>
          <w:shd w:val="clear" w:color="auto" w:fill="FFFFFF"/>
        </w:rPr>
        <w:t>JSTOR</w:t>
      </w:r>
      <w:r w:rsidRPr="005C323D">
        <w:rPr>
          <w:color w:val="333333"/>
          <w:sz w:val="18"/>
          <w:szCs w:val="18"/>
          <w:shd w:val="clear" w:color="auto" w:fill="FFFFFF"/>
        </w:rPr>
        <w:t xml:space="preserve">, </w:t>
      </w:r>
      <w:hyperlink r:id="rId10" w:history="1">
        <w:r w:rsidRPr="005C323D">
          <w:rPr>
            <w:rStyle w:val="Hyperlink"/>
            <w:sz w:val="18"/>
            <w:szCs w:val="18"/>
            <w:shd w:val="clear" w:color="auto" w:fill="FFFFFF"/>
          </w:rPr>
          <w:t>www.jstor.org/stable/26455908</w:t>
        </w:r>
      </w:hyperlink>
      <w:r w:rsidRPr="005C323D">
        <w:rPr>
          <w:color w:val="333333"/>
          <w:sz w:val="18"/>
          <w:szCs w:val="18"/>
          <w:shd w:val="clear" w:color="auto" w:fill="FFFFFF"/>
        </w:rPr>
        <w:t>.] emilio</w:t>
      </w:r>
    </w:p>
    <w:p w:rsidR="002E141E" w:rsidRPr="005C323D" w:rsidRDefault="002E141E" w:rsidP="002E141E">
      <w:pPr>
        <w:rPr>
          <w:rStyle w:val="underline"/>
          <w:sz w:val="16"/>
        </w:rPr>
      </w:pPr>
      <w:r w:rsidRPr="005C323D">
        <w:rPr>
          <w:sz w:val="16"/>
        </w:rPr>
        <w:t xml:space="preserve">The American post–World War II vision of global order pulled together a set of arguments that had been percolating among pol- icymakers and political elites for the first half of the twentieth century. </w:t>
      </w:r>
      <w:r w:rsidRPr="005C323D">
        <w:rPr>
          <w:u w:val="single"/>
        </w:rPr>
        <w:t xml:space="preserve">In this Part, we highlight how </w:t>
      </w:r>
      <w:r w:rsidRPr="005928B4">
        <w:rPr>
          <w:highlight w:val="cyan"/>
          <w:u w:val="single"/>
        </w:rPr>
        <w:t>with the</w:t>
      </w:r>
      <w:r w:rsidRPr="005C323D">
        <w:rPr>
          <w:u w:val="single"/>
        </w:rPr>
        <w:t xml:space="preserve"> </w:t>
      </w:r>
      <w:r w:rsidRPr="005928B4">
        <w:rPr>
          <w:highlight w:val="cyan"/>
          <w:u w:val="single"/>
        </w:rPr>
        <w:t>U</w:t>
      </w:r>
      <w:r w:rsidRPr="005C323D">
        <w:rPr>
          <w:u w:val="single"/>
        </w:rPr>
        <w:t>nited</w:t>
      </w:r>
      <w:r w:rsidRPr="005928B4">
        <w:rPr>
          <w:highlight w:val="cyan"/>
          <w:u w:val="single"/>
        </w:rPr>
        <w:t xml:space="preserve"> S</w:t>
      </w:r>
      <w:r w:rsidRPr="005C323D">
        <w:rPr>
          <w:u w:val="single"/>
        </w:rPr>
        <w:t>tate</w:t>
      </w:r>
      <w:r w:rsidRPr="005928B4">
        <w:rPr>
          <w:highlight w:val="cyan"/>
          <w:u w:val="single"/>
        </w:rPr>
        <w:t>s’ emergence onto the global stage, the language of constitutionalism became central to justifying external power</w:t>
      </w:r>
      <w:r w:rsidRPr="005C323D">
        <w:rPr>
          <w:u w:val="single"/>
        </w:rPr>
        <w:t xml:space="preserve"> and to explaining the presumptive distinctions between American and European imperium.</w:t>
      </w:r>
      <w:r w:rsidRPr="005C323D">
        <w:rPr>
          <w:sz w:val="16"/>
        </w:rPr>
        <w:t xml:space="preserve"> We also emphasize the manner in which </w:t>
      </w:r>
      <w:r w:rsidRPr="005C323D">
        <w:rPr>
          <w:u w:val="single"/>
        </w:rPr>
        <w:t>constitutionalism creatively married notions of universal inclu- sion and self-government with racial hierarchies</w:t>
      </w:r>
      <w:r w:rsidRPr="005C323D">
        <w:rPr>
          <w:sz w:val="16"/>
        </w:rPr>
        <w:t xml:space="preserve"> about global stewardship—even during the era of decolonization. Finally, we explore perhaps </w:t>
      </w:r>
      <w:r w:rsidRPr="005C323D">
        <w:rPr>
          <w:u w:val="single"/>
        </w:rPr>
        <w:t xml:space="preserve">the great paradox of the Cold War: how </w:t>
      </w:r>
      <w:r w:rsidRPr="005928B4">
        <w:rPr>
          <w:highlight w:val="cyan"/>
          <w:u w:val="single"/>
        </w:rPr>
        <w:t xml:space="preserve">American constitutionalism embodied a credible global model </w:t>
      </w:r>
      <w:r w:rsidRPr="005C323D">
        <w:rPr>
          <w:u w:val="single"/>
        </w:rPr>
        <w:t>that was at the same time constitutively</w:t>
      </w:r>
      <w:r w:rsidRPr="005928B4">
        <w:rPr>
          <w:highlight w:val="cyan"/>
          <w:u w:val="single"/>
        </w:rPr>
        <w:t xml:space="preserve"> linked </w:t>
      </w:r>
      <w:r w:rsidRPr="005C323D">
        <w:rPr>
          <w:u w:val="single"/>
        </w:rPr>
        <w:t xml:space="preserve">on the ground </w:t>
      </w:r>
      <w:r w:rsidRPr="005928B4">
        <w:rPr>
          <w:highlight w:val="cyan"/>
          <w:u w:val="single"/>
        </w:rPr>
        <w:t xml:space="preserve">to </w:t>
      </w:r>
      <w:r w:rsidRPr="005C323D">
        <w:rPr>
          <w:u w:val="single"/>
        </w:rPr>
        <w:t xml:space="preserve">practices of </w:t>
      </w:r>
      <w:r w:rsidRPr="005928B4">
        <w:rPr>
          <w:highlight w:val="cyan"/>
          <w:u w:val="single"/>
        </w:rPr>
        <w:t>violence and lawlessness</w:t>
      </w:r>
      <w:r w:rsidRPr="005C323D">
        <w:rPr>
          <w:u w:val="single"/>
        </w:rPr>
        <w:t>. A. Constitutionalism as the Principle of American Power. At the dawn of the twentieth century, elites who favored an aggressive American role abroad had long found themselves fac- ing a basic dilemma. Policies, ranging from participating in World. War I to engaging directly with European power politics to es- tablishing a permanent peacetime security infrastructure, all faced intense internal opposition and seemed to contradict long- standing isolationist and antimilitarist sentiments</w:t>
      </w:r>
      <w:r w:rsidRPr="005C323D">
        <w:rPr>
          <w:sz w:val="16"/>
        </w:rPr>
        <w:t xml:space="preserve">. In particular, they cut against popular assumptions that foreign entanglements as well as the creation of a large professional military would in- evitably undermine republican institutions and self-government. Indeed, </w:t>
      </w:r>
      <w:r w:rsidRPr="005C323D">
        <w:rPr>
          <w:u w:val="single"/>
        </w:rPr>
        <w:t>a classic tenet of nineteenth-century American foreign policy held that isolation from Europe and its internecine con- flicts sustained domestic tranquility</w:t>
      </w:r>
      <w:r w:rsidRPr="005C323D">
        <w:rPr>
          <w:sz w:val="16"/>
        </w:rPr>
        <w:t xml:space="preserve">. None other than Alexander Hamilton had famously argued in Federalist 8 </w:t>
      </w:r>
      <w:r w:rsidRPr="005C323D">
        <w:rPr>
          <w:u w:val="single"/>
        </w:rPr>
        <w:t xml:space="preserve">that the barrier of the Atlantic Ocean offered Americans an “insulated situation”18 that did more than anything else to preserve domestic security. </w:t>
      </w:r>
      <w:r w:rsidRPr="005C323D">
        <w:rPr>
          <w:sz w:val="16"/>
        </w:rPr>
        <w:t xml:space="preserve">These established ideas raised significant popular doubts about the legitimacy of enhanced American interventionism. In response, </w:t>
      </w:r>
      <w:r w:rsidRPr="005928B4">
        <w:rPr>
          <w:highlight w:val="cyan"/>
          <w:u w:val="single"/>
        </w:rPr>
        <w:t xml:space="preserve">defenders of </w:t>
      </w:r>
      <w:r w:rsidRPr="005C323D">
        <w:rPr>
          <w:u w:val="single"/>
        </w:rPr>
        <w:t>greater</w:t>
      </w:r>
      <w:r w:rsidRPr="005928B4">
        <w:rPr>
          <w:highlight w:val="cyan"/>
          <w:u w:val="single"/>
        </w:rPr>
        <w:t xml:space="preserve"> international authority began</w:t>
      </w:r>
      <w:r w:rsidRPr="005C323D">
        <w:rPr>
          <w:u w:val="single"/>
        </w:rPr>
        <w:t>— against the backdrop of American militarism in the Philippines, the Americas, and especially during World War I—</w:t>
      </w:r>
      <w:r w:rsidRPr="005928B4">
        <w:rPr>
          <w:highlight w:val="cyan"/>
          <w:u w:val="single"/>
        </w:rPr>
        <w:t xml:space="preserve">to intertwine new foreign policy commitments with an account of the </w:t>
      </w:r>
      <w:r w:rsidRPr="005C323D">
        <w:rPr>
          <w:u w:val="single"/>
        </w:rPr>
        <w:t xml:space="preserve">federal </w:t>
      </w:r>
      <w:r w:rsidRPr="005928B4">
        <w:rPr>
          <w:highlight w:val="cyan"/>
          <w:u w:val="single"/>
        </w:rPr>
        <w:t>Constitution in national identity.</w:t>
      </w:r>
      <w:r w:rsidRPr="005C323D">
        <w:rPr>
          <w:u w:val="single"/>
        </w:rPr>
        <w:t xml:space="preserve"> Such </w:t>
      </w:r>
      <w:r w:rsidRPr="005928B4">
        <w:rPr>
          <w:highlight w:val="cyan"/>
          <w:u w:val="single"/>
        </w:rPr>
        <w:t xml:space="preserve">political elites </w:t>
      </w:r>
      <w:r w:rsidRPr="005C323D">
        <w:rPr>
          <w:u w:val="single"/>
        </w:rPr>
        <w:t xml:space="preserve">increas- ingly </w:t>
      </w:r>
      <w:r w:rsidRPr="005928B4">
        <w:rPr>
          <w:highlight w:val="cyan"/>
          <w:u w:val="single"/>
        </w:rPr>
        <w:t xml:space="preserve">placed the Constitution at the center of American exception- alism </w:t>
      </w:r>
      <w:r w:rsidRPr="005C323D">
        <w:rPr>
          <w:u w:val="single"/>
        </w:rPr>
        <w:t>and viewed the document and the domestic culture it promoted as an implicit justification for emerging American hegemony.</w:t>
      </w:r>
      <w:r w:rsidRPr="005C323D">
        <w:rPr>
          <w:sz w:val="16"/>
        </w:rPr>
        <w:t xml:space="preserve"> According to this view, the feature that most distinguished the American political project from old-world Europe was the Constitution. Whereas European communities were the product of feudalism as well as political and religious absolutism, </w:t>
      </w:r>
      <w:r w:rsidRPr="005C323D">
        <w:rPr>
          <w:u w:val="single"/>
        </w:rPr>
        <w:t xml:space="preserve">the Constitution highlighted the extent to which the American experiment had been built from its founding on an effort to fulfill Enlightenment principles. As David Jayne Hill, Republican Party stalwart, ambassador to Germany, and president of Rochester University, wrote in his 1916 book, Americanism: What It Is, </w:t>
      </w:r>
      <w:r w:rsidRPr="005928B4">
        <w:rPr>
          <w:highlight w:val="cyan"/>
          <w:u w:val="single"/>
        </w:rPr>
        <w:t>the</w:t>
      </w:r>
      <w:r w:rsidRPr="005C323D">
        <w:rPr>
          <w:u w:val="single"/>
        </w:rPr>
        <w:t xml:space="preserve"> federal </w:t>
      </w:r>
      <w:r w:rsidRPr="005928B4">
        <w:rPr>
          <w:highlight w:val="cyan"/>
          <w:u w:val="single"/>
        </w:rPr>
        <w:t xml:space="preserve">Constitution </w:t>
      </w:r>
      <w:r w:rsidRPr="005C323D">
        <w:rPr>
          <w:u w:val="single"/>
        </w:rPr>
        <w:t xml:space="preserve">above all “developed here in America a new estimate of human values, and this has led to </w:t>
      </w:r>
      <w:r w:rsidRPr="005928B4">
        <w:rPr>
          <w:highlight w:val="cyan"/>
          <w:u w:val="single"/>
        </w:rPr>
        <w:t>a new understanding of life.”</w:t>
      </w:r>
      <w:r w:rsidRPr="005C323D">
        <w:rPr>
          <w:sz w:val="16"/>
        </w:rPr>
        <w:t xml:space="preserve">19 Contrasting European monarchical despotism with American commitments to liberty and self-government, Hill de- clared that </w:t>
      </w:r>
      <w:r w:rsidRPr="005C323D">
        <w:rPr>
          <w:u w:val="single"/>
        </w:rPr>
        <w:t>the American colonists sought to “prevent forever the recurrence of absolutism in every form, whether official or popu- lar, whether of dominant individuals or of popular majorities,” thereby producing the “original and distinctive contribution of the American mind to political theory . . . that there should be nothing in government that is not governed by law.”</w:t>
      </w:r>
      <w:r w:rsidRPr="005C323D">
        <w:rPr>
          <w:sz w:val="16"/>
        </w:rPr>
        <w:t xml:space="preserve">20 In effect, Hill and others mapped out an early twentieth-century variation of what Professor Nikhil Pal Singh has </w:t>
      </w:r>
      <w:r w:rsidRPr="005C323D">
        <w:rPr>
          <w:u w:val="single"/>
        </w:rPr>
        <w:t>called “American universal- ism”21—namely, the idea that what marks out the United States as exceptional</w:t>
      </w:r>
      <w:r w:rsidRPr="005C323D">
        <w:rPr>
          <w:sz w:val="16"/>
        </w:rPr>
        <w:t xml:space="preserve"> is its status as the place where Enlightenment commitments truly took historical root</w:t>
      </w:r>
      <w:r w:rsidRPr="005C323D">
        <w:rPr>
          <w:u w:val="single"/>
        </w:rPr>
        <w:t>. At stake in such claims was more than the belief that the Constitution safeguarded liberties at home.</w:t>
      </w:r>
      <w:r w:rsidRPr="005C323D">
        <w:rPr>
          <w:sz w:val="16"/>
        </w:rPr>
        <w:t xml:space="preserve"> It also upheld the view that the Constitution spoke to a special mission abroad. Ac- cording to Hill, European powers sought to divide the world ac- cording to a principle of “imperialism”22 and thus treated other communities as little more than material spoils. Given these facts</w:t>
      </w:r>
      <w:r w:rsidRPr="005C323D">
        <w:rPr>
          <w:u w:val="single"/>
        </w:rPr>
        <w:t xml:space="preserve">, a peaceful and stable international order required a strong </w:t>
      </w:r>
      <w:r w:rsidRPr="005928B4">
        <w:rPr>
          <w:highlight w:val="cyan"/>
          <w:u w:val="single"/>
        </w:rPr>
        <w:t xml:space="preserve">American </w:t>
      </w:r>
      <w:r w:rsidRPr="005C323D">
        <w:rPr>
          <w:u w:val="single"/>
        </w:rPr>
        <w:t xml:space="preserve">presence. This was because the culture of American </w:t>
      </w:r>
      <w:r w:rsidRPr="005928B4">
        <w:rPr>
          <w:highlight w:val="cyan"/>
          <w:u w:val="single"/>
        </w:rPr>
        <w:t>constitutionalism was “antithetical to Imperialism</w:t>
      </w:r>
      <w:r w:rsidRPr="005C323D">
        <w:rPr>
          <w:u w:val="single"/>
        </w:rPr>
        <w:t>, whose watch- word is unlimited power”23</w:t>
      </w:r>
      <w:r w:rsidRPr="005928B4">
        <w:rPr>
          <w:highlight w:val="cyan"/>
          <w:u w:val="single"/>
        </w:rPr>
        <w:t xml:space="preserve"> and</w:t>
      </w:r>
      <w:r w:rsidRPr="005C323D">
        <w:rPr>
          <w:u w:val="single"/>
        </w:rPr>
        <w:t xml:space="preserve"> thus </w:t>
      </w:r>
      <w:r w:rsidRPr="005928B4">
        <w:rPr>
          <w:highlight w:val="cyan"/>
          <w:u w:val="single"/>
        </w:rPr>
        <w:t>offered a necessary counter- balance on the global stage.</w:t>
      </w:r>
      <w:r w:rsidRPr="005C323D">
        <w:rPr>
          <w:u w:val="single"/>
        </w:rPr>
        <w:t xml:space="preserve"> Supposedly in opposition to empire,</w:t>
      </w:r>
      <w:r w:rsidRPr="005C323D">
        <w:rPr>
          <w:sz w:val="16"/>
        </w:rPr>
        <w:t xml:space="preserve"> </w:t>
      </w:r>
      <w:r w:rsidRPr="005C323D">
        <w:rPr>
          <w:rStyle w:val="StyleUnderline"/>
        </w:rPr>
        <w:t>th</w:t>
      </w:r>
      <w:r w:rsidRPr="005C323D">
        <w:rPr>
          <w:u w:val="single"/>
        </w:rPr>
        <w:t xml:space="preserve">e constitutional principle meant that American authority was centrally about </w:t>
      </w:r>
      <w:r w:rsidRPr="005928B4">
        <w:rPr>
          <w:highlight w:val="cyan"/>
          <w:u w:val="single"/>
        </w:rPr>
        <w:t xml:space="preserve">creating </w:t>
      </w:r>
      <w:r w:rsidRPr="005C323D">
        <w:rPr>
          <w:u w:val="single"/>
        </w:rPr>
        <w:t>the</w:t>
      </w:r>
      <w:r w:rsidRPr="005928B4">
        <w:rPr>
          <w:highlight w:val="cyan"/>
          <w:u w:val="single"/>
        </w:rPr>
        <w:t xml:space="preserve"> conditions in foreign,</w:t>
      </w:r>
      <w:r w:rsidRPr="005C323D">
        <w:rPr>
          <w:u w:val="single"/>
        </w:rPr>
        <w:t xml:space="preserve"> oftentimes non- European, </w:t>
      </w:r>
      <w:r w:rsidRPr="005928B4">
        <w:rPr>
          <w:highlight w:val="cyan"/>
          <w:u w:val="single"/>
        </w:rPr>
        <w:t>societies for peaceful self-government. With the world consumed in global conflict and instability, the U</w:t>
      </w:r>
      <w:r w:rsidRPr="005C323D">
        <w:rPr>
          <w:u w:val="single"/>
        </w:rPr>
        <w:t>nited</w:t>
      </w:r>
      <w:r w:rsidRPr="005928B4">
        <w:rPr>
          <w:highlight w:val="cyan"/>
          <w:u w:val="single"/>
        </w:rPr>
        <w:t xml:space="preserve"> S</w:t>
      </w:r>
      <w:r w:rsidRPr="005C323D">
        <w:rPr>
          <w:u w:val="single"/>
        </w:rPr>
        <w:t>tates</w:t>
      </w:r>
      <w:r w:rsidRPr="005928B4">
        <w:rPr>
          <w:highlight w:val="cyan"/>
          <w:u w:val="single"/>
        </w:rPr>
        <w:t xml:space="preserve"> had a responsibility to ensure that </w:t>
      </w:r>
      <w:r w:rsidRPr="005C323D">
        <w:rPr>
          <w:u w:val="single"/>
        </w:rPr>
        <w:t xml:space="preserve">the principle of </w:t>
      </w:r>
      <w:r w:rsidRPr="005928B4">
        <w:rPr>
          <w:highlight w:val="cyan"/>
          <w:u w:val="single"/>
        </w:rPr>
        <w:t xml:space="preserve">constitution- alism, </w:t>
      </w:r>
      <w:r w:rsidRPr="005C323D">
        <w:rPr>
          <w:u w:val="single"/>
        </w:rPr>
        <w:t>rather than that of imperialism</w:t>
      </w:r>
      <w:r w:rsidRPr="005928B4">
        <w:rPr>
          <w:highlight w:val="cyan"/>
          <w:u w:val="single"/>
        </w:rPr>
        <w:t>, dominated the international order</w:t>
      </w:r>
      <w:r w:rsidRPr="005C323D">
        <w:rPr>
          <w:sz w:val="16"/>
        </w:rPr>
        <w:t>.24By the 1940s, the war with Nazi Germany and the growing confrontation with the Soviet Union pushed these arguments linking constitutionalism, tutelage, and American power to the political center</w:t>
      </w:r>
      <w:r w:rsidRPr="005C323D">
        <w:rPr>
          <w:u w:val="single"/>
        </w:rPr>
        <w:t xml:space="preserve">. In justifying American involvement in World War II, those in the Roosevelt administration focused on the perceived cultural and political differences between the United States and the country’s collectivist or totalitarian foes. In par- ticular, commentators and policymakers once more rallied around the </w:t>
      </w:r>
      <w:r w:rsidRPr="005928B4">
        <w:rPr>
          <w:highlight w:val="cyan"/>
          <w:u w:val="single"/>
        </w:rPr>
        <w:t>claim that the U</w:t>
      </w:r>
      <w:r w:rsidRPr="005C323D">
        <w:rPr>
          <w:u w:val="single"/>
        </w:rPr>
        <w:t>nited</w:t>
      </w:r>
      <w:r w:rsidRPr="005928B4">
        <w:rPr>
          <w:highlight w:val="cyan"/>
          <w:u w:val="single"/>
        </w:rPr>
        <w:t xml:space="preserve"> S</w:t>
      </w:r>
      <w:r w:rsidRPr="005C323D">
        <w:rPr>
          <w:u w:val="single"/>
        </w:rPr>
        <w:t>tates</w:t>
      </w:r>
      <w:r w:rsidRPr="005928B4">
        <w:rPr>
          <w:highlight w:val="cyan"/>
          <w:u w:val="single"/>
        </w:rPr>
        <w:t xml:space="preserve"> had been defined </w:t>
      </w:r>
      <w:r w:rsidRPr="005C323D">
        <w:rPr>
          <w:u w:val="single"/>
        </w:rPr>
        <w:t xml:space="preserve">from the Founding by neither race nor religion, but rather </w:t>
      </w:r>
      <w:r w:rsidRPr="005928B4">
        <w:rPr>
          <w:highlight w:val="cyan"/>
          <w:u w:val="single"/>
        </w:rPr>
        <w:t>by a civic faith in fundamental rights, the rule of law, and basic equality</w:t>
      </w:r>
      <w:r w:rsidRPr="005C323D">
        <w:rPr>
          <w:u w:val="single"/>
        </w:rPr>
        <w:t xml:space="preserve"> Enlightenment principles that they argued made the coun- try the first truly universal nation.</w:t>
      </w:r>
      <w:r w:rsidRPr="005C323D">
        <w:rPr>
          <w:sz w:val="16"/>
        </w:rPr>
        <w:t xml:space="preserve"> As the editors of the nascent liberal journal, Common Ground, declared in the fall of 1940: Never has it been more important that we become intelli- gently aware of the ground Americans of various strains have in common; . . . that we reawaken the old American Dream, a dream which, in its powerful emphasis on the fundamental worth and dignity of every human being, can be a bond of unity no totalitarian attack can break.25The Swedish sociologist Gunnar Myrdal offered perhaps the most seminal popular presentation of these ideas in An American Dilemma, a formative text on race relations and American iden- tity for mid-twentieth-century political elites. Myrdal contended that </w:t>
      </w:r>
      <w:r w:rsidRPr="005C323D">
        <w:rPr>
          <w:u w:val="single"/>
        </w:rPr>
        <w:t xml:space="preserve">the Constitution embodied what he called “the American creed”26 and through the text “the nation early laid down as the moral basis for its existence the principles of equality and liberty.”27 Myrdal argued that, </w:t>
      </w:r>
      <w:r w:rsidRPr="005928B4">
        <w:rPr>
          <w:highlight w:val="cyan"/>
          <w:u w:val="single"/>
        </w:rPr>
        <w:t xml:space="preserve">although racist and archaic practices </w:t>
      </w:r>
      <w:r w:rsidRPr="005C323D">
        <w:rPr>
          <w:u w:val="single"/>
        </w:rPr>
        <w:t>may</w:t>
      </w:r>
      <w:r w:rsidRPr="005928B4">
        <w:rPr>
          <w:highlight w:val="cyan"/>
          <w:u w:val="single"/>
        </w:rPr>
        <w:t xml:space="preserve"> have continued to persist </w:t>
      </w:r>
      <w:r w:rsidRPr="005C323D">
        <w:rPr>
          <w:u w:val="single"/>
        </w:rPr>
        <w:t>in pockets—or entire regions—of the country, these practices were incompatible with national val- ues. “The main trend” in American history was “the gradual real- ization of the American Creed.”</w:t>
      </w:r>
      <w:r w:rsidRPr="005C323D">
        <w:rPr>
          <w:sz w:val="16"/>
        </w:rPr>
        <w:t xml:space="preserve">28 So pure were the country’s founding motives that America could be seen, at its core, as noth- ing less than “humanity in miniature.”29 Myrdal, along with many Cold War policymakers influenced by American Dilemma, employed these creedal arguments to then call for a postwar order premised on American preeminence. </w:t>
      </w:r>
      <w:r w:rsidRPr="005C323D">
        <w:rPr>
          <w:u w:val="single"/>
        </w:rPr>
        <w:t>Precisely because the United States was a nation founded on plural- ism, tolerance, and the rule of law—embodied concretely in the Constitution—American power internationally stood “warm- heartedly against oppression in all the world.”30</w:t>
      </w:r>
      <w:r w:rsidRPr="005C323D">
        <w:rPr>
          <w:sz w:val="16"/>
        </w:rPr>
        <w:t xml:space="preserve"> Given that the country’s constitutional values expressed the global community’s ideals, pax Americana necessarily involved a defense of liberal goals against illiberal threats. Such </w:t>
      </w:r>
      <w:r w:rsidRPr="005C323D">
        <w:rPr>
          <w:u w:val="single"/>
        </w:rPr>
        <w:t xml:space="preserve">creedal </w:t>
      </w:r>
      <w:r w:rsidRPr="005928B4">
        <w:rPr>
          <w:highlight w:val="cyan"/>
          <w:u w:val="single"/>
        </w:rPr>
        <w:t xml:space="preserve">constitutionalism </w:t>
      </w:r>
      <w:r w:rsidRPr="005C323D">
        <w:rPr>
          <w:u w:val="single"/>
        </w:rPr>
        <w:t xml:space="preserve">thus </w:t>
      </w:r>
      <w:r w:rsidRPr="005928B4">
        <w:rPr>
          <w:highlight w:val="cyan"/>
          <w:u w:val="single"/>
        </w:rPr>
        <w:t xml:space="preserve">gave </w:t>
      </w:r>
      <w:r w:rsidRPr="005C323D">
        <w:rPr>
          <w:u w:val="single"/>
        </w:rPr>
        <w:t xml:space="preserve">an account of the justness of American security prerog- atives and provided the ideological foundations for </w:t>
      </w:r>
      <w:r w:rsidRPr="005928B4">
        <w:rPr>
          <w:highlight w:val="cyan"/>
          <w:u w:val="single"/>
        </w:rPr>
        <w:t>the “American Century.”</w:t>
      </w:r>
      <w:r w:rsidRPr="005C323D">
        <w:rPr>
          <w:sz w:val="16"/>
        </w:rPr>
        <w:t xml:space="preserve"> Yet, for all the claims about the opposition between American constitutionalism and European imperialism, it is essential to ap- preciate the extent to which these </w:t>
      </w:r>
      <w:r w:rsidRPr="005C323D">
        <w:rPr>
          <w:u w:val="single"/>
        </w:rPr>
        <w:t>notions of American exceptionalism rested on background judgments about racial hierarchy and nonwhite dependence.</w:t>
      </w:r>
      <w:r w:rsidRPr="005C323D">
        <w:rPr>
          <w:sz w:val="16"/>
        </w:rPr>
        <w:t xml:space="preserve"> In the early decades of the twentieth cen- tury, the figure that best embodied this interconnection was none other than President Woodrow Wilson, liberal internationalist and domestic segregationist. </w:t>
      </w:r>
      <w:r w:rsidRPr="005C323D">
        <w:rPr>
          <w:u w:val="single"/>
        </w:rPr>
        <w:t>Wilson viewed the world as divided into distinct ethnocultural “peoples” at different stages in the process of political evolution.31 European Americans, especially of Anglo-Saxon descent, stood at the forefront of this evolution,</w:t>
      </w:r>
      <w:r w:rsidRPr="005C323D">
        <w:rPr>
          <w:sz w:val="16"/>
        </w:rPr>
        <w:t xml:space="preserve"> due to their long-standing acculturation in the practices of republican freedom. While democratic self-government was a universal good and all peoples had the potential eventually to enjoy its benefits, only those who had reached political maturity were ready in the pre- sent. </w:t>
      </w:r>
      <w:r w:rsidRPr="005C323D">
        <w:rPr>
          <w:u w:val="single"/>
        </w:rPr>
        <w:t xml:space="preserve">“Only a long apprenticeship of obedience can secure” less de- veloped peoples “the precious possession” of real self-government, Wilson stated, “a thing no more to be bought than given.”32 Precisely because the United States had supposedly reached the end stage of ethnocultural development—and was not stained by the absolutism and internecine violence marking Europe—it had a unique global role to play in shepherding less developed peoples on the path to freedom. In effect, </w:t>
      </w:r>
      <w:r w:rsidRPr="005928B4">
        <w:rPr>
          <w:highlight w:val="cyan"/>
          <w:u w:val="single"/>
        </w:rPr>
        <w:t>emerging accounts of American universalism</w:t>
      </w:r>
      <w:r w:rsidRPr="005C323D">
        <w:rPr>
          <w:u w:val="single"/>
        </w:rPr>
        <w:t>, grounded in constitutional experience</w:t>
      </w:r>
      <w:r w:rsidRPr="005928B4">
        <w:rPr>
          <w:highlight w:val="cyan"/>
          <w:u w:val="single"/>
        </w:rPr>
        <w:t xml:space="preserve">, reaffirmed </w:t>
      </w:r>
      <w:r w:rsidRPr="005C323D">
        <w:rPr>
          <w:u w:val="single"/>
        </w:rPr>
        <w:t xml:space="preserve">rather than undermined </w:t>
      </w:r>
      <w:r w:rsidRPr="005928B4">
        <w:rPr>
          <w:highlight w:val="cyan"/>
          <w:u w:val="single"/>
        </w:rPr>
        <w:t>white American supervision and interventionism</w:t>
      </w:r>
      <w:r w:rsidRPr="005C323D">
        <w:rPr>
          <w:sz w:val="16"/>
        </w:rPr>
        <w:t xml:space="preserve">. Indeed, for this very reason, regardless of American self-presentation the new American imperium often echoed the old European variety. This is perhaps best illustrated by publishing magnate Henry Luce’s own famous call in 1941 to “create the first great American Century.”33 For Luce, </w:t>
      </w:r>
      <w:r w:rsidRPr="005928B4">
        <w:rPr>
          <w:highlight w:val="cyan"/>
          <w:u w:val="single"/>
        </w:rPr>
        <w:t>Americans enjoyed a right to global dominance because they were nothing less than “inheritors of all the great principles of Western civilization.”</w:t>
      </w:r>
      <w:r w:rsidRPr="005C323D">
        <w:rPr>
          <w:sz w:val="16"/>
        </w:rPr>
        <w:t xml:space="preserve"> </w:t>
      </w:r>
      <w:r w:rsidRPr="005C323D">
        <w:rPr>
          <w:u w:val="single"/>
        </w:rPr>
        <w:t>In this way</w:t>
      </w:r>
      <w:r w:rsidRPr="005C323D">
        <w:rPr>
          <w:sz w:val="16"/>
        </w:rPr>
        <w:t xml:space="preserve">, </w:t>
      </w:r>
      <w:r w:rsidRPr="005C323D">
        <w:rPr>
          <w:u w:val="single"/>
        </w:rPr>
        <w:t>even the language of exceptionalism vis-à- vis other empires placed US elites and policymakers in a long line of European officials, officials who too justified their nation’s global power based on special cultural attributes and historic destiny.</w:t>
      </w:r>
      <w:r w:rsidRPr="005C323D">
        <w:rPr>
          <w:sz w:val="16"/>
        </w:rPr>
        <w:t xml:space="preserve"> And perhaps most important for those on the receiving end of American power in the first half of the twentieth century, the new politics of US global authority could seem awfully similar to its European rivals.</w:t>
      </w:r>
    </w:p>
    <w:p w:rsidR="002E141E" w:rsidRPr="00003F2D" w:rsidRDefault="002E141E" w:rsidP="002E141E"/>
    <w:p w:rsidR="007E4C1B" w:rsidRDefault="00E32D56" w:rsidP="00AA23DA">
      <w:pPr>
        <w:pStyle w:val="Heading3"/>
      </w:pPr>
      <w:r>
        <w:t>IR</w:t>
      </w:r>
    </w:p>
    <w:p w:rsidR="007E4C1B" w:rsidRPr="007E4C1B" w:rsidRDefault="007E4C1B" w:rsidP="007E4C1B">
      <w:pPr>
        <w:pStyle w:val="Heading4"/>
      </w:pPr>
      <w:r>
        <w:t>The 1AC</w:t>
      </w:r>
      <w:r w:rsidRPr="007E4C1B">
        <w:t xml:space="preserve"> exemplifies </w:t>
      </w:r>
      <w:r>
        <w:t>a</w:t>
      </w:r>
      <w:r w:rsidRPr="007E4C1B">
        <w:t xml:space="preserve"> hegemony of whiteness </w:t>
      </w:r>
      <w:r>
        <w:t>that</w:t>
      </w:r>
      <w:r w:rsidRPr="007E4C1B">
        <w:t xml:space="preserve"> </w:t>
      </w:r>
      <w:r>
        <w:t>centers</w:t>
      </w:r>
      <w:r w:rsidRPr="007E4C1B">
        <w:t xml:space="preserve"> Eurocentric no</w:t>
      </w:r>
      <w:r>
        <w:t xml:space="preserve">tions of civility and obscures </w:t>
      </w:r>
      <w:r w:rsidRPr="007E4C1B">
        <w:t>deep-rooted histories of colonialism. This framework not only prioritizes Western perspectives but also marginalizes the impacts of colonialism on global relations and governance.</w:t>
      </w:r>
    </w:p>
    <w:p w:rsidR="007E4C1B" w:rsidRPr="007E4C1B" w:rsidRDefault="007E4C1B" w:rsidP="007E4C1B">
      <w:pPr>
        <w:pBdr>
          <w:bottom w:val="single" w:sz="6" w:space="1" w:color="auto"/>
        </w:pBdr>
        <w:spacing w:after="0" w:line="240" w:lineRule="auto"/>
        <w:jc w:val="center"/>
        <w:rPr>
          <w:rFonts w:ascii="Arial" w:eastAsia="Times New Roman" w:hAnsi="Arial" w:cs="Arial"/>
          <w:vanish/>
          <w:sz w:val="16"/>
          <w:szCs w:val="16"/>
        </w:rPr>
      </w:pPr>
      <w:r w:rsidRPr="007E4C1B">
        <w:rPr>
          <w:rFonts w:ascii="Arial" w:eastAsia="Times New Roman" w:hAnsi="Arial" w:cs="Arial"/>
          <w:vanish/>
          <w:sz w:val="16"/>
          <w:szCs w:val="16"/>
        </w:rPr>
        <w:t>Top of Form</w:t>
      </w:r>
    </w:p>
    <w:p w:rsidR="007E4C1B" w:rsidRPr="007E4C1B" w:rsidRDefault="007E4C1B" w:rsidP="007E4C1B">
      <w:pPr>
        <w:pBdr>
          <w:top w:val="single" w:sz="6" w:space="1" w:color="auto"/>
        </w:pBdr>
        <w:spacing w:after="0" w:line="240" w:lineRule="auto"/>
        <w:jc w:val="center"/>
        <w:rPr>
          <w:rFonts w:ascii="Arial" w:eastAsia="Times New Roman" w:hAnsi="Arial" w:cs="Arial"/>
          <w:vanish/>
          <w:sz w:val="16"/>
          <w:szCs w:val="16"/>
        </w:rPr>
      </w:pPr>
      <w:r w:rsidRPr="007E4C1B">
        <w:rPr>
          <w:rFonts w:ascii="Arial" w:eastAsia="Times New Roman" w:hAnsi="Arial" w:cs="Arial"/>
          <w:vanish/>
          <w:sz w:val="16"/>
          <w:szCs w:val="16"/>
        </w:rPr>
        <w:t>Bottom of Form</w:t>
      </w:r>
    </w:p>
    <w:p w:rsidR="002E141E" w:rsidRPr="005C323D" w:rsidRDefault="002E141E" w:rsidP="002E141E">
      <w:pPr>
        <w:rPr>
          <w:rFonts w:eastAsia="MS Mincho"/>
          <w:color w:val="000000" w:themeColor="text1"/>
          <w:sz w:val="16"/>
          <w:szCs w:val="16"/>
        </w:rPr>
      </w:pPr>
      <w:r w:rsidRPr="005C323D">
        <w:rPr>
          <w:rFonts w:eastAsia="MS Mincho"/>
          <w:b/>
          <w:color w:val="000000" w:themeColor="text1"/>
        </w:rPr>
        <w:t>Krishna 9</w:t>
      </w:r>
      <w:r w:rsidRPr="005C323D">
        <w:rPr>
          <w:rFonts w:eastAsia="MS Mincho"/>
          <w:color w:val="000000" w:themeColor="text1"/>
        </w:rPr>
        <w:t xml:space="preserve"> </w:t>
      </w:r>
      <w:r w:rsidRPr="005C323D">
        <w:rPr>
          <w:rFonts w:eastAsia="MS Mincho"/>
          <w:color w:val="000000" w:themeColor="text1"/>
          <w:sz w:val="16"/>
          <w:szCs w:val="16"/>
        </w:rPr>
        <w:t xml:space="preserve">Sankaran, teaches international relations and comparative politics as the University of Hawaii at Manoa in Honolulu, HI. His most recent book is "Globalization and Postcolonialism: hegemony and resistance in the 21st century". (Rowman and Littlefield, 2009). PWoods. </w:t>
      </w:r>
    </w:p>
    <w:p w:rsidR="002E141E" w:rsidRPr="005C323D" w:rsidRDefault="002E141E" w:rsidP="002E141E">
      <w:pPr>
        <w:spacing w:before="100" w:beforeAutospacing="1" w:after="100" w:afterAutospacing="1"/>
        <w:jc w:val="both"/>
        <w:rPr>
          <w:color w:val="000000" w:themeColor="text1"/>
          <w:sz w:val="12"/>
          <w:szCs w:val="12"/>
        </w:rPr>
      </w:pPr>
      <w:r w:rsidRPr="005C323D">
        <w:rPr>
          <w:color w:val="000000" w:themeColor="text1"/>
          <w:sz w:val="12"/>
          <w:szCs w:val="12"/>
        </w:rPr>
        <w:t xml:space="preserve">Yet, </w:t>
      </w:r>
      <w:r w:rsidRPr="005C323D">
        <w:rPr>
          <w:color w:val="000000" w:themeColor="text1"/>
          <w:u w:val="single"/>
        </w:rPr>
        <w:t>after two world wars, the rising tide of anti-colonial nationalism across</w:t>
      </w:r>
      <w:r w:rsidRPr="005C323D">
        <w:rPr>
          <w:color w:val="000000" w:themeColor="text1"/>
          <w:sz w:val="12"/>
          <w:szCs w:val="12"/>
        </w:rPr>
        <w:t xml:space="preserve"> three </w:t>
      </w:r>
      <w:r w:rsidRPr="005C323D">
        <w:rPr>
          <w:color w:val="000000" w:themeColor="text1"/>
          <w:u w:val="single"/>
        </w:rPr>
        <w:t>continents (Asia, Africa and Latin America), and the growing refusal of those who were the objects of its inquiry to recognize themselves in its descriptions</w:t>
      </w:r>
      <w:r w:rsidRPr="005C323D">
        <w:rPr>
          <w:color w:val="000000" w:themeColor="text1"/>
          <w:sz w:val="12"/>
          <w:szCs w:val="12"/>
        </w:rPr>
        <w:t>, a decolonized Anthropology could no longer be delayed, even as significant numbers of scholars resisted such an effort. One could chart a similar trajectory – with varying degree of success - in disciplines such as History, Sociology, Political Science, Economics and others as the 20</w:t>
      </w:r>
      <w:r w:rsidRPr="005C323D">
        <w:rPr>
          <w:color w:val="000000" w:themeColor="text1"/>
          <w:sz w:val="12"/>
          <w:szCs w:val="12"/>
          <w:vertAlign w:val="superscript"/>
        </w:rPr>
        <w:t>th</w:t>
      </w:r>
      <w:r w:rsidRPr="005C323D">
        <w:rPr>
          <w:color w:val="000000" w:themeColor="text1"/>
          <w:sz w:val="12"/>
          <w:szCs w:val="12"/>
        </w:rPr>
        <w:t xml:space="preserve"> century unfolded. </w:t>
      </w:r>
      <w:r w:rsidRPr="005C323D">
        <w:rPr>
          <w:color w:val="000000" w:themeColor="text1"/>
          <w:u w:val="single"/>
        </w:rPr>
        <w:t xml:space="preserve">The realization that power and knowledge were inextricably intertwined, and that </w:t>
      </w:r>
      <w:r w:rsidRPr="005928B4">
        <w:rPr>
          <w:color w:val="000000" w:themeColor="text1"/>
          <w:highlight w:val="cyan"/>
          <w:u w:val="single"/>
        </w:rPr>
        <w:t>‘western’ descriptions of the non-west were never innocent of their own political, economic and other interests</w:t>
      </w:r>
      <w:r w:rsidRPr="005C323D">
        <w:rPr>
          <w:color w:val="000000" w:themeColor="text1"/>
          <w:u w:val="single"/>
        </w:rPr>
        <w:t xml:space="preserve"> in those spaces, gradually worked their way towards a still incomplete and ongoing process of decolonization of these disciplines.</w:t>
      </w:r>
      <w:r w:rsidRPr="005C323D">
        <w:rPr>
          <w:color w:val="000000" w:themeColor="text1"/>
          <w:sz w:val="12"/>
          <w:szCs w:val="12"/>
        </w:rPr>
        <w:t xml:space="preserve"> For a variety of reasons, </w:t>
      </w:r>
      <w:r w:rsidRPr="005C323D">
        <w:rPr>
          <w:color w:val="000000" w:themeColor="text1"/>
          <w:u w:val="single"/>
        </w:rPr>
        <w:t xml:space="preserve">the discipline of International Relations </w:t>
      </w:r>
      <w:r w:rsidRPr="005928B4">
        <w:rPr>
          <w:color w:val="000000" w:themeColor="text1"/>
          <w:highlight w:val="cyan"/>
          <w:u w:val="single"/>
        </w:rPr>
        <w:t>(IR) has been extraordinarily resistant to a decolonizing impulse.</w:t>
      </w:r>
      <w:r w:rsidRPr="005C323D">
        <w:rPr>
          <w:color w:val="000000" w:themeColor="text1"/>
          <w:u w:val="single"/>
        </w:rPr>
        <w:t xml:space="preserve"> Firstly, </w:t>
      </w:r>
      <w:r w:rsidRPr="005928B4">
        <w:rPr>
          <w:color w:val="000000" w:themeColor="text1"/>
          <w:highlight w:val="cyan"/>
          <w:u w:val="single"/>
        </w:rPr>
        <w:t>IR emerged within the U</w:t>
      </w:r>
      <w:r w:rsidRPr="005C323D">
        <w:rPr>
          <w:color w:val="000000" w:themeColor="text1"/>
          <w:u w:val="single"/>
        </w:rPr>
        <w:t xml:space="preserve">nited </w:t>
      </w:r>
      <w:r w:rsidRPr="005928B4">
        <w:rPr>
          <w:color w:val="000000" w:themeColor="text1"/>
          <w:highlight w:val="cyan"/>
          <w:u w:val="single"/>
        </w:rPr>
        <w:t>S</w:t>
      </w:r>
      <w:r w:rsidRPr="005C323D">
        <w:rPr>
          <w:color w:val="000000" w:themeColor="text1"/>
          <w:u w:val="single"/>
        </w:rPr>
        <w:t xml:space="preserve">tates, </w:t>
      </w:r>
      <w:r w:rsidRPr="005928B4">
        <w:rPr>
          <w:color w:val="000000" w:themeColor="text1"/>
          <w:highlight w:val="cyan"/>
          <w:u w:val="single"/>
        </w:rPr>
        <w:t>a society that is ferociously amnesiac about its own</w:t>
      </w:r>
      <w:r w:rsidRPr="005C323D">
        <w:rPr>
          <w:color w:val="000000" w:themeColor="text1"/>
          <w:u w:val="single"/>
        </w:rPr>
        <w:t xml:space="preserve"> (domestic) </w:t>
      </w:r>
      <w:r w:rsidRPr="005928B4">
        <w:rPr>
          <w:color w:val="000000" w:themeColor="text1"/>
          <w:highlight w:val="cyan"/>
          <w:u w:val="single"/>
        </w:rPr>
        <w:t>history as a settler-colony and an (external) history as a colonizer</w:t>
      </w:r>
      <w:r w:rsidRPr="005C323D">
        <w:rPr>
          <w:color w:val="000000" w:themeColor="text1"/>
          <w:u w:val="single"/>
        </w:rPr>
        <w:t xml:space="preserve"> in Latin America, the Pacific Islands, the Far East, etc. The US has instead emphasized its post-colonial status in that it broke away from Britain in the late 18th century and</w:t>
      </w:r>
      <w:r w:rsidRPr="005C323D">
        <w:rPr>
          <w:color w:val="000000" w:themeColor="text1"/>
          <w:sz w:val="12"/>
          <w:szCs w:val="12"/>
        </w:rPr>
        <w:t xml:space="preserve"> (intermittently) </w:t>
      </w:r>
      <w:r w:rsidRPr="005C323D">
        <w:rPr>
          <w:color w:val="000000" w:themeColor="text1"/>
          <w:u w:val="single"/>
        </w:rPr>
        <w:t xml:space="preserve">supported the decolonization efforts of third world countries seeking independence from England, France or Japan. </w:t>
      </w:r>
      <w:r w:rsidRPr="005928B4">
        <w:rPr>
          <w:color w:val="000000" w:themeColor="text1"/>
          <w:highlight w:val="cyan"/>
          <w:u w:val="single"/>
        </w:rPr>
        <w:t>This assiduous forgetting of the genocide (of Native Americans) and slavery (of Africans exported to the New World) central to the founding of the United States has carried over into the quintessentially American discipline of IR which often talks of the relations between nations as if they were ahistorical entities which suddenly emerged – all identical and sovereign - sometime in the middle of the 20th century.</w:t>
      </w:r>
      <w:r w:rsidRPr="005C323D">
        <w:rPr>
          <w:color w:val="000000" w:themeColor="text1"/>
          <w:sz w:val="12"/>
          <w:szCs w:val="12"/>
        </w:rPr>
        <w:t xml:space="preserve"> Second, emerging as it did in the interregnum between two horrific world wars, </w:t>
      </w:r>
      <w:r w:rsidRPr="005928B4">
        <w:rPr>
          <w:color w:val="000000" w:themeColor="text1"/>
          <w:highlight w:val="cyan"/>
          <w:u w:val="single"/>
        </w:rPr>
        <w:t>IR has always focused on explaining the conditions that lead to war and ways to prevent it. This has produced an obsession with issues of national security, and especially of the need to avoid ‘irresponsible’ policy or idealism that could lower one’s guard and create the conditions for war.</w:t>
      </w:r>
      <w:r w:rsidRPr="005928B4">
        <w:rPr>
          <w:color w:val="000000" w:themeColor="text1"/>
          <w:sz w:val="12"/>
          <w:szCs w:val="12"/>
          <w:highlight w:val="cyan"/>
        </w:rPr>
        <w:t xml:space="preserve"> ‘</w:t>
      </w:r>
      <w:r w:rsidRPr="005C323D">
        <w:rPr>
          <w:color w:val="000000" w:themeColor="text1"/>
          <w:sz w:val="12"/>
          <w:szCs w:val="12"/>
        </w:rPr>
        <w:t xml:space="preserve">Historical’ issues such as colonialism were deemed less relevant and priority accorded to a ‘presentism’ that continuously focused on threats to national security and opportunities to enhance national interests. In other words, </w:t>
      </w:r>
      <w:r w:rsidRPr="005928B4">
        <w:rPr>
          <w:color w:val="000000" w:themeColor="text1"/>
          <w:highlight w:val="cyan"/>
          <w:u w:val="single"/>
        </w:rPr>
        <w:t>IR discourse</w:t>
      </w:r>
      <w:r w:rsidRPr="005C323D">
        <w:rPr>
          <w:color w:val="000000" w:themeColor="text1"/>
          <w:u w:val="single"/>
        </w:rPr>
        <w:t xml:space="preserve"> is predominantly a prose of counter-insurgency: it </w:t>
      </w:r>
      <w:r w:rsidRPr="005928B4">
        <w:rPr>
          <w:color w:val="000000" w:themeColor="text1"/>
          <w:highlight w:val="cyan"/>
          <w:u w:val="single"/>
        </w:rPr>
        <w:t>is governed by a methodological nationalism</w:t>
      </w:r>
      <w:r w:rsidRPr="005C323D">
        <w:rPr>
          <w:color w:val="000000" w:themeColor="text1"/>
          <w:u w:val="single"/>
        </w:rPr>
        <w:t xml:space="preserve"> that it is designed at every turn to avert all threats to statist sovereignty.</w:t>
      </w:r>
      <w:r w:rsidRPr="005C323D">
        <w:rPr>
          <w:color w:val="000000" w:themeColor="text1"/>
          <w:sz w:val="12"/>
          <w:szCs w:val="12"/>
        </w:rPr>
        <w:t xml:space="preserve"> And thirdly, </w:t>
      </w:r>
      <w:r w:rsidRPr="005928B4">
        <w:rPr>
          <w:color w:val="000000" w:themeColor="text1"/>
          <w:highlight w:val="cyan"/>
          <w:u w:val="single"/>
        </w:rPr>
        <w:t>IR has sought to construct itself in the image of a scientific discipline</w:t>
      </w:r>
      <w:r w:rsidRPr="005C323D">
        <w:rPr>
          <w:color w:val="000000" w:themeColor="text1"/>
          <w:u w:val="single"/>
        </w:rPr>
        <w:t xml:space="preserve">, one </w:t>
      </w:r>
      <w:r w:rsidRPr="005928B4">
        <w:rPr>
          <w:color w:val="000000" w:themeColor="text1"/>
          <w:highlight w:val="cyan"/>
          <w:u w:val="single"/>
        </w:rPr>
        <w:t>that aims to</w:t>
      </w:r>
      <w:r w:rsidRPr="005C323D">
        <w:rPr>
          <w:color w:val="000000" w:themeColor="text1"/>
          <w:u w:val="single"/>
        </w:rPr>
        <w:t xml:space="preserve"> uncover the invariant laws that </w:t>
      </w:r>
      <w:r w:rsidRPr="005928B4">
        <w:rPr>
          <w:color w:val="000000" w:themeColor="text1"/>
          <w:highlight w:val="cyan"/>
          <w:u w:val="single"/>
        </w:rPr>
        <w:t>govern relations between nations.</w:t>
      </w:r>
      <w:r w:rsidRPr="005C323D">
        <w:rPr>
          <w:color w:val="000000" w:themeColor="text1"/>
          <w:u w:val="single"/>
        </w:rPr>
        <w:t xml:space="preserve"> This emphasis on achieving a universal science applicable in all situations has meant that </w:t>
      </w:r>
      <w:r w:rsidRPr="005928B4">
        <w:rPr>
          <w:color w:val="000000" w:themeColor="text1"/>
          <w:highlight w:val="cyan"/>
          <w:u w:val="single"/>
        </w:rPr>
        <w:t>IR has a strong preference for abstract theory at the expense of historical contexts and specificity.</w:t>
      </w:r>
    </w:p>
    <w:p w:rsidR="002E141E" w:rsidRPr="00003F2D" w:rsidRDefault="002E141E" w:rsidP="002E141E"/>
    <w:p w:rsidR="002E141E" w:rsidRDefault="002E141E" w:rsidP="002E141E">
      <w:pPr>
        <w:pStyle w:val="Heading3"/>
      </w:pPr>
      <w:r>
        <w:t xml:space="preserve">Property </w:t>
      </w:r>
    </w:p>
    <w:p w:rsidR="00D855D0" w:rsidRPr="00D855D0" w:rsidRDefault="00D855D0" w:rsidP="00D855D0">
      <w:pPr>
        <w:pStyle w:val="Heading4"/>
      </w:pPr>
      <w:r w:rsidRPr="00D855D0">
        <w:t xml:space="preserve">Property logics cannot be separated from Eurocentric notions of ownership and racial hierarchy that </w:t>
      </w:r>
      <w:r>
        <w:t>actively exclude</w:t>
      </w:r>
      <w:r w:rsidRPr="00D855D0">
        <w:t xml:space="preserve"> subaltern folks from land and social recognition. </w:t>
      </w:r>
    </w:p>
    <w:p w:rsidR="00D855D0" w:rsidRDefault="00D855D0" w:rsidP="00D855D0">
      <w:pPr>
        <w:pStyle w:val="z-TopofForm"/>
      </w:pPr>
      <w:r>
        <w:t>Top of Form</w:t>
      </w:r>
    </w:p>
    <w:p w:rsidR="00D855D0" w:rsidRDefault="00D855D0" w:rsidP="00D855D0">
      <w:pPr>
        <w:pStyle w:val="z-BottomofForm"/>
      </w:pPr>
      <w:r>
        <w:t>Bottom of Form</w:t>
      </w:r>
    </w:p>
    <w:p w:rsidR="002E141E" w:rsidRPr="005C323D" w:rsidRDefault="002E141E" w:rsidP="002E141E">
      <w:pPr>
        <w:rPr>
          <w:b/>
          <w:sz w:val="26"/>
        </w:rPr>
      </w:pPr>
      <w:r w:rsidRPr="005C323D">
        <w:rPr>
          <w:rStyle w:val="Style13ptBold"/>
        </w:rPr>
        <w:t xml:space="preserve">Safransky 21 </w:t>
      </w:r>
      <w:r w:rsidRPr="005C323D">
        <w:t xml:space="preserve">[ Sara Safranski is a geographer @ UNC Chapel hill, “Grammars of reckoning: Redressing racial regimes of property,”https://doi.org/10.1177/0263775821999664] // EJ </w:t>
      </w:r>
    </w:p>
    <w:p w:rsidR="002E141E" w:rsidRPr="005C323D" w:rsidRDefault="002E141E" w:rsidP="002E141E">
      <w:pPr>
        <w:rPr>
          <w:sz w:val="16"/>
        </w:rPr>
      </w:pPr>
      <w:r w:rsidRPr="005C323D">
        <w:rPr>
          <w:u w:val="single"/>
        </w:rPr>
        <w:t xml:space="preserve">We tend to think of grammar in terms of syntax. It conjures grade school lessons on verb tenses, appositives, compound sentences, and gerunds. It is that but also more. </w:t>
      </w:r>
      <w:r w:rsidRPr="005928B4">
        <w:rPr>
          <w:highlight w:val="cyan"/>
          <w:u w:val="single"/>
        </w:rPr>
        <w:t>Grammar is about structures of language</w:t>
      </w:r>
      <w:r w:rsidRPr="005C323D">
        <w:rPr>
          <w:u w:val="single"/>
        </w:rPr>
        <w:t xml:space="preserve">, including the ways that </w:t>
      </w:r>
      <w:r w:rsidRPr="005928B4">
        <w:rPr>
          <w:highlight w:val="cyan"/>
          <w:u w:val="single"/>
        </w:rPr>
        <w:t>words are arranged</w:t>
      </w:r>
      <w:r w:rsidRPr="005C323D">
        <w:rPr>
          <w:u w:val="single"/>
        </w:rPr>
        <w:t xml:space="preserve">, inflected, </w:t>
      </w:r>
      <w:r w:rsidRPr="005928B4">
        <w:rPr>
          <w:highlight w:val="cyan"/>
          <w:u w:val="single"/>
        </w:rPr>
        <w:t>and imbued with meaning</w:t>
      </w:r>
      <w:r w:rsidRPr="005C323D">
        <w:rPr>
          <w:u w:val="single"/>
        </w:rPr>
        <w:t xml:space="preserve">. </w:t>
      </w:r>
      <w:r w:rsidRPr="005928B4">
        <w:rPr>
          <w:highlight w:val="cyan"/>
          <w:u w:val="single"/>
        </w:rPr>
        <w:t xml:space="preserve">Grammar </w:t>
      </w:r>
      <w:r w:rsidRPr="005C323D">
        <w:rPr>
          <w:u w:val="single"/>
        </w:rPr>
        <w:t xml:space="preserve">embodies places, spatial relations, cultures, temporalities, power, notions of self, and conceptions of social difference, among other factors. It </w:t>
      </w:r>
      <w:r w:rsidRPr="005928B4">
        <w:rPr>
          <w:highlight w:val="cyan"/>
          <w:u w:val="single"/>
        </w:rPr>
        <w:t>provides the structure for what comes to be taken as commonplace</w:t>
      </w:r>
      <w:r w:rsidRPr="005C323D">
        <w:rPr>
          <w:u w:val="single"/>
        </w:rPr>
        <w:t xml:space="preserve"> in everyday speech and action</w:t>
      </w:r>
      <w:r w:rsidRPr="005C323D">
        <w:rPr>
          <w:sz w:val="16"/>
        </w:rPr>
        <w:t xml:space="preserve">. This is to say that grammar has a politics and politics has a grammar (Wilce, 2012). </w:t>
      </w:r>
      <w:r w:rsidRPr="005928B4">
        <w:rPr>
          <w:b/>
          <w:bCs/>
          <w:highlight w:val="cyan"/>
          <w:u w:val="single"/>
        </w:rPr>
        <w:t>Together they condition how we understand</w:t>
      </w:r>
      <w:r w:rsidRPr="005C323D">
        <w:rPr>
          <w:b/>
          <w:bCs/>
          <w:u w:val="single"/>
        </w:rPr>
        <w:t xml:space="preserve"> and produce </w:t>
      </w:r>
      <w:r w:rsidRPr="005928B4">
        <w:rPr>
          <w:b/>
          <w:bCs/>
          <w:highlight w:val="cyan"/>
          <w:u w:val="single"/>
        </w:rPr>
        <w:t>social worlds and debate our collective future</w:t>
      </w:r>
      <w:r w:rsidRPr="005C323D">
        <w:rPr>
          <w:b/>
          <w:bCs/>
          <w:sz w:val="16"/>
        </w:rPr>
        <w:t xml:space="preserve">. </w:t>
      </w:r>
      <w:r w:rsidRPr="005928B4">
        <w:rPr>
          <w:highlight w:val="cyan"/>
          <w:u w:val="single"/>
        </w:rPr>
        <w:t>Insomuch as political grammars help to construct worlds, they can also erase others</w:t>
      </w:r>
      <w:r w:rsidRPr="005C323D">
        <w:rPr>
          <w:sz w:val="16"/>
        </w:rPr>
        <w:t xml:space="preserve">. </w:t>
      </w:r>
      <w:r w:rsidRPr="005C323D">
        <w:rPr>
          <w:u w:val="single"/>
        </w:rPr>
        <w:t>Conquest of the so-called New World was predicated on genocide, pillage, plunder, and the rearrangement of property relations, which found justification in language and law (Banner, 2005).</w:t>
      </w:r>
      <w:r w:rsidRPr="005C323D">
        <w:rPr>
          <w:sz w:val="16"/>
        </w:rPr>
        <w:t xml:space="preserve"> Notably, as Tiffany Lethabo King argues, a newly invented grammar of settlement pacified the brutality and atrocities of conquest. “British parlance, visual art, maps, and other discursive performances of power,” King writes, “shifted from using the term ‘conquest’ to employing terms such as ‘settlement’ and ‘plantation.’ These words were the preferred terms and syntax for the active and brutal process of British and Anglo forms of imperial domination in the eighteenth century” (King, 2019: 20). </w:t>
      </w:r>
      <w:r w:rsidRPr="005C323D">
        <w:rPr>
          <w:u w:val="single"/>
        </w:rPr>
        <w:t xml:space="preserve">Meanwhile, </w:t>
      </w:r>
      <w:r w:rsidRPr="005928B4">
        <w:rPr>
          <w:highlight w:val="cyan"/>
          <w:u w:val="single"/>
        </w:rPr>
        <w:t>a</w:t>
      </w:r>
      <w:r w:rsidRPr="005C323D">
        <w:rPr>
          <w:u w:val="single"/>
        </w:rPr>
        <w:t xml:space="preserve"> “new </w:t>
      </w:r>
      <w:r w:rsidRPr="005928B4">
        <w:rPr>
          <w:highlight w:val="cyan"/>
          <w:u w:val="single"/>
        </w:rPr>
        <w:t>grammar of property</w:t>
      </w:r>
      <w:r w:rsidRPr="005C323D">
        <w:rPr>
          <w:u w:val="single"/>
        </w:rPr>
        <w:t xml:space="preserve">” (Alain Pottage’s [1995] phrase) arose from and </w:t>
      </w:r>
      <w:r w:rsidRPr="005928B4">
        <w:rPr>
          <w:highlight w:val="cyan"/>
          <w:u w:val="single"/>
        </w:rPr>
        <w:t>was foundational to colonial conquest and</w:t>
      </w:r>
      <w:r w:rsidRPr="005C323D">
        <w:rPr>
          <w:u w:val="single"/>
        </w:rPr>
        <w:t xml:space="preserve"> the expansion of </w:t>
      </w:r>
      <w:r w:rsidRPr="005928B4">
        <w:rPr>
          <w:highlight w:val="cyan"/>
          <w:u w:val="single"/>
        </w:rPr>
        <w:t>racial capitalism</w:t>
      </w:r>
      <w:r w:rsidRPr="005C323D">
        <w:rPr>
          <w:u w:val="single"/>
        </w:rPr>
        <w:t xml:space="preserve"> (Bhandar, 2018). The emerging grammar of property—which introduced a new way of speaking about, legally organizing, and socially relating vis-a`-vis land—reflected abstract notions of ownership, credit, and equivalence.</w:t>
      </w:r>
      <w:r w:rsidRPr="005C323D">
        <w:rPr>
          <w:sz w:val="16"/>
        </w:rPr>
        <w:t xml:space="preserve"> Such abstractions were shaped by and rested upon novel legal forms such as the adoption of title by registration, which did away with needing to prove a chain of title making it easier to realize the alienation and exchange of land. </w:t>
      </w:r>
      <w:r w:rsidRPr="005C323D">
        <w:rPr>
          <w:u w:val="single"/>
        </w:rPr>
        <w:t>Another example is the Debt Recovery Act, enacted by Parliament in 1732, which ruled that slaves and land in the British colonies could be seized for debts by rendering them equivalent to chattel or personal property, eliminating potential heirs’ claims, and initiating a new scheme in which land and slaves became substitutes for money (Clegg, 2018).</w:t>
      </w:r>
      <w:r w:rsidRPr="005C323D">
        <w:rPr>
          <w:sz w:val="16"/>
        </w:rPr>
        <w:t xml:space="preserve"> Indeed, in 18th-century colonial America, British colonists started to call money “Coined Land” (Park, 2016 citing Waldstreicher, 2006: 198). </w:t>
      </w:r>
      <w:r w:rsidRPr="005C323D">
        <w:rPr>
          <w:u w:val="single"/>
        </w:rPr>
        <w:t xml:space="preserve">At the same time, as Brenna Bhandar (2018) argues, modern </w:t>
      </w:r>
      <w:r w:rsidRPr="005928B4">
        <w:rPr>
          <w:highlight w:val="cyan"/>
          <w:u w:val="single"/>
        </w:rPr>
        <w:t>property laws and rationalities</w:t>
      </w:r>
      <w:r w:rsidRPr="005C323D">
        <w:rPr>
          <w:u w:val="single"/>
        </w:rPr>
        <w:t xml:space="preserve"> for private property </w:t>
      </w:r>
      <w:r w:rsidRPr="005928B4">
        <w:rPr>
          <w:highlight w:val="cyan"/>
          <w:u w:val="single"/>
        </w:rPr>
        <w:t>conjoined with emerging racial schemas to determine who was</w:t>
      </w:r>
      <w:r w:rsidRPr="005C323D">
        <w:rPr>
          <w:u w:val="single"/>
        </w:rPr>
        <w:t xml:space="preserve"> (</w:t>
      </w:r>
      <w:r w:rsidRPr="005928B4">
        <w:rPr>
          <w:highlight w:val="cyan"/>
          <w:u w:val="single"/>
        </w:rPr>
        <w:t>and was not) fit to own land</w:t>
      </w:r>
      <w:r w:rsidRPr="005C323D">
        <w:rPr>
          <w:u w:val="single"/>
        </w:rPr>
        <w:t xml:space="preserve"> (e.g., only certain genders, races, citizens).</w:t>
      </w:r>
      <w:r w:rsidRPr="005C323D">
        <w:rPr>
          <w:sz w:val="16"/>
        </w:rPr>
        <w:t xml:space="preserve"> </w:t>
      </w:r>
      <w:r w:rsidRPr="005C323D">
        <w:rPr>
          <w:b/>
          <w:bCs/>
          <w:u w:val="single"/>
        </w:rPr>
        <w:t xml:space="preserve">Status was conferred based on </w:t>
      </w:r>
      <w:r w:rsidRPr="005928B4">
        <w:rPr>
          <w:b/>
          <w:bCs/>
          <w:highlight w:val="cyan"/>
          <w:u w:val="single"/>
        </w:rPr>
        <w:t>European notions of land and property “improvement.”</w:t>
      </w:r>
      <w:r w:rsidRPr="005C323D">
        <w:rPr>
          <w:b/>
          <w:bCs/>
          <w:u w:val="single"/>
        </w:rPr>
        <w:t xml:space="preserve"> </w:t>
      </w:r>
      <w:r w:rsidRPr="005928B4">
        <w:rPr>
          <w:b/>
          <w:bCs/>
          <w:highlight w:val="cyan"/>
          <w:u w:val="single"/>
        </w:rPr>
        <w:t>White people were deemed capable of improving land, whereas Indigenous property practices were not recognized as improvement.</w:t>
      </w:r>
      <w:r w:rsidRPr="005C323D">
        <w:rPr>
          <w:b/>
          <w:bCs/>
          <w:u w:val="single"/>
        </w:rPr>
        <w:t xml:space="preserve"> </w:t>
      </w:r>
      <w:r w:rsidRPr="005C323D">
        <w:rPr>
          <w:sz w:val="16"/>
        </w:rPr>
        <w:t xml:space="preserve">Meanwhile, to own landed property enslaved people had to overcome their own status as property. New “scientific” measures and legal categorizations of race served the explicit purpose of delimiting entitlement, use, and enjoyment of land and other immovable property. </w:t>
      </w:r>
      <w:r w:rsidRPr="005C323D">
        <w:rPr>
          <w:u w:val="single"/>
        </w:rPr>
        <w:t xml:space="preserve">In short, this new grammar of property fused racial and property logics of abstraction, </w:t>
      </w:r>
      <w:r w:rsidRPr="005928B4">
        <w:rPr>
          <w:highlight w:val="cyan"/>
          <w:u w:val="single"/>
        </w:rPr>
        <w:t>situated “whiteness at the</w:t>
      </w:r>
      <w:r w:rsidRPr="005C323D">
        <w:rPr>
          <w:u w:val="single"/>
        </w:rPr>
        <w:t xml:space="preserve"> apex of </w:t>
      </w:r>
      <w:r w:rsidRPr="005928B4">
        <w:rPr>
          <w:highlight w:val="cyan"/>
          <w:u w:val="single"/>
        </w:rPr>
        <w:t>civilized human</w:t>
      </w:r>
      <w:r w:rsidRPr="005C323D">
        <w:rPr>
          <w:u w:val="single"/>
        </w:rPr>
        <w:t xml:space="preserve"> life” (Bhandar, 2018: 83; see also Wynter, 2003), </w:t>
      </w:r>
      <w:r w:rsidRPr="005928B4">
        <w:rPr>
          <w:highlight w:val="cyan"/>
          <w:u w:val="single"/>
        </w:rPr>
        <w:t>and displaced and rendered deviant other ways of holding and relating to land and being human</w:t>
      </w:r>
      <w:r w:rsidRPr="005C323D">
        <w:rPr>
          <w:u w:val="single"/>
        </w:rPr>
        <w:t xml:space="preserve"> (Hong, 2014).</w:t>
      </w:r>
      <w:r w:rsidRPr="005C323D">
        <w:rPr>
          <w:sz w:val="16"/>
        </w:rPr>
        <w:t xml:space="preserve"> The colonial encounter was complex. It varied across geographies and in response to local resistances. Such complexity, however, should not obscure how the barbarism and genocidal imperatives of conquest became embedded in the rule of law in the fledgling North American republics, for example, in systematic efforts to exploit the powerful linkages between language and culture. This happened most obviously in the naming and renaming of places, people, and things. </w:t>
      </w:r>
      <w:r w:rsidRPr="005C323D">
        <w:rPr>
          <w:u w:val="single"/>
        </w:rPr>
        <w:t>The work of naming was not only about having knowledge but taking possession and creating a new world in which the colonizer belonged (Kincaid, 1997).</w:t>
      </w:r>
      <w:r w:rsidRPr="005C323D">
        <w:rPr>
          <w:sz w:val="16"/>
        </w:rPr>
        <w:t xml:space="preserve"> The legacy of conquest is emblazoned on today’s streets, buildings, towns, schools, and the busts and bodies of colonial administrators memorialized as statues and monuments. It is also evidenced by colonial efforts to discipline Indigenous peoples by taming their tongues. In 1860, the US Bureau of Indian Affairs established Indian boarding schools. Following the 1879 Davin report, which studied the US system, government officials in Canada made recommendations for a similar system of Indian Residential Schools north of the border (de Leeuw, 2007). </w:t>
      </w:r>
      <w:r w:rsidRPr="005C323D">
        <w:rPr>
          <w:u w:val="single"/>
        </w:rPr>
        <w:t xml:space="preserve">The schools enforced brutal regimes of linguistic violence to ensure that children lost their native languages and learned English, including forced isolation, withholding of meals, washing children’s mouths with soap, and physical violence (in some schools, teachers went as far as stabbing their students’ tongues with needles and administering electrical shocks) so that their mother tongue would become associated with pain. </w:t>
      </w:r>
      <w:r w:rsidRPr="005C323D">
        <w:rPr>
          <w:b/>
          <w:bCs/>
          <w:u w:val="single"/>
        </w:rPr>
        <w:t xml:space="preserve">In this sense, </w:t>
      </w:r>
      <w:r w:rsidRPr="005928B4">
        <w:rPr>
          <w:b/>
          <w:bCs/>
          <w:highlight w:val="cyan"/>
          <w:u w:val="single"/>
        </w:rPr>
        <w:t>learning English was about</w:t>
      </w:r>
      <w:r w:rsidRPr="005C323D">
        <w:rPr>
          <w:b/>
          <w:bCs/>
          <w:u w:val="single"/>
        </w:rPr>
        <w:t xml:space="preserve"> more than acquiring language skills. It was </w:t>
      </w:r>
      <w:r w:rsidRPr="005928B4">
        <w:rPr>
          <w:b/>
          <w:bCs/>
          <w:highlight w:val="cyan"/>
          <w:u w:val="single"/>
        </w:rPr>
        <w:t>a</w:t>
      </w:r>
      <w:r w:rsidRPr="005C323D">
        <w:rPr>
          <w:b/>
          <w:bCs/>
          <w:u w:val="single"/>
        </w:rPr>
        <w:t xml:space="preserve">n </w:t>
      </w:r>
      <w:r w:rsidRPr="005928B4">
        <w:rPr>
          <w:b/>
          <w:bCs/>
          <w:highlight w:val="cyan"/>
          <w:u w:val="single"/>
        </w:rPr>
        <w:t>attempt to force upon Indigenous youth a</w:t>
      </w:r>
      <w:r w:rsidRPr="005C323D">
        <w:rPr>
          <w:b/>
          <w:bCs/>
          <w:u w:val="single"/>
        </w:rPr>
        <w:t xml:space="preserve"> new political grammar and </w:t>
      </w:r>
      <w:r w:rsidRPr="005928B4">
        <w:rPr>
          <w:b/>
          <w:bCs/>
          <w:highlight w:val="cyan"/>
          <w:u w:val="single"/>
        </w:rPr>
        <w:t>subjectivity</w:t>
      </w:r>
      <w:r w:rsidRPr="005C323D">
        <w:rPr>
          <w:b/>
          <w:bCs/>
          <w:u w:val="single"/>
        </w:rPr>
        <w:t xml:space="preserve">, one </w:t>
      </w:r>
      <w:r w:rsidRPr="005928B4">
        <w:rPr>
          <w:b/>
          <w:bCs/>
          <w:highlight w:val="cyan"/>
          <w:u w:val="single"/>
        </w:rPr>
        <w:t>infused with liberal ideals of possessive individualism that negated Indigenous</w:t>
      </w:r>
      <w:r w:rsidRPr="005C323D">
        <w:rPr>
          <w:b/>
          <w:bCs/>
          <w:u w:val="single"/>
        </w:rPr>
        <w:t xml:space="preserve"> traditions, forms of governance, and systems of </w:t>
      </w:r>
      <w:r w:rsidRPr="005928B4">
        <w:rPr>
          <w:b/>
          <w:bCs/>
          <w:highlight w:val="cyan"/>
          <w:u w:val="single"/>
        </w:rPr>
        <w:t>communal ownership</w:t>
      </w:r>
      <w:r w:rsidRPr="005C323D">
        <w:rPr>
          <w:b/>
          <w:bCs/>
          <w:u w:val="single"/>
        </w:rPr>
        <w:t>.</w:t>
      </w:r>
      <w:r w:rsidRPr="005C323D">
        <w:rPr>
          <w:sz w:val="16"/>
        </w:rPr>
        <w:t xml:space="preserve"> While this new racialized grammar of property was foundational to the postEnlightenment expansion of racial capitalism and emerging political structures, it has never been static or totalizing; other forms of collective property have always co-existed. It has also always been contested through what we might think of as counter-grammars of reckoning and redress that abide by a different lexicon of land and property that disrupt notions of sovereignty, personhood, race, and value upon which liberal regimes of property rest.</w:t>
      </w:r>
    </w:p>
    <w:p w:rsidR="002E141E" w:rsidRPr="00861B49" w:rsidRDefault="002E141E" w:rsidP="002E141E"/>
    <w:p w:rsidR="00BB0CFE" w:rsidRDefault="00BB0CFE" w:rsidP="00123317">
      <w:pPr>
        <w:pStyle w:val="Heading3"/>
      </w:pPr>
      <w:r>
        <w:t xml:space="preserve">Yellow Peril </w:t>
      </w:r>
    </w:p>
    <w:p w:rsidR="00BB0CFE" w:rsidRPr="00F86742" w:rsidRDefault="00BB0CFE" w:rsidP="00BB0CFE">
      <w:pPr>
        <w:pStyle w:val="Heading4"/>
        <w:rPr>
          <w:rStyle w:val="StyleUnderline"/>
          <w:sz w:val="26"/>
          <w:szCs w:val="26"/>
          <w:u w:val="none"/>
        </w:rPr>
      </w:pPr>
      <w:r w:rsidRPr="00F86742">
        <w:rPr>
          <w:rStyle w:val="StyleUnderline"/>
          <w:sz w:val="26"/>
          <w:szCs w:val="26"/>
          <w:u w:val="none"/>
        </w:rPr>
        <w:t>The Western way of looking at Asian countries through a lens of orientalism perpetuates Western superiority and settlerism.</w:t>
      </w:r>
    </w:p>
    <w:p w:rsidR="00BB0CFE" w:rsidRPr="00F86742" w:rsidRDefault="00BB0CFE" w:rsidP="00BB0CFE">
      <w:r w:rsidRPr="00F86742">
        <w:rPr>
          <w:b/>
          <w:bCs/>
          <w:sz w:val="26"/>
          <w:szCs w:val="26"/>
        </w:rPr>
        <w:t>Parekh 23</w:t>
      </w:r>
      <w:r w:rsidRPr="00F86742">
        <w:t xml:space="preserve"> [Rauf Parekh is an Urdu lexicographer, linguist, humorist and a Pakistani newspaper columnist, “Literary Notes: West’s ‘civilising mission’, postcolonial studies, orientalism &amp; Edward Said,” </w:t>
      </w:r>
      <w:r w:rsidRPr="00F86742">
        <w:rPr>
          <w:i/>
          <w:iCs/>
        </w:rPr>
        <w:t>Dawn</w:t>
      </w:r>
      <w:r w:rsidRPr="00F86742">
        <w:t>, September 25, 2023, https://www.dawn.com/news/1777778]</w:t>
      </w:r>
    </w:p>
    <w:p w:rsidR="00BB0CFE" w:rsidRPr="00BB0CFE" w:rsidRDefault="00BB0CFE" w:rsidP="00BB0CFE">
      <w:pPr>
        <w:rPr>
          <w:sz w:val="14"/>
          <w:szCs w:val="16"/>
        </w:rPr>
      </w:pPr>
      <w:r w:rsidRPr="00F86742">
        <w:rPr>
          <w:rStyle w:val="StyleUnderline"/>
          <w:b/>
          <w:bCs/>
        </w:rPr>
        <w:t>THE term orientalism has become a bit controversial in recent times</w:t>
      </w:r>
      <w:r w:rsidRPr="00F86742">
        <w:rPr>
          <w:rStyle w:val="StyleUnderline"/>
        </w:rPr>
        <w:t>.</w:t>
      </w:r>
      <w:r w:rsidRPr="00BB0CFE">
        <w:rPr>
          <w:sz w:val="14"/>
        </w:rPr>
        <w:t xml:space="preserve"> </w:t>
      </w:r>
      <w:r w:rsidRPr="00BB0CFE">
        <w:rPr>
          <w:sz w:val="14"/>
          <w:szCs w:val="16"/>
        </w:rPr>
        <w:t>Some, such as Encyclopaedia Britannica, for instance, define orientalism as 'Western scholarly discipline of the 18th and 19th centuries' that encompasses the study of languages, literatures, histories, arts, cultures and philosophies of the East. But</w:t>
      </w:r>
      <w:r w:rsidRPr="00BB0CFE">
        <w:rPr>
          <w:sz w:val="14"/>
        </w:rPr>
        <w:t xml:space="preserve"> </w:t>
      </w:r>
      <w:r w:rsidRPr="00F86742">
        <w:rPr>
          <w:rStyle w:val="StyleUnderline"/>
        </w:rPr>
        <w:t xml:space="preserve">after the publication of Edward Said's book Orientalism (1978), </w:t>
      </w:r>
      <w:r w:rsidRPr="00F86742">
        <w:rPr>
          <w:rStyle w:val="StyleUnderline"/>
          <w:b/>
          <w:bCs/>
        </w:rPr>
        <w:t>the term began to connote the patronising</w:t>
      </w:r>
      <w:r w:rsidRPr="00F86742">
        <w:rPr>
          <w:rStyle w:val="StyleUnderline"/>
        </w:rPr>
        <w:t>, rather humiliating</w:t>
      </w:r>
      <w:r w:rsidRPr="00F86742">
        <w:rPr>
          <w:rStyle w:val="StyleUnderline"/>
          <w:b/>
          <w:bCs/>
        </w:rPr>
        <w:t>, attitude of the West towards the East</w:t>
      </w:r>
      <w:r w:rsidRPr="00F86742">
        <w:rPr>
          <w:rStyle w:val="StyleUnderline"/>
        </w:rPr>
        <w:t xml:space="preserve">. </w:t>
      </w:r>
      <w:r w:rsidRPr="00BB0CFE">
        <w:rPr>
          <w:sz w:val="14"/>
          <w:szCs w:val="16"/>
        </w:rPr>
        <w:t>Britannica says that in the works of Said</w:t>
      </w:r>
      <w:r w:rsidRPr="00BB0CFE">
        <w:rPr>
          <w:sz w:val="14"/>
        </w:rPr>
        <w:t xml:space="preserve">, </w:t>
      </w:r>
      <w:r w:rsidRPr="00F86742">
        <w:rPr>
          <w:rStyle w:val="StyleUnderline"/>
          <w:b/>
          <w:bCs/>
        </w:rPr>
        <w:t>the term orientalism refers 'disparagingly' to 'the alleged simplistic, stereotyped and demeaning conceptions of Arab and Asian cultures'</w:t>
      </w:r>
      <w:r w:rsidRPr="00F86742">
        <w:rPr>
          <w:rStyle w:val="StyleUnderline"/>
        </w:rPr>
        <w:t xml:space="preserve">. But, according to Said, orientalism is more than an academic discipline since </w:t>
      </w:r>
      <w:r w:rsidRPr="00F86742">
        <w:rPr>
          <w:rStyle w:val="StyleUnderline"/>
          <w:b/>
          <w:bCs/>
        </w:rPr>
        <w:t xml:space="preserve">orientalism 'is a considerable dimension of modern political-intellectual culture, and </w:t>
      </w:r>
      <w:r w:rsidRPr="00F86742">
        <w:rPr>
          <w:rStyle w:val="StyleUnderline"/>
        </w:rPr>
        <w:t>as such</w:t>
      </w:r>
      <w:r w:rsidRPr="00F86742">
        <w:rPr>
          <w:rStyle w:val="StyleUnderline"/>
          <w:b/>
          <w:bCs/>
        </w:rPr>
        <w:t xml:space="preserve"> has less to do with the Orient than it does with 'our' world</w:t>
      </w:r>
      <w:r w:rsidRPr="00BB0CFE">
        <w:rPr>
          <w:sz w:val="14"/>
        </w:rPr>
        <w:t>'</w:t>
      </w:r>
      <w:r w:rsidRPr="00BB0CFE">
        <w:rPr>
          <w:sz w:val="14"/>
          <w:szCs w:val="16"/>
        </w:rPr>
        <w:t>, (Orientalism, New York, 1979, p.12). In Said's view, orientalism is a cultural and political fact and it cannot exist in 'some archival vacuum', but</w:t>
      </w:r>
      <w:r w:rsidRPr="00BB0CFE">
        <w:rPr>
          <w:sz w:val="14"/>
        </w:rPr>
        <w:t xml:space="preserve"> </w:t>
      </w:r>
      <w:r w:rsidRPr="00F86742">
        <w:rPr>
          <w:rStyle w:val="StyleUnderline"/>
        </w:rPr>
        <w:t xml:space="preserve">it is influenced by 'political, institutional and ideological </w:t>
      </w:r>
      <w:r w:rsidRPr="00F86742">
        <w:rPr>
          <w:rStyle w:val="StyleUnderline"/>
          <w:sz w:val="16"/>
          <w:szCs w:val="16"/>
        </w:rPr>
        <w:t>constraints'</w:t>
      </w:r>
      <w:r w:rsidRPr="00BB0CFE">
        <w:rPr>
          <w:sz w:val="14"/>
          <w:szCs w:val="16"/>
        </w:rPr>
        <w:t xml:space="preserve"> (ibid. p.13). These constraints decide how </w:t>
      </w:r>
      <w:r w:rsidRPr="00F86742">
        <w:rPr>
          <w:rStyle w:val="StyleUnderline"/>
          <w:b/>
          <w:bCs/>
        </w:rPr>
        <w:t>Western scholars</w:t>
      </w:r>
      <w:r w:rsidRPr="00BB0CFE">
        <w:rPr>
          <w:sz w:val="14"/>
          <w:szCs w:val="16"/>
        </w:rPr>
        <w:t xml:space="preserve">, or the orientalists, as they are often referred to, are to depict the East. And, Said says, they </w:t>
      </w:r>
      <w:r w:rsidRPr="00F86742">
        <w:rPr>
          <w:rStyle w:val="StyleUnderline"/>
          <w:b/>
          <w:bCs/>
        </w:rPr>
        <w:t>portray the Eastern societies as essentially static and underdeveloped, implying the superiority of the West</w:t>
      </w:r>
      <w:r w:rsidRPr="00BB0CFE">
        <w:rPr>
          <w:sz w:val="14"/>
        </w:rPr>
        <w:t xml:space="preserve">. </w:t>
      </w:r>
      <w:r w:rsidRPr="00BB0CFE">
        <w:rPr>
          <w:sz w:val="14"/>
          <w:szCs w:val="16"/>
        </w:rPr>
        <w:t>Asian religions, especially Islam, is also viewed from a Western, predominantly Christian and Jewish, perspective. The role and motives of imperialism and colonialism behind the so-called 'scholarly discipline' of orientalism is often ignored. As if it was not enough,</w:t>
      </w:r>
      <w:r w:rsidRPr="00BB0CFE">
        <w:rPr>
          <w:sz w:val="14"/>
        </w:rPr>
        <w:t xml:space="preserve"> </w:t>
      </w:r>
      <w:r w:rsidRPr="00F86742">
        <w:rPr>
          <w:rStyle w:val="StyleUnderline"/>
        </w:rPr>
        <w:t xml:space="preserve">some </w:t>
      </w:r>
      <w:r w:rsidRPr="00F86742">
        <w:rPr>
          <w:rStyle w:val="StyleUnderline"/>
          <w:b/>
          <w:bCs/>
        </w:rPr>
        <w:t>racist Western writers, such as Rudyard Kipling, considered it a duty of the 'white race' to spread the 'civilisation' to the non-white nations</w:t>
      </w:r>
      <w:r w:rsidRPr="00BB0CFE">
        <w:rPr>
          <w:sz w:val="14"/>
          <w:szCs w:val="16"/>
        </w:rPr>
        <w:t>. Kipling's poem 'The White Man's Burden' advised the US to conquer Philippine as a 'civilising mission'! And, just to remind you,</w:t>
      </w:r>
      <w:r w:rsidRPr="00BB0CFE">
        <w:rPr>
          <w:sz w:val="14"/>
        </w:rPr>
        <w:t xml:space="preserve"> </w:t>
      </w:r>
      <w:r w:rsidRPr="00F86742">
        <w:rPr>
          <w:rStyle w:val="StyleUnderline"/>
          <w:b/>
          <w:bCs/>
        </w:rPr>
        <w:t>Kipling was awarded the Nobel Prize for Literature in 1907</w:t>
      </w:r>
      <w:r w:rsidRPr="00F86742">
        <w:rPr>
          <w:rStyle w:val="StyleUnderline"/>
          <w:b/>
          <w:bCs/>
          <w:sz w:val="16"/>
          <w:szCs w:val="16"/>
        </w:rPr>
        <w:t xml:space="preserve">. </w:t>
      </w:r>
      <w:r w:rsidRPr="00BB0CFE">
        <w:rPr>
          <w:sz w:val="14"/>
          <w:szCs w:val="16"/>
        </w:rPr>
        <w:t>Edward Said is of the view that</w:t>
      </w:r>
      <w:r w:rsidRPr="00BB0CFE">
        <w:rPr>
          <w:sz w:val="14"/>
        </w:rPr>
        <w:t xml:space="preserve"> </w:t>
      </w:r>
      <w:r w:rsidRPr="00F86742">
        <w:rPr>
          <w:rStyle w:val="StyleUnderline"/>
          <w:b/>
          <w:bCs/>
        </w:rPr>
        <w:t>'there is</w:t>
      </w:r>
      <w:r w:rsidRPr="00BB0CFE">
        <w:rPr>
          <w:sz w:val="14"/>
        </w:rPr>
        <w:t xml:space="preserve"> </w:t>
      </w:r>
      <w:r w:rsidRPr="00BB0CFE">
        <w:rPr>
          <w:sz w:val="14"/>
          <w:szCs w:val="16"/>
        </w:rPr>
        <w:t>of course a Middle East establishment</w:t>
      </w:r>
      <w:r w:rsidRPr="00BB0CFE">
        <w:rPr>
          <w:sz w:val="14"/>
        </w:rPr>
        <w:t xml:space="preserve">, </w:t>
      </w:r>
      <w:r w:rsidRPr="00F86742">
        <w:rPr>
          <w:rStyle w:val="StyleUnderline"/>
          <w:b/>
          <w:bCs/>
        </w:rPr>
        <w:t>a pool of interests</w:t>
      </w:r>
      <w:r w:rsidRPr="00BB0CFE">
        <w:rPr>
          <w:sz w:val="14"/>
        </w:rPr>
        <w:t xml:space="preserve">, </w:t>
      </w:r>
      <w:r w:rsidRPr="00BB0CFE">
        <w:rPr>
          <w:sz w:val="14"/>
          <w:szCs w:val="16"/>
        </w:rPr>
        <w:t>'old boy' or 'expert' networks</w:t>
      </w:r>
      <w:r w:rsidRPr="00BB0CFE">
        <w:rPr>
          <w:sz w:val="14"/>
        </w:rPr>
        <w:t xml:space="preserve"> </w:t>
      </w:r>
      <w:r w:rsidRPr="00F86742">
        <w:rPr>
          <w:rStyle w:val="StyleUnderline"/>
        </w:rPr>
        <w:t>linking corporate business, the foundations, the oil companies, the missions, the military, the foreign service, the intelligence community together with the academic world</w:t>
      </w:r>
      <w:r w:rsidRPr="00BB0CFE">
        <w:rPr>
          <w:sz w:val="14"/>
        </w:rPr>
        <w:t xml:space="preserve">. </w:t>
      </w:r>
      <w:r w:rsidRPr="00BB0CFE">
        <w:rPr>
          <w:sz w:val="14"/>
          <w:szCs w:val="16"/>
        </w:rPr>
        <w:t>There are grants and other rewards, there are organisations, there are hierarchies, there are institutes, centres, faculties, departments,</w:t>
      </w:r>
      <w:r w:rsidRPr="00BB0CFE">
        <w:rPr>
          <w:sz w:val="14"/>
        </w:rPr>
        <w:t xml:space="preserve"> </w:t>
      </w:r>
      <w:r w:rsidRPr="00F86742">
        <w:rPr>
          <w:rStyle w:val="StyleUnderline"/>
          <w:b/>
          <w:bCs/>
        </w:rPr>
        <w:t>all devoted to legitimising</w:t>
      </w:r>
      <w:r w:rsidRPr="00F86742">
        <w:rPr>
          <w:rStyle w:val="StyleUnderline"/>
        </w:rPr>
        <w:t xml:space="preserve"> and maintaining </w:t>
      </w:r>
      <w:r w:rsidRPr="00F86742">
        <w:rPr>
          <w:rStyle w:val="StyleUnderline"/>
          <w:b/>
          <w:bCs/>
        </w:rPr>
        <w:t>the authority of a handful of basic, basically unchanging ideas about Islam, the Orient and the Arabs'</w:t>
      </w:r>
      <w:r w:rsidRPr="00BB0CFE">
        <w:rPr>
          <w:sz w:val="14"/>
          <w:szCs w:val="16"/>
        </w:rPr>
        <w:t xml:space="preserve">. ( ibid, p. 301-302) It is often said that Edward W. Said, the Palestinian American critic and philosopher, also furthered the theory of post-colonialism. Post-colonialism - now often referred to as Postcolonial Studies - is a discourse that, among other things, examines the cultural, political and economic effects of colonialism and imperialism on the nations subjugated. The </w:t>
      </w:r>
      <w:r w:rsidRPr="00F86742">
        <w:rPr>
          <w:b/>
          <w:bCs/>
          <w:u w:val="single"/>
        </w:rPr>
        <w:t>proponents of post-colonialism contest the ways the West is used to see things form its own perspective and challenge the West's view that the peoples colonised were inferior</w:t>
      </w:r>
      <w:r w:rsidRPr="00F86742">
        <w:rPr>
          <w:u w:val="single"/>
        </w:rPr>
        <w:t>, uncivilised and less intelligent. So a new perspective is created, looking at the other side of the coin, evaluating linguistic, cultural and political realities from the point of view of those colonised and exploited.</w:t>
      </w:r>
      <w:r w:rsidRPr="00BB0CFE">
        <w:rPr>
          <w:sz w:val="14"/>
        </w:rPr>
        <w:t xml:space="preserve"> </w:t>
      </w:r>
      <w:r w:rsidRPr="00BB0CFE">
        <w:rPr>
          <w:sz w:val="14"/>
          <w:szCs w:val="16"/>
        </w:rPr>
        <w:t>To mark his 20th death anniversary, in Bunyad's latest issue (volume 14, 2023), a section has been devoted to the works and ideas of Edward Said. Editor Nasir Abbas Nayyar in his editorial note has discussed Edward Said's 'travelling theory', elaborating how theories might change when they travel across places and times. The concept of travelling theory is quite significant in literary criticism. Aside from the editorial, the section on Edward Said proffers three important pieces. The first one is written by Akhter Ali Syed. A clinical psychologist following the tradition of Franz Fanon, Syed is interested in understanding mental and behavioural impact of colonialism on the colonised, says Nayyar. Ambreen Haseeb Amber's article discusses Said's concept of criticism, which is 'modern and secular', something ignored by the right-wing critics in our country who appreciate Said's critical views against the West, adds Nayyar. The third piece is in fact Urdu translation of Said's article on the Irish poet W. B. Yeats and decolonisation. Translated by Sajjad Husain Baloch, the article explores Yeats' role as a nationalist and an anti-colonial thinker. Urdu research journals usually invoke a feeling of dissatisfaction these days. This writer, too, has expressed his concerns over the falling standards of Urdu research, especially as manifested in Urdu's so-called research journals approved by the Higher Education Commission (HEC). But at least there are a few research journals that can be named as HEC's saving grace; Bunyad is one of them. Published by Gurmani Centre for Languages and Literature, LUMS, and edited by Nasir Abbas Nayyar, Bunyad has stringent standards as is evident from the contents. Other articles included in the issue, too, vouch for the hard work and a high standard.</w:t>
      </w:r>
    </w:p>
    <w:p w:rsidR="00BB0CFE" w:rsidRDefault="00BB0CFE" w:rsidP="00BB0CFE">
      <w:pPr>
        <w:pStyle w:val="Heading3"/>
      </w:pPr>
      <w:r>
        <w:t xml:space="preserve">Space Col </w:t>
      </w:r>
    </w:p>
    <w:p w:rsidR="007F22C8" w:rsidRPr="00F86742" w:rsidRDefault="007F22C8" w:rsidP="007F22C8">
      <w:pPr>
        <w:pStyle w:val="Heading4"/>
      </w:pPr>
      <w:r w:rsidRPr="00F86742">
        <w:t>Space exploration furthers settler colonialism by prioritizing science at the expense of indigenous people and land - it perpetuates the logic that only settlers can make the best use of land.</w:t>
      </w:r>
    </w:p>
    <w:p w:rsidR="007F22C8" w:rsidRDefault="007F22C8" w:rsidP="007F22C8">
      <w:r>
        <w:t xml:space="preserve">Deondre </w:t>
      </w:r>
      <w:r w:rsidRPr="00F86742">
        <w:rPr>
          <w:rFonts w:eastAsiaTheme="majorEastAsia" w:cstheme="majorBidi"/>
          <w:b/>
          <w:iCs/>
          <w:sz w:val="26"/>
        </w:rPr>
        <w:t>Smiles 20</w:t>
      </w:r>
      <w:r w:rsidRPr="00F86742">
        <w:t xml:space="preserve"> </w:t>
      </w:r>
      <w:r>
        <w:t>-</w:t>
      </w:r>
      <w:r w:rsidRPr="00F86742">
        <w:t xml:space="preserve"> Indigenous geographer whose research interests are multifaceted, including Indigenous geographies/epistemologies, science and technology studies, and tribal cultural resource preservation/protection</w:t>
      </w:r>
      <w:r>
        <w:t xml:space="preserve">. </w:t>
      </w:r>
      <w:r w:rsidRPr="00F86742">
        <w:t>Assistant Professor in the Department of Geography at the University of Victoria</w:t>
      </w:r>
      <w:r>
        <w:t>. B</w:t>
      </w:r>
      <w:r w:rsidRPr="00F86742">
        <w:t>achelor’s degree in Geography (2013) from Saint Cloud State University, a master’s degree in Global Indigenous Studies (2016) from the University of Minnesota Duluth, and a Ph.D. in Geography (2020) from The Ohio State University</w:t>
      </w:r>
      <w:r>
        <w:t xml:space="preserve">. </w:t>
      </w:r>
    </w:p>
    <w:p w:rsidR="007F22C8" w:rsidRPr="00F86742" w:rsidRDefault="007F22C8" w:rsidP="007F22C8">
      <w:r>
        <w:t>[October 26, 2020, “</w:t>
      </w:r>
      <w:r w:rsidRPr="00F86742">
        <w:t>The Settler Logics of (Outer) Space</w:t>
      </w:r>
      <w:r>
        <w:t xml:space="preserve">,” </w:t>
      </w:r>
      <w:r w:rsidRPr="00F86742">
        <w:rPr>
          <w:i/>
          <w:iCs/>
        </w:rPr>
        <w:t>Society and Space Journal</w:t>
      </w:r>
      <w:r>
        <w:rPr>
          <w:i/>
          <w:iCs/>
        </w:rPr>
        <w:t xml:space="preserve">, </w:t>
      </w:r>
      <w:r w:rsidRPr="00F86742">
        <w:t>https://www.societyandspace.org/articles/the-settler-logics-of-outer-space</w:t>
      </w:r>
      <w:r>
        <w:t>]</w:t>
      </w:r>
    </w:p>
    <w:p w:rsidR="007F22C8" w:rsidRDefault="007F22C8" w:rsidP="007F22C8">
      <w:pPr>
        <w:rPr>
          <w:sz w:val="16"/>
          <w:szCs w:val="16"/>
        </w:rPr>
      </w:pPr>
      <w:r w:rsidRPr="00F86742">
        <w:rPr>
          <w:sz w:val="16"/>
          <w:szCs w:val="16"/>
        </w:rPr>
        <w:t xml:space="preserve">“In reaffirming our heritage as a free nation, we must always remember that America has always been a frontier nation. Now we must embrace the next frontier. America’s Manifest Destiny in the stars…The American nation was carved out of the vast frontier by the toughest, strongest, fiercest and most determined men and women ever to walk on the face of the Earth… Our ancestors braved the unknown, tamed the wilderness, settled the Wild West…This is our glorious and magnificent inheritance. We are Americans. We are pioneers. We are the pathfinders. We settled the New World. We built the modern world.” -President Donald J. Trump, 2020 State of the Union address </w:t>
      </w:r>
      <w:r w:rsidRPr="00F86742">
        <w:rPr>
          <w:u w:val="single"/>
        </w:rPr>
        <w:t xml:space="preserve">To most scholars, and certainly to the virtual majority of Indigenous peoples on Turtle Island, it is no secret that the country we call </w:t>
      </w:r>
      <w:r w:rsidRPr="00F86742">
        <w:rPr>
          <w:b/>
          <w:bCs/>
          <w:u w:val="single"/>
        </w:rPr>
        <w:t>the United States of America was built upon the brutal subjugation of Indigenous people and Indigenous lands. Fueled by the American settler myths of terra nullius</w:t>
      </w:r>
      <w:r w:rsidRPr="00F86742">
        <w:rPr>
          <w:u w:val="single"/>
        </w:rPr>
        <w:t xml:space="preserve"> (no man’s land) and Manifest Destiny, the American settler state proceeded upon a project of cultural and physical genocide, </w:t>
      </w:r>
      <w:r w:rsidRPr="00F86742">
        <w:rPr>
          <w:b/>
          <w:bCs/>
          <w:u w:val="single"/>
        </w:rPr>
        <w:t>with lasting effects that endure to the present day</w:t>
      </w:r>
      <w:r w:rsidRPr="00F86742">
        <w:rPr>
          <w:u w:val="single"/>
        </w:rPr>
        <w:t xml:space="preserve">. </w:t>
      </w:r>
      <w:r w:rsidRPr="00F86742">
        <w:rPr>
          <w:sz w:val="16"/>
          <w:szCs w:val="16"/>
        </w:rPr>
        <w:t>The ‘settler myth’ permeates American culture. Words such as ‘pioneer’, the ‘West’, ‘Manifest Destiny’ grab the imagination as connected to the growth of the country in its early history.</w:t>
      </w:r>
      <w:r w:rsidRPr="00F86742">
        <w:t xml:space="preserve"> </w:t>
      </w:r>
      <w:r w:rsidRPr="00F86742">
        <w:rPr>
          <w:u w:val="single"/>
        </w:rPr>
        <w:t>America sprang forth from a vast open ‘wilderness’. Of course, for Indigenous people, we know differently—these lands had complex cultural frameworks and political entities long before colonization.</w:t>
      </w:r>
      <w:r w:rsidRPr="00F86742">
        <w:t xml:space="preserve"> </w:t>
      </w:r>
      <w:r w:rsidRPr="00F86742">
        <w:rPr>
          <w:sz w:val="16"/>
          <w:szCs w:val="16"/>
        </w:rPr>
        <w:t xml:space="preserve">Words like ‘pioneer’ and ‘Manifest Destiny’, have deep meanings for us too, as they are indicative of the very real damage dealt against our cultures and nations, damage that we have had to work very hard to undo. Trump’s address raises key insights into the continuing logics of settler colonialism, as well as questions of its future trajectories. Trump’s invocation of ideas such as the ‘frontier’ and ‘taming the wilderness’ draws attention to the brutal violence that accompanied the building of the American state. </w:t>
      </w:r>
      <w:r w:rsidRPr="00F86742">
        <w:rPr>
          <w:rStyle w:val="StyleUnderline"/>
          <w:b/>
          <w:bCs/>
        </w:rPr>
        <w:t>Scholars</w:t>
      </w:r>
      <w:r w:rsidRPr="00F86742">
        <w:rPr>
          <w:rStyle w:val="StyleUnderline"/>
        </w:rPr>
        <w:t xml:space="preserve"> such as Greg Grandin (2019) </w:t>
      </w:r>
      <w:r w:rsidRPr="00F86742">
        <w:rPr>
          <w:rStyle w:val="StyleUnderline"/>
          <w:b/>
          <w:bCs/>
        </w:rPr>
        <w:t>make the case that the frontier is part of what America is—whether it is the ‘Wild West’, or the U.S.-Mexican border, America is always contending with a frontier that must be defined.</w:t>
      </w:r>
      <w:r w:rsidRPr="00F86742">
        <w:rPr>
          <w:rStyle w:val="StyleUnderline"/>
        </w:rPr>
        <w:t xml:space="preserve"> </w:t>
      </w:r>
      <w:r w:rsidRPr="00F86742">
        <w:rPr>
          <w:rStyle w:val="StyleUnderline"/>
          <w:b/>
          <w:bCs/>
        </w:rPr>
        <w:t>Language surrounding ‘frontier’</w:t>
      </w:r>
      <w:r w:rsidRPr="00F86742">
        <w:rPr>
          <w:rStyle w:val="StyleUnderline"/>
        </w:rPr>
        <w:t xml:space="preserve"> is troubling because it </w:t>
      </w:r>
      <w:r w:rsidRPr="00F86742">
        <w:rPr>
          <w:rStyle w:val="StyleUnderline"/>
          <w:b/>
          <w:bCs/>
        </w:rPr>
        <w:t>perpetuates the rationale of why the American settler state even exists—it could make better use of the land than Native people would, after all, they lived in wilderness</w:t>
      </w:r>
      <w:r w:rsidRPr="00F86742">
        <w:rPr>
          <w:rStyle w:val="StyleUnderline"/>
        </w:rPr>
        <w:t>.</w:t>
      </w:r>
      <w:r w:rsidRPr="00F86742">
        <w:t xml:space="preserve"> </w:t>
      </w:r>
      <w:r w:rsidRPr="00F86742">
        <w:rPr>
          <w:sz w:val="16"/>
          <w:szCs w:val="16"/>
        </w:rPr>
        <w:t>This myth tells us that what we know as the modern world was built through the hard work of European settlers; Indigenous people had nothing to offer or contribute.</w:t>
      </w:r>
      <w:r w:rsidRPr="00F86742">
        <w:t xml:space="preserve"> </w:t>
      </w:r>
      <w:r w:rsidRPr="00F86742">
        <w:rPr>
          <w:rStyle w:val="StyleUnderline"/>
        </w:rPr>
        <w:t xml:space="preserve">For someone like Mr. Trump, whose misgivings and hostility towards Native people have been historically documented, this myth fits well with his narrative as President—he is building a ‘new’ America, one that will return to its place of power and influence. The fact that </w:t>
      </w:r>
      <w:r w:rsidRPr="00F86742">
        <w:rPr>
          <w:rStyle w:val="StyleUnderline"/>
          <w:b/>
          <w:bCs/>
        </w:rPr>
        <w:t>similar language</w:t>
      </w:r>
      <w:r w:rsidRPr="00F86742">
        <w:rPr>
          <w:rStyle w:val="StyleUnderline"/>
        </w:rPr>
        <w:t xml:space="preserve"> is </w:t>
      </w:r>
      <w:r w:rsidRPr="00F86742">
        <w:rPr>
          <w:rStyle w:val="StyleUnderline"/>
          <w:b/>
          <w:bCs/>
        </w:rPr>
        <w:t>being used around the potential of American power being extended to space could reasonably be expected</w:t>
      </w:r>
      <w:r w:rsidRPr="00F86742">
        <w:rPr>
          <w:rStyle w:val="StyleUnderline"/>
        </w:rPr>
        <w:t xml:space="preserve">, given the economic and military potential that comes from such a move. </w:t>
      </w:r>
      <w:r w:rsidRPr="00F86742">
        <w:rPr>
          <w:rStyle w:val="StyleUnderline"/>
          <w:b/>
          <w:bCs/>
        </w:rPr>
        <w:t>Space represents yet another ‘unknown’ to be conquered and bent to America’s will</w:t>
      </w:r>
      <w:r w:rsidRPr="00F86742">
        <w:rPr>
          <w:rStyle w:val="StyleUnderline"/>
        </w:rPr>
        <w:t>.</w:t>
      </w:r>
      <w:r w:rsidRPr="00F86742">
        <w:t xml:space="preserve"> </w:t>
      </w:r>
      <w:r w:rsidRPr="00F86742">
        <w:rPr>
          <w:sz w:val="16"/>
          <w:szCs w:val="16"/>
        </w:rPr>
        <w:t>However, such interplanetary conquest does not exist solely in outer space.</w:t>
      </w:r>
      <w:r w:rsidRPr="00F86742">
        <w:t xml:space="preserve"> </w:t>
      </w:r>
      <w:r w:rsidRPr="00F86742">
        <w:rPr>
          <w:rStyle w:val="StyleUnderline"/>
        </w:rPr>
        <w:t xml:space="preserve">I wish to situate the </w:t>
      </w:r>
      <w:r w:rsidRPr="00F86742">
        <w:rPr>
          <w:rStyle w:val="StyleUnderline"/>
          <w:b/>
          <w:bCs/>
        </w:rPr>
        <w:t>very real colonial legacies and violence associated with the desire to explore space, tracing the ways that they are perpetuated and reified through their destructive engagements with Indigenous peoples</w:t>
      </w:r>
      <w:r w:rsidRPr="00F86742">
        <w:rPr>
          <w:rStyle w:val="StyleUnderline"/>
        </w:rPr>
        <w:t xml:space="preserve">. I argue that a scientific venture such as </w:t>
      </w:r>
      <w:r w:rsidRPr="00F86742">
        <w:rPr>
          <w:rStyle w:val="StyleUnderline"/>
          <w:b/>
          <w:bCs/>
        </w:rPr>
        <w:t>space exploration does not exist in a vacuum, but instead draws from settler colonialism and feeds back into it through the prioritization of ‘science’ over Indigenous epistemologies</w:t>
      </w:r>
      <w:r w:rsidRPr="00F86742">
        <w:rPr>
          <w:rStyle w:val="StyleUnderline"/>
        </w:rPr>
        <w:t>.</w:t>
      </w:r>
      <w:r w:rsidRPr="00F86742">
        <w:t xml:space="preserve"> </w:t>
      </w:r>
      <w:r w:rsidRPr="00F86742">
        <w:rPr>
          <w:sz w:val="16"/>
          <w:szCs w:val="16"/>
        </w:rPr>
        <w:t>I begin by exploring the ways that space exploration by the American settler state is situated within questions of hegemony, imperialism, and terra nullius, including a brief synopsis of the controversy surrounding the planned construction of the Thirty Meter Telescope on Mauna Kea. I conclude by exploring Indigenous engagement with ‘space’ in both its Earthbound and beyond-earth forms as it relates to outer space, and what implications this might have for the ways we think about our engagement with space as the American settler state begins to turn its gaze skyward once again. I position this essay alongside a growing body of academic work, as well as journalistic endeavors (Haskins, 2020; Koren, 2020) that demands that the American settler colonial state exercise self-reflexivity as to why it engages with outer space, and who is advantaged and disadvantaged here on Earth as a result of this engagement. A brief exploration of what settler colonialism is, and its engagement with ‘space’ here on Earth is necessary to start.</w:t>
      </w:r>
      <w:r w:rsidRPr="00F86742">
        <w:t xml:space="preserve"> </w:t>
      </w:r>
      <w:r w:rsidRPr="00F86742">
        <w:rPr>
          <w:rStyle w:val="StyleUnderline"/>
        </w:rPr>
        <w:t>Settler colonialism is commonly understood to be a form of colonialism that is based upon the permanent presence of colonists upon land.</w:t>
      </w:r>
      <w:r w:rsidRPr="00F86742">
        <w:t xml:space="preserve"> </w:t>
      </w:r>
      <w:r w:rsidRPr="00F86742">
        <w:rPr>
          <w:sz w:val="16"/>
          <w:szCs w:val="16"/>
        </w:rPr>
        <w:t>This is a distinction from forms of colonialism based upon resource extraction (Wolfe, 2006; Veracini, 2013).</w:t>
      </w:r>
      <w:r w:rsidRPr="00F86742">
        <w:t xml:space="preserve"> </w:t>
      </w:r>
      <w:r w:rsidRPr="00F86742">
        <w:rPr>
          <w:rStyle w:val="StyleUnderline"/>
        </w:rPr>
        <w:t xml:space="preserve">What this means is that </w:t>
      </w:r>
      <w:r w:rsidRPr="00F86742">
        <w:rPr>
          <w:rStyle w:val="StyleUnderline"/>
          <w:b/>
          <w:bCs/>
        </w:rPr>
        <w:t>the settler colony is intimately tied with the space within which it exists—it cannot exist or sustain itself without settler control over land and space.</w:t>
      </w:r>
      <w:r w:rsidRPr="00F86742">
        <w:rPr>
          <w:b/>
          <w:bCs/>
        </w:rPr>
        <w:t xml:space="preserve"> </w:t>
      </w:r>
      <w:r w:rsidRPr="00F86742">
        <w:rPr>
          <w:sz w:val="16"/>
          <w:szCs w:val="16"/>
        </w:rPr>
        <w:t>This permanent presence upon land by ‘settlers’ is usually at the expense of the Indigenous, or original people, in a given space or territory. To reiterate: control over space is paramount. As Wolfe states, “Land is life—or at least, land is necessary for life. Thus, contests for land can be—indeed, often are—contests for life” (2006: 387).</w:t>
      </w:r>
      <w:r w:rsidRPr="00F86742">
        <w:t xml:space="preserve"> </w:t>
      </w:r>
      <w:r w:rsidRPr="00F86742">
        <w:rPr>
          <w:rStyle w:val="StyleUnderline"/>
          <w:b/>
          <w:bCs/>
        </w:rPr>
        <w:t>Without land, the settler state ‘dies’; conversely, deprivation of land from the indigenous population means that in settler logic, indigeneity dies</w:t>
      </w:r>
      <w:r w:rsidRPr="00F86742">
        <w:t xml:space="preserve"> (Povinelli, 2002; Wolfe, 2006.) </w:t>
      </w:r>
      <w:r w:rsidRPr="00F86742">
        <w:rPr>
          <w:rStyle w:val="StyleUnderline"/>
          <w:b/>
          <w:bCs/>
        </w:rPr>
        <w:t>The ultimate aims of settler colonialism is therefore the occupation and remaking of space</w:t>
      </w:r>
      <w:r w:rsidRPr="00F86742">
        <w:rPr>
          <w:rStyle w:val="StyleUnderline"/>
        </w:rPr>
        <w:t xml:space="preserve">. As Wolfe (2006) describes, </w:t>
      </w:r>
      <w:r w:rsidRPr="00F86742">
        <w:rPr>
          <w:rStyle w:val="StyleUnderline"/>
          <w:b/>
          <w:bCs/>
        </w:rPr>
        <w:t>the settler state seeks to make use of land and resources in order to continue on</w:t>
      </w:r>
      <w:r w:rsidRPr="00F86742">
        <w:rPr>
          <w:rStyle w:val="StyleUnderline"/>
        </w:rPr>
        <w:t>;</w:t>
      </w:r>
      <w:r w:rsidRPr="00F86742">
        <w:t xml:space="preserve"> </w:t>
      </w:r>
      <w:r w:rsidRPr="00F86742">
        <w:rPr>
          <w:sz w:val="16"/>
          <w:szCs w:val="16"/>
        </w:rPr>
        <w:t xml:space="preserve">whether that is through homesteading/residence, farming and agriculture, mining, or any number of activities that settler colonial logic deems necessary to its own survival. </w:t>
      </w:r>
      <w:r w:rsidRPr="00F86742">
        <w:rPr>
          <w:rStyle w:val="StyleUnderline"/>
          <w:b/>
          <w:bCs/>
        </w:rPr>
        <w:t>These activities are tied to a</w:t>
      </w:r>
      <w:r w:rsidRPr="00F86742">
        <w:rPr>
          <w:rStyle w:val="StyleUnderline"/>
        </w:rPr>
        <w:t xml:space="preserve"> racist and hubristic </w:t>
      </w:r>
      <w:r w:rsidRPr="00F86742">
        <w:rPr>
          <w:rStyle w:val="StyleUnderline"/>
          <w:b/>
          <w:bCs/>
        </w:rPr>
        <w:t xml:space="preserve">logic that only settler society itself possesses the ability to make proper use of land and </w:t>
      </w:r>
      <w:r w:rsidRPr="00F86742">
        <w:rPr>
          <w:rStyle w:val="StyleUnderline"/>
        </w:rPr>
        <w:t>space</w:t>
      </w:r>
      <w:r w:rsidRPr="00F86742">
        <w:t xml:space="preserve"> </w:t>
      </w:r>
      <w:r w:rsidRPr="00F86742">
        <w:rPr>
          <w:sz w:val="16"/>
          <w:szCs w:val="16"/>
        </w:rPr>
        <w:t>(Wolfe, 2006</w:t>
      </w:r>
      <w:r w:rsidRPr="00F86742">
        <w:rPr>
          <w:rStyle w:val="StyleUnderline"/>
          <w:sz w:val="16"/>
          <w:szCs w:val="16"/>
        </w:rPr>
        <w:t>).</w:t>
      </w:r>
      <w:r w:rsidRPr="00F86742">
        <w:rPr>
          <w:rStyle w:val="StyleUnderline"/>
        </w:rPr>
        <w:t xml:space="preserve"> This is mated with </w:t>
      </w:r>
      <w:r w:rsidRPr="00F86742">
        <w:rPr>
          <w:rStyle w:val="StyleUnderline"/>
          <w:b/>
          <w:bCs/>
        </w:rPr>
        <w:t>a viewpoint of landscapes prior to European arrival as terra nullius</w:t>
      </w:r>
      <w:r w:rsidRPr="00F86742">
        <w:rPr>
          <w:rStyle w:val="StyleUnderline"/>
        </w:rPr>
        <w:t>, or empty land that was owned by no one, via European/Western conceptions of land ownership and tenure</w:t>
      </w:r>
      <w:r w:rsidRPr="00F86742">
        <w:t xml:space="preserve"> </w:t>
      </w:r>
      <w:r w:rsidRPr="00F86742">
        <w:rPr>
          <w:sz w:val="16"/>
          <w:szCs w:val="16"/>
        </w:rPr>
        <w:t>(Wolfe, 1994). Because of this overarching goal of space,</w:t>
      </w:r>
      <w:r w:rsidRPr="00F86742">
        <w:t xml:space="preserve"> </w:t>
      </w:r>
      <w:r w:rsidRPr="00F86742">
        <w:rPr>
          <w:rStyle w:val="StyleUnderline"/>
          <w:b/>
          <w:bCs/>
        </w:rPr>
        <w:t>there is an inherent anxiety in settler colonies about space, and how it can be occupied</w:t>
      </w:r>
      <w:r w:rsidRPr="00F86742">
        <w:rPr>
          <w:rStyle w:val="StyleUnderline"/>
        </w:rPr>
        <w:t xml:space="preserve"> and subsequently rewritten </w:t>
      </w:r>
      <w:r w:rsidRPr="00F86742">
        <w:rPr>
          <w:rStyle w:val="StyleUnderline"/>
          <w:b/>
          <w:bCs/>
        </w:rPr>
        <w:t>to remove Indigenous presence</w:t>
      </w:r>
      <w:r w:rsidRPr="00F86742">
        <w:t xml:space="preserve">. </w:t>
      </w:r>
      <w:r w:rsidRPr="00F86742">
        <w:rPr>
          <w:sz w:val="16"/>
          <w:szCs w:val="16"/>
        </w:rPr>
        <w:t>In Anglo settler colonies, this often takes place within a lens of conservation. Scholars such as Banivanua Mar (2010), Lannoy (2012), Wright (2014) and Tristan Ahtone (2019) have written extensively on the ways that</w:t>
      </w:r>
      <w:r w:rsidRPr="00F86742">
        <w:t xml:space="preserve"> </w:t>
      </w:r>
      <w:r w:rsidRPr="00F86742">
        <w:rPr>
          <w:rStyle w:val="StyleUnderline"/>
        </w:rPr>
        <w:t>settler reinscription of space can be extremely damaging to Indigenous people from a lens of ‘conservation’.</w:t>
      </w:r>
      <w:r w:rsidRPr="00F86742">
        <w:t xml:space="preserve"> </w:t>
      </w:r>
      <w:r w:rsidRPr="00F86742">
        <w:rPr>
          <w:sz w:val="16"/>
          <w:szCs w:val="16"/>
        </w:rPr>
        <w:t>However, dispossession of Indigenous space in favor of settler uses can also be tied to some of the most destructive forces of our time. For example, Aboriginal land in the Australian Outback was viewed as ‘empty’ land that was turned into weapons ranges where the British military tested nuclear weapons in the 1950s, which directly led to negative health effects upon Aboriginal communities downwind from the testing sites (Vincent, 2010).</w:t>
      </w:r>
      <w:r w:rsidRPr="00F86742">
        <w:t xml:space="preserve"> </w:t>
      </w:r>
      <w:r w:rsidRPr="00F86742">
        <w:rPr>
          <w:rStyle w:val="StyleUnderline"/>
        </w:rPr>
        <w:t>Indigenous nations in the United States have struggled with environmental damage related to military-industrial exploitation as well.</w:t>
      </w:r>
      <w:r w:rsidRPr="00F86742">
        <w:t xml:space="preserve"> </w:t>
      </w:r>
      <w:r w:rsidRPr="00F86742">
        <w:rPr>
          <w:sz w:val="16"/>
          <w:szCs w:val="16"/>
        </w:rPr>
        <w:t xml:space="preserve">But, what does this all look like in regard to outer space? In order to really understand the potential (settler) colonial logics of space exploration, we must go back and explore the ways in which </w:t>
      </w:r>
      <w:r w:rsidRPr="00F86742">
        <w:rPr>
          <w:rStyle w:val="StyleUnderline"/>
          <w:b/>
          <w:bCs/>
        </w:rPr>
        <w:t>space exploration became inextricably tied with questions of state hegemony and geopolitics during the Cold War</w:t>
      </w:r>
      <w:r w:rsidRPr="00F86742">
        <w:rPr>
          <w:rStyle w:val="StyleUnderline"/>
          <w:sz w:val="16"/>
          <w:szCs w:val="16"/>
          <w:u w:val="none"/>
        </w:rPr>
        <w:t>. US and Soviet space programs</w:t>
      </w:r>
      <w:r w:rsidRPr="00F86742">
        <w:rPr>
          <w:sz w:val="16"/>
          <w:szCs w:val="16"/>
        </w:rPr>
        <w:t xml:space="preserve"> were born partially out of military utility, and propaganda value—the ability to send a nuclear warhead across a great distance to strike the enemy via a ICBM and the accompanying geopolitical respect that came with such a capability was something that greatly appealed to the superpowers, and when the Soviets took an early lead in the ‘Space Race’ with Sputnik and their Luna probes, the United States poured money and resources into making up ground (Werth, 2004). The fear of not only falling behind the Soviets militarily as well as a perceived loss of prestige in the court of world opinion spurred the US onto a course of space exploration that led to the Apollo moon landings in the late 1960s and the early 70s (Werth, 2004; Cornish, 2019). I argue that this fits neatly into the American settler creation myth referenced by Trump—</w:t>
      </w:r>
      <w:r w:rsidRPr="00F86742">
        <w:rPr>
          <w:rStyle w:val="StyleUnderline"/>
          <w:b/>
          <w:bCs/>
        </w:rPr>
        <w:t>after ‘conquering’ a continent and bringing it under American dominion, why would the United States stop solely at ‘space’ on Earth?</w:t>
      </w:r>
      <w:r w:rsidRPr="00F86742">
        <w:rPr>
          <w:b/>
          <w:bCs/>
          <w:u w:val="single"/>
        </w:rPr>
        <w:t xml:space="preserve"> </w:t>
      </w:r>
      <w:r w:rsidRPr="00F86742">
        <w:rPr>
          <w:sz w:val="16"/>
          <w:szCs w:val="16"/>
        </w:rPr>
        <w:t>To return to Grandin (2019),</w:t>
      </w:r>
      <w:r w:rsidRPr="00F86742">
        <w:t xml:space="preserve"> </w:t>
      </w:r>
      <w:r w:rsidRPr="00F86742">
        <w:rPr>
          <w:rStyle w:val="StyleUnderline"/>
          <w:b/>
          <w:bCs/>
        </w:rPr>
        <w:t>space represented yet another frontier to be conquered and known by the settler colonial state; if not explicitly for the possibility of further settlement, then for the preservation of its existing spatial extent on Earth</w:t>
      </w:r>
      <w:r w:rsidRPr="00F86742">
        <w:rPr>
          <w:rStyle w:val="StyleUnderline"/>
        </w:rPr>
        <w:t>.</w:t>
      </w:r>
      <w:r w:rsidRPr="00F86742">
        <w:t xml:space="preserve"> </w:t>
      </w:r>
      <w:r w:rsidRPr="00F86742">
        <w:rPr>
          <w:sz w:val="16"/>
          <w:szCs w:val="16"/>
        </w:rPr>
        <w:t>However, scholars such as Alan Marshall (1995) have cautioned that</w:t>
      </w:r>
      <w:r w:rsidRPr="00F86742">
        <w:t xml:space="preserve"> </w:t>
      </w:r>
      <w:r w:rsidRPr="00F86742">
        <w:rPr>
          <w:rStyle w:val="StyleUnderline"/>
          <w:b/>
          <w:bCs/>
        </w:rPr>
        <w:t>newer logics of space exploration such as potential resource extraction tie in with existing military logics</w:t>
      </w:r>
      <w:r w:rsidRPr="00F86742">
        <w:rPr>
          <w:rStyle w:val="StyleUnderline"/>
        </w:rPr>
        <w:t xml:space="preserve"> in a way </w:t>
      </w:r>
      <w:r w:rsidRPr="00F86742">
        <w:rPr>
          <w:rStyle w:val="StyleUnderline"/>
          <w:b/>
          <w:bCs/>
        </w:rPr>
        <w:t>that creates a new way of thinking about the ‘openness’ of outer space to the logics of empire</w:t>
      </w:r>
      <w:r w:rsidRPr="00F86742">
        <w:rPr>
          <w:rStyle w:val="StyleUnderline"/>
        </w:rPr>
        <w:t>, in what Marshall calls res nullius</w:t>
      </w:r>
      <w:r w:rsidRPr="00F86742">
        <w:t xml:space="preserve"> (1995: 51)[i]. But </w:t>
      </w:r>
      <w:r w:rsidRPr="00F86742">
        <w:rPr>
          <w:rStyle w:val="StyleUnderline"/>
          <w:b/>
          <w:bCs/>
        </w:rPr>
        <w:t>we cannot forget the concept of terra nullius and how our exploration of the stars has real effects on Indigenous landscapes here on Earth</w:t>
      </w:r>
      <w:r w:rsidRPr="00F86742">
        <w:rPr>
          <w:rStyle w:val="StyleUnderline"/>
        </w:rPr>
        <w:t>. We also cannot forget about forms of space exploration that may not be explicitly tied to military means.</w:t>
      </w:r>
      <w:r w:rsidRPr="00F86742">
        <w:t xml:space="preserve"> </w:t>
      </w:r>
      <w:r w:rsidRPr="00F86742">
        <w:rPr>
          <w:sz w:val="16"/>
          <w:szCs w:val="16"/>
        </w:rPr>
        <w:t>Doing so deprives us of another lens through which to view the tensions between settler and Indigenous views of space and to which end is useful. Indeed, even reinscribing of Indigenous space towards ‘peaceful’ settler space exploration have very real consequences for Indigenous sovereignty and Indigenous spaces</w:t>
      </w:r>
      <w:r w:rsidRPr="00F86742">
        <w:t xml:space="preserve">. </w:t>
      </w:r>
      <w:r w:rsidRPr="00F86742">
        <w:rPr>
          <w:rStyle w:val="StyleUnderline"/>
        </w:rPr>
        <w:t xml:space="preserve">Perhaps </w:t>
      </w:r>
      <w:r w:rsidRPr="00F86742">
        <w:rPr>
          <w:rStyle w:val="StyleUnderline"/>
          <w:b/>
          <w:bCs/>
        </w:rPr>
        <w:t>the most prominent example of the fractures between settler space exploration and Indigenous peoples is the on-going controversy surrounding the construction of the Thirty Meter Telescope on Mauna Kea, on the island of Hawaii</w:t>
      </w:r>
      <w:r w:rsidRPr="00F86742">
        <w:rPr>
          <w:rStyle w:val="StyleUnderline"/>
        </w:rPr>
        <w:t xml:space="preserve">. </w:t>
      </w:r>
      <w:r w:rsidRPr="00F86742">
        <w:rPr>
          <w:sz w:val="16"/>
          <w:szCs w:val="16"/>
        </w:rPr>
        <w:t xml:space="preserve">While an extremely detailed description of the processes of construction on the TMT and the opposition presented to it by Native Hawai’ians and their allies is beyond the scope of this essay, and in fact is already expertly done by a number of scholars[ii], </w:t>
      </w:r>
      <w:r w:rsidRPr="00F86742">
        <w:rPr>
          <w:rStyle w:val="StyleUnderline"/>
        </w:rPr>
        <w:t>the controversy surrounding TMT is a prime example of the logics presented towards ‘space’ in both Earth-bound and beyond-Earth contexts by the settler colonial state as well as the violence that these logics place upon Indigenous spaces</w:t>
      </w:r>
      <w:r w:rsidRPr="00F86742">
        <w:rPr>
          <w:sz w:val="16"/>
          <w:szCs w:val="16"/>
        </w:rPr>
        <w:t>, such as Mauna Kea, which in particular already plays host to a number of telescopes and observatories (Witze, 2020). In particular</w:t>
      </w:r>
      <w:r w:rsidRPr="00F86742">
        <w:t xml:space="preserve">, </w:t>
      </w:r>
      <w:r w:rsidRPr="00F86742">
        <w:rPr>
          <w:rStyle w:val="StyleUnderline"/>
          <w:b/>
          <w:bCs/>
        </w:rPr>
        <w:t>astronomers</w:t>
      </w:r>
      <w:r w:rsidRPr="00F86742">
        <w:t xml:space="preserve"> </w:t>
      </w:r>
      <w:r w:rsidRPr="00F86742">
        <w:rPr>
          <w:sz w:val="16"/>
          <w:szCs w:val="16"/>
        </w:rPr>
        <w:t>such as Chanda Prescod-Weinstein</w:t>
      </w:r>
      <w:r w:rsidRPr="00F86742">
        <w:t xml:space="preserve">, Lucianne Walkowicz, </w:t>
      </w:r>
      <w:r w:rsidRPr="00F86742">
        <w:rPr>
          <w:rStyle w:val="StyleUnderline"/>
        </w:rPr>
        <w:t xml:space="preserve">and others </w:t>
      </w:r>
      <w:r w:rsidRPr="00F86742">
        <w:rPr>
          <w:rStyle w:val="StyleUnderline"/>
          <w:b/>
          <w:bCs/>
        </w:rPr>
        <w:t>have</w:t>
      </w:r>
      <w:r w:rsidRPr="00F86742">
        <w:rPr>
          <w:rStyle w:val="StyleUnderline"/>
        </w:rPr>
        <w:t xml:space="preserve"> taken decisive action to </w:t>
      </w:r>
      <w:r w:rsidRPr="00F86742">
        <w:rPr>
          <w:rStyle w:val="StyleUnderline"/>
          <w:b/>
          <w:bCs/>
        </w:rPr>
        <w:t>push back against the idea that settler scientific advancement via space exploration should take precedence over Indigenous sovereignty in Earth-space</w:t>
      </w:r>
      <w:r w:rsidRPr="00F86742">
        <w:rPr>
          <w:rStyle w:val="StyleUnderline"/>
        </w:rPr>
        <w:t>.</w:t>
      </w:r>
      <w:r w:rsidRPr="00F86742">
        <w:t xml:space="preserve"> </w:t>
      </w:r>
      <w:r w:rsidRPr="00F86742">
        <w:rPr>
          <w:sz w:val="16"/>
          <w:szCs w:val="16"/>
        </w:rPr>
        <w:t>Prescod-Weinstein and Walkowicz, alongside Sarah Tuttle, Brian Nord and Hilding Neilson (2020) make clear that</w:t>
      </w:r>
      <w:r w:rsidRPr="00F86742">
        <w:t xml:space="preserve"> </w:t>
      </w:r>
      <w:r w:rsidRPr="00F86742">
        <w:rPr>
          <w:rStyle w:val="StyleUnderline"/>
          <w:b/>
          <w:bCs/>
        </w:rPr>
        <w:t xml:space="preserve">settler scientific pursuits </w:t>
      </w:r>
      <w:r w:rsidRPr="00F86742">
        <w:rPr>
          <w:rStyle w:val="StyleUnderline"/>
        </w:rPr>
        <w:t xml:space="preserve">such as building the TMT </w:t>
      </w:r>
      <w:r w:rsidRPr="00F86742">
        <w:rPr>
          <w:rStyle w:val="StyleUnderline"/>
          <w:b/>
          <w:bCs/>
        </w:rPr>
        <w:t>are simply new footnotes in a long history of colonial disrespect of Indigenous people and Indigenous spaces in the name of science</w:t>
      </w:r>
      <w:r w:rsidRPr="00F86742">
        <w:rPr>
          <w:sz w:val="16"/>
          <w:szCs w:val="16"/>
        </w:rPr>
        <w:t>, and that astronomy is not innocent of this disrespect. In fact, Native Hawai’ian scholars such as Iokepa Casumbal-Salazar strike at the heart of the professed neutrality of sciences like astronomy: One scientist told me that astronomy is a “benign science” because it is based on observation, and that it is universally beneficial because it offers “basic human knowledge” that everyone should know “like human anatomy.” Such a statement underscores the cultural bias within conventional notions of what constitutes the “human” and “knowledge.”</w:t>
      </w:r>
      <w:r w:rsidRPr="00F86742">
        <w:t xml:space="preserve"> </w:t>
      </w:r>
      <w:r w:rsidRPr="00F86742">
        <w:rPr>
          <w:rStyle w:val="StyleUnderline"/>
        </w:rPr>
        <w:t>In the absence of a critical self-reflection on this inherent ethnocentrism, the tacit claim to universal truth reproduces the cultural supremacy of Western science as self-evident. Here, the needs of astronomers for tall peaks in remote locations supplant the needs of Indigenous communities on whose ancestral territories these observatories are built</w:t>
      </w:r>
      <w:r w:rsidRPr="00F86742">
        <w:t xml:space="preserve"> </w:t>
      </w:r>
      <w:r w:rsidRPr="00F86742">
        <w:rPr>
          <w:sz w:val="16"/>
          <w:szCs w:val="16"/>
        </w:rPr>
        <w:t xml:space="preserve">(2017: 8). As Casumbal-Salazar and other scholars who have written about the TMT and the violence that has been done to Native Hawai’ians (such as police actions designed to dislodge blockades that prevented construction) as well as the potential violence to come such as the construction of the telescope have skillfully said, </w:t>
      </w:r>
      <w:r w:rsidRPr="00F86742">
        <w:rPr>
          <w:rStyle w:val="StyleUnderline"/>
          <w:b/>
          <w:bCs/>
        </w:rPr>
        <w:t>when it comes to the infringement upon Indigenous space by settler scientific endeavors tied to space exploration, there is no neutrality to be had</w:t>
      </w:r>
      <w:r w:rsidRPr="00F86742">
        <w:rPr>
          <w:rStyle w:val="StyleUnderline"/>
        </w:rPr>
        <w:t xml:space="preserve">—dispossession and violence are dispossession and violence, no matter the potential ‘good for humanity’ that might come about through these things. Such contestations over outer space and ethical engagement with previously unknown spaces will continue to happen. </w:t>
      </w:r>
      <w:r w:rsidRPr="00F86742">
        <w:rPr>
          <w:rStyle w:val="StyleUnderline"/>
          <w:b/>
          <w:bCs/>
        </w:rPr>
        <w:t>Outer space is not the first ‘final frontier’</w:t>
      </w:r>
      <w:r w:rsidRPr="00F86742">
        <w:rPr>
          <w:rStyle w:val="StyleUnderline"/>
        </w:rPr>
        <w:t xml:space="preserve"> (apologies to Gene Roddenberry) that has been discussed in settler logics and academic spaces</w:t>
      </w:r>
      <w:r w:rsidRPr="00F86742">
        <w:rPr>
          <w:sz w:val="16"/>
          <w:szCs w:val="16"/>
        </w:rPr>
        <w:t>. In terms of settler colonialism, scholars have written about how Antarctica was initially thought of as the ‘perfect’ settler colony—land that could be had without the messy business of pushing Indigenous people off of it (see Howkins 2010). Of course, we know now that engagement with Antarctica should be constrained by ecological concern—who is to say that these concerns will be heeded in ‘unpopulated’ space? What can be done to push back against these settler logics? I want to now turn our attention towards the possibilities that exist regarding Indigenous engagement with outer space. After all, the timing could not be more urgent to do so</w:t>
      </w:r>
      <w:r w:rsidRPr="00F86742">
        <w:t>—</w:t>
      </w:r>
      <w:r w:rsidRPr="00F86742">
        <w:rPr>
          <w:rStyle w:val="StyleUnderline"/>
          <w:b/>
          <w:bCs/>
        </w:rPr>
        <w:t>we are now at a point where after generations and generations of building the myth that America was built out of nothing, we are now ready to resume the project of extending the reach of American military and economic might in space</w:t>
      </w:r>
      <w:r w:rsidRPr="00F86742">
        <w:t xml:space="preserve">. </w:t>
      </w:r>
      <w:r w:rsidRPr="00F86742">
        <w:rPr>
          <w:sz w:val="16"/>
          <w:szCs w:val="16"/>
        </w:rPr>
        <w:t>To be fair, there are plenty of advances that can be made scientifically with a renewed focus on space exploration. However,</w:t>
      </w:r>
      <w:r w:rsidRPr="00F86742">
        <w:t xml:space="preserve"> </w:t>
      </w:r>
      <w:r w:rsidRPr="00F86742">
        <w:rPr>
          <w:rStyle w:val="StyleUnderline"/>
          <w:b/>
          <w:bCs/>
        </w:rPr>
        <w:t>history shows us that space exploration has been historically tied to military hegemony</w:t>
      </w:r>
      <w:r w:rsidRPr="00F86742">
        <w:rPr>
          <w:rStyle w:val="StyleUnderline"/>
        </w:rPr>
        <w:t xml:space="preserve">, and there is nothing in Mr. Trump’s temperament or attitude towards a re-engagement with space that suggest that his push toward the stars will be anything different. A sustained conversation needs to be had—will this exploration be ethical and beneficial to all Americans? </w:t>
      </w:r>
      <w:r w:rsidRPr="00F86742">
        <w:rPr>
          <w:sz w:val="16"/>
          <w:szCs w:val="16"/>
        </w:rPr>
        <w:t>One potential avenue of Indigenous involvement comes through the active involvement of Indigenous peoples and Indigenous perspectives in space exploration, of course. This involvement can be possible through viewing outer space through a ‘decolonial’ lens, for instance</w:t>
      </w:r>
      <w:r w:rsidRPr="00F86742">
        <w:t xml:space="preserve">. </w:t>
      </w:r>
      <w:r w:rsidRPr="00F86742">
        <w:rPr>
          <w:rStyle w:val="StyleUnderline"/>
          <w:b/>
          <w:bCs/>
        </w:rPr>
        <w:t>Astronomers</w:t>
      </w:r>
      <w:r w:rsidRPr="00F86742">
        <w:t xml:space="preserve"> such as Prescod-Weinstein and Walkowicz </w:t>
      </w:r>
      <w:r w:rsidRPr="00F86742">
        <w:rPr>
          <w:b/>
          <w:bCs/>
        </w:rPr>
        <w:t>h</w:t>
      </w:r>
      <w:r w:rsidRPr="00F86742">
        <w:rPr>
          <w:rStyle w:val="StyleUnderline"/>
          <w:b/>
          <w:bCs/>
        </w:rPr>
        <w:t>ave spoken about the need to avoid replicating colonial frameworks of occupation and use of space when exploring places such as Mars</w:t>
      </w:r>
      <w:r w:rsidRPr="00F86742">
        <w:rPr>
          <w:sz w:val="16"/>
          <w:szCs w:val="16"/>
        </w:rPr>
        <w:t>, for example (Mandelbaum, 2018). The rise of logics of resource extraction in outer-space bodies have led to engagements by other academics such as Alice Gorman on the agency and personhood of the Moon. Collaborations between Indigenous people and space agencies such as NASA help provide the Indigenous perspective inside space exploration and the information that is gleaned from it, with implications both in space and on a Earth that is dealing with climate crisis (Bean, 2018; Bartels, 2019). Another potential avenue of engagement with Indigenous methodologies and epistemologies related to space comes with engaging with Indigenous thinkers who are already deeply immersed into explorations of Indigenous ‘space’ here on Earth—the recent works of Indigenous thinkers such as Waziyatawin (2008) Leanne Betasamosake Simpson (2017), Natchee Blu Barnd (2018) and others provide a unique viewpoint into the ways that Indigenous peoples make and remake space—perhaps this can provide another blueprint for how we might engage with space beyond Earth. And that is just the work that exists within the academic canon. Indigenous people have always been engaged with the worlds beyond the Earth, in ways that often stood counter to accepted ‘settler’ conventions of space exploration (Young, 1987). In one example, when asked about the Moon landings, several Inuit said, "We didn't know this was the first time you white people had been to the moon. Our shamans have been going for years. They go all the time...We do go to visit the moon and moon people all the time. The issue is not whether we go to visit our relatives, but how we treat them and their homeland when we go (Young, 1987: 272).” In another example, turning to my own people, the Ojibwe, we have long standing cultural connections to the stars that influence storytelling, governance, and religious tenets (CHIN, 2003). This engagement continues through to the present day, and points to a promising future. A new generation of Indigenous artists, filmmakers, and writers are beginning to create works that place the Indigenous individual themselves into narratives of space travel and futurity, unsettling existing settler notions of what our future in space might look like. As Leo Cornum (2015) writes, “Outer space, perhaps because of its appeal to our sense of endless possibility, has become the imaginative site for re-envisioning how black, indigenous and other oppressed people can relate to each other outside of and despite the colonial gaze.” These previous examples should serve as a reminder that the historical underpinnings of our great national myth are built upon shaky intellectual ground—we need to be honest about this. America did not just spring forth out of nothing; it came from the brutal occupation and control of Native lands. Despite the best efforts of the settler state, Native people are still here, we still exist and make vital contributions to both our tribal communities and science. We cannot expect Donald Trump to turn his back on the national myth of what made the United States the United States—in his mind, this is the glorious history of what made America great in the past. And it should serve as no surprise that Trump and others wish to extend this history into outer space. Even when Trump’s days in the White House are over, the settler colonial logics that underpin our engagement with land on Earth will still loom large over the ways that we may potentially engage with outer space. But for those of us who do work in Indigenous geographies and Indigenous studies, it becomes even more vital that we heed the calls of Indigenous thinkers inside and outside formal academic structures, validate Indigenous histories, and push to deconstruct the American settler myth and to provide a new way of looking at the stars, especially at a crucial moment where the settler state turns its gaze towards the same.</w:t>
      </w:r>
    </w:p>
    <w:p w:rsidR="00BB0CFE" w:rsidRDefault="00BB0CFE" w:rsidP="00BB0CFE">
      <w:pPr>
        <w:pStyle w:val="Heading4"/>
      </w:pPr>
      <w:r>
        <w:t>Indigenous people bear the costs of space colonization but reap almost none of the benefits.</w:t>
      </w:r>
    </w:p>
    <w:p w:rsidR="00BB0CFE" w:rsidRPr="00BB0CFE" w:rsidRDefault="00BB0CFE" w:rsidP="00BB0CFE">
      <w:r w:rsidRPr="00BB0CFE">
        <w:t xml:space="preserve">Ailsa </w:t>
      </w:r>
      <w:r w:rsidRPr="00BB0CFE">
        <w:rPr>
          <w:b/>
          <w:sz w:val="26"/>
          <w:szCs w:val="26"/>
        </w:rPr>
        <w:t>Fraser 23</w:t>
      </w:r>
      <w:r w:rsidRPr="00BB0CFE">
        <w:t xml:space="preserve"> – Editor in chief of the Retrospect Journal, MA History and Politics. [September 24, 2023, “The Final Frontier? Legacies of Colonialism in Space Exploration,” Retrospect Journal, https://retrospectjournal.com/2023/09/24/the-final-frontier-legacies-of-colonialism-in-space-exploration/]</w:t>
      </w:r>
    </w:p>
    <w:p w:rsidR="00BB0CFE" w:rsidRPr="00BB0CFE" w:rsidRDefault="00BB0CFE" w:rsidP="00BB0CFE">
      <w:pPr>
        <w:rPr>
          <w:sz w:val="10"/>
        </w:rPr>
      </w:pPr>
      <w:r w:rsidRPr="00BB0CFE">
        <w:rPr>
          <w:sz w:val="10"/>
        </w:rPr>
        <w:t xml:space="preserve">When discussing space exploration and travel today, two concerns are often raised: its environmental cost, and who should or will benefit from it. These are both sensible concerns. </w:t>
      </w:r>
      <w:r w:rsidRPr="00F60992">
        <w:rPr>
          <w:rStyle w:val="StyleUnderline"/>
        </w:rPr>
        <w:t>Our current age of space exploration is characterised by a ‘space race’</w:t>
      </w:r>
      <w:r w:rsidRPr="00BB0CFE">
        <w:rPr>
          <w:sz w:val="10"/>
        </w:rPr>
        <w:t xml:space="preserve"> between billionaires Bezos, Branson, and Musk, and primarily </w:t>
      </w:r>
      <w:r w:rsidRPr="00F60992">
        <w:rPr>
          <w:rStyle w:val="StyleUnderline"/>
        </w:rPr>
        <w:t>those who have been able to take advantage of space technologies and tourism have been</w:t>
      </w:r>
      <w:r w:rsidRPr="00BB0CFE">
        <w:rPr>
          <w:sz w:val="10"/>
        </w:rPr>
        <w:t xml:space="preserve"> either wealthy, celebrities, or </w:t>
      </w:r>
      <w:r w:rsidRPr="00F60992">
        <w:rPr>
          <w:rStyle w:val="StyleUnderline"/>
        </w:rPr>
        <w:t>wealthy celebrities</w:t>
      </w:r>
      <w:r w:rsidRPr="00BB0CFE">
        <w:rPr>
          <w:sz w:val="10"/>
        </w:rPr>
        <w:t xml:space="preserve">. While government-funded agencies like NASA are still active—in particular, India’s Chandrayaan-3 mission recently became the first to land on the south pole of the moon—there are concerns that the benefits of space travel will be distributed among the wealthy, and the costs among those who are not. Furthermore, in light of the current climate crisis, it is concerning that space travel can have between 550 to 1300 times the impact of an average person’s yearly climate impact per launch. While space institutions like Space Scotland are certainly aware of this and work to mitigate their impact, just as there are programmes aiming to democratise the space industry, </w:t>
      </w:r>
      <w:r w:rsidRPr="00F60992">
        <w:rPr>
          <w:rStyle w:val="StyleUnderline"/>
        </w:rPr>
        <w:t>most approaches in the space sector</w:t>
      </w:r>
      <w:r w:rsidRPr="00BB0CFE">
        <w:rPr>
          <w:sz w:val="10"/>
        </w:rPr>
        <w:t xml:space="preserve"> to these two issues </w:t>
      </w:r>
      <w:r w:rsidRPr="00F60992">
        <w:rPr>
          <w:rStyle w:val="StyleUnderline"/>
        </w:rPr>
        <w:t>ignore a crucial factor</w:t>
      </w:r>
      <w:r w:rsidRPr="00BB0CFE">
        <w:rPr>
          <w:sz w:val="10"/>
        </w:rPr>
        <w:t xml:space="preserve"> that ties them together: </w:t>
      </w:r>
      <w:r w:rsidRPr="00DB28C2">
        <w:rPr>
          <w:rStyle w:val="StyleUnderline"/>
        </w:rPr>
        <w:t>the legacy of settler colonialism.</w:t>
      </w:r>
      <w:r>
        <w:rPr>
          <w:rStyle w:val="StyleUnderline"/>
        </w:rPr>
        <w:t xml:space="preserve"> </w:t>
      </w:r>
      <w:r w:rsidRPr="008E2E33">
        <w:rPr>
          <w:rStyle w:val="StyleUnderline"/>
          <w:b/>
          <w:bCs/>
        </w:rPr>
        <w:t>Settler colonialism is characterised by the wholesale destruction of previous ecosystems and cultures to make way for the settlers’ own</w:t>
      </w:r>
      <w:r w:rsidRPr="00DB28C2">
        <w:rPr>
          <w:rStyle w:val="StyleUnderline"/>
        </w:rPr>
        <w:t>.</w:t>
      </w:r>
      <w:r w:rsidRPr="00BB0CFE">
        <w:rPr>
          <w:sz w:val="10"/>
        </w:rPr>
        <w:t xml:space="preserve"> This encompasses both the eviction of other humans from an area as well as physical changes made to the natural environment itself, such as settlers introducing foreign species in order to colonise and shape the environment into something familiar to them. </w:t>
      </w:r>
      <w:r w:rsidRPr="00DB28C2">
        <w:rPr>
          <w:rStyle w:val="StyleUnderline"/>
        </w:rPr>
        <w:t>Such an attitude frames a space not as a living thing to be respected, but as a resource to be exploited, which is the fundamental view of settler colonialism, towards people, land, and ecosystems alike. In contrast, while they cannot be generalised into one philosophy, many Indigenous cultures historically had a more sustainable relationship with the natural world around them, characterised by the understanding that living things are worthy of respect and that humans have a responsibility to respect them, in order to maintain a stable, sustainable lifestyle. Settler colonialism is a dominant paradigm in Western philosophy dating back to the Enlightenment</w:t>
      </w:r>
      <w:r w:rsidRPr="00BB0CFE">
        <w:rPr>
          <w:sz w:val="10"/>
        </w:rPr>
        <w:t xml:space="preserve">; today, we still observe a false dichotomy between humans and nature in which nature is inferior and humans should be free to shape and use it at will. This article will touch on two crucial ways this shapes space exploration: its attitude towards new environments, and how it disadvantages historical targets of colonialism further. Whether or not space counts as an environment has been hotly debated in academia. </w:t>
      </w:r>
      <w:r w:rsidRPr="00DB28C2">
        <w:rPr>
          <w:rStyle w:val="StyleUnderline"/>
        </w:rPr>
        <w:t>Arguments against the classification</w:t>
      </w:r>
      <w:r w:rsidRPr="00BB0CFE">
        <w:rPr>
          <w:sz w:val="10"/>
        </w:rPr>
        <w:t xml:space="preserve"> are that it is not a closed system </w:t>
      </w:r>
      <w:r w:rsidRPr="00DB28C2">
        <w:rPr>
          <w:rStyle w:val="StyleUnderline"/>
        </w:rPr>
        <w:t>the same way Earth is</w:t>
      </w:r>
      <w:r w:rsidRPr="00BB0CFE">
        <w:rPr>
          <w:sz w:val="10"/>
        </w:rPr>
        <w:t xml:space="preserve">, but infinite, so there is no concern around polluting it; it is abiotic and hosts no life, and therefore of little worth; and that it does not seem like any other intelligent life is interested in our solar system, so there is nothing stopping us from exploiting it. These arguments </w:t>
      </w:r>
      <w:r w:rsidRPr="00DB28C2">
        <w:rPr>
          <w:rStyle w:val="StyleUnderline"/>
        </w:rPr>
        <w:t>are primarily geared towards justifying its exploitation and pollution</w:t>
      </w:r>
      <w:r w:rsidRPr="00BB0CFE">
        <w:rPr>
          <w:sz w:val="10"/>
        </w:rPr>
        <w:t xml:space="preserve">—both attitudes seen historically in humans’ exploitation of nature. On the other hand, arguments in favour of considering space an environment address this. </w:t>
      </w:r>
      <w:r w:rsidRPr="008E2E33">
        <w:rPr>
          <w:rStyle w:val="StyleUnderline"/>
          <w:b/>
          <w:bCs/>
        </w:rPr>
        <w:t>Not only does the word ‘environment’ immediately raise ethical questions which restrain us from causing unnecessary damage</w:t>
      </w:r>
      <w:r w:rsidRPr="00DB28C2">
        <w:rPr>
          <w:rStyle w:val="StyleUnderline"/>
        </w:rPr>
        <w:t xml:space="preserve">, either intentionally or ignorantly, </w:t>
      </w:r>
      <w:r w:rsidRPr="008E2E33">
        <w:rPr>
          <w:rStyle w:val="StyleUnderline"/>
          <w:b/>
          <w:bCs/>
        </w:rPr>
        <w:t>but treating space as one reminds us</w:t>
      </w:r>
      <w:r w:rsidRPr="00DB28C2">
        <w:rPr>
          <w:rStyle w:val="StyleUnderline"/>
        </w:rPr>
        <w:t xml:space="preserve"> of multiple stakes and interests in it from across the global, helping to emphasise a shared stake and responsibility in it. Likewise, </w:t>
      </w:r>
      <w:r w:rsidRPr="008E2E33">
        <w:rPr>
          <w:rStyle w:val="StyleUnderline"/>
          <w:b/>
          <w:bCs/>
        </w:rPr>
        <w:t>our limited reach in space means that any action we take has the risk of impacting Earth</w:t>
      </w:r>
      <w:r w:rsidRPr="00DB28C2">
        <w:rPr>
          <w:rStyle w:val="StyleUnderline"/>
        </w:rPr>
        <w:t xml:space="preserve"> (as will be shown later), so space is hardly a closed system in such close quarters. And, finally, space still has inherent value, even if it cannot support or be used by humans.</w:t>
      </w:r>
      <w:r>
        <w:rPr>
          <w:rStyle w:val="StyleUnderline"/>
        </w:rPr>
        <w:t xml:space="preserve"> </w:t>
      </w:r>
      <w:r w:rsidRPr="00BB0CFE">
        <w:rPr>
          <w:sz w:val="10"/>
        </w:rPr>
        <w:t xml:space="preserve">Furthermore, from an academic perspective, </w:t>
      </w:r>
      <w:r w:rsidRPr="00DB28C2">
        <w:rPr>
          <w:rStyle w:val="StyleUnderline"/>
        </w:rPr>
        <w:t>framing space as an extreme environment, like how we view the Antarctic, provides a window into researching its history</w:t>
      </w:r>
      <w:r w:rsidRPr="00BB0CFE">
        <w:rPr>
          <w:sz w:val="10"/>
        </w:rPr>
        <w:t xml:space="preserve">, from how the challenge of the extreme environment limited exploration to how exploration in other such environments produced knowledge useful for this challenge. (NASA have researched historical examples of polar exploration, such as the 1897 expedition of the Belgica, which spent a winter in Antarctica, with the anticipation that issues such as the explorers’ relationship with food, sunlight, and their crewmates could be comparable to that of what astronauts undergo). As such, </w:t>
      </w:r>
      <w:r w:rsidRPr="004D088E">
        <w:rPr>
          <w:rStyle w:val="StyleUnderline"/>
          <w:b/>
          <w:bCs/>
        </w:rPr>
        <w:t xml:space="preserve">considering space as an environment </w:t>
      </w:r>
      <w:r w:rsidRPr="00DB28C2">
        <w:rPr>
          <w:rStyle w:val="StyleUnderline"/>
        </w:rPr>
        <w:t xml:space="preserve">contextualises space travel within the long history of achievements in exploration and enables it to draw on those experiences. But it also </w:t>
      </w:r>
      <w:r w:rsidRPr="004D088E">
        <w:rPr>
          <w:rStyle w:val="StyleUnderline"/>
          <w:b/>
          <w:bCs/>
        </w:rPr>
        <w:t>shows how it is characterised by the same exploitative urge that these achievements, and all of settler colonialism, were.</w:t>
      </w:r>
      <w:r>
        <w:rPr>
          <w:rStyle w:val="StyleUnderline"/>
          <w:b/>
          <w:bCs/>
        </w:rPr>
        <w:t xml:space="preserve"> </w:t>
      </w:r>
      <w:r w:rsidRPr="00BB0CFE">
        <w:rPr>
          <w:sz w:val="10"/>
        </w:rPr>
        <w:t xml:space="preserve">It makes sense that </w:t>
      </w:r>
      <w:r w:rsidRPr="004D088E">
        <w:rPr>
          <w:rStyle w:val="StyleUnderline"/>
          <w:b/>
          <w:bCs/>
        </w:rPr>
        <w:t>current ideas of space exploration share roots with colonial ideas</w:t>
      </w:r>
      <w:r w:rsidRPr="00394444">
        <w:rPr>
          <w:rStyle w:val="StyleUnderline"/>
        </w:rPr>
        <w:t>: much of the original imaginings of space exploration came from European and American science fiction</w:t>
      </w:r>
      <w:r w:rsidRPr="00BB0CFE">
        <w:rPr>
          <w:sz w:val="10"/>
        </w:rPr>
        <w:t xml:space="preserve"> during the nineteenth and early twentieth centuries, at the height of Empire. Benjamin Goossen, in his examination of global astroculture, argues that the current Space Age is inherently European in its thinking despite Europe’s lacklustre involvement, due to the European science fiction literature that shaped its imagination. Even </w:t>
      </w:r>
      <w:r w:rsidRPr="004D088E">
        <w:rPr>
          <w:rStyle w:val="StyleUnderline"/>
          <w:b/>
          <w:bCs/>
        </w:rPr>
        <w:t>the original Star Trek series</w:t>
      </w:r>
      <w:r w:rsidRPr="00BB0CFE">
        <w:rPr>
          <w:sz w:val="10"/>
        </w:rPr>
        <w:t xml:space="preserve">, a classic of science fiction and (rightly) recognised as enormously progressive for its time, </w:t>
      </w:r>
      <w:r w:rsidRPr="004D088E">
        <w:rPr>
          <w:rStyle w:val="StyleUnderline"/>
          <w:b/>
          <w:bCs/>
        </w:rPr>
        <w:t>had a distinctly ‘civilising’ theme</w:t>
      </w:r>
      <w:r w:rsidRPr="00394444">
        <w:rPr>
          <w:rStyle w:val="StyleUnderline"/>
        </w:rPr>
        <w:t xml:space="preserve"> in how the crew of the Enterprise interacted with new cultures</w:t>
      </w:r>
      <w:r w:rsidRPr="00BB0CFE">
        <w:rPr>
          <w:sz w:val="10"/>
        </w:rPr>
        <w:t xml:space="preserve">—which makes perfect sense considering it was inspired by an earlier TV series, Wagon Train, about American settlers travelling west. Once observed, these themes are difficult to miss, especially when </w:t>
      </w:r>
      <w:r w:rsidRPr="00394444">
        <w:rPr>
          <w:rStyle w:val="StyleUnderline"/>
        </w:rPr>
        <w:t>a common aim of space travel is to reach and colonise Mars</w:t>
      </w:r>
      <w:r w:rsidRPr="00BB0CFE">
        <w:rPr>
          <w:sz w:val="10"/>
        </w:rPr>
        <w:t>. Not only is the popularity of moving to Mars largely due to fears around the Earth becoming uninhabitable due to the climate crisis caused by settler colonialism’s exploitation of nature, terraforming Mars to make it fit for human habitation is born of the priorities of settler colonialism. The project is literally called the colonisation of Mars. As discussed, such attitudes towards space justify themselves with the argument that space—and Mars—are currently lifeless, therefore no harm will be done by this. But not only does my earlier point that space has inherent value still stand, we do not know if there is life in space. Our ignorance could cause devastation. Furthermore</w:t>
      </w:r>
      <w:r w:rsidRPr="00BB0CFE">
        <w:rPr>
          <w:b/>
          <w:bCs/>
          <w:sz w:val="10"/>
        </w:rPr>
        <w:t xml:space="preserve">, </w:t>
      </w:r>
      <w:r w:rsidRPr="004D088E">
        <w:rPr>
          <w:rStyle w:val="StyleUnderline"/>
          <w:b/>
          <w:bCs/>
        </w:rPr>
        <w:t>it is impossible to ignore the ongoing violence of settler colonialism against Indigenous communities themselves, and how the space industry reflects this today</w:t>
      </w:r>
      <w:r w:rsidRPr="00BB0CFE">
        <w:rPr>
          <w:sz w:val="10"/>
        </w:rPr>
        <w:t xml:space="preserve">. This is because, as mentioned earlier, </w:t>
      </w:r>
      <w:r w:rsidRPr="004D088E">
        <w:rPr>
          <w:rStyle w:val="StyleUnderline"/>
          <w:b/>
          <w:bCs/>
        </w:rPr>
        <w:t>the primary benefits of space exploration are enjoyed by those who are already wealthy</w:t>
      </w:r>
      <w:r w:rsidRPr="00BB0CFE">
        <w:rPr>
          <w:sz w:val="10"/>
        </w:rPr>
        <w:t xml:space="preserve">. Patterns of discrimination mean Indigenous communities are not among these people. However, it is also reflected in the literal fallout of space exploration: orbital debris. There are enormous amounts of debris in near-earth orbit. NASA estimates over 25,000 pieces are larger than ten centimetres, and approximately 500,000 pieces between one and ten centimetres. This has been a concern since the first satellites were launched in the 1950s, as debris can collide with and damage satellites and other orbital objects, potentially cascading until entire orbit areas are entirely impassable due to its density. In fact, debris is often created because of the perception that space is not an environment, but rather unchanging and static, which means that unanticipated stormy space weather, solar maximums, the expansion and retraction of Earth’s atmosphere, and high ultraviolet emissions cause wear and tear on satellites until pieces break off. In many cases, defunct and destroyed pieces of satellites will fall back to Earth—and they rarely fall on the people that produced them. In 1960, hundreds of Cubans and seven cows protested at the US Embassy in Havana after American space debris crashed in a cow field. Likewise, in 1972 a farmer from Aotearoa (New Zealand) had his crops burnt when sphere of titanium alloy made by the Soviets crashed on his field, and the local police shut it in jail after considering if it might be radioactive. But </w:t>
      </w:r>
      <w:r w:rsidRPr="004D088E">
        <w:rPr>
          <w:rStyle w:val="StyleUnderline"/>
          <w:b/>
          <w:bCs/>
        </w:rPr>
        <w:t>a crucial example of the legacy of settler colonialism in the impact of space debris is that of Cosmos 954 in 1978, a Soviet reconnaissance satellite that fell in Arctic Canada, close to where First Nations communities lived</w:t>
      </w:r>
      <w:r w:rsidRPr="00394444">
        <w:rPr>
          <w:rStyle w:val="StyleUnderline"/>
        </w:rPr>
        <w:t>. It scattered radioactive debris across the landscape before landing, thus i</w:t>
      </w:r>
      <w:r w:rsidRPr="004D088E">
        <w:rPr>
          <w:rStyle w:val="StyleUnderline"/>
          <w:b/>
          <w:bCs/>
        </w:rPr>
        <w:t>mpacting the ecosystem that the local people relied on for food and clothing.</w:t>
      </w:r>
      <w:r w:rsidRPr="00394444">
        <w:rPr>
          <w:rStyle w:val="StyleUnderline"/>
        </w:rPr>
        <w:t xml:space="preserve"> </w:t>
      </w:r>
      <w:r w:rsidRPr="004D088E">
        <w:rPr>
          <w:rStyle w:val="StyleUnderline"/>
          <w:b/>
          <w:bCs/>
        </w:rPr>
        <w:t>The Canadian authorities’ cleanup response</w:t>
      </w:r>
      <w:r w:rsidRPr="00394444">
        <w:rPr>
          <w:rStyle w:val="StyleUnderline"/>
        </w:rPr>
        <w:t xml:space="preserve">, though admittedly limited by the Arctic terrain, </w:t>
      </w:r>
      <w:r w:rsidRPr="004D088E">
        <w:rPr>
          <w:rStyle w:val="StyleUnderline"/>
          <w:b/>
          <w:bCs/>
        </w:rPr>
        <w:t>was lacklustre</w:t>
      </w:r>
      <w:r w:rsidRPr="00394444">
        <w:rPr>
          <w:rStyle w:val="StyleUnderline"/>
        </w:rPr>
        <w:t>.</w:t>
      </w:r>
      <w:r w:rsidRPr="00BB0CFE">
        <w:rPr>
          <w:sz w:val="10"/>
        </w:rPr>
        <w:t xml:space="preserve"> Concerns have been raised since then that far less effort was put in because those impacted were primarily First Nations communities. Little attention was given to translating the threat to the communities, who did not have a concept of ‘radioactivity’ in their language; instead, the fact that their food might be dangerous to consume was inadequately explained in a way that caused panic. </w:t>
      </w:r>
      <w:r w:rsidRPr="00394444">
        <w:rPr>
          <w:rStyle w:val="StyleUnderline"/>
        </w:rPr>
        <w:t xml:space="preserve">As such, </w:t>
      </w:r>
      <w:r w:rsidRPr="004D088E">
        <w:rPr>
          <w:rStyle w:val="StyleUnderline"/>
          <w:b/>
          <w:bCs/>
        </w:rPr>
        <w:t>space exploration</w:t>
      </w:r>
      <w:r w:rsidRPr="00394444">
        <w:rPr>
          <w:rStyle w:val="StyleUnderline"/>
        </w:rPr>
        <w:t xml:space="preserve"> is not only predicated on the same ideas behind settler colonialism, but also </w:t>
      </w:r>
      <w:r w:rsidRPr="004D088E">
        <w:rPr>
          <w:rStyle w:val="StyleUnderline"/>
          <w:b/>
          <w:bCs/>
        </w:rPr>
        <w:t>perpetuates the injustices</w:t>
      </w:r>
      <w:r w:rsidRPr="00394444">
        <w:rPr>
          <w:rStyle w:val="StyleUnderline"/>
        </w:rPr>
        <w:t xml:space="preserve"> and inequalities </w:t>
      </w:r>
      <w:r w:rsidRPr="004D088E">
        <w:rPr>
          <w:rStyle w:val="StyleUnderline"/>
          <w:b/>
          <w:bCs/>
        </w:rPr>
        <w:t>created by past settler colonialism, in that communities historically prejudiced against bear the brunt of the costs and enjoy few of the benefits.</w:t>
      </w:r>
      <w:r>
        <w:rPr>
          <w:rStyle w:val="StyleUnderline"/>
          <w:b/>
          <w:bCs/>
        </w:rPr>
        <w:t xml:space="preserve"> </w:t>
      </w:r>
      <w:r w:rsidRPr="00BB0CFE">
        <w:rPr>
          <w:sz w:val="10"/>
        </w:rPr>
        <w:t xml:space="preserve">The increasing awareness of space exploration’s issues with sustainability and equality, therefore, is an excellent shift in the sector’s thinking. But the link between the two issues is rarely articulated. Indeed, these they are simply the symptoms of a much larger philosophical approach towards space and exploration that draws on a long history that built the world as we know it today. Specifically, the extractive, </w:t>
      </w:r>
      <w:r w:rsidRPr="00394444">
        <w:rPr>
          <w:rStyle w:val="StyleUnderline"/>
        </w:rPr>
        <w:t xml:space="preserve">exploitative thought behind settler colonialism is intrinsic to many of our current conceptions of space exploration, and </w:t>
      </w:r>
      <w:r w:rsidRPr="004D088E">
        <w:rPr>
          <w:rStyle w:val="StyleUnderline"/>
          <w:b/>
          <w:bCs/>
        </w:rPr>
        <w:t>there has been little acknowledgement of the colonial underpinnings of much of our imagination when it comes to space</w:t>
      </w:r>
      <w:r w:rsidRPr="00BB0CFE">
        <w:rPr>
          <w:sz w:val="10"/>
        </w:rPr>
        <w:t xml:space="preserve">. Furthermore, </w:t>
      </w:r>
      <w:r w:rsidRPr="004D088E">
        <w:rPr>
          <w:rStyle w:val="StyleUnderline"/>
          <w:b/>
          <w:bCs/>
        </w:rPr>
        <w:t>the legacies of colonialism feed inequalities in the modern world</w:t>
      </w:r>
      <w:r w:rsidRPr="00394444">
        <w:rPr>
          <w:rStyle w:val="StyleUnderline"/>
        </w:rPr>
        <w:t xml:space="preserve"> that mean that </w:t>
      </w:r>
      <w:r w:rsidRPr="00E56CB1">
        <w:rPr>
          <w:rStyle w:val="StyleUnderline"/>
          <w:b/>
          <w:bCs/>
        </w:rPr>
        <w:t>those who suffered from colonialism suffer likewise from space exploration today</w:t>
      </w:r>
      <w:r w:rsidRPr="00394444">
        <w:rPr>
          <w:rStyle w:val="StyleUnderline"/>
        </w:rPr>
        <w:t>, because of how they, their relationships to the world, and their land, are dismissed, ignored, and devalued by Western powers</w:t>
      </w:r>
      <w:r w:rsidRPr="00BB0CFE">
        <w:rPr>
          <w:sz w:val="10"/>
        </w:rPr>
        <w:t xml:space="preserve">. If, as promised by numerous science fiction works as well as many world leaders, exploration in space is going to help us build an interstellar utopia, then an enormous shift in philosophy and methodology is required. </w:t>
      </w:r>
      <w:r w:rsidRPr="00E56CB1">
        <w:rPr>
          <w:rStyle w:val="StyleUnderline"/>
          <w:b/>
          <w:bCs/>
        </w:rPr>
        <w:t>Space exploration should not be a repeat of past atrocities</w:t>
      </w:r>
      <w:r w:rsidRPr="00BB0CFE">
        <w:rPr>
          <w:sz w:val="10"/>
        </w:rPr>
        <w:t xml:space="preserve">. And to start, we must view space, and spaces more generally, as full of value—not because they can be useful to us, but because they simply are. </w:t>
      </w:r>
    </w:p>
    <w:p w:rsidR="00BB0CFE" w:rsidRPr="00BB0CFE" w:rsidRDefault="00BB0CFE" w:rsidP="00BB0CFE"/>
    <w:p w:rsidR="00123317" w:rsidRDefault="00D65352" w:rsidP="00123317">
      <w:pPr>
        <w:pStyle w:val="Heading3"/>
      </w:pPr>
      <w:r>
        <w:t>DIB/</w:t>
      </w:r>
      <w:r w:rsidR="00870C15">
        <w:t>Militarism</w:t>
      </w:r>
    </w:p>
    <w:p w:rsidR="00123317" w:rsidRPr="00EB215D" w:rsidRDefault="00123317" w:rsidP="00123317">
      <w:pPr>
        <w:pStyle w:val="Heading4"/>
      </w:pPr>
      <w:r>
        <w:t xml:space="preserve">The militaristic view of foreign threats introduces the state’s quest for </w:t>
      </w:r>
      <w:r w:rsidRPr="00C36570">
        <w:rPr>
          <w:u w:val="single"/>
        </w:rPr>
        <w:t>total security</w:t>
      </w:r>
      <w:r>
        <w:t>, legitimizing violence and exploitation of indigenous societies</w:t>
      </w:r>
    </w:p>
    <w:p w:rsidR="00123317" w:rsidRPr="00EB215D" w:rsidRDefault="00123317" w:rsidP="00123317">
      <w:r w:rsidRPr="008C6E05">
        <w:rPr>
          <w:rStyle w:val="Style13ptBold"/>
        </w:rPr>
        <w:t>Inwood and Bonds 16</w:t>
      </w:r>
      <w:r>
        <w:t xml:space="preserve"> Joshua Inwood is a professor of geography and African American studies and a senior research associate in the Rock Ethics Institute. He received his Ph.D. from the Department of Geography at the University of Georgia and before coming to Penn State was a faculty member at the University of Tennessee and Auburn University. </w:t>
      </w:r>
      <w:r w:rsidRPr="008C6E05">
        <w:t>Anne Bonds a feminist geographer whose research interests include race, racialization, and racial segregation, urban political economy and community development, critical property and housing studies, and carceral and abolition geographies. She is a founding member of the Mapping Racism and Resistance in Milwaukee County project, which examines the geography of racially restrictive covenants and challenges to them between the years 1910 and 1960. Her current and previous research, including work with collaborators and graduate students, has focused on the geographies of white supremacy, the criminalization of the poor, the racial political economy of rural prison sitings, women’s re-entry experiences following incarceration, young people’s experiences with policing, and non-profit housing development.</w:t>
      </w:r>
      <w:r>
        <w:t xml:space="preserve"> [17 March 2016 “</w:t>
      </w:r>
      <w:r w:rsidRPr="001938F8">
        <w:t>Confronting White Supremacy and a Militaristic Pedagogy in the U.S. Settler Colonial State</w:t>
      </w:r>
      <w:r>
        <w:t xml:space="preserve">” </w:t>
      </w:r>
      <w:r w:rsidRPr="001938F8">
        <w:t>https://www.tandfonline.com/doi/full/10.1080/24694452.2016.1145510?scroll=top&amp;needAccess=true</w:t>
      </w:r>
      <w:r>
        <w:t>]</w:t>
      </w:r>
    </w:p>
    <w:p w:rsidR="00123317" w:rsidRPr="00DE2713" w:rsidRDefault="00123317" w:rsidP="00123317">
      <w:pPr>
        <w:rPr>
          <w:rStyle w:val="StyleUnderline"/>
        </w:rPr>
      </w:pPr>
      <w:r w:rsidRPr="00F36B7B">
        <w:rPr>
          <w:rStyle w:val="StyleUnderline"/>
        </w:rPr>
        <w:t>The analytic of militarism requires first a focus on the United States as produced through settler colonialism</w:t>
      </w:r>
      <w:r w:rsidRPr="009F76FB">
        <w:rPr>
          <w:sz w:val="16"/>
        </w:rPr>
        <w:t xml:space="preserve"> (Morgensen 2011; Smith 2012; Hixson 2013; Veracini 2013). A. Bonds and Inwood (2015) explained settler colonialism as a continuously unfolding project of empire that is enabled by and through specific racial configurations that are tied to geographies of white supremacy. </w:t>
      </w:r>
      <w:r w:rsidRPr="00423C5F">
        <w:rPr>
          <w:rStyle w:val="StyleUnderline"/>
        </w:rPr>
        <w:t>In a U.S. context, settler colonialism begins with the removal of first peoples from the land and the creation of racialized and gendered labor systems that make the land productive for the colonizers.</w:t>
      </w:r>
      <w:r w:rsidRPr="009F76FB">
        <w:rPr>
          <w:sz w:val="16"/>
        </w:rPr>
        <w:t xml:space="preserve"> </w:t>
      </w:r>
      <w:r w:rsidRPr="00054471">
        <w:rPr>
          <w:rStyle w:val="StyleUnderline"/>
          <w:b/>
          <w:bCs/>
        </w:rPr>
        <w:t>This includes the removal of Native peoples and geographies of indentured servitude, slavery, sharecropping, and, more contemporarily, urban abandonment and practices of mass imprisonment.</w:t>
      </w:r>
      <w:r w:rsidRPr="009F76FB">
        <w:rPr>
          <w:sz w:val="16"/>
        </w:rPr>
        <w:t xml:space="preserve"> Settler colonialism, therefore, emphasizes the ongoing processes of racialized capital accumulation and displacement necessary to sustain the permanent occupation of a territory. </w:t>
      </w:r>
      <w:r w:rsidRPr="00C16865">
        <w:rPr>
          <w:rStyle w:val="StyleUnderline"/>
        </w:rPr>
        <w:t>In this sense, it is an enduring structure—an interrelated political, social, and economic process that continuously unfolds—requiring continued reconfigurations and interventions by the state</w:t>
      </w:r>
      <w:r w:rsidRPr="009F76FB">
        <w:rPr>
          <w:sz w:val="16"/>
        </w:rPr>
        <w:t xml:space="preserve"> (Wolfe 2006). Because of the constant reworking of social and political economic hierarchies necessary to sustain settler relations, this sociospatial dialectic is central to understanding how particular place-based configurations of race, class, ethnicity, and gender come to predominate in the United States (for a broader discussion see S. Hall 1996; Gilmore 1999; A. Bonds and Inwood 2015). </w:t>
      </w:r>
      <w:r w:rsidRPr="00C16865">
        <w:rPr>
          <w:rStyle w:val="StyleUnderline"/>
        </w:rPr>
        <w:t>According to Smith (2012), settler colonialism is sustained by three primary logics that enshrine white supremacy. The first</w:t>
      </w:r>
      <w:r w:rsidRPr="009F76FB">
        <w:rPr>
          <w:sz w:val="16"/>
        </w:rPr>
        <w:t xml:space="preserve"> of these logics </w:t>
      </w:r>
      <w:r w:rsidRPr="00C16865">
        <w:rPr>
          <w:rStyle w:val="StyleUnderline"/>
        </w:rPr>
        <w:t>is</w:t>
      </w:r>
      <w:r w:rsidRPr="009F76FB">
        <w:rPr>
          <w:sz w:val="16"/>
        </w:rPr>
        <w:t xml:space="preserve"> that of </w:t>
      </w:r>
      <w:r w:rsidRPr="009F76FB">
        <w:rPr>
          <w:rStyle w:val="StyleUnderline"/>
          <w:b/>
          <w:bCs/>
        </w:rPr>
        <w:t>slavery</w:t>
      </w:r>
      <w:r w:rsidRPr="009F76FB">
        <w:rPr>
          <w:sz w:val="16"/>
        </w:rPr>
        <w:t xml:space="preserve">, </w:t>
      </w:r>
      <w:r w:rsidRPr="00C16865">
        <w:rPr>
          <w:rStyle w:val="StyleUnderline"/>
        </w:rPr>
        <w:t>which is usually premised on the enslavement of black people, the devaluation of black life, and the racialized political economy established through this system.</w:t>
      </w:r>
      <w:r w:rsidRPr="009F76FB">
        <w:rPr>
          <w:sz w:val="16"/>
        </w:rPr>
        <w:t xml:space="preserve"> Rather than being located in the past, the logic of slavery mutates and mobilizes across time and space, systematized through various structures of social control that dispossess and retain black bodies as permanent property of the state. This logic connects slavery, sharecropping, welfare programs, and mass imprisonment (Smith 2012). The logic of slavery rationalizes racial exploitation and is the cornerstone for the very notion of private property. As Harris (1993) argued, “</w:t>
      </w:r>
      <w:r w:rsidRPr="00C16865">
        <w:rPr>
          <w:rStyle w:val="StyleUnderline"/>
        </w:rPr>
        <w:t>The origins of property rights in the United States are rooted in racial domination” (1734) that is connected to slavery and gives rise to a very specific form of U.S.-style political economy built on and through the subordination of persons of color.</w:t>
      </w:r>
      <w:r w:rsidRPr="009F76FB">
        <w:rPr>
          <w:sz w:val="16"/>
        </w:rPr>
        <w:t xml:space="preserve"> Thus, slavery introduces into the life of the nation the routine and naturalized “statesanctioned or extralegal production and exploitation of group-differentiated vulnerability to premature death” that is the heart of U.S.-style racism (Gilmore 2007, 28). The associated practices and systems not only justify death as the “collateral consequences” of U.S. development, but they undergird the social and premature death of structural racism (Gilmore 2007). </w:t>
      </w:r>
      <w:r w:rsidRPr="009F76FB">
        <w:rPr>
          <w:rStyle w:val="StyleUnderline"/>
        </w:rPr>
        <w:t xml:space="preserve">A second and interconnected logic is </w:t>
      </w:r>
      <w:r w:rsidRPr="009F76FB">
        <w:rPr>
          <w:rStyle w:val="StyleUnderline"/>
          <w:b/>
          <w:bCs/>
        </w:rPr>
        <w:t>genocide</w:t>
      </w:r>
      <w:r w:rsidRPr="009F76FB">
        <w:rPr>
          <w:rStyle w:val="StyleUnderline"/>
        </w:rPr>
        <w:t xml:space="preserve">, premised on the ongoing </w:t>
      </w:r>
      <w:r w:rsidRPr="009F76FB">
        <w:rPr>
          <w:rStyle w:val="StyleUnderline"/>
          <w:b/>
          <w:bCs/>
        </w:rPr>
        <w:t>disappearance</w:t>
      </w:r>
      <w:r w:rsidRPr="009F76FB">
        <w:rPr>
          <w:rStyle w:val="StyleUnderline"/>
        </w:rPr>
        <w:t xml:space="preserve"> of indigenous peoples in support of the appropriation and </w:t>
      </w:r>
      <w:r w:rsidRPr="009F76FB">
        <w:rPr>
          <w:rStyle w:val="StyleUnderline"/>
          <w:b/>
          <w:bCs/>
        </w:rPr>
        <w:t>privatization</w:t>
      </w:r>
      <w:r w:rsidRPr="009F76FB">
        <w:rPr>
          <w:rStyle w:val="StyleUnderline"/>
        </w:rPr>
        <w:t xml:space="preserve"> of indigenous lands</w:t>
      </w:r>
      <w:r w:rsidRPr="009F76FB">
        <w:rPr>
          <w:sz w:val="16"/>
        </w:rPr>
        <w:t xml:space="preserve"> (Smith 2012). Genocide sustains a spatial politics of erasure and exclusion, institutionalized by state practices that justify indigenous removal and settler land claims. The practices of genocide are animated by and through logics of private property that connect geographies of indigenous disappearance with labor systems meant to make the land productive. </w:t>
      </w:r>
      <w:r w:rsidRPr="00F36B7B">
        <w:rPr>
          <w:rStyle w:val="StyleUnderline"/>
        </w:rPr>
        <w:t xml:space="preserve">Finally, a third pillar is </w:t>
      </w:r>
      <w:r w:rsidRPr="009F76FB">
        <w:rPr>
          <w:rStyle w:val="StyleUnderline"/>
          <w:b/>
          <w:bCs/>
        </w:rPr>
        <w:t>orientalism</w:t>
      </w:r>
      <w:r w:rsidRPr="00F36B7B">
        <w:rPr>
          <w:rStyle w:val="StyleUnderline"/>
        </w:rPr>
        <w:t xml:space="preserve">, grounded in the belief of the inferiority and threatening menace of non-Western nations and peoples (Smith 2012).1 This introduces into the United States a state of </w:t>
      </w:r>
      <w:r w:rsidRPr="009F76FB">
        <w:rPr>
          <w:rStyle w:val="StyleUnderline"/>
          <w:b/>
          <w:bCs/>
        </w:rPr>
        <w:t>permanent warfare</w:t>
      </w:r>
      <w:r w:rsidRPr="00F36B7B">
        <w:rPr>
          <w:rStyle w:val="StyleUnderline"/>
        </w:rPr>
        <w:t xml:space="preserve"> in which the nation is consistently besieged by enemies (externally and internally); as a consequence, there is a </w:t>
      </w:r>
      <w:r w:rsidRPr="009F76FB">
        <w:rPr>
          <w:rStyle w:val="StyleUnderline"/>
          <w:b/>
          <w:bCs/>
        </w:rPr>
        <w:t>constant</w:t>
      </w:r>
      <w:r w:rsidRPr="00F36B7B">
        <w:rPr>
          <w:rStyle w:val="StyleUnderline"/>
        </w:rPr>
        <w:t xml:space="preserve"> need to protect “the well-being of empire” </w:t>
      </w:r>
      <w:r w:rsidRPr="009F76FB">
        <w:rPr>
          <w:sz w:val="16"/>
        </w:rPr>
        <w:t xml:space="preserve">(Smith 2012, 69). </w:t>
      </w:r>
      <w:r w:rsidRPr="00F36B7B">
        <w:rPr>
          <w:rStyle w:val="StyleUnderline"/>
        </w:rPr>
        <w:t>The foundational rationales of slavery, genocide, and orientalism contour the white supremacist settler state: The founding moments of US nationalism [meaning the social and cultural identity of the nation] are foundational to both state and culture.</w:t>
      </w:r>
      <w:r w:rsidRPr="009F76FB">
        <w:rPr>
          <w:sz w:val="16"/>
        </w:rPr>
        <w:t xml:space="preserve"> </w:t>
      </w:r>
      <w:r w:rsidRPr="009F76FB">
        <w:rPr>
          <w:rStyle w:val="StyleUnderline"/>
          <w:b/>
          <w:bCs/>
        </w:rPr>
        <w:t>The US was conceived in slavery and christened by genocide</w:t>
      </w:r>
      <w:r w:rsidRPr="00F36B7B">
        <w:rPr>
          <w:rStyle w:val="StyleUnderline"/>
        </w:rPr>
        <w:t xml:space="preserve">. These early practices established high expectations of state </w:t>
      </w:r>
      <w:r w:rsidRPr="00AD2EAC">
        <w:rPr>
          <w:rStyle w:val="StyleUnderline"/>
        </w:rPr>
        <w:t>aggression against enemies of the national purpose and that valorized armed men in uniform as the nation’s true sacrificial subjects.</w:t>
      </w:r>
      <w:r w:rsidRPr="009F76FB">
        <w:rPr>
          <w:sz w:val="16"/>
        </w:rPr>
        <w:t xml:space="preserve"> (Gilmore 2002, 20) These logics are reformulated and continue to take shape in an era of ostensible color-blindness predominated by official discourses and government commitments to racial equality. </w:t>
      </w:r>
      <w:r w:rsidRPr="00EB32AA">
        <w:rPr>
          <w:rStyle w:val="StyleUnderline"/>
        </w:rPr>
        <w:t>Even as overt racism is eschewed, taken for granted socioeconomic hierarchies, racial exploitation, and the redistribution of wealth reproduce and sustain white supremacy. The U.S. settler state internalizes a “</w:t>
      </w:r>
      <w:r w:rsidRPr="00702B49">
        <w:rPr>
          <w:rStyle w:val="StyleUnderline"/>
          <w:b/>
          <w:bCs/>
        </w:rPr>
        <w:t>righteous violence</w:t>
      </w:r>
      <w:r w:rsidRPr="00EB32AA">
        <w:rPr>
          <w:rStyle w:val="StyleUnderline"/>
        </w:rPr>
        <w:t>” predicated on an expanding “</w:t>
      </w:r>
      <w:r w:rsidRPr="00702B49">
        <w:rPr>
          <w:rStyle w:val="StyleUnderline"/>
          <w:b/>
          <w:bCs/>
        </w:rPr>
        <w:t>quest for total security</w:t>
      </w:r>
      <w:r w:rsidRPr="00EB32AA">
        <w:rPr>
          <w:rStyle w:val="StyleUnderline"/>
        </w:rPr>
        <w:t>” that has come to characterize domestic and foreign policy</w:t>
      </w:r>
      <w:r w:rsidRPr="009F76FB">
        <w:rPr>
          <w:sz w:val="16"/>
        </w:rPr>
        <w:t xml:space="preserve"> (Hixson 2013, 198). </w:t>
      </w:r>
      <w:r w:rsidRPr="00C17AAA">
        <w:rPr>
          <w:rStyle w:val="StyleUnderline"/>
        </w:rPr>
        <w:t>Although there are myriad ways to explore the interrelations between state-sanctioned violence and militarism, we find the connections between domestic policing and the U.S. military-industrial complex to be particularly illustrative.</w:t>
      </w:r>
      <w:r w:rsidRPr="009F76FB">
        <w:rPr>
          <w:sz w:val="16"/>
        </w:rPr>
        <w:t xml:space="preserve"> Kraska and Cubellis (1997) noted that there is a long history of collusion between the military and police departments in the United States and the military paradigm is an important organizing principle within the development of modern policing practices, organization, and tactics (e.g., Bittner 1970; Manning 1977; Enloe 1980; A. Hall and Coyne 2012). These practices took on added significance during the latter half of the twentieth century as U.S. cities faced increased pressure to “get tough on crime” and as local police departments developed specially trained tactical teams, commonly referred to as Special Weapons and Tactics (SWAT) teams (Kraska and Cubellis 1997). </w:t>
      </w:r>
      <w:r w:rsidRPr="00D44372">
        <w:rPr>
          <w:rStyle w:val="StyleUnderline"/>
        </w:rPr>
        <w:t xml:space="preserve">The interactions between the military and domestic police practices intensified yet again during the “war on drugs” and in a post–11 September 2001 world where domestic terror concerns have fueled the explosive growth of military and police cooperation (A. Hall and Coyne 2012). Although ostensibly unconnected to questions of race and economic inequality, militarism is fundamentally linked to structural violences of poverty and social difference </w:t>
      </w:r>
      <w:r w:rsidRPr="009F76FB">
        <w:rPr>
          <w:sz w:val="16"/>
        </w:rPr>
        <w:t xml:space="preserve">(Loyd 2009, 2014), </w:t>
      </w:r>
      <w:r w:rsidRPr="00D44372">
        <w:rPr>
          <w:rStyle w:val="StyleUnderline"/>
        </w:rPr>
        <w:t>and the pursuit of total security connects settler state militarism across scales, legitimating the expansion and protection of the nation-state, the policing of its borders and communities, and internal and external monitoring and surveillance in the name of defense</w:t>
      </w:r>
      <w:r w:rsidRPr="009F76FB">
        <w:rPr>
          <w:sz w:val="16"/>
        </w:rPr>
        <w:t xml:space="preserve">. Securing the white supremacist settler state relies on racial, gender, and class hierarchies that enable the coherence of an imagined nation with clearly marked inclusions and exclusions. That is, the targeted and widespread violence that characterizes the U.S. settler state—seen in everything from the genocide directed toward Native peoples to the criminalization of communities of color—depends on and reinforces discursive constructions that demonize those who stand in the way of the settler state and, more often than not, culminates in national campaigns against those beyond the scope of U.S. settler state justice. </w:t>
      </w:r>
      <w:r w:rsidRPr="00A358E7">
        <w:rPr>
          <w:rStyle w:val="StyleUnderline"/>
        </w:rPr>
        <w:t>The indiscriminate killing associated with this kind of violence is easily dismissed as an unfortunate consequence of war (Hixson 2013). U.S. interventionism relies on a “defensive solidarity ... built on the institution of slavery and the racialization of Blackness” that reaffirms white supremacist cultural identity by managing both internal and external threats</w:t>
      </w:r>
      <w:r w:rsidRPr="009F76FB">
        <w:rPr>
          <w:sz w:val="16"/>
        </w:rPr>
        <w:t xml:space="preserve"> (Loyd 2009, 406). </w:t>
      </w:r>
      <w:r w:rsidRPr="00831C9D">
        <w:rPr>
          <w:rStyle w:val="StyleUnderline"/>
        </w:rPr>
        <w:t>These practices continue even after the settler state has displaced and “removed” native peoples who had previously occupied the land, creating political landscapes with an aggressive propensity for violence</w:t>
      </w:r>
      <w:r w:rsidRPr="009F76FB">
        <w:rPr>
          <w:sz w:val="16"/>
        </w:rPr>
        <w:t xml:space="preserve"> (Veracini 2010). </w:t>
      </w:r>
      <w:r w:rsidRPr="00D4439F">
        <w:rPr>
          <w:rStyle w:val="StyleUnderline"/>
        </w:rPr>
        <w:t>This understanding of the United States as a settler state is significant for theorizing militarism, we argue, because it situates the persistent violences of genocide and slavery as enduring structures shaping social and political economic relations</w:t>
      </w:r>
      <w:r w:rsidRPr="009F76FB">
        <w:rPr>
          <w:sz w:val="16"/>
        </w:rPr>
        <w:t xml:space="preserve">. Rather than being projects of the past, settler practices are central to the continued development and futurity of the United States. </w:t>
      </w:r>
      <w:r w:rsidRPr="00EA752A">
        <w:rPr>
          <w:rStyle w:val="StyleUnderline"/>
        </w:rPr>
        <w:t>A settler colonial perspective disrupts the spatial imaginaries of war by emphasizing the ongoing racialized violence necessary to secure contested, although taken for granted, homelands in settler nations.</w:t>
      </w:r>
      <w:r w:rsidRPr="009F76FB">
        <w:rPr>
          <w:sz w:val="16"/>
        </w:rPr>
        <w:t xml:space="preserve"> Moreover, it connects the indiscriminate violence stretching from U.S. settler colonial history to contemporary military engagements (Hixson 2013). </w:t>
      </w:r>
      <w:r w:rsidRPr="001B2CBA">
        <w:rPr>
          <w:rStyle w:val="StyleUnderline"/>
        </w:rPr>
        <w:t xml:space="preserve">As Blackhawk and Apache helicopters swoop and attack and Tomahawk cruise missiles explode, and as U.S. Special Forces head into “Indian country” to search and destroy the enemy, the ramifications and taken for granted sensibilities of settler geographies become all too clear </w:t>
      </w:r>
      <w:r w:rsidRPr="009F76FB">
        <w:rPr>
          <w:sz w:val="16"/>
        </w:rPr>
        <w:t xml:space="preserve">(Hixson 2013, 198). Hixson (2013) further clarified, “American settler colonialism is a winnertakes-all proposition that demanded the removal of indigenous peoples and the destruction of their cultures,” and </w:t>
      </w:r>
      <w:r w:rsidRPr="00DE2713">
        <w:rPr>
          <w:rStyle w:val="StyleUnderline"/>
        </w:rPr>
        <w:t>these geographies have “profound consequences for national identity and subsequent foreign policy”</w:t>
      </w:r>
      <w:r w:rsidRPr="009F76FB">
        <w:rPr>
          <w:sz w:val="16"/>
        </w:rPr>
        <w:t xml:space="preserve"> (197). </w:t>
      </w:r>
      <w:r w:rsidRPr="00DE2713">
        <w:rPr>
          <w:rStyle w:val="StyleUnderline"/>
        </w:rPr>
        <w:t>The settler state is premised on permanent war, inscribing militarism and violence into everyday geographies and naturalizing racialized power hierarchies and the dispossession and erasure of racialized bodies.</w:t>
      </w:r>
    </w:p>
    <w:p w:rsidR="000973B7" w:rsidRPr="00CE4B30" w:rsidRDefault="000973B7" w:rsidP="000973B7">
      <w:pPr>
        <w:pStyle w:val="Heading4"/>
      </w:pPr>
      <w:r>
        <w:t>Racial division and acts of settler colonialism are justified by acts of “military security”</w:t>
      </w:r>
    </w:p>
    <w:p w:rsidR="000973B7" w:rsidRPr="00143208" w:rsidRDefault="000973B7" w:rsidP="000973B7">
      <w:r w:rsidRPr="00143208">
        <w:rPr>
          <w:rStyle w:val="Style13ptBold"/>
        </w:rPr>
        <w:t>Nebolon 17</w:t>
      </w:r>
      <w:r>
        <w:t xml:space="preserve"> Juliet Nebolon is Assistant Professor of American Studies. She received her Ph.D. in American Studies from Yale University. Her research and teaching bring a transnational perspective to the study of race, indigeneity, and gender in the United States, with a particular focus on U.S. war and empire in Asia and the Pacific Islands. Nebolon’s book, Settler Militarism: World War II in Hawai‘i and the Making of U.S. Empire (Duke UP, forthcoming 2024), focuses on the martial law period in Hawai‘i during the Pacific War.  This interdisciplinary project explores the overlapping regimes of settler colonialism and militarization in the domains of public health, domestic science, education, land acquisition, and internment.  Her article in American Quarterly, “‘Life Given Straight from the Heart’: Settler Militarism, Biopolitics, and Public Health in Hawai‘i during World War II,” was awarded the American Studies Association’s 2018 Constance M. Rourke Prize. She recently published a second article, “Settler-Military Camps: Internment and Prisoner of War Camps across the Pacific Islands during World War II,” in the Journal of Asian American Studies. [March 2017, “’Life Given Straight from the Heart’: Settler Militarism, Biopolitics, and Public Health in Hawai‘i during World War II]</w:t>
      </w:r>
    </w:p>
    <w:p w:rsidR="000973B7" w:rsidRDefault="000973B7" w:rsidP="000973B7">
      <w:hyperlink r:id="rId11" w:history="1">
        <w:r w:rsidRPr="00603BEC">
          <w:rPr>
            <w:rStyle w:val="Hyperlink"/>
          </w:rPr>
          <w:t>https://muse.jhu.edu/article/652573/pdf?casa_token=GSm2SCaU79AAAAAA:ujeg-7od0jKzXbvnGEHhEdj61Td6tgAwp3Rz0id34eDBUq9Y0Rw_jqWpVi-6f9jW2yhb3acp_jo</w:t>
        </w:r>
      </w:hyperlink>
    </w:p>
    <w:p w:rsidR="00123317" w:rsidRDefault="000973B7" w:rsidP="00123317">
      <w:pPr>
        <w:rPr>
          <w:sz w:val="16"/>
        </w:rPr>
      </w:pPr>
      <w:r w:rsidRPr="00CE4B30">
        <w:rPr>
          <w:rStyle w:val="StyleUnderline"/>
        </w:rPr>
        <w:t>In World War II–era Hawai‘i, the medical care and surveillance of individual bodies, indeed “life” itself, was not only a biological resource but also a nationalist metaphor for military security. Biomedical discourses of health and immunity empowered, and were empowered by, Manichaean wartime logics of “the familiar and the foreign” and “good versus evil.”</w:t>
      </w:r>
      <w:r w:rsidRPr="00CE4B30">
        <w:rPr>
          <w:sz w:val="16"/>
        </w:rPr>
        <w:t xml:space="preserve">21 In spring 1942 the Office of the Military Governor mandated a compulsory immunization program that required all civilians (other than infants and the elderly) in Hawai‘i to be vaccinated against smallpox, typhoid, and paratyphoid fevers.22 Harriet Kuwamoto, a public health nurse who administered typhoid immunizations, recalls receiving supplies such as syringes, needles, and vaccine from the US military, and conducting vaccinations alongside volunteers, military members, and other nurses in the health department basement, a process she estimated took months to complete.23 By August, over 90 percent of the target population had been immunized, and during the war, at least 363,000 civilians were immunized out of Hawai‘i’s total population, which grew from about 424,000 to 500,000.24 In 1943 the military government made vaccination for diphtheria mandatory for children, and it required booster shots in 1944.25 </w:t>
      </w:r>
      <w:r w:rsidRPr="00CE4B30">
        <w:rPr>
          <w:rStyle w:val="StyleUnderline"/>
        </w:rPr>
        <w:t>The Board of Health also worked to combat venereal disease, the bubonic plague, tetanus, and dengue fever. Vaccines for the bubonic plague and tetanus were recommended but not mandatory.</w:t>
      </w:r>
      <w:r w:rsidRPr="00CE4B30">
        <w:rPr>
          <w:sz w:val="16"/>
        </w:rPr>
        <w:t xml:space="preserve">26 </w:t>
      </w:r>
      <w:r w:rsidRPr="00CE4B30">
        <w:rPr>
          <w:rStyle w:val="StyleUnderline"/>
        </w:rPr>
        <w:t>The military government considered the security and productivity of the military base in the islands to be fundamentally reliant on the health of local civilians, defense workers, and soldiers. It chose smallpox and typhoid as the mandatory immunizations because they were the most common “war diseases.”</w:t>
      </w:r>
      <w:r w:rsidRPr="00CE4B30">
        <w:rPr>
          <w:sz w:val="16"/>
        </w:rPr>
        <w:t xml:space="preserve">27 </w:t>
      </w:r>
      <w:r w:rsidRPr="00CE4B30">
        <w:rPr>
          <w:rStyle w:val="StyleUnderline"/>
        </w:rPr>
        <w:t>Mandatory immunization, then, was employed not simply to decrease death and disease but to cultivate the highest level of life in all its capacities within the population.</w:t>
      </w:r>
      <w:r w:rsidRPr="00CE4B30">
        <w:rPr>
          <w:sz w:val="16"/>
        </w:rPr>
        <w:t xml:space="preserve"> </w:t>
      </w:r>
      <w:r w:rsidRPr="00CE4B30">
        <w:rPr>
          <w:rStyle w:val="StyleUnderline"/>
        </w:rPr>
        <w:t>In nineteenth- and early twentieth-century Hawai‘i, the Board of Health established racially exclusionary medical programs, such as the Kalaupapa leprosy settlement on the island of Moloka‘i, and the quarantine and disastrous “controlled burning” of Honolulu’s Chinatown.</w:t>
      </w:r>
      <w:r w:rsidRPr="00CE4B30">
        <w:rPr>
          <w:sz w:val="16"/>
        </w:rPr>
        <w:t xml:space="preserve">28 In particular, </w:t>
      </w:r>
      <w:r w:rsidRPr="00CE4B30">
        <w:rPr>
          <w:rStyle w:val="StyleUnderline"/>
        </w:rPr>
        <w:t>the practice of forcibly sending leprosy patients, the majority of whom were Native Hawaiian, to the Kalaupapa settlement is an example of how colonial health policies that claimed to “protect” or “rehabilitate” Indigenous people also worked to displace and eliminate them.</w:t>
      </w:r>
      <w:r w:rsidRPr="00CE4B30">
        <w:rPr>
          <w:sz w:val="16"/>
        </w:rPr>
        <w:t xml:space="preserve"> Yet Native Hawaiians have always resisted these projects: leprosy patients exercised autonomy over their health practices by refusing to separate from family members, protesting against the Board of Health, voting in Hawai‘i’s elections, and even by using physical force.29 </w:t>
      </w:r>
      <w:r w:rsidRPr="00CE4B30">
        <w:rPr>
          <w:rStyle w:val="StyleUnderline"/>
        </w:rPr>
        <w:t>Moreover, we continue to see traces of these carceral health policies during World War II.</w:t>
      </w:r>
      <w:r w:rsidRPr="00CE4B30">
        <w:rPr>
          <w:sz w:val="16"/>
        </w:rPr>
        <w:t xml:space="preserve"> Under martial law, the military government asserted, “</w:t>
      </w:r>
      <w:r w:rsidRPr="00CE4B30">
        <w:rPr>
          <w:rStyle w:val="StyleUnderline"/>
        </w:rPr>
        <w:t>for the protection of the public health and safety. . . . Hawaii must be viewed as an isolated and congested stockade, crammed with a half million men, women, and children.”30 This characterization of Hawai‘i as a “stockade” that sequestered its inhabitants in order to protect them again combined logics of detention and medical security, and this time incorporated the entirety of the islands out of military necessity.</w:t>
      </w:r>
      <w:r w:rsidRPr="00CE4B30">
        <w:rPr>
          <w:sz w:val="16"/>
        </w:rPr>
        <w:t xml:space="preserve"> </w:t>
      </w:r>
      <w:r w:rsidRPr="00CE4B30">
        <w:rPr>
          <w:rStyle w:val="StyleUnderline"/>
        </w:rPr>
        <w:t>During World War II, the pressures of wartime mobilization against the “racist states” of Germany and Japan required the United States to employ a wartime “antiracism,” which in Hawai‘i promoted the participation of all civilians, the majority of whom were nonwhite.</w:t>
      </w:r>
      <w:r w:rsidRPr="00CE4B30">
        <w:rPr>
          <w:sz w:val="16"/>
        </w:rPr>
        <w:t xml:space="preserve"> Military policies proclaimed liberal inclusion even as they continued the classification and regulation of racially differentiated groups. While General Emmons called for racial tolerance at the start of the war, the military government still compelled Japanese and Japanese Americans to demonstrate loyalty: “The Chinese, Filipino, Hawaiian, and various Caucasian people caused no concern. . . . The big question mark were the Japanese . . . poorly assimilated into our western civilization.”31 </w:t>
      </w:r>
      <w:r w:rsidRPr="00CE4B30">
        <w:rPr>
          <w:rStyle w:val="StyleUnderline"/>
        </w:rPr>
        <w:t>Provisional wartime racial liberalism strengthened the code of white patriotism as a regulatory power through regimes of health that bifurcated the population into “good subjects” who complied and un-American “others” who refused.</w:t>
      </w:r>
      <w:r w:rsidRPr="00CE4B30">
        <w:rPr>
          <w:sz w:val="16"/>
        </w:rPr>
        <w:t xml:space="preserve"> These projects created an asymptotic horizon of possibility for inclusion that demanded assimilation without addressing inequalities created by past and present racial violences. Furthermore, the military government’s provisional racial liberalism still relied on spaces of racial exclusion and imprisonment: during the war, Hawai‘i’s only quarantine center was converted into an internment camp that segregated Japanese and Caucasian internees, thus concretizing the imbricated logics of race, health, and military security.</w:t>
      </w:r>
    </w:p>
    <w:p w:rsidR="007371B9" w:rsidRDefault="007371B9" w:rsidP="007371B9">
      <w:pPr>
        <w:pStyle w:val="Heading4"/>
        <w:rPr>
          <w:rStyle w:val="StyleUnderline"/>
          <w:sz w:val="24"/>
          <w:szCs w:val="24"/>
          <w:u w:val="none"/>
        </w:rPr>
      </w:pPr>
      <w:r>
        <w:rPr>
          <w:rStyle w:val="StyleUnderline"/>
          <w:sz w:val="24"/>
          <w:szCs w:val="24"/>
          <w:u w:val="none"/>
        </w:rPr>
        <w:t xml:space="preserve">Settler colonial identity manifests in the government defense industry, government treatment of indigenous lands, health, and recognition of importance post WW2 prove. </w:t>
      </w:r>
    </w:p>
    <w:p w:rsidR="007371B9" w:rsidRPr="008E5612" w:rsidRDefault="007371B9" w:rsidP="007371B9">
      <w:pPr>
        <w:rPr>
          <w:rStyle w:val="Style13ptBold"/>
          <w:b w:val="0"/>
          <w:bCs w:val="0"/>
          <w:sz w:val="16"/>
          <w:szCs w:val="16"/>
        </w:rPr>
      </w:pPr>
      <w:r w:rsidRPr="00BC294D">
        <w:rPr>
          <w:rStyle w:val="Style13ptBold"/>
        </w:rPr>
        <w:t>Signer 22</w:t>
      </w:r>
      <w:r>
        <w:rPr>
          <w:rStyle w:val="Style13ptBold"/>
        </w:rPr>
        <w:t xml:space="preserve"> </w:t>
      </w:r>
      <w:r>
        <w:rPr>
          <w:rStyle w:val="Style13ptBold"/>
          <w:b w:val="0"/>
          <w:bCs w:val="0"/>
          <w:sz w:val="16"/>
          <w:szCs w:val="16"/>
        </w:rPr>
        <w:t>[D</w:t>
      </w:r>
      <w:r w:rsidRPr="008E5612">
        <w:rPr>
          <w:rStyle w:val="Style13ptBold"/>
          <w:b w:val="0"/>
          <w:bCs w:val="0"/>
          <w:sz w:val="16"/>
          <w:szCs w:val="16"/>
        </w:rPr>
        <w:t>avid Signer studied ethnology, psychology and linguistics in Zurich and Jerusalem and received his PhD in 1994. He was a research assistant and lecturer at the University of Zurich, worked in the refugee sector and undertook field research in Israel and various countries in West Africa.</w:t>
      </w:r>
      <w:r>
        <w:rPr>
          <w:rStyle w:val="Style13ptBold"/>
          <w:b w:val="0"/>
          <w:bCs w:val="0"/>
          <w:sz w:val="16"/>
          <w:szCs w:val="16"/>
        </w:rPr>
        <w:t xml:space="preserve"> </w:t>
      </w:r>
      <w:r w:rsidRPr="00643EAB">
        <w:rPr>
          <w:rStyle w:val="Style13ptBold"/>
          <w:b w:val="0"/>
          <w:bCs w:val="0"/>
          <w:sz w:val="16"/>
          <w:szCs w:val="16"/>
        </w:rPr>
        <w:t>From March 2013, he oversaw the Africa dossier at the Neue Zürcher Zeitung NZZ, from 2016-2020 as Africa correspondent from Dakar and since December 2020, he has been reporting on the USA and Canada from Chicago. Signer is the author of several books</w:t>
      </w:r>
      <w:r>
        <w:rPr>
          <w:rStyle w:val="Style13ptBold"/>
          <w:b w:val="0"/>
          <w:bCs w:val="0"/>
          <w:sz w:val="16"/>
          <w:szCs w:val="16"/>
        </w:rPr>
        <w:t>; NZZ; “</w:t>
      </w:r>
      <w:r w:rsidRPr="00BE4EA6">
        <w:rPr>
          <w:rStyle w:val="Style13ptBold"/>
          <w:b w:val="0"/>
          <w:bCs w:val="0"/>
          <w:sz w:val="16"/>
          <w:szCs w:val="16"/>
        </w:rPr>
        <w:t>Radioactive contamination on Navajo land: «Why has no one been interested in our fate for decades?»</w:t>
      </w:r>
      <w:r>
        <w:rPr>
          <w:rStyle w:val="Style13ptBold"/>
          <w:b w:val="0"/>
          <w:bCs w:val="0"/>
          <w:sz w:val="16"/>
          <w:szCs w:val="16"/>
        </w:rPr>
        <w:t xml:space="preserve">”; </w:t>
      </w:r>
      <w:r w:rsidRPr="00BE4EA6">
        <w:rPr>
          <w:rStyle w:val="Style13ptBold"/>
          <w:b w:val="0"/>
          <w:bCs w:val="0"/>
          <w:sz w:val="16"/>
          <w:szCs w:val="16"/>
        </w:rPr>
        <w:t>https://www.nzz.ch/english/the-radioactive-legacy-of-mining-and-atomic-tests-on-navajo-land-ld.1714632</w:t>
      </w:r>
      <w:r>
        <w:rPr>
          <w:rStyle w:val="Style13ptBold"/>
          <w:b w:val="0"/>
          <w:bCs w:val="0"/>
          <w:sz w:val="16"/>
          <w:szCs w:val="16"/>
        </w:rPr>
        <w:t>]</w:t>
      </w:r>
      <w:r>
        <w:rPr>
          <w:rStyle w:val="Style13ptBold"/>
          <w:b w:val="0"/>
          <w:bCs w:val="0"/>
          <w:sz w:val="16"/>
          <w:szCs w:val="16"/>
        </w:rPr>
        <w:t xml:space="preserve"> </w:t>
      </w:r>
    </w:p>
    <w:p w:rsidR="007371B9" w:rsidRPr="0051416A" w:rsidRDefault="007371B9" w:rsidP="007371B9">
      <w:pPr>
        <w:rPr>
          <w:rStyle w:val="StyleUnderline"/>
          <w:sz w:val="16"/>
          <w:u w:val="none"/>
        </w:rPr>
      </w:pPr>
      <w:r w:rsidRPr="0051416A">
        <w:rPr>
          <w:rStyle w:val="StyleUnderline"/>
          <w:sz w:val="16"/>
          <w:u w:val="none"/>
        </w:rPr>
        <w:t xml:space="preserve">What sounds absurd at first glance is quite plausible. </w:t>
      </w:r>
      <w:r w:rsidRPr="00585C74">
        <w:rPr>
          <w:rStyle w:val="StyleUnderline"/>
        </w:rPr>
        <w:t xml:space="preserve">From 1944 onward, the </w:t>
      </w:r>
      <w:r w:rsidRPr="0051416A">
        <w:rPr>
          <w:rStyle w:val="StyleUnderline"/>
          <w:b/>
          <w:bCs/>
        </w:rPr>
        <w:t>U.S. government mined uranium</w:t>
      </w:r>
      <w:r w:rsidRPr="00585C74">
        <w:rPr>
          <w:rStyle w:val="StyleUnderline"/>
        </w:rPr>
        <w:t xml:space="preserve"> on the </w:t>
      </w:r>
      <w:r w:rsidRPr="0051416A">
        <w:rPr>
          <w:rStyle w:val="StyleUnderline"/>
          <w:b/>
          <w:bCs/>
        </w:rPr>
        <w:t>Navajo reservation</w:t>
      </w:r>
      <w:r w:rsidRPr="00585C74">
        <w:rPr>
          <w:rStyle w:val="StyleUnderline"/>
        </w:rPr>
        <w:t xml:space="preserve"> in the state of Nevada as part of the </w:t>
      </w:r>
      <w:r w:rsidRPr="0051416A">
        <w:rPr>
          <w:rStyle w:val="StyleUnderline"/>
          <w:b/>
          <w:bCs/>
        </w:rPr>
        <w:t>military's Manhattan Project</w:t>
      </w:r>
      <w:r w:rsidRPr="0051416A">
        <w:rPr>
          <w:rStyle w:val="StyleUnderline"/>
          <w:sz w:val="16"/>
          <w:u w:val="none"/>
        </w:rPr>
        <w:t xml:space="preserve">. The sole </w:t>
      </w:r>
      <w:r w:rsidRPr="00585C74">
        <w:rPr>
          <w:rStyle w:val="StyleUnderline"/>
        </w:rPr>
        <w:t xml:space="preserve">purpose: the </w:t>
      </w:r>
      <w:r w:rsidRPr="0051416A">
        <w:rPr>
          <w:rStyle w:val="StyleUnderline"/>
          <w:b/>
          <w:bCs/>
        </w:rPr>
        <w:t>development and construction of the atomic bomb</w:t>
      </w:r>
      <w:r w:rsidRPr="00585C74">
        <w:rPr>
          <w:rStyle w:val="StyleUnderline"/>
        </w:rPr>
        <w:t>.</w:t>
      </w:r>
      <w:r w:rsidRPr="0051416A">
        <w:rPr>
          <w:rStyle w:val="StyleUnderline"/>
          <w:sz w:val="16"/>
          <w:u w:val="none"/>
        </w:rPr>
        <w:t xml:space="preserve"> Mining continued during the Cold War. Nearly 30 million tons of uranium ore were extracted from 500 mines. </w:t>
      </w:r>
      <w:r w:rsidRPr="007055E3">
        <w:rPr>
          <w:rStyle w:val="StyleUnderline"/>
        </w:rPr>
        <w:t xml:space="preserve">The </w:t>
      </w:r>
      <w:r w:rsidRPr="0051416A">
        <w:rPr>
          <w:rStyle w:val="StyleUnderline"/>
          <w:b/>
          <w:bCs/>
        </w:rPr>
        <w:t>workers were majority Navajo</w:t>
      </w:r>
      <w:r w:rsidRPr="007055E3">
        <w:rPr>
          <w:rStyle w:val="StyleUnderline"/>
        </w:rPr>
        <w:t xml:space="preserve">, and there </w:t>
      </w:r>
      <w:r w:rsidRPr="0051416A">
        <w:rPr>
          <w:rStyle w:val="StyleUnderline"/>
          <w:b/>
          <w:bCs/>
        </w:rPr>
        <w:t>wasn’t</w:t>
      </w:r>
      <w:r w:rsidRPr="007055E3">
        <w:rPr>
          <w:rStyle w:val="StyleUnderline"/>
        </w:rPr>
        <w:t xml:space="preserve"> even the slightest </w:t>
      </w:r>
      <w:r w:rsidRPr="0051416A">
        <w:rPr>
          <w:rStyle w:val="StyleUnderline"/>
          <w:b/>
          <w:bCs/>
        </w:rPr>
        <w:t>protection against radioactivity</w:t>
      </w:r>
      <w:r w:rsidRPr="0051416A">
        <w:rPr>
          <w:rStyle w:val="StyleUnderline"/>
          <w:sz w:val="16"/>
          <w:u w:val="none"/>
        </w:rPr>
        <w:t>.</w:t>
      </w:r>
      <w:r w:rsidRPr="0051416A">
        <w:rPr>
          <w:sz w:val="16"/>
        </w:rPr>
        <w:t xml:space="preserve"> The </w:t>
      </w:r>
      <w:r w:rsidRPr="00905835">
        <w:rPr>
          <w:b/>
          <w:bCs/>
          <w:u w:val="single"/>
        </w:rPr>
        <w:t>nuclear bomb tests took place at the Nevada National Security Site</w:t>
      </w:r>
      <w:r w:rsidRPr="0051416A">
        <w:rPr>
          <w:sz w:val="16"/>
        </w:rPr>
        <w:t xml:space="preserve">. </w:t>
      </w:r>
      <w:r w:rsidRPr="007055E3">
        <w:rPr>
          <w:u w:val="single"/>
        </w:rPr>
        <w:t>From 1951 to 1992</w:t>
      </w:r>
      <w:r w:rsidRPr="00905835">
        <w:rPr>
          <w:b/>
          <w:bCs/>
          <w:u w:val="single"/>
        </w:rPr>
        <w:t>, over a thousand nuclear weapons were detonated</w:t>
      </w:r>
      <w:r w:rsidRPr="0051416A">
        <w:rPr>
          <w:sz w:val="16"/>
        </w:rPr>
        <w:t xml:space="preserve"> here. The </w:t>
      </w:r>
      <w:r w:rsidRPr="00905835">
        <w:rPr>
          <w:b/>
          <w:bCs/>
          <w:u w:val="single"/>
        </w:rPr>
        <w:t>wind carried the fallout primarily into the Navajo settlement area</w:t>
      </w:r>
      <w:r w:rsidRPr="00913803">
        <w:rPr>
          <w:u w:val="single"/>
        </w:rPr>
        <w:t xml:space="preserve">. On July 16, 1979, a </w:t>
      </w:r>
      <w:r w:rsidRPr="00905835">
        <w:rPr>
          <w:b/>
          <w:bCs/>
          <w:u w:val="single"/>
        </w:rPr>
        <w:t>serious accident</w:t>
      </w:r>
      <w:r w:rsidRPr="00913803">
        <w:rPr>
          <w:u w:val="single"/>
        </w:rPr>
        <w:t xml:space="preserve"> occurred at a uranium mill near Church Rock on the Navajo reservation in New Mexico.</w:t>
      </w:r>
      <w:r w:rsidRPr="0051416A">
        <w:rPr>
          <w:sz w:val="16"/>
        </w:rPr>
        <w:t xml:space="preserve"> As a </w:t>
      </w:r>
      <w:r w:rsidRPr="00913803">
        <w:rPr>
          <w:u w:val="single"/>
        </w:rPr>
        <w:t xml:space="preserve">result of a dam failure, more than </w:t>
      </w:r>
      <w:r w:rsidRPr="00905835">
        <w:rPr>
          <w:b/>
          <w:bCs/>
          <w:u w:val="single"/>
        </w:rPr>
        <w:t xml:space="preserve">a thousand tons of solid radioactive material </w:t>
      </w:r>
      <w:r w:rsidRPr="00913803">
        <w:rPr>
          <w:u w:val="single"/>
        </w:rPr>
        <w:t xml:space="preserve">and </w:t>
      </w:r>
      <w:r w:rsidRPr="00144DDF">
        <w:rPr>
          <w:b/>
          <w:bCs/>
          <w:u w:val="single"/>
        </w:rPr>
        <w:t>360 million liters of highly toxic wastewater spilled into the Puerco River,</w:t>
      </w:r>
      <w:r w:rsidRPr="00913803">
        <w:rPr>
          <w:u w:val="single"/>
        </w:rPr>
        <w:t xml:space="preserve"> spreading over </w:t>
      </w:r>
      <w:r w:rsidRPr="00144DDF">
        <w:rPr>
          <w:b/>
          <w:bCs/>
          <w:u w:val="single"/>
        </w:rPr>
        <w:t>a vast area</w:t>
      </w:r>
      <w:r w:rsidRPr="00913803">
        <w:rPr>
          <w:u w:val="single"/>
        </w:rPr>
        <w:t xml:space="preserve"> and </w:t>
      </w:r>
      <w:r w:rsidRPr="00144DDF">
        <w:rPr>
          <w:b/>
          <w:bCs/>
          <w:u w:val="single"/>
        </w:rPr>
        <w:t>enter</w:t>
      </w:r>
      <w:r w:rsidRPr="00913803">
        <w:rPr>
          <w:u w:val="single"/>
        </w:rPr>
        <w:t xml:space="preserve">ing the </w:t>
      </w:r>
      <w:r w:rsidRPr="00144DDF">
        <w:rPr>
          <w:b/>
          <w:bCs/>
          <w:u w:val="single"/>
        </w:rPr>
        <w:t>groundwater</w:t>
      </w:r>
      <w:r w:rsidRPr="00913803">
        <w:rPr>
          <w:u w:val="single"/>
        </w:rPr>
        <w:t xml:space="preserve">. </w:t>
      </w:r>
      <w:r w:rsidRPr="00144DDF">
        <w:rPr>
          <w:b/>
          <w:bCs/>
          <w:u w:val="single"/>
        </w:rPr>
        <w:t>Residents</w:t>
      </w:r>
      <w:r w:rsidRPr="00913803">
        <w:rPr>
          <w:u w:val="single"/>
        </w:rPr>
        <w:t xml:space="preserve"> of the reservation were </w:t>
      </w:r>
      <w:r w:rsidRPr="00144DDF">
        <w:rPr>
          <w:b/>
          <w:bCs/>
          <w:u w:val="single"/>
        </w:rPr>
        <w:t>not</w:t>
      </w:r>
      <w:r w:rsidRPr="00913803">
        <w:rPr>
          <w:u w:val="single"/>
        </w:rPr>
        <w:t xml:space="preserve"> </w:t>
      </w:r>
      <w:r w:rsidRPr="00144DDF">
        <w:rPr>
          <w:b/>
          <w:bCs/>
          <w:u w:val="single"/>
        </w:rPr>
        <w:t>informed</w:t>
      </w:r>
      <w:r w:rsidRPr="00913803">
        <w:rPr>
          <w:u w:val="single"/>
        </w:rPr>
        <w:t xml:space="preserve"> about the life-threatening </w:t>
      </w:r>
      <w:r w:rsidRPr="00144DDF">
        <w:rPr>
          <w:b/>
          <w:bCs/>
          <w:u w:val="single"/>
        </w:rPr>
        <w:t>contamination</w:t>
      </w:r>
      <w:r w:rsidRPr="00913803">
        <w:rPr>
          <w:u w:val="single"/>
        </w:rPr>
        <w:t xml:space="preserve"> of their drinking water </w:t>
      </w:r>
      <w:r w:rsidRPr="00144DDF">
        <w:rPr>
          <w:b/>
          <w:bCs/>
          <w:u w:val="single"/>
        </w:rPr>
        <w:t>for</w:t>
      </w:r>
      <w:r w:rsidRPr="00913803">
        <w:rPr>
          <w:u w:val="single"/>
        </w:rPr>
        <w:t xml:space="preserve"> </w:t>
      </w:r>
      <w:r w:rsidRPr="00144DDF">
        <w:rPr>
          <w:b/>
          <w:bCs/>
          <w:u w:val="single"/>
        </w:rPr>
        <w:t>days</w:t>
      </w:r>
      <w:r w:rsidRPr="0051416A">
        <w:rPr>
          <w:sz w:val="16"/>
        </w:rPr>
        <w:t xml:space="preserve">. </w:t>
      </w:r>
      <w:r w:rsidRPr="00913803">
        <w:rPr>
          <w:u w:val="single"/>
        </w:rPr>
        <w:t xml:space="preserve">The incident is </w:t>
      </w:r>
      <w:r w:rsidRPr="00144DDF">
        <w:rPr>
          <w:b/>
          <w:bCs/>
          <w:u w:val="single"/>
        </w:rPr>
        <w:t>considered the most serious civilian nuclear accident in U.S. history</w:t>
      </w:r>
      <w:r w:rsidRPr="00913803">
        <w:rPr>
          <w:u w:val="single"/>
        </w:rPr>
        <w:t xml:space="preserve"> because of the amount of radioactivity released – significantly </w:t>
      </w:r>
      <w:r w:rsidRPr="008223C7">
        <w:rPr>
          <w:b/>
          <w:bCs/>
          <w:u w:val="single"/>
        </w:rPr>
        <w:t>worse</w:t>
      </w:r>
      <w:r w:rsidRPr="00913803">
        <w:rPr>
          <w:u w:val="single"/>
        </w:rPr>
        <w:t xml:space="preserve"> </w:t>
      </w:r>
      <w:r w:rsidRPr="008223C7">
        <w:rPr>
          <w:b/>
          <w:bCs/>
          <w:u w:val="single"/>
        </w:rPr>
        <w:t>than</w:t>
      </w:r>
      <w:r w:rsidRPr="00913803">
        <w:rPr>
          <w:u w:val="single"/>
        </w:rPr>
        <w:t xml:space="preserve"> the meltdown at the </w:t>
      </w:r>
      <w:r w:rsidRPr="008223C7">
        <w:rPr>
          <w:b/>
          <w:bCs/>
          <w:u w:val="single"/>
        </w:rPr>
        <w:t>Three</w:t>
      </w:r>
      <w:r w:rsidRPr="00913803">
        <w:rPr>
          <w:u w:val="single"/>
        </w:rPr>
        <w:t xml:space="preserve"> </w:t>
      </w:r>
      <w:r w:rsidRPr="008223C7">
        <w:rPr>
          <w:b/>
          <w:bCs/>
          <w:u w:val="single"/>
        </w:rPr>
        <w:t>Mile</w:t>
      </w:r>
      <w:r w:rsidRPr="00913803">
        <w:rPr>
          <w:u w:val="single"/>
        </w:rPr>
        <w:t xml:space="preserve"> </w:t>
      </w:r>
      <w:r w:rsidRPr="008223C7">
        <w:rPr>
          <w:b/>
          <w:bCs/>
          <w:u w:val="single"/>
        </w:rPr>
        <w:t>Island</w:t>
      </w:r>
      <w:r w:rsidRPr="00913803">
        <w:rPr>
          <w:u w:val="single"/>
        </w:rPr>
        <w:t xml:space="preserve"> reactor four months earlier, </w:t>
      </w:r>
      <w:r w:rsidRPr="008223C7">
        <w:rPr>
          <w:b/>
          <w:bCs/>
          <w:u w:val="single"/>
        </w:rPr>
        <w:t>which</w:t>
      </w:r>
      <w:r w:rsidRPr="00913803">
        <w:rPr>
          <w:u w:val="single"/>
        </w:rPr>
        <w:t xml:space="preserve"> </w:t>
      </w:r>
      <w:r w:rsidRPr="008223C7">
        <w:rPr>
          <w:b/>
          <w:bCs/>
          <w:u w:val="single"/>
        </w:rPr>
        <w:t>drew</w:t>
      </w:r>
      <w:r w:rsidRPr="00913803">
        <w:rPr>
          <w:u w:val="single"/>
        </w:rPr>
        <w:t xml:space="preserve"> much </w:t>
      </w:r>
      <w:r w:rsidRPr="008223C7">
        <w:rPr>
          <w:b/>
          <w:bCs/>
          <w:u w:val="single"/>
        </w:rPr>
        <w:t>more</w:t>
      </w:r>
      <w:r w:rsidRPr="00913803">
        <w:rPr>
          <w:u w:val="single"/>
        </w:rPr>
        <w:t xml:space="preserve"> </w:t>
      </w:r>
      <w:r w:rsidRPr="008223C7">
        <w:rPr>
          <w:b/>
          <w:bCs/>
          <w:u w:val="single"/>
        </w:rPr>
        <w:t>public</w:t>
      </w:r>
      <w:r w:rsidRPr="00913803">
        <w:rPr>
          <w:u w:val="single"/>
        </w:rPr>
        <w:t xml:space="preserve"> </w:t>
      </w:r>
      <w:r w:rsidRPr="008223C7">
        <w:rPr>
          <w:b/>
          <w:bCs/>
          <w:u w:val="single"/>
        </w:rPr>
        <w:t>attention</w:t>
      </w:r>
      <w:r w:rsidRPr="0051416A">
        <w:rPr>
          <w:sz w:val="16"/>
        </w:rPr>
        <w:t xml:space="preserve">. </w:t>
      </w:r>
      <w:r w:rsidRPr="00367A95">
        <w:rPr>
          <w:rStyle w:val="StyleUnderline"/>
        </w:rPr>
        <w:t xml:space="preserve">The </w:t>
      </w:r>
      <w:r w:rsidRPr="00FB405A">
        <w:rPr>
          <w:rStyle w:val="StyleUnderline"/>
          <w:b/>
          <w:bCs/>
        </w:rPr>
        <w:t>encryption</w:t>
      </w:r>
      <w:r w:rsidRPr="00367A95">
        <w:rPr>
          <w:rStyle w:val="StyleUnderline"/>
        </w:rPr>
        <w:t xml:space="preserve"> </w:t>
      </w:r>
      <w:r w:rsidRPr="00FB405A">
        <w:rPr>
          <w:rStyle w:val="StyleUnderline"/>
          <w:b/>
          <w:bCs/>
        </w:rPr>
        <w:t>codes</w:t>
      </w:r>
      <w:r w:rsidRPr="00367A95">
        <w:rPr>
          <w:rStyle w:val="StyleUnderline"/>
        </w:rPr>
        <w:t xml:space="preserve"> did in fact </w:t>
      </w:r>
      <w:r w:rsidRPr="00FB405A">
        <w:rPr>
          <w:rStyle w:val="StyleUnderline"/>
          <w:b/>
          <w:bCs/>
        </w:rPr>
        <w:t>originate</w:t>
      </w:r>
      <w:r w:rsidRPr="00367A95">
        <w:rPr>
          <w:rStyle w:val="StyleUnderline"/>
        </w:rPr>
        <w:t xml:space="preserve"> </w:t>
      </w:r>
      <w:r w:rsidRPr="00FB405A">
        <w:rPr>
          <w:rStyle w:val="StyleUnderline"/>
          <w:b/>
          <w:bCs/>
        </w:rPr>
        <w:t>on</w:t>
      </w:r>
      <w:r w:rsidRPr="00367A95">
        <w:rPr>
          <w:rStyle w:val="StyleUnderline"/>
        </w:rPr>
        <w:t xml:space="preserve"> the </w:t>
      </w:r>
      <w:r w:rsidRPr="00FB405A">
        <w:rPr>
          <w:rStyle w:val="StyleUnderline"/>
          <w:b/>
          <w:bCs/>
        </w:rPr>
        <w:t>reservation</w:t>
      </w:r>
      <w:r w:rsidRPr="00367A95">
        <w:rPr>
          <w:rStyle w:val="StyleUnderline"/>
        </w:rPr>
        <w:t xml:space="preserve"> as well.</w:t>
      </w:r>
      <w:r w:rsidRPr="0051416A">
        <w:rPr>
          <w:sz w:val="16"/>
        </w:rPr>
        <w:t xml:space="preserve"> The </w:t>
      </w:r>
      <w:r w:rsidRPr="00E67799">
        <w:rPr>
          <w:u w:val="single"/>
        </w:rPr>
        <w:t xml:space="preserve">Americans used Navajo as a secret language during the Pacific War against the Japanese </w:t>
      </w:r>
      <w:r w:rsidRPr="0051416A">
        <w:rPr>
          <w:sz w:val="16"/>
        </w:rPr>
        <w:t xml:space="preserve">beginning in 1942. It is </w:t>
      </w:r>
      <w:r w:rsidRPr="00E67799">
        <w:rPr>
          <w:u w:val="single"/>
        </w:rPr>
        <w:t xml:space="preserve">considered one of the most difficult languages of all. </w:t>
      </w:r>
      <w:r w:rsidRPr="0051416A">
        <w:rPr>
          <w:sz w:val="16"/>
        </w:rPr>
        <w:t xml:space="preserve">Navajo is not related to any European language, and follows completely different rules. For an outsider, even for other Native Americans, it can be learned only with great effort. Military research in 1942 revealed that there were only 28 non-Navajo who spoke the language (mostly missionaries and ethnologists), and that there were no Japanese nor Germans among this small population. The so-called code talkers – all Navajo – translated the military radio messages from English to Navajo, and on the other end of the line they translated the information back. The </w:t>
      </w:r>
      <w:r w:rsidRPr="0087267C">
        <w:rPr>
          <w:rStyle w:val="StyleUnderline"/>
        </w:rPr>
        <w:t>Japanese were never able to crack the code.</w:t>
      </w:r>
      <w:r w:rsidRPr="0051416A">
        <w:rPr>
          <w:sz w:val="16"/>
        </w:rPr>
        <w:t xml:space="preserve"> Thus, Neztsosie is quite correct in emphasizing </w:t>
      </w:r>
      <w:r w:rsidRPr="0087267C">
        <w:rPr>
          <w:rStyle w:val="StyleUnderline"/>
        </w:rPr>
        <w:t xml:space="preserve">the </w:t>
      </w:r>
      <w:r w:rsidRPr="00FB405A">
        <w:rPr>
          <w:rStyle w:val="StyleUnderline"/>
          <w:b/>
          <w:bCs/>
        </w:rPr>
        <w:t>central</w:t>
      </w:r>
      <w:r w:rsidRPr="0087267C">
        <w:rPr>
          <w:rStyle w:val="StyleUnderline"/>
        </w:rPr>
        <w:t xml:space="preserve"> </w:t>
      </w:r>
      <w:r w:rsidRPr="00FB405A">
        <w:rPr>
          <w:rStyle w:val="StyleUnderline"/>
          <w:b/>
          <w:bCs/>
        </w:rPr>
        <w:t>role</w:t>
      </w:r>
      <w:r w:rsidRPr="0087267C">
        <w:rPr>
          <w:rStyle w:val="StyleUnderline"/>
        </w:rPr>
        <w:t xml:space="preserve"> of the </w:t>
      </w:r>
      <w:r w:rsidRPr="00FB405A">
        <w:rPr>
          <w:rStyle w:val="StyleUnderline"/>
          <w:b/>
          <w:bCs/>
        </w:rPr>
        <w:t>Navajo</w:t>
      </w:r>
      <w:r w:rsidRPr="0087267C">
        <w:rPr>
          <w:rStyle w:val="StyleUnderline"/>
        </w:rPr>
        <w:t xml:space="preserve"> </w:t>
      </w:r>
      <w:r w:rsidRPr="00FB405A">
        <w:rPr>
          <w:rStyle w:val="StyleUnderline"/>
          <w:b/>
          <w:bCs/>
        </w:rPr>
        <w:t>reservation in World War II.</w:t>
      </w:r>
      <w:r w:rsidRPr="0087267C">
        <w:rPr>
          <w:rStyle w:val="StyleUnderline"/>
        </w:rPr>
        <w:t xml:space="preserve"> However, this role has </w:t>
      </w:r>
      <w:r w:rsidRPr="00FB405A">
        <w:rPr>
          <w:rStyle w:val="StyleUnderline"/>
          <w:b/>
          <w:bCs/>
        </w:rPr>
        <w:t>brought</w:t>
      </w:r>
      <w:r w:rsidRPr="0087267C">
        <w:rPr>
          <w:rStyle w:val="StyleUnderline"/>
        </w:rPr>
        <w:t xml:space="preserve"> </w:t>
      </w:r>
      <w:r w:rsidRPr="00FB405A">
        <w:rPr>
          <w:rStyle w:val="StyleUnderline"/>
          <w:b/>
          <w:bCs/>
        </w:rPr>
        <w:t>nothing</w:t>
      </w:r>
      <w:r w:rsidRPr="0087267C">
        <w:rPr>
          <w:rStyle w:val="StyleUnderline"/>
        </w:rPr>
        <w:t xml:space="preserve"> to the </w:t>
      </w:r>
      <w:r w:rsidRPr="00FB405A">
        <w:rPr>
          <w:rStyle w:val="StyleUnderline"/>
          <w:b/>
          <w:bCs/>
        </w:rPr>
        <w:t>people</w:t>
      </w:r>
      <w:r w:rsidRPr="0087267C">
        <w:rPr>
          <w:rStyle w:val="StyleUnderline"/>
        </w:rPr>
        <w:t xml:space="preserve"> </w:t>
      </w:r>
      <w:r w:rsidRPr="00FB405A">
        <w:rPr>
          <w:rStyle w:val="StyleUnderline"/>
          <w:b/>
          <w:bCs/>
        </w:rPr>
        <w:t>there</w:t>
      </w:r>
      <w:r w:rsidRPr="0087267C">
        <w:rPr>
          <w:rStyle w:val="StyleUnderline"/>
        </w:rPr>
        <w:t xml:space="preserve">. The </w:t>
      </w:r>
      <w:r w:rsidRPr="00FB405A">
        <w:rPr>
          <w:rStyle w:val="StyleUnderline"/>
          <w:b/>
          <w:bCs/>
        </w:rPr>
        <w:t>Navajo</w:t>
      </w:r>
      <w:r w:rsidRPr="0087267C">
        <w:rPr>
          <w:rStyle w:val="StyleUnderline"/>
        </w:rPr>
        <w:t xml:space="preserve"> were </w:t>
      </w:r>
      <w:r w:rsidRPr="00FB405A">
        <w:rPr>
          <w:rStyle w:val="StyleUnderline"/>
          <w:b/>
          <w:bCs/>
        </w:rPr>
        <w:t>not</w:t>
      </w:r>
      <w:r w:rsidRPr="0087267C">
        <w:rPr>
          <w:rStyle w:val="StyleUnderline"/>
        </w:rPr>
        <w:t xml:space="preserve"> </w:t>
      </w:r>
      <w:r w:rsidRPr="00FB405A">
        <w:rPr>
          <w:rStyle w:val="StyleUnderline"/>
          <w:b/>
          <w:bCs/>
        </w:rPr>
        <w:t>thanked</w:t>
      </w:r>
      <w:r w:rsidRPr="0087267C">
        <w:rPr>
          <w:rStyle w:val="StyleUnderline"/>
        </w:rPr>
        <w:t xml:space="preserve"> for their encryption services </w:t>
      </w:r>
      <w:r w:rsidRPr="00FB405A">
        <w:rPr>
          <w:rStyle w:val="StyleUnderline"/>
          <w:b/>
          <w:bCs/>
        </w:rPr>
        <w:t>until</w:t>
      </w:r>
      <w:r w:rsidRPr="0087267C">
        <w:rPr>
          <w:rStyle w:val="StyleUnderline"/>
        </w:rPr>
        <w:t xml:space="preserve"> </w:t>
      </w:r>
      <w:r w:rsidRPr="00FB405A">
        <w:rPr>
          <w:rStyle w:val="StyleUnderline"/>
          <w:b/>
          <w:bCs/>
        </w:rPr>
        <w:t>2001</w:t>
      </w:r>
      <w:r w:rsidRPr="0087267C">
        <w:rPr>
          <w:rStyle w:val="StyleUnderline"/>
        </w:rPr>
        <w:t>,</w:t>
      </w:r>
      <w:r w:rsidRPr="0051416A">
        <w:rPr>
          <w:sz w:val="16"/>
        </w:rPr>
        <w:t xml:space="preserve"> when they received a Congressional Gold Medal. </w:t>
      </w:r>
      <w:r w:rsidRPr="0087267C">
        <w:rPr>
          <w:rStyle w:val="StyleUnderline"/>
        </w:rPr>
        <w:t>Worse than this belated recognition, however, were the consequences of three decades of radioactive exposure – due to uranium mining, nuclear bomb testing and the Church Rock accident.</w:t>
      </w:r>
      <w:r w:rsidRPr="0051416A">
        <w:rPr>
          <w:sz w:val="16"/>
        </w:rPr>
        <w:t xml:space="preserve"> </w:t>
      </w:r>
      <w:r w:rsidRPr="0051416A">
        <w:rPr>
          <w:rStyle w:val="StyleUnderline"/>
          <w:sz w:val="16"/>
          <w:u w:val="none"/>
        </w:rPr>
        <w:t xml:space="preserve">Water on the </w:t>
      </w:r>
      <w:r w:rsidRPr="00A11AD9">
        <w:rPr>
          <w:rStyle w:val="StyleUnderline"/>
        </w:rPr>
        <w:t>Navajo reservation contained an average of 90 micrograms of uranium per liter</w:t>
      </w:r>
      <w:r w:rsidRPr="0051416A">
        <w:rPr>
          <w:rStyle w:val="StyleUnderline"/>
          <w:sz w:val="16"/>
          <w:u w:val="none"/>
        </w:rPr>
        <w:t xml:space="preserve"> when last measured in 2012. In some areas, the value rises to 700 micrograms. The Environmental Protection Agency (EPA) considers </w:t>
      </w:r>
      <w:r w:rsidRPr="00814AE5">
        <w:rPr>
          <w:rStyle w:val="StyleUnderline"/>
        </w:rPr>
        <w:t xml:space="preserve">anything more than 30 micrograms </w:t>
      </w:r>
      <w:r w:rsidRPr="0051416A">
        <w:rPr>
          <w:sz w:val="16"/>
        </w:rPr>
        <w:t>to be</w:t>
      </w:r>
      <w:r w:rsidRPr="00814AE5">
        <w:rPr>
          <w:rStyle w:val="StyleUnderline"/>
        </w:rPr>
        <w:t xml:space="preserve"> harmful to health</w:t>
      </w:r>
      <w:r w:rsidRPr="0051416A">
        <w:rPr>
          <w:rStyle w:val="StyleUnderline"/>
          <w:sz w:val="16"/>
          <w:u w:val="none"/>
        </w:rPr>
        <w:t xml:space="preserve">. This is why an </w:t>
      </w:r>
      <w:r w:rsidRPr="006347F2">
        <w:rPr>
          <w:rStyle w:val="StyleUnderline"/>
        </w:rPr>
        <w:t>above-average number of Navajo suffer from radiation sickness.</w:t>
      </w:r>
      <w:r w:rsidRPr="0051416A">
        <w:rPr>
          <w:rStyle w:val="StyleUnderline"/>
          <w:sz w:val="16"/>
          <w:u w:val="none"/>
        </w:rPr>
        <w:t xml:space="preserve"> For example, the rate of end-stage renal disease among Navajo is 0.63%, while the national average is 0.19%. Similarly </w:t>
      </w:r>
      <w:r w:rsidRPr="006347F2">
        <w:rPr>
          <w:rStyle w:val="StyleUnderline"/>
        </w:rPr>
        <w:t xml:space="preserve">excessive levels of various types of cancer and respiratory diseases have </w:t>
      </w:r>
      <w:r w:rsidRPr="0051416A">
        <w:rPr>
          <w:sz w:val="16"/>
        </w:rPr>
        <w:t>also</w:t>
      </w:r>
      <w:r w:rsidRPr="006347F2">
        <w:rPr>
          <w:rStyle w:val="StyleUnderline"/>
        </w:rPr>
        <w:t xml:space="preserve"> been observed.</w:t>
      </w:r>
      <w:r w:rsidRPr="0051416A">
        <w:rPr>
          <w:sz w:val="16"/>
        </w:rPr>
        <w:t xml:space="preserve"> </w:t>
      </w:r>
      <w:r w:rsidRPr="006A2C00">
        <w:rPr>
          <w:rStyle w:val="StyleUnderline"/>
        </w:rPr>
        <w:t>Neztsosie, a former farrier, is a living example. He is suffering from advanced gastric cancer.</w:t>
      </w:r>
      <w:r w:rsidRPr="0051416A">
        <w:rPr>
          <w:rStyle w:val="StyleUnderline"/>
          <w:sz w:val="16"/>
          <w:u w:val="none"/>
        </w:rPr>
        <w:t xml:space="preserve"> When he began radiation and chemotherapy last year, doctors estimated he had three months to live. In the past, he and his family used the water from the nearby stream. Since they now know how contaminated the water still is, </w:t>
      </w:r>
      <w:r w:rsidRPr="006A2C00">
        <w:rPr>
          <w:rStyle w:val="StyleUnderline"/>
        </w:rPr>
        <w:t>they today have to buy water</w:t>
      </w:r>
      <w:r w:rsidRPr="0051416A">
        <w:rPr>
          <w:sz w:val="16"/>
        </w:rPr>
        <w:t xml:space="preserve"> in Cameron </w:t>
      </w:r>
      <w:r w:rsidRPr="006A2C00">
        <w:rPr>
          <w:rStyle w:val="StyleUnderline"/>
        </w:rPr>
        <w:t>and transport it home by car</w:t>
      </w:r>
      <w:r w:rsidRPr="0051416A">
        <w:rPr>
          <w:rStyle w:val="StyleUnderline"/>
          <w:sz w:val="16"/>
          <w:u w:val="none"/>
        </w:rPr>
        <w:t xml:space="preserve">. </w:t>
      </w:r>
      <w:r w:rsidRPr="00574BF2">
        <w:rPr>
          <w:rStyle w:val="StyleUnderline"/>
        </w:rPr>
        <w:t>One-third of Navajo lack access to running water, 67 times the U.S. average. Therefore, they often turn to open, contaminated waters</w:t>
      </w:r>
      <w:r w:rsidRPr="006A2C00">
        <w:rPr>
          <w:rStyle w:val="StyleUnderline"/>
        </w:rPr>
        <w:t xml:space="preserve">. Neztsosie’s father worked in the mines, but without a contract. As a result, he was </w:t>
      </w:r>
      <w:r w:rsidRPr="009C1611">
        <w:rPr>
          <w:rStyle w:val="StyleUnderline"/>
          <w:b/>
          <w:bCs/>
        </w:rPr>
        <w:t>never</w:t>
      </w:r>
      <w:r w:rsidRPr="006A2C00">
        <w:rPr>
          <w:rStyle w:val="StyleUnderline"/>
        </w:rPr>
        <w:t xml:space="preserve"> </w:t>
      </w:r>
      <w:r w:rsidRPr="009C1611">
        <w:rPr>
          <w:rStyle w:val="StyleUnderline"/>
          <w:b/>
          <w:bCs/>
        </w:rPr>
        <w:t>entitled</w:t>
      </w:r>
      <w:r w:rsidRPr="006A2C00">
        <w:rPr>
          <w:rStyle w:val="StyleUnderline"/>
        </w:rPr>
        <w:t xml:space="preserve"> </w:t>
      </w:r>
      <w:r w:rsidRPr="009C1611">
        <w:rPr>
          <w:rStyle w:val="StyleUnderline"/>
          <w:b/>
          <w:bCs/>
        </w:rPr>
        <w:t>to</w:t>
      </w:r>
      <w:r w:rsidRPr="006A2C00">
        <w:rPr>
          <w:rStyle w:val="StyleUnderline"/>
        </w:rPr>
        <w:t xml:space="preserve"> a </w:t>
      </w:r>
      <w:r w:rsidRPr="009C1611">
        <w:rPr>
          <w:rStyle w:val="StyleUnderline"/>
          <w:b/>
          <w:bCs/>
        </w:rPr>
        <w:t>pension</w:t>
      </w:r>
      <w:r w:rsidRPr="006A2C00">
        <w:rPr>
          <w:rStyle w:val="StyleUnderline"/>
        </w:rPr>
        <w:t xml:space="preserve"> or </w:t>
      </w:r>
      <w:r w:rsidRPr="009C1611">
        <w:rPr>
          <w:rStyle w:val="StyleUnderline"/>
          <w:b/>
          <w:bCs/>
        </w:rPr>
        <w:t>compensation</w:t>
      </w:r>
      <w:r w:rsidRPr="006A2C00">
        <w:rPr>
          <w:rStyle w:val="StyleUnderline"/>
        </w:rPr>
        <w:t>. His mother suffered five miscarriages. Most of his siblings and other relatives died early. His wife also died 15 years ago. «Probably the only reason I got this old is because I went to boarding school in Tuba City when I was a kid,»</w:t>
      </w:r>
      <w:r w:rsidRPr="0051416A">
        <w:rPr>
          <w:rStyle w:val="StyleUnderline"/>
          <w:sz w:val="16"/>
          <w:u w:val="none"/>
        </w:rPr>
        <w:t xml:space="preserve"> Neztsosie says. </w:t>
      </w:r>
      <w:r w:rsidRPr="006A2C00">
        <w:rPr>
          <w:rStyle w:val="StyleUnderline"/>
        </w:rPr>
        <w:t>He remembers that during the rainy season, the uranium pits would fill with water and children would bathe in it.</w:t>
      </w:r>
      <w:r w:rsidRPr="0051416A">
        <w:rPr>
          <w:rStyle w:val="StyleUnderline"/>
          <w:sz w:val="16"/>
          <w:u w:val="none"/>
        </w:rPr>
        <w:t xml:space="preserve"> At least he only did that when he was at home on vacation.</w:t>
      </w:r>
      <w:r w:rsidRPr="0051416A">
        <w:rPr>
          <w:sz w:val="16"/>
        </w:rPr>
        <w:t xml:space="preserve"> </w:t>
      </w:r>
      <w:r w:rsidRPr="00D16C9E">
        <w:rPr>
          <w:rStyle w:val="StyleUnderline"/>
        </w:rPr>
        <w:t>His sister</w:t>
      </w:r>
      <w:r w:rsidRPr="0051416A">
        <w:rPr>
          <w:rStyle w:val="StyleUnderline"/>
          <w:sz w:val="16"/>
          <w:u w:val="none"/>
        </w:rPr>
        <w:t xml:space="preserve"> Lula’s </w:t>
      </w:r>
      <w:r w:rsidRPr="00D16C9E">
        <w:rPr>
          <w:rStyle w:val="StyleUnderline"/>
        </w:rPr>
        <w:t>wooden house is full of cracks, with water dripping through the roof</w:t>
      </w:r>
      <w:r w:rsidRPr="0051416A">
        <w:rPr>
          <w:rStyle w:val="StyleUnderline"/>
          <w:sz w:val="16"/>
          <w:u w:val="none"/>
        </w:rPr>
        <w:t xml:space="preserve">. Years ago, </w:t>
      </w:r>
      <w:r w:rsidRPr="005556B0">
        <w:rPr>
          <w:rStyle w:val="StyleUnderline"/>
        </w:rPr>
        <w:t xml:space="preserve">Neztsosie </w:t>
      </w:r>
      <w:r w:rsidRPr="0051416A">
        <w:rPr>
          <w:rStyle w:val="StyleUnderline"/>
          <w:sz w:val="16"/>
          <w:u w:val="none"/>
        </w:rPr>
        <w:t xml:space="preserve">and she </w:t>
      </w:r>
      <w:r w:rsidRPr="005556B0">
        <w:rPr>
          <w:rStyle w:val="StyleUnderline"/>
        </w:rPr>
        <w:t xml:space="preserve">built a new stone house nearby. But later it turned out that the sand they had used for the wall was radioactively contaminated. The beautiful house is uninhabitable. The siblings used to keep livestock, but they were told it was dangerous to consume the animals’ milk and meat. </w:t>
      </w:r>
      <w:r w:rsidRPr="0051416A">
        <w:rPr>
          <w:rStyle w:val="StyleUnderline"/>
          <w:sz w:val="16"/>
          <w:u w:val="none"/>
        </w:rPr>
        <w:t>Now they just have a small garden and an old horse.</w:t>
      </w:r>
      <w:r w:rsidRPr="0051416A">
        <w:rPr>
          <w:sz w:val="16"/>
        </w:rPr>
        <w:t xml:space="preserve"> </w:t>
      </w:r>
      <w:r w:rsidRPr="0051416A">
        <w:rPr>
          <w:rStyle w:val="StyleUnderline"/>
          <w:sz w:val="16"/>
          <w:u w:val="none"/>
        </w:rPr>
        <w:t>«</w:t>
      </w:r>
      <w:r w:rsidRPr="00A80D20">
        <w:rPr>
          <w:rStyle w:val="StyleUnderline"/>
        </w:rPr>
        <w:t xml:space="preserve">When we pointed out all the </w:t>
      </w:r>
      <w:r w:rsidRPr="009C1611">
        <w:rPr>
          <w:rStyle w:val="StyleUnderline"/>
          <w:b/>
          <w:bCs/>
        </w:rPr>
        <w:t>illnesses</w:t>
      </w:r>
      <w:r w:rsidRPr="00A80D20">
        <w:rPr>
          <w:rStyle w:val="StyleUnderline"/>
        </w:rPr>
        <w:t xml:space="preserve"> and </w:t>
      </w:r>
      <w:r w:rsidRPr="009C1611">
        <w:rPr>
          <w:rStyle w:val="StyleUnderline"/>
          <w:b/>
          <w:bCs/>
        </w:rPr>
        <w:t>deaths</w:t>
      </w:r>
      <w:r w:rsidRPr="00A80D20">
        <w:rPr>
          <w:rStyle w:val="StyleUnderline"/>
        </w:rPr>
        <w:t xml:space="preserve"> to a doctor many years ago, he said it was because of ‹</w:t>
      </w:r>
      <w:r w:rsidRPr="009C1611">
        <w:rPr>
          <w:rStyle w:val="StyleUnderline"/>
          <w:b/>
          <w:bCs/>
        </w:rPr>
        <w:t>inbreeding</w:t>
      </w:r>
      <w:r w:rsidRPr="00A80D20">
        <w:rPr>
          <w:rStyle w:val="StyleUnderline"/>
        </w:rPr>
        <w:t xml:space="preserve"> </w:t>
      </w:r>
      <w:r w:rsidRPr="009C1611">
        <w:rPr>
          <w:rStyle w:val="StyleUnderline"/>
          <w:b/>
          <w:bCs/>
        </w:rPr>
        <w:t>among</w:t>
      </w:r>
      <w:r w:rsidRPr="00A80D20">
        <w:rPr>
          <w:rStyle w:val="StyleUnderline"/>
        </w:rPr>
        <w:t xml:space="preserve"> the </w:t>
      </w:r>
      <w:r w:rsidRPr="009C1611">
        <w:rPr>
          <w:rStyle w:val="StyleUnderline"/>
          <w:b/>
          <w:bCs/>
        </w:rPr>
        <w:t>Indians</w:t>
      </w:r>
      <w:r w:rsidRPr="00A80D20">
        <w:rPr>
          <w:rStyle w:val="StyleUnderline"/>
        </w:rPr>
        <w:t>,›»</w:t>
      </w:r>
      <w:r w:rsidRPr="0051416A">
        <w:rPr>
          <w:rStyle w:val="StyleUnderline"/>
          <w:sz w:val="16"/>
          <w:u w:val="none"/>
        </w:rPr>
        <w:t xml:space="preserve"> Netzsosie says. </w:t>
      </w:r>
      <w:r w:rsidRPr="00A80D20">
        <w:rPr>
          <w:rStyle w:val="StyleUnderline"/>
        </w:rPr>
        <w:t>In the early 1990s, he met his wife, a lawyer, who alerted him to the radioactive contamination. «</w:t>
      </w:r>
      <w:r w:rsidRPr="009C1611">
        <w:rPr>
          <w:rStyle w:val="StyleUnderline"/>
          <w:b/>
          <w:bCs/>
        </w:rPr>
        <w:t>Until</w:t>
      </w:r>
      <w:r w:rsidRPr="00A80D20">
        <w:rPr>
          <w:rStyle w:val="StyleUnderline"/>
        </w:rPr>
        <w:t xml:space="preserve"> </w:t>
      </w:r>
      <w:r w:rsidRPr="009C1611">
        <w:rPr>
          <w:rStyle w:val="StyleUnderline"/>
          <w:b/>
          <w:bCs/>
        </w:rPr>
        <w:t>then</w:t>
      </w:r>
      <w:r w:rsidRPr="00A80D20">
        <w:rPr>
          <w:rStyle w:val="StyleUnderline"/>
        </w:rPr>
        <w:t xml:space="preserve">, </w:t>
      </w:r>
      <w:r w:rsidRPr="009C1611">
        <w:rPr>
          <w:rStyle w:val="StyleUnderline"/>
          <w:b/>
          <w:bCs/>
        </w:rPr>
        <w:t>neither</w:t>
      </w:r>
      <w:r w:rsidRPr="00A80D20">
        <w:rPr>
          <w:rStyle w:val="StyleUnderline"/>
        </w:rPr>
        <w:t xml:space="preserve"> the U.S. </w:t>
      </w:r>
      <w:r w:rsidRPr="009C1611">
        <w:rPr>
          <w:rStyle w:val="StyleUnderline"/>
          <w:b/>
          <w:bCs/>
        </w:rPr>
        <w:t>government</w:t>
      </w:r>
      <w:r w:rsidRPr="00A80D20">
        <w:rPr>
          <w:rStyle w:val="StyleUnderline"/>
        </w:rPr>
        <w:t xml:space="preserve"> </w:t>
      </w:r>
      <w:r w:rsidRPr="009C1611">
        <w:rPr>
          <w:rStyle w:val="StyleUnderline"/>
          <w:b/>
          <w:bCs/>
        </w:rPr>
        <w:t>nor</w:t>
      </w:r>
      <w:r w:rsidRPr="00A80D20">
        <w:rPr>
          <w:rStyle w:val="StyleUnderline"/>
        </w:rPr>
        <w:t xml:space="preserve"> the </w:t>
      </w:r>
      <w:r w:rsidRPr="009C1611">
        <w:rPr>
          <w:rStyle w:val="StyleUnderline"/>
          <w:b/>
          <w:bCs/>
        </w:rPr>
        <w:t>Navajo</w:t>
      </w:r>
      <w:r w:rsidRPr="00A80D20">
        <w:rPr>
          <w:rStyle w:val="StyleUnderline"/>
        </w:rPr>
        <w:t xml:space="preserve"> </w:t>
      </w:r>
      <w:r w:rsidRPr="009C1611">
        <w:rPr>
          <w:rStyle w:val="StyleUnderline"/>
          <w:b/>
          <w:bCs/>
        </w:rPr>
        <w:t>administration</w:t>
      </w:r>
      <w:r w:rsidRPr="00A80D20">
        <w:rPr>
          <w:rStyle w:val="StyleUnderline"/>
        </w:rPr>
        <w:t xml:space="preserve"> had </w:t>
      </w:r>
      <w:r w:rsidRPr="009C1611">
        <w:rPr>
          <w:rStyle w:val="StyleUnderline"/>
          <w:b/>
          <w:bCs/>
        </w:rPr>
        <w:t>told</w:t>
      </w:r>
      <w:r w:rsidRPr="00A80D20">
        <w:rPr>
          <w:rStyle w:val="StyleUnderline"/>
        </w:rPr>
        <w:t xml:space="preserve"> </w:t>
      </w:r>
      <w:r w:rsidRPr="009C1611">
        <w:rPr>
          <w:rStyle w:val="StyleUnderline"/>
          <w:b/>
          <w:bCs/>
        </w:rPr>
        <w:t>us</w:t>
      </w:r>
      <w:r w:rsidRPr="00A80D20">
        <w:rPr>
          <w:rStyle w:val="StyleUnderline"/>
        </w:rPr>
        <w:t xml:space="preserve"> </w:t>
      </w:r>
      <w:r w:rsidRPr="009C1611">
        <w:rPr>
          <w:rStyle w:val="StyleUnderline"/>
          <w:b/>
          <w:bCs/>
        </w:rPr>
        <w:t>about</w:t>
      </w:r>
      <w:r w:rsidRPr="00A80D20">
        <w:rPr>
          <w:rStyle w:val="StyleUnderline"/>
        </w:rPr>
        <w:t xml:space="preserve"> the </w:t>
      </w:r>
      <w:r w:rsidRPr="009C1611">
        <w:rPr>
          <w:rStyle w:val="StyleUnderline"/>
          <w:b/>
          <w:bCs/>
        </w:rPr>
        <w:t>dangers</w:t>
      </w:r>
      <w:r w:rsidRPr="00A80D20">
        <w:rPr>
          <w:rStyle w:val="StyleUnderline"/>
        </w:rPr>
        <w:t>,»</w:t>
      </w:r>
      <w:r w:rsidRPr="0051416A">
        <w:rPr>
          <w:rStyle w:val="StyleUnderline"/>
          <w:sz w:val="16"/>
          <w:u w:val="none"/>
        </w:rPr>
        <w:t xml:space="preserve"> he says. He then informed his relatives and they took precautions. The day after our interview, an assembly is held at Cameron’s school. The U.S. Environmental Protection Agency (EPA) and El Paso Natural Gas, the company responsible for uranium mining, are inviting local residents to discuss the future of the abandoned CH12 mine. Uranium was mined here between 1953 and 1961. In the 1990s, the open pit was filled with the contaminated debris from the surrounding area, the whole thing was covered with earth, and the zone was fenced. Nevertheless, radioactivity is still escaping.</w:t>
      </w:r>
      <w:r w:rsidRPr="0051416A">
        <w:rPr>
          <w:sz w:val="16"/>
        </w:rPr>
        <w:t xml:space="preserve"> </w:t>
      </w:r>
      <w:r w:rsidRPr="0051416A">
        <w:rPr>
          <w:rStyle w:val="StyleUnderline"/>
          <w:sz w:val="16"/>
          <w:u w:val="none"/>
        </w:rPr>
        <w:t>The meeting is about how to deal with the area in the future: Should the pit be sealed according to modern standards, and the radioactive material transported to a repository outside the reservation? Or should it be left as it is. Only seven interested people come. Priscilla Tom, a Navajo who works for the EPA, is disappointed. «You can lead a horse to water, but you can’t make it drink,» she says. However, she also expresses understanding for the lack of interest: «These issues have been discussed for half a century,» she says.</w:t>
      </w:r>
      <w:r w:rsidRPr="0051416A">
        <w:rPr>
          <w:sz w:val="16"/>
        </w:rPr>
        <w:t xml:space="preserve"> </w:t>
      </w:r>
      <w:r w:rsidRPr="0051416A">
        <w:rPr>
          <w:rStyle w:val="StyleUnderline"/>
          <w:sz w:val="16"/>
          <w:u w:val="none"/>
        </w:rPr>
        <w:t>The organizers have prepared a detailed presentation. However, the attendees only rarely refer to the future of CH12 in their questions. Rather, they express their deep frustration. «Why has no one been interested in our fate for decades?» one woman asks.</w:t>
      </w:r>
      <w:r w:rsidRPr="0051416A">
        <w:rPr>
          <w:sz w:val="16"/>
        </w:rPr>
        <w:t xml:space="preserve"> </w:t>
      </w:r>
      <w:r w:rsidRPr="0051416A">
        <w:rPr>
          <w:rStyle w:val="StyleUnderline"/>
          <w:sz w:val="16"/>
          <w:u w:val="none"/>
        </w:rPr>
        <w:t xml:space="preserve">Indeed, the political process has been slow. As </w:t>
      </w:r>
      <w:r w:rsidRPr="00F52B2D">
        <w:rPr>
          <w:rStyle w:val="StyleUnderline"/>
        </w:rPr>
        <w:t>early as 1951, the U. S. Public Health Service examined Navajo miners without their knowledge, and found serious health problems. Nevertheless, the working conditions hardly changed at all. Only after many lawsuits, newspaper articles and unsuccessful political efforts did Congress pass the Radiation Exposure Compensation Act (RECA) in 1990, which provided compensation for former miners. However, the bureaucratic hurdles were high, and again led to protests. In 2000, the formal requirements were changed as a result, but the reform didn’t come into force until 2018.</w:t>
      </w:r>
      <w:r w:rsidRPr="0051416A">
        <w:rPr>
          <w:rStyle w:val="StyleUnderline"/>
          <w:sz w:val="16"/>
          <w:u w:val="none"/>
        </w:rPr>
        <w:t xml:space="preserve"> Efforts to make the former mines safe also remain ongoing. According to the EPA, evaluations and cleanups at 219 out of a total of 523 mines began only in 2019. In October 2021, the Inter-American Commission on Human Rights agreed to hear a lawsuit filed by the Eastern Navajo Diné Against Uranium Mining, a nongovernmental organization that alleges the U.S. government has violated Navajo human rights.</w:t>
      </w:r>
      <w:r w:rsidRPr="0051416A">
        <w:rPr>
          <w:sz w:val="16"/>
        </w:rPr>
        <w:t xml:space="preserve"> </w:t>
      </w:r>
      <w:r w:rsidRPr="0051416A">
        <w:rPr>
          <w:rStyle w:val="StyleUnderline"/>
          <w:sz w:val="16"/>
          <w:u w:val="none"/>
        </w:rPr>
        <w:t>The fence can’t stop contamination At the former CH12 mine, a sign on the chain-link fence warns of radioactive contamination. A hundred meters away is a sweat lodge (a kind of ritual sauna), with a courtyard a little further on. Old rusted cars, scrap metal and tires are scattered around the property, and dogs are barking. This is where 51-year-old Samuel Spencer lives. He also grew up in this house. «As kids, we played in the open pit,» he says. «Today, everyone here suffers from asthma.» In the past, his animals would have grazed here, but now almost nothing grows. He still uses the sweat lodge, though. His mother, 75-year-old Fayt Spencer, lives nearby, along with two grandchildren. «Mother Earth is badly wounded,» she says. «Why did they build a fence? The poison has long been everywhere, and the fence can’t stop the wind either.» Because there isn’t any electricity, she has to start the generator in the evening. But fuel is expensive, she says. «</w:t>
      </w:r>
      <w:r w:rsidRPr="00BE70B5">
        <w:rPr>
          <w:rStyle w:val="StyleUnderline"/>
        </w:rPr>
        <w:t>They mined uranium here for the atomic bomb, but we don’t even have enough energy left to turn on a light</w:t>
      </w:r>
      <w:r w:rsidRPr="0051416A">
        <w:rPr>
          <w:rStyle w:val="StyleUnderline"/>
          <w:sz w:val="16"/>
          <w:u w:val="none"/>
        </w:rPr>
        <w:t>,» she says.</w:t>
      </w:r>
      <w:r w:rsidRPr="0051416A">
        <w:rPr>
          <w:sz w:val="16"/>
        </w:rPr>
        <w:t xml:space="preserve"> </w:t>
      </w:r>
      <w:r w:rsidRPr="0051416A">
        <w:rPr>
          <w:rStyle w:val="StyleUnderline"/>
          <w:sz w:val="16"/>
          <w:u w:val="none"/>
        </w:rPr>
        <w:t xml:space="preserve">Why didn’t she go to the meeting? «There’s so much pain here. I don’t feel like those meetings anymore,» she says. «What’s the point?» Has she never thought about moving away? «There’s no point, it’s the same everywhere,» she says. However, some residents acknowledge that the </w:t>
      </w:r>
      <w:r w:rsidRPr="00A46CC7">
        <w:rPr>
          <w:rStyle w:val="StyleUnderline"/>
        </w:rPr>
        <w:t>Navajo administration also imposes high hurdles for relocation</w:t>
      </w:r>
      <w:r w:rsidRPr="0051416A">
        <w:rPr>
          <w:rStyle w:val="StyleUnderline"/>
          <w:sz w:val="16"/>
          <w:u w:val="none"/>
        </w:rPr>
        <w:t>.</w:t>
      </w:r>
      <w:r w:rsidRPr="0051416A">
        <w:rPr>
          <w:sz w:val="16"/>
        </w:rPr>
        <w:t xml:space="preserve"> </w:t>
      </w:r>
      <w:r w:rsidRPr="0051416A">
        <w:rPr>
          <w:rStyle w:val="StyleUnderline"/>
          <w:sz w:val="16"/>
          <w:u w:val="none"/>
        </w:rPr>
        <w:t>May Franklin, 64, who also lives in the area, says: «My father died when I was young. He shoveled uranium ore onto a truck and hauled it with his bare hands – no mouth guard, no gloves.» She and her husband couldn’t have children. «We live in an empty nest,» she says.</w:t>
      </w:r>
      <w:r w:rsidRPr="0051416A">
        <w:rPr>
          <w:sz w:val="16"/>
        </w:rPr>
        <w:t xml:space="preserve"> </w:t>
      </w:r>
      <w:r w:rsidRPr="0051416A">
        <w:rPr>
          <w:rStyle w:val="StyleUnderline"/>
          <w:sz w:val="16"/>
          <w:u w:val="none"/>
        </w:rPr>
        <w:t xml:space="preserve">Franklin notes that </w:t>
      </w:r>
      <w:r w:rsidRPr="00A32432">
        <w:rPr>
          <w:rStyle w:val="StyleUnderline"/>
        </w:rPr>
        <w:t>many young people, especially well-educated ones, are moving off the reservation.</w:t>
      </w:r>
      <w:r w:rsidRPr="0051416A">
        <w:rPr>
          <w:rStyle w:val="StyleUnderline"/>
          <w:sz w:val="16"/>
          <w:u w:val="none"/>
        </w:rPr>
        <w:t xml:space="preserve"> «There is too little work and too few houses. Often, three generations live under one roof.» She says people can be in touch with the world via the internet from here. However, the Navajo traditionally didn't live in villages, but on farms that were far apart, she says. That is too boring for many young people, she adds.</w:t>
      </w:r>
      <w:r w:rsidRPr="0051416A">
        <w:rPr>
          <w:sz w:val="16"/>
        </w:rPr>
        <w:t xml:space="preserve"> </w:t>
      </w:r>
      <w:r w:rsidRPr="0051416A">
        <w:rPr>
          <w:rStyle w:val="StyleUnderline"/>
          <w:sz w:val="16"/>
          <w:u w:val="none"/>
        </w:rPr>
        <w:t>The wounds won’t heal In truth, some help is available. In Tuba City, the largest city on the Navajo reservation, there is a hospital with a cancer unit and two oncologists. Chemotherapy is also done there. «But many, especially in the countryside, don’t even know about the hospital or don’t dare go,» says one nurse. After a puzzled follow-up question, she adds: «The level of education is often very low.»</w:t>
      </w:r>
      <w:r w:rsidRPr="0051416A">
        <w:rPr>
          <w:sz w:val="16"/>
        </w:rPr>
        <w:t xml:space="preserve"> </w:t>
      </w:r>
      <w:r w:rsidRPr="0051416A">
        <w:rPr>
          <w:rStyle w:val="StyleUnderline"/>
          <w:sz w:val="16"/>
          <w:u w:val="none"/>
        </w:rPr>
        <w:t>Associated with the hospital is the Radiation Exposure Screening and Education Program (RESEP), based on the Compensation Act (RECA). Affected persons or relatives of radiation victims can claim damages of $50,000 to $100,000 here. To date, approximately 39,000 applications have been approved and a total of more than $2.5 billion has been disbursed. But maybe it just took too long for something to finally happen. «</w:t>
      </w:r>
      <w:r w:rsidRPr="00F01000">
        <w:rPr>
          <w:rStyle w:val="StyleUnderline"/>
        </w:rPr>
        <w:t>Action should have been taken much sooner,» says Fayt Spencer. «The wounds will never heal.»</w:t>
      </w:r>
    </w:p>
    <w:p w:rsidR="002F5714" w:rsidRPr="004E26C6" w:rsidRDefault="002F5714" w:rsidP="002F5714">
      <w:pPr>
        <w:pStyle w:val="Heading4"/>
        <w:rPr>
          <w:rStyle w:val="Style13ptBold"/>
          <w:b/>
          <w:bCs w:val="0"/>
        </w:rPr>
      </w:pPr>
      <w:r>
        <w:rPr>
          <w:rStyle w:val="Style13ptBold"/>
          <w:b/>
          <w:bCs w:val="0"/>
        </w:rPr>
        <w:t>Militaristic endeavors by the government have historically led to exploitation of Native Americans and consequently their economic status and the land in which they live, degrading it.</w:t>
      </w:r>
    </w:p>
    <w:p w:rsidR="002F5714" w:rsidRPr="00AC4497" w:rsidRDefault="002F5714" w:rsidP="002F5714">
      <w:pPr>
        <w:rPr>
          <w:rStyle w:val="Style13ptBold"/>
          <w:b w:val="0"/>
          <w:bCs w:val="0"/>
          <w:sz w:val="22"/>
        </w:rPr>
      </w:pPr>
      <w:r>
        <w:rPr>
          <w:rStyle w:val="Style13ptBold"/>
        </w:rPr>
        <w:t xml:space="preserve">Hooks and Smith 3 </w:t>
      </w:r>
      <w:r>
        <w:rPr>
          <w:rStyle w:val="Style13ptBold"/>
          <w:b w:val="0"/>
          <w:bCs w:val="0"/>
          <w:sz w:val="22"/>
        </w:rPr>
        <w:t>(</w:t>
      </w:r>
      <w:r w:rsidRPr="00E546E2">
        <w:t>Gregory Hooks</w:t>
      </w:r>
      <w:r>
        <w:t xml:space="preserve"> and </w:t>
      </w:r>
      <w:r w:rsidRPr="00E546E2">
        <w:t>Chad L. Smith</w:t>
      </w:r>
      <w:r>
        <w:t xml:space="preserve">, </w:t>
      </w:r>
      <w:r w:rsidRPr="00AC4497">
        <w:t>Department of Sociology</w:t>
      </w:r>
      <w:r>
        <w:t>,</w:t>
      </w:r>
      <w:r w:rsidRPr="00AC4497">
        <w:t xml:space="preserve"> Washington State University</w:t>
      </w:r>
      <w:r>
        <w:t>, “</w:t>
      </w:r>
      <w:r w:rsidRPr="00E546E2">
        <w:t>THE TREADMILL OF MILITARISM: NATIONAL SACRIFICE AREAS AND NATIVE AMERICANS</w:t>
      </w:r>
      <w:r>
        <w:t xml:space="preserve">”, </w:t>
      </w:r>
      <w:r w:rsidRPr="00E546E2">
        <w:t>https://d1wqtxts1xzle7.cloudfront.net/87256160/smithandhooks-libre.pdf?1654782287=&amp;response-content-disposition=inline%3B+filename%3DThe_Treadmill_of_Militarism_National_Sac.pdf&amp;Expires=1721534768&amp;Signature=A9kGkkNu-uQAAXoMtuebXbFU6f4NNCFLi68H4zGoSE-g15lrAc~pAvVTAml-gu-x4mxrDf85ZnJ4YDgOSP9wo7ZPogMlJhhTAnNWonIW7zwnZmEeEJJrtgtjK-no9gYV1IuLtThsMXAP0id7LTn1uWUZSN9uGb8PgsxusiVVQvSto4iybnidBbhuUwPk7XEbA7bEj1Du9-3f1AU7Mh8PFDmwDk92vSTokcHXKUXy1FzvHypenv~By2fHIgg29c0aoAnnn66AvYihCUYXNGxeYjfs8NJA62TCTOccbcD6Hunlo6bpSRK1-YuVaCg~zjovtDEwWJj9urDGVXLwkTEX8w__&amp;Key-Pair-Id=APKAJLOHF5GGSLRBV4ZA</w:t>
      </w:r>
      <w:r>
        <w:t>)</w:t>
      </w:r>
    </w:p>
    <w:p w:rsidR="002F5714" w:rsidRPr="002F5714" w:rsidRDefault="002F5714" w:rsidP="002F5714">
      <w:pPr>
        <w:rPr>
          <w:u w:val="single"/>
        </w:rPr>
      </w:pPr>
      <w:r w:rsidRPr="004E26C6">
        <w:rPr>
          <w:sz w:val="14"/>
        </w:rPr>
        <w:t xml:space="preserve">The term “treadmill of militarism” </w:t>
      </w:r>
      <w:r w:rsidRPr="00A05F7D">
        <w:rPr>
          <w:rStyle w:val="StyleUnderline"/>
        </w:rPr>
        <w:t xml:space="preserve">reflects our debt to the treadmill </w:t>
      </w:r>
      <w:r w:rsidRPr="004E26C6">
        <w:rPr>
          <w:rStyle w:val="Emphasis"/>
        </w:rPr>
        <w:t>of production for drawing attention to expansionary dynamics that result in the creation and deposition of toxins in the environment.</w:t>
      </w:r>
      <w:r w:rsidRPr="004E26C6">
        <w:rPr>
          <w:sz w:val="14"/>
        </w:rPr>
        <w:t xml:space="preserve"> But this terminology also reflects the specificity of the phenomena we examine and the importance of </w:t>
      </w:r>
      <w:r w:rsidRPr="00A05F7D">
        <w:rPr>
          <w:rStyle w:val="StyleUnderline"/>
        </w:rPr>
        <w:t>looking beyond capitalism and markets</w:t>
      </w:r>
      <w:r w:rsidRPr="004E26C6">
        <w:rPr>
          <w:sz w:val="14"/>
        </w:rPr>
        <w:t xml:space="preserve"> (including those markets distorted by institutional racism) to understand the full range of environmental inequality</w:t>
      </w:r>
      <w:r w:rsidRPr="00A05F7D">
        <w:rPr>
          <w:rStyle w:val="StyleUnderline"/>
        </w:rPr>
        <w:t xml:space="preserve">. </w:t>
      </w:r>
      <w:r w:rsidRPr="004E26C6">
        <w:rPr>
          <w:rStyle w:val="Emphasis"/>
        </w:rPr>
        <w:t>Militarism and coercion have played a pivotal role in all aspects of the Native American experience</w:t>
      </w:r>
      <w:r w:rsidRPr="00A05F7D">
        <w:rPr>
          <w:rStyle w:val="StyleUnderline"/>
        </w:rPr>
        <w:t xml:space="preserve">. With regards to environmental inequality, the treadmill of militarism – like the military-industrial complex – is marked by the influence of geopolitics in the spatial distribution of environmental “bads.” </w:t>
      </w:r>
      <w:r w:rsidRPr="004E26C6">
        <w:rPr>
          <w:rStyle w:val="Emphasis"/>
        </w:rPr>
        <w:t>This type of environmental inequality is also marked by a coercive (and often racist) state through which vulnerable populations are forced to live in proximity to dangerous facilities</w:t>
      </w:r>
      <w:r w:rsidRPr="00A05F7D">
        <w:rPr>
          <w:rStyle w:val="StyleUnderline"/>
        </w:rPr>
        <w:t>. Erik O. Wright provides an insightful discussion of non-economic forms of oppression: In the case of nonexploitive oppression, the oppressors would be happy if the oppressed simply disappeared</w:t>
      </w:r>
      <w:r w:rsidRPr="004E26C6">
        <w:rPr>
          <w:sz w:val="14"/>
        </w:rPr>
        <w:t xml:space="preserve">. </w:t>
      </w:r>
      <w:r w:rsidRPr="00A05F7D">
        <w:rPr>
          <w:rStyle w:val="StyleUnderline"/>
        </w:rPr>
        <w:t>Life would have been much easier for the European settlers in North America if the continent had been uninhabited by people. Genocide is thus always a potential strategy for nonexploitive oppressors</w:t>
      </w:r>
      <w:r w:rsidRPr="004E26C6">
        <w:rPr>
          <w:rStyle w:val="Emphasis"/>
        </w:rPr>
        <w:t>…. The contrast between North America and South Africa in the treatment of indigenous peoples reflects this difference poignantly: in North America, where the indigenous people were oppressed</w:t>
      </w:r>
      <w:r w:rsidRPr="004E26C6">
        <w:rPr>
          <w:sz w:val="14"/>
        </w:rPr>
        <w:t xml:space="preserve"> (by virtue of being coercively displaced from the land) </w:t>
      </w:r>
      <w:r w:rsidRPr="00A05F7D">
        <w:rPr>
          <w:rStyle w:val="StyleUnderline"/>
        </w:rPr>
        <w:t xml:space="preserve">but not exploited, genocide was the basic 24 policy of social control in the face of resistance; in South Africa, where the European settler population heavily depended upon African labor for its own prosperity, this was not an option (Wright 1997: 11-12). It is not only the case that exploitation was not the dominant form of oppression, but </w:t>
      </w:r>
      <w:r w:rsidRPr="004E26C6">
        <w:rPr>
          <w:rStyle w:val="Emphasis"/>
        </w:rPr>
        <w:t>the areas in which Native Americans are concentrated is characterized by relatively low levels of economic activity and relatively few employment opportunities</w:t>
      </w:r>
      <w:r w:rsidRPr="004E26C6">
        <w:rPr>
          <w:sz w:val="14"/>
        </w:rPr>
        <w:t>. For those emphasizing the treadmill of production, the state does not directly benefit from environmental inequality; but it promotes regional growth (Szasz and Meuser 2000) and the profitability of large corporations (Pellow 2000). For Pellow (2000: 594), this facilitative role has become pronounced in recent years, accelerated by globalization</w:t>
      </w:r>
      <w:r w:rsidRPr="00A05F7D">
        <w:rPr>
          <w:rStyle w:val="StyleUnderline"/>
        </w:rPr>
        <w:t xml:space="preserve">. However, the actions that concern us preceded this recent wave of globalization and were not pursued for the sake of corporate profitability. During a time of war, the state exercises expansive </w:t>
      </w:r>
      <w:r w:rsidRPr="004E26C6">
        <w:rPr>
          <w:rStyle w:val="Emphasis"/>
        </w:rPr>
        <w:t>property rights and uses these powers to acquire land and other resources. Military bases were built and operated in the name of national security; national security planners were concerned with strategic planning and with the secrecy and security of military operation</w:t>
      </w:r>
      <w:r w:rsidRPr="00A05F7D">
        <w:rPr>
          <w:rStyle w:val="StyleUnderline"/>
        </w:rPr>
        <w:t>s</w:t>
      </w:r>
      <w:r w:rsidRPr="004E26C6">
        <w:rPr>
          <w:sz w:val="14"/>
        </w:rPr>
        <w:t xml:space="preserve"> (Hooks 1994a). Over the first 150 years of its existence, the United States was exceptional among the world’s leading powers because the “backbone of the American army was a locally based militia system” (Skowronek 1982: 86). Its standing army and professional officer corps were modest when compared to the European powers of the 19th Century. However, the demographic, technological, and logistical advantages enjoyed by the United States -- coupled with the devastating impact of Old World diseases -- overwhelmed Native American resistance as the nation expanded from the Atlantic to the Pacific (Diamond 1999). “It is generally supposed that the American ideal is peace. But 25 unfortunately for this high-school classic, the U.S. Army, since 1776, has filched more square miles of the earth by sheer military conquest than any army in the world, except only that of Great Britain” (Fortune Magazine in Mills 1956: 177). Even if the military was less professionalized than the great powers of Europe, through a succession of 19th Century wars, the United States exerted its claim over the lands of North America. Native American peoples were forcibly relocated to much smaller – and </w:t>
      </w:r>
      <w:r w:rsidRPr="00A05F7D">
        <w:rPr>
          <w:rStyle w:val="StyleUnderline"/>
        </w:rPr>
        <w:t xml:space="preserve">in the eyes of European-Americans – unattractive (if not useless) tracts of land. In their study of Silicon Valley, Szasz and Meuser (2000) emphasize the inexorability of economic growth and resulting ecological harm. In the 19th Century, the westward expansion of the United States – and the accompanying displacement of Native American peoples – was also inexorable. </w:t>
      </w:r>
      <w:r w:rsidRPr="004E26C6">
        <w:rPr>
          <w:sz w:val="14"/>
        </w:rPr>
        <w:t xml:space="preserve">While capitalism contributed to this expansion, </w:t>
      </w:r>
      <w:r w:rsidRPr="00A05F7D">
        <w:rPr>
          <w:rStyle w:val="StyleUnderline"/>
        </w:rPr>
        <w:t>the conquest of North America was propelled by demographic and geopolitical dynamics. This expansion was in large measure a statist project to prevent a geopolitical threat to the young nation’s west. That is, the United States was very concerned that a European power would conquer and control the lands west of the Appalachian Mountains and subsequently west of the Mississippi River. In the 20th Century, the military’s claims on economic and natural resources grew exponentially – as did the lands that were damaged by military activities</w:t>
      </w:r>
      <w:r w:rsidRPr="004E26C6">
        <w:rPr>
          <w:sz w:val="14"/>
        </w:rPr>
        <w:t xml:space="preserve"> (Jacob 1992; Shulman 1992). As the United States ascended to a position of international military hegemony, the inexorability of military expansion was driven by geopolitical competition and arms races – not the voraciousness of capitalism. As it fought two global wars, the United States built and maintained a military force of unmatched potency. The expanse of lands controlled by the military and the intensity of the land use (i.e., the 26 destructiveness of materials stored and deployed on these lands) increased sharply. For example, in 1940 as the nation began to mobilize for World War II, President Roosevelt created with the stroke of his pen the single largest gunnery range in the world (Loomis 1993). Originally known as the Las Vegas Bomber and Gunnery Range, now known as Nellis Range, this gunnery range measured 3.5 million acres. This history of military expansion illustrates the idea that different ethnic groups experience different types of environmental inequality (Getches and Pellow 2002). Native Americans as a byproduct of the treadmill of militarism experience the impacts of extraction of natural resources while also the testing and storage of the weapons those natural resources built. </w:t>
      </w:r>
      <w:r w:rsidRPr="00A05F7D">
        <w:rPr>
          <w:rStyle w:val="StyleUnderline"/>
        </w:rPr>
        <w:t>In a strange paradox then, Native Americans experience both the front end (extraction) and the back end (weapons testing, storage) of these environmental hazards (Pellow 2000). Further exhibiting the uniqueness of the Native American experience with respect to the military is the fact that Native Americans are the only minority population affected by environmental inequality in the United States with a claim of sovereignty. Though the history of this tribal sovereignty is inconsistent (Fredericks III 1999) it can largely be described as one of “dependent sovereignty” (Krakoff 2002</w:t>
      </w:r>
      <w:r w:rsidRPr="004E26C6">
        <w:rPr>
          <w:rStyle w:val="Emphasis"/>
        </w:rPr>
        <w:t>). This adds another layer to our conception of how environmental inequality affects Native Americans as on many occasions coercion superceded legal treaties in the spatial distribution of Native Americans</w:t>
      </w:r>
    </w:p>
    <w:p w:rsidR="007371B9" w:rsidRPr="000973B7" w:rsidRDefault="007371B9" w:rsidP="00123317">
      <w:pPr>
        <w:rPr>
          <w:sz w:val="16"/>
        </w:rPr>
      </w:pPr>
    </w:p>
    <w:p w:rsidR="00870C15" w:rsidRDefault="00870C15" w:rsidP="001E4194">
      <w:pPr>
        <w:pStyle w:val="Heading3"/>
      </w:pPr>
      <w:r>
        <w:t>Biopolitcs</w:t>
      </w:r>
    </w:p>
    <w:p w:rsidR="00BF1B56" w:rsidRPr="000A7700" w:rsidRDefault="00BF1B56" w:rsidP="00BF1B56">
      <w:pPr>
        <w:pStyle w:val="Heading4"/>
      </w:pPr>
      <w:r>
        <w:t>The 1AC’s study of biopolitics is predicated on a universal “white” subject that ignores the racialized histories of settler colonialism in constructing the ontological basis of which the category “human” is assumed as an innocuous surface of analysis, which Is constitutive of the Eurocentric drive towards white innocence</w:t>
      </w:r>
    </w:p>
    <w:p w:rsidR="00BF1B56" w:rsidRPr="00BE5089" w:rsidRDefault="00BF1B56" w:rsidP="00BF1B56">
      <w:pPr>
        <w:rPr>
          <w:b/>
          <w:bCs/>
          <w:sz w:val="26"/>
        </w:rPr>
      </w:pPr>
      <w:r w:rsidRPr="006A337B">
        <w:rPr>
          <w:b/>
          <w:bCs/>
          <w:sz w:val="26"/>
        </w:rPr>
        <w:t>Richter-Montpetit</w:t>
      </w:r>
      <w:r>
        <w:rPr>
          <w:b/>
          <w:bCs/>
          <w:sz w:val="26"/>
        </w:rPr>
        <w:t xml:space="preserve"> &amp; Howell 19 </w:t>
      </w:r>
      <w:r w:rsidRPr="00E82DE6">
        <w:t>(</w:t>
      </w:r>
      <w:r w:rsidRPr="005C4673">
        <w:t>Melanie Richter-Montpetit</w:t>
      </w:r>
      <w:r>
        <w:t xml:space="preserve">, </w:t>
      </w:r>
      <w:r w:rsidRPr="009B2860">
        <w:t>Senior Lecturer in International Security</w:t>
      </w:r>
      <w:r>
        <w:t xml:space="preserve"> at University of Sussex, Alison Howell </w:t>
      </w:r>
      <w:r w:rsidRPr="00476992">
        <w:t>Assistant Professor of Political Science at Rutgers University</w:t>
      </w:r>
      <w:r>
        <w:t>; “</w:t>
      </w:r>
      <w:r w:rsidRPr="00426CB7">
        <w:t>Racism in Foucauldian Security Studies: Biopolitics, Liberal War and the Whitewashing of colonial and racial violence</w:t>
      </w:r>
      <w:r>
        <w:t xml:space="preserve">”; March, 2019; </w:t>
      </w:r>
      <w:r w:rsidRPr="007B62BF">
        <w:t>https://academic.oup.com/ips/article-abstract/13/1/2/5265732?redirectedFrom=fulltext</w:t>
      </w:r>
      <w:r>
        <w:t>) - EY</w:t>
      </w:r>
    </w:p>
    <w:p w:rsidR="00BF1B56" w:rsidRPr="00BF1B56" w:rsidRDefault="00BF1B56" w:rsidP="00BF1B56">
      <w:pPr>
        <w:rPr>
          <w:sz w:val="16"/>
        </w:rPr>
      </w:pPr>
      <w:r w:rsidRPr="005C7B8C">
        <w:rPr>
          <w:sz w:val="16"/>
        </w:rPr>
        <w:t>One of the core Foucauldian concepts that FSS develops is ‘biopolitics’. Yet the concept is not uncontroversial. Any assessment of its shortcomings must begin by admitting its virtues. As Foucault formulated it, ‘biopolitics’ powerfully challenged common sense understandings of liberalism as increasing human freedom. Foucault locates the origins of liberalism in the rise of capitalism, which required “political investment of the body” (Foucault 1977, 25) in order to “turn peasants into punctual, efficient industrial workers” (Aradau &amp; Blanke 2010, 48, see also Scott 1999, 47-48). Instead of simply promoting “extractive-effects” on workers’ bodies, capitalism sought to produce “governing-effects” on the conduct of subjects (Scott 1999, 40, 51-52). As a result, with the formation of the administrative state from the late 16th to the 19th century, government focused on “controlling the mass of the population on its territory rather than controlling territoriality as such” (Jessop 2006, 37). Thus, according to Foucault, modern power came to intervene at the level of the individual human body (“anatomo-politics”) and at the level of the population as biological species (“biopolitics”) (Foucault 2003, 242-243). Foucault termed this novel technology of power biopower</w:t>
      </w:r>
      <w:r w:rsidRPr="00E41D58">
        <w:t xml:space="preserve">. </w:t>
      </w:r>
      <w:r w:rsidRPr="005C7B8C">
        <w:rPr>
          <w:sz w:val="16"/>
        </w:rPr>
        <w:t>To him, the shift away from sovereign power towards the seemingly benign modalities of biopower in fact gave rise to more insidious forms of governance. Foucault also challenged common sense understandings of liberal rule as domestically and internationally peaceful. In a widely cited passage, Foucault (1980, 137) wrote that with the shift to biopower, 4 wars are no longer waged in the name of a sovereign who needs to be defended; they are waged on behalf of the existence of everyone; entire populations are mobilized for the purpose of wholesale slaughter in the name of the life necessity, massacres have become vital. It is as managers of life and survival, of bodies and the race, that so many regimes have been able to wage so many wars, causing so many men [sic] to be killed. Biopower casts enemies as threats to the health, wealth and wellbeing of the population (Foucault 2003, 256), and thus “the death of the other – that is, of those deemed dangerous, unfit, or diseased – will make life in general more healthy and pure” (Inda 2005, 16). The biopolitical logic that “[i]n order to live you must destroy your enemies” (Foucault 2003, 255) extends also to domestic sources of danger. Foucault thus argues that liberalism is predicated on the model of war, that “politics is the continuation of war by other means” (Foucault 2003, 15). With the rise of biopower, war is no longer “a violent event ‘out there,’ but instead a vital presence permeating our everyday” (Nguyen 2012, xi). Likewise, the enemy is “no longer in a ‘military relationship of confrontation’ but in a ‘biological relationship’ to the life of the social body” (Medovoi 2007, 60). Foucault refers to this as social warfare (Foucault, 2003, 60; see also Jabri 2006; Howell 2014; Reid 2010</w:t>
      </w:r>
      <w:r w:rsidRPr="00E41D58">
        <w:t>).</w:t>
      </w:r>
      <w:r w:rsidRPr="005C7B8C">
        <w:rPr>
          <w:rStyle w:val="StyleUnderline"/>
        </w:rPr>
        <w:t xml:space="preserve"> It is important to note that race and racism are not absent from Foucault’s thought </w:t>
      </w:r>
      <w:r w:rsidRPr="004A02BC">
        <w:rPr>
          <w:sz w:val="16"/>
        </w:rPr>
        <w:t xml:space="preserve">(nor from FSS, as we will demonstrate). </w:t>
      </w:r>
      <w:r w:rsidRPr="00726082">
        <w:rPr>
          <w:sz w:val="16"/>
        </w:rPr>
        <w:t xml:space="preserve">For Foucault, the sovereign decision over which life is to be protected and which is to be ‘rejected in death’ was fundamentally informed by racism. In a normalizing society, racism is “the break between what must live and what must die” and “the precondition that makes killing acceptable” (Foucault 2003, 255-256). Society is defended through the improvement and regeneration of the race through such killing. Despite these strengths, </w:t>
      </w:r>
      <w:r w:rsidRPr="004A02BC">
        <w:rPr>
          <w:rStyle w:val="Emphasis"/>
        </w:rPr>
        <w:t>Foucault’s narrative</w:t>
      </w:r>
      <w:r w:rsidRPr="00726082">
        <w:rPr>
          <w:rStyle w:val="StyleUnderline"/>
        </w:rPr>
        <w:t xml:space="preserve"> of the rise of modernity and the operations of modern power is undermined by his failure to deal with historically specific technologies of subjection centered on race. This led him not only to frequently </w:t>
      </w:r>
      <w:r w:rsidRPr="004A02BC">
        <w:rPr>
          <w:rStyle w:val="Emphasis"/>
        </w:rPr>
        <w:t>overlook the ways in which certain subjects within Western liberal states are deemed incapable of self-regulation, making them ineligible for disciplinary or biopolitical governance</w:t>
      </w:r>
      <w:r w:rsidRPr="00726082">
        <w:rPr>
          <w:sz w:val="16"/>
        </w:rPr>
        <w:t>, but also to two other key oversights</w:t>
      </w:r>
      <w:r w:rsidRPr="00726082">
        <w:rPr>
          <w:rStyle w:val="StyleUnderline"/>
        </w:rPr>
        <w:t xml:space="preserve">. Foucault </w:t>
      </w:r>
      <w:r w:rsidRPr="004A02BC">
        <w:rPr>
          <w:rStyle w:val="Emphasis"/>
        </w:rPr>
        <w:t>neglected the constitutive role of (settler) colonialism in the production of modernity, as well as the fundamental role of the Black or Savage Other in the ontological consolidation of Man or ‘the human’ necessary for biopower</w:t>
      </w:r>
      <w:r w:rsidRPr="00726082">
        <w:rPr>
          <w:rStyle w:val="StyleUnderline"/>
        </w:rPr>
        <w:t xml:space="preserve">. As Black studies, post-colonial and critical race studies scholars have shown, Foucault’s </w:t>
      </w:r>
      <w:r w:rsidRPr="004A02BC">
        <w:rPr>
          <w:rStyle w:val="Emphasis"/>
        </w:rPr>
        <w:t>account of the operations of modern power within Europe replicates White fantasies of a self-generating ‘Europe’ that uphold White innocence</w:t>
      </w:r>
      <w:r w:rsidRPr="00726082">
        <w:rPr>
          <w:rStyle w:val="StyleUnderline"/>
        </w:rPr>
        <w:t>. Foucault seeks to account for how corporeal domination made possible capitalist accumulation, but his refusal to place “metropole and colony in a single analytic field”</w:t>
      </w:r>
      <w:r w:rsidRPr="00E41D58">
        <w:t xml:space="preserve"> </w:t>
      </w:r>
      <w:r w:rsidRPr="006D65BF">
        <w:rPr>
          <w:sz w:val="16"/>
        </w:rPr>
        <w:t xml:space="preserve">(Stoler and Cooper 1997, 4) </w:t>
      </w:r>
      <w:r w:rsidRPr="00726082">
        <w:rPr>
          <w:rStyle w:val="StyleUnderline"/>
        </w:rPr>
        <w:t xml:space="preserve">means he </w:t>
      </w:r>
      <w:r w:rsidRPr="004A02BC">
        <w:rPr>
          <w:rStyle w:val="Emphasis"/>
        </w:rPr>
        <w:t>cannot describe how (settler) colonial land theft, chattel slavery and indentured labour, and the related financial innovations around insurance and investment, produced the material conditions for the rise of capitalism</w:t>
      </w:r>
      <w:r w:rsidRPr="00E41D58">
        <w:t xml:space="preserve"> </w:t>
      </w:r>
      <w:r w:rsidRPr="006D65BF">
        <w:rPr>
          <w:sz w:val="16"/>
        </w:rPr>
        <w:t xml:space="preserve">(cf. Baucom 2005; Byrd 2011; Williams 1944). </w:t>
      </w:r>
      <w:r w:rsidRPr="004A02BC">
        <w:rPr>
          <w:rStyle w:val="Emphasis"/>
        </w:rPr>
        <w:t>Foucault’s origin story for biopower remains sanitized of colonial domination and violence</w:t>
      </w:r>
      <w:r w:rsidRPr="00E41D58">
        <w:t xml:space="preserve"> </w:t>
      </w:r>
      <w:r w:rsidRPr="006D65BF">
        <w:rPr>
          <w:sz w:val="16"/>
        </w:rPr>
        <w:t xml:space="preserve">(Mignolo 2015, 107, see also da Silva 2015; Stoler 1995; Weheliye 2014a; Wynter 2003). As a result, while Foucault </w:t>
      </w:r>
      <w:r w:rsidRPr="00726082">
        <w:rPr>
          <w:sz w:val="16"/>
        </w:rPr>
        <w:t>acknowledged a racial economy of life to be protected versus life to be 5 eliminated,</w:t>
      </w:r>
      <w:r w:rsidRPr="00726082">
        <w:rPr>
          <w:rStyle w:val="StyleUnderline"/>
        </w:rPr>
        <w:t xml:space="preserve"> he </w:t>
      </w:r>
      <w:r w:rsidRPr="004A02BC">
        <w:rPr>
          <w:rStyle w:val="Emphasis"/>
        </w:rPr>
        <w:t>could only see race as a sorting process after the fact of the establishment of biopower</w:t>
      </w:r>
      <w:r w:rsidRPr="00726082">
        <w:rPr>
          <w:rStyle w:val="StyleUnderline"/>
        </w:rPr>
        <w:t xml:space="preserve">. In contrast, Black, Indigenous, Decolonial and Postcolonial studies scholars have pointed out that </w:t>
      </w:r>
      <w:r w:rsidRPr="004A02BC">
        <w:rPr>
          <w:rStyle w:val="Emphasis"/>
        </w:rPr>
        <w:t>racism is fundamental to the idea of the human that formed the basis for biopower</w:t>
      </w:r>
      <w:r w:rsidRPr="00726082">
        <w:rPr>
          <w:rStyle w:val="StyleUnderline"/>
        </w:rPr>
        <w:t xml:space="preserve">. People indigenous to the Americas and the African continent not only supplied unpaid land and labour, but also </w:t>
      </w:r>
      <w:r w:rsidRPr="006D65BF">
        <w:rPr>
          <w:rStyle w:val="Emphasis"/>
        </w:rPr>
        <w:t>acted as foils against which the meaning of ‘humanity’ emerged</w:t>
      </w:r>
      <w:r w:rsidRPr="00E41D58">
        <w:t xml:space="preserve"> </w:t>
      </w:r>
      <w:r w:rsidRPr="006D65BF">
        <w:rPr>
          <w:sz w:val="16"/>
        </w:rPr>
        <w:t xml:space="preserve">(Wynter 2003, 291; see also Byrd 2011; da Silva 2007; Hartman 1997; Spillers 1987; Wilderson 2010). </w:t>
      </w:r>
      <w:r w:rsidRPr="003A1AA1">
        <w:rPr>
          <w:rStyle w:val="StyleUnderline"/>
        </w:rPr>
        <w:t>Racist, colonial discourses constructed Europeans as racially ‘pure’ and cast Black people as the “bottom marker” of a “human scale of being”</w:t>
      </w:r>
      <w:r w:rsidRPr="00E41D58">
        <w:t xml:space="preserve"> (Wynter 2003, 308- 309). </w:t>
      </w:r>
      <w:r w:rsidRPr="003A1AA1">
        <w:rPr>
          <w:rStyle w:val="StyleUnderline"/>
        </w:rPr>
        <w:t>Racial chattel slavery should be acknowledged as “infinitely more severe than exploitation and alienation”</w:t>
      </w:r>
      <w:r w:rsidRPr="00E41D58">
        <w:t xml:space="preserve"> </w:t>
      </w:r>
      <w:r w:rsidRPr="006D65BF">
        <w:rPr>
          <w:sz w:val="16"/>
        </w:rPr>
        <w:t xml:space="preserve">(Wilderson 2010, 9) </w:t>
      </w:r>
      <w:r w:rsidRPr="003A1AA1">
        <w:rPr>
          <w:rStyle w:val="StyleUnderline"/>
        </w:rPr>
        <w:t>since the Master/Slave relationship is not ‘simply’ characterized by theft of labour but by fungibility and gratuitous (not merely instrumental) violence</w:t>
      </w:r>
      <w:r w:rsidRPr="00E41D58">
        <w:t xml:space="preserve"> </w:t>
      </w:r>
      <w:r w:rsidRPr="006D65BF">
        <w:rPr>
          <w:sz w:val="16"/>
        </w:rPr>
        <w:t>(Hartman 1997; Wilderson 2010</w:t>
      </w:r>
      <w:r w:rsidRPr="003A1AA1">
        <w:rPr>
          <w:rStyle w:val="StyleUnderline"/>
        </w:rPr>
        <w:t>). In sum, the Middle Passage turned people from the African continent into things. Ontologically speaking, the slave is socially dead, mere flesh and thus structurally defined out of subjectivity</w:t>
      </w:r>
      <w:r w:rsidRPr="00E41D58">
        <w:t xml:space="preserve"> </w:t>
      </w:r>
      <w:r w:rsidRPr="006D65BF">
        <w:rPr>
          <w:sz w:val="16"/>
        </w:rPr>
        <w:t>(Patterson 1982, Spillers 2003, Wilderson 2010; in IR, see Agathangelou 2010b, Richter-Montpetit 2014a, 2014b).</w:t>
      </w:r>
      <w:r w:rsidRPr="00E41D58">
        <w:t xml:space="preserve"> </w:t>
      </w:r>
      <w:r w:rsidRPr="003A1AA1">
        <w:rPr>
          <w:rStyle w:val="StyleUnderline"/>
        </w:rPr>
        <w:t xml:space="preserve">The significance of this is not merely that some racialized subjects are deemed ineligible for biopolitics and thus subject to gratuitous, sovereign or necropolitical violence. Rather, it is that the </w:t>
      </w:r>
      <w:r w:rsidRPr="00B6245B">
        <w:rPr>
          <w:rStyle w:val="Emphasis"/>
        </w:rPr>
        <w:t>political ontology of ‘humanity’ that sits at the core of the birth of biopower is “parasitic on the Black”</w:t>
      </w:r>
      <w:r w:rsidRPr="00B6245B">
        <w:rPr>
          <w:sz w:val="16"/>
        </w:rPr>
        <w:t xml:space="preserve"> (Wilderson 2010, 22).</w:t>
      </w:r>
      <w:r w:rsidRPr="00B6245B">
        <w:rPr>
          <w:rStyle w:val="StyleUnderline"/>
          <w:sz w:val="16"/>
        </w:rPr>
        <w:t xml:space="preserve"> </w:t>
      </w:r>
      <w:r w:rsidRPr="003A1AA1">
        <w:rPr>
          <w:rStyle w:val="StyleUnderline"/>
        </w:rPr>
        <w:t xml:space="preserve">Foucault’s oversight in this regard is not only to </w:t>
      </w:r>
      <w:r w:rsidRPr="00B6245B">
        <w:rPr>
          <w:rStyle w:val="Emphasis"/>
        </w:rPr>
        <w:t>misconstrue the history of biopower, but also its present expressions</w:t>
      </w:r>
      <w:r w:rsidRPr="003A1AA1">
        <w:rPr>
          <w:rStyle w:val="StyleUnderline"/>
        </w:rPr>
        <w:t>. These dynamics are not merely a thing of the past. Rather, racial chattel slavery animated “a measure of man and a ranking of life and worth that has yet to be undone”</w:t>
      </w:r>
      <w:r w:rsidRPr="00E41D58">
        <w:t xml:space="preserve"> </w:t>
      </w:r>
      <w:r w:rsidRPr="00B6245B">
        <w:rPr>
          <w:sz w:val="16"/>
        </w:rPr>
        <w:t xml:space="preserve">(Hartman </w:t>
      </w:r>
      <w:r w:rsidRPr="00B6245B">
        <w:rPr>
          <w:sz w:val="14"/>
        </w:rPr>
        <w:t>2007, 6). In this context</w:t>
      </w:r>
      <w:r w:rsidRPr="003A1AA1">
        <w:rPr>
          <w:rStyle w:val="StyleUnderline"/>
        </w:rPr>
        <w:t xml:space="preserve">, Foucault’s </w:t>
      </w:r>
      <w:r w:rsidRPr="00B6245B">
        <w:rPr>
          <w:rStyle w:val="Emphasis"/>
        </w:rPr>
        <w:t>reliance on the idea of an unspecified (White) body</w:t>
      </w:r>
      <w:r w:rsidRPr="003A1AA1">
        <w:rPr>
          <w:rStyle w:val="StyleUnderline"/>
        </w:rPr>
        <w:t xml:space="preserve"> </w:t>
      </w:r>
      <w:r w:rsidRPr="00B6245B">
        <w:rPr>
          <w:sz w:val="16"/>
        </w:rPr>
        <w:t xml:space="preserve">(Holland 2012, 11) </w:t>
      </w:r>
      <w:r w:rsidRPr="003A1AA1">
        <w:rPr>
          <w:rStyle w:val="StyleUnderline"/>
        </w:rPr>
        <w:t xml:space="preserve">or ‘human’ </w:t>
      </w:r>
      <w:r w:rsidRPr="00B6245B">
        <w:rPr>
          <w:rStyle w:val="Emphasis"/>
        </w:rPr>
        <w:t>limits his ability to analyse, not only the colonial sphere, but also the internal power dynamics of the West</w:t>
      </w:r>
      <w:r w:rsidRPr="003A1AA1">
        <w:rPr>
          <w:rStyle w:val="StyleUnderline"/>
        </w:rPr>
        <w:t>. Foucault influentially claimed that, under biopolitics, torture and spectacular corporeal punishment had become superfluous. However, state practices of violent cruelty, including in public, remain critical to the production and management of populations deemed to lie outside the category of ‘human’ and the reach of rehabilitation. In particular, when dealing with (racialized, colonized, sub-human) populations subjected to detention or incarceration, state-administered spectacular forms of corporeal punishment, such as police beatings, rape, shock treatments, and death row, remain common</w:t>
      </w:r>
      <w:r w:rsidRPr="00E41D58">
        <w:t xml:space="preserve"> </w:t>
      </w:r>
      <w:r w:rsidRPr="003A1AA1">
        <w:rPr>
          <w:sz w:val="16"/>
        </w:rPr>
        <w:t xml:space="preserve">(James 1996, 34; as cited in Rodríguez 2006, 160; see also Ben-Moshe 2014; Davis 2002; Gilmore 2007; James 1998, 2000, 2007; Khalili 2012; Nadesan 2008; Puar 2017; Richter-Montpetit 2014b; Tanis et al, 2018; Rodríguez 2006, 2007; Vargas and Alves 2013; Wadiwel 2017). </w:t>
      </w:r>
      <w:r w:rsidRPr="003A1AA1">
        <w:rPr>
          <w:rStyle w:val="StyleUnderline"/>
        </w:rPr>
        <w:t xml:space="preserve">It is precisely Foucault’s </w:t>
      </w:r>
      <w:r w:rsidRPr="00B6245B">
        <w:rPr>
          <w:rStyle w:val="Emphasis"/>
        </w:rPr>
        <w:t>bracketing of the racial constitution of the human that made it possible for him to sanitize state repression in his account of modern biopower</w:t>
      </w:r>
      <w:r w:rsidRPr="00E41D58">
        <w:t xml:space="preserve"> (James 1996, 28). </w:t>
      </w:r>
      <w:r w:rsidRPr="003A1AA1">
        <w:rPr>
          <w:rStyle w:val="StyleUnderline"/>
        </w:rPr>
        <w:t xml:space="preserve">Foucault’s </w:t>
      </w:r>
      <w:r w:rsidRPr="00837BB2">
        <w:rPr>
          <w:rStyle w:val="Emphasis"/>
        </w:rPr>
        <w:t>failure to engage with these histories cannot be dismissed as mere oversight</w:t>
      </w:r>
      <w:r w:rsidRPr="003A1AA1">
        <w:rPr>
          <w:sz w:val="16"/>
        </w:rPr>
        <w:t>. As Heiner (2007) has traced,</w:t>
      </w:r>
      <w:r w:rsidRPr="00E41D58">
        <w:t xml:space="preserve"> </w:t>
      </w:r>
      <w:r w:rsidRPr="00267837">
        <w:rPr>
          <w:sz w:val="16"/>
        </w:rPr>
        <w:t>significant elements of Foucault’s reconceptualization of modern power came out of his anti-prison activism and engagement with the Black Panther Party 6 (BPP). BPP political thought described the US domestic social fabric as shot through with inter-national relations of war. Conceptualizing the US state’s relationship to Black people as one of internal colonialism (“a stolen people on stolen land”), the BPP theorized the concomitant continuities between politics and war for Black people and the central role of the prison in this White supremacist order</w:t>
      </w:r>
      <w:r w:rsidRPr="00267837">
        <w:rPr>
          <w:rStyle w:val="StyleUnderline"/>
        </w:rPr>
        <w:t>. The writings and speeches of Angela Davis, George Jackson and Huey P. Newton led Foucault towards conceptualizing power through the analytic of war. Yet Foucault failed to ever cite or make explicit reference to the BPP in his published works</w:t>
      </w:r>
      <w:r w:rsidRPr="00E41D58">
        <w:t xml:space="preserve"> (Heiner 2007, 343). In sum</w:t>
      </w:r>
      <w:r w:rsidRPr="00267837">
        <w:rPr>
          <w:rStyle w:val="StyleUnderline"/>
        </w:rPr>
        <w:t>, while racism and colonialism are not absent in Foucault’s work on biopolitics and war, he fails to comprehend “the colonial global”</w:t>
      </w:r>
      <w:r w:rsidRPr="00E41D58">
        <w:t xml:space="preserve"> (Bhambra 2013, 309) - </w:t>
      </w:r>
      <w:r w:rsidRPr="00267837">
        <w:rPr>
          <w:rStyle w:val="StyleUnderline"/>
        </w:rPr>
        <w:t>the entwined, constitutive relations between social, political and economic processes and actors in Europe and the colonies, and the concomitant fundamental raciality and coloniality of the modern subject. He whitewashes not only the role of racial-sexual terror, plunder and occupation in the making of ‘modernity/coloniality’</w:t>
      </w:r>
      <w:r w:rsidRPr="00E41D58">
        <w:t xml:space="preserve"> (Quijano 2000</w:t>
      </w:r>
      <w:r w:rsidRPr="00267837">
        <w:rPr>
          <w:rStyle w:val="StyleUnderline"/>
        </w:rPr>
        <w:t xml:space="preserve">), but also the stubborn persistence of racialized relations in the postcolonial/settler colonial present. Foucault’s </w:t>
      </w:r>
      <w:r w:rsidRPr="00837BB2">
        <w:rPr>
          <w:rStyle w:val="Emphasis"/>
        </w:rPr>
        <w:t>Eurocentrism is not incidental to ‘biopolitics’, and cannot be remedied by adding colonial or racialized subjects</w:t>
      </w:r>
      <w:r w:rsidRPr="00267837">
        <w:rPr>
          <w:rStyle w:val="StyleUnderline"/>
        </w:rPr>
        <w:t>. Foucault’s reliance on an unspecified human as the object of biopolitics causes him to fundamentally misapprehend the constitutive and continuing role of genocide and enslavement in modernity/coloniality</w:t>
      </w:r>
      <w:r w:rsidRPr="00E41D58">
        <w:t xml:space="preserve">. </w:t>
      </w:r>
      <w:r w:rsidRPr="00267837">
        <w:rPr>
          <w:sz w:val="16"/>
        </w:rPr>
        <w:t>We turn now to an assessment of whether these problems are overcome or replicated in the FSS literature on liberal war.</w:t>
      </w:r>
    </w:p>
    <w:p w:rsidR="002C4979" w:rsidRDefault="002C4979" w:rsidP="00BF1B56">
      <w:pPr>
        <w:pStyle w:val="Heading3"/>
      </w:pPr>
      <w:r>
        <w:t>Bioterror/AMR Links</w:t>
      </w:r>
    </w:p>
    <w:p w:rsidR="002C4979" w:rsidRPr="00987848" w:rsidRDefault="002C4979" w:rsidP="002C4979">
      <w:pPr>
        <w:pStyle w:val="Heading4"/>
        <w:rPr>
          <w:rStyle w:val="Style13ptBold"/>
          <w:b/>
          <w:bCs w:val="0"/>
        </w:rPr>
      </w:pPr>
      <w:r>
        <w:rPr>
          <w:rStyle w:val="Style13ptBold"/>
          <w:b/>
          <w:bCs w:val="0"/>
        </w:rPr>
        <w:t>Bioweapons and AMR are methods of expanding colonialism and oppressing Indigenous peoples</w:t>
      </w:r>
    </w:p>
    <w:p w:rsidR="002C4979" w:rsidRPr="00B13BEF" w:rsidRDefault="002C4979" w:rsidP="002C4979">
      <w:pPr>
        <w:rPr>
          <w:rStyle w:val="Style13ptBold"/>
          <w:b w:val="0"/>
          <w:bCs w:val="0"/>
          <w:i/>
          <w:iCs/>
          <w:sz w:val="22"/>
        </w:rPr>
      </w:pPr>
      <w:r>
        <w:rPr>
          <w:rStyle w:val="Style13ptBold"/>
        </w:rPr>
        <w:t xml:space="preserve">Suleiman 23 </w:t>
      </w:r>
      <w:r>
        <w:rPr>
          <w:rStyle w:val="Style13ptBold"/>
          <w:b w:val="0"/>
          <w:bCs w:val="0"/>
          <w:sz w:val="22"/>
        </w:rPr>
        <w:t xml:space="preserve">(Mehin Suleiman To the Department of Hispanic Studies In partial fulfillment of the requirements for Honors &amp; CISLA SIP Connecticut College New London, Connecticut, “Genetic Capitalism: The Anthropological Evolution of Antibiotic Resistant Bacteria”, https://digitalcommons.conncoll.edu/cgi/viewcontent.cgi?article=1008&amp;context=hisphp) </w:t>
      </w:r>
    </w:p>
    <w:p w:rsidR="002C4979" w:rsidRPr="00FE1C8E" w:rsidRDefault="002C4979" w:rsidP="002C4979">
      <w:pPr>
        <w:rPr>
          <w:rStyle w:val="Emphasis"/>
        </w:rPr>
      </w:pPr>
      <w:r w:rsidRPr="00591F42">
        <w:rPr>
          <w:sz w:val="14"/>
        </w:rPr>
        <w:t xml:space="preserve">When analyzing the complex role that warfare plays in our collective history, </w:t>
      </w:r>
      <w:r w:rsidRPr="00A80387">
        <w:rPr>
          <w:rStyle w:val="StyleUnderline"/>
        </w:rPr>
        <w:t xml:space="preserve">the role of biological warfare is often overlooked. Within the overwhelming instances of medical imperialism in human history, the </w:t>
      </w:r>
      <w:r w:rsidRPr="00591F42">
        <w:rPr>
          <w:rStyle w:val="Emphasis"/>
        </w:rPr>
        <w:t>protagonists in social explanations of colonial events are always human (Jansen, 2014). This is not to say that the historical and social analysis of colonialism necessarily ignores disease, agriculture, chemicals, or technology</w:t>
      </w:r>
      <w:r w:rsidRPr="00A80387">
        <w:rPr>
          <w:rStyle w:val="StyleUnderline"/>
        </w:rPr>
        <w:t>, but that these are 24 considered as “external” factors — nature, tools, obstacles, resources – whose role is essentially considered to be passive in the greater scheme of geopolitical conflict</w:t>
      </w:r>
      <w:r w:rsidRPr="00591F42">
        <w:rPr>
          <w:sz w:val="14"/>
        </w:rPr>
        <w:t xml:space="preserve"> (Smithers, 2014). Yes, perhaps the Plasmodium falciparum that used the bodies of mosquitoes as a vehicle for infection during World War I simply interacted with the activities of their human agents, and nothing more. But they do, indeed, simultaneously make possible a variety of social and historical processes</w:t>
      </w:r>
      <w:r w:rsidRPr="00A47589">
        <w:rPr>
          <w:rStyle w:val="StyleUnderline"/>
        </w:rPr>
        <w:t xml:space="preserve">. Furthermore, advances in immunology show that human cells must actually cooperate with the bacteria that enters the body: immunity turns out to be a conversation between bodies and microbes. In this sense, disease becomes a relationship between pathogens and humans, and consequently, the trafficking of bacteria and other pathogens across land and oceans become political players in human history. </w:t>
      </w:r>
      <w:r w:rsidRPr="00591F42">
        <w:rPr>
          <w:rStyle w:val="Emphasis"/>
        </w:rPr>
        <w:t>This requires us to expand our definition of genocide, widening our understanding of the term to a greater interpretation of what harm and violence can look like. To do so, we must understand genocide as a sliding continuum that ranges from everyday practices to organized mass murd</w:t>
      </w:r>
      <w:r w:rsidRPr="00A47589">
        <w:rPr>
          <w:rStyle w:val="StyleUnderline"/>
        </w:rPr>
        <w:t>er. There is a juxtaposition of our understanding of genocides — we often conceptualize them as singular events that are irrefutably intentional and violent</w:t>
      </w:r>
      <w:r w:rsidRPr="00591F42">
        <w:rPr>
          <w:sz w:val="14"/>
        </w:rPr>
        <w:t xml:space="preserve"> (i.e the Holocaust, Armenian genocide, etc.) Though historical analyses of many colonial and imperial wars indicate that a more sinister end of this “sliding spectrum” exists. Biowarfare According to Norbert Finzsch, </w:t>
      </w:r>
      <w:r w:rsidRPr="00A47589">
        <w:rPr>
          <w:rStyle w:val="StyleUnderline"/>
        </w:rPr>
        <w:t>“historical phenomena which are commonly called genocides rest upon invisible everyday practices that do not appear on the radar of transgressions, forming different plateaus of a rhizomatic expansion, called settler imperialism</w:t>
      </w:r>
      <w:r w:rsidRPr="00591F42">
        <w:rPr>
          <w:sz w:val="14"/>
        </w:rPr>
        <w:t xml:space="preserve">” (Finzsch, 2008). Essentially, he </w:t>
      </w:r>
      <w:r w:rsidRPr="00FE1C8E">
        <w:rPr>
          <w:rStyle w:val="Emphasis"/>
        </w:rPr>
        <w:t>makes a case that “low intensity” war against the indigenous populations through utilizing biological methods to drive away, decimate, or annihilate indigenous populations is still a form of organized method of warfare, but historical narratives tend to ignore or downplay their violence</w:t>
      </w:r>
      <w:r w:rsidRPr="00A47589">
        <w:rPr>
          <w:rStyle w:val="StyleUnderline"/>
        </w:rPr>
        <w:t>, as the violence can be attributed to “external” factors (</w:t>
      </w:r>
      <w:r w:rsidRPr="00591F42">
        <w:rPr>
          <w:sz w:val="14"/>
        </w:rPr>
        <w:t>i.e. pathogenic infections, environmental factors, innate immunity, etc.). Bio-power, which is a concept developed by Michel Foucault and later redefined by Giorgio Agamben, was first conceived as the type of k</w:t>
      </w:r>
      <w:r>
        <w:rPr>
          <w:sz w:val="14"/>
        </w:rPr>
        <w:t>A</w:t>
      </w:r>
      <w:r w:rsidRPr="00591F42">
        <w:rPr>
          <w:sz w:val="14"/>
        </w:rPr>
        <w:t xml:space="preserve">nowledge that would help the maximization of life. Bio-power, Foucault argued, emerged initially with the movement towards improved health in the course of the eighteenth and nineteenth centuries. Foucault stated, “Death was gradually ceasing to torment life so directly [...]. Western man was gradually learning what it meant to be a living species in a living world, to have a body, conditions of existence, probabilities of life [...]. For the first time in history no doubt, biological existence was reflected in political existence; the fact of living was no longer an inaccessible substrate that only emerged from time to time, amid the randomness of death and its fatality; part of it passed into knowledge’s field of control and power’s sphere of intervention” (Foucault, 1978). This bio-power is not only exercised over the individual body, but also over the body of groups and larger communities, through the medical control of its vitality (e.g. reproduction, mortality, health, etc.) </w:t>
      </w:r>
      <w:r w:rsidRPr="00A47589">
        <w:rPr>
          <w:rStyle w:val="StyleUnderline"/>
        </w:rPr>
        <w:t xml:space="preserve">— that is to say legislative or governmental control, and regulation of populations. Thus, if we take into consideration the time period in which the initiation of </w:t>
      </w:r>
      <w:r w:rsidRPr="00FE1C8E">
        <w:rPr>
          <w:rStyle w:val="Emphasis"/>
        </w:rPr>
        <w:t>bio-power is situated, bio-power simply becomes the continuation of war in relation to race – it includes the possibility of not only destroying a political foe, but also to destroy an adversary race as a whole.</w:t>
      </w:r>
      <w:r w:rsidRPr="00A47589">
        <w:rPr>
          <w:rStyle w:val="StyleUnderline"/>
        </w:rPr>
        <w:t xml:space="preserve"> In Jansen’s anthropological model of biowarfare, human behavior can affect disease transmission in four areas</w:t>
      </w:r>
      <w:r w:rsidRPr="00591F42">
        <w:rPr>
          <w:sz w:val="14"/>
        </w:rPr>
        <w:t xml:space="preserve">: (a) exposure to the agent, (b) shedding of the disease agent from an infected human host, (c) creation of man-made habitats in which the transmission cycle can be completed, and (d) diffusion of the transmission system from one place to another. </w:t>
      </w:r>
      <w:r w:rsidRPr="00A47589">
        <w:rPr>
          <w:rStyle w:val="StyleUnderline"/>
        </w:rPr>
        <w:t xml:space="preserve">Historical </w:t>
      </w:r>
      <w:r w:rsidRPr="00FE1C8E">
        <w:rPr>
          <w:rStyle w:val="Emphasis"/>
        </w:rPr>
        <w:t>findings indicate that the infection and the massacre of over 70% of the Native American population was instigated by the intentional weaponization of smallpox by European imperialists</w:t>
      </w:r>
      <w:r w:rsidRPr="00591F42">
        <w:rPr>
          <w:sz w:val="14"/>
        </w:rPr>
        <w:t xml:space="preserve"> (Stearn, 1945). Although modern medicine was still in its infancy in the early 17th century, even with the limited knowledge of the time, </w:t>
      </w:r>
      <w:r w:rsidRPr="00A47589">
        <w:rPr>
          <w:rStyle w:val="StyleUnderline"/>
        </w:rPr>
        <w:t xml:space="preserve">it is reasonable to speculate that the </w:t>
      </w:r>
      <w:r w:rsidRPr="00FE1C8E">
        <w:rPr>
          <w:rStyle w:val="Emphasis"/>
        </w:rPr>
        <w:t>European immigrants to the New World, and ultimately the Native Americans, understood that smallpox was a disease that could spread not only as a result of direct person-to-person contact, but also by clothing once worn by persons with smallpox.</w:t>
      </w:r>
      <w:r w:rsidRPr="00A47589">
        <w:rPr>
          <w:rStyle w:val="StyleUnderline"/>
        </w:rPr>
        <w:t xml:space="preserve"> The </w:t>
      </w:r>
      <w:r w:rsidRPr="00FE1C8E">
        <w:rPr>
          <w:rStyle w:val="Emphasis"/>
        </w:rPr>
        <w:t>use of biowarfare against indigenous populations is not unique to the colonization of the Americas, but has occurred throughout history in various parts of the world</w:t>
      </w:r>
      <w:r w:rsidRPr="00A47589">
        <w:rPr>
          <w:rStyle w:val="StyleUnderline"/>
        </w:rPr>
        <w:t xml:space="preserve">. The deliberate introduction of smallpox by British settlers to the Aboriginal population in Australia is one such example of the devastating impact of biowarfare on indigenous communities. This practice can be seen as an </w:t>
      </w:r>
      <w:r w:rsidRPr="00FE1C8E">
        <w:rPr>
          <w:rStyle w:val="Emphasis"/>
        </w:rPr>
        <w:t>extension of colonialism's violent project to eliminate or subjugate “othered” populations</w:t>
      </w:r>
      <w:r w:rsidRPr="00A47589">
        <w:rPr>
          <w:rStyle w:val="StyleUnderline"/>
        </w:rPr>
        <w:t xml:space="preserve">. </w:t>
      </w:r>
      <w:r w:rsidRPr="00591F42">
        <w:rPr>
          <w:sz w:val="14"/>
        </w:rPr>
        <w:t xml:space="preserve">Such biowarfare can also be seen as a means of reducing the resistance of indigenous populations to other forms of exploitation and control. </w:t>
      </w:r>
      <w:r w:rsidRPr="00A47589">
        <w:rPr>
          <w:rStyle w:val="StyleUnderline"/>
        </w:rPr>
        <w:t xml:space="preserve">The use of biowarfare, therefore, can be seen as a deliberate tool of colonialism that reflects a larger system of oppression. Biopower, as theorized by Foucault and Agamben, operates not only on individual bodies but also on the collective health of populations. </w:t>
      </w:r>
      <w:r w:rsidRPr="00FE1C8E">
        <w:rPr>
          <w:rStyle w:val="Emphasis"/>
        </w:rPr>
        <w:t>In the case of colonialism and biowarfare, this power is exerted to weaken, or eradicate the health and vitality of indigenous communities</w:t>
      </w:r>
      <w:r w:rsidRPr="00A47589">
        <w:rPr>
          <w:rStyle w:val="StyleUnderline"/>
        </w:rPr>
        <w:t xml:space="preserve">, making them more vulnerable to other forms of exploitation and control. The </w:t>
      </w:r>
      <w:r w:rsidRPr="00FE1C8E">
        <w:rPr>
          <w:rStyle w:val="Emphasis"/>
        </w:rPr>
        <w:t>regulation and control of indigenous peoples' health is also a way for colonial powers to exert their dominance and reinforce their legitimacy as benevolent caretakers of “inferior” populations</w:t>
      </w:r>
      <w:r w:rsidRPr="00A47589">
        <w:rPr>
          <w:rStyle w:val="StyleUnderline"/>
        </w:rPr>
        <w:t>. In this sense, biopower can be seen as a means of perpetuating the larger system of oppression that colonialism</w:t>
      </w:r>
      <w:r w:rsidRPr="00591F42">
        <w:rPr>
          <w:sz w:val="14"/>
        </w:rPr>
        <w:t xml:space="preserve"> 27 </w:t>
      </w:r>
      <w:r w:rsidRPr="00A47589">
        <w:rPr>
          <w:rStyle w:val="StyleUnderline"/>
        </w:rPr>
        <w:t>represents. In the 21st century</w:t>
      </w:r>
      <w:r w:rsidRPr="00FE1C8E">
        <w:rPr>
          <w:rStyle w:val="Emphasis"/>
        </w:rPr>
        <w:t>, the disproportionate impact of antibiotic resistance on marginalized communities, including indigenous populations, highlights the ongoing legacy of colonialism and systemic oppression. Indigenous children in Canada are three times more likely to be infected with antibiotic-resistant bacteria compared to non-indigenous children</w:t>
      </w:r>
      <w:r w:rsidRPr="00A47589">
        <w:rPr>
          <w:rStyle w:val="StyleUnderline"/>
        </w:rPr>
        <w:t xml:space="preserve">. This underscores the need to not only address the scientific and medical aspects of antibiotic resistance, but </w:t>
      </w:r>
      <w:r w:rsidRPr="00FE1C8E">
        <w:rPr>
          <w:rStyle w:val="Emphasis"/>
        </w:rPr>
        <w:t xml:space="preserve">also the social and political factors that perpetuate health disparities. The impact of antibiotic resistance on marginalized communities is indicative of a larger system of oppression that has perpetuated health disparities for generations. </w:t>
      </w:r>
    </w:p>
    <w:p w:rsidR="002C4979" w:rsidRPr="00591F42" w:rsidRDefault="002C4979" w:rsidP="002C4979">
      <w:pPr>
        <w:rPr>
          <w:sz w:val="14"/>
        </w:rPr>
      </w:pPr>
    </w:p>
    <w:p w:rsidR="002C4979" w:rsidRPr="002C4979" w:rsidRDefault="002C4979" w:rsidP="002C4979"/>
    <w:p w:rsidR="00BF1B56" w:rsidRDefault="00BF1B56" w:rsidP="00BF1B56">
      <w:pPr>
        <w:pStyle w:val="Heading3"/>
      </w:pPr>
      <w:r>
        <w:t xml:space="preserve">Genomic Governmentality </w:t>
      </w:r>
    </w:p>
    <w:p w:rsidR="00BF1B56" w:rsidRDefault="00BF1B56" w:rsidP="00BF1B56">
      <w:pPr>
        <w:pStyle w:val="Heading4"/>
      </w:pPr>
      <w:r>
        <w:t xml:space="preserve">The 1AC’s theorization of governmentality over genetic data through emerging life science industries adopts a post-racial framework that seeks to uproot the historical and ontological basis of race and settler colonialism despite their structuring of biocapitalist procedures  </w:t>
      </w:r>
    </w:p>
    <w:p w:rsidR="00BF1B56" w:rsidRPr="00713C7C" w:rsidRDefault="00BF1B56" w:rsidP="00BF1B56">
      <w:pPr>
        <w:rPr>
          <w:b/>
          <w:bCs/>
          <w:sz w:val="26"/>
        </w:rPr>
      </w:pPr>
      <w:r w:rsidRPr="006A337B">
        <w:rPr>
          <w:b/>
          <w:bCs/>
          <w:sz w:val="26"/>
        </w:rPr>
        <w:t>Richter-Montpetit</w:t>
      </w:r>
      <w:r>
        <w:rPr>
          <w:b/>
          <w:bCs/>
          <w:sz w:val="26"/>
        </w:rPr>
        <w:t xml:space="preserve"> &amp; Howell 19 </w:t>
      </w:r>
      <w:r w:rsidRPr="00E82DE6">
        <w:t>(</w:t>
      </w:r>
      <w:r w:rsidRPr="005C4673">
        <w:t>Melanie Richter-Montpetit</w:t>
      </w:r>
      <w:r>
        <w:t xml:space="preserve">, </w:t>
      </w:r>
      <w:r w:rsidRPr="009B2860">
        <w:t>Senior Lecturer in International Security</w:t>
      </w:r>
      <w:r>
        <w:t xml:space="preserve"> at University of Sussex, Alison Howell </w:t>
      </w:r>
      <w:r w:rsidRPr="00476992">
        <w:t>Assistant Professor of Political Science at Rutgers University</w:t>
      </w:r>
      <w:r>
        <w:t>; “</w:t>
      </w:r>
      <w:r w:rsidRPr="00426CB7">
        <w:t>Racism in Foucauldian Security Studies: Biopolitics, Liberal War and the Whitewashing of colonial and racial violence</w:t>
      </w:r>
      <w:r>
        <w:t xml:space="preserve">”; March, 2019; </w:t>
      </w:r>
      <w:r w:rsidRPr="007B62BF">
        <w:t>https://academic.oup.com/ips/article-abstract/13/1/2/5265732?redirectedFrom=fulltext</w:t>
      </w:r>
      <w:r>
        <w:t>) - EY</w:t>
      </w:r>
    </w:p>
    <w:p w:rsidR="00BF1B56" w:rsidRPr="008C4F86" w:rsidRDefault="00BF1B56" w:rsidP="00BF1B56">
      <w:pPr>
        <w:rPr>
          <w:sz w:val="16"/>
        </w:rPr>
      </w:pPr>
      <w:r w:rsidRPr="00713C7C">
        <w:rPr>
          <w:rStyle w:val="StyleUnderline"/>
        </w:rPr>
        <w:t xml:space="preserve">FSS’s </w:t>
      </w:r>
      <w:r w:rsidRPr="008C4F86">
        <w:rPr>
          <w:rStyle w:val="Emphasis"/>
        </w:rPr>
        <w:t>undertheorization of racism and colonialism also produces inaccurate genealogies of (life) sciences and technologies</w:t>
      </w:r>
      <w:r w:rsidRPr="00713C7C">
        <w:rPr>
          <w:rStyle w:val="StyleUnderline"/>
        </w:rPr>
        <w:t>, most strikingly regarding the so-called digital and molecular revolutions.</w:t>
      </w:r>
      <w:r w:rsidRPr="00E41D58">
        <w:t xml:space="preserve"> </w:t>
      </w:r>
      <w:r w:rsidRPr="00713C7C">
        <w:rPr>
          <w:rStyle w:val="StyleUnderline"/>
        </w:rPr>
        <w:t xml:space="preserve">FSS scholars of these revolutions purport to update Foucault for “the age of life as information” </w:t>
      </w:r>
      <w:r w:rsidRPr="00713C7C">
        <w:rPr>
          <w:sz w:val="16"/>
        </w:rPr>
        <w:t xml:space="preserve">(Dillon and Reid 2009, 106) </w:t>
      </w:r>
      <w:r w:rsidRPr="00713C7C">
        <w:rPr>
          <w:rStyle w:val="StyleUnderline"/>
        </w:rPr>
        <w:t>and to describe epochal breaks in scientific understandings of life, corresponding with an equally epochal shift from a biopolitics of scientific racism to a new post-racial form of biopolitics</w:t>
      </w:r>
      <w:r w:rsidRPr="00E41D58">
        <w:t xml:space="preserve">. </w:t>
      </w:r>
      <w:r w:rsidRPr="00713C7C">
        <w:rPr>
          <w:sz w:val="16"/>
        </w:rPr>
        <w:t xml:space="preserve">However, they do so without any serious attention to Foucault’s post-colonial critics, or any serious inquiry into lines of continuity between White supremacist scientific racism and these digital and molecular ‘revolutions’. Thus for instance Dillon and Lobo-Guerrero (2008, 273) argue that </w:t>
      </w:r>
      <w:r w:rsidRPr="001C0642">
        <w:rPr>
          <w:rStyle w:val="StyleUnderline"/>
        </w:rPr>
        <w:t>“biopolitics is critically dependent, epistemically and ontologically, on what the sciences of life say that species life is”. As such, “[i]n the molecular age life is no longer simply the life of population as Foucault documented... because molecular science has transformed what we understand a living thing to be”</w:t>
      </w:r>
      <w:r w:rsidRPr="00E41D58">
        <w:t xml:space="preserve"> </w:t>
      </w:r>
      <w:r w:rsidRPr="001C0642">
        <w:rPr>
          <w:sz w:val="16"/>
        </w:rPr>
        <w:t xml:space="preserve">(Dillon and Lobo-Guerrero 2008, 286). Dillon and Reid similarly claim to trace shifting notions of life. </w:t>
      </w:r>
      <w:r w:rsidRPr="001C0642">
        <w:rPr>
          <w:rStyle w:val="StyleUnderline"/>
        </w:rPr>
        <w:t>They assert that over the past five decades “the very ontology of biological life has shifted to the ground of ‘information’”</w:t>
      </w:r>
      <w:r w:rsidRPr="00E41D58">
        <w:t xml:space="preserve"> </w:t>
      </w:r>
      <w:r w:rsidRPr="001C0642">
        <w:rPr>
          <w:sz w:val="16"/>
        </w:rPr>
        <w:t xml:space="preserve">(Dillon and Reid 2009, 22) </w:t>
      </w:r>
      <w:r w:rsidRPr="001C0642">
        <w:rPr>
          <w:rStyle w:val="StyleUnderline"/>
        </w:rPr>
        <w:t>and that distinctions between animate and inanimate, biological and non-biological “have been newly construed and problematized”</w:t>
      </w:r>
      <w:r w:rsidRPr="00E41D58">
        <w:t xml:space="preserve"> </w:t>
      </w:r>
      <w:r w:rsidRPr="001C0642">
        <w:rPr>
          <w:sz w:val="16"/>
        </w:rPr>
        <w:t>(Dillon and Reid, 2009, 22). Though much of this is derivative of Ian Hacking and Nikolas Rose’s work, attention to the digital and molecular has particular impacts in the international and security fields.</w:t>
      </w:r>
      <w:r w:rsidRPr="00E41D58">
        <w:t xml:space="preserve"> </w:t>
      </w:r>
      <w:r w:rsidRPr="001C0642">
        <w:rPr>
          <w:rStyle w:val="StyleUnderline"/>
        </w:rPr>
        <w:t>According to Dillon and Reid</w:t>
      </w:r>
      <w:r w:rsidRPr="001C0642">
        <w:rPr>
          <w:sz w:val="16"/>
        </w:rPr>
        <w:t xml:space="preserve"> (2009, 22), </w:t>
      </w:r>
      <w:r w:rsidRPr="001C0642">
        <w:rPr>
          <w:rStyle w:val="StyleUnderline"/>
        </w:rPr>
        <w:t>digital and molecular ‘reproblematizations’ of life have impacted the biopolitical strategies of liberal internationalism: “[t]he very space of enmity is itself re-problematized. Who is dangerous, what is dangerous, how things become dangerous are all transformed”</w:t>
      </w:r>
      <w:r w:rsidRPr="00E41D58">
        <w:t xml:space="preserve"> </w:t>
      </w:r>
      <w:r w:rsidRPr="001C0642">
        <w:rPr>
          <w:sz w:val="16"/>
        </w:rPr>
        <w:t xml:space="preserve">(Dillon and Reid 2009, 107). </w:t>
      </w:r>
      <w:r w:rsidRPr="001C0642">
        <w:rPr>
          <w:rStyle w:val="StyleUnderline"/>
        </w:rPr>
        <w:t xml:space="preserve">This has apparently resulted in a shift from scientific racism to ‘new racism’ with an emphasis on cultural difference rather than biological hierarchies. FSS’s </w:t>
      </w:r>
      <w:r w:rsidRPr="008C4F86">
        <w:rPr>
          <w:rStyle w:val="Emphasis"/>
        </w:rPr>
        <w:t>ability to examine how science has shaped the biopolitical strategies of security and liberal internationalism is limited by its persistent Eurocentrism and undertheorization of race. Societal notions of ‘life’ are treated as interchangeable with the life sciences’ supposedly post-racial understanding of life as generic data</w:t>
      </w:r>
      <w:r w:rsidRPr="000B4A06">
        <w:rPr>
          <w:rStyle w:val="StyleUnderline"/>
        </w:rPr>
        <w:t xml:space="preserve">. This </w:t>
      </w:r>
      <w:r w:rsidRPr="008C4F86">
        <w:rPr>
          <w:rStyle w:val="Emphasis"/>
        </w:rPr>
        <w:t>fails to engage with either the ingrained (settler) coloniality of technoscience</w:t>
      </w:r>
      <w:r w:rsidRPr="000B4A06">
        <w:rPr>
          <w:rStyle w:val="StyleUnderline"/>
        </w:rPr>
        <w:t xml:space="preserve"> or the stubborn (and institutionalized) 2 As well as those deemed Jewish under the racist Nuremberg ‘race’ laws. 13 persistence of broader structures of White supremacy and antiblackness.</w:t>
      </w:r>
      <w:r w:rsidRPr="00E41D58">
        <w:t xml:space="preserve"> </w:t>
      </w:r>
      <w:r w:rsidRPr="000B4A06">
        <w:rPr>
          <w:sz w:val="16"/>
        </w:rPr>
        <w:t xml:space="preserve">This has serious empirical implications. For instance, </w:t>
      </w:r>
      <w:r w:rsidRPr="000B4A06">
        <w:rPr>
          <w:rStyle w:val="StyleUnderline"/>
        </w:rPr>
        <w:t xml:space="preserve">Dillon’s discussion of ‘new’ risk analysis and biometrics </w:t>
      </w:r>
      <w:r w:rsidRPr="008C4F86">
        <w:rPr>
          <w:rStyle w:val="Emphasis"/>
        </w:rPr>
        <w:t>does not consider how these security technologies have been designed to police enslaved populations and surveille Black people</w:t>
      </w:r>
      <w:r w:rsidRPr="000B4A06">
        <w:rPr>
          <w:rStyle w:val="StyleUnderline"/>
        </w:rPr>
        <w:t xml:space="preserve"> </w:t>
      </w:r>
      <w:r w:rsidRPr="000B4A06">
        <w:rPr>
          <w:sz w:val="16"/>
        </w:rPr>
        <w:t xml:space="preserve">(cf. Browne 2015), </w:t>
      </w:r>
      <w:r w:rsidRPr="000B4A06">
        <w:rPr>
          <w:rStyle w:val="StyleUnderline"/>
        </w:rPr>
        <w:t>as part of a long-standing legacy of colonial techniques of ‘identity dominance’</w:t>
      </w:r>
      <w:r w:rsidRPr="00E41D58">
        <w:t xml:space="preserve"> </w:t>
      </w:r>
      <w:r w:rsidRPr="000B4A06">
        <w:rPr>
          <w:sz w:val="16"/>
        </w:rPr>
        <w:t xml:space="preserve">(Bell 2013). Similarly, </w:t>
      </w:r>
      <w:r w:rsidRPr="000B4A06">
        <w:rPr>
          <w:rStyle w:val="StyleUnderline"/>
        </w:rPr>
        <w:t xml:space="preserve">FSS </w:t>
      </w:r>
      <w:r w:rsidRPr="008C4F86">
        <w:rPr>
          <w:rStyle w:val="Emphasis"/>
        </w:rPr>
        <w:t>discussions of the molecular fail to engage with the contemporary racial politics of genetic science</w:t>
      </w:r>
      <w:r w:rsidRPr="00E41D58">
        <w:t xml:space="preserve"> </w:t>
      </w:r>
      <w:r w:rsidRPr="000B4A06">
        <w:rPr>
          <w:sz w:val="16"/>
        </w:rPr>
        <w:t xml:space="preserve">(Duster 2003; Nelson 2016; TallBear 2013), </w:t>
      </w:r>
      <w:r w:rsidRPr="008C4F86">
        <w:rPr>
          <w:rStyle w:val="Emphasis"/>
        </w:rPr>
        <w:t>how molecular life sciences were and are fueled by experimentation on the bodies of racialized and indigenous people</w:t>
      </w:r>
      <w:r w:rsidRPr="000B4A06">
        <w:rPr>
          <w:rStyle w:val="StyleUnderline"/>
        </w:rPr>
        <w:t xml:space="preserve"> </w:t>
      </w:r>
      <w:r w:rsidRPr="008C4F86">
        <w:rPr>
          <w:sz w:val="16"/>
        </w:rPr>
        <w:t>(Dudley 2012; Mosby 2013; Washington 2006),</w:t>
      </w:r>
      <w:r w:rsidRPr="00E41D58">
        <w:t xml:space="preserve"> </w:t>
      </w:r>
      <w:r w:rsidRPr="008C4F86">
        <w:rPr>
          <w:rStyle w:val="StyleUnderline"/>
        </w:rPr>
        <w:t>including the movement of pharmaceutical clinical trials from US prisons to the Global South</w:t>
      </w:r>
      <w:r w:rsidRPr="00E41D58">
        <w:t xml:space="preserve"> </w:t>
      </w:r>
      <w:r w:rsidRPr="008C4F86">
        <w:rPr>
          <w:sz w:val="16"/>
        </w:rPr>
        <w:t>(Petryna 2009</w:t>
      </w:r>
      <w:r w:rsidRPr="00E41D58">
        <w:t xml:space="preserve">), </w:t>
      </w:r>
      <w:r w:rsidRPr="008C4F86">
        <w:rPr>
          <w:rStyle w:val="StyleUnderline"/>
        </w:rPr>
        <w:t>or the neo-eugenic functions of genetic reproductive technologies</w:t>
      </w:r>
      <w:r w:rsidRPr="00E41D58">
        <w:t xml:space="preserve"> </w:t>
      </w:r>
      <w:r w:rsidRPr="008C4F86">
        <w:rPr>
          <w:sz w:val="16"/>
        </w:rPr>
        <w:t>(Roberts 2013</w:t>
      </w:r>
      <w:r w:rsidRPr="00E41D58">
        <w:t xml:space="preserve">) </w:t>
      </w:r>
      <w:r w:rsidRPr="008C4F86">
        <w:rPr>
          <w:rStyle w:val="StyleUnderline"/>
        </w:rPr>
        <w:t>and related racialized economies of labour in the global surrogacy industry</w:t>
      </w:r>
      <w:r w:rsidRPr="00E41D58">
        <w:t xml:space="preserve"> </w:t>
      </w:r>
      <w:r w:rsidRPr="008C4F86">
        <w:rPr>
          <w:sz w:val="16"/>
        </w:rPr>
        <w:t>(Twine 2011), to name just a few examples</w:t>
      </w:r>
      <w:r w:rsidRPr="008C4F86">
        <w:rPr>
          <w:rStyle w:val="StyleUnderline"/>
        </w:rPr>
        <w:t xml:space="preserve">. Instead, </w:t>
      </w:r>
      <w:r w:rsidRPr="008C4F86">
        <w:rPr>
          <w:rStyle w:val="Emphasis"/>
        </w:rPr>
        <w:t>highly abstract formulations stand in for historically specific forms of power</w:t>
      </w:r>
      <w:r w:rsidRPr="008C4F86">
        <w:rPr>
          <w:rStyle w:val="StyleUnderline"/>
        </w:rPr>
        <w:t>. Dillon and Reid write that “[p]ower is palimpsestuous. New forms and relations of power become superimposed on older ones. Previous relations and accounts of power are rubbed out but may not be entirely effaced”</w:t>
      </w:r>
      <w:r w:rsidRPr="00E41D58">
        <w:t xml:space="preserve"> </w:t>
      </w:r>
      <w:r w:rsidRPr="008C4F86">
        <w:rPr>
          <w:sz w:val="16"/>
        </w:rPr>
        <w:t xml:space="preserve">(Dillon and Reid 2009, 124). </w:t>
      </w:r>
      <w:r w:rsidRPr="008C4F86">
        <w:rPr>
          <w:rStyle w:val="StyleUnderline"/>
        </w:rPr>
        <w:t xml:space="preserve">This statement comes with </w:t>
      </w:r>
      <w:r w:rsidRPr="008C4F86">
        <w:rPr>
          <w:rStyle w:val="Emphasis"/>
        </w:rPr>
        <w:t>no serious empirical engagement with the persistence – and modulation – of scientific racism</w:t>
      </w:r>
      <w:r w:rsidRPr="008C4F86">
        <w:rPr>
          <w:rStyle w:val="StyleUnderline"/>
        </w:rPr>
        <w:t xml:space="preserve"> into the 21st century. Instead we are to believe that racism is now cultural, not scientific – and for that matter, that science isn’t cultural itself. The result is an e(race)sure</w:t>
      </w:r>
      <w:r w:rsidRPr="00E41D58">
        <w:t xml:space="preserve"> </w:t>
      </w:r>
      <w:r w:rsidRPr="008C4F86">
        <w:rPr>
          <w:sz w:val="16"/>
        </w:rPr>
        <w:t xml:space="preserve">(Moore 2012) </w:t>
      </w:r>
      <w:r w:rsidRPr="008C4F86">
        <w:rPr>
          <w:rStyle w:val="StyleUnderline"/>
        </w:rPr>
        <w:t xml:space="preserve">of the ways that racialized subjects continue to always already signify violence that once again shores up the foundational White FSS </w:t>
      </w:r>
      <w:r w:rsidRPr="0026741B">
        <w:rPr>
          <w:rStyle w:val="Emphasis"/>
        </w:rPr>
        <w:t>mythology that everyone is (potentially) dangerous and therefore vulnerable to the punitive and/or lethal dimensions of liberal power</w:t>
      </w:r>
      <w:r w:rsidRPr="008C4F86">
        <w:rPr>
          <w:sz w:val="16"/>
        </w:rPr>
        <w:t>. Ironically, FSS discussions of post-WWII biopolitical liberal internationalism thus reproduce, rather than challenge, the promise that liberal war will transcend the global colour line (Richter-Montpetit, 2014)/</w:t>
      </w:r>
    </w:p>
    <w:p w:rsidR="00BF1B56" w:rsidRDefault="00BF1B56" w:rsidP="00A1681D"/>
    <w:p w:rsidR="00D309C8" w:rsidRDefault="00D309C8" w:rsidP="001E4194">
      <w:pPr>
        <w:pStyle w:val="Heading3"/>
      </w:pPr>
      <w:r>
        <w:t>AI Inventorship</w:t>
      </w:r>
    </w:p>
    <w:p w:rsidR="00D309C8" w:rsidRPr="00DC36C3" w:rsidRDefault="00D309C8" w:rsidP="00D309C8">
      <w:pPr>
        <w:pStyle w:val="Heading4"/>
        <w:rPr>
          <w:rStyle w:val="Style13ptBold"/>
          <w:b/>
          <w:bCs w:val="0"/>
        </w:rPr>
      </w:pPr>
      <w:r w:rsidRPr="00DC36C3">
        <w:rPr>
          <w:rStyle w:val="Style13ptBold"/>
          <w:b/>
          <w:bCs w:val="0"/>
        </w:rPr>
        <w:t xml:space="preserve">AI outputs lack genuine novelty and rely illegally on copyrighted material, </w:t>
      </w:r>
      <w:r>
        <w:rPr>
          <w:rStyle w:val="Style13ptBold"/>
          <w:b/>
          <w:bCs w:val="0"/>
        </w:rPr>
        <w:t>points to</w:t>
      </w:r>
      <w:r w:rsidRPr="00DC36C3">
        <w:rPr>
          <w:rStyle w:val="Style13ptBold"/>
          <w:b/>
          <w:bCs w:val="0"/>
        </w:rPr>
        <w:t xml:space="preserve"> broader issues of assetization, privatization, and data colonialism in AI development.</w:t>
      </w:r>
      <w:r>
        <w:rPr>
          <w:rStyle w:val="Style13ptBold"/>
          <w:b/>
          <w:bCs w:val="0"/>
        </w:rPr>
        <w:t xml:space="preserve"> </w:t>
      </w:r>
    </w:p>
    <w:p w:rsidR="00D309C8" w:rsidRPr="00FF167A" w:rsidRDefault="00D309C8" w:rsidP="00D309C8">
      <w:pPr>
        <w:rPr>
          <w:rStyle w:val="Style13ptBold"/>
          <w:b w:val="0"/>
          <w:bCs w:val="0"/>
          <w:sz w:val="16"/>
          <w:szCs w:val="16"/>
        </w:rPr>
      </w:pPr>
      <w:r>
        <w:rPr>
          <w:rStyle w:val="Style13ptBold"/>
        </w:rPr>
        <w:t>Penn 23</w:t>
      </w:r>
      <w:r w:rsidRPr="007F019B">
        <w:rPr>
          <w:rStyle w:val="Style13ptBold"/>
          <w:sz w:val="22"/>
        </w:rPr>
        <w:t xml:space="preserve"> </w:t>
      </w:r>
      <w:r w:rsidRPr="007F019B">
        <w:rPr>
          <w:rStyle w:val="Style13ptBold"/>
          <w:b w:val="0"/>
          <w:bCs w:val="0"/>
          <w:sz w:val="22"/>
        </w:rPr>
        <w:t>[Dr Jonnie Penn, FRSA, is an Associate Teaching Professor of AI Ethics and Society at the University of Cambridge. He is a historian of technology, a #1 New York Times bestselling author, and public speaker. Penn serves as a Faculty Affiliate at the Berkman Klein Center at Harvard University, a Research Fellow and Teaching Associate at the Department of History and Philosophy of Science, a Research Fellow at St. Edmund’s College and as an Associate Fellow at the Leverhulme Centre for the Future of Intelligence; Cambridge University Core; “Animo nullius: on AI’s origin story and a data colonial doctrine of discovery”; BJHS Themes 8 (2023): 19-34. https://www.cambridge.org/core/services/aop-cambridge-core/content/view/E35550357FBA504B3E3ADAD6C43F67E3/S2058850X23000140a.pdf/animo-nullius-on-ais-origin-story-and-a-data-colonial-doctrine-of-discovery.pdf]</w:t>
      </w:r>
    </w:p>
    <w:p w:rsidR="00D309C8" w:rsidRDefault="00D309C8" w:rsidP="00D309C8">
      <w:pPr>
        <w:rPr>
          <w:rStyle w:val="StyleUnderline"/>
          <w:b/>
          <w:bCs/>
          <w:lang w:eastAsia="zh-CN"/>
        </w:rPr>
      </w:pPr>
      <w:r w:rsidRPr="00827FCC">
        <w:rPr>
          <w:sz w:val="12"/>
          <w:lang w:eastAsia="zh-CN"/>
        </w:rPr>
        <w:t xml:space="preserve">Fundamental to such seizures is a lack of case law, which compounds existing confusion over the provenance of authorship, the role of human contributors in creating input data, and the degree to which generative AI outputs are original and transformative. A class action </w:t>
      </w:r>
      <w:r w:rsidRPr="00585B42">
        <w:rPr>
          <w:rStyle w:val="StyleUnderline"/>
          <w:lang w:eastAsia="zh-CN"/>
        </w:rPr>
        <w:t xml:space="preserve">lawsuit filed against OpenAI in July 2023 </w:t>
      </w:r>
      <w:r w:rsidRPr="00933298">
        <w:rPr>
          <w:rStyle w:val="StyleUnderline"/>
          <w:b/>
          <w:bCs/>
          <w:lang w:eastAsia="zh-CN"/>
        </w:rPr>
        <w:t>rejects</w:t>
      </w:r>
      <w:r w:rsidRPr="00585B42">
        <w:rPr>
          <w:rStyle w:val="StyleUnderline"/>
          <w:lang w:eastAsia="zh-CN"/>
        </w:rPr>
        <w:t xml:space="preserve"> the idea that their </w:t>
      </w:r>
      <w:r w:rsidRPr="00933298">
        <w:rPr>
          <w:rStyle w:val="StyleUnderline"/>
          <w:b/>
          <w:bCs/>
          <w:lang w:eastAsia="zh-CN"/>
        </w:rPr>
        <w:t>ChatGPT</w:t>
      </w:r>
      <w:r w:rsidRPr="00585B42">
        <w:rPr>
          <w:rStyle w:val="StyleUnderline"/>
          <w:lang w:eastAsia="zh-CN"/>
        </w:rPr>
        <w:t xml:space="preserve"> model is </w:t>
      </w:r>
      <w:r w:rsidRPr="00933298">
        <w:rPr>
          <w:rStyle w:val="StyleUnderline"/>
          <w:b/>
          <w:bCs/>
          <w:lang w:eastAsia="zh-CN"/>
        </w:rPr>
        <w:t>capable</w:t>
      </w:r>
      <w:r w:rsidRPr="00585B42">
        <w:rPr>
          <w:rStyle w:val="StyleUnderline"/>
          <w:lang w:eastAsia="zh-CN"/>
        </w:rPr>
        <w:t xml:space="preserve"> of </w:t>
      </w:r>
      <w:r w:rsidRPr="00933298">
        <w:rPr>
          <w:rStyle w:val="StyleUnderline"/>
          <w:b/>
          <w:bCs/>
          <w:lang w:eastAsia="zh-CN"/>
        </w:rPr>
        <w:t>genuine novelty</w:t>
      </w:r>
      <w:r w:rsidRPr="00585B42">
        <w:rPr>
          <w:rStyle w:val="StyleUnderline"/>
          <w:lang w:eastAsia="zh-CN"/>
        </w:rPr>
        <w:t>.</w:t>
      </w:r>
      <w:r w:rsidRPr="00827FCC">
        <w:rPr>
          <w:sz w:val="12"/>
          <w:lang w:eastAsia="zh-CN"/>
        </w:rPr>
        <w:t xml:space="preserve"> ‘</w:t>
      </w:r>
      <w:r w:rsidRPr="00585B42">
        <w:rPr>
          <w:rStyle w:val="StyleUnderline"/>
          <w:lang w:eastAsia="zh-CN"/>
        </w:rPr>
        <w:t xml:space="preserve">A large language model’s output is ... </w:t>
      </w:r>
      <w:r w:rsidRPr="00933298">
        <w:rPr>
          <w:rStyle w:val="StyleUnderline"/>
          <w:b/>
          <w:bCs/>
          <w:lang w:eastAsia="zh-CN"/>
        </w:rPr>
        <w:t>entirely and uniquely reliant on the material in its training dataset’</w:t>
      </w:r>
      <w:r w:rsidRPr="00585B42">
        <w:rPr>
          <w:rStyle w:val="StyleUnderline"/>
          <w:lang w:eastAsia="zh-CN"/>
        </w:rPr>
        <w:t>, they reason.77 According to</w:t>
      </w:r>
      <w:r w:rsidRPr="00585B42">
        <w:rPr>
          <w:rStyle w:val="StyleUnderline"/>
        </w:rPr>
        <w:t xml:space="preserve"> </w:t>
      </w:r>
      <w:r w:rsidRPr="00585B42">
        <w:rPr>
          <w:rStyle w:val="StyleUnderline"/>
          <w:lang w:eastAsia="zh-CN"/>
        </w:rPr>
        <w:t xml:space="preserve">this view, </w:t>
      </w:r>
      <w:r w:rsidRPr="00933298">
        <w:rPr>
          <w:rStyle w:val="StyleUnderline"/>
          <w:b/>
          <w:bCs/>
          <w:lang w:eastAsia="zh-CN"/>
        </w:rPr>
        <w:t>OpenAI</w:t>
      </w:r>
      <w:r w:rsidRPr="00585B42">
        <w:rPr>
          <w:rStyle w:val="StyleUnderline"/>
          <w:lang w:eastAsia="zh-CN"/>
        </w:rPr>
        <w:t xml:space="preserve"> has made </w:t>
      </w:r>
      <w:r w:rsidRPr="00933298">
        <w:rPr>
          <w:rStyle w:val="StyleUnderline"/>
          <w:b/>
          <w:bCs/>
          <w:lang w:eastAsia="zh-CN"/>
        </w:rPr>
        <w:t>illegal</w:t>
      </w:r>
      <w:r w:rsidRPr="00585B42">
        <w:rPr>
          <w:rStyle w:val="StyleUnderline"/>
          <w:lang w:eastAsia="zh-CN"/>
        </w:rPr>
        <w:t xml:space="preserve"> </w:t>
      </w:r>
      <w:r w:rsidRPr="00933298">
        <w:rPr>
          <w:rStyle w:val="StyleUnderline"/>
          <w:b/>
          <w:bCs/>
          <w:lang w:eastAsia="zh-CN"/>
        </w:rPr>
        <w:t>use</w:t>
      </w:r>
      <w:r w:rsidRPr="00585B42">
        <w:rPr>
          <w:rStyle w:val="StyleUnderline"/>
          <w:lang w:eastAsia="zh-CN"/>
        </w:rPr>
        <w:t xml:space="preserve"> of </w:t>
      </w:r>
      <w:r w:rsidRPr="00933298">
        <w:rPr>
          <w:rStyle w:val="StyleUnderline"/>
          <w:b/>
          <w:bCs/>
          <w:lang w:eastAsia="zh-CN"/>
        </w:rPr>
        <w:t>copywritten</w:t>
      </w:r>
      <w:r w:rsidRPr="00585B42">
        <w:rPr>
          <w:rStyle w:val="StyleUnderline"/>
          <w:lang w:eastAsia="zh-CN"/>
        </w:rPr>
        <w:t xml:space="preserve"> </w:t>
      </w:r>
      <w:r w:rsidRPr="00933298">
        <w:rPr>
          <w:rStyle w:val="StyleUnderline"/>
          <w:b/>
          <w:bCs/>
          <w:lang w:eastAsia="zh-CN"/>
        </w:rPr>
        <w:t>material</w:t>
      </w:r>
      <w:r w:rsidRPr="00827FCC">
        <w:rPr>
          <w:sz w:val="12"/>
          <w:lang w:eastAsia="zh-CN"/>
        </w:rPr>
        <w:t xml:space="preserve">. The company’s response, in August 2023, situates the case around the science of inference. ‘As Plaintiffs acknow- ledge, the ability of digital software to [interpret user prompts and generate convincingly naturalistic text outputs] reflects a legitimate scientific advancement in the field of arti- ficial intelligence, which seeks to “simulate human reasoning and inference.”’78 This lawsuit captures aspects of the evolving character of animo nullius after the 2010s. Unlike in the mid-century, it is now corporations, alongside some researchers, who stand to benefit materially from equivocation over the perceived authority and intellectual genealogy that underwrites AI. OpenAI’s valuation fluctuates in line with this perception; at the time of going to press it is the most valuable start-up in America. Post-war IBM sought only outputs from AI, not its brand. Another difference is that debate over these scientific merits has shifted from labs and markets to courtrooms, too. </w:t>
      </w:r>
      <w:r w:rsidRPr="009C20D4">
        <w:rPr>
          <w:rStyle w:val="StyleUnderline"/>
          <w:lang w:eastAsia="zh-CN"/>
        </w:rPr>
        <w:t xml:space="preserve">That </w:t>
      </w:r>
      <w:r w:rsidRPr="000018C0">
        <w:rPr>
          <w:rStyle w:val="Emphasis"/>
          <w:lang w:eastAsia="zh-CN"/>
        </w:rPr>
        <w:t>territories</w:t>
      </w:r>
      <w:r w:rsidRPr="009C20D4">
        <w:rPr>
          <w:rStyle w:val="StyleUnderline"/>
          <w:lang w:eastAsia="zh-CN"/>
        </w:rPr>
        <w:t xml:space="preserve"> </w:t>
      </w:r>
      <w:r w:rsidRPr="000018C0">
        <w:rPr>
          <w:rStyle w:val="StyleUnderline"/>
          <w:b/>
          <w:bCs/>
          <w:lang w:eastAsia="zh-CN"/>
        </w:rPr>
        <w:t>seized</w:t>
      </w:r>
      <w:r w:rsidRPr="009C20D4">
        <w:rPr>
          <w:rStyle w:val="StyleUnderline"/>
          <w:lang w:eastAsia="zh-CN"/>
        </w:rPr>
        <w:t xml:space="preserve"> under </w:t>
      </w:r>
      <w:r w:rsidRPr="000018C0">
        <w:rPr>
          <w:rStyle w:val="StyleUnderline"/>
          <w:b/>
          <w:bCs/>
          <w:lang w:eastAsia="zh-CN"/>
        </w:rPr>
        <w:t>terra nullius</w:t>
      </w:r>
      <w:r w:rsidRPr="009C20D4">
        <w:rPr>
          <w:rStyle w:val="StyleUnderline"/>
          <w:lang w:eastAsia="zh-CN"/>
        </w:rPr>
        <w:t xml:space="preserve"> </w:t>
      </w:r>
      <w:r w:rsidRPr="000018C0">
        <w:rPr>
          <w:rStyle w:val="StyleUnderline"/>
          <w:b/>
          <w:bCs/>
          <w:lang w:eastAsia="zh-CN"/>
        </w:rPr>
        <w:t>remain stolen today</w:t>
      </w:r>
      <w:r w:rsidRPr="009C20D4">
        <w:rPr>
          <w:rStyle w:val="StyleUnderline"/>
          <w:lang w:eastAsia="zh-CN"/>
        </w:rPr>
        <w:t xml:space="preserve">, </w:t>
      </w:r>
      <w:r w:rsidRPr="000018C0">
        <w:rPr>
          <w:rStyle w:val="StyleUnderline"/>
          <w:b/>
          <w:bCs/>
          <w:lang w:eastAsia="zh-CN"/>
        </w:rPr>
        <w:t>centuries</w:t>
      </w:r>
      <w:r w:rsidRPr="009C20D4">
        <w:rPr>
          <w:rStyle w:val="StyleUnderline"/>
          <w:lang w:eastAsia="zh-CN"/>
        </w:rPr>
        <w:t xml:space="preserve"> </w:t>
      </w:r>
      <w:r w:rsidRPr="000018C0">
        <w:rPr>
          <w:rStyle w:val="StyleUnderline"/>
          <w:b/>
          <w:bCs/>
          <w:lang w:eastAsia="zh-CN"/>
        </w:rPr>
        <w:t>later</w:t>
      </w:r>
      <w:r w:rsidRPr="009C20D4">
        <w:rPr>
          <w:rStyle w:val="StyleUnderline"/>
          <w:lang w:eastAsia="zh-CN"/>
        </w:rPr>
        <w:t xml:space="preserve">, bears out how </w:t>
      </w:r>
      <w:r w:rsidRPr="00D31FFE">
        <w:rPr>
          <w:rStyle w:val="StyleUnderline"/>
          <w:b/>
          <w:bCs/>
          <w:lang w:eastAsia="zh-CN"/>
        </w:rPr>
        <w:t>mis- interpretations of the past can calcify into law and prolonged settlement.</w:t>
      </w:r>
      <w:r w:rsidRPr="009C20D4">
        <w:rPr>
          <w:rStyle w:val="StyleUnderline"/>
          <w:lang w:eastAsia="zh-CN"/>
        </w:rPr>
        <w:t xml:space="preserve"> </w:t>
      </w:r>
      <w:r w:rsidRPr="00D31FFE">
        <w:rPr>
          <w:rStyle w:val="StyleUnderline"/>
          <w:b/>
          <w:bCs/>
          <w:lang w:eastAsia="zh-CN"/>
        </w:rPr>
        <w:t>Discerning publics</w:t>
      </w:r>
      <w:r w:rsidRPr="009C20D4">
        <w:rPr>
          <w:rStyle w:val="StyleUnderline"/>
          <w:lang w:eastAsia="zh-CN"/>
        </w:rPr>
        <w:t xml:space="preserve"> – including judges, legislators and dispossessed authors – would be </w:t>
      </w:r>
      <w:r w:rsidRPr="00D31FFE">
        <w:rPr>
          <w:rStyle w:val="StyleUnderline"/>
          <w:b/>
          <w:bCs/>
          <w:lang w:eastAsia="zh-CN"/>
        </w:rPr>
        <w:t>forgiven for assuming, naively</w:t>
      </w:r>
      <w:r w:rsidRPr="00CE5AA4">
        <w:rPr>
          <w:rStyle w:val="StyleUnderline"/>
          <w:lang w:eastAsia="zh-CN"/>
        </w:rPr>
        <w:t>, that the</w:t>
      </w:r>
      <w:r w:rsidRPr="00D31FFE">
        <w:rPr>
          <w:rStyle w:val="StyleUnderline"/>
          <w:b/>
          <w:bCs/>
          <w:lang w:eastAsia="zh-CN"/>
        </w:rPr>
        <w:t xml:space="preserve"> statistical ‘intelligence’ and ‘learning’ </w:t>
      </w:r>
      <w:r w:rsidRPr="00CE5AA4">
        <w:rPr>
          <w:rStyle w:val="StyleUnderline"/>
          <w:lang w:eastAsia="zh-CN"/>
        </w:rPr>
        <w:t>on display</w:t>
      </w:r>
      <w:r w:rsidRPr="00D31FFE">
        <w:rPr>
          <w:rStyle w:val="StyleUnderline"/>
          <w:b/>
          <w:bCs/>
          <w:lang w:eastAsia="zh-CN"/>
        </w:rPr>
        <w:t xml:space="preserve"> in post GPT-era systems derive from</w:t>
      </w:r>
      <w:r w:rsidRPr="00CE5AA4">
        <w:rPr>
          <w:rStyle w:val="StyleUnderline"/>
          <w:lang w:eastAsia="zh-CN"/>
        </w:rPr>
        <w:t>, say, the</w:t>
      </w:r>
      <w:r w:rsidRPr="00D31FFE">
        <w:rPr>
          <w:rStyle w:val="StyleUnderline"/>
          <w:b/>
          <w:bCs/>
          <w:lang w:eastAsia="zh-CN"/>
        </w:rPr>
        <w:t xml:space="preserve"> empirics of Darwin rather than, </w:t>
      </w:r>
      <w:r w:rsidRPr="00CE5AA4">
        <w:rPr>
          <w:rStyle w:val="StyleUnderline"/>
          <w:lang w:eastAsia="zh-CN"/>
        </w:rPr>
        <w:t>in my account, the</w:t>
      </w:r>
      <w:r w:rsidRPr="00D31FFE">
        <w:rPr>
          <w:rStyle w:val="StyleUnderline"/>
          <w:b/>
          <w:bCs/>
          <w:lang w:eastAsia="zh-CN"/>
        </w:rPr>
        <w:t xml:space="preserve"> contingent social order elaborated by Smith</w:t>
      </w:r>
      <w:r w:rsidRPr="009C20D4">
        <w:rPr>
          <w:rStyle w:val="StyleUnderline"/>
          <w:lang w:eastAsia="zh-CN"/>
        </w:rPr>
        <w:t>.</w:t>
      </w:r>
      <w:r w:rsidRPr="00827FCC">
        <w:rPr>
          <w:sz w:val="12"/>
          <w:lang w:eastAsia="zh-CN"/>
        </w:rPr>
        <w:t xml:space="preserve"> What else would history suggest? Birch, who theorizes the rise of assetization in modern technoscience, characterizes this form of economic system as rentiership. Unlike with the valuation of a commodity, which is generally extinguished upon its consumption, ownership and control of an asset extend one’s rights to copies and derivatives, which adds scope for control and extraction. ‘</w:t>
      </w:r>
      <w:r w:rsidRPr="00F67006">
        <w:rPr>
          <w:rStyle w:val="StyleUnderline"/>
          <w:lang w:eastAsia="zh-CN"/>
        </w:rPr>
        <w:t>No one can tell you how to wear a coat you have bought, but they can tell you how to use the copyrighted music or data they have sold you’, he writes.79 Animo nullius figures in rentiership economics because the value of an asset requires ‘active and ongoing organization, governance, and management ... it is not a passive process’.</w:t>
      </w:r>
      <w:r w:rsidRPr="00827FCC">
        <w:rPr>
          <w:sz w:val="12"/>
          <w:lang w:eastAsia="zh-CN"/>
        </w:rPr>
        <w:t xml:space="preserve">80 In my account, </w:t>
      </w:r>
      <w:r w:rsidRPr="00F67006">
        <w:rPr>
          <w:rStyle w:val="StyleUnderline"/>
          <w:lang w:eastAsia="zh-CN"/>
        </w:rPr>
        <w:t>animo nullius animates AI’s value as an asset by granting those who invoke it an outwardly credible and durable (that is, historical) claim to the authority of a prestige metaphor.</w:t>
      </w:r>
      <w:r w:rsidRPr="00827FCC">
        <w:rPr>
          <w:sz w:val="12"/>
        </w:rPr>
        <w:t xml:space="preserve"> Data colonialism In my introduction, I cited Mejias and Couldry’s interest in how </w:t>
      </w:r>
      <w:r w:rsidRPr="007F119C">
        <w:rPr>
          <w:rStyle w:val="StyleUnderline"/>
        </w:rPr>
        <w:t xml:space="preserve">these </w:t>
      </w:r>
      <w:r w:rsidRPr="007F119C">
        <w:rPr>
          <w:rStyle w:val="Emphasis"/>
        </w:rPr>
        <w:t>emerging</w:t>
      </w:r>
      <w:r w:rsidRPr="007F119C">
        <w:rPr>
          <w:rStyle w:val="StyleUnderline"/>
        </w:rPr>
        <w:t xml:space="preserve"> branches of </w:t>
      </w:r>
      <w:r w:rsidRPr="007F119C">
        <w:rPr>
          <w:rStyle w:val="StyleUnderline"/>
          <w:b/>
          <w:bCs/>
        </w:rPr>
        <w:t>capitalism</w:t>
      </w:r>
      <w:r w:rsidRPr="007F119C">
        <w:rPr>
          <w:rStyle w:val="StyleUnderline"/>
        </w:rPr>
        <w:t xml:space="preserve"> </w:t>
      </w:r>
      <w:r w:rsidRPr="007F119C">
        <w:rPr>
          <w:rStyle w:val="StyleUnderline"/>
          <w:b/>
          <w:bCs/>
        </w:rPr>
        <w:t>intersect</w:t>
      </w:r>
      <w:r w:rsidRPr="007F119C">
        <w:rPr>
          <w:rStyle w:val="StyleUnderline"/>
        </w:rPr>
        <w:t xml:space="preserve"> </w:t>
      </w:r>
      <w:r w:rsidRPr="007F119C">
        <w:rPr>
          <w:rStyle w:val="StyleUnderline"/>
          <w:b/>
          <w:bCs/>
        </w:rPr>
        <w:t>with</w:t>
      </w:r>
      <w:r w:rsidRPr="007F119C">
        <w:rPr>
          <w:rStyle w:val="StyleUnderline"/>
        </w:rPr>
        <w:t xml:space="preserve"> </w:t>
      </w:r>
      <w:r w:rsidRPr="007F119C">
        <w:rPr>
          <w:rStyle w:val="StyleUnderline"/>
          <w:b/>
          <w:bCs/>
        </w:rPr>
        <w:t>data colonialism</w:t>
      </w:r>
      <w:r w:rsidRPr="007F119C">
        <w:rPr>
          <w:rStyle w:val="StyleUnderline"/>
        </w:rPr>
        <w:t xml:space="preserve">. </w:t>
      </w:r>
      <w:r w:rsidRPr="00827FCC">
        <w:rPr>
          <w:sz w:val="12"/>
        </w:rPr>
        <w:t>I will end by offering three conjectural par- allels that emerge from my account. The first is an observable convergence between state and corporate interests over privatizing the costs of speculation (and initial seizures) amidst imperial expansion. State involvement is central to the durability of the extractive project outlined above because, per Birch, ‘</w:t>
      </w:r>
      <w:r w:rsidRPr="008E19E3">
        <w:rPr>
          <w:b/>
          <w:bCs/>
          <w:u w:val="single"/>
        </w:rPr>
        <w:t>assets</w:t>
      </w:r>
      <w:r w:rsidRPr="005C5806">
        <w:rPr>
          <w:u w:val="single"/>
        </w:rPr>
        <w:t xml:space="preserve"> </w:t>
      </w:r>
      <w:r w:rsidRPr="008E19E3">
        <w:rPr>
          <w:b/>
          <w:bCs/>
          <w:u w:val="single"/>
        </w:rPr>
        <w:t>are legal constructs</w:t>
      </w:r>
      <w:r w:rsidRPr="005C5806">
        <w:rPr>
          <w:u w:val="single"/>
        </w:rPr>
        <w:t xml:space="preserve">, in that </w:t>
      </w:r>
      <w:r w:rsidRPr="008E19E3">
        <w:rPr>
          <w:b/>
          <w:bCs/>
          <w:u w:val="single"/>
        </w:rPr>
        <w:t>ownership and control rest on the state enforcement of property and control rights’</w:t>
      </w:r>
      <w:r w:rsidRPr="00827FCC">
        <w:rPr>
          <w:sz w:val="12"/>
        </w:rPr>
        <w:t xml:space="preserve">.81 In Empire of Cotton, Sven Beckert argues </w:t>
      </w:r>
      <w:r w:rsidRPr="005C5806">
        <w:rPr>
          <w:u w:val="single"/>
        </w:rPr>
        <w:t>that the commodification, processing and global trade of cotton illuminate the mechanics of historical colonialism and the Atlantic slave trade</w:t>
      </w:r>
      <w:r w:rsidRPr="00827FCC">
        <w:rPr>
          <w:sz w:val="12"/>
        </w:rPr>
        <w:t xml:space="preserve">, wherein </w:t>
      </w:r>
      <w:r w:rsidRPr="008B6459">
        <w:rPr>
          <w:u w:val="single"/>
        </w:rPr>
        <w:t>empires backed merchants and colonial corporations with military force to facilitate expansion.</w:t>
      </w:r>
      <w:r w:rsidRPr="00827FCC">
        <w:rPr>
          <w:sz w:val="12"/>
        </w:rPr>
        <w:t xml:space="preserve">82 I suggest that the race to enclose the knowledge commons and assetize key analytical processes to the benefit of the global rentier class (and their respective nation states) </w:t>
      </w:r>
      <w:r w:rsidRPr="008B6459">
        <w:rPr>
          <w:u w:val="single"/>
        </w:rPr>
        <w:t>helps to structure how data colonialism will shape capitalism in the era ahead</w:t>
      </w:r>
      <w:r w:rsidRPr="00827FCC">
        <w:rPr>
          <w:sz w:val="12"/>
        </w:rPr>
        <w:t xml:space="preserve">. A second parallel, which puts tension on the first, is </w:t>
      </w:r>
      <w:r w:rsidRPr="008B6459">
        <w:rPr>
          <w:u w:val="single"/>
        </w:rPr>
        <w:t>states’ backing of corporate self- governance and claims to the commons. State-backed corporate agency was decisive to the settler colonial project in ‘New England’, the land upon which, centuries later, AI would initially be developed at MIT.</w:t>
      </w:r>
      <w:r w:rsidRPr="00827FCC">
        <w:rPr>
          <w:sz w:val="12"/>
        </w:rPr>
        <w:t xml:space="preserve"> In that instance, the mechanics of self-governance in colonial corporations helped to prototype and, upon maturation, to stabilize and cohere America’s legislative independence from the British Empire.83 Possession via occupation succeeded wildly for the Puritans of New England, and for the Massachusetts Bay Company.84 </w:t>
      </w:r>
      <w:r w:rsidRPr="001D7A9A">
        <w:rPr>
          <w:u w:val="single"/>
        </w:rPr>
        <w:t>Suggestive of a disanalogy with terra nullius, however, Birch notes that it is contract law rather than property rights that is central to the ownership of intangible assets such as machine-learning models.8</w:t>
      </w:r>
      <w:r w:rsidRPr="00827FCC">
        <w:rPr>
          <w:sz w:val="12"/>
        </w:rPr>
        <w:t xml:space="preserve">5 In any case, corporate self-governance is sure to remain an area of contestation as notions of sovereignty and power intersect with the global use of proprietary inference models across governments, universities, hospitals and other civic institutions. One final line of continuity concerns modes of capture. </w:t>
      </w:r>
      <w:r w:rsidRPr="00664086">
        <w:rPr>
          <w:b/>
          <w:bCs/>
          <w:sz w:val="24"/>
          <w:szCs w:val="24"/>
          <w:u w:val="single"/>
        </w:rPr>
        <w:t>A</w:t>
      </w:r>
      <w:r w:rsidRPr="00664086">
        <w:rPr>
          <w:rStyle w:val="StyleUnderline"/>
          <w:b/>
          <w:bCs/>
          <w:lang w:eastAsia="zh-CN"/>
        </w:rPr>
        <w:t xml:space="preserve">nalysing </w:t>
      </w:r>
      <w:r w:rsidRPr="008B3495">
        <w:rPr>
          <w:rStyle w:val="StyleUnderline"/>
          <w:lang w:eastAsia="zh-CN"/>
        </w:rPr>
        <w:t xml:space="preserve">the </w:t>
      </w:r>
      <w:r w:rsidRPr="00664086">
        <w:rPr>
          <w:rStyle w:val="StyleUnderline"/>
          <w:b/>
          <w:bCs/>
          <w:lang w:eastAsia="zh-CN"/>
        </w:rPr>
        <w:t>relationship between terra nullius and historical colonialism</w:t>
      </w:r>
      <w:r w:rsidRPr="008B3495">
        <w:rPr>
          <w:rStyle w:val="StyleUnderline"/>
          <w:lang w:eastAsia="zh-CN"/>
        </w:rPr>
        <w:t xml:space="preserve">, </w:t>
      </w:r>
      <w:r w:rsidRPr="00664086">
        <w:rPr>
          <w:rStyle w:val="StyleUnderline"/>
          <w:b/>
          <w:bCs/>
          <w:lang w:eastAsia="zh-CN"/>
        </w:rPr>
        <w:t>Buchan centres the role of subversive acts of ‘trafficking’, meaning the provision of gifts, favours and symbols of office that – as tokens of exchange – subtly coerced consent from Indigenous peoples that European colonists encountered to initiate trade relations</w:t>
      </w:r>
      <w:r w:rsidRPr="008B3495">
        <w:rPr>
          <w:rStyle w:val="StyleUnderline"/>
          <w:lang w:eastAsia="zh-CN"/>
        </w:rPr>
        <w:t xml:space="preserve">. Over decades and centuries, </w:t>
      </w:r>
      <w:r w:rsidRPr="00664086">
        <w:rPr>
          <w:rStyle w:val="StyleUnderline"/>
          <w:b/>
          <w:bCs/>
          <w:lang w:eastAsia="zh-CN"/>
        </w:rPr>
        <w:t>these disingenuous relations reduced to modes of assimilation, subordination and then subjugation</w:t>
      </w:r>
      <w:r w:rsidRPr="008B3495">
        <w:rPr>
          <w:rStyle w:val="StyleUnderline"/>
          <w:lang w:eastAsia="zh-CN"/>
        </w:rPr>
        <w:t xml:space="preserve">. </w:t>
      </w:r>
      <w:r w:rsidRPr="00B12EC8">
        <w:rPr>
          <w:rStyle w:val="StyleUnderline"/>
          <w:b/>
          <w:bCs/>
          <w:lang w:eastAsia="zh-CN"/>
        </w:rPr>
        <w:t>While capture is already a concern in areas of AI critique, its relation to historiography and coloniality deserves particular attention</w:t>
      </w:r>
      <w:r w:rsidRPr="008B3495">
        <w:rPr>
          <w:rStyle w:val="StyleUnderline"/>
          <w:lang w:eastAsia="zh-CN"/>
        </w:rPr>
        <w:t xml:space="preserve">.86 </w:t>
      </w:r>
      <w:r w:rsidRPr="00B12EC8">
        <w:rPr>
          <w:rStyle w:val="StyleUnderline"/>
          <w:b/>
          <w:bCs/>
          <w:lang w:eastAsia="zh-CN"/>
        </w:rPr>
        <w:t>Indigenous scholars have shown how historiographical claims naturalize dispossession</w:t>
      </w:r>
      <w:r w:rsidRPr="008B3495">
        <w:rPr>
          <w:rStyle w:val="StyleUnderline"/>
          <w:lang w:eastAsia="zh-CN"/>
        </w:rPr>
        <w:t>.</w:t>
      </w:r>
      <w:r w:rsidRPr="00827FCC">
        <w:rPr>
          <w:sz w:val="12"/>
          <w:lang w:eastAsia="zh-CN"/>
        </w:rPr>
        <w:t xml:space="preserve"> Jean M. O’Brien’s Firsting and Lasting: Writing Indians out of Existence in New England, </w:t>
      </w:r>
      <w:r w:rsidRPr="00E85E3A">
        <w:rPr>
          <w:rStyle w:val="StyleUnderline"/>
          <w:lang w:eastAsia="zh-CN"/>
        </w:rPr>
        <w:t>for instance, charts how colonizers narrativized Indigenous peoples as extinct in order to assert and mythologize their own sovereignty, ancestry and social order.</w:t>
      </w:r>
      <w:r w:rsidRPr="00827FCC">
        <w:rPr>
          <w:sz w:val="12"/>
          <w:lang w:eastAsia="zh-CN"/>
        </w:rPr>
        <w:t xml:space="preserve"> Notably, Zoe Todd advances a similar critique of the history of science itself.87 Conclusion As with terra nullius, animo nullius threatens the commons with enclosure and private management. Both merit rebuke. In this paper, I have resituated histographies of AI in the his- tory of corporate colonial expansion to account for the fields’ imbrications in systems of power that prefigure its emergence in the mid-twentieth century. I have shown how, as far back as the 1950s, corporate efforts to incorporate digital media into mainstream knowledge practices (and, in doing so, to sell standardized computing infrastructures, from IBM to Microsoft) have intertwined with positivist interpretations of mind-as-computer metaphors as both literal and perpetually looming. </w:t>
      </w:r>
      <w:r w:rsidRPr="00933298">
        <w:rPr>
          <w:rStyle w:val="StyleUnderline"/>
          <w:lang w:eastAsia="zh-CN"/>
        </w:rPr>
        <w:t>Even when these overlaps were the products of opportunism by one side or the other, privatization appears to be the outcome</w:t>
      </w:r>
      <w:r w:rsidRPr="00827FCC">
        <w:rPr>
          <w:sz w:val="12"/>
          <w:lang w:eastAsia="zh-CN"/>
        </w:rPr>
        <w:t xml:space="preserve">. </w:t>
      </w:r>
      <w:r w:rsidRPr="00933298">
        <w:rPr>
          <w:rStyle w:val="StyleUnderline"/>
          <w:lang w:eastAsia="zh-CN"/>
        </w:rPr>
        <w:t xml:space="preserve">This speaks to the political economy within which AI was formed – significant elements of which are usually neglected by practitioners, historians and media commentary, however critical, on AI. For historians, the </w:t>
      </w:r>
      <w:r w:rsidRPr="00C81125">
        <w:rPr>
          <w:rStyle w:val="Emphasis"/>
          <w:lang w:eastAsia="zh-CN"/>
        </w:rPr>
        <w:t>decision to characterize ‘AI’ as primarily a science of the mind</w:t>
      </w:r>
      <w:r w:rsidRPr="00933298">
        <w:rPr>
          <w:rStyle w:val="StyleUnderline"/>
          <w:lang w:eastAsia="zh-CN"/>
        </w:rPr>
        <w:t xml:space="preserve">, rather than a science of operations and adminis- tration, is, in my view, just that – a decision, and one that </w:t>
      </w:r>
      <w:r w:rsidRPr="00C81125">
        <w:rPr>
          <w:rStyle w:val="StyleUnderline"/>
          <w:b/>
          <w:bCs/>
          <w:lang w:eastAsia="zh-CN"/>
        </w:rPr>
        <w:t>neglects the breadth of AI’s origins and helps blind us to its imbrications.</w:t>
      </w:r>
    </w:p>
    <w:p w:rsidR="00D309C8" w:rsidRDefault="00D309C8" w:rsidP="00D309C8">
      <w:pPr>
        <w:rPr>
          <w:rStyle w:val="StyleUnderline"/>
          <w:b/>
          <w:bCs/>
          <w:lang w:eastAsia="zh-CN"/>
        </w:rPr>
      </w:pPr>
    </w:p>
    <w:p w:rsidR="00D309C8" w:rsidRPr="00AD7C51" w:rsidRDefault="00D309C8" w:rsidP="00D309C8">
      <w:pPr>
        <w:pStyle w:val="Heading4"/>
        <w:rPr>
          <w:bCs/>
          <w:sz w:val="24"/>
          <w:szCs w:val="24"/>
          <w:lang w:eastAsia="zh-CN"/>
        </w:rPr>
      </w:pPr>
      <w:r w:rsidRPr="00AD7C51">
        <w:rPr>
          <w:rStyle w:val="StyleUnderline"/>
          <w:bCs/>
          <w:sz w:val="24"/>
          <w:szCs w:val="24"/>
          <w:u w:val="none"/>
          <w:lang w:eastAsia="zh-CN"/>
        </w:rPr>
        <w:t>The AI industry perpetuates historical patterns of othering and violence by reinforcing colonial, capitalist, and data exploitation systems that heavily surveil and control marginalized communities.</w:t>
      </w:r>
    </w:p>
    <w:p w:rsidR="00D309C8" w:rsidRPr="00A608AD" w:rsidRDefault="00D309C8" w:rsidP="00D309C8">
      <w:pPr>
        <w:rPr>
          <w:rStyle w:val="Style13ptBold"/>
          <w:b w:val="0"/>
          <w:bCs w:val="0"/>
          <w:sz w:val="22"/>
        </w:rPr>
      </w:pPr>
      <w:r>
        <w:rPr>
          <w:rStyle w:val="Style13ptBold"/>
        </w:rPr>
        <w:t xml:space="preserve">Tacheva &amp; </w:t>
      </w:r>
      <w:r w:rsidRPr="00D243D4">
        <w:rPr>
          <w:rStyle w:val="Style13ptBold"/>
        </w:rPr>
        <w:t>Ramasubramanian</w:t>
      </w:r>
      <w:r>
        <w:rPr>
          <w:rStyle w:val="Style13ptBold"/>
        </w:rPr>
        <w:t xml:space="preserve"> 23</w:t>
      </w:r>
      <w:r w:rsidRPr="007F019B">
        <w:rPr>
          <w:rStyle w:val="Style13ptBold"/>
          <w:sz w:val="22"/>
        </w:rPr>
        <w:t xml:space="preserve"> </w:t>
      </w:r>
      <w:r w:rsidRPr="007F019B">
        <w:rPr>
          <w:rStyle w:val="Style13ptBold"/>
          <w:b w:val="0"/>
          <w:bCs w:val="0"/>
          <w:sz w:val="22"/>
        </w:rPr>
        <w:t>[Jasmina Tacheva is an Assistant Professor in the School of Information Studies. Her research examines the mechanisms through which user-generated content shapes human behavior, with a focus on social justice, digital volunteerism, and sustainability. rividya “Srivi” Ramasubramanian holds a Ph.D. in mass communication from Pennsylvania State University. She is a leading communication scholar whose work addresses contemporary global issues relating to media, diversity and social justice. Ramasubramanian is widely recognized for her pioneering work on race and media, media literacy initiatives, implicit bias reduction and scholar-activism. Her areas of expertise include critical media effects, data justice, digital cultures, intersectionality, applied communication and mixed methods; Advance; “Challenging AI Empire: Toward a Decolonial and Queer Framework of Data Resurgence”; 03/02/23; https://advance.sagepub.com/doi/full/10.31124/advance.22012724.v1]</w:t>
      </w:r>
    </w:p>
    <w:p w:rsidR="00D309C8" w:rsidRPr="00C333CD" w:rsidRDefault="00D309C8" w:rsidP="00D309C8">
      <w:pPr>
        <w:rPr>
          <w:sz w:val="12"/>
        </w:rPr>
      </w:pPr>
      <w:r w:rsidRPr="00230C7F">
        <w:rPr>
          <w:rStyle w:val="StyleUnderline"/>
          <w:sz w:val="12"/>
          <w:u w:val="none"/>
        </w:rPr>
        <w:t xml:space="preserve">Theorizing the Faces, Roots, and Othering Violence of Al Empire </w:t>
      </w:r>
      <w:r w:rsidRPr="0051395F">
        <w:rPr>
          <w:rStyle w:val="StyleUnderline"/>
          <w:b/>
          <w:bCs/>
        </w:rPr>
        <w:t>The</w:t>
      </w:r>
      <w:r w:rsidRPr="00605BD8">
        <w:rPr>
          <w:rStyle w:val="StyleUnderline"/>
        </w:rPr>
        <w:t xml:space="preserve"> centuries-old </w:t>
      </w:r>
      <w:r w:rsidRPr="00A35212">
        <w:rPr>
          <w:rStyle w:val="Emphasis"/>
        </w:rPr>
        <w:t>tendency</w:t>
      </w:r>
      <w:r w:rsidRPr="00605BD8">
        <w:rPr>
          <w:rStyle w:val="StyleUnderline"/>
        </w:rPr>
        <w:t xml:space="preserve"> of </w:t>
      </w:r>
      <w:r w:rsidRPr="00A35212">
        <w:rPr>
          <w:rStyle w:val="StyleUnderline"/>
          <w:b/>
          <w:bCs/>
        </w:rPr>
        <w:t>Western</w:t>
      </w:r>
      <w:r w:rsidRPr="00605BD8">
        <w:rPr>
          <w:rStyle w:val="StyleUnderline"/>
        </w:rPr>
        <w:t xml:space="preserve"> </w:t>
      </w:r>
      <w:r w:rsidRPr="00A35212">
        <w:rPr>
          <w:rStyle w:val="StyleUnderline"/>
          <w:b/>
          <w:bCs/>
        </w:rPr>
        <w:t>epistemology</w:t>
      </w:r>
      <w:r w:rsidRPr="00605BD8">
        <w:rPr>
          <w:rStyle w:val="StyleUnderline"/>
        </w:rPr>
        <w:t xml:space="preserve"> to </w:t>
      </w:r>
      <w:r w:rsidRPr="00A35212">
        <w:rPr>
          <w:rStyle w:val="StyleUnderline"/>
          <w:b/>
          <w:bCs/>
        </w:rPr>
        <w:t>create</w:t>
      </w:r>
      <w:r w:rsidRPr="00605BD8">
        <w:rPr>
          <w:rStyle w:val="StyleUnderline"/>
        </w:rPr>
        <w:t xml:space="preserve"> a </w:t>
      </w:r>
      <w:r w:rsidRPr="00AB2A77">
        <w:rPr>
          <w:rStyle w:val="StyleUnderline"/>
          <w:b/>
          <w:bCs/>
        </w:rPr>
        <w:t>division</w:t>
      </w:r>
      <w:r w:rsidRPr="00605BD8">
        <w:rPr>
          <w:rStyle w:val="StyleUnderline"/>
        </w:rPr>
        <w:t xml:space="preserve"> </w:t>
      </w:r>
      <w:r w:rsidRPr="00AB2A77">
        <w:rPr>
          <w:rStyle w:val="StyleUnderline"/>
          <w:b/>
          <w:bCs/>
        </w:rPr>
        <w:t>between</w:t>
      </w:r>
      <w:r w:rsidRPr="00605BD8">
        <w:rPr>
          <w:rStyle w:val="StyleUnderline"/>
        </w:rPr>
        <w:t xml:space="preserve"> a </w:t>
      </w:r>
      <w:r w:rsidRPr="00AB2A77">
        <w:rPr>
          <w:rStyle w:val="StyleUnderline"/>
          <w:b/>
          <w:bCs/>
        </w:rPr>
        <w:t>Subject</w:t>
      </w:r>
      <w:r w:rsidRPr="00605BD8">
        <w:rPr>
          <w:rStyle w:val="StyleUnderline"/>
        </w:rPr>
        <w:t xml:space="preserve"> </w:t>
      </w:r>
      <w:r w:rsidRPr="00AB2A77">
        <w:rPr>
          <w:rStyle w:val="StyleUnderline"/>
          <w:b/>
          <w:bCs/>
        </w:rPr>
        <w:t>and</w:t>
      </w:r>
      <w:r w:rsidRPr="00605BD8">
        <w:rPr>
          <w:rStyle w:val="StyleUnderline"/>
        </w:rPr>
        <w:t xml:space="preserve"> </w:t>
      </w:r>
      <w:r w:rsidRPr="00AB2A77">
        <w:rPr>
          <w:rStyle w:val="StyleUnderline"/>
          <w:b/>
          <w:bCs/>
        </w:rPr>
        <w:t>a</w:t>
      </w:r>
      <w:r w:rsidRPr="00605BD8">
        <w:rPr>
          <w:rStyle w:val="StyleUnderline"/>
        </w:rPr>
        <w:t xml:space="preserve"> "</w:t>
      </w:r>
      <w:r w:rsidRPr="00AB2A77">
        <w:rPr>
          <w:rStyle w:val="StyleUnderline"/>
          <w:b/>
          <w:bCs/>
        </w:rPr>
        <w:t>Other</w:t>
      </w:r>
      <w:r w:rsidRPr="00605BD8">
        <w:rPr>
          <w:rStyle w:val="StyleUnderline"/>
        </w:rPr>
        <w:t xml:space="preserve">" is at </w:t>
      </w:r>
      <w:r w:rsidRPr="00AB2A77">
        <w:rPr>
          <w:rStyle w:val="StyleUnderline"/>
          <w:b/>
          <w:bCs/>
        </w:rPr>
        <w:t>the heart of the violence inflicted by the unintended consequences of new</w:t>
      </w:r>
      <w:r w:rsidRPr="00605BD8">
        <w:rPr>
          <w:rStyle w:val="StyleUnderline"/>
        </w:rPr>
        <w:t xml:space="preserve"> media and </w:t>
      </w:r>
      <w:r w:rsidRPr="00AB2A77">
        <w:rPr>
          <w:rStyle w:val="StyleUnderline"/>
          <w:b/>
          <w:bCs/>
        </w:rPr>
        <w:t>tech</w:t>
      </w:r>
      <w:r w:rsidRPr="00605BD8">
        <w:rPr>
          <w:rStyle w:val="StyleUnderline"/>
        </w:rPr>
        <w:t>nology</w:t>
      </w:r>
      <w:r w:rsidRPr="00AB2A77">
        <w:rPr>
          <w:rStyle w:val="StyleUnderline"/>
          <w:b/>
          <w:bCs/>
        </w:rPr>
        <w:t>, including Al systems</w:t>
      </w:r>
      <w:r w:rsidRPr="00230C7F">
        <w:rPr>
          <w:rStyle w:val="StyleUnderline"/>
          <w:sz w:val="12"/>
          <w:u w:val="none"/>
        </w:rPr>
        <w:t xml:space="preserve"> (Arendt, 1958</w:t>
      </w:r>
      <w:r w:rsidRPr="00605BD8">
        <w:rPr>
          <w:rStyle w:val="StyleUnderline"/>
        </w:rPr>
        <w:t xml:space="preserve">). Non-Western, non-white, non-male, poor, queer, transgender, dis/abled, non-Christian, non-capitalist, un-educated, subaltern, un-housed, un-free: </w:t>
      </w:r>
      <w:r w:rsidRPr="00E05744">
        <w:rPr>
          <w:rStyle w:val="StyleUnderline"/>
          <w:b/>
          <w:bCs/>
        </w:rPr>
        <w:t xml:space="preserve">people outside </w:t>
      </w:r>
      <w:r w:rsidRPr="009D2714">
        <w:rPr>
          <w:rStyle w:val="StyleUnderline"/>
        </w:rPr>
        <w:t>the</w:t>
      </w:r>
      <w:r w:rsidRPr="00E05744">
        <w:rPr>
          <w:rStyle w:val="StyleUnderline"/>
          <w:b/>
          <w:bCs/>
        </w:rPr>
        <w:t xml:space="preserve"> dominant group </w:t>
      </w:r>
      <w:r w:rsidRPr="009D2714">
        <w:rPr>
          <w:rStyle w:val="StyleUnderline"/>
        </w:rPr>
        <w:t>are</w:t>
      </w:r>
      <w:r w:rsidRPr="00E05744">
        <w:rPr>
          <w:rStyle w:val="StyleUnderline"/>
          <w:b/>
          <w:bCs/>
        </w:rPr>
        <w:t xml:space="preserve"> </w:t>
      </w:r>
      <w:r w:rsidRPr="009D2714">
        <w:rPr>
          <w:rStyle w:val="StyleUnderline"/>
        </w:rPr>
        <w:t>often</w:t>
      </w:r>
      <w:r w:rsidRPr="00E05744">
        <w:rPr>
          <w:rStyle w:val="StyleUnderline"/>
          <w:b/>
          <w:bCs/>
        </w:rPr>
        <w:t xml:space="preserve"> perceived </w:t>
      </w:r>
      <w:r w:rsidRPr="009D2714">
        <w:rPr>
          <w:rStyle w:val="StyleUnderline"/>
        </w:rPr>
        <w:t>to be an</w:t>
      </w:r>
      <w:r w:rsidRPr="00E05744">
        <w:rPr>
          <w:rStyle w:val="StyleUnderline"/>
          <w:b/>
          <w:bCs/>
        </w:rPr>
        <w:t xml:space="preserve"> obstacle </w:t>
      </w:r>
      <w:r w:rsidRPr="009D2714">
        <w:rPr>
          <w:rStyle w:val="StyleUnderline"/>
        </w:rPr>
        <w:t>in</w:t>
      </w:r>
      <w:r w:rsidRPr="00E05744">
        <w:rPr>
          <w:rStyle w:val="StyleUnderline"/>
          <w:b/>
          <w:bCs/>
        </w:rPr>
        <w:t xml:space="preserve"> tech-progressive utopias </w:t>
      </w:r>
      <w:r w:rsidRPr="009D2714">
        <w:rPr>
          <w:rStyle w:val="StyleUnderline"/>
        </w:rPr>
        <w:t>and</w:t>
      </w:r>
      <w:r w:rsidRPr="00E05744">
        <w:rPr>
          <w:rStyle w:val="StyleUnderline"/>
          <w:b/>
          <w:bCs/>
        </w:rPr>
        <w:t xml:space="preserve"> discarded </w:t>
      </w:r>
      <w:r w:rsidRPr="009D2714">
        <w:rPr>
          <w:rStyle w:val="StyleUnderline"/>
        </w:rPr>
        <w:t>as</w:t>
      </w:r>
      <w:r w:rsidRPr="00E05744">
        <w:rPr>
          <w:rStyle w:val="StyleUnderline"/>
          <w:b/>
          <w:bCs/>
        </w:rPr>
        <w:t xml:space="preserve"> "surplus humanity," </w:t>
      </w:r>
      <w:r w:rsidRPr="009D2714">
        <w:rPr>
          <w:rStyle w:val="StyleUnderline"/>
        </w:rPr>
        <w:t>an</w:t>
      </w:r>
      <w:r w:rsidRPr="00E05744">
        <w:rPr>
          <w:rStyle w:val="StyleUnderline"/>
          <w:b/>
          <w:bCs/>
        </w:rPr>
        <w:t xml:space="preserve"> afterthought, </w:t>
      </w:r>
      <w:r w:rsidRPr="009D2714">
        <w:rPr>
          <w:rStyle w:val="StyleUnderline"/>
        </w:rPr>
        <w:t>an</w:t>
      </w:r>
      <w:r w:rsidRPr="00E05744">
        <w:rPr>
          <w:rStyle w:val="StyleUnderline"/>
          <w:b/>
          <w:bCs/>
        </w:rPr>
        <w:t xml:space="preserve"> impediment</w:t>
      </w:r>
      <w:r w:rsidRPr="00230C7F">
        <w:rPr>
          <w:rStyle w:val="StyleUnderline"/>
          <w:sz w:val="12"/>
          <w:u w:val="none"/>
        </w:rPr>
        <w:t xml:space="preserve"> (Said, 1979; Muñoz, 1999). </w:t>
      </w:r>
      <w:r w:rsidRPr="00E408D3">
        <w:rPr>
          <w:rStyle w:val="StyleUnderline"/>
          <w:b/>
          <w:bCs/>
        </w:rPr>
        <w:t>The Other is described as</w:t>
      </w:r>
      <w:r w:rsidRPr="00605BD8">
        <w:rPr>
          <w:rStyle w:val="StyleUnderline"/>
        </w:rPr>
        <w:t xml:space="preserve"> un-technological, or as </w:t>
      </w:r>
      <w:r w:rsidRPr="00E408D3">
        <w:rPr>
          <w:rStyle w:val="StyleUnderline"/>
          <w:b/>
          <w:bCs/>
        </w:rPr>
        <w:t>only using technology for nefarious purposes,</w:t>
      </w:r>
      <w:r w:rsidRPr="00605BD8">
        <w:rPr>
          <w:rStyle w:val="StyleUnderline"/>
        </w:rPr>
        <w:t xml:space="preserve"> and </w:t>
      </w:r>
      <w:r w:rsidRPr="00E408D3">
        <w:rPr>
          <w:rStyle w:val="StyleUnderline"/>
          <w:b/>
          <w:bCs/>
        </w:rPr>
        <w:t>therefore uncivilized</w:t>
      </w:r>
      <w:r w:rsidRPr="00605BD8">
        <w:rPr>
          <w:rStyle w:val="StyleUnderline"/>
        </w:rPr>
        <w:t>, even though these communities are in truth the most heavily technologized for the purpose of their surveillance and control</w:t>
      </w:r>
      <w:r w:rsidRPr="00230C7F">
        <w:rPr>
          <w:rStyle w:val="StyleUnderline"/>
          <w:sz w:val="12"/>
          <w:u w:val="none"/>
        </w:rPr>
        <w:t xml:space="preserve"> (Abdurahman and Ghoshal, 2021; Mavhunga, 2014). Dismantling the idea of the Other is no simple task, and it is therefore critical to keep in mind the caveats issued by transnational feminism reflected in the works of scholar-activists such as Chandra Mohanty. Combating the processes of othering marginalized communities cannot happen in the form of superficial empty signifiers such as "universal sisterhood," in the case of non-Western and Western women, because it is undeniable that there are significant differences in the conditions of these groups (Mohanty, 2005). </w:t>
      </w:r>
      <w:r w:rsidRPr="002B0F58">
        <w:rPr>
          <w:rStyle w:val="StyleUnderline"/>
        </w:rPr>
        <w:t xml:space="preserve">These </w:t>
      </w:r>
      <w:r w:rsidRPr="00E408D3">
        <w:rPr>
          <w:rStyle w:val="StyleUnderline"/>
          <w:b/>
          <w:bCs/>
        </w:rPr>
        <w:t>dehumanizing</w:t>
      </w:r>
      <w:r w:rsidRPr="002B0F58">
        <w:rPr>
          <w:rStyle w:val="StyleUnderline"/>
        </w:rPr>
        <w:t xml:space="preserve"> </w:t>
      </w:r>
      <w:r w:rsidRPr="00E408D3">
        <w:rPr>
          <w:rStyle w:val="StyleUnderline"/>
          <w:b/>
          <w:bCs/>
        </w:rPr>
        <w:t>differences</w:t>
      </w:r>
      <w:r w:rsidRPr="002B0F58">
        <w:rPr>
          <w:rStyle w:val="StyleUnderline"/>
        </w:rPr>
        <w:t xml:space="preserve"> are </w:t>
      </w:r>
      <w:r w:rsidRPr="00E408D3">
        <w:rPr>
          <w:rStyle w:val="StyleUnderline"/>
          <w:b/>
          <w:bCs/>
        </w:rPr>
        <w:t xml:space="preserve">brought </w:t>
      </w:r>
      <w:r w:rsidRPr="006964E3">
        <w:rPr>
          <w:rStyle w:val="StyleUnderline"/>
          <w:b/>
          <w:bCs/>
        </w:rPr>
        <w:t>about</w:t>
      </w:r>
      <w:r w:rsidRPr="002B0F58">
        <w:rPr>
          <w:rStyle w:val="StyleUnderline"/>
        </w:rPr>
        <w:t xml:space="preserve"> in no small part by the joint projects of </w:t>
      </w:r>
      <w:r w:rsidRPr="006964E3">
        <w:rPr>
          <w:rStyle w:val="StyleUnderline"/>
          <w:b/>
          <w:bCs/>
        </w:rPr>
        <w:t>coloniality, heteropatriarchy</w:t>
      </w:r>
      <w:r w:rsidRPr="002B0F58">
        <w:rPr>
          <w:rStyle w:val="StyleUnderline"/>
        </w:rPr>
        <w:t xml:space="preserve">, and </w:t>
      </w:r>
      <w:r w:rsidRPr="006964E3">
        <w:rPr>
          <w:rStyle w:val="StyleUnderline"/>
          <w:b/>
          <w:bCs/>
        </w:rPr>
        <w:t>global racial capitalism</w:t>
      </w:r>
      <w:r w:rsidRPr="002B0F58">
        <w:rPr>
          <w:rStyle w:val="StyleUnderline"/>
        </w:rPr>
        <w:t xml:space="preserve"> the </w:t>
      </w:r>
      <w:r w:rsidRPr="006964E3">
        <w:rPr>
          <w:rStyle w:val="StyleUnderline"/>
          <w:b/>
          <w:bCs/>
        </w:rPr>
        <w:t>persistent sociopolitical, economic, and cultural order that engenders AI developments</w:t>
      </w:r>
      <w:r w:rsidRPr="002B0F58">
        <w:rPr>
          <w:rStyle w:val="StyleUnderline"/>
        </w:rPr>
        <w:t xml:space="preserve"> such as The Line and </w:t>
      </w:r>
      <w:r w:rsidRPr="006964E3">
        <w:rPr>
          <w:rStyle w:val="StyleUnderline"/>
          <w:b/>
          <w:bCs/>
        </w:rPr>
        <w:t>which is in turn shaped by them</w:t>
      </w:r>
      <w:r w:rsidRPr="002B0F58">
        <w:rPr>
          <w:rStyle w:val="StyleUnderline"/>
        </w:rPr>
        <w:t>.</w:t>
      </w:r>
      <w:r w:rsidRPr="00230C7F">
        <w:rPr>
          <w:rStyle w:val="StyleUnderline"/>
          <w:sz w:val="12"/>
          <w:u w:val="none"/>
        </w:rPr>
        <w:t xml:space="preserve"> The Line in Saudi Arabia, as well as the facial identification anti-protest crackdowns in Hong Kong, Iran, and Russia, along with NATO's "smart" weapons: </w:t>
      </w:r>
      <w:r w:rsidRPr="005D65A7">
        <w:rPr>
          <w:rStyle w:val="StyleUnderline"/>
        </w:rPr>
        <w:t xml:space="preserve">The </w:t>
      </w:r>
      <w:r w:rsidRPr="002C7241">
        <w:rPr>
          <w:rStyle w:val="StyleUnderline"/>
          <w:b/>
          <w:bCs/>
        </w:rPr>
        <w:t>neo-imperialist race</w:t>
      </w:r>
      <w:r w:rsidRPr="005D65A7">
        <w:rPr>
          <w:rStyle w:val="StyleUnderline"/>
        </w:rPr>
        <w:t xml:space="preserve"> for </w:t>
      </w:r>
      <w:r w:rsidRPr="002C7241">
        <w:rPr>
          <w:rStyle w:val="StyleUnderline"/>
          <w:b/>
          <w:bCs/>
        </w:rPr>
        <w:t>power</w:t>
      </w:r>
      <w:r w:rsidRPr="005D65A7">
        <w:rPr>
          <w:rStyle w:val="StyleUnderline"/>
        </w:rPr>
        <w:t xml:space="preserve"> </w:t>
      </w:r>
      <w:r w:rsidRPr="002C7241">
        <w:rPr>
          <w:rStyle w:val="StyleUnderline"/>
          <w:b/>
          <w:bCs/>
        </w:rPr>
        <w:t>fueled</w:t>
      </w:r>
      <w:r w:rsidRPr="005D65A7">
        <w:rPr>
          <w:rStyle w:val="StyleUnderline"/>
        </w:rPr>
        <w:t xml:space="preserve"> </w:t>
      </w:r>
      <w:r w:rsidRPr="002C7241">
        <w:rPr>
          <w:rStyle w:val="StyleUnderline"/>
          <w:b/>
          <w:bCs/>
        </w:rPr>
        <w:t>by Al</w:t>
      </w:r>
      <w:r w:rsidRPr="005D65A7">
        <w:rPr>
          <w:rStyle w:val="StyleUnderline"/>
        </w:rPr>
        <w:t xml:space="preserve"> is so </w:t>
      </w:r>
      <w:r w:rsidRPr="00B74AF0">
        <w:rPr>
          <w:rStyle w:val="StyleUnderline"/>
          <w:b/>
          <w:bCs/>
        </w:rPr>
        <w:t>reminiscent</w:t>
      </w:r>
      <w:r w:rsidRPr="005D65A7">
        <w:rPr>
          <w:rStyle w:val="StyleUnderline"/>
        </w:rPr>
        <w:t xml:space="preserve"> of the </w:t>
      </w:r>
      <w:r w:rsidRPr="00B74AF0">
        <w:rPr>
          <w:rStyle w:val="StyleUnderline"/>
          <w:b/>
          <w:bCs/>
        </w:rPr>
        <w:t>imperial games of the past</w:t>
      </w:r>
      <w:r w:rsidRPr="005D65A7">
        <w:rPr>
          <w:rStyle w:val="StyleUnderline"/>
        </w:rPr>
        <w:t xml:space="preserve"> that leading political scientists have started talking about "Empire Resurgent," even </w:t>
      </w:r>
      <w:r w:rsidRPr="00B74AF0">
        <w:rPr>
          <w:rStyle w:val="StyleUnderline"/>
          <w:b/>
          <w:bCs/>
        </w:rPr>
        <w:t>though</w:t>
      </w:r>
      <w:r w:rsidRPr="005D65A7">
        <w:rPr>
          <w:rStyle w:val="StyleUnderline"/>
        </w:rPr>
        <w:t xml:space="preserve"> </w:t>
      </w:r>
      <w:r w:rsidRPr="00B74AF0">
        <w:rPr>
          <w:rStyle w:val="StyleUnderline"/>
          <w:b/>
          <w:bCs/>
        </w:rPr>
        <w:t>we</w:t>
      </w:r>
      <w:r w:rsidRPr="005D65A7">
        <w:rPr>
          <w:rStyle w:val="StyleUnderline"/>
        </w:rPr>
        <w:t xml:space="preserve"> </w:t>
      </w:r>
      <w:r w:rsidRPr="00B74AF0">
        <w:rPr>
          <w:rStyle w:val="StyleUnderline"/>
          <w:b/>
          <w:bCs/>
        </w:rPr>
        <w:t>live in ostensibly "postcolonial" times</w:t>
      </w:r>
      <w:r w:rsidRPr="005D65A7">
        <w:rPr>
          <w:rStyle w:val="StyleUnderline"/>
        </w:rPr>
        <w:t>.?</w:t>
      </w:r>
      <w:r w:rsidRPr="00230C7F">
        <w:rPr>
          <w:rStyle w:val="StyleUnderline"/>
          <w:sz w:val="12"/>
          <w:u w:val="none"/>
        </w:rPr>
        <w:t xml:space="preserve"> 2.1 Interlocking Matrices of the Al Empire: Data Colonialism, Data Commodification, Biometric Profiling, and Technological Apartheid As the world eagerly awaits the advent of a fully datafied city like The Line, where every action will be captured and translated into data in real time, the Uyghur people in the Chinese Xinjiang province one of China's largest ethnic and religious minorities— have had to live in a state of similar constant data capturing for years. Smart technologies enable the total integration of multiple data streams and sensorial information to surveil the online communication of journalists and dissidents critical of the monarchy in the form of military-grade "mercenary spyware" (House, 2022). </w:t>
      </w:r>
      <w:r w:rsidRPr="000843DA">
        <w:rPr>
          <w:rStyle w:val="StyleUnderline"/>
        </w:rPr>
        <w:t xml:space="preserve">The </w:t>
      </w:r>
      <w:r w:rsidRPr="00AB4571">
        <w:rPr>
          <w:rStyle w:val="StyleUnderline"/>
          <w:b/>
          <w:bCs/>
        </w:rPr>
        <w:t>process</w:t>
      </w:r>
      <w:r w:rsidRPr="000843DA">
        <w:rPr>
          <w:rStyle w:val="StyleUnderline"/>
        </w:rPr>
        <w:t xml:space="preserve"> by which </w:t>
      </w:r>
      <w:r w:rsidRPr="00424F5F">
        <w:rPr>
          <w:rStyle w:val="StyleUnderline"/>
          <w:b/>
          <w:bCs/>
        </w:rPr>
        <w:t>governments</w:t>
      </w:r>
      <w:r w:rsidRPr="000843DA">
        <w:rPr>
          <w:rStyle w:val="StyleUnderline"/>
        </w:rPr>
        <w:t xml:space="preserve"> and </w:t>
      </w:r>
      <w:r w:rsidRPr="00424F5F">
        <w:rPr>
          <w:rStyle w:val="StyleUnderline"/>
          <w:b/>
          <w:bCs/>
        </w:rPr>
        <w:t>corporations</w:t>
      </w:r>
      <w:r w:rsidRPr="000843DA">
        <w:rPr>
          <w:rStyle w:val="StyleUnderline"/>
        </w:rPr>
        <w:t xml:space="preserve"> </w:t>
      </w:r>
      <w:r w:rsidRPr="00424F5F">
        <w:rPr>
          <w:rStyle w:val="StyleUnderline"/>
          <w:b/>
          <w:bCs/>
        </w:rPr>
        <w:t>privatize, weaponize, and claim ownership of</w:t>
      </w:r>
      <w:r w:rsidRPr="000843DA">
        <w:rPr>
          <w:rStyle w:val="StyleUnderline"/>
        </w:rPr>
        <w:t xml:space="preserve"> the </w:t>
      </w:r>
      <w:r w:rsidRPr="00F50C52">
        <w:rPr>
          <w:rStyle w:val="StyleUnderline"/>
          <w:b/>
          <w:bCs/>
        </w:rPr>
        <w:t xml:space="preserve">data produced by their users and citizens </w:t>
      </w:r>
      <w:r w:rsidRPr="00F50C52">
        <w:rPr>
          <w:rStyle w:val="StyleUnderline"/>
        </w:rPr>
        <w:t>has come to be</w:t>
      </w:r>
      <w:r w:rsidRPr="00F50C52">
        <w:rPr>
          <w:rStyle w:val="StyleUnderline"/>
          <w:b/>
          <w:bCs/>
        </w:rPr>
        <w:t xml:space="preserve"> known as data colonialism</w:t>
      </w:r>
      <w:r w:rsidRPr="00230C7F">
        <w:rPr>
          <w:rStyle w:val="StyleUnderline"/>
          <w:sz w:val="12"/>
          <w:u w:val="none"/>
        </w:rPr>
        <w:t xml:space="preserve"> (Coleman, 2018; Couldry and Mejias, 2019). In applying a colonial lens to the contemporary phenomena of datafication and data extraction</w:t>
      </w:r>
      <w:r w:rsidRPr="000236EC">
        <w:rPr>
          <w:rStyle w:val="StyleUnderline"/>
        </w:rPr>
        <w:t xml:space="preserve">, we should be careful not to erase the </w:t>
      </w:r>
      <w:r w:rsidRPr="00F50C52">
        <w:rPr>
          <w:rStyle w:val="StyleUnderline"/>
          <w:b/>
          <w:bCs/>
        </w:rPr>
        <w:t>ongoing trauma</w:t>
      </w:r>
      <w:r w:rsidRPr="00F50C52">
        <w:rPr>
          <w:rStyle w:val="StyleUnderline"/>
        </w:rPr>
        <w:t xml:space="preserve"> </w:t>
      </w:r>
      <w:r w:rsidRPr="000236EC">
        <w:rPr>
          <w:rStyle w:val="StyleUnderline"/>
        </w:rPr>
        <w:t xml:space="preserve">and </w:t>
      </w:r>
      <w:r w:rsidRPr="00F50C52">
        <w:rPr>
          <w:rStyle w:val="StyleUnderline"/>
          <w:b/>
          <w:bCs/>
        </w:rPr>
        <w:t>injustice</w:t>
      </w:r>
      <w:r w:rsidRPr="000236EC">
        <w:rPr>
          <w:rStyle w:val="StyleUnderline"/>
        </w:rPr>
        <w:t xml:space="preserve"> brought about by the </w:t>
      </w:r>
      <w:r w:rsidRPr="00F50C52">
        <w:rPr>
          <w:rStyle w:val="StyleUnderline"/>
          <w:b/>
          <w:bCs/>
        </w:rPr>
        <w:t>structures of modernity/coloniality</w:t>
      </w:r>
      <w:r w:rsidRPr="000236EC">
        <w:rPr>
          <w:rStyle w:val="StyleUnderline"/>
        </w:rPr>
        <w:t xml:space="preserve">, or the </w:t>
      </w:r>
      <w:r w:rsidRPr="00F50C52">
        <w:rPr>
          <w:rStyle w:val="StyleUnderline"/>
          <w:b/>
          <w:bCs/>
        </w:rPr>
        <w:t>co-constitutive forces of colonialism and capitalism</w:t>
      </w:r>
      <w:r w:rsidRPr="00230C7F">
        <w:rPr>
          <w:rStyle w:val="StyleUnderline"/>
          <w:sz w:val="12"/>
          <w:u w:val="none"/>
        </w:rPr>
        <w:t xml:space="preserve"> (Mignolo, 2007). </w:t>
      </w:r>
      <w:r w:rsidRPr="000236EC">
        <w:rPr>
          <w:rStyle w:val="StyleUnderline"/>
        </w:rPr>
        <w:t xml:space="preserve">The </w:t>
      </w:r>
      <w:r w:rsidRPr="00F50C52">
        <w:rPr>
          <w:rStyle w:val="StyleUnderline"/>
          <w:b/>
          <w:bCs/>
        </w:rPr>
        <w:t>narrative of colonialism</w:t>
      </w:r>
      <w:r w:rsidRPr="000236EC">
        <w:rPr>
          <w:rStyle w:val="StyleUnderline"/>
        </w:rPr>
        <w:t xml:space="preserve"> and modernity has come to </w:t>
      </w:r>
      <w:r w:rsidRPr="00F50C52">
        <w:rPr>
          <w:rStyle w:val="StyleUnderline"/>
          <w:b/>
          <w:bCs/>
        </w:rPr>
        <w:t xml:space="preserve">shape </w:t>
      </w:r>
      <w:r w:rsidRPr="000236EC">
        <w:rPr>
          <w:rStyle w:val="StyleUnderline"/>
        </w:rPr>
        <w:t xml:space="preserve">many aspects of </w:t>
      </w:r>
      <w:r w:rsidRPr="00F50C52">
        <w:rPr>
          <w:rStyle w:val="StyleUnderline"/>
          <w:b/>
          <w:bCs/>
        </w:rPr>
        <w:t>today's world</w:t>
      </w:r>
      <w:r w:rsidRPr="000236EC">
        <w:rPr>
          <w:rStyle w:val="StyleUnderline"/>
        </w:rPr>
        <w:t xml:space="preserve"> </w:t>
      </w:r>
      <w:r w:rsidRPr="00F50C52">
        <w:rPr>
          <w:rStyle w:val="StyleUnderline"/>
          <w:b/>
          <w:bCs/>
        </w:rPr>
        <w:t>through</w:t>
      </w:r>
      <w:r w:rsidRPr="000236EC">
        <w:rPr>
          <w:rStyle w:val="StyleUnderline"/>
        </w:rPr>
        <w:t xml:space="preserve"> the </w:t>
      </w:r>
      <w:r w:rsidRPr="00F50C52">
        <w:rPr>
          <w:rStyle w:val="StyleUnderline"/>
          <w:b/>
          <w:bCs/>
        </w:rPr>
        <w:t>material and epistemic violence issued by the West against its formal and informal colonies</w:t>
      </w:r>
      <w:r w:rsidRPr="00230C7F">
        <w:rPr>
          <w:rStyle w:val="StyleUnderline"/>
          <w:sz w:val="12"/>
          <w:u w:val="none"/>
        </w:rPr>
        <w:t xml:space="preserve"> (Appiah, 2023). </w:t>
      </w:r>
      <w:r w:rsidRPr="000236EC">
        <w:rPr>
          <w:rStyle w:val="StyleUnderline"/>
        </w:rPr>
        <w:t xml:space="preserve">Much of today's state and corporate power relies on churning through large swaths of continuously captured data for decision-making and innovation. </w:t>
      </w:r>
      <w:r w:rsidRPr="00230C7F">
        <w:rPr>
          <w:rStyle w:val="StyleUnderline"/>
          <w:sz w:val="12"/>
          <w:u w:val="none"/>
        </w:rPr>
        <w:t xml:space="preserve">A big part 3 of </w:t>
      </w:r>
      <w:r w:rsidRPr="0052631F">
        <w:rPr>
          <w:rStyle w:val="StyleUnderline"/>
        </w:rPr>
        <w:t xml:space="preserve">these </w:t>
      </w:r>
      <w:r w:rsidRPr="00950565">
        <w:rPr>
          <w:rStyle w:val="StyleUnderline"/>
          <w:b/>
          <w:bCs/>
        </w:rPr>
        <w:t>data</w:t>
      </w:r>
      <w:r w:rsidRPr="0052631F">
        <w:rPr>
          <w:rStyle w:val="StyleUnderline"/>
        </w:rPr>
        <w:t xml:space="preserve"> streams are generated in former colonial spaces or </w:t>
      </w:r>
      <w:r w:rsidRPr="00950565">
        <w:rPr>
          <w:rStyle w:val="StyleUnderline"/>
          <w:b/>
          <w:bCs/>
        </w:rPr>
        <w:t>made sense of through the labor of non-Western subjects</w:t>
      </w:r>
      <w:r w:rsidRPr="00230C7F">
        <w:rPr>
          <w:rStyle w:val="StyleUnderline"/>
          <w:sz w:val="12"/>
          <w:u w:val="none"/>
        </w:rPr>
        <w:t xml:space="preserve">. Take, </w:t>
      </w:r>
      <w:r w:rsidRPr="0052631F">
        <w:rPr>
          <w:rStyle w:val="StyleUnderline"/>
        </w:rPr>
        <w:t>for example, the</w:t>
      </w:r>
      <w:r w:rsidRPr="00230C7F">
        <w:rPr>
          <w:rStyle w:val="StyleUnderline"/>
          <w:sz w:val="12"/>
          <w:u w:val="none"/>
        </w:rPr>
        <w:t xml:space="preserve"> recent revelations about the much-acclaimed OpenAI </w:t>
      </w:r>
      <w:r w:rsidRPr="00950565">
        <w:rPr>
          <w:rStyle w:val="StyleUnderline"/>
          <w:b/>
          <w:bCs/>
        </w:rPr>
        <w:t>ChatGPT</w:t>
      </w:r>
      <w:r w:rsidRPr="0052631F">
        <w:rPr>
          <w:rStyle w:val="StyleUnderline"/>
        </w:rPr>
        <w:t xml:space="preserve"> public user interface, whose remarkable </w:t>
      </w:r>
      <w:r w:rsidRPr="00950565">
        <w:rPr>
          <w:rStyle w:val="StyleUnderline"/>
          <w:b/>
          <w:bCs/>
        </w:rPr>
        <w:t>properties</w:t>
      </w:r>
      <w:r w:rsidRPr="0052631F">
        <w:rPr>
          <w:rStyle w:val="StyleUnderline"/>
        </w:rPr>
        <w:t xml:space="preserve"> are </w:t>
      </w:r>
      <w:r w:rsidRPr="00950565">
        <w:rPr>
          <w:rStyle w:val="StyleUnderline"/>
          <w:b/>
          <w:bCs/>
        </w:rPr>
        <w:t>in part due to the $2 per hour labor of Kenyan content moderators</w:t>
      </w:r>
      <w:r w:rsidRPr="0052631F">
        <w:rPr>
          <w:rStyle w:val="StyleUnderline"/>
        </w:rPr>
        <w:t>.</w:t>
      </w:r>
      <w:r w:rsidRPr="00230C7F">
        <w:rPr>
          <w:rStyle w:val="StyleUnderline"/>
          <w:sz w:val="12"/>
          <w:u w:val="none"/>
        </w:rPr>
        <w:t xml:space="preserve">3 </w:t>
      </w:r>
      <w:r w:rsidRPr="00C86AD2">
        <w:rPr>
          <w:rStyle w:val="StyleUnderline"/>
        </w:rPr>
        <w:t xml:space="preserve">Once the </w:t>
      </w:r>
      <w:r w:rsidRPr="00AA5C70">
        <w:rPr>
          <w:rStyle w:val="StyleUnderline"/>
          <w:b/>
          <w:bCs/>
        </w:rPr>
        <w:t>data grab</w:t>
      </w:r>
      <w:r w:rsidRPr="00C86AD2">
        <w:rPr>
          <w:rStyle w:val="StyleUnderline"/>
        </w:rPr>
        <w:t xml:space="preserve"> has occurred </w:t>
      </w:r>
      <w:r w:rsidRPr="00AA5C70">
        <w:rPr>
          <w:rStyle w:val="StyleUnderline"/>
          <w:b/>
          <w:bCs/>
        </w:rPr>
        <w:t>under</w:t>
      </w:r>
      <w:r w:rsidRPr="00C86AD2">
        <w:rPr>
          <w:rStyle w:val="StyleUnderline"/>
        </w:rPr>
        <w:t xml:space="preserve"> the auspices of </w:t>
      </w:r>
      <w:r w:rsidRPr="00AA5C70">
        <w:rPr>
          <w:rStyle w:val="StyleUnderline"/>
          <w:b/>
          <w:bCs/>
        </w:rPr>
        <w:t>data colonialism</w:t>
      </w:r>
      <w:r w:rsidRPr="00C86AD2">
        <w:rPr>
          <w:rStyle w:val="StyleUnderline"/>
        </w:rPr>
        <w:t xml:space="preserve">, </w:t>
      </w:r>
      <w:r w:rsidRPr="00E263A7">
        <w:rPr>
          <w:rStyle w:val="StyleUnderline"/>
          <w:b/>
          <w:bCs/>
        </w:rPr>
        <w:t>the context of data the human stories and circumstances keeping it tethered to the social world- is irretrievably lost</w:t>
      </w:r>
      <w:r w:rsidRPr="00C86AD2">
        <w:rPr>
          <w:rStyle w:val="StyleUnderline"/>
        </w:rPr>
        <w:t xml:space="preserve">, and </w:t>
      </w:r>
      <w:r w:rsidRPr="00E263A7">
        <w:rPr>
          <w:rStyle w:val="StyleUnderline"/>
          <w:b/>
          <w:bCs/>
        </w:rPr>
        <w:t>data</w:t>
      </w:r>
      <w:r w:rsidRPr="00C86AD2">
        <w:rPr>
          <w:rStyle w:val="StyleUnderline"/>
        </w:rPr>
        <w:t xml:space="preserve"> is </w:t>
      </w:r>
      <w:r w:rsidRPr="00E263A7">
        <w:rPr>
          <w:rStyle w:val="StyleUnderline"/>
          <w:b/>
          <w:bCs/>
        </w:rPr>
        <w:t>turned</w:t>
      </w:r>
      <w:r w:rsidRPr="00C86AD2">
        <w:rPr>
          <w:rStyle w:val="StyleUnderline"/>
        </w:rPr>
        <w:t xml:space="preserve"> into a </w:t>
      </w:r>
      <w:r w:rsidRPr="00E263A7">
        <w:rPr>
          <w:rStyle w:val="StyleUnderline"/>
          <w:b/>
          <w:bCs/>
        </w:rPr>
        <w:t>commodity</w:t>
      </w:r>
      <w:r w:rsidRPr="00C86AD2">
        <w:rPr>
          <w:rStyle w:val="StyleUnderline"/>
        </w:rPr>
        <w:t xml:space="preserve"> to be </w:t>
      </w:r>
      <w:r w:rsidRPr="00E263A7">
        <w:rPr>
          <w:rStyle w:val="StyleUnderline"/>
          <w:b/>
          <w:bCs/>
        </w:rPr>
        <w:t>bought</w:t>
      </w:r>
      <w:r w:rsidRPr="00C86AD2">
        <w:rPr>
          <w:rStyle w:val="StyleUnderline"/>
        </w:rPr>
        <w:t xml:space="preserve"> and </w:t>
      </w:r>
      <w:r w:rsidRPr="00E263A7">
        <w:rPr>
          <w:rStyle w:val="StyleUnderline"/>
          <w:b/>
          <w:bCs/>
        </w:rPr>
        <w:t>sold</w:t>
      </w:r>
      <w:r w:rsidRPr="00C86AD2">
        <w:rPr>
          <w:rStyle w:val="StyleUnderline"/>
        </w:rPr>
        <w:t xml:space="preserve"> in the Big Data </w:t>
      </w:r>
      <w:r w:rsidRPr="00E263A7">
        <w:rPr>
          <w:rStyle w:val="StyleUnderline"/>
          <w:b/>
          <w:bCs/>
        </w:rPr>
        <w:t>marketplace</w:t>
      </w:r>
      <w:r w:rsidRPr="00C86AD2">
        <w:rPr>
          <w:rStyle w:val="StyleUnderline"/>
        </w:rPr>
        <w:t xml:space="preserve"> </w:t>
      </w:r>
      <w:r w:rsidRPr="00E263A7">
        <w:rPr>
          <w:rStyle w:val="StyleUnderline"/>
          <w:b/>
          <w:bCs/>
        </w:rPr>
        <w:t>of</w:t>
      </w:r>
      <w:r w:rsidRPr="00C86AD2">
        <w:rPr>
          <w:rStyle w:val="StyleUnderline"/>
        </w:rPr>
        <w:t xml:space="preserve"> </w:t>
      </w:r>
      <w:r w:rsidRPr="00E263A7">
        <w:rPr>
          <w:rStyle w:val="StyleUnderline"/>
          <w:b/>
          <w:bCs/>
        </w:rPr>
        <w:t>AI</w:t>
      </w:r>
      <w:r w:rsidRPr="00C86AD2">
        <w:rPr>
          <w:rStyle w:val="StyleUnderline"/>
        </w:rPr>
        <w:t xml:space="preserve"> </w:t>
      </w:r>
      <w:r w:rsidRPr="00E263A7">
        <w:rPr>
          <w:rStyle w:val="StyleUnderline"/>
          <w:b/>
          <w:bCs/>
        </w:rPr>
        <w:t>Empire</w:t>
      </w:r>
      <w:r w:rsidRPr="00C86AD2">
        <w:rPr>
          <w:rStyle w:val="StyleUnderline"/>
        </w:rPr>
        <w:t xml:space="preserve">. This </w:t>
      </w:r>
      <w:r w:rsidRPr="00E263A7">
        <w:rPr>
          <w:rStyle w:val="StyleUnderline"/>
          <w:b/>
          <w:bCs/>
        </w:rPr>
        <w:t>process</w:t>
      </w:r>
      <w:r w:rsidRPr="00C86AD2">
        <w:rPr>
          <w:rStyle w:val="StyleUnderline"/>
        </w:rPr>
        <w:t xml:space="preserve"> </w:t>
      </w:r>
      <w:r w:rsidRPr="00E263A7">
        <w:rPr>
          <w:rStyle w:val="StyleUnderline"/>
          <w:b/>
          <w:bCs/>
        </w:rPr>
        <w:t>of</w:t>
      </w:r>
      <w:r w:rsidRPr="00C86AD2">
        <w:rPr>
          <w:rStyle w:val="StyleUnderline"/>
        </w:rPr>
        <w:t xml:space="preserve"> </w:t>
      </w:r>
      <w:r w:rsidRPr="00E263A7">
        <w:rPr>
          <w:rStyle w:val="StyleUnderline"/>
          <w:b/>
          <w:bCs/>
        </w:rPr>
        <w:t>data</w:t>
      </w:r>
      <w:r w:rsidRPr="00C86AD2">
        <w:rPr>
          <w:rStyle w:val="StyleUnderline"/>
        </w:rPr>
        <w:t xml:space="preserve"> </w:t>
      </w:r>
      <w:r w:rsidRPr="00E263A7">
        <w:rPr>
          <w:rStyle w:val="StyleUnderline"/>
          <w:b/>
          <w:bCs/>
        </w:rPr>
        <w:t>commodification</w:t>
      </w:r>
      <w:r w:rsidRPr="00C86AD2">
        <w:rPr>
          <w:rStyle w:val="StyleUnderline"/>
        </w:rPr>
        <w:t xml:space="preserve"> </w:t>
      </w:r>
      <w:r w:rsidRPr="00E263A7">
        <w:rPr>
          <w:rStyle w:val="StyleUnderline"/>
          <w:b/>
          <w:bCs/>
        </w:rPr>
        <w:t>stands</w:t>
      </w:r>
      <w:r w:rsidRPr="00C86AD2">
        <w:rPr>
          <w:rStyle w:val="StyleUnderline"/>
        </w:rPr>
        <w:t xml:space="preserve"> in </w:t>
      </w:r>
      <w:r w:rsidRPr="00E263A7">
        <w:rPr>
          <w:rStyle w:val="StyleUnderline"/>
          <w:b/>
          <w:bCs/>
        </w:rPr>
        <w:t>direct</w:t>
      </w:r>
      <w:r w:rsidRPr="00C86AD2">
        <w:rPr>
          <w:rStyle w:val="StyleUnderline"/>
        </w:rPr>
        <w:t xml:space="preserve"> </w:t>
      </w:r>
      <w:r w:rsidRPr="00E263A7">
        <w:rPr>
          <w:rStyle w:val="StyleUnderline"/>
          <w:b/>
          <w:bCs/>
        </w:rPr>
        <w:t>contrast</w:t>
      </w:r>
      <w:r w:rsidRPr="00C86AD2">
        <w:rPr>
          <w:rStyle w:val="StyleUnderline"/>
        </w:rPr>
        <w:t xml:space="preserve"> </w:t>
      </w:r>
      <w:r w:rsidRPr="00E263A7">
        <w:rPr>
          <w:rStyle w:val="StyleUnderline"/>
          <w:b/>
          <w:bCs/>
        </w:rPr>
        <w:t>to</w:t>
      </w:r>
      <w:r w:rsidRPr="00C86AD2">
        <w:rPr>
          <w:rStyle w:val="StyleUnderline"/>
        </w:rPr>
        <w:t xml:space="preserve"> what </w:t>
      </w:r>
      <w:r w:rsidRPr="00E263A7">
        <w:rPr>
          <w:rStyle w:val="StyleUnderline"/>
          <w:b/>
          <w:bCs/>
        </w:rPr>
        <w:t>makes</w:t>
      </w:r>
      <w:r w:rsidRPr="00C86AD2">
        <w:rPr>
          <w:rStyle w:val="StyleUnderline"/>
        </w:rPr>
        <w:t xml:space="preserve"> us </w:t>
      </w:r>
      <w:r w:rsidRPr="00AE317E">
        <w:rPr>
          <w:rStyle w:val="StyleUnderline"/>
          <w:b/>
          <w:bCs/>
        </w:rPr>
        <w:t>human</w:t>
      </w:r>
      <w:r w:rsidRPr="00C86AD2">
        <w:rPr>
          <w:rStyle w:val="StyleUnderline"/>
        </w:rPr>
        <w:t xml:space="preserve">: </w:t>
      </w:r>
      <w:r w:rsidRPr="00AE317E">
        <w:rPr>
          <w:rStyle w:val="StyleUnderline"/>
          <w:b/>
          <w:bCs/>
        </w:rPr>
        <w:t>our</w:t>
      </w:r>
      <w:r w:rsidRPr="00C86AD2">
        <w:rPr>
          <w:rStyle w:val="StyleUnderline"/>
        </w:rPr>
        <w:t xml:space="preserve"> </w:t>
      </w:r>
      <w:r w:rsidRPr="00AE317E">
        <w:rPr>
          <w:rStyle w:val="StyleUnderline"/>
          <w:b/>
          <w:bCs/>
        </w:rPr>
        <w:t>sociality</w:t>
      </w:r>
      <w:r w:rsidRPr="00C86AD2">
        <w:rPr>
          <w:rStyle w:val="StyleUnderline"/>
        </w:rPr>
        <w:t xml:space="preserve">. </w:t>
      </w:r>
      <w:r w:rsidRPr="00AE317E">
        <w:rPr>
          <w:rStyle w:val="StyleUnderline"/>
          <w:b/>
          <w:bCs/>
        </w:rPr>
        <w:t>Sociality</w:t>
      </w:r>
      <w:r w:rsidRPr="00C86AD2">
        <w:rPr>
          <w:rStyle w:val="StyleUnderline"/>
        </w:rPr>
        <w:t xml:space="preserve"> </w:t>
      </w:r>
      <w:r w:rsidRPr="00AE317E">
        <w:rPr>
          <w:rStyle w:val="StyleUnderline"/>
          <w:b/>
          <w:bCs/>
        </w:rPr>
        <w:t>implies</w:t>
      </w:r>
      <w:r w:rsidRPr="00C86AD2">
        <w:rPr>
          <w:rStyle w:val="StyleUnderline"/>
        </w:rPr>
        <w:t xml:space="preserve"> </w:t>
      </w:r>
      <w:r w:rsidRPr="00AE317E">
        <w:rPr>
          <w:rStyle w:val="StyleUnderline"/>
          <w:b/>
          <w:bCs/>
        </w:rPr>
        <w:t>building</w:t>
      </w:r>
      <w:r w:rsidRPr="00C86AD2">
        <w:rPr>
          <w:rStyle w:val="StyleUnderline"/>
        </w:rPr>
        <w:t xml:space="preserve"> and </w:t>
      </w:r>
      <w:r w:rsidRPr="00AE317E">
        <w:rPr>
          <w:rStyle w:val="StyleUnderline"/>
          <w:b/>
          <w:bCs/>
        </w:rPr>
        <w:t>maintaining</w:t>
      </w:r>
      <w:r w:rsidRPr="00C86AD2">
        <w:rPr>
          <w:rStyle w:val="StyleUnderline"/>
        </w:rPr>
        <w:t xml:space="preserve"> </w:t>
      </w:r>
      <w:r w:rsidRPr="00AE317E">
        <w:rPr>
          <w:rStyle w:val="StyleUnderline"/>
          <w:b/>
          <w:bCs/>
        </w:rPr>
        <w:t>relationships</w:t>
      </w:r>
      <w:r w:rsidRPr="00C86AD2">
        <w:rPr>
          <w:rStyle w:val="StyleUnderline"/>
        </w:rPr>
        <w:t xml:space="preserve">, not just </w:t>
      </w:r>
      <w:r w:rsidRPr="00AE317E">
        <w:rPr>
          <w:rStyle w:val="StyleUnderline"/>
          <w:b/>
          <w:bCs/>
        </w:rPr>
        <w:t>within</w:t>
      </w:r>
      <w:r w:rsidRPr="00C86AD2">
        <w:rPr>
          <w:rStyle w:val="StyleUnderline"/>
        </w:rPr>
        <w:t xml:space="preserve"> but </w:t>
      </w:r>
      <w:r w:rsidRPr="00AE317E">
        <w:rPr>
          <w:rStyle w:val="StyleUnderline"/>
          <w:b/>
          <w:bCs/>
        </w:rPr>
        <w:t>also</w:t>
      </w:r>
      <w:r w:rsidRPr="00C86AD2">
        <w:rPr>
          <w:rStyle w:val="StyleUnderline"/>
        </w:rPr>
        <w:t xml:space="preserve"> </w:t>
      </w:r>
      <w:r w:rsidRPr="00AE317E">
        <w:rPr>
          <w:rStyle w:val="StyleUnderline"/>
          <w:b/>
          <w:bCs/>
        </w:rPr>
        <w:t>across</w:t>
      </w:r>
      <w:r w:rsidRPr="00C86AD2">
        <w:rPr>
          <w:rStyle w:val="StyleUnderline"/>
        </w:rPr>
        <w:t xml:space="preserve"> </w:t>
      </w:r>
      <w:r w:rsidRPr="00AE317E">
        <w:rPr>
          <w:rStyle w:val="StyleUnderline"/>
          <w:b/>
          <w:bCs/>
        </w:rPr>
        <w:t>identities</w:t>
      </w:r>
      <w:r w:rsidRPr="00C86AD2">
        <w:rPr>
          <w:rStyle w:val="StyleUnderline"/>
        </w:rPr>
        <w:t xml:space="preserve">, </w:t>
      </w:r>
      <w:r w:rsidRPr="00AE317E">
        <w:rPr>
          <w:rStyle w:val="StyleUnderline"/>
          <w:b/>
          <w:bCs/>
        </w:rPr>
        <w:t>generations</w:t>
      </w:r>
      <w:r w:rsidRPr="00C86AD2">
        <w:rPr>
          <w:rStyle w:val="StyleUnderline"/>
        </w:rPr>
        <w:t xml:space="preserve">, and </w:t>
      </w:r>
      <w:r w:rsidRPr="00AE317E">
        <w:rPr>
          <w:rStyle w:val="StyleUnderline"/>
          <w:b/>
          <w:bCs/>
        </w:rPr>
        <w:t>species</w:t>
      </w:r>
      <w:r w:rsidRPr="00AE317E">
        <w:rPr>
          <w:rStyle w:val="StyleUnderline"/>
        </w:rPr>
        <w:t>.</w:t>
      </w:r>
      <w:r w:rsidRPr="00230C7F">
        <w:rPr>
          <w:rStyle w:val="StyleUnderline"/>
          <w:sz w:val="12"/>
          <w:u w:val="none"/>
        </w:rPr>
        <w:t xml:space="preserve"> The neatly packaged data bundles of unified depersonalized aggregate data in which </w:t>
      </w:r>
      <w:r w:rsidRPr="00927817">
        <w:rPr>
          <w:rStyle w:val="StyleUnderline"/>
          <w:b/>
          <w:bCs/>
        </w:rPr>
        <w:t xml:space="preserve">any trace of intersubjectivity </w:t>
      </w:r>
      <w:r w:rsidRPr="00927817">
        <w:rPr>
          <w:rStyle w:val="StyleUnderline"/>
        </w:rPr>
        <w:t>is</w:t>
      </w:r>
      <w:r w:rsidRPr="00927817">
        <w:rPr>
          <w:rStyle w:val="StyleUnderline"/>
          <w:b/>
          <w:bCs/>
        </w:rPr>
        <w:t xml:space="preserve"> erased</w:t>
      </w:r>
      <w:r w:rsidRPr="008E0099">
        <w:rPr>
          <w:rStyle w:val="StyleUnderline"/>
        </w:rPr>
        <w:t xml:space="preserve"> </w:t>
      </w:r>
      <w:r w:rsidRPr="00230C7F">
        <w:rPr>
          <w:rStyle w:val="StyleUnderline"/>
          <w:sz w:val="12"/>
          <w:u w:val="none"/>
        </w:rPr>
        <w:t xml:space="preserve">is just another product in the hands of the data brokers responsible for what Lamdan calls "the Costcoization of data" (Lamdan, 2022). This is the idea that data, even in its most diverse forms, is so ubiquitous and easy to find in one-stop data shops that acquiring it is akin to going to a big-box store to purchase everything you need in one place. Following this convenient data acquisition process is the analysis step, which enables </w:t>
      </w:r>
      <w:r w:rsidRPr="00927817">
        <w:rPr>
          <w:rStyle w:val="StyleUnderline"/>
          <w:b/>
          <w:bCs/>
        </w:rPr>
        <w:t>Al</w:t>
      </w:r>
      <w:r w:rsidRPr="008E0099">
        <w:rPr>
          <w:rStyle w:val="StyleUnderline"/>
        </w:rPr>
        <w:t xml:space="preserve"> systems</w:t>
      </w:r>
      <w:r w:rsidRPr="00230C7F">
        <w:rPr>
          <w:rStyle w:val="StyleUnderline"/>
          <w:sz w:val="12"/>
          <w:u w:val="none"/>
        </w:rPr>
        <w:t xml:space="preserve"> to </w:t>
      </w:r>
      <w:r w:rsidRPr="008E0099">
        <w:rPr>
          <w:rStyle w:val="StyleUnderline"/>
        </w:rPr>
        <w:t xml:space="preserve">make predictions and </w:t>
      </w:r>
      <w:r w:rsidRPr="00927817">
        <w:rPr>
          <w:rStyle w:val="StyleUnderline"/>
          <w:b/>
          <w:bCs/>
        </w:rPr>
        <w:t>categorize</w:t>
      </w:r>
      <w:r w:rsidRPr="008E0099">
        <w:rPr>
          <w:rStyle w:val="StyleUnderline"/>
        </w:rPr>
        <w:t xml:space="preserve"> objects or </w:t>
      </w:r>
      <w:r w:rsidRPr="00927817">
        <w:rPr>
          <w:rStyle w:val="StyleUnderline"/>
          <w:b/>
          <w:bCs/>
        </w:rPr>
        <w:t>humans</w:t>
      </w:r>
      <w:r w:rsidRPr="008E0099">
        <w:rPr>
          <w:rStyle w:val="StyleUnderline"/>
        </w:rPr>
        <w:t xml:space="preserve"> </w:t>
      </w:r>
      <w:r w:rsidRPr="00927817">
        <w:rPr>
          <w:rStyle w:val="StyleUnderline"/>
          <w:b/>
          <w:bCs/>
        </w:rPr>
        <w:t>for</w:t>
      </w:r>
      <w:r w:rsidRPr="008E0099">
        <w:rPr>
          <w:rStyle w:val="StyleUnderline"/>
        </w:rPr>
        <w:t xml:space="preserve"> the </w:t>
      </w:r>
      <w:r w:rsidRPr="00927817">
        <w:rPr>
          <w:rStyle w:val="StyleUnderline"/>
          <w:b/>
          <w:bCs/>
        </w:rPr>
        <w:t>purpose</w:t>
      </w:r>
      <w:r w:rsidRPr="008E0099">
        <w:rPr>
          <w:rStyle w:val="StyleUnderline"/>
        </w:rPr>
        <w:t xml:space="preserve"> of </w:t>
      </w:r>
      <w:r w:rsidRPr="00927817">
        <w:rPr>
          <w:rStyle w:val="StyleUnderline"/>
          <w:b/>
          <w:bCs/>
        </w:rPr>
        <w:t>determining</w:t>
      </w:r>
      <w:r w:rsidRPr="008E0099">
        <w:rPr>
          <w:rStyle w:val="StyleUnderline"/>
        </w:rPr>
        <w:t xml:space="preserve"> their </w:t>
      </w:r>
      <w:r w:rsidRPr="00927817">
        <w:rPr>
          <w:rStyle w:val="StyleUnderline"/>
          <w:b/>
          <w:bCs/>
        </w:rPr>
        <w:t>role</w:t>
      </w:r>
      <w:r w:rsidRPr="008E0099">
        <w:rPr>
          <w:rStyle w:val="StyleUnderline"/>
        </w:rPr>
        <w:t xml:space="preserve"> and </w:t>
      </w:r>
      <w:r w:rsidRPr="00927817">
        <w:rPr>
          <w:rStyle w:val="StyleUnderline"/>
          <w:b/>
          <w:bCs/>
        </w:rPr>
        <w:t>place</w:t>
      </w:r>
      <w:r w:rsidRPr="008E0099">
        <w:rPr>
          <w:rStyle w:val="StyleUnderline"/>
        </w:rPr>
        <w:t xml:space="preserve"> </w:t>
      </w:r>
      <w:r w:rsidRPr="00927817">
        <w:rPr>
          <w:rStyle w:val="StyleUnderline"/>
          <w:b/>
          <w:bCs/>
        </w:rPr>
        <w:t>in</w:t>
      </w:r>
      <w:r w:rsidRPr="008E0099">
        <w:rPr>
          <w:rStyle w:val="StyleUnderline"/>
        </w:rPr>
        <w:t xml:space="preserve"> the </w:t>
      </w:r>
      <w:r w:rsidRPr="00927817">
        <w:rPr>
          <w:rStyle w:val="StyleUnderline"/>
          <w:b/>
          <w:bCs/>
        </w:rPr>
        <w:t>world</w:t>
      </w:r>
      <w:r w:rsidRPr="008E0099">
        <w:rPr>
          <w:rStyle w:val="StyleUnderline"/>
        </w:rPr>
        <w:t xml:space="preserve">. This </w:t>
      </w:r>
      <w:r w:rsidRPr="00927817">
        <w:rPr>
          <w:rStyle w:val="StyleUnderline"/>
          <w:b/>
          <w:bCs/>
        </w:rPr>
        <w:t>includes</w:t>
      </w:r>
      <w:r w:rsidRPr="008E0099">
        <w:rPr>
          <w:rStyle w:val="StyleUnderline"/>
        </w:rPr>
        <w:t xml:space="preserve"> </w:t>
      </w:r>
      <w:r w:rsidRPr="00927817">
        <w:rPr>
          <w:rStyle w:val="StyleUnderline"/>
          <w:b/>
          <w:bCs/>
        </w:rPr>
        <w:t>racial</w:t>
      </w:r>
      <w:r w:rsidRPr="008E0099">
        <w:rPr>
          <w:rStyle w:val="StyleUnderline"/>
        </w:rPr>
        <w:t xml:space="preserve"> </w:t>
      </w:r>
      <w:r w:rsidRPr="00927817">
        <w:rPr>
          <w:rStyle w:val="StyleUnderline"/>
          <w:b/>
          <w:bCs/>
        </w:rPr>
        <w:t>profiling</w:t>
      </w:r>
      <w:r w:rsidRPr="008E0099">
        <w:rPr>
          <w:rStyle w:val="StyleUnderline"/>
        </w:rPr>
        <w:t xml:space="preserve"> and even the inference of human sexuality</w:t>
      </w:r>
      <w:r w:rsidRPr="00230C7F">
        <w:rPr>
          <w:rStyle w:val="StyleUnderline"/>
          <w:sz w:val="12"/>
          <w:u w:val="none"/>
        </w:rPr>
        <w:t xml:space="preserve">. In this context, the Uyghur experience in China is more properly understood as biometric mass surveillance, an extreme yet growing type of biometric profiling. This describes the use of systems or technologies that collect, analyze, and/or generate data (including biometric data) on large numbers of people instead of limiting surveillance to individuals about which there is 'reasonable suspicion' of wrongdoing (De Hert and Bouchagiar, 2022). Various streams of personal data such as skin color, height, face scans, and voiceprints from street surveillance cameras, and recently also mandatory DNA samples, are all fed into government integrated joint operations platforms where they can be linked to people's national identification numbers to yield a unique and comprehensive personal profile (Xu et al., 2022). Similar human rights concerns have been raised with respect to the introduction of the Unique Identification Authority of India's (UIDAI) Aadhaar, the world's largest biometric surveillance system, which has been critiqued as embodying Hindutva and neoliberal ideology aimed at surveilling and controlling Muslim, caste-oppressed, Indigenous minorities such as Dalits and Adivasis (Prabhakar, 2020). </w:t>
      </w:r>
      <w:r w:rsidRPr="005D7BB4">
        <w:rPr>
          <w:rStyle w:val="StyleUnderline"/>
        </w:rPr>
        <w:t xml:space="preserve">The </w:t>
      </w:r>
      <w:r w:rsidRPr="0051395F">
        <w:rPr>
          <w:rStyle w:val="StyleUnderline"/>
          <w:b/>
          <w:bCs/>
        </w:rPr>
        <w:t>adoption</w:t>
      </w:r>
      <w:r w:rsidRPr="005D7BB4">
        <w:rPr>
          <w:rStyle w:val="StyleUnderline"/>
        </w:rPr>
        <w:t xml:space="preserve"> </w:t>
      </w:r>
      <w:r w:rsidRPr="0051395F">
        <w:rPr>
          <w:rStyle w:val="StyleUnderline"/>
          <w:b/>
          <w:bCs/>
        </w:rPr>
        <w:t>of</w:t>
      </w:r>
      <w:r w:rsidRPr="005D7BB4">
        <w:rPr>
          <w:rStyle w:val="StyleUnderline"/>
        </w:rPr>
        <w:t xml:space="preserve"> </w:t>
      </w:r>
      <w:r w:rsidRPr="0051395F">
        <w:rPr>
          <w:rStyle w:val="StyleUnderline"/>
          <w:b/>
          <w:bCs/>
        </w:rPr>
        <w:t>cutting</w:t>
      </w:r>
      <w:r w:rsidRPr="005D7BB4">
        <w:rPr>
          <w:rStyle w:val="StyleUnderline"/>
        </w:rPr>
        <w:t>-</w:t>
      </w:r>
      <w:r w:rsidRPr="0051395F">
        <w:rPr>
          <w:rStyle w:val="StyleUnderline"/>
          <w:b/>
          <w:bCs/>
        </w:rPr>
        <w:t>edge</w:t>
      </w:r>
      <w:r w:rsidRPr="005D7BB4">
        <w:rPr>
          <w:rStyle w:val="StyleUnderline"/>
        </w:rPr>
        <w:t xml:space="preserve"> </w:t>
      </w:r>
      <w:r w:rsidRPr="0051395F">
        <w:rPr>
          <w:rStyle w:val="StyleUnderline"/>
          <w:b/>
          <w:bCs/>
        </w:rPr>
        <w:t>Al</w:t>
      </w:r>
      <w:r w:rsidRPr="005D7BB4">
        <w:rPr>
          <w:rStyle w:val="StyleUnderline"/>
        </w:rPr>
        <w:t xml:space="preserve">-powered </w:t>
      </w:r>
      <w:r w:rsidRPr="0051395F">
        <w:rPr>
          <w:rStyle w:val="StyleUnderline"/>
          <w:b/>
          <w:bCs/>
        </w:rPr>
        <w:t>tech</w:t>
      </w:r>
      <w:r w:rsidRPr="005D7BB4">
        <w:rPr>
          <w:rStyle w:val="StyleUnderline"/>
        </w:rPr>
        <w:t xml:space="preserve">nology </w:t>
      </w:r>
      <w:r w:rsidRPr="0051395F">
        <w:rPr>
          <w:rStyle w:val="StyleUnderline"/>
          <w:b/>
          <w:bCs/>
        </w:rPr>
        <w:t>for</w:t>
      </w:r>
      <w:r w:rsidRPr="005D7BB4">
        <w:rPr>
          <w:rStyle w:val="StyleUnderline"/>
        </w:rPr>
        <w:t xml:space="preserve"> </w:t>
      </w:r>
      <w:r w:rsidRPr="0051395F">
        <w:rPr>
          <w:rStyle w:val="StyleUnderline"/>
          <w:b/>
          <w:bCs/>
        </w:rPr>
        <w:t>state</w:t>
      </w:r>
      <w:r w:rsidRPr="005D7BB4">
        <w:rPr>
          <w:rStyle w:val="StyleUnderline"/>
        </w:rPr>
        <w:t xml:space="preserve"> </w:t>
      </w:r>
      <w:r w:rsidRPr="0051395F">
        <w:rPr>
          <w:rStyle w:val="StyleUnderline"/>
          <w:b/>
          <w:bCs/>
        </w:rPr>
        <w:t>management</w:t>
      </w:r>
      <w:r w:rsidRPr="005D7BB4">
        <w:rPr>
          <w:rStyle w:val="StyleUnderline"/>
        </w:rPr>
        <w:t xml:space="preserve"> </w:t>
      </w:r>
      <w:r w:rsidRPr="0051395F">
        <w:rPr>
          <w:rStyle w:val="StyleUnderline"/>
          <w:b/>
          <w:bCs/>
        </w:rPr>
        <w:t>and</w:t>
      </w:r>
      <w:r w:rsidRPr="005D7BB4">
        <w:rPr>
          <w:rStyle w:val="StyleUnderline"/>
        </w:rPr>
        <w:t xml:space="preserve"> </w:t>
      </w:r>
      <w:r w:rsidRPr="0051395F">
        <w:rPr>
          <w:rStyle w:val="StyleUnderline"/>
          <w:b/>
          <w:bCs/>
        </w:rPr>
        <w:t>control</w:t>
      </w:r>
      <w:r w:rsidRPr="005D7BB4">
        <w:rPr>
          <w:rStyle w:val="StyleUnderline"/>
        </w:rPr>
        <w:t xml:space="preserve"> by non-Western countries is often </w:t>
      </w:r>
      <w:r w:rsidRPr="0051395F">
        <w:rPr>
          <w:rStyle w:val="StyleUnderline"/>
          <w:b/>
          <w:bCs/>
        </w:rPr>
        <w:t>cloaked in the language of tech-progress</w:t>
      </w:r>
      <w:r w:rsidRPr="005D7BB4">
        <w:rPr>
          <w:rStyle w:val="StyleUnderline"/>
        </w:rPr>
        <w:t>.</w:t>
      </w:r>
      <w:r w:rsidRPr="00230C7F">
        <w:rPr>
          <w:rStyle w:val="StyleUnderline"/>
          <w:sz w:val="12"/>
          <w:u w:val="none"/>
        </w:rPr>
        <w:t xml:space="preserve"> A case in point is the United Nation's enthusiastic welcome of Zimbabwe and Kenya's decision to introduce biometric-based identification, described as "leapfrogging] outdated tools and progressing] to modern innovations" (Toesland, 2021). </w:t>
      </w:r>
    </w:p>
    <w:p w:rsidR="001E4194" w:rsidRDefault="001E4194" w:rsidP="001E4194">
      <w:pPr>
        <w:pStyle w:val="Heading3"/>
      </w:pPr>
      <w:r>
        <w:t xml:space="preserve">Injunctions </w:t>
      </w:r>
    </w:p>
    <w:p w:rsidR="001E4194" w:rsidRDefault="001E4194" w:rsidP="001E4194">
      <w:pPr>
        <w:pStyle w:val="Heading4"/>
      </w:pPr>
      <w:r>
        <w:t>Injunctions are used as a method for extracting resources and disproportionately affecting Indigenous peoples. They leave no room for Native Americans to assert themselves in the government.</w:t>
      </w:r>
    </w:p>
    <w:p w:rsidR="001E4194" w:rsidRPr="00AA2BC0" w:rsidRDefault="001E4194" w:rsidP="001E4194">
      <w:pPr>
        <w:rPr>
          <w:rStyle w:val="Style13ptBold"/>
          <w:b w:val="0"/>
          <w:bCs w:val="0"/>
          <w:i/>
          <w:iCs/>
          <w:sz w:val="22"/>
        </w:rPr>
      </w:pPr>
      <w:r>
        <w:rPr>
          <w:rStyle w:val="Style13ptBold"/>
        </w:rPr>
        <w:t xml:space="preserve">Pasternak &amp; Ceric 23 </w:t>
      </w:r>
      <w:r>
        <w:rPr>
          <w:rStyle w:val="Style13ptBold"/>
          <w:b w:val="0"/>
          <w:bCs w:val="0"/>
          <w:sz w:val="22"/>
        </w:rPr>
        <w:t xml:space="preserve">(Shiri Pasternak &amp; Irina Ceric, Associate Professor, Toronto Metropolitan University, Department of Criminology, and Assistant Professor, University of Windsor, Faculty of Law, “”The Legal Billy Club” First Nations, Injunctions, and the Public Interest”, </w:t>
      </w:r>
      <w:r w:rsidRPr="00AA2BC0">
        <w:rPr>
          <w:rStyle w:val="Style13ptBold"/>
          <w:b w:val="0"/>
          <w:bCs w:val="0"/>
          <w:sz w:val="22"/>
        </w:rPr>
        <w:t>https://papers.ssrn.com/sol3/papers.cfm?abstract_id=4370375</w:t>
      </w:r>
      <w:r>
        <w:rPr>
          <w:rStyle w:val="Style13ptBold"/>
          <w:b w:val="0"/>
          <w:bCs w:val="0"/>
          <w:sz w:val="22"/>
        </w:rPr>
        <w:t>)</w:t>
      </w:r>
    </w:p>
    <w:p w:rsidR="001E4194" w:rsidRDefault="001E4194" w:rsidP="001E4194">
      <w:pPr>
        <w:rPr>
          <w:rStyle w:val="StyleUnderline"/>
        </w:rPr>
      </w:pPr>
      <w:r w:rsidRPr="00E7155E">
        <w:rPr>
          <w:sz w:val="16"/>
        </w:rPr>
        <w:t xml:space="preserve">This article begins with a simple question: what accounts for the profound discrepancy between the efforts by First Nations to obtain injunctions against corporations and governments versus the efforts by corporations and governments to obtain injunctions against First Nations? </w:t>
      </w:r>
      <w:r w:rsidRPr="00E7155E">
        <w:rPr>
          <w:rStyle w:val="StyleUnderline"/>
        </w:rPr>
        <w:t xml:space="preserve">In 2019, a national study of over 100 injunctions was led by the Yellowhead Institute at Toronto Metropolitan University (Yellowhead) in Toronto. It found that </w:t>
      </w:r>
      <w:r w:rsidRPr="00E7155E">
        <w:rPr>
          <w:rStyle w:val="Emphasis"/>
        </w:rPr>
        <w:t>from the years 1973-2019, 76 per cent of injunctions filed against First Nations by corporations were granted,</w:t>
      </w:r>
      <w:r w:rsidRPr="00E7155E">
        <w:rPr>
          <w:rStyle w:val="StyleUnderline"/>
        </w:rPr>
        <w:t xml:space="preserve"> while </w:t>
      </w:r>
      <w:r w:rsidRPr="00E7155E">
        <w:rPr>
          <w:rStyle w:val="Emphasis"/>
        </w:rPr>
        <w:t>First Nations were successful against corporations only 19 per cent of the time</w:t>
      </w:r>
      <w:r w:rsidRPr="00E7155E">
        <w:rPr>
          <w:rStyle w:val="StyleUnderline"/>
        </w:rPr>
        <w:t xml:space="preserve">. This research was updated by Yellowhead in 2020 and the gap had widened in that single year. The </w:t>
      </w:r>
      <w:r w:rsidRPr="00E7155E">
        <w:rPr>
          <w:rStyle w:val="Emphasis"/>
        </w:rPr>
        <w:t xml:space="preserve">percentage of injunctions successfully sought by corporations against First Nations climbed from 76 per cent to 81 per cent. </w:t>
      </w:r>
      <w:r w:rsidRPr="00E7155E">
        <w:rPr>
          <w:rStyle w:val="StyleUnderline"/>
        </w:rPr>
        <w:t xml:space="preserve">The study also examined rates of government-filed injunctions against First Nations. </w:t>
      </w:r>
      <w:r w:rsidRPr="00E7155E">
        <w:rPr>
          <w:rStyle w:val="Emphasis"/>
        </w:rPr>
        <w:t>In 2020, governments were successful at obtaining orders 90 per cent of the time. Just one year earlier, that figure had been 86 per cent. Meanwhile, by 2020 First Nations were only successful at obtaining injunctions against governments 18 per cent of the time.</w:t>
      </w:r>
      <w:r w:rsidRPr="00E7155E">
        <w:rPr>
          <w:sz w:val="16"/>
        </w:rPr>
        <w:t xml:space="preserve"> In this article, we ask: what is it about the common law test for injunctions that leads to these results and, given this evidence, what makes injunctions such an effective tool in the hands of industry and the state against First Nations? Our research here builds on the original Yellowhead research and dataset, which we led and contributed to, by recoding the cases initially examined and refining the methodology to focus specifically on the grounds of adjudication in each case. </w:t>
      </w:r>
      <w:r w:rsidRPr="00E7155E">
        <w:rPr>
          <w:rStyle w:val="StyleUnderline"/>
        </w:rPr>
        <w:t xml:space="preserve">Central to our methodology is an examination of the application of the tripartite test set out by the Supreme Court of Canada (SCC) in RJRMacDonald Inc v Canada (Attorney General) to </w:t>
      </w:r>
      <w:r w:rsidRPr="00E7155E">
        <w:rPr>
          <w:rStyle w:val="Emphasis"/>
        </w:rPr>
        <w:t>injunction cases involving First Nations. Scholars have noted the significant and disproportionate protections the RJR-MacDonald test provides to businesses and property owners over First Nation “protestors” and labour “picketers</w:t>
      </w:r>
      <w:r w:rsidRPr="009E1D36">
        <w:rPr>
          <w:rStyle w:val="StyleUnderline"/>
        </w:rPr>
        <w:t>”. But the implications of these protections as they pertain to First Nation assertions of jurisdiction require further examination. De facto resolutions of First Nation land rights are currently being mediated through a discretionary, equitable remedy that is insulated from the reach of Aboriginal rights and title entitlements</w:t>
      </w:r>
      <w:r w:rsidRPr="00E7155E">
        <w:rPr>
          <w:rStyle w:val="StyleUnderline"/>
        </w:rPr>
        <w:t xml:space="preserve">. </w:t>
      </w:r>
      <w:r w:rsidRPr="00DC6A05">
        <w:rPr>
          <w:rStyle w:val="StyleUnderline"/>
        </w:rPr>
        <w:t xml:space="preserve">This article undertakes a close reading of the way the </w:t>
      </w:r>
      <w:r w:rsidRPr="00E7155E">
        <w:rPr>
          <w:rStyle w:val="Emphasis"/>
        </w:rPr>
        <w:t>courts interpret the RJR-MacDonald factors of “irreparable harm” and “balance of convenience” in injunction cases involving First Nations— most of which have unfolded in contestations over land, water, and resources—to reveal the ways colonization has been organized around a false distinction between public and private interests</w:t>
      </w:r>
      <w:r w:rsidRPr="00E7155E">
        <w:rPr>
          <w:rStyle w:val="StyleUnderline"/>
        </w:rPr>
        <w:t xml:space="preserve">. We suggest thatderstand what accounts for corporate success in the courts against First Nations when seeking to develop and pursue extraction on Indigenous territories, </w:t>
      </w:r>
      <w:r w:rsidRPr="00E7155E">
        <w:rPr>
          <w:rStyle w:val="Emphasis"/>
        </w:rPr>
        <w:t xml:space="preserve">we must understand how “public interest” arguments that are critical to applying the injunction test are weighed towards a specific understanding of the “status quo” in Canada that is rooted in a political economy of resource extraction. </w:t>
      </w:r>
      <w:r w:rsidRPr="00E7155E">
        <w:rPr>
          <w:rStyle w:val="StyleUnderline"/>
        </w:rPr>
        <w:t xml:space="preserve">We argue that to understand the judicial reasoning that supports the “maintenance of the status quo” that is so critical to the “balance of convenience” test, we must revisit the equitable </w:t>
      </w:r>
      <w:r w:rsidRPr="00E7155E">
        <w:rPr>
          <w:rStyle w:val="Emphasis"/>
        </w:rPr>
        <w:t>roots of the injunction remedy that lie at the heart of Canadian property law—the juridical underpinning of settler-colonialism</w:t>
      </w:r>
      <w:r w:rsidRPr="00E7155E">
        <w:rPr>
          <w:sz w:val="16"/>
        </w:rPr>
        <w:t xml:space="preserve">. The methodology for this injunction research originally involved searches within two legal databases for all injunction cases involving First Nations in Canada. We did not code cases where injunctions involved community members obtaining injunctions against other community members, and we focused our research on First Nations rather than all Indigenous people, therefore excluding cases involving Inuit and Métis peoples. We returned to Yellowhead’s original dataset for this research, but we </w:t>
      </w:r>
      <w:r w:rsidRPr="00E7155E">
        <w:rPr>
          <w:rStyle w:val="StyleUnderline"/>
        </w:rPr>
        <w:t xml:space="preserve">narrowed our analysis to focus on the role of “public interest” arguments in applications for injunctions under the RJR-MacDonald test. Each case was coded for the following criteria: the parties involved (i.e., corporations vs First Nations, or First Nations vs corporations), whether a blockade was involved, the type of injunction at play, the trigger for the conflict, the legal issues raised, and the key arguments made by the parties with respect to the tripartite injunction test (i.e., serious issue to be tried, irreparable harm, and balance of convenience). In total, we coded 70 cases, more than a quarter (19 decisions) of which contained detailed considerations of the “public interest.” By highlighting specific cases from this dataset to show this and other tendencies we found on a national scale, we hope that this research marks a focal point in a study of injunctions and First Nations, rather than being interpreted as the authoritative end of this inquiry. </w:t>
      </w:r>
      <w:r w:rsidRPr="00E7155E">
        <w:rPr>
          <w:sz w:val="16"/>
        </w:rPr>
        <w:t xml:space="preserve">Our article is organized as follows: in Part I, we track the history of injunctions in the Aboriginal law context, paying particular attention to how the development of s 35(1) jurisprudence, which interpreted Aboriginal constitutional rights enshrined in the 1982 Constitution Act, ironically deprived First Nations of access to injunctions, despite a prior period of successful defence of Indigenous land rights using this legal tool. In Part II, we focus on the doctrinal and political function of the “public interest” consideration in injunction cases, positioning this concept within a broader political economy framework. </w:t>
      </w:r>
      <w:r w:rsidRPr="00E7155E">
        <w:rPr>
          <w:rStyle w:val="StyleUnderline"/>
        </w:rPr>
        <w:t>In Part III, we turn to the origins of the injunction as an equitable remedy and argue that understanding its discretionary application requires understanding equity’s role within a broader historical trajectory of settler-colonial property relations</w:t>
      </w:r>
      <w:r w:rsidRPr="00E7155E">
        <w:rPr>
          <w:rStyle w:val="Emphasis"/>
        </w:rPr>
        <w:t>. We conclude that the injunction playing field is inherently uneven because the common law test currently leaves no room for assertions of Indigenous law or governance</w:t>
      </w:r>
      <w:r w:rsidRPr="00E7155E">
        <w:rPr>
          <w:rStyle w:val="StyleUnderline"/>
        </w:rPr>
        <w:t>. This imbalance is now baked into RJR-MacDonald and a juridical shift (as opposed to a political or policy fix) requires a different legal framework.</w:t>
      </w:r>
    </w:p>
    <w:p w:rsidR="001E4194" w:rsidRPr="00091357" w:rsidRDefault="001E4194" w:rsidP="001E4194">
      <w:pPr>
        <w:pStyle w:val="Heading4"/>
      </w:pPr>
      <w:r>
        <w:t>Injunctions strip Indigenous rights to land claims</w:t>
      </w:r>
    </w:p>
    <w:p w:rsidR="001E4194" w:rsidRPr="00897529" w:rsidRDefault="001E4194" w:rsidP="001E4194">
      <w:pPr>
        <w:rPr>
          <w:rStyle w:val="StyleUnderline"/>
          <w:i/>
          <w:iCs/>
          <w:u w:val="none"/>
        </w:rPr>
      </w:pPr>
      <w:r>
        <w:rPr>
          <w:rStyle w:val="Style13ptBold"/>
        </w:rPr>
        <w:t xml:space="preserve">Pasternak &amp; Ceric 23 </w:t>
      </w:r>
      <w:r>
        <w:rPr>
          <w:rStyle w:val="Style13ptBold"/>
          <w:b w:val="0"/>
          <w:bCs w:val="0"/>
          <w:sz w:val="22"/>
        </w:rPr>
        <w:t xml:space="preserve">(Shiri Pasternak &amp; Irina Ceric, Associate Professor, Toronto Metropolitan University, Department of Criminology, and Assistant Professor, University of Windsor, Faculty of Law, “”The Legal Billy Club” First Nations, Injunctions, and the Public Interest”, </w:t>
      </w:r>
      <w:r w:rsidRPr="00AA2BC0">
        <w:rPr>
          <w:rStyle w:val="Style13ptBold"/>
          <w:b w:val="0"/>
          <w:bCs w:val="0"/>
          <w:sz w:val="22"/>
        </w:rPr>
        <w:t>https://papers.ssrn.com/sol3/papers.cfm?abstract_id=4370375</w:t>
      </w:r>
      <w:r>
        <w:rPr>
          <w:rStyle w:val="Style13ptBold"/>
          <w:b w:val="0"/>
          <w:bCs w:val="0"/>
          <w:sz w:val="22"/>
        </w:rPr>
        <w:t>)</w:t>
      </w:r>
    </w:p>
    <w:p w:rsidR="001E4194" w:rsidRDefault="001E4194" w:rsidP="001E4194">
      <w:pPr>
        <w:rPr>
          <w:sz w:val="14"/>
        </w:rPr>
      </w:pPr>
      <w:r w:rsidRPr="007A4FE9">
        <w:rPr>
          <w:sz w:val="14"/>
        </w:rPr>
        <w:t>With the incorporation of Aboriginal rights in the constitution, the declining success of First Nations in obtaining or fighting injunctions appears to be a contradictory outcome at a key moment of recognition</w:t>
      </w:r>
      <w:r w:rsidRPr="00897529">
        <w:rPr>
          <w:rStyle w:val="StyleUnderline"/>
        </w:rPr>
        <w:t xml:space="preserve">. At first glance, this recognition should have strengthened Aboriginal claims of “irreparable harm,” as such harms could now constitute a breach of constitutional rights. But Hunter argued that </w:t>
      </w:r>
      <w:r w:rsidRPr="007A4FE9">
        <w:rPr>
          <w:rStyle w:val="Emphasis"/>
        </w:rPr>
        <w:t>these new constitutional protections greatly complicated—and therefore lengthened— the duration of time necessary to determine the merits of a case, giving priority to other elements of the injunction test</w:t>
      </w:r>
      <w:r w:rsidRPr="00897529">
        <w:rPr>
          <w:rStyle w:val="StyleUnderline"/>
        </w:rPr>
        <w:t>.</w:t>
      </w:r>
      <w:r w:rsidRPr="007A4FE9">
        <w:rPr>
          <w:sz w:val="14"/>
        </w:rPr>
        <w:t xml:space="preserve"> First Nations were asserting rights and title to land in ways that disrupted, for example, provincial regulatory regimes; a growing jurisprudence established tests to challenge the application of provincial jurisdiction to First Nations.18 But how would these Aboriginal rights tests weigh within the tripartite test? </w:t>
      </w:r>
      <w:r w:rsidRPr="00897529">
        <w:rPr>
          <w:rStyle w:val="StyleUnderline"/>
        </w:rPr>
        <w:t xml:space="preserve">First, the lengthening of trials specifically increased the inconvenience to business operations, therefore favouring their interests in the “balance of convenience” test.19 For a time, the uncertainty of title and rights claims had constituted sufficient cause to delay the interests of private companies; post-Sparrow, the uncertainty had a legal framework for determination that was lengthy, complicated, and lay outside the jurisdiction of the court hearing the injunction application. </w:t>
      </w:r>
      <w:r w:rsidRPr="007A4FE9">
        <w:rPr>
          <w:rStyle w:val="Emphasis"/>
        </w:rPr>
        <w:t xml:space="preserve">Compounding the issue of the time it would take to adjudicate the merits of injunction cases was the gradual emptying out of the s 35(1) “box” of rights, once expected to secure Aboriginal rights to land, water, and resources. </w:t>
      </w:r>
      <w:r w:rsidRPr="00972B74">
        <w:rPr>
          <w:rStyle w:val="StyleUnderline"/>
        </w:rPr>
        <w:t xml:space="preserve">The s 35(1) case law demonstrated that there were pathways around these rights and that state legislation could override Aboriginal claims. </w:t>
      </w:r>
      <w:r w:rsidRPr="007A4FE9">
        <w:rPr>
          <w:rStyle w:val="Emphasis"/>
        </w:rPr>
        <w:t>The uncertainty that once favoured First Nations asserting constitutional rights in injunction cases was now taken up by courts that pointed to the ambivalence of rights that were yet to be proven in costly title and rights litigation</w:t>
      </w:r>
      <w:r w:rsidRPr="00897529">
        <w:rPr>
          <w:rStyle w:val="StyleUnderline"/>
        </w:rPr>
        <w:t>.</w:t>
      </w:r>
      <w:r w:rsidRPr="007A4FE9">
        <w:rPr>
          <w:sz w:val="14"/>
        </w:rPr>
        <w:t xml:space="preserve"> </w:t>
      </w:r>
      <w:r w:rsidRPr="00897529">
        <w:rPr>
          <w:rStyle w:val="StyleUnderline"/>
        </w:rPr>
        <w:t xml:space="preserve">A 1995 Gitskan injunction case—technically, a leave to appeal their denial of ongoing injunctive relief—is emblematic of this transition period. The landmark Delgamuukw v British Columbia case brought by the Wet’suwet’en and Gitskan Nations that first tested s 35(1) rights on Aboriginal title was a factor in the judge’s decision against two Gitskan houses23. </w:t>
      </w:r>
      <w:r w:rsidRPr="007A4FE9">
        <w:rPr>
          <w:rStyle w:val="Emphasis"/>
        </w:rPr>
        <w:t>The houses sought relief against Skeena Cellulose to restrain bridge construction that the company required for logging access</w:t>
      </w:r>
      <w:r w:rsidRPr="00897529">
        <w:rPr>
          <w:rStyle w:val="StyleUnderline"/>
        </w:rPr>
        <w:t>. Proudfoot JA agreed with a lower court decision to discharge an injunction granted in 1988 to the Houses of Gwoimt and Tsabux. She held that the injunction had been founded on outstanding questions of Aboriginal title, but</w:t>
      </w:r>
      <w:r w:rsidRPr="007A4FE9">
        <w:rPr>
          <w:sz w:val="14"/>
        </w:rPr>
        <w:t xml:space="preserve"> </w:t>
      </w:r>
      <w:r w:rsidRPr="007A4FE9">
        <w:rPr>
          <w:rStyle w:val="Emphasis"/>
        </w:rPr>
        <w:t>that the legal terrain had changed after the 1993 BC Court of Appeal decision in Delgamuukw25 that found that no ownership or jurisdiction rights had been established by the Gitskan</w:t>
      </w:r>
      <w:r w:rsidRPr="007A4FE9">
        <w:rPr>
          <w:sz w:val="14"/>
        </w:rPr>
        <w:t xml:space="preserve">. A few years later, in 1997, the SCC held that the Wet’suwet’en and Gitskan Nations might in fact hold Aboriginal title to their territory, defined for the first time as an underlying, collective, and sui generis proprietary interest. The SCC instructed the nations to return to court to assert this title over specific tracts of land.27 But while the Gitskan were undertaking this monumental, lengthy title case, lower court decisions had cost them interim protections, raising serious questions about the implications of injunctions on First Nations’ constitutional rights. One solution to this problem of reconciling rights and title cases with injunctions came in the form of another s 35(1) precedent conceived to protect Aboriginal rights even in the pre-proof stage of assertion: the Crown’s duty to consult and accommodate. In the post-Sparrow case of Haida Nation, the SCC advised that First Nations should rely on their s 35(1) protected rights to consultation, rather than pursuing injunctions, because the duty to consult would better safeguard their interests.28 Reasoning the need for this legal shift, the Court laid out four limitations of injunctions: first, they may not capture the full range of government obligations; second, the duty to consult necessarily entails balancing interests and thus could go further towards reconciliation; third, </w:t>
      </w:r>
      <w:r w:rsidRPr="007A4FE9">
        <w:rPr>
          <w:rStyle w:val="Emphasis"/>
        </w:rPr>
        <w:t>the Court cited Hunter’s argument that the balance of convenience test favours industry and jobs, prejudicing the courts against First Nations before the merits can be determined; and fourth, stopgap measures like injunctions should not be used for complex matters, which must be given adequate time in courts to resolve</w:t>
      </w:r>
      <w:r w:rsidRPr="00897529">
        <w:rPr>
          <w:rStyle w:val="StyleUnderline"/>
        </w:rPr>
        <w:t>.</w:t>
      </w:r>
      <w:r w:rsidRPr="00DC6A05">
        <w:rPr>
          <w:sz w:val="16"/>
        </w:rPr>
        <w:t>29 Since Haida Nation came down, however, it has not reduced the number of injunctions involving First Nations, nor protected them any better in proceedings</w:t>
      </w:r>
      <w:r w:rsidRPr="00897529">
        <w:rPr>
          <w:rStyle w:val="StyleUnderline"/>
        </w:rPr>
        <w:t>. It may be the case that First Nations have had more success pursuing judicial reviews of regulatory decisions or lawsuits for failures of the Crown to engage in meaningful consultation.</w:t>
      </w:r>
      <w:r w:rsidRPr="007A4FE9">
        <w:rPr>
          <w:sz w:val="14"/>
        </w:rPr>
        <w:t xml:space="preserve"> Although these legal avenues are beyond the scope of this article, such a comparison would undoubtedly shed light on this important question. Here, however, we seek to uncover whether Haida Nation and the s 35(1) protected rights to consultation created more opportunities for First Nations to assert and protect their rights in injunction cases. In particular, did the courts consider breaches of the Crown’s duty to consult an “irreparable harm”? If anything, we could conclude that failures on the part of governments to comply with the duty to consult have not been seen by the courts to constitute “irreparable harm”. Irreparable harm is at the core of injunctive relief since it is precisely what entitles litigants to “equity’s extraordinary and discretionary relief”.30 The plaintiff must show immediate harm that cannot await resolution at trial or be addressed any other way, especially through damages. For example, a 2008 Federal Court of Appeal decision in Canada v Musqueam First Nation held that the government’s failure to consult did not give rise to “a veto” on the basis of disputed territory alone, despite the fact that lands in the Musqueam First Nations’ traditional territory were being alienated by the Crown to third parties.</w:t>
      </w:r>
      <w:r w:rsidRPr="007A4FE9">
        <w:rPr>
          <w:rStyle w:val="StyleUnderline"/>
        </w:rPr>
        <w:t xml:space="preserve"> </w:t>
      </w:r>
      <w:r w:rsidRPr="007A4FE9">
        <w:rPr>
          <w:rStyle w:val="Emphasis"/>
        </w:rPr>
        <w:t xml:space="preserve">In other words, the potential loss of lands was not considered an irreparable harm, the justice reasoned, unless it was coupled with “possible degradation” or a specific use claim to the territory. </w:t>
      </w:r>
      <w:r w:rsidRPr="007A4FE9">
        <w:rPr>
          <w:rStyle w:val="StyleUnderline"/>
        </w:rPr>
        <w:t xml:space="preserve">The prerequisite for injunctive relief was only damage in a narrow sense, not the historical, cumulative state dispossession that the Musqueam sought to prevent.32 </w:t>
      </w:r>
      <w:r w:rsidRPr="007A4FE9">
        <w:rPr>
          <w:rStyle w:val="Emphasis"/>
        </w:rPr>
        <w:t>This reasoning and the resultant outcome is disappointing, since injunctions could potentially provide a strong interim measure to prevent damage as more broadly construed, while other rights litigation moves through the courts. However, a long line of injunction cases rejects this logic.</w:t>
      </w:r>
      <w:r w:rsidRPr="007A4FE9">
        <w:rPr>
          <w:rStyle w:val="StyleUnderline"/>
        </w:rPr>
        <w:t xml:space="preserve"> The duty to consult was also undermined in Behn v Moulton Contracting Ltd33 in 2013, when members of the Fort Nelson First Nation were chided for blockading their lands threatened by logging</w:t>
      </w:r>
      <w:r w:rsidRPr="007A4FE9">
        <w:rPr>
          <w:sz w:val="14"/>
        </w:rPr>
        <w:t>. Writing for a unanimous SCC, LeBel J concluded that “[t]o allow the Behns to raise their defence based on treaty rights and on a breach of the duty to consult at this point would be tantamount to condoning self-help remedies and would bring the administration of justice into disrepute.”</w:t>
      </w:r>
      <w:r w:rsidRPr="007A4FE9">
        <w:rPr>
          <w:rStyle w:val="Emphasis"/>
        </w:rPr>
        <w:t xml:space="preserve">In one of the few injunction cases ever brought to the SCC, the decision on the duty to consult set an unfortunate precedent that the applicants—as individuals, rather than as the Band— did not have standing to assert these rights, </w:t>
      </w:r>
      <w:r w:rsidRPr="007A4FE9">
        <w:rPr>
          <w:rStyle w:val="StyleUnderline"/>
        </w:rPr>
        <w:t>despite s 35(1) jurisprudence that has been successfully brought to protect individuals within communities.35 Moreover, the Behn family’s resort to blockades was rendered unlawful despite the uncertainty over proper title to the land in question.</w:t>
      </w:r>
      <w:r>
        <w:rPr>
          <w:rStyle w:val="StyleUnderline"/>
        </w:rPr>
        <w:t xml:space="preserve"> </w:t>
      </w:r>
      <w:r w:rsidRPr="007A4FE9">
        <w:rPr>
          <w:sz w:val="14"/>
        </w:rPr>
        <w:t xml:space="preserve">Behn has proven extraordinarily influential. Indeed, in Enbridge Pipelines Inc v Williams, a 2017 case involving representatives of the Haudenosaunee Development Institute, Broad J cited Behn and decided that the question of “whether the Crown has made efforts to comply with its duty to consult and accommodate is not relevant to the exercise of the court’s decision to deny an injunction sought by a private party such as Enbridge with an interest in land on discretionary grounds.” 36 The injunction was granted to Enbridge partially on the basis of the defendant’s resort to blockades, and the matter of treaty rights was deferred to proceedings in other courts.37 In Williams, the court went to great lengths to distinguish an earlier Ontario decision calling for judges to prioritize the duty to consult. In Frontenac Ventures Corporation v Ardoch Algonquin First Nation, 38 the Ontario Court of Appeal had made every effort to encourage consultation when Aboriginal treaty rights to hunt were impacted. As Macpherson JA instructed, citing Haida directly: “The court must further be satisfied that every effort has been exhausted to obtain a negotiated or legislated solution to the dispute before it. Good faith on both sides is required in this process”.39 Relying on Behn (and a key 2014 decision from the Newfoundland and Labrador Appeal Court40), Broad J instead framed the Haudenosaunee defendants’ invocation of the duty to consult in Williams as the imposition of a “precondition involving the exhaustion of efforts to consult”, dismissing their attempt to require the Crown to consult with respect to treaty rights as an illegitimate resort to self-help.41 </w:t>
      </w:r>
      <w:r w:rsidRPr="007A4FE9">
        <w:rPr>
          <w:rStyle w:val="Emphasis"/>
        </w:rPr>
        <w:t>These cases demonstrate the failure of injunctive relief for First Nations when s 35(1) consultation rights are brought to bear. On the one hand, in Haida Nation, the SCC tried to steer land claims out of the injunction arena, wisely counselling on its inherent limitations and the dangers of bias embedded in the tripartite test</w:t>
      </w:r>
      <w:r w:rsidRPr="007A4FE9">
        <w:rPr>
          <w:sz w:val="14"/>
        </w:rPr>
        <w:t>. But this warning backfired when—out of necessity—</w:t>
      </w:r>
      <w:r w:rsidRPr="007A4FE9">
        <w:rPr>
          <w:rStyle w:val="Emphasis"/>
        </w:rPr>
        <w:t>First Nations sought urgent relief or were faced with plaintiffs seeking to remove them from their lands</w:t>
      </w:r>
      <w:r w:rsidRPr="007A4FE9">
        <w:rPr>
          <w:rStyle w:val="StyleUnderline"/>
        </w:rPr>
        <w:t>. Judges can then interpret Haida Nation to reason that First Nation cases should be heard in different proceedings, as litigation for rights and title, or else attempt to adjudicate their rights and title on the merits</w:t>
      </w:r>
      <w:r w:rsidRPr="007A4FE9">
        <w:rPr>
          <w:sz w:val="14"/>
        </w:rPr>
        <w:t xml:space="preserve"> based on scant evidence</w:t>
      </w:r>
      <w:r w:rsidRPr="007A4FE9">
        <w:rPr>
          <w:rStyle w:val="Emphasis"/>
        </w:rPr>
        <w:t>. The paradox that results is that the denial of injunctive relief to First Nations and the success of corporations and governments seeking injunctive relief against them practically constitutes a de facto resolution of disputed land claims</w:t>
      </w:r>
      <w:r w:rsidRPr="007A4FE9">
        <w:rPr>
          <w:sz w:val="14"/>
        </w:rPr>
        <w:t>. Put simply, the s 35(1) duty to consult, alongside the long delays and evidentiary hurdles standing in the way of establishing Aboriginal rights and title more generally, as demonstrated by Sparrow and Delgamuukw, has proven to mostly work against First Nations seeking injunctive relief.</w:t>
      </w:r>
    </w:p>
    <w:p w:rsidR="001E4194" w:rsidRDefault="001E4194" w:rsidP="001E4194"/>
    <w:p w:rsidR="001E4194" w:rsidRDefault="001E4194" w:rsidP="001E4194">
      <w:pPr>
        <w:pStyle w:val="Heading4"/>
      </w:pPr>
      <w:r>
        <w:t>The public interest prong in efforts of obtaining Indigenous lands for resource extraction and economic development has historically excluded and overlooked Native Americans.</w:t>
      </w:r>
    </w:p>
    <w:p w:rsidR="001E4194" w:rsidRDefault="001E4194" w:rsidP="001E4194">
      <w:pPr>
        <w:rPr>
          <w:i/>
          <w:iCs/>
        </w:rPr>
      </w:pPr>
      <w:r>
        <w:rPr>
          <w:rStyle w:val="Style13ptBold"/>
        </w:rPr>
        <w:t xml:space="preserve">Pasternak &amp; Ceric 23 </w:t>
      </w:r>
      <w:r>
        <w:rPr>
          <w:rStyle w:val="Style13ptBold"/>
          <w:b w:val="0"/>
          <w:bCs w:val="0"/>
          <w:sz w:val="22"/>
        </w:rPr>
        <w:t xml:space="preserve">(Shiri Pasternak &amp; Irina Ceric, Associate Professor, Toronto Metropolitan University, Department of Criminology, and Assistant Professor, University of Windsor, Faculty of Law, “”The Legal Billy Club” First Nations, Injunctions, and the Public Interest”, </w:t>
      </w:r>
      <w:r w:rsidRPr="00AA2BC0">
        <w:rPr>
          <w:rStyle w:val="Style13ptBold"/>
          <w:b w:val="0"/>
          <w:bCs w:val="0"/>
          <w:sz w:val="22"/>
        </w:rPr>
        <w:t>https://papers.ssrn.com/sol3/papers.cfm?abstract_id=4370375</w:t>
      </w:r>
      <w:r>
        <w:rPr>
          <w:rStyle w:val="Style13ptBold"/>
          <w:b w:val="0"/>
          <w:bCs w:val="0"/>
          <w:sz w:val="22"/>
        </w:rPr>
        <w:t>)</w:t>
      </w:r>
    </w:p>
    <w:p w:rsidR="001E4194" w:rsidRPr="00AC2452" w:rsidRDefault="001E4194" w:rsidP="001E4194">
      <w:pPr>
        <w:rPr>
          <w:sz w:val="16"/>
        </w:rPr>
      </w:pPr>
      <w:r w:rsidRPr="00AC2452">
        <w:rPr>
          <w:sz w:val="16"/>
        </w:rPr>
        <w:t xml:space="preserve">Section 35(1) rights do not fit easily into the tripartite injunction test because they require lengthy and careful litigation or negotiation. Yet, the use of injunctions has by no means been discontinued on this basis. </w:t>
      </w:r>
      <w:r w:rsidRPr="002F7D02">
        <w:rPr>
          <w:rStyle w:val="StyleUnderline"/>
        </w:rPr>
        <w:t>Of the 70 cases we coded, 42 (or 60 per cent) referred to Aboriginal rights, treaties, and/or title in motions brought by First Nations or as defences against injunctions</w:t>
      </w:r>
      <w:r w:rsidRPr="00AC2452">
        <w:rPr>
          <w:sz w:val="16"/>
        </w:rPr>
        <w:t>. Almost a third of these cases address the legal question of consultation</w:t>
      </w:r>
      <w:r w:rsidRPr="002F7D02">
        <w:rPr>
          <w:rStyle w:val="StyleUnderline"/>
        </w:rPr>
        <w:t xml:space="preserve">. </w:t>
      </w:r>
      <w:r w:rsidRPr="00AC2452">
        <w:rPr>
          <w:rStyle w:val="Emphasis"/>
        </w:rPr>
        <w:t>Many of these legal arguments are countered in the courts by public interest-based counter-arguments and reasoning</w:t>
      </w:r>
      <w:r w:rsidRPr="002F7D02">
        <w:rPr>
          <w:rStyle w:val="StyleUnderline"/>
        </w:rPr>
        <w:t xml:space="preserve">. The explicit consideration of public interest arguments, in fact, emerged concurrently with the emergence of s 35(1) case law discussed above, after the SCC made two critical decisions that </w:t>
      </w:r>
      <w:r w:rsidRPr="00AC2452">
        <w:rPr>
          <w:rStyle w:val="Emphasis"/>
        </w:rPr>
        <w:t xml:space="preserve">emphasized the importance of public interest when balancing “convenience” in interlocutory injunctions. </w:t>
      </w:r>
      <w:r w:rsidRPr="002F7D02">
        <w:rPr>
          <w:rStyle w:val="StyleUnderline"/>
        </w:rPr>
        <w:t xml:space="preserve">While Metropolitan Stores43 and RJR-MacDonald44 did not involve Indigenous people, these Charter cases </w:t>
      </w:r>
      <w:r w:rsidRPr="00AC2452">
        <w:rPr>
          <w:rStyle w:val="Emphasis"/>
        </w:rPr>
        <w:t xml:space="preserve">became central to the shift away from injunctive relief for First Nations. Their importance was due to the presumption baked into the “public interest” </w:t>
      </w:r>
      <w:r w:rsidRPr="00AC2452">
        <w:rPr>
          <w:rStyle w:val="StyleUnderline"/>
        </w:rPr>
        <w:t>that an equitable balance can exist between protecting the interests of distinct groups in society and the “concerns of society generally</w:t>
      </w:r>
      <w:r w:rsidRPr="00AC2452">
        <w:rPr>
          <w:rStyle w:val="Emphasis"/>
        </w:rPr>
        <w:t>.”</w:t>
      </w:r>
      <w:r w:rsidRPr="00AC2452">
        <w:rPr>
          <w:sz w:val="16"/>
        </w:rPr>
        <w:t xml:space="preserve">45 For First Nations already struggling to assert their inherent jurisdiction against the non-justiciable nature of Crown sovereignty, the paramountcy of the public interest further prejudices courts hearing injunction applications against them. In Metropolitan Stores, cited in RJR-MacDonald, the SCC made foundational comments defining the public interest, stating that “in all constitutional cases the public interest is a ‘special factor’ which must be considered in assessing where the balance of convenience lies, and which must be ‘given the weight it should carry’.”46 As the court decided: It is, we think, appropriate that it be open to both parties in an interlocutory Charter proceeding to rely upon considerations of the public interest… [E]ither the applicant or the respondent may tip the scales of convenience in its favour by demonstrating to the court a compelling public interest in the granting or refusal of the relief sought. </w:t>
      </w:r>
      <w:r w:rsidRPr="002F7D02">
        <w:rPr>
          <w:rStyle w:val="StyleUnderline"/>
        </w:rPr>
        <w:t>“Public interest” includes both the concerns of society generally and the particular interests of identifiable groups</w:t>
      </w:r>
      <w:r w:rsidRPr="00AC2452">
        <w:rPr>
          <w:rStyle w:val="Emphasis"/>
        </w:rPr>
        <w:t>. The public interest is further closely tied to the expectation that injunctions maintain or preserve the status quo.</w:t>
      </w:r>
      <w:r w:rsidRPr="002F7D02">
        <w:rPr>
          <w:rStyle w:val="StyleUnderline"/>
        </w:rPr>
        <w:t xml:space="preserve"> The status quo is </w:t>
      </w:r>
      <w:r w:rsidRPr="00AC2452">
        <w:rPr>
          <w:rStyle w:val="Emphasis"/>
        </w:rPr>
        <w:t>considered critical to guiding judges’ decisions on what constitutes the public interest</w:t>
      </w:r>
      <w:r w:rsidRPr="002F7D02">
        <w:rPr>
          <w:rStyle w:val="StyleUnderline"/>
        </w:rPr>
        <w:t xml:space="preserve">. For </w:t>
      </w:r>
      <w:r w:rsidRPr="00AC2452">
        <w:rPr>
          <w:rStyle w:val="Emphasis"/>
        </w:rPr>
        <w:t>Indigenous claims litigation, however, the “status quo” or the “existing legal regime or the state of affairs on the ground” may include active mining or logging</w:t>
      </w:r>
      <w:r w:rsidRPr="002F7D02">
        <w:rPr>
          <w:rStyle w:val="StyleUnderline"/>
        </w:rPr>
        <w:t>, preserving at minimum a circumstance of disputed land, and at most, maintaining a destructive or violent occupation. As detailed in this Part</w:t>
      </w:r>
      <w:r w:rsidRPr="00651AC3">
        <w:rPr>
          <w:rStyle w:val="Emphasis"/>
        </w:rPr>
        <w:t>, the uneven pattern in injunction cases also persists through the courts’ interpretation of this “status quo” imperative</w:t>
      </w:r>
      <w:r w:rsidRPr="002F7D02">
        <w:rPr>
          <w:rStyle w:val="StyleUnderline"/>
        </w:rPr>
        <w:t>. An interpretation that favours statutory regimes and private capital contradicts SCC decisions on the interplay of the duty to consult and the role of regulatory agencies and tribunals, which call for recognizing that the “duty to consult, being a constitutional imperative</w:t>
      </w:r>
      <w:r w:rsidRPr="00651AC3">
        <w:rPr>
          <w:rStyle w:val="Emphasis"/>
        </w:rPr>
        <w:t>, gives rise to a special public interest that supersedes other concerns typically considered by tribunals tasked with assessing the public interest</w:t>
      </w:r>
      <w:r w:rsidRPr="002F7D02">
        <w:rPr>
          <w:rStyle w:val="StyleUnderline"/>
        </w:rPr>
        <w:t xml:space="preserve">.”51 Thus, the post-Sparrow shift away from success for First Nations obtaining injunctions is not only due to the s 35(1) jurisprudence and a diversion towards constitutional litigation. </w:t>
      </w:r>
      <w:r w:rsidRPr="00651AC3">
        <w:rPr>
          <w:rStyle w:val="Emphasis"/>
        </w:rPr>
        <w:t>It is also due to a public interest defined by market rationale and the demand for Indigenous lands.</w:t>
      </w:r>
      <w:r w:rsidRPr="00AC2452">
        <w:rPr>
          <w:sz w:val="16"/>
        </w:rPr>
        <w:t xml:space="preserve"> Reconciling the public interest of Canada’s resource economy with Indigenous rights lies at the heart of these cases</w:t>
      </w:r>
      <w:r w:rsidRPr="002F7D02">
        <w:rPr>
          <w:rStyle w:val="StyleUnderline"/>
        </w:rPr>
        <w:t>. Less examined, though, is the way the courts manage, and often shield, private interests from exposure to counter-legal claims. For example, Hunter demonstrates that early injunctions involving First Nations were open to considering the interests of First Nations in the land, reflecting a time of relative calm within the cycles of capitalist crisis.</w:t>
      </w:r>
      <w:r w:rsidRPr="00AC2452">
        <w:rPr>
          <w:sz w:val="16"/>
        </w:rPr>
        <w:t xml:space="preserve"> As a case in point, the Ahousat and Clayoquot arguments for title to Meares Island led the judge to reject the public interest argument made by the forestry company to protect private investment.52 </w:t>
      </w:r>
      <w:r w:rsidRPr="002F7D02">
        <w:rPr>
          <w:rStyle w:val="StyleUnderline"/>
        </w:rPr>
        <w:t>Though he admitted that the case was a “frontline” precedent for Nations across the province disrupting extraction on their land by asserting title, the fear expressed by the province and companies was not deemed a sufficient public interest argument, for this uncertainty would be up to each court in every circumstance to consider</w:t>
      </w:r>
      <w:r w:rsidRPr="00651AC3">
        <w:rPr>
          <w:rStyle w:val="Emphasis"/>
        </w:rPr>
        <w:t>. But critically, the judge also did not find the importance of logging for the company to be a matter of “irreparable harm,” since “the timber will still be there”</w:t>
      </w:r>
      <w:r w:rsidRPr="002F7D02">
        <w:rPr>
          <w:rStyle w:val="StyleUnderline"/>
        </w:rPr>
        <w:t xml:space="preserve"> if MacMillan Bloedel were found to hold the right at trial, whereas “[t]he position of the Indians is quite different”, </w:t>
      </w:r>
      <w:r w:rsidRPr="00651AC3">
        <w:rPr>
          <w:rStyle w:val="Emphasis"/>
        </w:rPr>
        <w:t>since logging may extinguish their food sources and ways of life</w:t>
      </w:r>
      <w:r w:rsidRPr="002F7D02">
        <w:rPr>
          <w:rStyle w:val="StyleUnderline"/>
        </w:rPr>
        <w:t>.</w:t>
      </w:r>
      <w:r w:rsidRPr="00AC2452">
        <w:rPr>
          <w:sz w:val="16"/>
        </w:rPr>
        <w:t xml:space="preserve"> By 1989, Esson JA challenged this position in Westar Timber Ltd v Ryan et al. This case involved the Gitksan Nation’s conflict with a forestry company that sought to log and expand operations into a region over which the Nation was asserting title as part of the Delgamuukw case. The judge quoted Macfarlane JA’s dissenting reasons from MacMillan Bloedel at length, emphasizing the heading “Provincial concern about sovereignty over resources”, where Macfarlane JA wrote that Meares Island was a unique case because it was a small, isolated area. However</w:t>
      </w:r>
      <w:r w:rsidRPr="00AC2452">
        <w:rPr>
          <w:rStyle w:val="StyleUnderline"/>
        </w:rPr>
        <w:t xml:space="preserve">, “[i]f an injunction were being sought with respect to the whole area the economic consequences of granting an injunction would probably weigh heavily against making the order.” Esson JA picked up this line of the thinking, and citing the importance of “public interest” in Metropolitan Stores, found that </w:t>
      </w:r>
      <w:r w:rsidRPr="00651AC3">
        <w:rPr>
          <w:rStyle w:val="Emphasis"/>
        </w:rPr>
        <w:t>“the court should not grant an injunction if the economic consequences of doing so would have a serious impact upon the economic health of the province, the region or the logging company.” Thus, the public interest argument here smothers the possibility of challenging provincial regulation that may constitute irreparable harm to Indigenous rights</w:t>
      </w:r>
      <w:r w:rsidRPr="00AC2452">
        <w:rPr>
          <w:rStyle w:val="StyleUnderline"/>
        </w:rPr>
        <w:t xml:space="preserve">. </w:t>
      </w:r>
      <w:r w:rsidRPr="00AC2452">
        <w:rPr>
          <w:sz w:val="16"/>
        </w:rPr>
        <w:t xml:space="preserve">As Esson JA argued: …injunctions restraining the exercise of rights granted under the Forest Act could sterilize the working of that statutory scheme just as effectively </w:t>
      </w:r>
      <w:r w:rsidRPr="00AC2452">
        <w:rPr>
          <w:rStyle w:val="StyleUnderline"/>
        </w:rPr>
        <w:t>as injunctions restraining the granting of licenses and other rights, that being so</w:t>
      </w:r>
      <w:r w:rsidRPr="00651AC3">
        <w:rPr>
          <w:rStyle w:val="Emphasis"/>
        </w:rPr>
        <w:t>, the public interest must be considered in applications of this kind</w:t>
      </w:r>
      <w:r w:rsidRPr="00AC2452">
        <w:rPr>
          <w:rStyle w:val="StyleUnderline"/>
        </w:rPr>
        <w:t>.</w:t>
      </w:r>
      <w:r w:rsidRPr="00AC2452">
        <w:rPr>
          <w:sz w:val="16"/>
        </w:rPr>
        <w:t xml:space="preserve"> </w:t>
      </w:r>
    </w:p>
    <w:p w:rsidR="001E4194" w:rsidRPr="0085459E" w:rsidRDefault="001E4194" w:rsidP="001E4194">
      <w:pPr>
        <w:pStyle w:val="Heading4"/>
      </w:pPr>
      <w:r w:rsidRPr="0085459E">
        <w:t>Injunctions suppress Indigenous movements to s</w:t>
      </w:r>
      <w:r>
        <w:t>top resource extraction on their lands and misrepresents their identity.</w:t>
      </w:r>
    </w:p>
    <w:p w:rsidR="001E4194" w:rsidRPr="002F7D02" w:rsidRDefault="001E4194" w:rsidP="001E4194">
      <w:pPr>
        <w:rPr>
          <w:rStyle w:val="Style13ptBold"/>
          <w:b w:val="0"/>
          <w:bCs w:val="0"/>
          <w:sz w:val="20"/>
          <w:szCs w:val="20"/>
        </w:rPr>
      </w:pPr>
      <w:r w:rsidRPr="0085459E">
        <w:rPr>
          <w:rStyle w:val="Style13ptBold"/>
        </w:rPr>
        <w:t xml:space="preserve"> </w:t>
      </w:r>
      <w:r>
        <w:rPr>
          <w:rStyle w:val="Style13ptBold"/>
        </w:rPr>
        <w:t xml:space="preserve">Guernsey 22 </w:t>
      </w:r>
      <w:r>
        <w:rPr>
          <w:rStyle w:val="Style13ptBold"/>
          <w:b w:val="0"/>
          <w:bCs w:val="0"/>
          <w:sz w:val="20"/>
          <w:szCs w:val="20"/>
        </w:rPr>
        <w:t>(Paul J Guernsey, Ihlseng Cottage University Park, Pennsylvania State University, Pennsylvania, PA, “</w:t>
      </w:r>
      <w:r w:rsidRPr="002F7D02">
        <w:rPr>
          <w:sz w:val="20"/>
          <w:szCs w:val="20"/>
        </w:rPr>
        <w:t>The infrastructures of White settler perception: A political phenomenology of colonialism, genocide, ecocide, and emergency</w:t>
      </w:r>
      <w:r>
        <w:rPr>
          <w:sz w:val="20"/>
          <w:szCs w:val="20"/>
        </w:rPr>
        <w:t xml:space="preserve">”, </w:t>
      </w:r>
      <w:r w:rsidRPr="002F7D02">
        <w:rPr>
          <w:sz w:val="20"/>
          <w:szCs w:val="20"/>
        </w:rPr>
        <w:t>https://journals.sagepub.com/doi/pdf/10.1177/2514848621996577?casa_token=zhnZp2ghN9cAAAAA:g9dUJg8tzn8nR6f2ATjhm4KZoVepPDzQyfiKtYotR817zd293xuqSGA2hLiJPde5g-Hhif4TAy0J4g</w:t>
      </w:r>
      <w:r>
        <w:rPr>
          <w:sz w:val="20"/>
          <w:szCs w:val="20"/>
        </w:rPr>
        <w:t xml:space="preserve">) </w:t>
      </w:r>
    </w:p>
    <w:p w:rsidR="001E4194" w:rsidRPr="001E4194" w:rsidRDefault="001E4194" w:rsidP="001E4194">
      <w:r w:rsidRPr="00651AC3">
        <w:rPr>
          <w:rStyle w:val="StyleUnderline"/>
        </w:rPr>
        <w:t>The settler colonial infrastructures of perception work to absorb and inculcate perception into attentive modes and sensible habits in which the settler state is always at the center of experience, reality, designation, interpretation, and orientation. Such are the selective attentions of White supremacy.</w:t>
      </w:r>
      <w:r w:rsidRPr="00651AC3">
        <w:rPr>
          <w:sz w:val="14"/>
        </w:rPr>
        <w:t xml:space="preserve"> As the social phenomenologist Alfred Schutz writes, the “scheme of interpretation” and “scheme of orientation” for members of an in-group determine systems of experiential relevance (1970: 120–121). Experiences are named and understood in terms of pre-experienced horizons of feeling and meaning that occur at the commonsense level (117–120). </w:t>
      </w:r>
      <w:r w:rsidRPr="00651AC3">
        <w:rPr>
          <w:rStyle w:val="StyleUnderline"/>
        </w:rPr>
        <w:t>It is at this “communal” everyday understanding of events that the “politics of distraction” attempts to dominate the perception of emergencies</w:t>
      </w:r>
      <w:r w:rsidRPr="00651AC3">
        <w:rPr>
          <w:sz w:val="14"/>
        </w:rPr>
        <w:t>. For example</w:t>
      </w:r>
      <w:r w:rsidRPr="00651AC3">
        <w:rPr>
          <w:rStyle w:val="Emphasis"/>
        </w:rPr>
        <w:t>, in response to the threat of the Coastal GasLink pipeline in northern British Columbia, Wet’suwet’en land protectors set up Unist’ot’en Camp to obstruct the path of the proposed project in 2010. Between 2018 and 2020, the conflict escalated, and courts issued injunctions against the land protectors, empowering the Royal Canadian Mounted Police (RCMP) to make arrests.</w:t>
      </w:r>
      <w:r w:rsidRPr="00651AC3">
        <w:rPr>
          <w:rStyle w:val="StyleUnderline"/>
        </w:rPr>
        <w:t xml:space="preserve"> In acts of solidarity, allies of the Wet’suwet’en including the Mohawk and other groups blocked rail lines and ports across the country</w:t>
      </w:r>
      <w:r w:rsidRPr="00651AC3">
        <w:rPr>
          <w:rStyle w:val="Emphasis"/>
        </w:rPr>
        <w:t>. Covering these events, Canada’s Global News announced that the disagreement was “again disrupting trade and travel in this country”</w:t>
      </w:r>
      <w:r w:rsidRPr="00651AC3">
        <w:rPr>
          <w:sz w:val="14"/>
        </w:rPr>
        <w:t xml:space="preserve"> (Global News, 2020). </w:t>
      </w:r>
      <w:r w:rsidRPr="00651AC3">
        <w:rPr>
          <w:rStyle w:val="StyleUnderline"/>
        </w:rPr>
        <w:t xml:space="preserve">This manner of speaking names or typifies the situation with a structure of intention </w:t>
      </w:r>
      <w:r w:rsidRPr="00651AC3">
        <w:rPr>
          <w:rStyle w:val="Emphasis"/>
        </w:rPr>
        <w:t>built around a horizon of relevance that refers back to the settler state. It is not the homelands of the Wet’suwet’en that are being disrupted by the pipeline</w:t>
      </w:r>
      <w:r w:rsidRPr="00651AC3">
        <w:rPr>
          <w:rStyle w:val="StyleUnderline"/>
        </w:rPr>
        <w:t>. Rather it is the trade and travel of Canada</w:t>
      </w:r>
      <w:r w:rsidR="000E2D12">
        <w:rPr>
          <w:rStyle w:val="StyleUnderline"/>
        </w:rPr>
        <w:t>x</w:t>
      </w:r>
      <w:r w:rsidRPr="00651AC3">
        <w:rPr>
          <w:rStyle w:val="StyleUnderline"/>
        </w:rPr>
        <w:t xml:space="preserve"> that are being disrupted.</w:t>
      </w:r>
      <w:r w:rsidRPr="00651AC3">
        <w:rPr>
          <w:sz w:val="14"/>
        </w:rPr>
        <w:t xml:space="preserve"> Furthermore, Global News emphasized supposedly internal disagreements between certain Hereditary Chiefs and the Band Councils, stating, </w:t>
      </w:r>
      <w:r w:rsidRPr="00651AC3">
        <w:rPr>
          <w:rStyle w:val="StyleUnderline"/>
        </w:rPr>
        <w:t xml:space="preserve">“Who speaks for the Wet’suwet’en people and who has authority over the 22,000 square kilometers of land in northern B.C. is not straightforward. There is confusion and misunderstanding” (Global News, 2020). But the Band Councils themselves were created under the Indian Act and structured specifically by the Canadian government to deal with negotiations for natural resources. So, </w:t>
      </w:r>
      <w:r w:rsidRPr="0085459E">
        <w:rPr>
          <w:rStyle w:val="Emphasis"/>
        </w:rPr>
        <w:t>the conflict was produced by Canadian interventions in traditional governance structures that were seen as unconducive to resource extraction</w:t>
      </w:r>
      <w:r w:rsidRPr="00651AC3">
        <w:rPr>
          <w:rStyle w:val="StyleUnderline"/>
        </w:rPr>
        <w:t>. The Hereditary Chiefs who, as the anchor puts it, “believe they have authority over the territory,” never ceded that authority.</w:t>
      </w:r>
      <w:r w:rsidRPr="00651AC3">
        <w:rPr>
          <w:sz w:val="14"/>
        </w:rPr>
        <w:t xml:space="preserve"> Furthermore, the land upon which the original camp was made does not belong to the Wet’suwet’en as a whole or any of the neighboring Band Councils or tribal nations. It is on Unist’ot’en Clan territory that has never been ceded. As their website states, “The Unist’ot’en homestead is not a protest or demonstration. Our clan is occupying and using our traditional territory as it has for centuries” (Unist’ot’en, n.d.). </w:t>
      </w:r>
      <w:r w:rsidRPr="0085459E">
        <w:rPr>
          <w:rStyle w:val="Emphasis"/>
        </w:rPr>
        <w:t>Settler media distorts this view, arguing that it is not Canada but rather the Wet’suwet’en who are confused and divided. disregarding the fact that they are not simply “Canadians</w:t>
      </w:r>
      <w:r w:rsidRPr="00651AC3">
        <w:rPr>
          <w:rStyle w:val="StyleUnderline"/>
        </w:rPr>
        <w:t>.” Corntassel wrote of the UN position on Indigenous relations</w:t>
      </w:r>
      <w:r>
        <w:t xml:space="preserve">, </w:t>
      </w:r>
      <w:r w:rsidRPr="001E4194">
        <w:rPr>
          <w:sz w:val="14"/>
          <w:szCs w:val="14"/>
        </w:rPr>
        <w:t>“an Indigenous political agenda is shifted and altered to fit the dominant norms of existing institutional structures” (2007: 140). Political marginalization, therefore, will not be solved by “inclusion” that does not somehow fundamentally allow the “included” to set their own terms on the manner of that inclusion and allow for decolonized forms of governance to take first precedence over laws, land, and life. The Wet’suwet’en are a sovereign nation. Freeland’s language subsumes Native political action into a nationalistic multicultural framework of forced democratic inclusion</w:t>
      </w:r>
    </w:p>
    <w:p w:rsidR="00AA57D9" w:rsidRPr="00613977" w:rsidRDefault="00AA57D9" w:rsidP="00AA57D9">
      <w:pPr>
        <w:pStyle w:val="Heading4"/>
        <w:rPr>
          <w:rStyle w:val="Style13ptBold"/>
          <w:b/>
          <w:bCs w:val="0"/>
        </w:rPr>
      </w:pPr>
      <w:r>
        <w:rPr>
          <w:rStyle w:val="Style13ptBold"/>
          <w:b/>
          <w:bCs w:val="0"/>
        </w:rPr>
        <w:t>Injunctions under the guise of Capitalism rob and privatize theft of Native American land and culture- its intrinsic to Settler Colonialism</w:t>
      </w:r>
    </w:p>
    <w:p w:rsidR="00AA57D9" w:rsidRDefault="00AA57D9" w:rsidP="00AA57D9">
      <w:pPr>
        <w:rPr>
          <w:rStyle w:val="Style13ptBold"/>
          <w:b w:val="0"/>
          <w:bCs w:val="0"/>
          <w:i/>
          <w:iCs/>
          <w:sz w:val="22"/>
        </w:rPr>
      </w:pPr>
      <w:r>
        <w:rPr>
          <w:rStyle w:val="Style13ptBold"/>
        </w:rPr>
        <w:t xml:space="preserve">Pasternak &amp; Ceric 23 </w:t>
      </w:r>
      <w:r>
        <w:rPr>
          <w:rStyle w:val="Style13ptBold"/>
          <w:b w:val="0"/>
          <w:bCs w:val="0"/>
          <w:sz w:val="22"/>
        </w:rPr>
        <w:t xml:space="preserve">(Shiri Pasternak &amp; Irina Ceric, Associate Professor, Toronto Metropolitan University, Department of Criminology, and Assistant Professor, University of Windsor, Faculty of Law, “”The Legal Billy Club” First Nations, Injunctions, and the Public Interest”, </w:t>
      </w:r>
      <w:r w:rsidRPr="00AA2BC0">
        <w:rPr>
          <w:rStyle w:val="Style13ptBold"/>
          <w:b w:val="0"/>
          <w:bCs w:val="0"/>
          <w:sz w:val="22"/>
        </w:rPr>
        <w:t>https://papers.ssrn.com/sol3/papers.cfm?abstract_id=4370375</w:t>
      </w:r>
      <w:r>
        <w:rPr>
          <w:rStyle w:val="Style13ptBold"/>
          <w:b w:val="0"/>
          <w:bCs w:val="0"/>
          <w:sz w:val="22"/>
        </w:rPr>
        <w:t>)</w:t>
      </w:r>
    </w:p>
    <w:p w:rsidR="00AA57D9" w:rsidRDefault="00AA57D9" w:rsidP="00AA57D9">
      <w:pPr>
        <w:rPr>
          <w:rStyle w:val="Emphasis"/>
        </w:rPr>
      </w:pPr>
      <w:r w:rsidRPr="00613977">
        <w:rPr>
          <w:sz w:val="14"/>
        </w:rPr>
        <w:t xml:space="preserve">It may seem contradictory to attribute the cause of a persistent pattern of judicial reasoning to the notion of discretion, </w:t>
      </w:r>
      <w:r w:rsidRPr="00613977">
        <w:rPr>
          <w:rStyle w:val="StyleUnderline"/>
        </w:rPr>
        <w:t>but locating the equitable roots of injunctions within a broader settlercolonial framework suggests that this discretion is distinctly and historically bounded.</w:t>
      </w:r>
      <w:r w:rsidRPr="00613977">
        <w:rPr>
          <w:sz w:val="14"/>
        </w:rPr>
        <w:t xml:space="preserve"> </w:t>
      </w:r>
      <w:r w:rsidRPr="00613977">
        <w:rPr>
          <w:rStyle w:val="StyleUnderline"/>
        </w:rPr>
        <w:t xml:space="preserve">The power to grant an injunction derives from an old and subsumed system of English law called the Court of Equity. </w:t>
      </w:r>
      <w:r w:rsidRPr="00613977">
        <w:rPr>
          <w:rStyle w:val="Emphasis"/>
        </w:rPr>
        <w:t>Although injunctions eventually came under the jurisdiction of the combined courts of law and equity,92 the origin of injunctions can inform us about the meaning of its remedies</w:t>
      </w:r>
      <w:r w:rsidRPr="00613977">
        <w:rPr>
          <w:rStyle w:val="StyleUnderline"/>
        </w:rPr>
        <w:t>. Since the Court of Equity could only grant specific relief where damages (i.e., awards of money) were deemed insufficient, injunctive relief required “irreparable harm”—of a kind which could not be compensated monetarily—to be granted.93 Irreparable harm,</w:t>
      </w:r>
      <w:r w:rsidRPr="00613977">
        <w:rPr>
          <w:sz w:val="14"/>
        </w:rPr>
        <w:t xml:space="preserve"> then, had jurisdictional importance for which court would hear the case and, therefore, what remedies would be available. The Court of Equity itself emerged from the dissatisfaction of English people with the rigidity of the common law system. This led to many complaints to the King, who delegated these matters to the Chancellor to resolve through a new legal venue.94 Since Chancellors tended to draw from ecclesiastic classes, they resolved matters in the new courts of equity largely by drawing on canon law principles of good conscience.95 No less discretionary than the common law, but less bound to strict rules, procedures, and established legal precedents, injunctions were included among the equitable remedies the court provided. Eventually, this looser system of law could not withstand the pressure exerted by commercial markets and land privatization for the more procedural and substantive rules of doctrines in the common law. </w:t>
      </w:r>
      <w:r w:rsidRPr="00613977">
        <w:rPr>
          <w:rStyle w:val="StyleUnderline"/>
        </w:rPr>
        <w:t>As a result, the significance of the injunction as an equitable remedy must be understood in relation to the common law. Remedies have “distinct structure, justifications, and goals”,96 which are not integrated in a hierarchical way into the common law.97 There is much debate in Canada on where and how these discretionary lines are drawn.</w:t>
      </w:r>
      <w:r w:rsidRPr="00613977">
        <w:rPr>
          <w:sz w:val="14"/>
        </w:rPr>
        <w:t xml:space="preserve"> As Jeffrey Berryman explains: It is up to the defendant to refute the plaintiff’s remedy of choice. But for judges, who traditionally conceive of their role as the top of an adjudicative apex, it is difficult to escape from the position that the “discretion”, in that equitable remedies are said to be discretionary, is for the judge alone to exercise.98 Complicating this issue, though, is that these lines are not entirely clear, especially in Canada. </w:t>
      </w:r>
      <w:r w:rsidRPr="00613977">
        <w:rPr>
          <w:rStyle w:val="StyleUnderline"/>
        </w:rPr>
        <w:t xml:space="preserve">Equitable remedies shape substantive rights and vice versa. We can see quite clearly, for example, </w:t>
      </w:r>
      <w:r w:rsidRPr="00613977">
        <w:rPr>
          <w:rStyle w:val="Emphasis"/>
        </w:rPr>
        <w:t>in the case of injunctions and First Nations, how equitable remedies are shaping Indigenous peoples’ substantive rights.</w:t>
      </w:r>
      <w:r w:rsidRPr="00613977">
        <w:rPr>
          <w:rStyle w:val="StyleUnderline"/>
        </w:rPr>
        <w:t xml:space="preserve"> The ambiguity of the relationship between these remedies and the common law is complicated by the colonial relationship between Canadian courts and Indigenous peoples. </w:t>
      </w:r>
      <w:r w:rsidRPr="00613977">
        <w:rPr>
          <w:rStyle w:val="Emphasis"/>
        </w:rPr>
        <w:t>Much of this ambiguity can be found in property law, which the courts ultimately seek to protect when they are tasked with maintaining the status quo in injunction proceedings</w:t>
      </w:r>
      <w:r w:rsidRPr="00613977">
        <w:rPr>
          <w:rStyle w:val="StyleUnderline"/>
        </w:rPr>
        <w:t>. Brenna Bhandar’s exploration of racial regimes of ownership and, more specifically, her examination of the “development of the specific legal forms of private property relations”99 in settler-colonial sites points to a framework for understanding how our modern concept of “public interest” has evolved out of this process of development. As Bhandar writes, this property law system emerged from “political ideologies, economic rationales, and colonial imaginaries that gave life to juridical forms of property and a concept of human subjectivity that are embedded in a racial order</w:t>
      </w:r>
      <w:r w:rsidRPr="00613977">
        <w:rPr>
          <w:sz w:val="14"/>
        </w:rPr>
        <w:t xml:space="preserve">.”100 She examines, for example, the titling registration regimes of the 19th century in the British colonies that relied on a </w:t>
      </w:r>
      <w:r w:rsidRPr="00613977">
        <w:rPr>
          <w:rStyle w:val="Emphasis"/>
        </w:rPr>
        <w:t>new racial science to deny Indigenous peoples’ own tenure system through hierarchies of racial entitlement.</w:t>
      </w:r>
      <w:r w:rsidRPr="00613977">
        <w:rPr>
          <w:sz w:val="14"/>
        </w:rPr>
        <w:t xml:space="preserve"> Drawing on the work of geographer Nicholas Blomley, she also theorizes the process of racial property-making as “enactments” that must be repeated regularly and reproduced through legal techniques of denial.101 What does it mean, then, to reconsider equitable remedies as part of these “colonial modes of appropriation” that constitute the public interest? </w:t>
      </w:r>
      <w:r w:rsidRPr="00613977">
        <w:rPr>
          <w:rStyle w:val="StyleUnderline"/>
        </w:rPr>
        <w:t xml:space="preserve">The public interest protected by injunctions is indelibly shaped by private property interests that underpin statutory schemes and common law constructs. Here, we need to dig a bit deeper into the relationship between colonialism, capitalism, and property law in Canada. </w:t>
      </w:r>
      <w:r w:rsidRPr="00613977">
        <w:rPr>
          <w:sz w:val="14"/>
        </w:rPr>
        <w:t xml:space="preserve">In his examination of settler colonialism in British settlements, Robert Nichols’ work in Theft is Property! offers a critical reformulation of Karl Marx’s important concept of “dispossession” or “expropriation” to the process of capital accumulation. Like many others, Nichols rethinks Marx’s theorization of a stadial view of violent dispossession as an essential condition for the next stage of development, a “silent compulsion of economic relations.”102 Rather, Nichols writes that “[t]here was no historical transition from extra-economic violence to silent compulsion, only a geographical displacement of the former to the imperial periphery.”103 Nichols’ reformulation avoids the common move that often follows this point, which is to </w:t>
      </w:r>
      <w:r w:rsidRPr="00613977">
        <w:rPr>
          <w:rStyle w:val="StyleUnderline"/>
        </w:rPr>
        <w:t xml:space="preserve">prolong Marx’s theory of early “primitive accumulation” </w:t>
      </w:r>
      <w:r w:rsidRPr="00613977">
        <w:rPr>
          <w:rStyle w:val="Emphasis"/>
        </w:rPr>
        <w:t>into the present in order to account for an ongoing, violent removal of Indigenous peoples from their lands.</w:t>
      </w:r>
      <w:r w:rsidRPr="00613977">
        <w:rPr>
          <w:rStyle w:val="StyleUnderline"/>
        </w:rPr>
        <w:t xml:space="preserve"> Instead, he rethinks the category of “dispossession” itself to produce an important insight into property relations in the settler colony. Ongoing dispossession is not only required to </w:t>
      </w:r>
      <w:r w:rsidRPr="00613977">
        <w:rPr>
          <w:rStyle w:val="Emphasis"/>
        </w:rPr>
        <w:t>transform nature into commodities, but is part of the silent compulsion of capitalism where land is both “a conceptual and legal category</w:t>
      </w:r>
      <w:r w:rsidRPr="00613977">
        <w:rPr>
          <w:rStyle w:val="StyleUnderline"/>
        </w:rPr>
        <w:t xml:space="preserve"> that serves to relate humans to ‘nature’ and to each other in a particular, proprietary manner.”104 </w:t>
      </w:r>
      <w:r w:rsidRPr="00613977">
        <w:rPr>
          <w:rStyle w:val="Emphasis"/>
        </w:rPr>
        <w:t>It is intrinsic to the culture of settler-colonialism</w:t>
      </w:r>
      <w:r w:rsidRPr="00613977">
        <w:rPr>
          <w:rStyle w:val="StyleUnderline"/>
        </w:rPr>
        <w:t>.</w:t>
      </w:r>
      <w:r w:rsidRPr="00613977">
        <w:rPr>
          <w:sz w:val="14"/>
        </w:rPr>
        <w:t xml:space="preserve"> Nichols traces the emergence of what he calls a “hybrid private/public form” of juridical dispossession during the settlement of Canada and other settler-colonial states in ways that are helpful in working to </w:t>
      </w:r>
      <w:r w:rsidRPr="00613977">
        <w:rPr>
          <w:rStyle w:val="StyleUnderline"/>
        </w:rPr>
        <w:t>connect the contemporary legal tool of injunctions and the concept of “public interest” to more foundational property relations.105 Dispossession, Nichols argues, “did not proceed through macro assertions of sovereignty but through microlevel practices that worked to dismantle one infrastructure of life and replace it with another</w:t>
      </w:r>
      <w:r w:rsidRPr="00613977">
        <w:rPr>
          <w:sz w:val="14"/>
        </w:rPr>
        <w:t xml:space="preserve">.”106 We can apply Nichols’ observation to Canada, where the transformation of land into property proceeded through mechanisms like the Dominion Lands Act of 1872,107 which also privatized the theft of territory from Indigenous peoples. This federal legislation facilitated massive land redistribution of Indigenous lands to the Hudson’s Bay Company (HBC), Canadian Pacific Railway, and other “colonization companies.”108 Prior to this redistribution, “Rupert’s Land” was acquired through a “Deed of Surrender” </w:t>
      </w:r>
      <w:r w:rsidRPr="00613977">
        <w:rPr>
          <w:rStyle w:val="StyleUnderline"/>
        </w:rPr>
        <w:t>in 1869 between Canada and the HBC to the lands of the Anishinaabe, Cree, Ojicree, Inuit, Innu, Dene, Gwich’in, Métis, and more, who had lived on and governed these lands for thousands of years.</w:t>
      </w:r>
      <w:r w:rsidRPr="00613977">
        <w:rPr>
          <w:rStyle w:val="Emphasis"/>
        </w:rPr>
        <w:t>These “Company lands” sold to Canada were then privatized again through the distribution of acreage to private companies and to European settlers.</w:t>
      </w:r>
    </w:p>
    <w:p w:rsidR="00AA57D9" w:rsidRDefault="00AA57D9" w:rsidP="00AA57D9">
      <w:pPr>
        <w:rPr>
          <w:rStyle w:val="Emphasis"/>
        </w:rPr>
      </w:pPr>
    </w:p>
    <w:p w:rsidR="00AA57D9" w:rsidRPr="004E26C6" w:rsidRDefault="00AA57D9" w:rsidP="00AA57D9">
      <w:pPr>
        <w:pStyle w:val="Heading4"/>
        <w:rPr>
          <w:rStyle w:val="Emphasis"/>
          <w:b/>
          <w:bCs/>
          <w:sz w:val="26"/>
          <w:szCs w:val="26"/>
          <w:u w:val="none"/>
        </w:rPr>
      </w:pPr>
      <w:r>
        <w:rPr>
          <w:rStyle w:val="Emphasis"/>
          <w:b/>
          <w:bCs/>
          <w:sz w:val="26"/>
          <w:szCs w:val="26"/>
          <w:u w:val="none"/>
        </w:rPr>
        <w:t>Injunctions have been used to uphold the law and protect Native Americans</w:t>
      </w:r>
    </w:p>
    <w:p w:rsidR="00AA57D9" w:rsidRPr="00E546E2" w:rsidRDefault="00AA57D9" w:rsidP="00AA57D9">
      <w:pPr>
        <w:rPr>
          <w:rStyle w:val="Style13ptBold"/>
          <w:b w:val="0"/>
          <w:bCs w:val="0"/>
          <w:sz w:val="22"/>
        </w:rPr>
      </w:pPr>
      <w:r>
        <w:rPr>
          <w:rStyle w:val="Style13ptBold"/>
        </w:rPr>
        <w:t xml:space="preserve">Shah 21 </w:t>
      </w:r>
      <w:r>
        <w:rPr>
          <w:rStyle w:val="Style13ptBold"/>
          <w:b w:val="0"/>
          <w:bCs w:val="0"/>
          <w:sz w:val="22"/>
        </w:rPr>
        <w:t>(Sahar Shah is from the School of Law, University of Warwick, Coventry CV4 7AL, UK ““‘Authorizing the Peril’: Mythologies of (Settler) Law at the End of Time”, https://link.springer.com/content/pdf/10.1007/s10978-021-09307-w.pdf)</w:t>
      </w:r>
    </w:p>
    <w:p w:rsidR="00AA57D9" w:rsidRPr="004E26C6" w:rsidRDefault="00AA57D9" w:rsidP="00AA57D9">
      <w:pPr>
        <w:rPr>
          <w:rStyle w:val="Emphasis"/>
        </w:rPr>
      </w:pPr>
      <w:r w:rsidRPr="00E546E2">
        <w:rPr>
          <w:rStyle w:val="StyleUnderline"/>
        </w:rPr>
        <w:t xml:space="preserve">Several of these blockades were </w:t>
      </w:r>
      <w:r w:rsidRPr="004E26C6">
        <w:rPr>
          <w:rStyle w:val="Emphasis"/>
        </w:rPr>
        <w:t>quashed through interim injunctions obtained by the Canadian National Railway and Pipeline companies against protestors</w:t>
      </w:r>
      <w:r w:rsidRPr="004E26C6">
        <w:rPr>
          <w:sz w:val="14"/>
        </w:rPr>
        <w:t xml:space="preserve">. An interim injunction request requires the court to consider whether there is a ‘serious question’ to be tried and to apply a ‘balance of convenience’ test, </w:t>
      </w:r>
      <w:r w:rsidRPr="00E546E2">
        <w:rPr>
          <w:rStyle w:val="StyleUnderline"/>
        </w:rPr>
        <w:t xml:space="preserve">evaluating whether the harm done to those </w:t>
      </w:r>
      <w:r w:rsidRPr="004E26C6">
        <w:rPr>
          <w:rStyle w:val="Emphasis"/>
        </w:rPr>
        <w:t>applying for the injunction outweighs the potential harm/ injustice done to those against whom the injunction would be obtained</w:t>
      </w:r>
      <w:r w:rsidRPr="004E26C6">
        <w:rPr>
          <w:sz w:val="14"/>
        </w:rPr>
        <w:t>. Factoring into this calculus is the question of ‘irreparable harm’—if it can be established that those seeking the injunction would sufer irreparable harm as a result of the actions of (in the cases below) protestors, then it is highly unlikely that the ‘balance of convenience’ will weigh in favour of the targets of the injunction. In Enbridge Pipelines v Jane Doe, 3 the judge, citing Mr. Justice Sharpe, says in no uncertain terms: ‘Under our system of law, property rights are sacrosanct…[t]he balance of convenience and other matters may have to take second place to the sacrosanctity of property rights in matters of trespass’ (2014, p. 12). The judge goes on to note competing rights—for instance, freedom of expression—but the judgment proceeds from the axiom that property rights are sacrosanct whilst competing rights must argue for themselves—ultimately</w:t>
      </w:r>
      <w:r w:rsidRPr="00A05F7D">
        <w:rPr>
          <w:rStyle w:val="StyleUnderline"/>
        </w:rPr>
        <w:t>, this reasoning supports the granting of the injunction against the protestors</w:t>
      </w:r>
      <w:r w:rsidRPr="004E26C6">
        <w:rPr>
          <w:sz w:val="14"/>
        </w:rPr>
        <w:t>. Similarly, in CNR v. Chief Chris Plain (2012), a case awarding an interim injunction against Aamjiwnaang First Nation members maintaining a blockade in solidarity with Idle No More in Sarnia, the judge explains: ‘</w:t>
      </w:r>
      <w:r w:rsidRPr="00A05F7D">
        <w:rPr>
          <w:rStyle w:val="StyleUnderline"/>
        </w:rPr>
        <w:t>Persons are free to engage in political protest</w:t>
      </w:r>
      <w:r w:rsidRPr="004E26C6">
        <w:rPr>
          <w:rStyle w:val="Emphasis"/>
        </w:rPr>
        <w:t>…but the law does not permit them to do so by engaging in civil disobedience through trespassing on the private property of othe</w:t>
      </w:r>
      <w:r w:rsidRPr="00A05F7D">
        <w:rPr>
          <w:rStyle w:val="StyleUnderline"/>
        </w:rPr>
        <w:t>rs’</w:t>
      </w:r>
      <w:r w:rsidRPr="004E26C6">
        <w:rPr>
          <w:sz w:val="14"/>
        </w:rPr>
        <w:t xml:space="preserve"> (2012, p. 23). While the ideal of ‘freedom of expression’ is a point of pride within neoliberal frameworks (e.g. Whyte 2019</w:t>
      </w:r>
      <w:r w:rsidRPr="00A05F7D">
        <w:rPr>
          <w:rStyle w:val="StyleUnderline"/>
        </w:rPr>
        <w:t>), it must ultimately bow to private property, which is ‘elevated in terms no less extensive than those attributed to the transcendence of myth…the foundation of civilization</w:t>
      </w:r>
      <w:r w:rsidRPr="004E26C6">
        <w:rPr>
          <w:sz w:val="14"/>
        </w:rPr>
        <w:t xml:space="preserve">, the very motor-force of the origin and development of society…the modality of appropriating nature’ (Fitzpatrick 1992, p. 50). The legal rationale in these cases, however, moves beyond the foundational transcendence of property rights alone to a broader construction of urgency in Canadian law relating to the ‘circuitry of capital’ (Pasternak and Dafnos 2017, p. 7). In Canadian National Railway Company v. John Doe, 4 the judge explains the cascade of consequences that would ensue from the blockade’s continuation: All the eastbound and westbound trafc between Toronto and Montreal will quickly become backlogged…This is because start up problems amount for every hour the Main Line is blocked—customers simply cannot process two days’ worth of trafc in one day, resulting in further backlogs. In turn, this will produce a shortage of empty equipment for subsequent loading, creating a further compounding efect. </w:t>
      </w:r>
      <w:r w:rsidRPr="00A05F7D">
        <w:rPr>
          <w:rStyle w:val="StyleUnderline"/>
        </w:rPr>
        <w:t>By the time the backlog is cleared, costs of these compounded delays will be much greater than the sum of the costs of the individual train delays.</w:t>
      </w:r>
      <w:r w:rsidRPr="004E26C6">
        <w:rPr>
          <w:sz w:val="14"/>
        </w:rPr>
        <w:t xml:space="preserve"> (2013, para. 22) </w:t>
      </w:r>
      <w:r w:rsidRPr="004E26C6">
        <w:rPr>
          <w:rStyle w:val="Emphasis"/>
        </w:rPr>
        <w:t xml:space="preserve">This colonial-capitalist cluster of interdependent urgencies is not a universal means of understanding and organizing time.  </w:t>
      </w:r>
    </w:p>
    <w:p w:rsidR="00AA57D9" w:rsidRPr="004E26C6" w:rsidRDefault="00AA57D9" w:rsidP="00AA57D9">
      <w:pPr>
        <w:rPr>
          <w:sz w:val="14"/>
        </w:rPr>
      </w:pPr>
    </w:p>
    <w:p w:rsidR="00AA57D9" w:rsidRPr="004E26C6" w:rsidRDefault="00AA57D9" w:rsidP="00AA57D9">
      <w:pPr>
        <w:rPr>
          <w:sz w:val="14"/>
        </w:rPr>
      </w:pPr>
    </w:p>
    <w:p w:rsidR="008345A6" w:rsidRDefault="008345A6" w:rsidP="009004A2">
      <w:pPr>
        <w:pStyle w:val="Heading2"/>
      </w:pPr>
      <w:r>
        <w:t>Ontology</w:t>
      </w:r>
    </w:p>
    <w:p w:rsidR="008345A6" w:rsidRDefault="008345A6" w:rsidP="008345A6">
      <w:pPr>
        <w:pStyle w:val="Heading3"/>
      </w:pPr>
      <w:r>
        <w:t>Ontology</w:t>
      </w:r>
      <w:r w:rsidR="00541F71">
        <w:t xml:space="preserve"> Framing</w:t>
      </w:r>
      <w:r>
        <w:t xml:space="preserve"> Good </w:t>
      </w:r>
    </w:p>
    <w:p w:rsidR="008345A6" w:rsidRPr="00C23AB3" w:rsidRDefault="008345A6" w:rsidP="008345A6">
      <w:pPr>
        <w:spacing w:before="40" w:after="0" w:line="240" w:lineRule="auto"/>
        <w:outlineLvl w:val="3"/>
        <w:rPr>
          <w:rFonts w:asciiTheme="minorHAnsi" w:eastAsia="Times New Roman" w:hAnsiTheme="minorHAnsi" w:cs="Times New Roman"/>
          <w:b/>
          <w:bCs/>
          <w:color w:val="000000"/>
        </w:rPr>
      </w:pPr>
      <w:r w:rsidRPr="00C23AB3">
        <w:rPr>
          <w:rFonts w:asciiTheme="minorHAnsi" w:eastAsia="Times New Roman" w:hAnsiTheme="minorHAnsi" w:cs="Arial"/>
          <w:b/>
          <w:bCs/>
          <w:color w:val="000000"/>
          <w:sz w:val="26"/>
          <w:szCs w:val="26"/>
        </w:rPr>
        <w:t>Ontology good- key to Indigenous self-determination</w:t>
      </w:r>
    </w:p>
    <w:p w:rsidR="008345A6" w:rsidRPr="00C23AB3" w:rsidRDefault="008345A6" w:rsidP="008345A6">
      <w:pPr>
        <w:spacing w:line="240" w:lineRule="auto"/>
        <w:rPr>
          <w:rFonts w:asciiTheme="minorHAnsi" w:eastAsia="Times New Roman" w:hAnsiTheme="minorHAnsi" w:cs="Times New Roman"/>
          <w:color w:val="000000"/>
        </w:rPr>
      </w:pPr>
      <w:r w:rsidRPr="00C23AB3">
        <w:rPr>
          <w:rFonts w:asciiTheme="minorHAnsi" w:eastAsia="Times New Roman" w:hAnsiTheme="minorHAnsi" w:cs="Arial"/>
          <w:b/>
          <w:bCs/>
          <w:color w:val="000000"/>
          <w:sz w:val="26"/>
          <w:szCs w:val="26"/>
        </w:rPr>
        <w:t>Kramm 21</w:t>
      </w:r>
      <w:r w:rsidR="00065547">
        <w:rPr>
          <w:rFonts w:asciiTheme="minorHAnsi" w:eastAsia="Times New Roman" w:hAnsiTheme="minorHAnsi" w:cs="Times New Roman"/>
          <w:color w:val="000000"/>
        </w:rPr>
        <w:t xml:space="preserve"> [</w:t>
      </w:r>
      <w:r w:rsidRPr="00C23AB3">
        <w:rPr>
          <w:rFonts w:asciiTheme="minorHAnsi" w:eastAsia="Times New Roman" w:hAnsiTheme="minorHAnsi" w:cs="Arial"/>
          <w:color w:val="333333"/>
          <w:shd w:val="clear" w:color="auto" w:fill="FFFFFF"/>
        </w:rPr>
        <w:t xml:space="preserve">Kramm, M. (2021). The role of political ontology for Indigenous self-determination. </w:t>
      </w:r>
      <w:r w:rsidRPr="00C23AB3">
        <w:rPr>
          <w:rFonts w:asciiTheme="minorHAnsi" w:eastAsia="Times New Roman" w:hAnsiTheme="minorHAnsi" w:cs="Arial"/>
          <w:i/>
          <w:iCs/>
          <w:color w:val="333333"/>
        </w:rPr>
        <w:t>Critical Review of International Social and Political Philosophy</w:t>
      </w:r>
      <w:r w:rsidRPr="00C23AB3">
        <w:rPr>
          <w:rFonts w:asciiTheme="minorHAnsi" w:eastAsia="Times New Roman" w:hAnsiTheme="minorHAnsi" w:cs="Arial"/>
          <w:color w:val="333333"/>
          <w:shd w:val="clear" w:color="auto" w:fill="FFFFFF"/>
        </w:rPr>
        <w:t xml:space="preserve">, </w:t>
      </w:r>
      <w:r w:rsidRPr="00C23AB3">
        <w:rPr>
          <w:rFonts w:asciiTheme="minorHAnsi" w:eastAsia="Times New Roman" w:hAnsiTheme="minorHAnsi" w:cs="Arial"/>
          <w:i/>
          <w:iCs/>
          <w:color w:val="333333"/>
        </w:rPr>
        <w:t>27</w:t>
      </w:r>
      <w:r w:rsidRPr="00C23AB3">
        <w:rPr>
          <w:rFonts w:asciiTheme="minorHAnsi" w:eastAsia="Times New Roman" w:hAnsiTheme="minorHAnsi" w:cs="Arial"/>
          <w:color w:val="333333"/>
          <w:shd w:val="clear" w:color="auto" w:fill="FFFFFF"/>
        </w:rPr>
        <w:t xml:space="preserve">(5), 714–735. </w:t>
      </w:r>
      <w:hyperlink r:id="rId12" w:history="1">
        <w:r w:rsidRPr="00C23AB3">
          <w:rPr>
            <w:rFonts w:asciiTheme="minorHAnsi" w:eastAsia="Times New Roman" w:hAnsiTheme="minorHAnsi" w:cs="Arial"/>
            <w:color w:val="1155CC"/>
            <w:u w:val="single"/>
            <w:shd w:val="clear" w:color="auto" w:fill="FFFFFF"/>
          </w:rPr>
          <w:t>https://doi.org/10.1080/13698230.2021.1997250</w:t>
        </w:r>
      </w:hyperlink>
      <w:r w:rsidR="00065547">
        <w:rPr>
          <w:rFonts w:asciiTheme="minorHAnsi" w:eastAsia="Times New Roman" w:hAnsiTheme="minorHAnsi" w:cs="Arial"/>
          <w:color w:val="1155CC"/>
          <w:u w:val="single"/>
          <w:shd w:val="clear" w:color="auto" w:fill="FFFFFF"/>
        </w:rPr>
        <w:t>]</w:t>
      </w:r>
    </w:p>
    <w:p w:rsidR="008345A6" w:rsidRPr="00C23AB3" w:rsidRDefault="008345A6" w:rsidP="008345A6">
      <w:pPr>
        <w:spacing w:line="240" w:lineRule="auto"/>
        <w:rPr>
          <w:rFonts w:asciiTheme="minorHAnsi" w:eastAsia="Times New Roman" w:hAnsiTheme="minorHAnsi" w:cs="Times New Roman"/>
          <w:color w:val="000000"/>
          <w:sz w:val="12"/>
        </w:rPr>
      </w:pPr>
      <w:r w:rsidRPr="00C23AB3">
        <w:rPr>
          <w:rFonts w:asciiTheme="minorHAnsi" w:eastAsia="Times New Roman" w:hAnsiTheme="minorHAnsi" w:cs="Arial"/>
          <w:color w:val="333333"/>
          <w:sz w:val="12"/>
          <w:shd w:val="clear" w:color="auto" w:fill="FFFFFF"/>
        </w:rPr>
        <w:t xml:space="preserve">Indigenous self-determination is a crucial step in addressing colonial injustices. It is also an important step in establishing Indigenous climate justice (Whyte, 2020) and promoting Indigenous wellbeing (Murphy, 2014).Much of the literature within political philosophy on Indigenous self-determination has focused on its justification. Another question that political philosophers interested in Indigenous self-determination address is how it should be put into practice. This question concerns not primarily the justification of Indigenous self-determination but the political framework in which it is implemented. </w:t>
      </w:r>
      <w:r w:rsidRPr="00C23AB3">
        <w:rPr>
          <w:rFonts w:asciiTheme="minorHAnsi" w:eastAsia="Times New Roman" w:hAnsiTheme="minorHAnsi" w:cs="Arial"/>
          <w:color w:val="333333"/>
          <w:sz w:val="12"/>
        </w:rPr>
        <w:t xml:space="preserve">However, what is missing in the discussion of Indigenous self-determination within political philosophy is the role of political ontology. </w:t>
      </w:r>
      <w:hyperlink r:id="rId13" w:history="1">
        <w:r w:rsidRPr="00C23AB3">
          <w:rPr>
            <w:rFonts w:asciiTheme="minorHAnsi" w:eastAsia="Times New Roman" w:hAnsiTheme="minorHAnsi" w:cs="Arial"/>
            <w:color w:val="10147E"/>
            <w:u w:val="single"/>
          </w:rPr>
          <w:t>2</w:t>
        </w:r>
      </w:hyperlink>
      <w:r w:rsidRPr="00C23AB3">
        <w:rPr>
          <w:rFonts w:asciiTheme="minorHAnsi" w:eastAsia="Times New Roman" w:hAnsiTheme="minorHAnsi" w:cs="Arial"/>
          <w:color w:val="333333"/>
          <w:sz w:val="12"/>
        </w:rPr>
        <w:t xml:space="preserve"> Until now, debates about political ontology have primarily occurred in the disciplines of anthropology, Indigenous studies, science and technology studies, and political ecology. </w:t>
      </w:r>
      <w:r w:rsidRPr="00C23AB3">
        <w:rPr>
          <w:rFonts w:asciiTheme="minorHAnsi" w:eastAsia="Times New Roman" w:hAnsiTheme="minorHAnsi" w:cs="Arial"/>
          <w:b/>
          <w:bCs/>
          <w:color w:val="333333"/>
          <w:u w:val="single"/>
          <w:shd w:val="clear" w:color="auto" w:fill="00FFFF"/>
        </w:rPr>
        <w:t xml:space="preserve">Ontologies determine the ontological commitments of Indigenous peoples or settler states in governance and decision-making contexts. Consequently, they determine what kinds of entities </w:t>
      </w:r>
      <w:r w:rsidRPr="00C23AB3">
        <w:rPr>
          <w:rFonts w:asciiTheme="minorHAnsi" w:eastAsia="Times New Roman" w:hAnsiTheme="minorHAnsi" w:cs="Arial"/>
          <w:b/>
          <w:bCs/>
          <w:i/>
          <w:iCs/>
          <w:color w:val="333333"/>
          <w:u w:val="single"/>
          <w:shd w:val="clear" w:color="auto" w:fill="00FFFF"/>
        </w:rPr>
        <w:t>exist</w:t>
      </w:r>
      <w:r w:rsidRPr="00C23AB3">
        <w:rPr>
          <w:rFonts w:asciiTheme="minorHAnsi" w:eastAsia="Times New Roman" w:hAnsiTheme="minorHAnsi" w:cs="Arial"/>
          <w:b/>
          <w:bCs/>
          <w:color w:val="333333"/>
          <w:u w:val="single"/>
          <w:shd w:val="clear" w:color="auto" w:fill="00FFFF"/>
        </w:rPr>
        <w:t xml:space="preserve"> for Indigenous peoples or settler states in the political realm and how political institutions and decision-making procedures are viewed by them.</w:t>
      </w:r>
      <w:r w:rsidRPr="00C23AB3">
        <w:rPr>
          <w:rFonts w:asciiTheme="minorHAnsi" w:eastAsia="Times New Roman" w:hAnsiTheme="minorHAnsi" w:cs="Arial"/>
          <w:color w:val="333333"/>
          <w:u w:val="single"/>
        </w:rPr>
        <w:t xml:space="preserve"> If self-determination is implemented without addressing the question of diverging ontologies, there is a risk that the ontology of the settler state will continue to prevail, meaning that colonial domination would continue on the ontological level. </w:t>
      </w:r>
      <w:r w:rsidRPr="00C23AB3">
        <w:rPr>
          <w:rFonts w:asciiTheme="minorHAnsi" w:eastAsia="Times New Roman" w:hAnsiTheme="minorHAnsi" w:cs="Arial"/>
          <w:b/>
          <w:bCs/>
          <w:color w:val="333333"/>
          <w:u w:val="single"/>
          <w:shd w:val="clear" w:color="auto" w:fill="00FFFF"/>
        </w:rPr>
        <w:t xml:space="preserve">Settler ontologies that ignore Indigenous land claims and regard Indigenous territory as an extractable resource would be an example of such ontological domination. If such ontologies remain unchallenged, they will undermine any attempts to implement Indigenous self-determination. </w:t>
      </w:r>
      <w:r w:rsidRPr="00C23AB3">
        <w:rPr>
          <w:rFonts w:asciiTheme="minorHAnsi" w:eastAsia="Times New Roman" w:hAnsiTheme="minorHAnsi" w:cs="Arial"/>
          <w:color w:val="333333"/>
          <w:sz w:val="12"/>
        </w:rPr>
        <w:t xml:space="preserve">Hence, the struggle for Indigenous self-determination comprises an engagement with not only political practices, structures, and institutions but also dominant ontologies. In this paper, I argue that addressing dominating ontologies is crucial for achieving Indigenous self-determination. I first argue that </w:t>
      </w:r>
      <w:r w:rsidRPr="00C23AB3">
        <w:rPr>
          <w:rFonts w:asciiTheme="minorHAnsi" w:eastAsia="Times New Roman" w:hAnsiTheme="minorHAnsi" w:cs="Arial"/>
          <w:b/>
          <w:bCs/>
          <w:color w:val="333333"/>
          <w:u w:val="single"/>
          <w:shd w:val="clear" w:color="auto" w:fill="00FFFF"/>
        </w:rPr>
        <w:t>Indigenous self-determination requires an engagement with political ontology.</w:t>
      </w:r>
      <w:r w:rsidRPr="00C23AB3">
        <w:rPr>
          <w:rFonts w:asciiTheme="minorHAnsi" w:eastAsia="Times New Roman" w:hAnsiTheme="minorHAnsi" w:cs="Arial"/>
          <w:color w:val="333333"/>
          <w:u w:val="single"/>
        </w:rPr>
        <w:t xml:space="preserve"> I then introduce Iris Young’s conception of self-determination as non-domination as a way to engage with diverging ontologies within the political framework of federalism.</w:t>
      </w:r>
      <w:r w:rsidRPr="00C23AB3">
        <w:rPr>
          <w:rFonts w:asciiTheme="minorHAnsi" w:eastAsia="Times New Roman" w:hAnsiTheme="minorHAnsi" w:cs="Arial"/>
          <w:color w:val="333333"/>
          <w:sz w:val="12"/>
        </w:rPr>
        <w:t xml:space="preserve"> In the final section of the paper, I provide two constructive proposals about how Indigenous peoples and settler states can establish an ontology at the federal level that facilitates Indigenous self-determination.</w:t>
      </w:r>
    </w:p>
    <w:p w:rsidR="008345A6" w:rsidRPr="00C23AB3" w:rsidRDefault="008345A6" w:rsidP="008345A6">
      <w:pPr>
        <w:spacing w:before="40" w:after="0" w:line="240" w:lineRule="auto"/>
        <w:outlineLvl w:val="3"/>
        <w:rPr>
          <w:rFonts w:asciiTheme="minorHAnsi" w:eastAsia="Times New Roman" w:hAnsiTheme="minorHAnsi" w:cs="Times New Roman"/>
          <w:b/>
          <w:bCs/>
          <w:color w:val="000000"/>
        </w:rPr>
      </w:pPr>
      <w:r w:rsidRPr="00C23AB3">
        <w:rPr>
          <w:rFonts w:asciiTheme="minorHAnsi" w:eastAsia="Times New Roman" w:hAnsiTheme="minorHAnsi" w:cs="Arial"/>
          <w:b/>
          <w:bCs/>
          <w:color w:val="000000"/>
          <w:sz w:val="26"/>
          <w:szCs w:val="26"/>
        </w:rPr>
        <w:t>Ontology critical to accurately viewing land constitution</w:t>
      </w:r>
    </w:p>
    <w:p w:rsidR="008345A6" w:rsidRPr="00C23AB3" w:rsidRDefault="008345A6" w:rsidP="008345A6">
      <w:pPr>
        <w:spacing w:line="240" w:lineRule="auto"/>
        <w:rPr>
          <w:rFonts w:asciiTheme="minorHAnsi" w:eastAsia="Times New Roman" w:hAnsiTheme="minorHAnsi" w:cs="Times New Roman"/>
          <w:color w:val="000000"/>
        </w:rPr>
      </w:pPr>
      <w:r w:rsidRPr="00C23AB3">
        <w:rPr>
          <w:rFonts w:asciiTheme="minorHAnsi" w:eastAsia="Times New Roman" w:hAnsiTheme="minorHAnsi" w:cs="Arial"/>
          <w:b/>
          <w:bCs/>
          <w:color w:val="000000"/>
        </w:rPr>
        <w:t>Burow et al</w:t>
      </w:r>
      <w:r w:rsidRPr="00C23AB3">
        <w:rPr>
          <w:rFonts w:asciiTheme="minorHAnsi" w:eastAsia="Times New Roman" w:hAnsiTheme="minorHAnsi" w:cs="Arial"/>
          <w:b/>
          <w:bCs/>
          <w:color w:val="000000"/>
          <w:sz w:val="26"/>
          <w:szCs w:val="26"/>
        </w:rPr>
        <w:t xml:space="preserve"> 2022</w:t>
      </w:r>
      <w:r w:rsidR="00065547">
        <w:rPr>
          <w:rFonts w:asciiTheme="minorHAnsi" w:eastAsia="Times New Roman" w:hAnsiTheme="minorHAnsi" w:cs="Times New Roman"/>
          <w:color w:val="000000"/>
        </w:rPr>
        <w:t xml:space="preserve"> [</w:t>
      </w:r>
      <w:r w:rsidRPr="00C23AB3">
        <w:rPr>
          <w:rFonts w:asciiTheme="minorHAnsi" w:eastAsia="Times New Roman" w:hAnsiTheme="minorHAnsi" w:cs="Arial"/>
          <w:color w:val="000000"/>
        </w:rPr>
        <w:t xml:space="preserve">Burow, Paul Berne, Brock, Samara and Dove, Michael R.. "CHAPTER 4 Unsettling the Land Indigeneity, Ontology, and Hybridity in Settler Colonialism". </w:t>
      </w:r>
      <w:r w:rsidRPr="00C23AB3">
        <w:rPr>
          <w:rFonts w:asciiTheme="minorHAnsi" w:eastAsia="Times New Roman" w:hAnsiTheme="minorHAnsi" w:cs="Arial"/>
          <w:i/>
          <w:iCs/>
          <w:color w:val="000000"/>
        </w:rPr>
        <w:t>Indigenous Resurgence: Decolonialization and Movements for Environmental Justice</w:t>
      </w:r>
      <w:r w:rsidRPr="00C23AB3">
        <w:rPr>
          <w:rFonts w:asciiTheme="minorHAnsi" w:eastAsia="Times New Roman" w:hAnsiTheme="minorHAnsi" w:cs="Arial"/>
          <w:color w:val="000000"/>
        </w:rPr>
        <w:t xml:space="preserve">, edited by Jaskiran Dhillon, New York, Oxford: Berghahn Books, 2022, pp. 59-76. </w:t>
      </w:r>
      <w:hyperlink r:id="rId14" w:history="1">
        <w:r w:rsidRPr="00C23AB3">
          <w:rPr>
            <w:rFonts w:asciiTheme="minorHAnsi" w:eastAsia="Times New Roman" w:hAnsiTheme="minorHAnsi" w:cs="Arial"/>
            <w:color w:val="1155CC"/>
            <w:u w:val="single"/>
          </w:rPr>
          <w:t>https://doi.org/10.1515/9781800732858-005</w:t>
        </w:r>
      </w:hyperlink>
      <w:r w:rsidR="00065547">
        <w:rPr>
          <w:rFonts w:asciiTheme="minorHAnsi" w:eastAsia="Times New Roman" w:hAnsiTheme="minorHAnsi" w:cs="Arial"/>
          <w:color w:val="000000"/>
        </w:rPr>
        <w:t>]</w:t>
      </w:r>
    </w:p>
    <w:p w:rsidR="008345A6" w:rsidRPr="00C23AB3" w:rsidRDefault="008345A6" w:rsidP="008345A6">
      <w:pPr>
        <w:spacing w:line="240" w:lineRule="auto"/>
        <w:rPr>
          <w:rFonts w:asciiTheme="minorHAnsi" w:eastAsia="Times New Roman" w:hAnsiTheme="minorHAnsi" w:cs="Times New Roman"/>
          <w:color w:val="000000"/>
          <w:sz w:val="12"/>
        </w:rPr>
      </w:pPr>
      <w:r w:rsidRPr="00C23AB3">
        <w:rPr>
          <w:rFonts w:asciiTheme="minorHAnsi" w:eastAsia="Times New Roman" w:hAnsiTheme="minorHAnsi" w:cs="Arial"/>
          <w:color w:val="000000"/>
          <w:sz w:val="12"/>
        </w:rPr>
        <w:t>What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are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stakes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different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ontologies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land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settler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colonialism</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and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Indigenous movements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for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decolonization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and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environmental</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justice?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Settler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colonialism</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describes a</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structure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exogenous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domination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which</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Indigenous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inhabitants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territory</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are displaced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by</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outside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population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from</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imperial</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center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(Veracini</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2010).</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Patrick Wolfe, in his classic formulation of the settler colonial situation, described it as an “inclusive,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land-centred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project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that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coordinates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comprehensive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range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agencies,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from</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the metropolitan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centre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to</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frontier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encampment,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with</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view</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to</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eliminating</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Indigenous societies”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(2006:</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393).</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Land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ultimate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object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settlers’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desire.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Settler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states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seek</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to extirpate Indigenous societies through a “logic of elimination,” which facilitates the taking of territory (387).</w:t>
      </w:r>
      <w:r w:rsidRPr="00C23AB3">
        <w:rPr>
          <w:rFonts w:asciiTheme="minorHAnsi" w:eastAsia="Times New Roman" w:hAnsiTheme="minorHAnsi" w:cs="Arial"/>
          <w:color w:val="000000"/>
          <w:u w:val="single"/>
        </w:rPr>
        <w:t xml:space="preserve"> This article explores ontologies of land as they are constituted across the contested political boundaries of settler states where </w:t>
      </w:r>
      <w:r w:rsidRPr="00C23AB3">
        <w:rPr>
          <w:rFonts w:asciiTheme="minorHAnsi" w:eastAsia="Times New Roman" w:hAnsiTheme="minorHAnsi" w:cs="Arial"/>
          <w:b/>
          <w:bCs/>
          <w:color w:val="000000"/>
          <w:u w:val="single"/>
          <w:shd w:val="clear" w:color="auto" w:fill="00FFFF"/>
        </w:rPr>
        <w:t xml:space="preserve">settler ontologies work to dispossess, commodify, and extract economic value from land. </w:t>
      </w:r>
      <w:r w:rsidRPr="00C23AB3">
        <w:rPr>
          <w:rFonts w:asciiTheme="minorHAnsi" w:eastAsia="Times New Roman" w:hAnsiTheme="minorHAnsi" w:cs="Arial"/>
          <w:color w:val="000000"/>
          <w:u w:val="single"/>
        </w:rPr>
        <w:t>We contrast this with Indigenous ontologies of land that seek to revitalize and maintain relationships of mutual obligation among humans and the other-than-human (Coulthard 2014; Wildcat et al. 2014).1 Indigenous efforts to contest and unsettle modes of conceiving of and relating to land, through</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their</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own</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practices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and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those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created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by</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settlers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and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settler-state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institutions, are central to this analysis.</w:t>
      </w:r>
      <w:r w:rsidRPr="00C23AB3">
        <w:rPr>
          <w:rFonts w:asciiTheme="minorHAnsi" w:eastAsia="Times New Roman" w:hAnsiTheme="minorHAnsi" w:cs="Arial"/>
          <w:color w:val="000000"/>
          <w:sz w:val="12"/>
        </w:rPr>
        <w:t xml:space="preserve"> Examples of these efforts include revitalization of land-based practices such as caring for and collecting culturally important plants, and the use of settler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legal</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institutions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to</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seek</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redress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for</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dispossession</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and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expand</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landholdings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 Indigenous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polities.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b/>
          <w:bCs/>
          <w:color w:val="000000"/>
          <w:u w:val="single"/>
          <w:shd w:val="clear" w:color="auto" w:fill="00FFFF"/>
        </w:rPr>
        <w:t>We</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term</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these</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kinds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of</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practices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“unsettling</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the</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land,”</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given</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their propensity to cultivate ontological hybridity and contribute toward decolonial futures. The importance of relationality and hybridity are key points made by scholars of Indigenous political</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ecology</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color w:val="000000"/>
          <w:u w:val="single"/>
        </w:rPr>
        <w:t>(Carroll</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2015;</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Middleton</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2010,</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2015).</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Clint</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Carroll</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notes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that</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“reconciling the resource- and relationship-based approaches [in Indigenous communities] has meant coming to terms with the development of an indigenous state” (2015: 10). The work of decolonization, the dismantling of the ideological and institutional structures of settler colonialism, is often expressed through hybrid modalities of land that work on multiple registers to advance Indigenous sovereignty over territory and revitalize land-based practices.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Thinking</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through</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different</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ways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in</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which</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land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is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perceived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and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experienced helps to illuminate the role of ontology in movements for social and environmental justice for Indigenous peoples. We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argue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for</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an</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approach</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that</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examines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coexistence,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contradictions,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and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consequences of different ontologies of land. As argued by Tania Li, land is an assemblage that can be viewed for its ontologies—“the nature of its thing-ness”—and its affordances—“what it’s good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for—its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values”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(2014b:</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589).</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Settler</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colonialism</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operates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through</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ontological</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foreclosures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that</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obfuscate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Indigenous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ontologies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of</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land.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b/>
          <w:bCs/>
          <w:color w:val="000000"/>
          <w:u w:val="single"/>
          <w:shd w:val="clear" w:color="auto" w:fill="00FFFF"/>
        </w:rPr>
        <w:t>Viewing</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land</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through</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the</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lens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of</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ontology (what kind of thing it is), and how different people see land, helps to unwrap the diverse</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ways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land</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is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constituted.</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This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is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central</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to</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examining</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histories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of</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Indigenous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dispossession</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and</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contemporary</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struggles</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for</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revitalization,</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resurgence,</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and</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decolonization in</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settler</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colonial</w:t>
      </w:r>
      <w:r w:rsidR="00C23AB3">
        <w:rPr>
          <w:rFonts w:asciiTheme="minorHAnsi" w:eastAsia="Times New Roman" w:hAnsiTheme="minorHAnsi" w:cs="Arial"/>
          <w:b/>
          <w:bCs/>
          <w:color w:val="000000"/>
          <w:u w:val="single"/>
          <w:shd w:val="clear" w:color="auto" w:fill="00FFFF"/>
        </w:rPr>
        <w:t xml:space="preserve"> </w:t>
      </w:r>
      <w:r w:rsidRPr="00C23AB3">
        <w:rPr>
          <w:rFonts w:asciiTheme="minorHAnsi" w:eastAsia="Times New Roman" w:hAnsiTheme="minorHAnsi" w:cs="Arial"/>
          <w:b/>
          <w:bCs/>
          <w:color w:val="000000"/>
          <w:u w:val="single"/>
          <w:shd w:val="clear" w:color="auto" w:fill="00FFFF"/>
        </w:rPr>
        <w:t>contexts.</w:t>
      </w:r>
      <w:r w:rsidR="00C23AB3" w:rsidRPr="00C23AB3">
        <w:rPr>
          <w:rFonts w:asciiTheme="minorHAnsi" w:eastAsia="Times New Roman" w:hAnsiTheme="minorHAnsi" w:cs="Arial"/>
          <w:b/>
          <w:bCs/>
          <w:color w:val="000000"/>
          <w:sz w:val="12"/>
          <w:shd w:val="clear" w:color="auto" w:fill="00FFFF"/>
        </w:rPr>
        <w:t xml:space="preserve"> </w:t>
      </w:r>
      <w:r w:rsidRPr="00C23AB3">
        <w:rPr>
          <w:rFonts w:asciiTheme="minorHAnsi" w:eastAsia="Times New Roman" w:hAnsiTheme="minorHAnsi" w:cs="Arial"/>
          <w:color w:val="000000"/>
          <w:sz w:val="12"/>
        </w:rPr>
        <w:t>We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highlight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work</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of</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scholars</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that</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complicate</w:t>
      </w:r>
      <w:r w:rsidR="00C23AB3" w:rsidRPr="00C23AB3">
        <w:rPr>
          <w:rFonts w:asciiTheme="minorHAnsi" w:eastAsia="Times New Roman" w:hAnsiTheme="minorHAnsi" w:cs="Arial"/>
          <w:color w:val="000000"/>
          <w:sz w:val="12"/>
        </w:rPr>
        <w:t xml:space="preserve"> </w:t>
      </w:r>
      <w:r w:rsidRPr="00C23AB3">
        <w:rPr>
          <w:rFonts w:asciiTheme="minorHAnsi" w:eastAsia="Times New Roman" w:hAnsiTheme="minorHAnsi" w:cs="Arial"/>
          <w:color w:val="000000"/>
          <w:sz w:val="12"/>
        </w:rPr>
        <w:t>taken-for-granted and monolithic ontologies of land to problematize the very categories of land produced by colonial practice. This review explores four literatures: political economy, political ecology, post-humanism, and Indigenous studies.</w:t>
      </w:r>
      <w:r w:rsidRPr="00C23AB3">
        <w:rPr>
          <w:rFonts w:asciiTheme="minorHAnsi" w:eastAsia="Times New Roman" w:hAnsiTheme="minorHAnsi" w:cs="Arial"/>
          <w:color w:val="000000"/>
          <w:u w:val="single"/>
        </w:rPr>
        <w:t xml:space="preserve"> We also provide two case studies: oil palm as a settler plant in Indonesia and land revitalization as a practice of ontological hybridity in</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the</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Confederated</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Salish</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&amp;</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Kootenai</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Nation</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of</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North</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America’s</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Intermountain</w:t>
      </w:r>
      <w:r w:rsidR="00C23AB3">
        <w:rPr>
          <w:rFonts w:asciiTheme="minorHAnsi" w:eastAsia="Times New Roman" w:hAnsiTheme="minorHAnsi" w:cs="Arial"/>
          <w:color w:val="000000"/>
          <w:u w:val="single"/>
        </w:rPr>
        <w:t xml:space="preserve"> </w:t>
      </w:r>
      <w:r w:rsidRPr="00C23AB3">
        <w:rPr>
          <w:rFonts w:asciiTheme="minorHAnsi" w:eastAsia="Times New Roman" w:hAnsiTheme="minorHAnsi" w:cs="Arial"/>
          <w:color w:val="000000"/>
          <w:u w:val="single"/>
        </w:rPr>
        <w:t>West. Finally, we outline an agenda for scholars in anthropology, geography, Indigenous studies, and critical environmental studies to take up culturally constituted ontologies of land long highlighted by scholars of Indigenous studies, anthropology, and other fields (Deloria 1999, 2001; Hunt 2014). This article starts with an examination of the role of land, dispossession, and subsistence production in Marxian political-economic theory, which forms an important foundation for political ecology, albeit with certain limitations.</w:t>
      </w:r>
    </w:p>
    <w:p w:rsidR="009004A2" w:rsidRDefault="009004A2" w:rsidP="009004A2">
      <w:pPr>
        <w:pStyle w:val="Heading2"/>
      </w:pPr>
      <w:bookmarkStart w:id="1" w:name="_GoBack"/>
      <w:bookmarkEnd w:id="1"/>
      <w:r>
        <w:t>ALT</w:t>
      </w:r>
    </w:p>
    <w:p w:rsidR="002E141E" w:rsidRDefault="002E141E" w:rsidP="002E141E">
      <w:pPr>
        <w:pStyle w:val="Heading3"/>
      </w:pPr>
      <w:r>
        <w:t xml:space="preserve">Alt – Grounded Relationality </w:t>
      </w:r>
    </w:p>
    <w:p w:rsidR="006709B5" w:rsidRPr="00994AD9" w:rsidRDefault="006709B5" w:rsidP="006709B5">
      <w:pPr>
        <w:pStyle w:val="Heading4"/>
        <w:rPr>
          <w:rFonts w:cs="Arial"/>
        </w:rPr>
      </w:pPr>
      <w:r w:rsidRPr="00994AD9">
        <w:rPr>
          <w:rFonts w:cs="Arial"/>
        </w:rPr>
        <w:t>Thus</w:t>
      </w:r>
      <w:r>
        <w:rPr>
          <w:rFonts w:cs="Arial"/>
        </w:rPr>
        <w:t>,</w:t>
      </w:r>
      <w:r w:rsidRPr="00994AD9">
        <w:rPr>
          <w:rFonts w:cs="Arial"/>
        </w:rPr>
        <w:t xml:space="preserve"> we advocate for </w:t>
      </w:r>
      <w:r w:rsidRPr="007D591B">
        <w:rPr>
          <w:rFonts w:cs="Arial"/>
          <w:i/>
          <w:u w:val="single"/>
        </w:rPr>
        <w:t>grounded relationality</w:t>
      </w:r>
      <w:r>
        <w:rPr>
          <w:rFonts w:cs="Arial"/>
        </w:rPr>
        <w:t xml:space="preserve">. </w:t>
      </w:r>
      <w:r w:rsidRPr="00994AD9">
        <w:rPr>
          <w:rFonts w:cs="Arial"/>
        </w:rPr>
        <w:t>A</w:t>
      </w:r>
      <w:r>
        <w:rPr>
          <w:rFonts w:cs="Arial"/>
        </w:rPr>
        <w:t>n</w:t>
      </w:r>
      <w:r w:rsidRPr="00994AD9">
        <w:rPr>
          <w:rFonts w:cs="Arial"/>
        </w:rPr>
        <w:t xml:space="preserve"> orientation towards the world that recognizes </w:t>
      </w:r>
      <w:r>
        <w:rPr>
          <w:rFonts w:cs="Arial"/>
        </w:rPr>
        <w:t>an</w:t>
      </w:r>
      <w:r w:rsidRPr="00994AD9">
        <w:rPr>
          <w:rFonts w:cs="Arial"/>
        </w:rPr>
        <w:t xml:space="preserve"> agential capacity that’s mutually exclusive with the proprietary relational logic</w:t>
      </w:r>
      <w:r>
        <w:rPr>
          <w:rFonts w:cs="Arial"/>
        </w:rPr>
        <w:t>s</w:t>
      </w:r>
      <w:r w:rsidRPr="00994AD9">
        <w:rPr>
          <w:rFonts w:cs="Arial"/>
        </w:rPr>
        <w:t xml:space="preserve"> of settler colonialism. </w:t>
      </w:r>
    </w:p>
    <w:p w:rsidR="002E141E" w:rsidRPr="00D738E1" w:rsidRDefault="002E141E" w:rsidP="002E141E">
      <w:r w:rsidRPr="00D738E1">
        <w:rPr>
          <w:rStyle w:val="Style13ptBold"/>
        </w:rPr>
        <w:t>BYRD ET AL 18</w:t>
      </w:r>
      <w:r w:rsidRPr="00D738E1">
        <w:t xml:space="preserve"> (Jodi A., Associate Professor of English and American Indian Studies at the University of Illinois at Urbana-Champaign, “Predatory Value Economies of Dispossession and Disturbed Relationalities”, Social Text 135 • Vol. 36, No. 2 ppgs 9-11)</w:t>
      </w:r>
    </w:p>
    <w:p w:rsidR="002E141E" w:rsidRDefault="002E141E" w:rsidP="002E141E">
      <w:pPr>
        <w:rPr>
          <w:sz w:val="14"/>
        </w:rPr>
      </w:pPr>
      <w:r w:rsidRPr="00D738E1">
        <w:rPr>
          <w:rStyle w:val="StyleUnderline"/>
        </w:rPr>
        <w:t>Against the commensurabilities and rationalities of debt and finance capitalism, conditioned through</w:t>
      </w:r>
      <w:r w:rsidRPr="00D738E1">
        <w:rPr>
          <w:rStyle w:val="StyleUnderline"/>
          <w:sz w:val="14"/>
        </w:rPr>
        <w:t xml:space="preserve"> </w:t>
      </w:r>
      <w:r w:rsidRPr="00D738E1">
        <w:rPr>
          <w:rStyle w:val="StyleUnderline"/>
        </w:rPr>
        <w:t xml:space="preserve">the proprietary logics of settler colonialism and racial capitalism, we seek alternative frameworks for building capacities for </w:t>
      </w:r>
      <w:r w:rsidRPr="005928B4">
        <w:rPr>
          <w:rStyle w:val="StyleUnderline"/>
          <w:highlight w:val="cyan"/>
        </w:rPr>
        <w:t>grounded relationality</w:t>
      </w:r>
      <w:r w:rsidRPr="00D738E1">
        <w:rPr>
          <w:rStyle w:val="StyleUnderline"/>
          <w:sz w:val="14"/>
        </w:rPr>
        <w:t xml:space="preserve">. By grounded we mean quite literally </w:t>
      </w:r>
      <w:r w:rsidRPr="005928B4">
        <w:rPr>
          <w:rStyle w:val="StyleUnderline"/>
          <w:highlight w:val="cyan"/>
        </w:rPr>
        <w:t xml:space="preserve">situated in relation to </w:t>
      </w:r>
      <w:r w:rsidRPr="00D738E1">
        <w:rPr>
          <w:rStyle w:val="StyleUnderline"/>
        </w:rPr>
        <w:t xml:space="preserve">and from </w:t>
      </w:r>
      <w:r w:rsidRPr="005928B4">
        <w:rPr>
          <w:rStyle w:val="StyleUnderline"/>
          <w:highlight w:val="cyan"/>
        </w:rPr>
        <w:t>the land</w:t>
      </w:r>
      <w:r w:rsidRPr="00D738E1">
        <w:rPr>
          <w:rStyle w:val="StyleUnderline"/>
          <w:sz w:val="14"/>
        </w:rPr>
        <w:t xml:space="preserve"> but </w:t>
      </w:r>
      <w:r w:rsidRPr="00D738E1">
        <w:rPr>
          <w:rStyle w:val="StyleUnderline"/>
        </w:rPr>
        <w:t>without precluding movement, multiplicity, multidirectionality, transversals, and other elementary or material currents of water and air</w:t>
      </w:r>
      <w:r w:rsidRPr="00D738E1">
        <w:rPr>
          <w:rStyle w:val="StyleUnderline"/>
          <w:sz w:val="14"/>
        </w:rPr>
        <w:t xml:space="preserve">. This is a being grounded and </w:t>
      </w:r>
      <w:r w:rsidRPr="005928B4">
        <w:rPr>
          <w:rStyle w:val="StyleUnderline"/>
          <w:highlight w:val="cyan"/>
        </w:rPr>
        <w:t>living relationalities in which the nonhuman world and the materiality of land</w:t>
      </w:r>
      <w:r w:rsidRPr="00D738E1">
        <w:rPr>
          <w:rStyle w:val="StyleUnderline"/>
          <w:sz w:val="14"/>
        </w:rPr>
        <w:t xml:space="preserve"> and other elements </w:t>
      </w:r>
      <w:r w:rsidRPr="005928B4">
        <w:rPr>
          <w:rStyle w:val="StyleUnderline"/>
          <w:highlight w:val="cyan"/>
        </w:rPr>
        <w:t>have agential significance in ways that exceed liberal conceptions of the human</w:t>
      </w:r>
      <w:r w:rsidRPr="005928B4">
        <w:rPr>
          <w:rStyle w:val="StyleUnderline"/>
          <w:sz w:val="14"/>
          <w:highlight w:val="cyan"/>
        </w:rPr>
        <w:t>.</w:t>
      </w:r>
      <w:r w:rsidRPr="00D738E1">
        <w:rPr>
          <w:rStyle w:val="StyleUnderline"/>
          <w:sz w:val="14"/>
        </w:rPr>
        <w:t xml:space="preserve"> If the grounded relationalities of Indigenous philosophies might tell us anything, then, they remind us that </w:t>
      </w:r>
      <w:r w:rsidRPr="00D738E1">
        <w:rPr>
          <w:rStyle w:val="StyleUnderline"/>
        </w:rPr>
        <w:t>knowledge must always remain grounded as the land calls to us and for us to find our place within the ongoing acts of interconnectivity that surround us</w:t>
      </w:r>
      <w:r w:rsidRPr="00D738E1">
        <w:rPr>
          <w:rStyle w:val="StyleUnderline"/>
          <w:sz w:val="14"/>
        </w:rPr>
        <w:t xml:space="preserve">. A number of </w:t>
      </w:r>
      <w:r w:rsidRPr="00D738E1">
        <w:rPr>
          <w:rStyle w:val="StyleUnderline"/>
        </w:rPr>
        <w:t>questions arise with</w:t>
      </w:r>
      <w:r w:rsidRPr="00D738E1">
        <w:rPr>
          <w:rStyle w:val="StyleUnderline"/>
          <w:sz w:val="14"/>
        </w:rPr>
        <w:t xml:space="preserve"> this </w:t>
      </w:r>
      <w:r w:rsidRPr="00D738E1">
        <w:rPr>
          <w:rStyle w:val="StyleUnderline"/>
        </w:rPr>
        <w:t>shift from the epistemic trap of debt</w:t>
      </w:r>
      <w:r w:rsidRPr="00D738E1">
        <w:rPr>
          <w:rStyle w:val="StyleUnderline"/>
          <w:sz w:val="14"/>
        </w:rPr>
        <w:t xml:space="preserve"> </w:t>
      </w:r>
      <w:r w:rsidRPr="00D738E1">
        <w:rPr>
          <w:rStyle w:val="StyleUnderline"/>
        </w:rPr>
        <w:t>to the possibilities of relationality as affective and grounded alternatives to economies of dispossession and systems of extraction and exploitation.</w:t>
      </w:r>
      <w:r w:rsidRPr="00D738E1">
        <w:rPr>
          <w:sz w:val="14"/>
        </w:rPr>
        <w:t xml:space="preserve"> </w:t>
      </w:r>
      <w:r w:rsidRPr="00D738E1">
        <w:rPr>
          <w:b/>
          <w:bCs/>
          <w:u w:val="single"/>
        </w:rPr>
        <w:t>How might we apprehend relationality</w:t>
      </w:r>
      <w:r w:rsidRPr="00D738E1">
        <w:rPr>
          <w:sz w:val="14"/>
        </w:rPr>
        <w:t xml:space="preserve"> across systems of capitalism, colonialism, and chattel slavery and its afterlives? </w:t>
      </w:r>
      <w:r w:rsidRPr="00D738E1">
        <w:rPr>
          <w:b/>
          <w:bCs/>
          <w:u w:val="single"/>
        </w:rPr>
        <w:t xml:space="preserve">What happens </w:t>
      </w:r>
      <w:r w:rsidRPr="005928B4">
        <w:rPr>
          <w:b/>
          <w:bCs/>
          <w:highlight w:val="cyan"/>
          <w:u w:val="single"/>
        </w:rPr>
        <w:t xml:space="preserve">when land is understood not as property </w:t>
      </w:r>
      <w:r w:rsidRPr="00D738E1">
        <w:rPr>
          <w:b/>
          <w:bCs/>
          <w:u w:val="single"/>
        </w:rPr>
        <w:t xml:space="preserve">or territory </w:t>
      </w:r>
      <w:r w:rsidRPr="005928B4">
        <w:rPr>
          <w:b/>
          <w:bCs/>
          <w:highlight w:val="cyan"/>
          <w:u w:val="single"/>
        </w:rPr>
        <w:t xml:space="preserve">but as a </w:t>
      </w:r>
      <w:r w:rsidRPr="00D738E1">
        <w:rPr>
          <w:b/>
          <w:bCs/>
          <w:u w:val="single"/>
        </w:rPr>
        <w:t xml:space="preserve">source of </w:t>
      </w:r>
      <w:r w:rsidRPr="005928B4">
        <w:rPr>
          <w:b/>
          <w:bCs/>
          <w:highlight w:val="cyan"/>
          <w:u w:val="single"/>
        </w:rPr>
        <w:t>relation with an agency</w:t>
      </w:r>
      <w:r w:rsidRPr="00D738E1">
        <w:rPr>
          <w:sz w:val="14"/>
        </w:rPr>
        <w:t xml:space="preserve"> of its own? </w:t>
      </w:r>
      <w:r w:rsidRPr="00D738E1">
        <w:rPr>
          <w:u w:val="single"/>
        </w:rPr>
        <w:t xml:space="preserve">How might </w:t>
      </w:r>
      <w:r w:rsidRPr="00D738E1">
        <w:rPr>
          <w:rStyle w:val="StyleUnderline"/>
        </w:rPr>
        <w:t>reconceiving of land as relation shift the ground of racialized and embodied histories away from the territoriality of the state</w:t>
      </w:r>
      <w:r w:rsidRPr="00D738E1">
        <w:rPr>
          <w:u w:val="single"/>
        </w:rPr>
        <w:t>? How might building capacities for relationality outside the logics of propriation make it possible to handle incommensurate demands for justice?</w:t>
      </w:r>
      <w:r w:rsidRPr="00D738E1">
        <w:rPr>
          <w:sz w:val="14"/>
        </w:rPr>
        <w:t xml:space="preserve"> In other words, </w:t>
      </w:r>
      <w:r w:rsidRPr="00D738E1">
        <w:rPr>
          <w:b/>
          <w:bCs/>
          <w:u w:val="single"/>
        </w:rPr>
        <w:t xml:space="preserve">is there a way for </w:t>
      </w:r>
      <w:r w:rsidRPr="00D738E1">
        <w:rPr>
          <w:rStyle w:val="StyleUnderline"/>
          <w:bCs/>
        </w:rPr>
        <w:t xml:space="preserve">land in itself to </w:t>
      </w:r>
      <w:r w:rsidRPr="005928B4">
        <w:rPr>
          <w:rStyle w:val="StyleUnderline"/>
          <w:bCs/>
          <w:highlight w:val="cyan"/>
        </w:rPr>
        <w:t>serve as an ontological condition for a different concept of the political that refuses conquest</w:t>
      </w:r>
      <w:r w:rsidRPr="005928B4">
        <w:rPr>
          <w:rStyle w:val="StyleUnderline"/>
          <w:sz w:val="14"/>
          <w:highlight w:val="cyan"/>
        </w:rPr>
        <w:t>,</w:t>
      </w:r>
      <w:r w:rsidRPr="00D738E1">
        <w:rPr>
          <w:rStyle w:val="StyleUnderline"/>
          <w:sz w:val="14"/>
        </w:rPr>
        <w:t xml:space="preserve"> doctrines of discovery, and the propriations of the propertied self? Finally, </w:t>
      </w:r>
      <w:r w:rsidRPr="00D738E1">
        <w:rPr>
          <w:rStyle w:val="StyleUnderline"/>
          <w:bCs/>
        </w:rPr>
        <w:t>can land as the source of relation rather than the site of boundaries define a politics under which Indigenous sovereignty and Black reparations movements can (re)build capacities for relationality</w:t>
      </w:r>
      <w:r w:rsidRPr="00D738E1">
        <w:rPr>
          <w:sz w:val="14"/>
        </w:rPr>
        <w:t xml:space="preserve"> (aberrant to logics of propriation), </w:t>
      </w:r>
      <w:r w:rsidRPr="00D738E1">
        <w:rPr>
          <w:b/>
          <w:bCs/>
          <w:u w:val="single"/>
        </w:rPr>
        <w:t>rather than enact exclusivity or inclusion</w:t>
      </w:r>
      <w:r w:rsidRPr="00D738E1">
        <w:rPr>
          <w:sz w:val="14"/>
        </w:rPr>
        <w:t>? In these times</w:t>
      </w:r>
      <w:r w:rsidRPr="00D738E1">
        <w:rPr>
          <w:rStyle w:val="StyleUnderline"/>
          <w:sz w:val="14"/>
        </w:rPr>
        <w:t xml:space="preserve">, when it is clear that </w:t>
      </w:r>
      <w:r w:rsidRPr="005928B4">
        <w:rPr>
          <w:rStyle w:val="StyleUnderline"/>
          <w:highlight w:val="cyan"/>
        </w:rPr>
        <w:t xml:space="preserve">liberal freedoms, </w:t>
      </w:r>
      <w:r w:rsidRPr="00D738E1">
        <w:rPr>
          <w:rStyle w:val="StyleUnderline"/>
        </w:rPr>
        <w:t xml:space="preserve">misnamed democracy, </w:t>
      </w:r>
      <w:r w:rsidRPr="005928B4">
        <w:rPr>
          <w:rStyle w:val="StyleUnderline"/>
          <w:highlight w:val="cyan"/>
        </w:rPr>
        <w:t>fail to halt the expropriation of collective life</w:t>
      </w:r>
      <w:r w:rsidRPr="00D738E1">
        <w:rPr>
          <w:rStyle w:val="StyleUnderline"/>
          <w:sz w:val="14"/>
        </w:rPr>
        <w:t xml:space="preserve"> by financial capitalism and its extractive resource mining, </w:t>
      </w:r>
      <w:r w:rsidRPr="00D738E1">
        <w:rPr>
          <w:rStyle w:val="StyleUnderline"/>
        </w:rPr>
        <w:t>it is critical to turn our attention to ongoing praxes that build capacities for relationality beyond the logics of propriation</w:t>
      </w:r>
      <w:r w:rsidRPr="00D738E1">
        <w:rPr>
          <w:rStyle w:val="StyleUnderline"/>
          <w:sz w:val="14"/>
        </w:rPr>
        <w:t xml:space="preserve">. </w:t>
      </w:r>
      <w:r w:rsidRPr="00D738E1">
        <w:rPr>
          <w:rStyle w:val="StyleUnderline"/>
        </w:rPr>
        <w:t>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w:t>
      </w:r>
      <w:r w:rsidRPr="00D738E1">
        <w:rPr>
          <w:rStyle w:val="StyleUnderline"/>
          <w:sz w:val="14"/>
        </w:rPr>
        <w:t xml:space="preserve">. </w:t>
      </w:r>
      <w:r w:rsidRPr="00D738E1">
        <w:rPr>
          <w:u w:val="single"/>
        </w:rPr>
        <w:t>Work by such scholars as Glen Coulthard, Saidiya Hartman, Shona Jackson, Tiffany Lethabo King, Lisa Lowe, Fred Moten, Leanne Betasamosake Simpson, and Denise Ferreira da Silva offers energizing responses to global predatory formations of debt-driven accumulation</w:t>
      </w:r>
      <w:r w:rsidRPr="00D738E1">
        <w:rPr>
          <w:sz w:val="14"/>
        </w:rPr>
        <w:t xml:space="preserve">, each drawing on Black radical traditions, critical ethnic studies, and/or Indigenous critical theory for epistemic-material activism. As Saidiya </w:t>
      </w:r>
      <w:r w:rsidRPr="00D738E1">
        <w:rPr>
          <w:u w:val="single"/>
        </w:rPr>
        <w:t>Hartman observes, “Skewed life chances, limited access to health and education, premature death, incarceration, and impoverishment” are all the afterlife of slavery</w:t>
      </w:r>
      <w:r w:rsidRPr="00D738E1">
        <w:rPr>
          <w:sz w:val="14"/>
        </w:rPr>
        <w:t xml:space="preserve">.30 That afterlife persists as we are all asked to confront the ontological, political, economic, and moral implications and entanglements of colonization and slavery as they ostensibly compete for originary source within dispossessive regimes. In his work, </w:t>
      </w:r>
      <w:r w:rsidRPr="00D738E1">
        <w:rPr>
          <w:rStyle w:val="StyleUnderline"/>
          <w:sz w:val="14"/>
        </w:rPr>
        <w:t>Moten confronts the predatory formation of subprime debt speculation and foreclosures from the point of view of the Black radical tradition, which constellates around the anticapitalist norms of “consent not to be a single being” and “preservation of the ontological totality”</w:t>
      </w:r>
      <w:r w:rsidRPr="00D738E1">
        <w:rPr>
          <w:sz w:val="14"/>
        </w:rPr>
        <w:t xml:space="preserve"> (the survival of Black collectivity). </w:t>
      </w:r>
      <w:r w:rsidRPr="00D738E1">
        <w:rPr>
          <w:u w:val="single"/>
        </w:rPr>
        <w:t>Moten celebrates the subprime debtor for enacting a guerrilla “collateral agency</w:t>
      </w:r>
      <w:r w:rsidRPr="00D738E1">
        <w:rPr>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w:t>
      </w:r>
      <w:r w:rsidRPr="00D738E1">
        <w:rPr>
          <w:rStyle w:val="StyleUnderline"/>
          <w:sz w:val="14"/>
        </w:rPr>
        <w:t>(… to eradicate the Indian who was not vanishing quite fast enough by liberal conferral of the gift of private property.) That imposition [was updated] … in the name of “the ownership society” … so that it could continue its brutal, violent habit of enclosing our common capacity.3</w:t>
      </w:r>
      <w:r w:rsidRPr="00D738E1">
        <w:rPr>
          <w:sz w:val="14"/>
        </w:rPr>
        <w:t xml:space="preserve">2 </w:t>
      </w:r>
      <w:r w:rsidRPr="005928B4">
        <w:rPr>
          <w:rStyle w:val="StyleUnderline"/>
          <w:highlight w:val="cyan"/>
        </w:rPr>
        <w:t>Moten refuses to compare and oppose Black and Native dispossessions</w:t>
      </w:r>
      <w:r w:rsidRPr="00D738E1">
        <w:rPr>
          <w:rStyle w:val="StyleUnderline"/>
          <w:sz w:val="14"/>
        </w:rPr>
        <w:t xml:space="preserve"> in racial capitalist settler colonial modernity </w:t>
      </w:r>
      <w:r w:rsidRPr="005928B4">
        <w:rPr>
          <w:rStyle w:val="StyleUnderline"/>
          <w:bCs/>
          <w:highlight w:val="cyan"/>
        </w:rPr>
        <w:t xml:space="preserve">and </w:t>
      </w:r>
      <w:r w:rsidRPr="00D738E1">
        <w:rPr>
          <w:rStyle w:val="StyleUnderline"/>
          <w:bCs/>
        </w:rPr>
        <w:t xml:space="preserve">instead </w:t>
      </w:r>
      <w:r w:rsidRPr="005928B4">
        <w:rPr>
          <w:rStyle w:val="StyleUnderline"/>
          <w:bCs/>
          <w:highlight w:val="cyan"/>
        </w:rPr>
        <w:t>offers a way to conceive of debt as disownership</w:t>
      </w:r>
      <w:r w:rsidRPr="00D738E1">
        <w:rPr>
          <w:rStyle w:val="StyleUnderline"/>
          <w:sz w:val="14"/>
        </w:rPr>
        <w:t xml:space="preserve"> </w:t>
      </w:r>
      <w:r w:rsidRPr="00D738E1">
        <w:rPr>
          <w:rStyle w:val="StyleUnderline"/>
        </w:rPr>
        <w:t>that links contemporary forms of foreclosure to the enclosures of settlement, severalty, and allotment</w:t>
      </w:r>
      <w:r w:rsidRPr="00D738E1">
        <w:rPr>
          <w:rStyle w:val="StyleUnderline"/>
          <w:sz w:val="14"/>
        </w:rPr>
        <w:t xml:space="preserve">. As home ownership and its subsequent subprime mortgage within the existing structures of a well-established </w:t>
      </w:r>
      <w:r w:rsidRPr="005928B4">
        <w:rPr>
          <w:rStyle w:val="StyleUnderline"/>
          <w:bCs/>
          <w:highlight w:val="cyan"/>
        </w:rPr>
        <w:t xml:space="preserve">settler colonialism became “a kind of carnival, </w:t>
      </w:r>
      <w:r w:rsidRPr="00D738E1">
        <w:rPr>
          <w:rStyle w:val="StyleUnderline"/>
          <w:bCs/>
        </w:rPr>
        <w:t>a country-ass hoedown, an embarrassing barbecue</w:t>
      </w:r>
      <w:r w:rsidRPr="00D738E1">
        <w:rPr>
          <w:rStyle w:val="StyleUnderline"/>
          <w:sz w:val="14"/>
        </w:rPr>
        <w:t>,” Moten acknowledges how “</w:t>
      </w:r>
      <w:r w:rsidRPr="00D738E1">
        <w:rPr>
          <w:rStyle w:val="StyleUnderline"/>
        </w:rPr>
        <w:t>the ownership society” continues its brutal drive toward enclosing our common capacity and our capacity for the commons</w:t>
      </w:r>
      <w:r w:rsidRPr="00D738E1">
        <w:rPr>
          <w:rStyle w:val="StyleUnderline"/>
          <w:sz w:val="14"/>
        </w:rPr>
        <w:t>.</w:t>
      </w:r>
      <w:r w:rsidRPr="00D738E1">
        <w:rPr>
          <w:sz w:val="14"/>
        </w:rPr>
        <w:t xml:space="preserve"> Building on questions of the spatialities of settler colonial geographies, </w:t>
      </w:r>
      <w:r w:rsidRPr="00D738E1">
        <w:rPr>
          <w:u w:val="single"/>
        </w:rPr>
        <w:t xml:space="preserve">Tiffany Lethabo </w:t>
      </w:r>
      <w:r w:rsidRPr="00D738E1">
        <w:rPr>
          <w:rStyle w:val="StyleUnderline"/>
        </w:rPr>
        <w:t>King</w:t>
      </w:r>
      <w:r w:rsidRPr="00D738E1">
        <w:rPr>
          <w:rStyle w:val="StyleUnderline"/>
          <w:sz w:val="14"/>
        </w:rPr>
        <w:t xml:space="preserve">, in her recent work on Black fungibility, </w:t>
      </w:r>
      <w:r w:rsidRPr="00D738E1">
        <w:rPr>
          <w:rStyle w:val="StyleUnderline"/>
        </w:rPr>
        <w:t xml:space="preserve">argues for an analytic framework through </w:t>
      </w:r>
      <w:r w:rsidRPr="005928B4">
        <w:rPr>
          <w:rStyle w:val="StyleUnderline"/>
          <w:highlight w:val="cyan"/>
        </w:rPr>
        <w:t>which</w:t>
      </w:r>
      <w:r w:rsidRPr="00D738E1">
        <w:rPr>
          <w:rStyle w:val="StyleUnderline"/>
        </w:rPr>
        <w:t xml:space="preserve"> to consider how “Blackness mediated the ways the natural world could be imagined as manipulable and an open landscape in flux</w:t>
      </w:r>
      <w:r w:rsidRPr="00D738E1">
        <w:rPr>
          <w:rStyle w:val="StyleUnderline"/>
          <w:sz w:val="14"/>
        </w:rPr>
        <w:t xml:space="preserve">.”33 </w:t>
      </w:r>
      <w:r w:rsidRPr="00D738E1">
        <w:rPr>
          <w:rStyle w:val="StyleUnderline"/>
          <w:bCs/>
        </w:rPr>
        <w:t xml:space="preserve">Such a framework </w:t>
      </w:r>
      <w:r w:rsidRPr="005928B4">
        <w:rPr>
          <w:rStyle w:val="StyleUnderline"/>
          <w:bCs/>
          <w:highlight w:val="cyan"/>
        </w:rPr>
        <w:t>disrupts the spatial and embodied boundaries that have</w:t>
      </w:r>
      <w:r w:rsidRPr="00D738E1">
        <w:rPr>
          <w:rStyle w:val="StyleUnderline"/>
          <w:bCs/>
        </w:rPr>
        <w:t xml:space="preserve"> at times </w:t>
      </w:r>
      <w:r w:rsidRPr="005928B4">
        <w:rPr>
          <w:rStyle w:val="StyleUnderline"/>
          <w:bCs/>
          <w:highlight w:val="cyan"/>
        </w:rPr>
        <w:t>separated Indigenous</w:t>
      </w:r>
      <w:r w:rsidRPr="00D738E1">
        <w:rPr>
          <w:rStyle w:val="StyleUnderline"/>
          <w:bCs/>
        </w:rPr>
        <w:t xml:space="preserve"> and settler colonial critique </w:t>
      </w:r>
      <w:r w:rsidRPr="005928B4">
        <w:rPr>
          <w:rStyle w:val="StyleUnderline"/>
          <w:bCs/>
          <w:highlight w:val="cyan"/>
        </w:rPr>
        <w:t>from Black studies</w:t>
      </w:r>
      <w:r w:rsidRPr="00D738E1">
        <w:rPr>
          <w:rStyle w:val="StyleUnderline"/>
          <w:sz w:val="14"/>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w:t>
      </w:r>
      <w:r w:rsidRPr="00D738E1">
        <w:rPr>
          <w:sz w:val="14"/>
        </w:rPr>
        <w:t xml:space="preserve"> conquistador</w:t>
      </w:r>
      <w:r w:rsidRPr="00D738E1">
        <w:rPr>
          <w:rStyle w:val="StyleUnderline"/>
          <w:sz w:val="14"/>
        </w:rPr>
        <w:t>/settler rather than just another human laborer exploited as a mere technology to produce space.”</w:t>
      </w:r>
      <w:r w:rsidRPr="00D738E1">
        <w:rPr>
          <w:sz w:val="14"/>
        </w:rPr>
        <w:t xml:space="preserve">34 </w:t>
      </w:r>
      <w:r w:rsidRPr="00D738E1">
        <w:rPr>
          <w:u w:val="single"/>
        </w:rPr>
        <w:t xml:space="preserve">Such moves help us </w:t>
      </w:r>
      <w:r w:rsidRPr="00D738E1">
        <w:rPr>
          <w:rStyle w:val="StyleUnderline"/>
        </w:rPr>
        <w:t>decenter bodies as the site of pure labor</w:t>
      </w:r>
      <w:r w:rsidRPr="00D738E1">
        <w:rPr>
          <w:rStyle w:val="StyleUnderline"/>
          <w:sz w:val="14"/>
        </w:rPr>
        <w:t xml:space="preserve"> within the proprietary logics of settler colonialism and racial capitalism to think more fluidly about the porousness of those same bodies as they are made to move and remove</w:t>
      </w:r>
      <w:r w:rsidRPr="00D738E1">
        <w:rPr>
          <w:sz w:val="14"/>
        </w:rPr>
        <w:t xml:space="preserve">, build and destroy, relate and tear asunder. Dene scholar Glen </w:t>
      </w:r>
      <w:r w:rsidRPr="00D738E1">
        <w:rPr>
          <w:rStyle w:val="StyleUnderline"/>
          <w:sz w:val="14"/>
        </w:rPr>
        <w:t xml:space="preserve">Coulthard confronts the debt-driven predatory formations active in Canada, where austerity provides alibis for renewed thefts of Indigenous lands and resources and more indebtedness and precarity generally. </w:t>
      </w:r>
      <w:r w:rsidRPr="00D738E1">
        <w:rPr>
          <w:sz w:val="14"/>
        </w:rPr>
        <w:t xml:space="preserve">Inspired by Frantz Fanon’s belief that </w:t>
      </w:r>
      <w:r w:rsidRPr="005928B4">
        <w:rPr>
          <w:b/>
          <w:bCs/>
          <w:highlight w:val="cyan"/>
          <w:u w:val="single"/>
        </w:rPr>
        <w:t xml:space="preserve">those </w:t>
      </w:r>
      <w:r w:rsidRPr="005928B4">
        <w:rPr>
          <w:rStyle w:val="StyleUnderline"/>
          <w:bCs/>
          <w:highlight w:val="cyan"/>
        </w:rPr>
        <w:t xml:space="preserve">struggling against colonialism must turn away from the colonial state and find </w:t>
      </w:r>
      <w:r w:rsidRPr="00D738E1">
        <w:rPr>
          <w:rStyle w:val="StyleUnderline"/>
          <w:bCs/>
        </w:rPr>
        <w:t xml:space="preserve">in their own </w:t>
      </w:r>
      <w:r w:rsidRPr="005928B4">
        <w:rPr>
          <w:rStyle w:val="StyleUnderline"/>
          <w:bCs/>
          <w:highlight w:val="cyan"/>
        </w:rPr>
        <w:t xml:space="preserve">transformative praxis </w:t>
      </w:r>
      <w:r w:rsidRPr="00D738E1">
        <w:rPr>
          <w:rStyle w:val="StyleUnderline"/>
          <w:bCs/>
        </w:rPr>
        <w:t>the source of their liberation</w:t>
      </w:r>
      <w:r w:rsidRPr="00D738E1">
        <w:rPr>
          <w:rStyle w:val="StyleUnderline"/>
          <w:sz w:val="14"/>
        </w:rPr>
        <w:t xml:space="preserve">, </w:t>
      </w:r>
      <w:r w:rsidRPr="00D738E1">
        <w:rPr>
          <w:rStyle w:val="StyleUnderline"/>
          <w:bCs/>
        </w:rPr>
        <w:t xml:space="preserve">Coulthard calls for the reinvigoration of land-based norms, of “indigenous laws … </w:t>
      </w:r>
      <w:r w:rsidRPr="005928B4">
        <w:rPr>
          <w:rStyle w:val="StyleUnderline"/>
          <w:bCs/>
          <w:highlight w:val="cyan"/>
        </w:rPr>
        <w:t>that uphold the relations of reciprocity that shape our engagement with the human and nonhuman world</w:t>
      </w:r>
      <w:r w:rsidRPr="00D738E1">
        <w:rPr>
          <w:rStyle w:val="StyleUnderline"/>
          <w:bCs/>
        </w:rPr>
        <w:t>—the land</w:t>
      </w:r>
      <w:r w:rsidRPr="00D738E1">
        <w:rPr>
          <w:rStyle w:val="StyleUnderline"/>
          <w:sz w:val="14"/>
        </w:rPr>
        <w:t>.”</w:t>
      </w:r>
      <w:r w:rsidRPr="00D738E1">
        <w:rPr>
          <w:sz w:val="14"/>
        </w:rPr>
        <w:t xml:space="preserve">35 </w:t>
      </w:r>
      <w:r w:rsidRPr="00D738E1">
        <w:rPr>
          <w:b/>
          <w:bCs/>
          <w:u w:val="single"/>
        </w:rPr>
        <w:t>He refers to this transformation praxis as “grounded normativity” in Red Skin, White Masks</w:t>
      </w:r>
      <w:r w:rsidRPr="00D738E1">
        <w:rPr>
          <w:sz w:val="14"/>
        </w:rPr>
        <w:t xml:space="preserve">. Recently, writing with Michi Saagiig Nishnaabeg poet, intellectual, and activist Leanne Betasamosake Simpson, he has reframed this praxis as a baseline for anticolonial solidarities against the proprietary and </w:t>
      </w:r>
      <w:r w:rsidRPr="00D738E1">
        <w:rPr>
          <w:rStyle w:val="StyleUnderline"/>
          <w:sz w:val="14"/>
        </w:rPr>
        <w:t>possessive regimes undergirding settler colonialism in North America. “Our relationship to the land itself,”</w:t>
      </w:r>
      <w:r w:rsidRPr="00D738E1">
        <w:rPr>
          <w:sz w:val="14"/>
        </w:rPr>
        <w:t xml:space="preserve"> Coulthard and Simpson write</w:t>
      </w:r>
      <w:r w:rsidRPr="00D738E1">
        <w:rPr>
          <w:rStyle w:val="StyleUnderline"/>
          <w:sz w:val="14"/>
        </w:rPr>
        <w:t>, “generates the processes, practices, and knowledges that inform our political systems, and through which we practice solidarity. To willfully abandon them would amount to a form of auto-genocide.”</w:t>
      </w:r>
      <w:r w:rsidRPr="00D738E1">
        <w:rPr>
          <w:sz w:val="14"/>
        </w:rPr>
        <w:t xml:space="preserve">36 </w:t>
      </w:r>
      <w:r w:rsidRPr="005928B4">
        <w:rPr>
          <w:rStyle w:val="StyleUnderline"/>
          <w:bCs/>
          <w:highlight w:val="cyan"/>
        </w:rPr>
        <w:t>Grounded normativity</w:t>
      </w:r>
      <w:r w:rsidRPr="00D738E1">
        <w:rPr>
          <w:rStyle w:val="StyleUnderline"/>
          <w:sz w:val="14"/>
        </w:rPr>
        <w:t xml:space="preserve">, as Coulthard and Simpson explain, </w:t>
      </w:r>
      <w:r w:rsidRPr="005928B4">
        <w:rPr>
          <w:rStyle w:val="StyleUnderline"/>
          <w:bCs/>
          <w:highlight w:val="cyan"/>
        </w:rPr>
        <w:t>provides an ethical way of knowing and being that is more expansive than those ontologies that prioritize the human as exceptional</w:t>
      </w:r>
      <w:r w:rsidRPr="005928B4">
        <w:rPr>
          <w:rStyle w:val="StyleUnderline"/>
          <w:sz w:val="14"/>
          <w:highlight w:val="cyan"/>
        </w:rPr>
        <w:t>,</w:t>
      </w:r>
      <w:r w:rsidRPr="00D738E1">
        <w:rPr>
          <w:rStyle w:val="StyleUnderline"/>
          <w:sz w:val="14"/>
        </w:rPr>
        <w:t xml:space="preserve"> and it is a placement that extends memory through vast kinship networks that assume life, vibrancy, and agency beyond the limits of enlightenment notions of self, liberty, and property. Such </w:t>
      </w:r>
      <w:r w:rsidRPr="005928B4">
        <w:rPr>
          <w:rStyle w:val="StyleUnderline"/>
          <w:bCs/>
          <w:highlight w:val="cyan"/>
        </w:rPr>
        <w:t>Indigenous interventions</w:t>
      </w:r>
      <w:r w:rsidRPr="00D738E1">
        <w:rPr>
          <w:rStyle w:val="StyleUnderline"/>
          <w:bCs/>
        </w:rPr>
        <w:t xml:space="preserve"> to the categories of being codified by settler law, policy, and territoriality are also fundamentally critiques of colonialism as they </w:t>
      </w:r>
      <w:r w:rsidRPr="005928B4">
        <w:rPr>
          <w:rStyle w:val="StyleUnderline"/>
          <w:bCs/>
          <w:highlight w:val="cyan"/>
        </w:rPr>
        <w:t>reorient knowledge and power within and through Indigenous returns to land,</w:t>
      </w:r>
      <w:r w:rsidRPr="00D738E1">
        <w:rPr>
          <w:rStyle w:val="StyleUnderline"/>
          <w:bCs/>
        </w:rPr>
        <w:t xml:space="preserve"> philosophy, diplomacy, activism, and kinship.</w:t>
      </w:r>
      <w:r w:rsidRPr="00D738E1">
        <w:rPr>
          <w:rStyle w:val="StyleUnderline"/>
          <w:sz w:val="14"/>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possession. </w:t>
      </w:r>
      <w:r w:rsidRPr="00D738E1">
        <w:rPr>
          <w:sz w:val="14"/>
        </w:rPr>
        <w:t xml:space="preserve">Here, as a way toward ending this introduction, we’d like to offer a series of provocations and </w:t>
      </w:r>
      <w:r w:rsidRPr="00D738E1">
        <w:rPr>
          <w:b/>
          <w:bCs/>
          <w:u w:val="single"/>
        </w:rPr>
        <w:t>questions that arise when Black and Indigenous intellectual traditions are held simultaneously as offering disruptions to propriation and possession:</w:t>
      </w:r>
      <w:r w:rsidRPr="00D738E1">
        <w:rPr>
          <w:sz w:val="14"/>
        </w:rPr>
        <w:t xml:space="preserve"> </w:t>
      </w:r>
      <w:r w:rsidRPr="00D738E1">
        <w:rPr>
          <w:b/>
          <w:bCs/>
          <w:u w:val="single"/>
        </w:rPr>
        <w:t xml:space="preserve">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nondominating and nonexploitative way”?37 </w:t>
      </w:r>
      <w:r w:rsidRPr="00D738E1">
        <w:rPr>
          <w:rStyle w:val="StyleUnderline"/>
          <w:bCs/>
        </w:rPr>
        <w:t>What would it be, then, to think and work for a grounded relationality, at once addressed to Black placemaking, geographies, and other racialized diasporas, as well as to proprietary violences incommensurate to yet not altogether separate from Indigenous land and sovereignty?</w:t>
      </w:r>
      <w:r w:rsidRPr="00D738E1">
        <w:rPr>
          <w:rStyle w:val="StyleUnderline"/>
          <w:sz w:val="14"/>
        </w:rPr>
        <w:t xml:space="preserve"> What would it mean to consider the land itself as a site of an agentive fungibility that has been conscripted into the proprietary spatialities of colonial possessiveness and constrained into geographies of exploitation that no longer serve the relationalities of presence and care that have for so long been its domain as a common for all? </w:t>
      </w:r>
      <w:r w:rsidRPr="005928B4">
        <w:rPr>
          <w:rStyle w:val="StyleUnderline"/>
          <w:bCs/>
          <w:highlight w:val="cyan"/>
        </w:rPr>
        <w:t>The loss of land is not just a loss of</w:t>
      </w:r>
      <w:r w:rsidRPr="00D738E1">
        <w:rPr>
          <w:rStyle w:val="StyleUnderline"/>
          <w:bCs/>
        </w:rPr>
        <w:t xml:space="preserve"> property, territoriality, power, nation, or </w:t>
      </w:r>
      <w:r w:rsidRPr="005928B4">
        <w:rPr>
          <w:rStyle w:val="StyleUnderline"/>
          <w:bCs/>
          <w:highlight w:val="cyan"/>
        </w:rPr>
        <w:t>sovereignty; it is the loss of</w:t>
      </w:r>
      <w:r w:rsidRPr="00D738E1">
        <w:rPr>
          <w:rStyle w:val="StyleUnderline"/>
          <w:bCs/>
        </w:rPr>
        <w:t xml:space="preserve"> those philosophies that derive from the </w:t>
      </w:r>
      <w:r w:rsidRPr="005928B4">
        <w:rPr>
          <w:rStyle w:val="StyleUnderline"/>
          <w:bCs/>
          <w:highlight w:val="cyan"/>
        </w:rPr>
        <w:t>relationships the land itself activates, fosters, and nourishes</w:t>
      </w:r>
      <w:r w:rsidRPr="00D738E1">
        <w:rPr>
          <w:b/>
          <w:bCs/>
          <w:u w:val="single"/>
        </w:rPr>
        <w:t xml:space="preserve">. </w:t>
      </w:r>
      <w:r w:rsidRPr="00D738E1">
        <w:rPr>
          <w:sz w:val="14"/>
        </w:rPr>
        <w:t>Working across the lethal confluences of imperial conquest and racial capitalist predation, the essays that follow engage such questions and the logic of propriation that organizes and underwrites economies of dispossession in the historical present.</w:t>
      </w:r>
    </w:p>
    <w:p w:rsidR="009004A2" w:rsidRDefault="009004A2" w:rsidP="009004A2">
      <w:pPr>
        <w:pStyle w:val="Heading2"/>
      </w:pPr>
      <w:r>
        <w:t>A2</w:t>
      </w:r>
    </w:p>
    <w:p w:rsidR="002E141E" w:rsidRPr="00861B49" w:rsidRDefault="002E141E" w:rsidP="002E141E">
      <w:pPr>
        <w:pStyle w:val="Heading3"/>
      </w:pPr>
      <w:r>
        <w:t xml:space="preserve">AT – State Good </w:t>
      </w:r>
    </w:p>
    <w:p w:rsidR="002A5D08" w:rsidRDefault="002A5D08" w:rsidP="002E141E">
      <w:pPr>
        <w:rPr>
          <w:rStyle w:val="Style13ptBold"/>
        </w:rPr>
      </w:pPr>
      <w:r>
        <w:rPr>
          <w:rStyle w:val="Style13ptBold"/>
        </w:rPr>
        <w:t xml:space="preserve">State reform is not neutral but embedded within </w:t>
      </w:r>
      <w:r w:rsidR="00154D61">
        <w:rPr>
          <w:rStyle w:val="Style13ptBold"/>
        </w:rPr>
        <w:t xml:space="preserve">a system of biopolitical control that attempts at creating “acceptable” indigenous peoples. Their examples of progress are not answers to the k but rather demonstrative of an illusion of reconciliation that allows the state to continually disposes Indigenous peoples under the guise of neutrality. </w:t>
      </w:r>
    </w:p>
    <w:p w:rsidR="002E141E" w:rsidRPr="00D738E1" w:rsidRDefault="002E141E" w:rsidP="002E141E">
      <w:r w:rsidRPr="00D738E1">
        <w:rPr>
          <w:rStyle w:val="Style13ptBold"/>
        </w:rPr>
        <w:t>BOURNE 21</w:t>
      </w:r>
      <w:r w:rsidRPr="00D738E1">
        <w:t xml:space="preserve"> [Nisse is in the Department of Criminology Faculty of Social Sciences University of Ottawa, “Settler Colonialism Continued: A genealogy of Indigenous regulation and oppression in Canada”, UOttawa, </w:t>
      </w:r>
      <w:hyperlink r:id="rId15" w:history="1">
        <w:r w:rsidRPr="00D738E1">
          <w:rPr>
            <w:rStyle w:val="Hyperlink"/>
          </w:rPr>
          <w:t>https://ruor.uottawa.ca/bitstream/10393/42906/1/Bourne_Nisse_2021_Thesis.pdf]//</w:t>
        </w:r>
      </w:hyperlink>
      <w:r w:rsidRPr="00D738E1">
        <w:t xml:space="preserve"> chui </w:t>
      </w:r>
    </w:p>
    <w:p w:rsidR="002E141E" w:rsidRPr="00D738E1" w:rsidRDefault="002E141E" w:rsidP="002E141E">
      <w:pPr>
        <w:rPr>
          <w:rStyle w:val="Style13ptBold"/>
          <w:b w:val="0"/>
          <w:sz w:val="22"/>
        </w:rPr>
      </w:pPr>
      <w:r w:rsidRPr="00D738E1">
        <w:rPr>
          <w:sz w:val="8"/>
        </w:rPr>
        <w:t>3.2 Producing Indigeneity In Orientalism, Said (1979) explains how the image of the Orient came to signify danger and threat in the Western culture</w:t>
      </w:r>
      <w:r w:rsidRPr="00D738E1">
        <w:rPr>
          <w:rStyle w:val="Emphasis"/>
        </w:rPr>
        <w:t xml:space="preserve">. The construction of Indigeneity can be divided into two different categories: the way Indigeneity is produced in the mind of the settler and the way Indigeneity is imposed on Indigenous Peoples. </w:t>
      </w:r>
      <w:r w:rsidRPr="00D738E1">
        <w:rPr>
          <w:rStyle w:val="StyleUnderline"/>
        </w:rPr>
        <w:t>The former is achieved through the assessment of Indigenous Peoples through the eyes of the settler. The settler comes to terms with who an Indigenous person is by finding a place for them in the Western experience. This image is formed in opposition to who the settler is. The image of the settler becomes the norm.</w:t>
      </w:r>
      <w:r w:rsidRPr="00D738E1">
        <w:rPr>
          <w:sz w:val="8"/>
        </w:rPr>
        <w:t xml:space="preserve"> Once the Subaltern: A term coined by Antonio Gramsci for a person of lower rank in society. 11 41 foundation of Indigenous identity is formed, </w:t>
      </w:r>
      <w:r w:rsidRPr="00D738E1">
        <w:rPr>
          <w:rStyle w:val="StyleUnderline"/>
        </w:rPr>
        <w:t>settlers fall victim to the confirmation bias as they search for instances that continue to reinforce their idea of what an Indigenous person ‘should’ be. Indigeneity is also imposed on First Peoples through a myriad of settler colonial systems</w:t>
      </w:r>
      <w:r w:rsidRPr="00D738E1">
        <w:rPr>
          <w:rStyle w:val="Emphasis"/>
        </w:rPr>
        <w:t xml:space="preserve">. After attempts to assimilate First Peoples failed, </w:t>
      </w:r>
      <w:r w:rsidRPr="005928B4">
        <w:rPr>
          <w:rStyle w:val="Emphasis"/>
          <w:highlight w:val="cyan"/>
        </w:rPr>
        <w:t xml:space="preserve">settlers began to ‘promote’ Indigenous culture through state developed </w:t>
      </w:r>
      <w:r w:rsidRPr="00D738E1">
        <w:rPr>
          <w:rStyle w:val="Emphasis"/>
        </w:rPr>
        <w:t xml:space="preserve">and sponsored </w:t>
      </w:r>
      <w:r w:rsidRPr="005928B4">
        <w:rPr>
          <w:rStyle w:val="Emphasis"/>
          <w:highlight w:val="cyan"/>
        </w:rPr>
        <w:t>programming</w:t>
      </w:r>
      <w:r w:rsidRPr="00D738E1">
        <w:rPr>
          <w:rStyle w:val="Emphasis"/>
        </w:rPr>
        <w:t xml:space="preserve"> (i.e. prisons, schools, social services, healthcare system, legal system etc.), </w:t>
      </w:r>
      <w:r w:rsidRPr="005928B4">
        <w:rPr>
          <w:rStyle w:val="Emphasis"/>
          <w:highlight w:val="cyan"/>
        </w:rPr>
        <w:t>in an attempt to create the type of Indigenous Peoples that are ‘acceptable’ and ‘productive’</w:t>
      </w:r>
      <w:r w:rsidRPr="00D738E1">
        <w:rPr>
          <w:rStyle w:val="Emphasis"/>
        </w:rPr>
        <w:t xml:space="preserve"> in</w:t>
      </w:r>
      <w:r w:rsidRPr="00D738E1">
        <w:rPr>
          <w:sz w:val="8"/>
        </w:rPr>
        <w:t xml:space="preserve"> Canada’s </w:t>
      </w:r>
      <w:r w:rsidRPr="00D738E1">
        <w:rPr>
          <w:rStyle w:val="Emphasis"/>
        </w:rPr>
        <w:t>settler colonial society.</w:t>
      </w:r>
      <w:r w:rsidRPr="00D738E1">
        <w:rPr>
          <w:sz w:val="8"/>
        </w:rPr>
        <w:t xml:space="preserve"> </w:t>
      </w:r>
      <w:r w:rsidRPr="00D738E1">
        <w:rPr>
          <w:rStyle w:val="StyleUnderline"/>
        </w:rPr>
        <w:t>An Indigenous person who is deemed acceptable and productive by settler standards contributes to furthering the settler colonial agenda and/or does not challenge the status quo. Although there are times that the programs within these systems are created in consultation with Indigenous Peoples, Indigenous Peoples are still in a position of disadvantage and therefore must negotiate these spaces accordingly</w:t>
      </w:r>
      <w:r w:rsidRPr="00D738E1">
        <w:rPr>
          <w:sz w:val="8"/>
        </w:rPr>
        <w:t xml:space="preserve"> (Alfred, 2009). 3.3 Contemporary Colonialism - Recognition and Accommodation Post-Colonial theory has been useful in identifying some of the effects of colonization, but there has been some controversy around the use of the term ‘Post-Colonialism’, especially in settler colonial societies like Canada. For many Indigenous academics, the ‘post’ in postcolonialism implies colonialism is over (Alfred &amp; Corntassel, 2005; Kovach , 2009; Smith , 12 13 2012). Although Post-Colonial theory can be useful in examining the legacy of colonialism Maggie Kovach is “of the Pasqua and Okanese First Nations in southern Saskatchewan” (Kovach, 12 2009, p. 3). Linda Tuhiwai Smith is of the Ngāti Awa and Ngāti Porou Māori Nations of Aotearoa (the land now 13 known as New Zealand) (Smith, 2012). 42 where colonizers have left, for settler colonial countries like Canada, Post-Colonial theory on its own is not sufficient for understanding how settler colonialism continues. The difference between settlers and colonizers is their “intent to stay” (Battell Lowman &amp; Barker, 2015, p. 25). In other words, colonizers have “animus revertendi” (intent to return) whereas settlers have “animus manendi” (intent to stay) (Veracini, 2010, p.98). Indigenous academics Taiaiake Alfred and Jeff Corntassel (2005) argue for the use of the term ‘contemporary colonialism’ 14 15 instead of post-colonialism, explaining “domination is still the settler imperative” (p.597) as settlers accomplish their goal of Indigenous domination through subtler means. </w:t>
      </w:r>
      <w:r w:rsidRPr="00D738E1">
        <w:rPr>
          <w:rStyle w:val="StyleUnderline"/>
        </w:rPr>
        <w:t xml:space="preserve">Settler colonial domination has existed since the initial arrival of the Europeans to Turtle Island, but the </w:t>
      </w:r>
      <w:r w:rsidRPr="005928B4">
        <w:rPr>
          <w:rStyle w:val="StyleUnderline"/>
          <w:bCs/>
          <w:sz w:val="28"/>
          <w:szCs w:val="28"/>
          <w:highlight w:val="cyan"/>
        </w:rPr>
        <w:t>techniques and practices have shape-shifted, becoming more covert</w:t>
      </w:r>
      <w:r w:rsidRPr="00D738E1">
        <w:rPr>
          <w:rStyle w:val="StyleUnderline"/>
          <w:bCs/>
          <w:sz w:val="28"/>
          <w:szCs w:val="28"/>
        </w:rPr>
        <w:t>,</w:t>
      </w:r>
      <w:r w:rsidRPr="00D738E1">
        <w:rPr>
          <w:rStyle w:val="StyleUnderline"/>
        </w:rPr>
        <w:t xml:space="preserve"> institutionally mandated, and increasingly problematic.</w:t>
      </w:r>
      <w:r w:rsidRPr="00D738E1">
        <w:rPr>
          <w:sz w:val="8"/>
        </w:rPr>
        <w:t xml:space="preserve"> </w:t>
      </w:r>
      <w:r w:rsidRPr="00D738E1">
        <w:rPr>
          <w:rStyle w:val="StyleUnderline"/>
        </w:rPr>
        <w:t>Contemporary colonialism is a style of ritualized discrimination that is difficult to detect and must be put under extreme scrutiny in order to identify. Alfred (2009) further explains the impact of contemporary colonialism by describing its psychological ramifications:</w:t>
      </w:r>
      <w:r w:rsidRPr="00D738E1">
        <w:rPr>
          <w:rStyle w:val="Emphasis"/>
        </w:rPr>
        <w:t xml:space="preserve"> </w:t>
      </w:r>
      <w:r w:rsidRPr="005928B4">
        <w:rPr>
          <w:rStyle w:val="Emphasis"/>
          <w:highlight w:val="cyan"/>
        </w:rPr>
        <w:t>contemporary colonialism is defined by</w:t>
      </w:r>
      <w:r w:rsidRPr="00D738E1">
        <w:rPr>
          <w:rStyle w:val="Emphasis"/>
        </w:rPr>
        <w:t xml:space="preserve"> “extremes of self-hatred, fear and </w:t>
      </w:r>
      <w:r w:rsidRPr="005928B4">
        <w:rPr>
          <w:rStyle w:val="Emphasis"/>
          <w:highlight w:val="cyan"/>
        </w:rPr>
        <w:t xml:space="preserve">cooptation of the mind; </w:t>
      </w:r>
      <w:r w:rsidRPr="00D738E1">
        <w:rPr>
          <w:rStyle w:val="Emphasis"/>
        </w:rPr>
        <w:t>the effect has been the creation of a reality and culture in which [Indigenous] people[s] are unable to recognize, much less realize, their value as human beings”</w:t>
      </w:r>
      <w:r w:rsidRPr="00D738E1">
        <w:rPr>
          <w:sz w:val="8"/>
        </w:rPr>
        <w:t xml:space="preserve"> (Alfred, 2009, p. 53). Glen Coulthard author of Red Skins, White Masks, agrees with 16 Alfred and Corntassel’s assessment of contemporary colonialism and adds more specifically, “since </w:t>
      </w:r>
      <w:r w:rsidRPr="00D738E1">
        <w:rPr>
          <w:rStyle w:val="StyleUnderline"/>
        </w:rPr>
        <w:t xml:space="preserve">1969 we have witnessed the modus operandi of colonial power relations </w:t>
      </w:r>
      <w:r w:rsidRPr="00D738E1">
        <w:rPr>
          <w:sz w:val="8"/>
        </w:rPr>
        <w:t xml:space="preserve">in Canada shift Taiaiake Alfred is from the Kahnawà:ke Mohawk Nation (Taiaiake, n.d.). 14 Jeff Corntassel is from the Tsalagi Cherokee Nation (Corntassel, 2014). 15 Glen Coulthard is from the Yellowknives Dene First Nation (First Nations and Indigenous Studies, 16 n.d.). 43 </w:t>
      </w:r>
      <w:r w:rsidRPr="00D738E1">
        <w:rPr>
          <w:rStyle w:val="StyleUnderline"/>
        </w:rPr>
        <w:t xml:space="preserve">from a more or less unconcealed structure of domination </w:t>
      </w:r>
      <w:r w:rsidRPr="00D738E1">
        <w:rPr>
          <w:rStyle w:val="Emphasis"/>
        </w:rPr>
        <w:t>to a form of colonial governance that works through the medium of state recognition and accommodation”</w:t>
      </w:r>
      <w:r w:rsidRPr="00D738E1">
        <w:rPr>
          <w:sz w:val="8"/>
        </w:rPr>
        <w:t xml:space="preserve"> (Coulthard, 2014, p. 25). Contemporary colonialism challenges the idea that colonialism is a thing of the past, it also sheds light on the shape-shifting nature of colonial tactics. I believe Foucault enhances contemporary colonialism by offering genealogy as a methodological approach to uncover subjugated forms of knowledge, which help us understand how settler colonialism has transformed through time. Foucault also offers language we can use to understand how power is mobilized to regulate and produce new populations of Indigenous Peoples. Foucault gives us the language we need to investigate the "modes of power by which, in our culture, human beings are made subjects" (Foucault 1982, 777). I discuss this further in the subsequent sections 3.4 - 3.8. With the release of Truth and Reconciliation Commission of Canada’s (TRCC) final report, and other initiatives, such as the Murdered and Missing Indigenous Women and Girls (MMIWG) Inquiry, there has been a political rhetoric stating the cultural climate in Canada is changing. However, I argue </w:t>
      </w:r>
      <w:r w:rsidRPr="005928B4">
        <w:rPr>
          <w:rStyle w:val="Emphasis"/>
          <w:highlight w:val="cyan"/>
        </w:rPr>
        <w:t>even acts of reconciliation and benevolence are settler colonial strategies to regulate and assimilate First Peoples</w:t>
      </w:r>
      <w:r w:rsidRPr="00D738E1">
        <w:rPr>
          <w:rStyle w:val="Emphasis"/>
        </w:rPr>
        <w:t>. Recognition and accommodation are two concepts that are useful for understanding how the regulation of Indigenous Peoples persists today.</w:t>
      </w:r>
      <w:r w:rsidRPr="00D738E1">
        <w:rPr>
          <w:sz w:val="8"/>
        </w:rPr>
        <w:t xml:space="preserve"> </w:t>
      </w:r>
      <w:r w:rsidRPr="00D738E1">
        <w:rPr>
          <w:rStyle w:val="Emphasis"/>
        </w:rPr>
        <w:t xml:space="preserve">Techniques such as </w:t>
      </w:r>
      <w:r w:rsidRPr="005928B4">
        <w:rPr>
          <w:rStyle w:val="Emphasis"/>
          <w:highlight w:val="cyan"/>
        </w:rPr>
        <w:t>recognition</w:t>
      </w:r>
      <w:r w:rsidRPr="00D738E1">
        <w:rPr>
          <w:rStyle w:val="Emphasis"/>
        </w:rPr>
        <w:t xml:space="preserve"> and accommodation are used to placate and continue the control of First Peoples</w:t>
      </w:r>
      <w:r w:rsidRPr="00D738E1">
        <w:rPr>
          <w:sz w:val="8"/>
        </w:rPr>
        <w:t xml:space="preserve"> (Coulthard, 2014). </w:t>
      </w:r>
      <w:r w:rsidRPr="00D738E1">
        <w:rPr>
          <w:rStyle w:val="Emphasis"/>
        </w:rPr>
        <w:t>This is because acts of reconciliation</w:t>
      </w:r>
      <w:r w:rsidRPr="00D738E1">
        <w:rPr>
          <w:rStyle w:val="StyleUnderline"/>
        </w:rPr>
        <w:t xml:space="preserve"> (i.e. inquiries, apologies, truth and reconciliation commissions, culturally-appropriate programming) </w:t>
      </w:r>
      <w:r w:rsidRPr="00D738E1">
        <w:rPr>
          <w:rStyle w:val="Emphasis"/>
        </w:rPr>
        <w:t xml:space="preserve">are </w:t>
      </w:r>
      <w:r w:rsidRPr="005928B4">
        <w:rPr>
          <w:rStyle w:val="Emphasis"/>
          <w:highlight w:val="cyan"/>
        </w:rPr>
        <w:t xml:space="preserve">made without an attempt to change the underlying systems and logics that justify and perpetuate </w:t>
      </w:r>
      <w:r w:rsidRPr="00D738E1">
        <w:rPr>
          <w:rStyle w:val="Emphasis"/>
        </w:rPr>
        <w:t>the</w:t>
      </w:r>
      <w:r w:rsidRPr="005928B4">
        <w:rPr>
          <w:rStyle w:val="Emphasis"/>
          <w:highlight w:val="cyan"/>
        </w:rPr>
        <w:t xml:space="preserve"> oppression </w:t>
      </w:r>
      <w:r w:rsidRPr="00D738E1">
        <w:rPr>
          <w:rStyle w:val="Emphasis"/>
        </w:rPr>
        <w:t xml:space="preserve">of First Peoples. </w:t>
      </w:r>
      <w:r w:rsidRPr="00D738E1">
        <w:rPr>
          <w:rStyle w:val="StyleUnderline"/>
        </w:rPr>
        <w:t>First Peoples will only be recipients of recognition if it does not affect the “legal, political, and economic framework of the colonial relationship</w:t>
      </w:r>
      <w:r w:rsidRPr="00D738E1">
        <w:rPr>
          <w:sz w:val="8"/>
        </w:rPr>
        <w:t xml:space="preserve"> 44 </w:t>
      </w:r>
      <w:r w:rsidRPr="00D738E1">
        <w:rPr>
          <w:rStyle w:val="StyleUnderline"/>
        </w:rPr>
        <w:t>itself</w:t>
      </w:r>
      <w:r w:rsidRPr="00D738E1">
        <w:rPr>
          <w:sz w:val="8"/>
        </w:rPr>
        <w:t xml:space="preserve">” (Coulthard, 2007, p.41). With that said, </w:t>
      </w:r>
      <w:r w:rsidRPr="00D738E1">
        <w:rPr>
          <w:rStyle w:val="StyleUnderline"/>
        </w:rPr>
        <w:t>recognition and accommodation</w:t>
      </w:r>
      <w:r w:rsidRPr="00D738E1">
        <w:rPr>
          <w:sz w:val="8"/>
        </w:rPr>
        <w:t xml:space="preserve">, as </w:t>
      </w:r>
      <w:r w:rsidRPr="00D738E1">
        <w:rPr>
          <w:rStyle w:val="StyleUnderline"/>
        </w:rPr>
        <w:t>they</w:t>
      </w:r>
      <w:r w:rsidRPr="00D738E1">
        <w:rPr>
          <w:sz w:val="8"/>
        </w:rPr>
        <w:t xml:space="preserve"> currently exist, “</w:t>
      </w:r>
      <w:r w:rsidRPr="00D738E1">
        <w:rPr>
          <w:rStyle w:val="StyleUnderline"/>
        </w:rPr>
        <w:t>promise to reproduce the very configurations of colonial power that First Peoples’ demands for recognition have historically sought to transcend”</w:t>
      </w:r>
      <w:r w:rsidRPr="00D738E1">
        <w:rPr>
          <w:sz w:val="8"/>
        </w:rPr>
        <w:t xml:space="preserve"> (Coulthard, 2007, p. 2</w:t>
      </w:r>
      <w:r w:rsidRPr="00D738E1">
        <w:rPr>
          <w:rStyle w:val="StyleUnderline"/>
        </w:rPr>
        <w:t xml:space="preserve">). </w:t>
      </w:r>
      <w:r w:rsidRPr="00D738E1">
        <w:rPr>
          <w:rStyle w:val="Emphasis"/>
        </w:rPr>
        <w:t xml:space="preserve">In order for settlers to maintain the status quo and continue settler colonial systems, </w:t>
      </w:r>
      <w:r w:rsidRPr="005928B4">
        <w:rPr>
          <w:rStyle w:val="Emphasis"/>
          <w:highlight w:val="cyan"/>
        </w:rPr>
        <w:t>First Peoples need to be persuaded to “identify</w:t>
      </w:r>
      <w:r w:rsidRPr="00D738E1">
        <w:rPr>
          <w:rStyle w:val="Emphasis"/>
        </w:rPr>
        <w:t>,</w:t>
      </w:r>
      <w:r w:rsidRPr="00D738E1">
        <w:rPr>
          <w:sz w:val="8"/>
        </w:rPr>
        <w:t xml:space="preserve"> either implicitly or explicitly</w:t>
      </w:r>
      <w:r w:rsidRPr="005928B4">
        <w:rPr>
          <w:sz w:val="8"/>
          <w:highlight w:val="cyan"/>
        </w:rPr>
        <w:t xml:space="preserve">, </w:t>
      </w:r>
      <w:r w:rsidRPr="005928B4">
        <w:rPr>
          <w:rStyle w:val="Emphasis"/>
          <w:highlight w:val="cyan"/>
        </w:rPr>
        <w:t>with</w:t>
      </w:r>
      <w:r w:rsidRPr="00D738E1">
        <w:rPr>
          <w:rStyle w:val="Emphasis"/>
        </w:rPr>
        <w:t xml:space="preserve"> the profoundly asymmetrical and </w:t>
      </w:r>
      <w:r w:rsidRPr="00951516">
        <w:rPr>
          <w:rStyle w:val="Emphasis"/>
        </w:rPr>
        <w:t xml:space="preserve">non-reciprocal forms of </w:t>
      </w:r>
      <w:r w:rsidRPr="005928B4">
        <w:rPr>
          <w:rStyle w:val="Emphasis"/>
          <w:highlight w:val="cyan"/>
        </w:rPr>
        <w:t>recognition</w:t>
      </w:r>
      <w:r w:rsidRPr="00D738E1">
        <w:rPr>
          <w:rStyle w:val="Emphasis"/>
        </w:rPr>
        <w:t xml:space="preserve"> either imposed on or granted to them by the colonial-state and society</w:t>
      </w:r>
      <w:r w:rsidRPr="00D738E1">
        <w:rPr>
          <w:sz w:val="8"/>
        </w:rPr>
        <w:t xml:space="preserve">” (Coulthard, 2007, p. 2). </w:t>
      </w:r>
      <w:r w:rsidRPr="00D738E1">
        <w:rPr>
          <w:rStyle w:val="Emphasis"/>
        </w:rPr>
        <w:t>In unequal power relationships such as this, recognition is given on the time of the settler and in the interest of the settler</w:t>
      </w:r>
      <w:r w:rsidRPr="00D738E1">
        <w:rPr>
          <w:sz w:val="8"/>
        </w:rPr>
        <w:t xml:space="preserve"> (Fanon, 1967). </w:t>
      </w:r>
      <w:r w:rsidRPr="00D738E1">
        <w:rPr>
          <w:rStyle w:val="Emphasis"/>
        </w:rPr>
        <w:t>Even with this unbalanced approach to recognition, I</w:t>
      </w:r>
      <w:r w:rsidRPr="005928B4">
        <w:rPr>
          <w:rStyle w:val="Emphasis"/>
          <w:highlight w:val="cyan"/>
        </w:rPr>
        <w:t>ndigenous Peoples will develop a “psycho-affective” attachment to settler recognition</w:t>
      </w:r>
      <w:r w:rsidRPr="00D738E1">
        <w:rPr>
          <w:sz w:val="8"/>
        </w:rPr>
        <w:t xml:space="preserve"> (Fanon, 1967, p.148). This need for recognition is a response to the settler’s perversion of both pre-contact and post-contact history</w:t>
      </w:r>
      <w:r w:rsidRPr="00D738E1">
        <w:rPr>
          <w:rStyle w:val="StyleUnderline"/>
        </w:rPr>
        <w:t>. The settlers’ version of history problematizes Indigenous Peoples, and presents settlers as saviours sent to save Indigenous Peoples from themselves</w:t>
      </w:r>
      <w:r w:rsidRPr="00D738E1">
        <w:rPr>
          <w:sz w:val="8"/>
        </w:rPr>
        <w:t xml:space="preserve"> (Fanon,1967). This warped version of history is justifiably unsettling to Indigenous Peoples and it is no wonder many Indigenous Peoples will go to great lengths to get the historical record set straight. </w:t>
      </w:r>
      <w:r w:rsidRPr="005928B4">
        <w:rPr>
          <w:rStyle w:val="Emphasis"/>
          <w:highlight w:val="cyan"/>
        </w:rPr>
        <w:t xml:space="preserve">This </w:t>
      </w:r>
      <w:r w:rsidRPr="00951516">
        <w:rPr>
          <w:rStyle w:val="Emphasis"/>
        </w:rPr>
        <w:t xml:space="preserve">“psycho-affective” attachment </w:t>
      </w:r>
      <w:r w:rsidRPr="005928B4">
        <w:rPr>
          <w:rStyle w:val="Emphasis"/>
          <w:highlight w:val="cyan"/>
        </w:rPr>
        <w:t>helps maintain settler colonial systems</w:t>
      </w:r>
      <w:r w:rsidRPr="00D738E1">
        <w:rPr>
          <w:rStyle w:val="Emphasis"/>
        </w:rPr>
        <w:t xml:space="preserve"> and the unequal relationship between settlers and Indigenous Peoples. Recognition is so important that it has been described as a human need and is so vital that if not fulfilled, can inflict serious emotional harm</w:t>
      </w:r>
      <w:r w:rsidRPr="00D738E1">
        <w:rPr>
          <w:sz w:val="8"/>
        </w:rPr>
        <w:t xml:space="preserve"> (Chari, 2004; Taylor, 1994). </w:t>
      </w:r>
      <w:r w:rsidRPr="00D738E1">
        <w:rPr>
          <w:rStyle w:val="StyleUnderline"/>
        </w:rPr>
        <w:t>Indigenous Peoples demand recognition from settlers for the simple right to be viewed as human beings</w:t>
      </w:r>
      <w:r w:rsidRPr="00D738E1">
        <w:rPr>
          <w:sz w:val="8"/>
        </w:rPr>
        <w:t xml:space="preserve"> (Fanon, 1967). Fanon (1967) states “I have one right alone, that of demanding human behaviour from the other” (p. 229). </w:t>
      </w:r>
      <w:r w:rsidRPr="00D738E1">
        <w:rPr>
          <w:rStyle w:val="Emphasis"/>
        </w:rPr>
        <w:t>Attempts to gain recognition from the settler actually perpetuates</w:t>
      </w:r>
      <w:r w:rsidRPr="00D738E1">
        <w:rPr>
          <w:sz w:val="8"/>
        </w:rPr>
        <w:t xml:space="preserve"> 45 </w:t>
      </w:r>
      <w:r w:rsidRPr="00D738E1">
        <w:rPr>
          <w:rStyle w:val="Emphasis"/>
        </w:rPr>
        <w:t xml:space="preserve">Indigenous oppression as </w:t>
      </w:r>
      <w:r w:rsidRPr="00951516">
        <w:rPr>
          <w:rStyle w:val="Emphasis"/>
        </w:rPr>
        <w:t>recognition is on the settler’s own terms</w:t>
      </w:r>
      <w:r w:rsidRPr="00D738E1">
        <w:rPr>
          <w:sz w:val="8"/>
        </w:rPr>
        <w:t xml:space="preserve"> (Chari, 2004; Coulthard, 2007; Fanon, 1967). </w:t>
      </w:r>
      <w:r w:rsidRPr="00D738E1">
        <w:rPr>
          <w:rStyle w:val="StyleUnderline"/>
        </w:rPr>
        <w:t xml:space="preserve">Since the settler holds the power to recognize or not to recognize, </w:t>
      </w:r>
      <w:r w:rsidRPr="00951516">
        <w:rPr>
          <w:rStyle w:val="StyleUnderline"/>
        </w:rPr>
        <w:t>Indigenous Peoples can</w:t>
      </w:r>
      <w:r w:rsidRPr="00D738E1">
        <w:rPr>
          <w:rStyle w:val="StyleUnderline"/>
        </w:rPr>
        <w:t xml:space="preserve"> choose to accept recognition on the settler’s terms or to </w:t>
      </w:r>
      <w:r w:rsidRPr="00951516">
        <w:rPr>
          <w:rStyle w:val="StyleUnderline"/>
        </w:rPr>
        <w:t>become</w:t>
      </w:r>
      <w:r w:rsidRPr="00D738E1">
        <w:rPr>
          <w:rStyle w:val="StyleUnderline"/>
        </w:rPr>
        <w:t xml:space="preserve"> sociopolitically </w:t>
      </w:r>
      <w:r w:rsidRPr="00951516">
        <w:rPr>
          <w:rStyle w:val="StyleUnderline"/>
        </w:rPr>
        <w:t>invisible</w:t>
      </w:r>
      <w:r w:rsidRPr="00951516">
        <w:rPr>
          <w:sz w:val="8"/>
        </w:rPr>
        <w:t>.</w:t>
      </w:r>
      <w:r w:rsidRPr="00D738E1">
        <w:rPr>
          <w:sz w:val="8"/>
        </w:rPr>
        <w:t xml:space="preserve"> </w:t>
      </w:r>
      <w:r w:rsidRPr="00D738E1">
        <w:rPr>
          <w:rStyle w:val="StyleUnderline"/>
        </w:rPr>
        <w:t>With this in mind, the identity of Indigenous Peoples is continually determined within the context of the oppressive settler colonial discourse</w:t>
      </w:r>
      <w:r w:rsidRPr="00D738E1">
        <w:rPr>
          <w:sz w:val="8"/>
        </w:rPr>
        <w:t xml:space="preserve"> (Chari, 2004, Fanon, 1967). </w:t>
      </w:r>
      <w:r w:rsidRPr="00D738E1">
        <w:rPr>
          <w:rStyle w:val="StyleUnderline"/>
        </w:rPr>
        <w:t>Indigenous Peoples come to view the struggle for recognition as synonymous with the struggle for liberation, emancipation, and sovereignty</w:t>
      </w:r>
      <w:r w:rsidRPr="00D738E1">
        <w:rPr>
          <w:sz w:val="8"/>
        </w:rPr>
        <w:t xml:space="preserve"> (Coulthard, 2007). </w:t>
      </w:r>
      <w:r w:rsidRPr="00D738E1">
        <w:rPr>
          <w:rStyle w:val="Emphasis"/>
        </w:rPr>
        <w:t xml:space="preserve">Instead, the struggle for recognition serves as a form of power which keeps Indigenous Peoples </w:t>
      </w:r>
      <w:r w:rsidRPr="00951516">
        <w:rPr>
          <w:rStyle w:val="Emphasis"/>
        </w:rPr>
        <w:t>oppressed, predictable, and under control</w:t>
      </w:r>
      <w:r w:rsidRPr="00D738E1">
        <w:rPr>
          <w:sz w:val="8"/>
        </w:rPr>
        <w:t xml:space="preserve"> (Chari, 2004). </w:t>
      </w:r>
      <w:r w:rsidRPr="00D738E1">
        <w:rPr>
          <w:rStyle w:val="Emphasis"/>
        </w:rPr>
        <w:t>After recognition, settlers use accommodation to show their commitment to reconciliation</w:t>
      </w:r>
      <w:r w:rsidRPr="00D738E1">
        <w:rPr>
          <w:sz w:val="8"/>
        </w:rPr>
        <w:t xml:space="preserve">. Martel et al. (2011) explain “Aboriginalization” or “Indigenization” as the settlers’ response to accommodating First Peoples within settler colonial systems. </w:t>
      </w:r>
      <w:r w:rsidRPr="00D738E1">
        <w:rPr>
          <w:rStyle w:val="Emphasis"/>
        </w:rPr>
        <w:t>Indigenization is used to modify the systems in place to appease First Peoples without having to actually change the structure of a system that has been created to regulate and assimilate First Peoples</w:t>
      </w:r>
      <w:r w:rsidRPr="00D738E1">
        <w:rPr>
          <w:sz w:val="8"/>
        </w:rPr>
        <w:t xml:space="preserve"> (Martel et al., 2011</w:t>
      </w:r>
      <w:r w:rsidRPr="00D738E1">
        <w:rPr>
          <w:rStyle w:val="StyleUnderline"/>
        </w:rPr>
        <w:t xml:space="preserve">). </w:t>
      </w:r>
      <w:r w:rsidRPr="005928B4">
        <w:rPr>
          <w:rStyle w:val="StyleUnderline"/>
          <w:bCs/>
          <w:i/>
          <w:sz w:val="28"/>
          <w:szCs w:val="28"/>
          <w:highlight w:val="cyan"/>
        </w:rPr>
        <w:t xml:space="preserve">This technique gives the illusion that the State is participating in reconciliation while leaving the </w:t>
      </w:r>
      <w:r w:rsidRPr="00D738E1">
        <w:rPr>
          <w:rStyle w:val="StyleUnderline"/>
          <w:bCs/>
          <w:i/>
          <w:sz w:val="28"/>
          <w:szCs w:val="28"/>
        </w:rPr>
        <w:t xml:space="preserve">fundamental </w:t>
      </w:r>
      <w:r w:rsidRPr="005928B4">
        <w:rPr>
          <w:rStyle w:val="StyleUnderline"/>
          <w:bCs/>
          <w:i/>
          <w:sz w:val="28"/>
          <w:szCs w:val="28"/>
          <w:highlight w:val="cyan"/>
        </w:rPr>
        <w:t>structure of the systems and the logics that underpin them in place.</w:t>
      </w:r>
      <w:r w:rsidRPr="00D738E1">
        <w:rPr>
          <w:rStyle w:val="StyleUnderline"/>
        </w:rPr>
        <w:t xml:space="preserve"> This allows the systems to continue producing the status quo and keeps First Peoples at a relative position of disadvantage</w:t>
      </w:r>
      <w:r w:rsidRPr="00D738E1">
        <w:rPr>
          <w:sz w:val="8"/>
        </w:rPr>
        <w:t xml:space="preserve">. The concepts of recognition and accommodation are both compatible with Foucault’s concept of governmentality as they can both be understood as governmental techniques used in the regulation of Indigenous Peoples (I explore the concept of governmentality further in section 3.8). 46 The covert nature of contemporary colonialism coupled with idle promises and superficial apologies leaves an empty and deeply unsettling feeling. </w:t>
      </w:r>
      <w:r w:rsidRPr="00D738E1">
        <w:rPr>
          <w:rStyle w:val="Emphasis"/>
        </w:rPr>
        <w:t xml:space="preserve">Settler colonial relations of power are no longer reproduced primarily through overtly violent or coercive means, but through the asymmetrical exchange of truncated forms of state recognition and accommodation. This makes it more difficult to identify systems and understand how those systems continue to assimilate, oppress, eliminate, or produce new populations of First Peoples. </w:t>
      </w:r>
      <w:r w:rsidRPr="005928B4">
        <w:rPr>
          <w:rStyle w:val="StyleUnderline"/>
          <w:highlight w:val="cyan"/>
        </w:rPr>
        <w:t xml:space="preserve">The elusive nature of contemporary colonialism requires a systematic examination </w:t>
      </w:r>
      <w:r w:rsidRPr="00951516">
        <w:rPr>
          <w:rStyle w:val="StyleUnderline"/>
        </w:rPr>
        <w:t xml:space="preserve">of current systems in order </w:t>
      </w:r>
      <w:r w:rsidRPr="005928B4">
        <w:rPr>
          <w:rStyle w:val="StyleUnderline"/>
          <w:highlight w:val="cyan"/>
        </w:rPr>
        <w:t>to</w:t>
      </w:r>
      <w:r w:rsidRPr="00951516">
        <w:rPr>
          <w:rStyle w:val="StyleUnderline"/>
        </w:rPr>
        <w:t xml:space="preserve"> </w:t>
      </w:r>
      <w:r w:rsidRPr="005928B4">
        <w:rPr>
          <w:rStyle w:val="StyleUnderline"/>
          <w:highlight w:val="cyan"/>
        </w:rPr>
        <w:t>understand how these systems perpetuate Indigenous oppression</w:t>
      </w:r>
      <w:r w:rsidRPr="00D738E1">
        <w:rPr>
          <w:rStyle w:val="Emphasis"/>
        </w:rPr>
        <w:t>.</w:t>
      </w:r>
      <w:r w:rsidRPr="00D738E1">
        <w:rPr>
          <w:sz w:val="8"/>
        </w:rPr>
        <w:t xml:space="preserve"> The concepts of recognition and accommodation are useful in examining CSC’s approach to Indigenous corrections as one example of how Indigenous oppression is perpetuated through seemingly benevolent contemporary settler colonial systems. 3.4 Genealogy There is an assumption that history is linear, and that as years, decades, and centuries pass by, humanity learns from its experiences in a constant state of evolution. There is also an assumption that the current time period, is more progressive and decidedly better than any other period that came before. This is what I call the ‘progression fallacy’. The progression fallacy is the idea that, as a whole, humans are constantly using science, logic, and objective truths to advance as a species. This also has the effect of human beings looking back at historical practices with a sense of moral superiority. We reflect in disbelief as to how humans could have been so apathetic, brutal, or barbaric. Foucault critiques these assumptions through the creation of genealogies. Genealogy is a history of the present; a form of history that challenges traditional 47 histories as well as their implications in the present. Genealogies call into question dominant narratives that have been naturalized over time. Foucault’s version of genealogy “problematizes concepts, practices, logics that have been taken for granted and is meant to leave us with doubt and questions” (Koopman, 2013, p. 60). A genealogy can be used to challenge normalized behaviours, ideas, and logics that exist in the present. In this thesis, I examine something heinous like residential schools and something seemingly benevolent like the culturally-appropriate accommodations within CSC's approach to Indigenous corrections to show how these two manifestations of Indigenous regulation and oppression are linked through the naturalized logics of Western superiority and settler colonial benevolence. History is told as if there is only one singular objective truth, but in reality, there are a multiplicity of truths, discourses, or recounts of the same event. Foucault denounces the idea that history is continuous or represents a single truth. Instead he argues there are a multiplicity of truths that are intertwined throughout history. He used genealogy as an ‘anti-scientific’ methodology to bring to the fore subjugated truths in such works as Discipline and Punish and The History of Sexuality (Vol. 1-3). Discipline and Punish is a genealogy of the modern penal system and in it Foucault describes how power was exercised in the treatment of offenders. In Discipline and Punish Foucault begins by describing in detail the torture and execution of a criminal, Damiens the regicide: he was to be ‘taken and conveyed in a cart, wearing nothing but a shirt, holding a torch of burning wax weighing two pounds’; then, ‘in the said cart, to the Place de Grève, where, on a scaffold that will be erected there, the flesh will be torn from his breasts, arms, thighs and calves with red-hot pincers, his right hand, holding the knife with which 48 he committed the said parricide, burnt with sulphur, and, on those places where the flesh will be torn away, poured molten lead, boiling oil, burning resin, wax and sulphur melted together and then his body drawn and quartered by four horses and his limbs and body consumed by fire, reduced to ashes and his ashes thrown to the winds’ (Pièces originales, pp. 372-374 in Foucault, 1995, p.3) Foucault then contrasts the torture and public execution of Damiens the regicide with a detailed timetable from a prison in Paris 80 years later. The timetable lays out all the activities the prisoners should be participating in throughout their days, including instructions on behaviour: Art. 17. The prisoners’ day will begin at six in the morning in winter and at five in the summer. They will work for nine hours a day throughout the year. Two hours a day will be devoted to instruction. Work and the day will end at nine o’clock in winter and at eight in summer. Art. 18. Rising. At the first drum-roll, the prisoners must rise and dress in silence, as the supervisor opens the cell doors. At the second drum-roll, they must be dressed and make their beds. At the third, they must line up and proceed to the chapel for morning prayer. There is a five-minute interval between each drum-roll. (Faucher, pp. 274-282 in Foucault, 1995, p. 6). Foucault both demonstrates and explains how genealogies are meant to be “disordered and fragmentary” to allow for the emergences of subjugated knowledges and exposure of naturalized logics (Foucault, 1991). In the example above, Foucault places the example of the public torture and execution against the example of the timetable to offer a discussion about how the exertion of power has transformed in the modern penal system (from sovereign to disciplinary power). On 49 the surface, this change could be seen as a move towards more humane practices. This is actually an example of mutating punishment from two different epistemes. In Foucault’s genealogy, he is concerned with understanding what conditions, assumptions, and dominant narratives allow for these types of practices to be developed, implemented, and widely accepted. At times, the public torture and executions incited anger towards the sovereign and sympathy for the criminal (Foucault, 1995). If the public felt that the punishment outweighed the crime, they would rise up in protest against the sovereign (Foucault, 1995). The transition from public torture and execution, to public execution only, to execution behind closed doors, to the eventual elimination of corporal punishment altogether, left less room for the public to protest the punishment and treatment of offenders</w:t>
      </w:r>
      <w:r w:rsidRPr="00D738E1">
        <w:rPr>
          <w:rStyle w:val="StyleUnderline"/>
        </w:rPr>
        <w:t xml:space="preserve">. </w:t>
      </w:r>
      <w:r w:rsidRPr="00D738E1">
        <w:rPr>
          <w:rStyle w:val="StyleUnderline"/>
          <w:sz w:val="16"/>
          <w:szCs w:val="16"/>
        </w:rPr>
        <w:t>During certain historical periods, power was exerted in a way that was obviously violent, which left the door open for rebellion and protest. Whereas now, power can be presented as benevolent, which can have a pacifying effect on the public, making populations easier to govern. Foucault discussed the transition from corporal punishment to the timetable as the transition from sovereign power to disciplinary power. Foucault (1980) is ultimately concerned with how subjects are created and “how things work at the level of ongoing subjugation, at the level of those continuous and uninterrupted processes which subject our bodies, govern our gestures, dictate our behaviours” and how “subjects are gradually, progressively, really and materially constituted through a multiplicity of organisms, forces, energies, materials, desires, thoughts etc.”</w:t>
      </w:r>
      <w:r w:rsidRPr="00D738E1">
        <w:rPr>
          <w:sz w:val="8"/>
        </w:rPr>
        <w:t xml:space="preserve"> (p. 97). Genealogy is type of critical history, that allows for the insurgence of “subjugated knowledges” (Foucault, 1980, p. 81). Foucault (1980) posits “power is war, a war continued by other means” (p. 90). </w:t>
      </w:r>
      <w:r w:rsidRPr="00D738E1">
        <w:rPr>
          <w:rStyle w:val="StyleUnderline"/>
          <w:sz w:val="16"/>
          <w:szCs w:val="16"/>
        </w:rPr>
        <w:t>There is an assumption that political control puts an end to war, but 50 Foucault (1980) would argue political power continues the objectives of war by instilling them in our bodies, institutions, attitudes, and language.</w:t>
      </w:r>
      <w:r w:rsidRPr="00D738E1">
        <w:rPr>
          <w:sz w:val="8"/>
          <w:szCs w:val="16"/>
        </w:rPr>
        <w:t xml:space="preserve"> </w:t>
      </w:r>
      <w:r w:rsidRPr="00D738E1">
        <w:rPr>
          <w:rStyle w:val="Emphasis"/>
          <w:sz w:val="16"/>
          <w:szCs w:val="16"/>
        </w:rPr>
        <w:t>The idea that the war of colonialism has ended because the overt attempts to physically eliminate First Peoples has ended, is erroneous. That is to say, the Doctrine of Discovery, germ warfare, the forced sterilization of Indigenous women, residential schools, the Sixties Scoop, and CSC’s approach to Indigenous corrections are all examples of how Indigenous oppression and regulation have mutated through time.</w:t>
      </w:r>
      <w:r w:rsidRPr="00D738E1">
        <w:rPr>
          <w:sz w:val="8"/>
        </w:rPr>
        <w:t xml:space="preserve"> What we have now that we did not have ‘then’ is the context of time. This allows us to do a rigorous examination of a particular history in order to uncover how subjects are formed through what Foucault (1980) describes as a “multiplicity of organisms, forces, energies, materials, desires, thoughts etc.” (Foucault, 1980, p. 97). A genealogical analysis of a particular history can actually help us begin to parse apart those elements and start to understand how subjects are gradually created through a multitude of techniques (Foucault, 1980). </w:t>
      </w:r>
      <w:r w:rsidRPr="00D738E1">
        <w:rPr>
          <w:rStyle w:val="Emphasis"/>
          <w:sz w:val="16"/>
          <w:szCs w:val="16"/>
        </w:rPr>
        <w:t>Foucault breaks history up into time periods that he calls ‘epistemes’. An episteme is a period of time, a set of unconscious epistemological assumptions, that are deeply ingrained into our psyches and affect the way in which we are able to think about things</w:t>
      </w:r>
      <w:r w:rsidRPr="00D738E1">
        <w:rPr>
          <w:rStyle w:val="Emphasis"/>
        </w:rPr>
        <w:t xml:space="preserve"> </w:t>
      </w:r>
      <w:r w:rsidRPr="00D738E1">
        <w:rPr>
          <w:sz w:val="8"/>
        </w:rPr>
        <w:t xml:space="preserve">(Foucault, 2018). </w:t>
      </w:r>
      <w:r w:rsidRPr="00D738E1">
        <w:rPr>
          <w:rStyle w:val="Emphasis"/>
          <w:sz w:val="16"/>
          <w:szCs w:val="16"/>
        </w:rPr>
        <w:t>All of discourse, the entirety of the way that we think and talk is constrained by a set of background epistemological assumptions that were given to us by the historical and cultural conditions into which we were born.</w:t>
      </w:r>
      <w:r w:rsidRPr="00D738E1">
        <w:rPr>
          <w:sz w:val="8"/>
          <w:szCs w:val="16"/>
        </w:rPr>
        <w:t xml:space="preserve"> </w:t>
      </w:r>
      <w:r w:rsidRPr="00D738E1">
        <w:rPr>
          <w:rStyle w:val="Emphasis"/>
          <w:sz w:val="16"/>
          <w:szCs w:val="16"/>
        </w:rPr>
        <w:t>Epistemes change over time and have different underlying assumptions, codes, and rules (unconscious or structural). Foucault (2018) points out that the knowledge produced during any particular episteme is influenced by the taken for granted attitudes and norms of that time.</w:t>
      </w:r>
      <w:r w:rsidRPr="00D738E1">
        <w:rPr>
          <w:sz w:val="8"/>
        </w:rPr>
        <w:t xml:space="preserve"> 51 In Discipline and Punish</w:t>
      </w:r>
      <w:r w:rsidRPr="00D738E1">
        <w:rPr>
          <w:rStyle w:val="StyleUnderline"/>
        </w:rPr>
        <w:t xml:space="preserve">, </w:t>
      </w:r>
      <w:r w:rsidRPr="00D738E1">
        <w:rPr>
          <w:rStyle w:val="StyleUnderline"/>
          <w:sz w:val="16"/>
          <w:szCs w:val="16"/>
        </w:rPr>
        <w:t>Foucault analyses the practices, techniques, tactics of domination, logics and “the conditions that make these acceptable at a given moment</w:t>
      </w:r>
      <w:r w:rsidRPr="00D738E1">
        <w:rPr>
          <w:sz w:val="8"/>
          <w:szCs w:val="16"/>
        </w:rPr>
        <w:t xml:space="preserve">” (Foucault, 1980 in Gillett, 2018, p.44). Foucault uses genealogy as a way of challenging or critiquing widely accepted narratives. </w:t>
      </w:r>
      <w:r w:rsidRPr="00D738E1">
        <w:rPr>
          <w:rStyle w:val="StyleUnderline"/>
          <w:sz w:val="16"/>
          <w:szCs w:val="16"/>
        </w:rPr>
        <w:t>By calling into question the assumption that the way we do things now is superior to the way things were done in the past, we are able to conduct a critical analysis of power and the way that it is mobilized and used in our current epoch. In order to conduct an analysis of power one must ask how power is exercised.</w:t>
      </w:r>
      <w:r w:rsidRPr="00D738E1">
        <w:rPr>
          <w:sz w:val="8"/>
          <w:szCs w:val="16"/>
        </w:rPr>
        <w:t xml:space="preserve"> When asking this question we find that “power is essentially what it represses” (Foucault, 1980, p. 89). Foucault (1980) first proposes to truly understand and analyze power we must analyze the “mechanisms of repression” (p. 89). His second hypothesis, “that power is war, a war continued by other means” (p.90). This second hypothesis allows us to begin to think about how the war might continue while the mechanisms of war evolve. For example, in the war between the criminal and the sovereign, the war begins with the sovereign torturing and executing Damiens the regicide in a public forum, when the torture and execution ceases, the war continues but is now inscribed in and practiced in the prisoner’s timetable. The original war between the criminal and the sovereign continues, but the tactics of war have changed to reflect the values of the current episteme. In this example, Foucault finds the war is continued through a new form of power. </w:t>
      </w:r>
      <w:r w:rsidRPr="00D738E1">
        <w:rPr>
          <w:rStyle w:val="Emphasis"/>
          <w:sz w:val="16"/>
          <w:szCs w:val="16"/>
        </w:rPr>
        <w:t>Where sovereign power targets the body via brutalization, discipline is a subtler form of power that targets the soul and mind, shaping the person from the inside out. The change from physical war to political power rewrites the principles of war into institutions, language, and customs</w:t>
      </w:r>
      <w:r w:rsidRPr="00D738E1">
        <w:rPr>
          <w:sz w:val="8"/>
          <w:szCs w:val="16"/>
        </w:rPr>
        <w:t xml:space="preserve"> (Foucault, 1980). </w:t>
      </w:r>
      <w:r w:rsidRPr="00D738E1">
        <w:rPr>
          <w:rStyle w:val="StyleUnderline"/>
          <w:sz w:val="16"/>
          <w:szCs w:val="16"/>
        </w:rPr>
        <w:t>In fact, the way power is mobilized in a time of ‘civil peace’ allows 52 for the “disequilibrium of forces displayed in war” (Foucault, 1980, p.90) to be upheld and continued through politics in a more sustainable way. In the context of settler colonialism it is helpful to use Foucault’s genealogy to see how the violence or war of colonialism is continued through institutions, practices, language, or attitudes</w:t>
      </w:r>
      <w:r w:rsidRPr="00D738E1">
        <w:rPr>
          <w:sz w:val="8"/>
          <w:szCs w:val="16"/>
        </w:rPr>
        <w:t xml:space="preserve"> (Foucault, 1980). </w:t>
      </w:r>
      <w:r w:rsidRPr="00D738E1">
        <w:rPr>
          <w:rStyle w:val="Emphasis"/>
          <w:sz w:val="16"/>
          <w:szCs w:val="16"/>
        </w:rPr>
        <w:t>Vestiges of historical tactics of repression are inscribed into our thoughts, language, institutions, and practices.</w:t>
      </w:r>
      <w:r w:rsidRPr="00D738E1">
        <w:rPr>
          <w:sz w:val="8"/>
          <w:szCs w:val="16"/>
        </w:rPr>
        <w:t xml:space="preserve"> Foucault (1980) suggests conducting “an ascending analysis of power” (Foucault, 1980, p.99) beginning with the most minute of mechanisms to see how they are used, transformed, and mobilized in the creation of subjects. I believe Foucault’s genealogy gives an analytical structure that will be useful in identifying historical and present day mechanisms that contribute to the continuous subjugation of Indigenous Peoples and the production of new Indigenous populations. </w:t>
      </w:r>
      <w:r w:rsidRPr="00D738E1">
        <w:rPr>
          <w:rStyle w:val="StyleUnderline"/>
          <w:sz w:val="16"/>
          <w:szCs w:val="16"/>
        </w:rPr>
        <w:t>Historically, there have been more overt tactics used for the oppression, assimilation, and subjugation of First Peoples, but now, in the time of “pseudo-peace” (Foucault, 1980, p. 99) these tactics have become more nuanced and are difficult to identify without rigorous analysis.</w:t>
      </w:r>
      <w:r w:rsidRPr="00D738E1">
        <w:rPr>
          <w:sz w:val="8"/>
          <w:szCs w:val="16"/>
        </w:rPr>
        <w:t xml:space="preserve"> Settlers in Canada are not immune to the historical amnesia that plagues the Western world; we too are guilty of judging our predecessors. We look back on their actions in disgust and think “how could anyone be so cruel, so barbaric, so destructive?”. We think of those responsible for residential schools as contemptible. They represent a way of thinking so egregious we cannot bring ourselves to see the similarities between us and them. But what if we are not so different from these people? What if we continue to use the same logics that allowed for those heinous acts to transpire? Ultimately we are unable to see our own complicity in the continuation of settler colonialism because the techniques we use for dealing with the “Indian problem” have evolved. I argue, </w:t>
      </w:r>
      <w:r w:rsidRPr="00D738E1">
        <w:rPr>
          <w:rStyle w:val="StyleUnderline"/>
          <w:sz w:val="16"/>
          <w:szCs w:val="16"/>
        </w:rPr>
        <w:t>even though the</w:t>
      </w:r>
      <w:r w:rsidRPr="00D738E1">
        <w:rPr>
          <w:sz w:val="8"/>
          <w:szCs w:val="16"/>
        </w:rPr>
        <w:t xml:space="preserve"> 53 </w:t>
      </w:r>
      <w:r w:rsidRPr="00D738E1">
        <w:rPr>
          <w:rStyle w:val="StyleUnderline"/>
          <w:sz w:val="16"/>
          <w:szCs w:val="16"/>
        </w:rPr>
        <w:t xml:space="preserve">contemporary techniques used to regulate Indigenous Peoples have become more covert or nuanced, this is not synonymous with progress or a change in cultural attitudes and values towards First Peoples. </w:t>
      </w:r>
      <w:r w:rsidRPr="00D738E1">
        <w:rPr>
          <w:sz w:val="8"/>
          <w:szCs w:val="16"/>
        </w:rPr>
        <w:t>3.5 Foucault and Colonialism In this thesis, I will not be examining the overt forms</w:t>
      </w:r>
      <w:r w:rsidRPr="00D738E1">
        <w:rPr>
          <w:sz w:val="8"/>
        </w:rPr>
        <w:t xml:space="preserve"> of control, violence, and inequalities that plague First Peoples today. These are well documented and for all intents and purposes are largely undisputed. </w:t>
      </w:r>
      <w:r w:rsidRPr="00D738E1">
        <w:rPr>
          <w:rStyle w:val="Emphasis"/>
        </w:rPr>
        <w:t xml:space="preserve">What I am concerned with are the often overlooked, mundane techniques and mechanisms that regulate Indigenous Peoples and produce new Indigenous subjects and populations. These techniques and mechanisms are ubiquitous and can be found in many different </w:t>
      </w:r>
      <w:r w:rsidRPr="005928B4">
        <w:rPr>
          <w:rStyle w:val="Emphasis"/>
          <w:highlight w:val="cyan"/>
        </w:rPr>
        <w:t xml:space="preserve">policies, programs, and practices. On the surface, </w:t>
      </w:r>
      <w:r w:rsidRPr="00D738E1">
        <w:rPr>
          <w:rStyle w:val="Emphasis"/>
        </w:rPr>
        <w:t xml:space="preserve">they may </w:t>
      </w:r>
      <w:r w:rsidRPr="005928B4">
        <w:rPr>
          <w:rStyle w:val="Emphasis"/>
          <w:highlight w:val="cyan"/>
        </w:rPr>
        <w:t>seem</w:t>
      </w:r>
      <w:r w:rsidRPr="00D738E1">
        <w:rPr>
          <w:rStyle w:val="Emphasis"/>
        </w:rPr>
        <w:t xml:space="preserve"> unremarkable, </w:t>
      </w:r>
      <w:r w:rsidRPr="005928B4">
        <w:rPr>
          <w:rStyle w:val="Emphasis"/>
          <w:highlight w:val="cyan"/>
        </w:rPr>
        <w:t>benevolent</w:t>
      </w:r>
      <w:r w:rsidRPr="00951516">
        <w:rPr>
          <w:rStyle w:val="Emphasis"/>
        </w:rPr>
        <w:t>, or</w:t>
      </w:r>
      <w:r w:rsidRPr="00D738E1">
        <w:rPr>
          <w:rStyle w:val="Emphasis"/>
        </w:rPr>
        <w:t xml:space="preserve"> even reconciliatory, </w:t>
      </w:r>
      <w:r w:rsidRPr="005928B4">
        <w:rPr>
          <w:rStyle w:val="Emphasis"/>
          <w:highlight w:val="cyan"/>
        </w:rPr>
        <w:t xml:space="preserve">but </w:t>
      </w:r>
      <w:r w:rsidRPr="00D738E1">
        <w:rPr>
          <w:rStyle w:val="Emphasis"/>
        </w:rPr>
        <w:t>in reality they</w:t>
      </w:r>
      <w:r w:rsidRPr="005928B4">
        <w:rPr>
          <w:rStyle w:val="Emphasis"/>
          <w:highlight w:val="cyan"/>
        </w:rPr>
        <w:t xml:space="preserve"> </w:t>
      </w:r>
      <w:r w:rsidRPr="005928B4">
        <w:rPr>
          <w:rStyle w:val="Emphasis"/>
          <w:sz w:val="28"/>
          <w:szCs w:val="28"/>
          <w:highlight w:val="cyan"/>
        </w:rPr>
        <w:t xml:space="preserve">are steeped in settler colonial rationalities </w:t>
      </w:r>
      <w:r w:rsidRPr="00951516">
        <w:rPr>
          <w:rStyle w:val="Emphasis"/>
          <w:sz w:val="28"/>
          <w:szCs w:val="28"/>
        </w:rPr>
        <w:t>and cause</w:t>
      </w:r>
      <w:r w:rsidRPr="00D738E1">
        <w:rPr>
          <w:rStyle w:val="Emphasis"/>
        </w:rPr>
        <w:t xml:space="preserve"> just as much harm, if not </w:t>
      </w:r>
      <w:r w:rsidRPr="00951516">
        <w:rPr>
          <w:rStyle w:val="Emphasis"/>
          <w:sz w:val="28"/>
          <w:szCs w:val="28"/>
        </w:rPr>
        <w:t>more harm</w:t>
      </w:r>
      <w:r w:rsidRPr="005928B4">
        <w:rPr>
          <w:rStyle w:val="Emphasis"/>
          <w:highlight w:val="cyan"/>
        </w:rPr>
        <w:t>,</w:t>
      </w:r>
      <w:r w:rsidRPr="00D738E1">
        <w:rPr>
          <w:rStyle w:val="Emphasis"/>
        </w:rPr>
        <w:t xml:space="preserve"> than their more overtly violent counterparts.</w:t>
      </w:r>
      <w:r w:rsidRPr="00D738E1">
        <w:rPr>
          <w:sz w:val="8"/>
        </w:rPr>
        <w:t xml:space="preserve"> In recent years, a lot of attention has been placed on the violent acts aimed at Indigenous children within residential schools. Exposing these atrocities has served to validate the lived experiences of survivors and the descendants of those survivors. This is long overdue and has value in and of itself. Now, there is a push towards (re)conciliation. For many this means: including the history of residential schools in our shared history, making reparations, and moving forward. Unfortunately, this fails to address how settler colonialism continues today and how it is woven into the fabric of our society. Foucault’s concepts of discipline, biopower, and governmentality can help us understand how Indigenous Peoples are regulated and Indigenous subjects and populations are produced in our current epoch using of CSC’s approach to Indigenous 54 corrections as an example. Although Foucault discusses these different forms of power at different times in his life, one does not replace the next. They can actually exist simultaneously and interact with one another. He explains, </w:t>
      </w:r>
      <w:r w:rsidRPr="00D738E1">
        <w:rPr>
          <w:rStyle w:val="StyleUnderline"/>
        </w:rPr>
        <w:t>“if one wants to analyze the genealogy of the subject in Western civilization, he has to take into account not only techniques of domination but also techniques of the self</w:t>
      </w:r>
      <w:r w:rsidRPr="00D738E1">
        <w:rPr>
          <w:sz w:val="8"/>
        </w:rPr>
        <w:t xml:space="preserve">” (Foucault, 1991, p. 203). He goes on to explain that </w:t>
      </w:r>
      <w:r w:rsidRPr="00D738E1">
        <w:rPr>
          <w:rStyle w:val="Emphasis"/>
        </w:rPr>
        <w:t>it is possible for techniques of the self to be integrated into “structures of coercion and domination”</w:t>
      </w:r>
      <w:r w:rsidRPr="00D738E1">
        <w:rPr>
          <w:sz w:val="8"/>
        </w:rPr>
        <w:t xml:space="preserve"> (Foucault, 1991, p. 203). In this section, I will explain Foucault’s concepts of disciplinary power, biopower, and finally governmentality. 3.6 Disciplinary Power In Foucault’s (1995) key text Discipline &amp; Punish he outlines the development of the modern penal system to demonstrate how punishment and the treatment of offenders has changed over time. Foucault begins by describing how punishment was once directed at the body (i.e. public executions) through sovereign power. </w:t>
      </w:r>
      <w:r w:rsidRPr="00951516">
        <w:rPr>
          <w:rStyle w:val="StyleUnderline"/>
          <w:bCs/>
          <w:sz w:val="28"/>
          <w:szCs w:val="28"/>
        </w:rPr>
        <w:t xml:space="preserve">Through time, punishment </w:t>
      </w:r>
      <w:r w:rsidRPr="00D738E1">
        <w:rPr>
          <w:rStyle w:val="StyleUnderline"/>
          <w:bCs/>
          <w:sz w:val="28"/>
          <w:szCs w:val="28"/>
        </w:rPr>
        <w:t xml:space="preserve">moved away from the body </w:t>
      </w:r>
      <w:r w:rsidRPr="00951516">
        <w:rPr>
          <w:rStyle w:val="StyleUnderline"/>
          <w:bCs/>
          <w:sz w:val="28"/>
          <w:szCs w:val="28"/>
        </w:rPr>
        <w:t>and was redirected at the mind and soul</w:t>
      </w:r>
      <w:r w:rsidRPr="00D738E1">
        <w:rPr>
          <w:rStyle w:val="StyleUnderline"/>
        </w:rPr>
        <w:t xml:space="preserve"> through disciplinary power. The body is no longer manipulated directly, but indirectly through a series of techniques</w:t>
      </w:r>
      <w:r w:rsidRPr="00D738E1">
        <w:rPr>
          <w:sz w:val="8"/>
        </w:rPr>
        <w:t xml:space="preserve"> such as: timetables and drills. </w:t>
      </w:r>
      <w:r w:rsidRPr="00D738E1">
        <w:rPr>
          <w:rStyle w:val="StyleUnderline"/>
        </w:rPr>
        <w:t xml:space="preserve">The concept of discipline has been used to explain how a number of systems and institutions are successful in controlling human behaviour. </w:t>
      </w:r>
      <w:r w:rsidRPr="005928B4">
        <w:rPr>
          <w:rStyle w:val="Emphasis"/>
          <w:highlight w:val="cyan"/>
        </w:rPr>
        <w:t>Discipline creates subjects who are not only predictable but also docile.</w:t>
      </w:r>
      <w:r w:rsidRPr="00D738E1">
        <w:rPr>
          <w:rStyle w:val="StyleUnderline"/>
        </w:rPr>
        <w:t xml:space="preserve"> </w:t>
      </w:r>
      <w:r w:rsidRPr="00D738E1">
        <w:rPr>
          <w:sz w:val="8"/>
        </w:rPr>
        <w:t xml:space="preserve">This concept is important when discussing CSC’s approach to Indigenous corrections to see how seemingly benevolent or reconciliatory acts are used to discipline Indigenous Peoples. Foucault (1995) identifies three main ways disciplinary power is exercised: hierarchal observation, normalizing judgment, and the examination. 55 Hierarchal observation Foucault discusses how the surveillance of individuals can serve as a form of discipline. Foucault (1977) uses the example of prisons to demonstrate how the surveillance of individuals can shape behaviour. Foucault examines Jeremy Bentham’s architectural design, the ‘panopticon’: “The perfect disciplinary apparatus would make it possible for a single gaze to see everything constantly… a perfect eye that nothing would escape and a centre towards which all gazes would be turned” (Foucault, 1995, p. 173). The panopticon uses hierarchal observation by positioning guards in the middle of the prison where they have a 360 degree view of all the prisoners. In this structure, prisoners are aware that they are being watched at all times. This has a soul-training effect on the prisoners as they learn to self-discipline in order to avoid punishment. Foucault explains (1995) “an architecture that is no longer built simply to be seen… but to permit an internal, articulated and detailed control – to render visible those who are inside it” (p. 172). </w:t>
      </w:r>
      <w:r w:rsidRPr="00D738E1">
        <w:rPr>
          <w:rStyle w:val="StyleUnderline"/>
        </w:rPr>
        <w:t xml:space="preserve">Observation is used in a multitude of ways in our society to discipline individuals and shape their behaviour. Normalizing judgement is the set of standards that serves as a way of categorizing individuals. </w:t>
      </w:r>
      <w:r w:rsidRPr="00D738E1">
        <w:rPr>
          <w:rStyle w:val="Emphasis"/>
        </w:rPr>
        <w:t>This outlines acceptable or 'normal' behaviour and differentiates it from ‘other’ or unacceptable types of behaviour. These behaviours are understood as normal and acceptable, those who conform to these rules are rewarded and those who do not are punished.</w:t>
      </w:r>
      <w:r w:rsidRPr="00D738E1">
        <w:rPr>
          <w:sz w:val="8"/>
        </w:rPr>
        <w:t xml:space="preserve"> The normalizing judgement “measures in quantitative terms and hierarchizes in terms of value the abilities, the level, the ‘nature’ of individuals. It introduces, through this ‘value-giving’ measure, the constraint of a conformity that must be achieved” (Foucault, 1995, p. 183). 56 The Examination The examination is combination of hierarchical observation and normalizing judgement. In fact, “it is a normalizing gaze, a surveillance that makes it possible to qualify, to classify and to punish" (Foucault, 1995, p. 184). Information is collected about the subject by way of surveillance and then measured against what is deemed ‘normal’. Subjects are separated into groups through a process Foucault calls ‘dividing practices’. This is a process where “the subject is either divided inside himself or divided from others. This process objectivizes him. Examples are the mad and the sane, the sick and the healthy, the criminals from the “good boys” (Foucault, 1982, p. 208). The examination reduces each individual into a case that can be observed, separated into parts, evaluated, categorized, and ranked. Foucault (1993) explains “he may be described, judged, measured, compared with others, in his very individuality; and it is also the individual who has to be trained or corrected, classified, normalized, excluded" (p. 191). 3.7 Biopower In the History of Sexuality, Foucault (1978) describes biopower as a form of power that moves away from sovereign power’s to ‘make die and let live’ towards ‘make live and let die’. </w:t>
      </w:r>
      <w:r w:rsidRPr="00D738E1">
        <w:rPr>
          <w:rStyle w:val="StyleUnderline"/>
        </w:rPr>
        <w:t>Unlike sovereign power where there is the threat of death or violence, biopower centres around the management of aspects of life. Biopower includes three main elements:</w:t>
      </w:r>
      <w:r w:rsidRPr="00D738E1">
        <w:rPr>
          <w:sz w:val="8"/>
        </w:rPr>
        <w:t xml:space="preserve"> </w:t>
      </w:r>
      <w:r w:rsidRPr="00D738E1">
        <w:rPr>
          <w:rStyle w:val="Emphasis"/>
        </w:rPr>
        <w:t xml:space="preserve">(1) truth discourses, produced by authorities who are considered experts, about the ‘vital’ character of living human beings; (2) Techniques for intervening on a collective (i.e. a race, an ethnicity, a gender) for the purpose of improving life and health; (3) </w:t>
      </w:r>
      <w:r w:rsidRPr="00D738E1">
        <w:rPr>
          <w:rStyle w:val="StyleUnderline"/>
        </w:rPr>
        <w:t>Finally, modes of subjectification, through which individuals are brought to work on themselves, under certain forms of authority, in relation truth discourses, by means of practices of the self, in the name of their own life or health, that of their family or some other collectivity, or indeed in the name of the life or health of the population as a whole</w:t>
      </w:r>
      <w:r w:rsidRPr="00D738E1">
        <w:rPr>
          <w:sz w:val="8"/>
        </w:rPr>
        <w:t xml:space="preserve"> (Ranibow &amp; Rose, 2006, p. 197). </w:t>
      </w:r>
      <w:r w:rsidRPr="005928B4">
        <w:rPr>
          <w:rStyle w:val="Emphasis"/>
          <w:highlight w:val="cyan"/>
        </w:rPr>
        <w:t>Subjectification works through freedom</w:t>
      </w:r>
      <w:r w:rsidRPr="00D738E1">
        <w:rPr>
          <w:rStyle w:val="Emphasis"/>
        </w:rPr>
        <w:t>. It shapes human behaviour from a distance and encourages subjects to work on themselves without the threat of punishment or death.</w:t>
      </w:r>
      <w:r w:rsidRPr="00D738E1">
        <w:rPr>
          <w:sz w:val="8"/>
        </w:rPr>
        <w:t xml:space="preserve"> </w:t>
      </w:r>
      <w:r w:rsidRPr="00D738E1">
        <w:rPr>
          <w:rStyle w:val="StyleUnderline"/>
        </w:rPr>
        <w:t xml:space="preserve">The iron fist of the sovereign is no longer acceptable. The more nuanced biopolitical strategies of subjectification allows for the governance of collectivities without the risk of political backlash. </w:t>
      </w:r>
      <w:r w:rsidRPr="00D738E1">
        <w:rPr>
          <w:sz w:val="8"/>
        </w:rPr>
        <w:t xml:space="preserve">Subjectification allows for the development of techniques which encourage subjects to become more self-aware as they observe, reflect, and manage themselves. </w:t>
      </w:r>
      <w:r w:rsidRPr="00D738E1">
        <w:rPr>
          <w:rStyle w:val="StyleUnderline"/>
          <w:bCs/>
        </w:rPr>
        <w:t>Subjectification is the process by which human beings are made subjects by working on themselves and aligning themselves according to truth discourses that exist in the market and are dictated by authorities and experts.</w:t>
      </w:r>
      <w:r w:rsidRPr="00D738E1">
        <w:rPr>
          <w:rStyle w:val="StyleUnderline"/>
        </w:rPr>
        <w:t xml:space="preserve"> Foucault (1983) explains subjectification as “the way a human being turns him- or herself into a subject”</w:t>
      </w:r>
      <w:r w:rsidRPr="00D738E1">
        <w:rPr>
          <w:sz w:val="8"/>
        </w:rPr>
        <w:t xml:space="preserve"> (p. 208). Individual turns themselves into subjects through technologies of the self, by knowing themselves, and then acting on themselves to bring themselves in line with the social, cultural, political truth discourses of the time. Foucault describes technologies of the self as techniques that allow individuals to effect by their own means or with the help of others a certain number of operations on their bodies and souls, thoughts, conduct and ways of being, so as to transform themselves in order to attain a certain state of happiness, purity, wisdom, perfection or immorality (Foucault, 1988, p. 18). 58 A subject must know themselves in order to be able to govern themselves. </w:t>
      </w:r>
      <w:r w:rsidRPr="00D738E1">
        <w:rPr>
          <w:rStyle w:val="StyleUnderline"/>
        </w:rPr>
        <w:t>Knowing oneself and knowing what one ought to be changes through time and from one social, cultural, political formation to the next. In other words, subjectification is a form of power that applies itself to immediate everyday life which categorizes the individual, marks him by his own individuality, attaches himself to his identity, imposes a law of truth on him which he must recognize and which others have to recognize in him. It is a form of power which makes individuals subjects</w:t>
      </w:r>
      <w:r w:rsidRPr="00D738E1">
        <w:rPr>
          <w:sz w:val="8"/>
        </w:rPr>
        <w:t xml:space="preserve"> (Foucault, 1982, p. 212). </w:t>
      </w:r>
      <w:r w:rsidRPr="00D738E1">
        <w:rPr>
          <w:rStyle w:val="StyleUnderline"/>
          <w:bCs/>
        </w:rPr>
        <w:t>A subject constitutes themselves according to models and ways of acting that are</w:t>
      </w:r>
      <w:r w:rsidRPr="00D738E1">
        <w:rPr>
          <w:rStyle w:val="StyleUnderline"/>
        </w:rPr>
        <w:t xml:space="preserve"> “proposed, suggested, </w:t>
      </w:r>
      <w:r w:rsidRPr="00D738E1">
        <w:rPr>
          <w:rStyle w:val="StyleUnderline"/>
          <w:bCs/>
        </w:rPr>
        <w:t>imposed upon him by his</w:t>
      </w:r>
      <w:r w:rsidRPr="00D738E1">
        <w:rPr>
          <w:rStyle w:val="StyleUnderline"/>
        </w:rPr>
        <w:t xml:space="preserve"> culture, his </w:t>
      </w:r>
      <w:r w:rsidRPr="00D738E1">
        <w:rPr>
          <w:rStyle w:val="StyleUnderline"/>
          <w:bCs/>
        </w:rPr>
        <w:t>society</w:t>
      </w:r>
      <w:r w:rsidRPr="00D738E1">
        <w:rPr>
          <w:rStyle w:val="StyleUnderline"/>
        </w:rPr>
        <w:t>, and his social group”</w:t>
      </w:r>
      <w:r w:rsidRPr="00D738E1">
        <w:rPr>
          <w:sz w:val="8"/>
        </w:rPr>
        <w:t xml:space="preserve"> (Foucault, 1988, 291). </w:t>
      </w:r>
      <w:r w:rsidRPr="00D738E1">
        <w:rPr>
          <w:rStyle w:val="StyleUnderline"/>
        </w:rPr>
        <w:t xml:space="preserve">Unlike disciplinary power where the subject is under constant surveillance and every aspect of their environment is controlled (i.e. space, time, activities), </w:t>
      </w:r>
      <w:r w:rsidRPr="005928B4">
        <w:rPr>
          <w:rStyle w:val="StyleUnderline"/>
          <w:highlight w:val="cyan"/>
        </w:rPr>
        <w:t>biopower seeks to govern from a distance, putting truth discourses in place in order to structure the administration of life,</w:t>
      </w:r>
      <w:r w:rsidRPr="00D738E1">
        <w:rPr>
          <w:rStyle w:val="StyleUnderline"/>
        </w:rPr>
        <w:t xml:space="preserve"> which in turn guides and encourages subjects to want to work on themselves.</w:t>
      </w:r>
      <w:r w:rsidRPr="00D738E1">
        <w:rPr>
          <w:sz w:val="8"/>
        </w:rPr>
        <w:t xml:space="preserve"> Biopower seeks to know populations of people rather than individuals and uses science and statistics to gain knowledge about populations. Statistics produces norms and standards which can be used to judge people. Based on these norms, subjects become grouped into collectivities to make them easier to manage. These collectivities, although arbitrary, come to be seen as real. </w:t>
      </w:r>
      <w:r w:rsidRPr="00D738E1">
        <w:rPr>
          <w:rStyle w:val="Emphasis"/>
        </w:rPr>
        <w:t>Techniques such as, administrative policies, programs, and initiatives are then developed to target ‘problem’ collectivities who fall outside of what is considered normal</w:t>
      </w:r>
      <w:r w:rsidRPr="00D738E1">
        <w:rPr>
          <w:sz w:val="8"/>
        </w:rPr>
        <w:t xml:space="preserve"> (Oksala, 2013). </w:t>
      </w:r>
      <w:r w:rsidRPr="00D738E1">
        <w:rPr>
          <w:rStyle w:val="Emphasis"/>
        </w:rPr>
        <w:t xml:space="preserve">In the context of settler colonialism, there are a number of different biopolitical techniques used to influence the behaviour of Indigenous Peoples. Biopower is used to promote the physical and mental health of Indigenous Peoples through specific campaigns which target Indigenous populations. </w:t>
      </w:r>
      <w:r w:rsidRPr="005928B4">
        <w:rPr>
          <w:rStyle w:val="Emphasis"/>
          <w:highlight w:val="cyan"/>
        </w:rPr>
        <w:t>This demonstrates how power is not always repressive, but can also be productive.</w:t>
      </w:r>
      <w:r w:rsidRPr="00D738E1">
        <w:rPr>
          <w:sz w:val="8"/>
        </w:rPr>
        <w:t xml:space="preserve"> Power is neutral. It is not good or bad, but can produce harmful results. </w:t>
      </w:r>
      <w:r w:rsidRPr="00D738E1">
        <w:rPr>
          <w:rStyle w:val="Emphasis"/>
        </w:rPr>
        <w:t>This is why it is important to vigorously examine not only the technologies of power, but also the truth discourses justifying them</w:t>
      </w:r>
      <w:r w:rsidRPr="00D738E1">
        <w:rPr>
          <w:sz w:val="8"/>
        </w:rPr>
        <w:t xml:space="preserve"> (Lemke, 2016). Indigenous prisoners have become the object of investigation, they are surveilled and studied in order to be understood. Once understood, they can be managed. </w:t>
      </w:r>
      <w:r w:rsidRPr="00D738E1">
        <w:rPr>
          <w:rStyle w:val="StyleUnderline"/>
        </w:rPr>
        <w:t>Biopolitical strategies target Indigenous populations as a collectivity and are used to regulate different aspects of Indigenous Peoples lives. The techniques of regulation are justified by truth discourses produced by experts which make Indigenous Peoples objects of governance</w:t>
      </w:r>
      <w:r w:rsidRPr="00D738E1">
        <w:rPr>
          <w:sz w:val="8"/>
        </w:rPr>
        <w:t xml:space="preserve"> (Lindroth, 2014). </w:t>
      </w:r>
      <w:r w:rsidRPr="00D738E1">
        <w:rPr>
          <w:rStyle w:val="Emphasis"/>
        </w:rPr>
        <w:t>Although there is a focus on how settler colonialism eliminates Indigenous Peoples, it is also productive</w:t>
      </w:r>
      <w:r w:rsidRPr="00D738E1">
        <w:rPr>
          <w:sz w:val="8"/>
        </w:rPr>
        <w:t xml:space="preserve">. Morgensen (2011) argues </w:t>
      </w:r>
      <w:r w:rsidRPr="00D738E1">
        <w:rPr>
          <w:rStyle w:val="Emphasis"/>
        </w:rPr>
        <w:t xml:space="preserve">settler colonialism produces life as it amalgamates Indigenous Peoples and absorbs them into the body of the settler nation. I argue settler colonialism uses biopower to produce new populations of Indigenous Peoples that are easier to govern. Biopower is also used to create an Indigenous identity that is palatable and recognizable to settlers </w:t>
      </w:r>
      <w:r w:rsidRPr="00D738E1">
        <w:rPr>
          <w:sz w:val="8"/>
        </w:rPr>
        <w:t xml:space="preserve">(Fullenwieder, 2018). I discuss how biopower is used in CSC's approach to Indigenous corrections to produce new populations of Indigenous Peoples in Chapter 4. 3.8 Governmentality </w:t>
      </w:r>
      <w:r w:rsidRPr="00D738E1">
        <w:rPr>
          <w:rStyle w:val="StyleUnderline"/>
        </w:rPr>
        <w:t xml:space="preserve">Governmentality tends to use administrative and managerial techniques when exercising power; decisions about what techniques are used are based on </w:t>
      </w:r>
      <w:r w:rsidRPr="00D738E1">
        <w:rPr>
          <w:sz w:val="8"/>
        </w:rPr>
        <w:t xml:space="preserve">‘scientific' </w:t>
      </w:r>
      <w:r w:rsidRPr="00D738E1">
        <w:rPr>
          <w:rStyle w:val="Emphasis"/>
        </w:rPr>
        <w:t>knowledge. However, the knowledge used is not neutral, but a way for government to justify their decisions as logical and rational</w:t>
      </w:r>
      <w:r w:rsidRPr="00D738E1">
        <w:rPr>
          <w:sz w:val="8"/>
        </w:rPr>
        <w:t xml:space="preserve"> (Oksala, 2013). </w:t>
      </w:r>
      <w:r w:rsidRPr="00D738E1">
        <w:rPr>
          <w:rStyle w:val="StyleUnderline"/>
        </w:rPr>
        <w:t>Where biopower can help us understand how the management of Indigenous Peoples has changed and transformed over time, governmentality helps us see not only the governmental technologies that are used to manage Indigenous Peoples, but also the political rationalities that serve as the justification for those techniques.</w:t>
      </w:r>
      <w:r w:rsidRPr="00D738E1">
        <w:rPr>
          <w:sz w:val="8"/>
        </w:rPr>
        <w:t xml:space="preserve"> In this project, I adopt governmentality as an analytic tool to help explain how new populations of Indigenous Peoples are being produced through CSC’s approach to Indigenous corrections. This will also allow us to see what ‘problem’ CSC is attempting to solve and what political rationalities are being used to justify this approach. Once we understand this, we can see a continuity of rationalities by linking the political rationalities used within residential schools with those used in CSC’s approach to Indigenous corrections. Governmentality is a concept coined by Foucault that combines “gouverne” (to govern) and “mentalité” (mentality). Foucault (1991) uses this concept to explain how power is exercised through political practices and techniques to solve particular problems (gouverne) and what rationalities are used to justify those techniques (mentalité). </w:t>
      </w:r>
      <w:r w:rsidRPr="005928B4">
        <w:rPr>
          <w:rStyle w:val="StyleUnderline"/>
          <w:highlight w:val="cyan"/>
        </w:rPr>
        <w:t>Governmental power works through a web</w:t>
      </w:r>
      <w:r w:rsidRPr="00D738E1">
        <w:rPr>
          <w:rStyle w:val="StyleUnderline"/>
        </w:rPr>
        <w:t xml:space="preserve"> of programs, </w:t>
      </w:r>
      <w:r w:rsidRPr="005928B4">
        <w:rPr>
          <w:rStyle w:val="StyleUnderline"/>
          <w:highlight w:val="cyan"/>
        </w:rPr>
        <w:t>policies,</w:t>
      </w:r>
      <w:r w:rsidRPr="00D738E1">
        <w:rPr>
          <w:rStyle w:val="StyleUnderline"/>
        </w:rPr>
        <w:t xml:space="preserve"> and </w:t>
      </w:r>
      <w:r w:rsidRPr="005928B4">
        <w:rPr>
          <w:rStyle w:val="StyleUnderline"/>
          <w:highlight w:val="cyan"/>
        </w:rPr>
        <w:t>strategies to shape the conduct and beliefs of populations to achieve desired results</w:t>
      </w:r>
      <w:r w:rsidRPr="00D738E1">
        <w:rPr>
          <w:rStyle w:val="StyleUnderline"/>
        </w:rPr>
        <w:t xml:space="preserve">. One way of understanding governmentality is the combination of “political rationalities” and “governmental technologies” </w:t>
      </w:r>
      <w:r w:rsidRPr="00D738E1">
        <w:rPr>
          <w:sz w:val="8"/>
        </w:rPr>
        <w:t xml:space="preserve">(Rose &amp; Miller, 2010, p. 273). </w:t>
      </w:r>
      <w:r w:rsidRPr="00D738E1">
        <w:rPr>
          <w:rStyle w:val="StyleUnderline"/>
        </w:rPr>
        <w:t xml:space="preserve">Political rationalities are the “the moral justifications for particular ways of exercising power” </w:t>
      </w:r>
      <w:r w:rsidRPr="00D738E1">
        <w:rPr>
          <w:sz w:val="8"/>
        </w:rPr>
        <w:t xml:space="preserve">(Rose &amp; Miller, 2010, p. 273) </w:t>
      </w:r>
      <w:r w:rsidRPr="00D738E1">
        <w:rPr>
          <w:rStyle w:val="StyleUnderline"/>
        </w:rPr>
        <w:t>and governmental technologies are “ the complex of mundane programmes, calculations, techniques, apparatuses, documents and procedures through which authorities seek to embody and give effect to governmental ambitions"</w:t>
      </w:r>
      <w:r w:rsidRPr="00D738E1">
        <w:rPr>
          <w:sz w:val="8"/>
        </w:rPr>
        <w:t xml:space="preserve"> (Rose &amp; Miller, 2010, p. 274). </w:t>
      </w:r>
      <w:r w:rsidRPr="00D738E1">
        <w:rPr>
          <w:rStyle w:val="Emphasis"/>
        </w:rPr>
        <w:t>Matsunaga (2021) describes governmentality as “a concept that describes a form of power that focuses on the conduct or management of populations in order to produce and strengthen the notion and function of the state”</w:t>
      </w:r>
      <w:r w:rsidRPr="00D738E1">
        <w:rPr>
          <w:sz w:val="8"/>
        </w:rPr>
        <w:t xml:space="preserve"> (p. 5). </w:t>
      </w:r>
      <w:r w:rsidRPr="005928B4">
        <w:rPr>
          <w:rStyle w:val="StyleUnderline"/>
          <w:highlight w:val="cyan"/>
        </w:rPr>
        <w:t xml:space="preserve">Governmentality </w:t>
      </w:r>
      <w:r w:rsidRPr="00D738E1">
        <w:rPr>
          <w:rStyle w:val="StyleUnderline"/>
        </w:rPr>
        <w:t>can be found in the mundane procedures, techniques, practices, programs, and policies that</w:t>
      </w:r>
      <w:r w:rsidRPr="005928B4">
        <w:rPr>
          <w:rStyle w:val="StyleUnderline"/>
          <w:highlight w:val="cyan"/>
        </w:rPr>
        <w:t xml:space="preserve"> produce willing participants in their own subjectivity</w:t>
      </w:r>
      <w:r w:rsidRPr="00D738E1">
        <w:rPr>
          <w:sz w:val="8"/>
        </w:rPr>
        <w:t xml:space="preserve">. In order to discuss governmentality, we must understand what Foucault meant by government. Generally speaking, government is often seen as synonymous with the State. However, Foucault does not use the term government in this way. Instead, Foucault sees government as a “variety of authorities [which] govern in different sites, in relation to different objectives” (Rose, O’Malley, &amp; Valverde, 2006, p. 85). </w:t>
      </w:r>
      <w:r w:rsidRPr="00D738E1">
        <w:rPr>
          <w:rStyle w:val="Emphasis"/>
        </w:rPr>
        <w:t>It also encompasses “tactics, strategies, calculations, reflections and programmes” that direct and influence the conduct of individuals</w:t>
      </w:r>
      <w:r w:rsidRPr="00D738E1">
        <w:rPr>
          <w:sz w:val="8"/>
        </w:rPr>
        <w:t xml:space="preserve"> (Rimke, 2000, p. 71). Foucault moves away from demonizing the State or particular actors, as this will result in condemnation without an understanding of how those acts came to be. Instead I will focus on how political rationalities identify and define problems and then how those problems are then managed through a multiplicity of techniques and procedures. </w:t>
      </w:r>
      <w:r w:rsidRPr="00D738E1">
        <w:rPr>
          <w:rStyle w:val="StyleUnderline"/>
        </w:rPr>
        <w:t>The goal is not to uncover potentially concealed motives or agendas of the authorities making these decisions, but rather to observe what techniques authorities use to exercise power and what rationalities they use to justify those particular choices</w:t>
      </w:r>
      <w:r w:rsidRPr="00D738E1">
        <w:rPr>
          <w:sz w:val="8"/>
        </w:rPr>
        <w:t xml:space="preserve"> (Rose &amp; Miller, 2010). </w:t>
      </w:r>
      <w:r w:rsidRPr="00D738E1">
        <w:rPr>
          <w:rStyle w:val="Emphasis"/>
        </w:rPr>
        <w:t>This allows us to examine techniques which are not only overtly violent or harmful, but also examine techniques which are seemingly helpful or benevolent.</w:t>
      </w:r>
      <w:r w:rsidRPr="00D738E1">
        <w:rPr>
          <w:sz w:val="8"/>
        </w:rPr>
        <w:t xml:space="preserve"> Media outlets, activists, and even academics often point to abuses of power or neglect by the State when discussing racism and contemporary colonialism. In many of the reports about residential schools, there is a focus or fixation on the death of children in care, and the sexual and physical abuse many survivors endured while living at the schools. </w:t>
      </w:r>
      <w:r w:rsidRPr="00D738E1">
        <w:rPr>
          <w:rStyle w:val="Emphasis"/>
        </w:rPr>
        <w:t>This fixation on these offences individuates the acts and places the blame on singular actors. It also obfuscates the naturalized settler colonial rationalities that underpin the decisions made that determine how to ‘help’ or ‘deal with’ Indigenous Peoples.</w:t>
      </w:r>
      <w:r w:rsidRPr="00D738E1">
        <w:rPr>
          <w:sz w:val="8"/>
        </w:rPr>
        <w:t xml:space="preserve"> Fullenwieder (2018) explains </w:t>
      </w:r>
      <w:r w:rsidRPr="00D738E1">
        <w:rPr>
          <w:rStyle w:val="Emphasis"/>
        </w:rPr>
        <w:t>“</w:t>
      </w:r>
      <w:r w:rsidRPr="005928B4">
        <w:rPr>
          <w:rStyle w:val="Emphasis"/>
          <w:sz w:val="28"/>
          <w:szCs w:val="28"/>
          <w:highlight w:val="cyan"/>
        </w:rPr>
        <w:t>settler colonial biopower conceals the logic of elimination</w:t>
      </w:r>
      <w:r w:rsidRPr="00D738E1">
        <w:rPr>
          <w:rStyle w:val="Emphasis"/>
        </w:rPr>
        <w:t xml:space="preserve">, to the will or power to kill, </w:t>
      </w:r>
      <w:r w:rsidRPr="005928B4">
        <w:rPr>
          <w:rStyle w:val="Emphasis"/>
          <w:sz w:val="28"/>
          <w:szCs w:val="28"/>
          <w:highlight w:val="cyan"/>
        </w:rPr>
        <w:t>by investing the development of Indigenous populations through health, identity, and legal cultivation</w:t>
      </w:r>
      <w:r w:rsidRPr="00D738E1">
        <w:rPr>
          <w:rStyle w:val="Emphasis"/>
        </w:rPr>
        <w:t xml:space="preserve"> of that category”</w:t>
      </w:r>
      <w:r w:rsidRPr="00D738E1">
        <w:rPr>
          <w:sz w:val="8"/>
        </w:rPr>
        <w:t xml:space="preserve"> (p. 427). </w:t>
      </w:r>
      <w:r w:rsidRPr="00D738E1">
        <w:rPr>
          <w:rStyle w:val="Emphasis"/>
        </w:rPr>
        <w:t>Although it is important to denounce overt forms of harm, this does not move things forward in regard to the treatment of First Peoples. In fact, when we focus solely on overt forms of discrimination, we unintentionally minimize these everyday practices of Indigenous oppression that can be just as, if not more harmful than overt forms of harm.</w:t>
      </w:r>
      <w:r w:rsidRPr="00D738E1">
        <w:rPr>
          <w:sz w:val="8"/>
        </w:rPr>
        <w:t xml:space="preserve"> If we single out or demonize specific actors, specific institutions, or even the State, </w:t>
      </w:r>
      <w:r w:rsidRPr="00D738E1">
        <w:rPr>
          <w:rStyle w:val="Emphasis"/>
        </w:rPr>
        <w:t>we are missing the thread of settler colonial logics which passes through all of our minds, all of our institutions, and the entirety of our society</w:t>
      </w:r>
      <w:r w:rsidRPr="00D738E1">
        <w:rPr>
          <w:sz w:val="8"/>
        </w:rPr>
        <w:t xml:space="preserve">. </w:t>
      </w:r>
      <w:r w:rsidRPr="00D738E1">
        <w:rPr>
          <w:rStyle w:val="StyleUnderline"/>
        </w:rPr>
        <w:t>These settler colonial logics have been naturalized through centuries of Indigenous oppression and if left unchallenged will continue to produce devastating results</w:t>
      </w:r>
      <w:r w:rsidRPr="00D738E1">
        <w:rPr>
          <w:sz w:val="8"/>
        </w:rPr>
        <w:t xml:space="preserve">. </w:t>
      </w:r>
      <w:r w:rsidRPr="00D738E1">
        <w:rPr>
          <w:rStyle w:val="StyleUnderline"/>
        </w:rPr>
        <w:t>Since governmentality works through the assumption of freedom, rather than against it, it can be difficult to identify practices that oppress First Peoples.</w:t>
      </w:r>
      <w:r w:rsidRPr="00D738E1">
        <w:rPr>
          <w:sz w:val="8"/>
        </w:rPr>
        <w:t xml:space="preserve"> Governmentality is not only aimed at the individual, but at populations. </w:t>
      </w:r>
      <w:r w:rsidRPr="00D738E1">
        <w:rPr>
          <w:rStyle w:val="StyleUnderline"/>
        </w:rPr>
        <w:t>Governmentality works from a distance by shaping the “conduct of conduct”</w:t>
      </w:r>
      <w:r w:rsidRPr="00D738E1">
        <w:rPr>
          <w:sz w:val="8"/>
        </w:rPr>
        <w:t xml:space="preserve"> (Foucault, 1992, p.220). In a neoliberal government, governmentality is the art of governing that diverges from blatant forms of control one might associate with sovereign power</w:t>
      </w:r>
      <w:r w:rsidRPr="00D738E1">
        <w:rPr>
          <w:rStyle w:val="StyleUnderline"/>
        </w:rPr>
        <w:t>. Governmentality works through a multitude of agencies, institutions, and authorities and uses a myriad of techniques to “shape conduct by working through our desires, aspirations, interests and beliefs”</w:t>
      </w:r>
      <w:r w:rsidRPr="00D738E1">
        <w:rPr>
          <w:sz w:val="8"/>
        </w:rPr>
        <w:t xml:space="preserve"> (Dean, 2010, p. 11). </w:t>
      </w:r>
      <w:r w:rsidRPr="00D738E1">
        <w:rPr>
          <w:rStyle w:val="Emphasis"/>
        </w:rPr>
        <w:t>Governmental</w:t>
      </w:r>
      <w:r w:rsidRPr="005928B4">
        <w:rPr>
          <w:rStyle w:val="Emphasis"/>
          <w:highlight w:val="cyan"/>
        </w:rPr>
        <w:t xml:space="preserve"> power works through </w:t>
      </w:r>
      <w:r w:rsidRPr="00D738E1">
        <w:rPr>
          <w:rStyle w:val="Emphasis"/>
        </w:rPr>
        <w:t xml:space="preserve">establishing experts who produce knowledge. The </w:t>
      </w:r>
      <w:r w:rsidRPr="005928B4">
        <w:rPr>
          <w:rStyle w:val="Emphasis"/>
          <w:highlight w:val="cyan"/>
        </w:rPr>
        <w:t>knowledge</w:t>
      </w:r>
      <w:r w:rsidRPr="00D738E1">
        <w:rPr>
          <w:rStyle w:val="Emphasis"/>
        </w:rPr>
        <w:t xml:space="preserve"> is </w:t>
      </w:r>
      <w:r w:rsidRPr="005928B4">
        <w:rPr>
          <w:rStyle w:val="Emphasis"/>
          <w:highlight w:val="cyan"/>
        </w:rPr>
        <w:t>used to establish norms that are</w:t>
      </w:r>
      <w:r w:rsidRPr="00D738E1">
        <w:rPr>
          <w:rStyle w:val="Emphasis"/>
        </w:rPr>
        <w:t xml:space="preserve"> reinforced until they become </w:t>
      </w:r>
      <w:r w:rsidRPr="005928B4">
        <w:rPr>
          <w:rStyle w:val="Emphasis"/>
          <w:highlight w:val="cyan"/>
        </w:rPr>
        <w:t xml:space="preserve">naturalized. </w:t>
      </w:r>
      <w:r w:rsidRPr="00D738E1">
        <w:rPr>
          <w:rStyle w:val="Emphasis"/>
        </w:rPr>
        <w:t>Once these norms are naturalized, populations will be able to self-govern, choosing ‘freely’ to conform as they have been trained to do so.</w:t>
      </w:r>
      <w:r w:rsidRPr="00D738E1">
        <w:rPr>
          <w:sz w:val="8"/>
        </w:rPr>
        <w:t xml:space="preserve"> </w:t>
      </w:r>
      <w:r w:rsidRPr="00D738E1">
        <w:rPr>
          <w:rStyle w:val="StyleUnderline"/>
        </w:rPr>
        <w:t xml:space="preserve">This form of control is more difficult to identify because on the surface, it appears to be individuals acting of their own volition. </w:t>
      </w:r>
      <w:r w:rsidRPr="00D738E1">
        <w:rPr>
          <w:sz w:val="8"/>
        </w:rPr>
        <w:t xml:space="preserve">Moreover, governmentality is arguably a more efficient form of power because instead of working on each individual, entire populations can be shaped and controlled. </w:t>
      </w:r>
      <w:r w:rsidRPr="00D738E1">
        <w:rPr>
          <w:rStyle w:val="StyleUnderline"/>
        </w:rPr>
        <w:t xml:space="preserve">When an individual fails to self-govern, they may be labelled as deviant and enter one of the many disciplinary systems established for reeducation/rehabilitation </w:t>
      </w:r>
      <w:r w:rsidRPr="00D738E1">
        <w:rPr>
          <w:sz w:val="8"/>
        </w:rPr>
        <w:t xml:space="preserve">(i.e. child welfare, schools, prisons). </w:t>
      </w:r>
      <w:r w:rsidRPr="00D738E1">
        <w:rPr>
          <w:rStyle w:val="StyleUnderline"/>
        </w:rPr>
        <w:t>Here discipline, biopower, and governmentality work together to reeducate individuals and teach them to self-monitor and self-govern.</w:t>
      </w:r>
      <w:r w:rsidRPr="00D738E1">
        <w:rPr>
          <w:sz w:val="8"/>
        </w:rPr>
        <w:t xml:space="preserve"> </w:t>
      </w:r>
    </w:p>
    <w:p w:rsidR="000973B7" w:rsidRDefault="000973B7" w:rsidP="00ED19D9">
      <w:pPr>
        <w:pStyle w:val="Heading2"/>
      </w:pPr>
      <w:r>
        <w:t>AFF ANSWERS</w:t>
      </w:r>
    </w:p>
    <w:p w:rsidR="000973B7" w:rsidRDefault="000973B7" w:rsidP="000973B7">
      <w:pPr>
        <w:pStyle w:val="Heading3"/>
      </w:pPr>
      <w:r>
        <w:t xml:space="preserve">Progress Possible </w:t>
      </w:r>
    </w:p>
    <w:p w:rsidR="000973B7" w:rsidRDefault="000973B7" w:rsidP="000973B7">
      <w:pPr>
        <w:pStyle w:val="Heading4"/>
        <w:spacing w:before="30" w:line="278" w:lineRule="atLeast"/>
        <w:rPr>
          <w:rFonts w:cs="Times New Roman"/>
          <w:color w:val="000000"/>
          <w:szCs w:val="26"/>
        </w:rPr>
      </w:pPr>
      <w:r>
        <w:rPr>
          <w:color w:val="000000"/>
          <w:szCs w:val="26"/>
        </w:rPr>
        <w:t>The struggle by indigenous groups against state and corporate violence has produced important victories – decades of empirical examples prove that progress is possible.</w:t>
      </w:r>
    </w:p>
    <w:p w:rsidR="000973B7" w:rsidRDefault="000973B7" w:rsidP="000973B7">
      <w:pPr>
        <w:spacing w:after="120" w:line="235" w:lineRule="atLeast"/>
        <w:rPr>
          <w:color w:val="000000"/>
        </w:rPr>
      </w:pPr>
      <w:r>
        <w:rPr>
          <w:b/>
          <w:bCs/>
          <w:color w:val="000000"/>
          <w:sz w:val="26"/>
          <w:szCs w:val="26"/>
        </w:rPr>
        <w:t>NoiseCat 17</w:t>
      </w:r>
      <w:r>
        <w:rPr>
          <w:color w:val="000000"/>
        </w:rPr>
        <w:t> (Julian Brave - enrolled member of the Canim Lake Band Tsq'escen in British Columbia where he was nominated to run for Chief in 2014 AND a graduate of Columbia University and the University of Oxford, “When the Indians Defeat the Cowboys,” 1/15/17, )</w:t>
      </w:r>
    </w:p>
    <w:p w:rsidR="000973B7" w:rsidRPr="000973B7" w:rsidRDefault="000973B7" w:rsidP="000973B7">
      <w:pPr>
        <w:spacing w:line="235" w:lineRule="atLeast"/>
        <w:rPr>
          <w:color w:val="000000"/>
          <w:sz w:val="10"/>
        </w:rPr>
      </w:pPr>
      <w:r>
        <w:rPr>
          <w:color w:val="000000"/>
          <w:u w:val="single"/>
        </w:rPr>
        <w:t>Consider</w:t>
      </w:r>
      <w:r w:rsidRPr="000973B7">
        <w:rPr>
          <w:color w:val="000000"/>
          <w:sz w:val="10"/>
        </w:rPr>
        <w:t>, for example, </w:t>
      </w:r>
      <w:r>
        <w:rPr>
          <w:color w:val="000000"/>
          <w:u w:val="single"/>
        </w:rPr>
        <w:t>the most cited work in the fields of settler colonial and indigenous studies: “Settler Colonialism and the Elimination of the Native,”</w:t>
      </w:r>
      <w:r w:rsidRPr="000973B7">
        <w:rPr>
          <w:color w:val="000000"/>
          <w:sz w:val="10"/>
        </w:rPr>
        <w:t> a 2006 essay by the late radical Australian anthropologist Patrick Wolfe. In a clever turn of phrase, repeated today like a Feuerbach Thesis for indigenous radicals and scholars, </w:t>
      </w:r>
      <w:r>
        <w:rPr>
          <w:color w:val="000000"/>
          <w:u w:val="single"/>
        </w:rPr>
        <w:t>Wolfe described the invasion of indigenous lands as “a structure not an event.”</w:t>
      </w:r>
      <w:r w:rsidRPr="000973B7">
        <w:rPr>
          <w:color w:val="000000"/>
          <w:sz w:val="10"/>
        </w:rPr>
        <w:t> </w:t>
      </w:r>
      <w:r>
        <w:rPr>
          <w:color w:val="000000"/>
          <w:u w:val="single"/>
        </w:rPr>
        <w:t>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0973B7">
        <w:rPr>
          <w:color w:val="000000"/>
          <w:sz w:val="10"/>
        </w:rPr>
        <w:t>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Pr>
          <w:color w:val="000000"/>
          <w:u w:val="single"/>
        </w:rPr>
        <w:t>But</w:t>
      </w:r>
      <w:r w:rsidRPr="000973B7">
        <w:rPr>
          <w:color w:val="000000"/>
          <w:sz w:val="10"/>
        </w:rPr>
        <w:t> </w:t>
      </w:r>
      <w:r>
        <w:rPr>
          <w:color w:val="000000"/>
          <w:u w:val="single"/>
        </w:rPr>
        <w:t>Wolfe’s theory ran into a rather significant problem —</w:t>
      </w:r>
      <w:r w:rsidRPr="000973B7">
        <w:rPr>
          <w:color w:val="000000"/>
          <w:sz w:val="10"/>
        </w:rPr>
        <w:t> </w:t>
      </w:r>
      <w:r>
        <w:rPr>
          <w:b/>
          <w:bCs/>
          <w:color w:val="000000"/>
          <w:u w:val="single"/>
        </w:rPr>
        <w:t>reality.</w:t>
      </w:r>
      <w:r w:rsidRPr="000973B7">
        <w:rPr>
          <w:color w:val="000000"/>
          <w:sz w:val="10"/>
        </w:rPr>
        <w:t> </w:t>
      </w:r>
      <w:r>
        <w:rPr>
          <w:color w:val="000000"/>
          <w:u w:val="single"/>
          <w:shd w:val="clear" w:color="auto" w:fill="00FF00"/>
        </w:rPr>
        <w:t>If settler societies</w:t>
      </w:r>
      <w:r w:rsidRPr="000973B7">
        <w:rPr>
          <w:color w:val="000000"/>
          <w:sz w:val="10"/>
        </w:rPr>
        <w:t> </w:t>
      </w:r>
      <w:r>
        <w:rPr>
          <w:color w:val="000000"/>
          <w:u w:val="single"/>
        </w:rPr>
        <w:t>like Australia, Canada, New Zealand, and the United States</w:t>
      </w:r>
      <w:r w:rsidRPr="000973B7">
        <w:rPr>
          <w:color w:val="000000"/>
          <w:sz w:val="10"/>
        </w:rPr>
        <w:t> </w:t>
      </w:r>
      <w:r>
        <w:rPr>
          <w:color w:val="000000"/>
          <w:u w:val="single"/>
          <w:shd w:val="clear" w:color="auto" w:fill="00FF00"/>
        </w:rPr>
        <w:t>are structurally dependent upon the elimination of the Native,</w:t>
      </w:r>
      <w:r w:rsidRPr="000973B7">
        <w:rPr>
          <w:color w:val="000000"/>
          <w:sz w:val="10"/>
        </w:rPr>
        <w:t> </w:t>
      </w:r>
      <w:r>
        <w:rPr>
          <w:b/>
          <w:bCs/>
          <w:color w:val="000000"/>
          <w:u w:val="single"/>
          <w:shd w:val="clear" w:color="auto" w:fill="00FF00"/>
        </w:rPr>
        <w:t>how do we explain</w:t>
      </w:r>
      <w:r w:rsidRPr="000973B7">
        <w:rPr>
          <w:color w:val="000000"/>
          <w:sz w:val="10"/>
        </w:rPr>
        <w:t> </w:t>
      </w:r>
      <w:r>
        <w:rPr>
          <w:b/>
          <w:bCs/>
          <w:color w:val="000000"/>
          <w:u w:val="single"/>
        </w:rPr>
        <w:t>the</w:t>
      </w:r>
      <w:r w:rsidRPr="000973B7">
        <w:rPr>
          <w:color w:val="000000"/>
          <w:sz w:val="10"/>
        </w:rPr>
        <w:t> </w:t>
      </w:r>
      <w:r>
        <w:rPr>
          <w:b/>
          <w:bCs/>
          <w:color w:val="000000"/>
          <w:u w:val="single"/>
          <w:shd w:val="clear" w:color="auto" w:fill="00FF00"/>
        </w:rPr>
        <w:t>survival, resilience, and resurgence</w:t>
      </w:r>
      <w:r w:rsidRPr="000973B7">
        <w:rPr>
          <w:color w:val="000000"/>
          <w:sz w:val="10"/>
        </w:rPr>
        <w:t> </w:t>
      </w:r>
      <w:r>
        <w:rPr>
          <w:b/>
          <w:bCs/>
          <w:color w:val="000000"/>
          <w:u w:val="single"/>
        </w:rPr>
        <w:t>of that same Native?</w:t>
      </w:r>
      <w:r w:rsidRPr="000973B7">
        <w:rPr>
          <w:color w:val="000000"/>
          <w:sz w:val="10"/>
        </w:rPr>
        <w:t> </w:t>
      </w:r>
      <w:r>
        <w:rPr>
          <w:b/>
          <w:bCs/>
          <w:color w:val="000000"/>
          <w:u w:val="single"/>
          <w:shd w:val="clear" w:color="auto" w:fill="00FF00"/>
        </w:rPr>
        <w:t>How do we explain the global emergence of policies of indigenous self-determination, recognition, and land rights</w:t>
      </w:r>
      <w:r w:rsidRPr="000973B7">
        <w:rPr>
          <w:color w:val="000000"/>
          <w:sz w:val="10"/>
        </w:rPr>
        <w:t> </w:t>
      </w:r>
      <w:r>
        <w:rPr>
          <w:b/>
          <w:bCs/>
          <w:color w:val="000000"/>
          <w:u w:val="single"/>
        </w:rPr>
        <w:t>in various forms?</w:t>
      </w:r>
      <w:r w:rsidRPr="000973B7">
        <w:rPr>
          <w:color w:val="000000"/>
          <w:sz w:val="10"/>
        </w:rPr>
        <w:t> </w:t>
      </w:r>
      <w:r>
        <w:rPr>
          <w:color w:val="000000"/>
          <w:u w:val="single"/>
        </w:rPr>
        <w:t>Are these policies lipstick on the same colonial pig? Are indigenous people permanently cast in cameo roles — their victories small exceptions that prove the rule?</w:t>
      </w:r>
      <w:r w:rsidRPr="000973B7">
        <w:rPr>
          <w:color w:val="000000"/>
          <w:sz w:val="10"/>
        </w:rPr>
        <w:t> </w:t>
      </w:r>
      <w:r>
        <w:rPr>
          <w:color w:val="000000"/>
          <w:u w:val="single"/>
        </w:rPr>
        <w:t>How do we explain Standing Rock?</w:t>
      </w:r>
      <w:r w:rsidRPr="000973B7">
        <w:rPr>
          <w:color w:val="000000"/>
          <w:sz w:val="10"/>
        </w:rPr>
        <w:t> Wolfe’s theory, however popular and illuminating, is in a sense, a gussied-up version of the inevitable victory of Cowboys over Indians — a reworking of Victorian ideology as critical theory. </w:t>
      </w:r>
      <w:r>
        <w:rPr>
          <w:color w:val="000000"/>
          <w:u w:val="single"/>
        </w:rPr>
        <w:t>The indigenous story unfolding before us</w:t>
      </w:r>
      <w:r w:rsidRPr="000973B7">
        <w:rPr>
          <w:color w:val="000000"/>
          <w:sz w:val="10"/>
        </w:rPr>
        <w:t> </w:t>
      </w:r>
      <w:r>
        <w:rPr>
          <w:color w:val="000000"/>
          <w:u w:val="single"/>
        </w:rPr>
        <w:t>demands more.</w:t>
      </w:r>
      <w:r w:rsidRPr="000973B7">
        <w:rPr>
          <w:color w:val="000000"/>
          <w:sz w:val="10"/>
        </w:rPr>
        <w:t> Explaining Standing Rock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Pr>
          <w:color w:val="000000"/>
          <w:u w:val="single"/>
        </w:rPr>
        <w:t>At Standing Rock, generations of myth and folk wisdom proved wrong.</w:t>
      </w:r>
      <w:r w:rsidRPr="000973B7">
        <w:rPr>
          <w:color w:val="000000"/>
          <w:sz w:val="10"/>
        </w:rPr>
        <w:t> As Bill McKibben put it in the Guardian, </w:t>
      </w:r>
      <w:r>
        <w:rPr>
          <w:color w:val="000000"/>
          <w:u w:val="single"/>
        </w:rPr>
        <w:t>the Standing Rock movement “is a break in that long-running story, a new chapter.”</w:t>
      </w:r>
      <w:r w:rsidRPr="000973B7">
        <w:rPr>
          <w:color w:val="000000"/>
          <w:sz w:val="10"/>
        </w:rPr>
        <w:t> In a moment when the Left is struggling in the face of a globalizing free market and an ascendant right, </w:t>
      </w:r>
      <w:r>
        <w:rPr>
          <w:color w:val="000000"/>
          <w:u w:val="singl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0973B7">
        <w:rPr>
          <w:color w:val="000000"/>
          <w:sz w:val="10"/>
        </w:rPr>
        <w:t> Various voices have risen to offer answers. Writing in the Nation, Audrea Lim argues that </w:t>
      </w:r>
      <w:r>
        <w:rPr>
          <w:color w:val="000000"/>
          <w:u w:val="single"/>
        </w:rPr>
        <w:t>Standing Rock shows a multiracial coalition united against neoliberalism and white supremacy can win</w:t>
      </w:r>
      <w:r w:rsidRPr="000973B7">
        <w:rPr>
          <w:color w:val="000000"/>
          <w:sz w:val="10"/>
        </w:rPr>
        <w:t> </w:t>
      </w:r>
      <w:r>
        <w:rPr>
          <w:color w:val="000000"/>
          <w:u w:val="single"/>
        </w:rPr>
        <w:t>in the heartland.</w:t>
      </w:r>
      <w:r w:rsidRPr="000973B7">
        <w:rPr>
          <w:color w:val="000000"/>
          <w:sz w:val="10"/>
        </w:rPr>
        <w:t>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Pr>
          <w:color w:val="000000"/>
          <w:u w:val="single"/>
        </w:rPr>
        <w:t>they gave the rest of the world a template for resistance</w:t>
      </w:r>
      <w:r w:rsidRPr="000973B7">
        <w:rPr>
          <w:color w:val="000000"/>
          <w:sz w:val="10"/>
        </w:rPr>
        <w:t>,” Erdrich concludes. All of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Pr>
          <w:color w:val="000000"/>
          <w:u w:val="single"/>
          <w:shd w:val="clear" w:color="auto" w:fill="00FF00"/>
        </w:rPr>
        <w:t>Since the</w:t>
      </w:r>
      <w:r w:rsidRPr="000973B7">
        <w:rPr>
          <w:color w:val="000000"/>
          <w:sz w:val="10"/>
        </w:rPr>
        <w:t> </w:t>
      </w:r>
      <w:r>
        <w:rPr>
          <w:color w:val="000000"/>
          <w:u w:val="single"/>
        </w:rPr>
        <w:t>1970s</w:t>
      </w:r>
      <w:r w:rsidRPr="000973B7">
        <w:rPr>
          <w:color w:val="000000"/>
          <w:sz w:val="10"/>
        </w:rPr>
        <w:t>, unions, public goods, social welfare, and other essential building blocks of social democracy have been beaten back by the free market consensus. Yet over these same decades, </w:t>
      </w:r>
      <w:r>
        <w:rPr>
          <w:b/>
          <w:bCs/>
          <w:color w:val="000000"/>
          <w:u w:val="single"/>
          <w:shd w:val="clear" w:color="auto" w:fill="00FF00"/>
        </w:rPr>
        <w:t>indigenous rights</w:t>
      </w:r>
      <w:r w:rsidRPr="000973B7">
        <w:rPr>
          <w:color w:val="000000"/>
          <w:sz w:val="10"/>
        </w:rPr>
        <w:t> </w:t>
      </w:r>
      <w:r>
        <w:rPr>
          <w:b/>
          <w:bCs/>
          <w:color w:val="000000"/>
          <w:u w:val="single"/>
        </w:rPr>
        <w:t>to land, jurisdiction, and sovereignty</w:t>
      </w:r>
      <w:r w:rsidRPr="000973B7">
        <w:rPr>
          <w:color w:val="000000"/>
          <w:sz w:val="10"/>
        </w:rPr>
        <w:t> </w:t>
      </w:r>
      <w:r>
        <w:rPr>
          <w:b/>
          <w:bCs/>
          <w:color w:val="000000"/>
          <w:u w:val="single"/>
          <w:shd w:val="clear" w:color="auto" w:fill="00FF00"/>
        </w:rPr>
        <w:t>have gained ground.</w:t>
      </w:r>
      <w:r w:rsidRPr="000973B7">
        <w:rPr>
          <w:color w:val="000000"/>
          <w:sz w:val="10"/>
        </w:rPr>
        <w:t> At the same time workers lost their unions, the environment was winning a union of its own. That union takes the form of indigenous rights. </w:t>
      </w:r>
      <w:r>
        <w:rPr>
          <w:color w:val="000000"/>
          <w:u w:val="single"/>
          <w:shd w:val="clear" w:color="auto" w:fill="00FF00"/>
        </w:rPr>
        <w:t>Credit</w:t>
      </w:r>
      <w:r w:rsidRPr="000973B7">
        <w:rPr>
          <w:color w:val="000000"/>
          <w:sz w:val="10"/>
        </w:rPr>
        <w:t> </w:t>
      </w:r>
      <w:r>
        <w:rPr>
          <w:color w:val="000000"/>
          <w:u w:val="single"/>
        </w:rPr>
        <w:t>for these often-overlooked indigenous victories</w:t>
      </w:r>
      <w:r w:rsidRPr="000973B7">
        <w:rPr>
          <w:color w:val="000000"/>
          <w:sz w:val="10"/>
        </w:rPr>
        <w:t> </w:t>
      </w:r>
      <w:r>
        <w:rPr>
          <w:color w:val="000000"/>
          <w:u w:val="single"/>
          <w:shd w:val="clear" w:color="auto" w:fill="00FF00"/>
        </w:rPr>
        <w:t>belongs to</w:t>
      </w:r>
      <w:r w:rsidRPr="000973B7">
        <w:rPr>
          <w:color w:val="000000"/>
          <w:sz w:val="10"/>
        </w:rPr>
        <w:t> </w:t>
      </w:r>
      <w:r>
        <w:rPr>
          <w:color w:val="000000"/>
          <w:u w:val="single"/>
        </w:rPr>
        <w:t>the</w:t>
      </w:r>
      <w:r w:rsidRPr="000973B7">
        <w:rPr>
          <w:color w:val="000000"/>
          <w:sz w:val="10"/>
        </w:rPr>
        <w:t> </w:t>
      </w:r>
      <w:r>
        <w:rPr>
          <w:color w:val="000000"/>
          <w:u w:val="single"/>
          <w:shd w:val="clear" w:color="auto" w:fill="00FF00"/>
        </w:rPr>
        <w:t>indigenous movements that unswervingly pushed for similar goals across decades</w:t>
      </w:r>
      <w:r w:rsidRPr="000973B7">
        <w:rPr>
          <w:color w:val="000000"/>
          <w:sz w:val="10"/>
        </w:rPr>
        <w:t> </w:t>
      </w:r>
      <w:r>
        <w:rPr>
          <w:color w:val="000000"/>
          <w:u w:val="single"/>
        </w:rPr>
        <w:t>and even centuries: return of indigenous lands, restoration of indigenous sovereignties, and dignity for indigenous peoples.</w:t>
      </w:r>
      <w:r w:rsidRPr="000973B7">
        <w:rPr>
          <w:color w:val="000000"/>
          <w:sz w:val="10"/>
        </w:rPr>
        <w:t> </w:t>
      </w:r>
      <w:r>
        <w:rPr>
          <w:color w:val="000000"/>
          <w:u w:val="single"/>
        </w:rPr>
        <w:t>From the time their lands were seized in the nineteenth century and even before,</w:t>
      </w:r>
      <w:r w:rsidRPr="000973B7">
        <w:rPr>
          <w:color w:val="000000"/>
          <w:sz w:val="10"/>
        </w:rPr>
        <w:t> </w:t>
      </w:r>
      <w:r>
        <w:rPr>
          <w:color w:val="000000"/>
          <w:u w:val="single"/>
          <w:shd w:val="clear" w:color="auto" w:fill="00FF00"/>
        </w:rPr>
        <w:t>indigenous people</w:t>
      </w:r>
      <w:r w:rsidRPr="000973B7">
        <w:rPr>
          <w:color w:val="000000"/>
          <w:sz w:val="10"/>
        </w:rPr>
        <w:t> </w:t>
      </w:r>
      <w:r>
        <w:rPr>
          <w:color w:val="000000"/>
          <w:u w:val="single"/>
        </w:rPr>
        <w:t>came together,</w:t>
      </w:r>
      <w:r w:rsidRPr="000973B7">
        <w:rPr>
          <w:color w:val="000000"/>
          <w:sz w:val="10"/>
        </w:rPr>
        <w:t> </w:t>
      </w:r>
      <w:r>
        <w:rPr>
          <w:color w:val="000000"/>
          <w:u w:val="single"/>
          <w:shd w:val="clear" w:color="auto" w:fill="00FF00"/>
        </w:rPr>
        <w:t>forming</w:t>
      </w:r>
      <w:r w:rsidRPr="000973B7">
        <w:rPr>
          <w:color w:val="000000"/>
          <w:sz w:val="10"/>
        </w:rPr>
        <w:t> </w:t>
      </w:r>
      <w:r>
        <w:rPr>
          <w:color w:val="000000"/>
          <w:u w:val="single"/>
        </w:rPr>
        <w:t>tribal, intertribal, regional, and national</w:t>
      </w:r>
      <w:r w:rsidRPr="000973B7">
        <w:rPr>
          <w:color w:val="000000"/>
          <w:sz w:val="10"/>
        </w:rPr>
        <w:t> </w:t>
      </w:r>
      <w:r>
        <w:rPr>
          <w:color w:val="000000"/>
          <w:u w:val="single"/>
          <w:shd w:val="clear" w:color="auto" w:fill="00FF00"/>
        </w:rPr>
        <w:t>coalitions</w:t>
      </w:r>
      <w:r w:rsidRPr="000973B7">
        <w:rPr>
          <w:color w:val="000000"/>
          <w:sz w:val="10"/>
        </w:rPr>
        <w:t> </w:t>
      </w:r>
      <w:r>
        <w:rPr>
          <w:color w:val="000000"/>
          <w:u w:val="single"/>
        </w:rPr>
        <w:t>and organizations.</w:t>
      </w:r>
      <w:r w:rsidRPr="000973B7">
        <w:rPr>
          <w:color w:val="000000"/>
          <w:sz w:val="10"/>
        </w:rPr>
        <w:t> </w:t>
      </w:r>
      <w:r>
        <w:rPr>
          <w:color w:val="000000"/>
          <w:u w:val="single"/>
        </w:rPr>
        <w:t>They</w:t>
      </w:r>
      <w:r w:rsidRPr="000973B7">
        <w:rPr>
          <w:color w:val="000000"/>
          <w:sz w:val="10"/>
        </w:rPr>
        <w:t> </w:t>
      </w:r>
      <w:r>
        <w:rPr>
          <w:b/>
          <w:bCs/>
          <w:color w:val="000000"/>
          <w:u w:val="single"/>
          <w:shd w:val="clear" w:color="auto" w:fill="00FF00"/>
        </w:rPr>
        <w:t>pressured states</w:t>
      </w:r>
      <w:r w:rsidRPr="000973B7">
        <w:rPr>
          <w:color w:val="000000"/>
          <w:sz w:val="10"/>
        </w:rPr>
        <w:t> </w:t>
      </w:r>
      <w:r>
        <w:rPr>
          <w:color w:val="000000"/>
          <w:u w:val="single"/>
        </w:rPr>
        <w:t>and empires</w:t>
      </w:r>
      <w:r w:rsidRPr="000973B7">
        <w:rPr>
          <w:color w:val="000000"/>
          <w:sz w:val="10"/>
        </w:rPr>
        <w:t> </w:t>
      </w:r>
      <w:r>
        <w:rPr>
          <w:color w:val="000000"/>
          <w:u w:val="single"/>
          <w:shd w:val="clear" w:color="auto" w:fill="00FF00"/>
        </w:rPr>
        <w:t>built on lands taken from them</w:t>
      </w:r>
      <w:r w:rsidRPr="000973B7">
        <w:rPr>
          <w:color w:val="000000"/>
          <w:sz w:val="10"/>
        </w:rPr>
        <w:t> </w:t>
      </w:r>
      <w:r>
        <w:rPr>
          <w:color w:val="000000"/>
          <w:u w:val="single"/>
        </w:rPr>
        <w:t>to recognize their demands. They stood strong against obstinate and repressive governments determined to claim their remaining territories and assimilate their people into the laboring class. They remained resolute.</w:t>
      </w:r>
      <w:r w:rsidRPr="000973B7">
        <w:rPr>
          <w:color w:val="000000"/>
          <w:sz w:val="10"/>
        </w:rPr>
        <w:t> 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Pr>
          <w:color w:val="000000"/>
          <w:u w:val="single"/>
        </w:rPr>
        <w:t>the stubborn dream of indigenous resurgence endured.</w:t>
      </w:r>
      <w:r w:rsidRPr="000973B7">
        <w:rPr>
          <w:color w:val="000000"/>
          <w:sz w:val="10"/>
        </w:rPr>
        <w:t> And crises sometimes ushered in marginal progress. </w:t>
      </w:r>
      <w:r>
        <w:rPr>
          <w:color w:val="000000"/>
          <w:u w:val="single"/>
          <w:shd w:val="clear" w:color="auto" w:fill="00FF00"/>
        </w:rPr>
        <w:t>In the</w:t>
      </w:r>
      <w:r w:rsidRPr="000973B7">
        <w:rPr>
          <w:color w:val="000000"/>
          <w:sz w:val="10"/>
        </w:rPr>
        <w:t> </w:t>
      </w:r>
      <w:r>
        <w:rPr>
          <w:color w:val="000000"/>
          <w:u w:val="single"/>
        </w:rPr>
        <w:t>1930s,</w:t>
      </w:r>
      <w:r w:rsidRPr="000973B7">
        <w:rPr>
          <w:color w:val="000000"/>
          <w:sz w:val="10"/>
        </w:rPr>
        <w:t> </w:t>
      </w:r>
      <w:r>
        <w:rPr>
          <w:b/>
          <w:bCs/>
          <w:color w:val="000000"/>
          <w:u w:val="single"/>
          <w:shd w:val="clear" w:color="auto" w:fill="00FF00"/>
        </w:rPr>
        <w:t>F</w:t>
      </w:r>
      <w:r>
        <w:rPr>
          <w:color w:val="000000"/>
          <w:u w:val="single"/>
        </w:rPr>
        <w:t>ranklin</w:t>
      </w:r>
      <w:r w:rsidRPr="000973B7">
        <w:rPr>
          <w:color w:val="000000"/>
          <w:sz w:val="10"/>
        </w:rPr>
        <w:t> </w:t>
      </w:r>
      <w:r>
        <w:rPr>
          <w:b/>
          <w:bCs/>
          <w:color w:val="000000"/>
          <w:u w:val="single"/>
          <w:shd w:val="clear" w:color="auto" w:fill="00FF00"/>
        </w:rPr>
        <w:t>D</w:t>
      </w:r>
      <w:r>
        <w:rPr>
          <w:color w:val="000000"/>
          <w:u w:val="single"/>
        </w:rPr>
        <w:t>elano</w:t>
      </w:r>
      <w:r w:rsidRPr="000973B7">
        <w:rPr>
          <w:color w:val="000000"/>
          <w:sz w:val="10"/>
        </w:rPr>
        <w:t> </w:t>
      </w:r>
      <w:r>
        <w:rPr>
          <w:b/>
          <w:bCs/>
          <w:color w:val="000000"/>
          <w:u w:val="single"/>
          <w:shd w:val="clear" w:color="auto" w:fill="00FF00"/>
        </w:rPr>
        <w:t>R</w:t>
      </w:r>
      <w:r>
        <w:rPr>
          <w:color w:val="000000"/>
          <w:u w:val="single"/>
        </w:rPr>
        <w:t>oosevelt</w:t>
      </w:r>
      <w:r>
        <w:rPr>
          <w:b/>
          <w:bCs/>
          <w:color w:val="000000"/>
          <w:u w:val="single"/>
          <w:shd w:val="clear" w:color="auto" w:fill="00FF00"/>
        </w:rPr>
        <w:t>’s</w:t>
      </w:r>
      <w:r w:rsidRPr="000973B7">
        <w:rPr>
          <w:color w:val="000000"/>
          <w:sz w:val="10"/>
        </w:rPr>
        <w:t> </w:t>
      </w:r>
      <w:r>
        <w:rPr>
          <w:color w:val="000000"/>
          <w:u w:val="single"/>
        </w:rPr>
        <w:t>so-called</w:t>
      </w:r>
      <w:r w:rsidRPr="000973B7">
        <w:rPr>
          <w:color w:val="000000"/>
          <w:sz w:val="10"/>
        </w:rPr>
        <w:t> </w:t>
      </w:r>
      <w:r>
        <w:rPr>
          <w:color w:val="000000"/>
          <w:u w:val="single"/>
          <w:shd w:val="clear" w:color="auto" w:fill="00FF00"/>
        </w:rPr>
        <w:t>“Indian New Deal” afforded</w:t>
      </w:r>
      <w:r w:rsidRPr="000973B7">
        <w:rPr>
          <w:color w:val="000000"/>
          <w:sz w:val="10"/>
        </w:rPr>
        <w:t> </w:t>
      </w:r>
      <w:r>
        <w:rPr>
          <w:color w:val="000000"/>
          <w:u w:val="single"/>
          <w:shd w:val="clear" w:color="auto" w:fill="00FF00"/>
        </w:rPr>
        <w:t>tribes</w:t>
      </w:r>
      <w:r w:rsidRPr="000973B7">
        <w:rPr>
          <w:color w:val="000000"/>
          <w:sz w:val="10"/>
        </w:rPr>
        <w:t> </w:t>
      </w:r>
      <w:r>
        <w:rPr>
          <w:color w:val="000000"/>
          <w:u w:val="single"/>
          <w:shd w:val="clear" w:color="auto" w:fill="00FF00"/>
        </w:rPr>
        <w:t>greater control over their lands and resources</w:t>
      </w:r>
      <w:r w:rsidRPr="000973B7">
        <w:rPr>
          <w:color w:val="000000"/>
          <w:sz w:val="10"/>
        </w:rPr>
        <w:t> </w:t>
      </w:r>
      <w:r>
        <w:rPr>
          <w:color w:val="000000"/>
          <w:u w:val="single"/>
        </w:rPr>
        <w:t>and restored a measure of sovereignty and self-determination.</w:t>
      </w:r>
      <w:r w:rsidRPr="000973B7">
        <w:rPr>
          <w:color w:val="000000"/>
          <w:sz w:val="10"/>
        </w:rPr>
        <w:t> </w:t>
      </w:r>
      <w:r>
        <w:rPr>
          <w:color w:val="000000"/>
          <w:u w:val="single"/>
          <w:shd w:val="clear" w:color="auto" w:fill="00FF00"/>
        </w:rPr>
        <w:t>The</w:t>
      </w:r>
      <w:r w:rsidRPr="000973B7">
        <w:rPr>
          <w:color w:val="000000"/>
          <w:sz w:val="10"/>
        </w:rPr>
        <w:t> </w:t>
      </w:r>
      <w:r>
        <w:rPr>
          <w:color w:val="000000"/>
          <w:u w:val="single"/>
        </w:rPr>
        <w:t>1960s and</w:t>
      </w:r>
      <w:r w:rsidRPr="000973B7">
        <w:rPr>
          <w:color w:val="000000"/>
          <w:sz w:val="10"/>
        </w:rPr>
        <w:t> </w:t>
      </w:r>
      <w:r>
        <w:rPr>
          <w:color w:val="000000"/>
          <w:u w:val="single"/>
          <w:shd w:val="clear" w:color="auto" w:fill="00FF00"/>
        </w:rPr>
        <w:t>70s saw the</w:t>
      </w:r>
      <w:r w:rsidRPr="000973B7">
        <w:rPr>
          <w:color w:val="000000"/>
          <w:sz w:val="10"/>
        </w:rPr>
        <w:t> </w:t>
      </w:r>
      <w:r>
        <w:rPr>
          <w:color w:val="000000"/>
          <w:u w:val="single"/>
        </w:rPr>
        <w:t>rise of the</w:t>
      </w:r>
      <w:r w:rsidRPr="000973B7">
        <w:rPr>
          <w:color w:val="000000"/>
          <w:sz w:val="10"/>
        </w:rPr>
        <w:t> </w:t>
      </w:r>
      <w:r>
        <w:rPr>
          <w:color w:val="000000"/>
          <w:u w:val="single"/>
          <w:shd w:val="clear" w:color="auto" w:fill="00FF00"/>
        </w:rPr>
        <w:t>Red Power movement, a</w:t>
      </w:r>
      <w:r w:rsidRPr="000973B7">
        <w:rPr>
          <w:color w:val="000000"/>
          <w:sz w:val="10"/>
        </w:rPr>
        <w:t> </w:t>
      </w:r>
      <w:r>
        <w:rPr>
          <w:color w:val="000000"/>
          <w:u w:val="single"/>
        </w:rPr>
        <w:t>momentous</w:t>
      </w:r>
      <w:r w:rsidRPr="000973B7">
        <w:rPr>
          <w:color w:val="000000"/>
          <w:sz w:val="10"/>
        </w:rPr>
        <w:t> </w:t>
      </w:r>
      <w:r>
        <w:rPr>
          <w:color w:val="000000"/>
          <w:u w:val="single"/>
          <w:shd w:val="clear" w:color="auto" w:fill="00FF00"/>
        </w:rPr>
        <w:t>breakthrough that pushed</w:t>
      </w:r>
      <w:r w:rsidRPr="000973B7">
        <w:rPr>
          <w:color w:val="000000"/>
          <w:sz w:val="10"/>
        </w:rPr>
        <w:t> </w:t>
      </w:r>
      <w:r>
        <w:rPr>
          <w:color w:val="000000"/>
          <w:u w:val="single"/>
        </w:rPr>
        <w:t>the US and Canadian</w:t>
      </w:r>
      <w:r w:rsidRPr="000973B7">
        <w:rPr>
          <w:color w:val="000000"/>
          <w:sz w:val="10"/>
        </w:rPr>
        <w:t> </w:t>
      </w:r>
      <w:r>
        <w:rPr>
          <w:color w:val="000000"/>
          <w:u w:val="single"/>
          <w:shd w:val="clear" w:color="auto" w:fill="00FF00"/>
        </w:rPr>
        <w:t>states to adopt policies based on recognition</w:t>
      </w:r>
      <w:r w:rsidRPr="000973B7">
        <w:rPr>
          <w:color w:val="000000"/>
          <w:sz w:val="10"/>
        </w:rPr>
        <w:t> </w:t>
      </w:r>
      <w:r>
        <w:rPr>
          <w:color w:val="000000"/>
          <w:u w:val="single"/>
        </w:rPr>
        <w:t>instead of assimilation.</w:t>
      </w:r>
      <w:r w:rsidRPr="000973B7">
        <w:rPr>
          <w:color w:val="000000"/>
          <w:sz w:val="10"/>
        </w:rPr>
        <w:t> </w:t>
      </w:r>
      <w:r>
        <w:rPr>
          <w:color w:val="000000"/>
          <w:u w:val="single"/>
        </w:rPr>
        <w:t>The contemporaneous Maori Renaissance in Aotearoa/New Zealand and Aboriginal land rights movement in Australia won similar gains.</w:t>
      </w:r>
      <w:r w:rsidRPr="000973B7">
        <w:rPr>
          <w:color w:val="000000"/>
          <w:sz w:val="10"/>
        </w:rPr>
        <w:t> </w:t>
      </w:r>
      <w:r>
        <w:rPr>
          <w:color w:val="000000"/>
          <w:u w:val="single"/>
        </w:rPr>
        <w:t>These movements often found unlikely allies in neoconservatives</w:t>
      </w:r>
      <w:r w:rsidRPr="000973B7">
        <w:rPr>
          <w:color w:val="000000"/>
          <w:sz w:val="10"/>
        </w:rPr>
        <w:t>,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Pr>
          <w:color w:val="000000"/>
          <w:u w:val="single"/>
          <w:shd w:val="clear" w:color="auto" w:fill="00FF00"/>
        </w:rPr>
        <w:t>Nixon</w:t>
      </w:r>
      <w:r w:rsidRPr="000973B7">
        <w:rPr>
          <w:color w:val="000000"/>
          <w:sz w:val="10"/>
        </w:rPr>
        <w:t> who </w:t>
      </w:r>
      <w:r>
        <w:rPr>
          <w:color w:val="000000"/>
          <w:u w:val="single"/>
          <w:shd w:val="clear" w:color="auto" w:fill="00FF00"/>
        </w:rPr>
        <w:t>inaugurated the current era of indigenous self-determination</w:t>
      </w:r>
      <w:r w:rsidRPr="000973B7">
        <w:rPr>
          <w:color w:val="000000"/>
          <w:sz w:val="10"/>
        </w:rPr>
        <w:t>. He outlined his commitment to the policy in a special message to Congress on July 8, 1970: </w:t>
      </w:r>
      <w:r>
        <w:rPr>
          <w:color w:val="000000"/>
          <w:u w:val="single"/>
        </w:rPr>
        <w:t>This</w:t>
      </w:r>
      <w:r w:rsidRPr="000973B7">
        <w:rPr>
          <w:color w:val="000000"/>
          <w:sz w:val="10"/>
        </w:rPr>
        <w:t>, then, </w:t>
      </w:r>
      <w:r>
        <w:rPr>
          <w:color w:val="000000"/>
          <w:u w:val="single"/>
        </w:rPr>
        <w:t>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w:t>
      </w:r>
      <w:r w:rsidRPr="000973B7">
        <w:rPr>
          <w:color w:val="000000"/>
          <w:sz w:val="10"/>
        </w:rPr>
        <w:t> </w:t>
      </w:r>
      <w:r>
        <w:rPr>
          <w:color w:val="000000"/>
          <w:u w:val="single"/>
          <w:shd w:val="clear" w:color="auto" w:fill="00FF00"/>
        </w:rPr>
        <w:t>Indians can become independent of Federal control without being cut off from</w:t>
      </w:r>
      <w:r w:rsidRPr="000973B7">
        <w:rPr>
          <w:color w:val="000000"/>
          <w:sz w:val="10"/>
        </w:rPr>
        <w:t> </w:t>
      </w:r>
      <w:r>
        <w:rPr>
          <w:color w:val="000000"/>
          <w:u w:val="single"/>
        </w:rPr>
        <w:t>Federal concern and</w:t>
      </w:r>
      <w:r w:rsidRPr="000973B7">
        <w:rPr>
          <w:color w:val="000000"/>
          <w:sz w:val="10"/>
        </w:rPr>
        <w:t> </w:t>
      </w:r>
      <w:r>
        <w:rPr>
          <w:color w:val="000000"/>
          <w:u w:val="single"/>
          <w:shd w:val="clear" w:color="auto" w:fill="00FF00"/>
        </w:rPr>
        <w:t>Federal support.</w:t>
      </w:r>
      <w:r w:rsidRPr="000973B7">
        <w:rPr>
          <w:color w:val="000000"/>
          <w:sz w:val="10"/>
        </w:rPr>
        <w:t> 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Pr>
          <w:color w:val="000000"/>
          <w:u w:val="single"/>
        </w:rPr>
        <w:t>indigenous people have coopted conservative forces as agents of an indigenous agenda. Across</w:t>
      </w:r>
      <w:r w:rsidRPr="000973B7">
        <w:rPr>
          <w:color w:val="000000"/>
          <w:sz w:val="10"/>
        </w:rPr>
        <w:t> </w:t>
      </w:r>
      <w:r>
        <w:rPr>
          <w:color w:val="000000"/>
          <w:u w:val="single"/>
        </w:rPr>
        <w:t>the world, while other Left and progressive movements gained little and often lost ground, indigenous people moved debate and policy in directions favorable to their interests.</w:t>
      </w:r>
      <w:r w:rsidRPr="000973B7">
        <w:rPr>
          <w:color w:val="000000"/>
          <w:sz w:val="10"/>
        </w:rPr>
        <w:t> </w:t>
      </w:r>
      <w:r>
        <w:rPr>
          <w:color w:val="000000"/>
          <w:u w:val="single"/>
          <w:shd w:val="clear" w:color="auto" w:fill="00FF00"/>
        </w:rPr>
        <w:t>Self-determination is now the established framework for indigenous policy</w:t>
      </w:r>
      <w:r w:rsidRPr="000973B7">
        <w:rPr>
          <w:color w:val="000000"/>
          <w:sz w:val="10"/>
        </w:rPr>
        <w:t> </w:t>
      </w:r>
      <w:r>
        <w:rPr>
          <w:color w:val="000000"/>
          <w:u w:val="single"/>
        </w:rPr>
        <w:t>in the United States, Canada, Australia, and Aotearoa/New Zealand.</w:t>
      </w:r>
      <w:r w:rsidRPr="000973B7">
        <w:rPr>
          <w:color w:val="000000"/>
          <w:sz w:val="10"/>
        </w:rPr>
        <w:t> </w:t>
      </w:r>
      <w:r>
        <w:rPr>
          <w:color w:val="000000"/>
          <w:u w:val="single"/>
          <w:shd w:val="clear" w:color="auto" w:fill="00FF00"/>
        </w:rPr>
        <w:t>It has been firmly endorsed</w:t>
      </w:r>
      <w:r w:rsidRPr="000973B7">
        <w:rPr>
          <w:color w:val="000000"/>
          <w:sz w:val="10"/>
        </w:rPr>
        <w:t> </w:t>
      </w:r>
      <w:r>
        <w:rPr>
          <w:color w:val="000000"/>
          <w:u w:val="single"/>
        </w:rPr>
        <w:t>and furthered</w:t>
      </w:r>
      <w:r w:rsidRPr="000973B7">
        <w:rPr>
          <w:color w:val="000000"/>
          <w:sz w:val="10"/>
        </w:rPr>
        <w:t> </w:t>
      </w:r>
      <w:r>
        <w:rPr>
          <w:color w:val="000000"/>
          <w:u w:val="single"/>
          <w:shd w:val="clear" w:color="auto" w:fill="00FF00"/>
        </w:rPr>
        <w:t>through the U</w:t>
      </w:r>
      <w:r>
        <w:rPr>
          <w:color w:val="000000"/>
          <w:u w:val="single"/>
        </w:rPr>
        <w:t>nited</w:t>
      </w:r>
      <w:r w:rsidRPr="000973B7">
        <w:rPr>
          <w:color w:val="000000"/>
          <w:sz w:val="10"/>
        </w:rPr>
        <w:t> </w:t>
      </w:r>
      <w:r>
        <w:rPr>
          <w:color w:val="000000"/>
          <w:u w:val="single"/>
          <w:shd w:val="clear" w:color="auto" w:fill="00FF00"/>
        </w:rPr>
        <w:t>N</w:t>
      </w:r>
      <w:r>
        <w:rPr>
          <w:color w:val="000000"/>
          <w:u w:val="single"/>
        </w:rPr>
        <w:t>ations Declaration on the Rights of Indigenous Peoples. In states built upon the dispossession, marginalization, and attempted elimination of indigenous people,</w:t>
      </w:r>
      <w:r w:rsidRPr="000973B7">
        <w:rPr>
          <w:color w:val="000000"/>
          <w:sz w:val="10"/>
        </w:rPr>
        <w:t> </w:t>
      </w:r>
      <w:r>
        <w:rPr>
          <w:b/>
          <w:bCs/>
          <w:color w:val="000000"/>
          <w:u w:val="single"/>
          <w:shd w:val="clear" w:color="auto" w:fill="00FF00"/>
        </w:rPr>
        <w:t>these are remarkable victories</w:t>
      </w:r>
      <w:r>
        <w:rPr>
          <w:b/>
          <w:bCs/>
          <w:color w:val="000000"/>
          <w:u w:val="single"/>
        </w:rPr>
        <w:t>.</w:t>
      </w:r>
      <w:r w:rsidRPr="000973B7">
        <w:rPr>
          <w:color w:val="000000"/>
          <w:sz w:val="10"/>
        </w:rPr>
        <w:t> </w:t>
      </w:r>
      <w:r>
        <w:rPr>
          <w:color w:val="000000"/>
          <w:u w:val="single"/>
        </w:rPr>
        <w:t>At Standing Rock</w:t>
      </w:r>
      <w:r w:rsidRPr="000973B7">
        <w:rPr>
          <w:color w:val="000000"/>
          <w:sz w:val="10"/>
        </w:rPr>
        <w:t> and at proposed pipeline sites across the United States and Canada, </w:t>
      </w:r>
      <w:r>
        <w:rPr>
          <w:color w:val="000000"/>
          <w:u w:val="single"/>
        </w:rPr>
        <w:t>neoliberals have been forced to confront indigenous rights</w:t>
      </w:r>
      <w:r w:rsidRPr="000973B7">
        <w:rPr>
          <w:color w:val="000000"/>
          <w:sz w:val="10"/>
        </w:rPr>
        <w:t>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Viewed from a decades-long and global view, </w:t>
      </w:r>
      <w:r>
        <w:rPr>
          <w:color w:val="000000"/>
          <w:u w:val="single"/>
          <w:shd w:val="clear" w:color="auto" w:fill="00FF00"/>
        </w:rPr>
        <w:t>indigenous people</w:t>
      </w:r>
      <w:r w:rsidRPr="000973B7">
        <w:rPr>
          <w:color w:val="000000"/>
          <w:sz w:val="10"/>
        </w:rPr>
        <w:t> </w:t>
      </w:r>
      <w:r>
        <w:rPr>
          <w:color w:val="000000"/>
          <w:u w:val="single"/>
        </w:rPr>
        <w:t>emerge as cunning, courageous, and even heroic political tricksters. They</w:t>
      </w:r>
      <w:r w:rsidRPr="000973B7">
        <w:rPr>
          <w:color w:val="000000"/>
          <w:sz w:val="10"/>
        </w:rPr>
        <w:t> </w:t>
      </w:r>
      <w:r>
        <w:rPr>
          <w:b/>
          <w:bCs/>
          <w:color w:val="000000"/>
          <w:u w:val="single"/>
          <w:shd w:val="clear" w:color="auto" w:fill="00FF00"/>
        </w:rPr>
        <w:t>took their struggle</w:t>
      </w:r>
      <w:r w:rsidRPr="000973B7">
        <w:rPr>
          <w:color w:val="000000"/>
          <w:sz w:val="10"/>
        </w:rPr>
        <w:t> </w:t>
      </w:r>
      <w:r>
        <w:rPr>
          <w:b/>
          <w:bCs/>
          <w:color w:val="000000"/>
          <w:u w:val="single"/>
        </w:rPr>
        <w:t>out onto their lands</w:t>
      </w:r>
      <w:r w:rsidRPr="000973B7">
        <w:rPr>
          <w:color w:val="000000"/>
          <w:sz w:val="10"/>
        </w:rPr>
        <w:t> </w:t>
      </w:r>
      <w:r>
        <w:rPr>
          <w:b/>
          <w:bCs/>
          <w:color w:val="000000"/>
          <w:u w:val="single"/>
        </w:rPr>
        <w:t>and waters</w:t>
      </w:r>
      <w:r w:rsidRPr="000973B7">
        <w:rPr>
          <w:color w:val="000000"/>
          <w:sz w:val="10"/>
        </w:rPr>
        <w:t> </w:t>
      </w:r>
      <w:r>
        <w:rPr>
          <w:b/>
          <w:bCs/>
          <w:color w:val="000000"/>
          <w:u w:val="single"/>
        </w:rPr>
        <w:t>and into the courts.</w:t>
      </w:r>
      <w:r w:rsidRPr="000973B7">
        <w:rPr>
          <w:color w:val="000000"/>
          <w:sz w:val="10"/>
        </w:rPr>
        <w:t> </w:t>
      </w:r>
      <w:r>
        <w:rPr>
          <w:color w:val="000000"/>
          <w:u w:val="single"/>
          <w:shd w:val="clear" w:color="auto" w:fill="00FF00"/>
        </w:rPr>
        <w:t>They</w:t>
      </w:r>
      <w:r w:rsidRPr="000973B7">
        <w:rPr>
          <w:color w:val="000000"/>
          <w:sz w:val="10"/>
        </w:rPr>
        <w:t> </w:t>
      </w:r>
      <w:r>
        <w:rPr>
          <w:b/>
          <w:bCs/>
          <w:color w:val="000000"/>
          <w:u w:val="single"/>
          <w:shd w:val="clear" w:color="auto" w:fill="00FF00"/>
        </w:rPr>
        <w:t>outsmarted</w:t>
      </w:r>
      <w:r w:rsidRPr="000973B7">
        <w:rPr>
          <w:color w:val="000000"/>
          <w:sz w:val="10"/>
        </w:rPr>
        <w:t> </w:t>
      </w:r>
      <w:r>
        <w:rPr>
          <w:b/>
          <w:bCs/>
          <w:color w:val="000000"/>
          <w:u w:val="single"/>
        </w:rPr>
        <w:t>and outflanked</w:t>
      </w:r>
      <w:r w:rsidRPr="000973B7">
        <w:rPr>
          <w:color w:val="000000"/>
          <w:sz w:val="10"/>
        </w:rPr>
        <w:t> </w:t>
      </w:r>
      <w:r>
        <w:rPr>
          <w:b/>
          <w:bCs/>
          <w:color w:val="000000"/>
          <w:u w:val="single"/>
          <w:shd w:val="clear" w:color="auto" w:fill="00FF00"/>
        </w:rPr>
        <w:t>politicians</w:t>
      </w:r>
      <w:r w:rsidRPr="000973B7">
        <w:rPr>
          <w:color w:val="000000"/>
          <w:sz w:val="10"/>
        </w:rPr>
        <w:t> </w:t>
      </w:r>
      <w:r>
        <w:rPr>
          <w:b/>
          <w:bCs/>
          <w:color w:val="000000"/>
          <w:u w:val="single"/>
        </w:rPr>
        <w:t>by simultaneously pressuring and cozying up to them. In so doing,</w:t>
      </w:r>
      <w:r w:rsidRPr="000973B7">
        <w:rPr>
          <w:color w:val="000000"/>
          <w:sz w:val="10"/>
        </w:rPr>
        <w:t> </w:t>
      </w:r>
      <w:r>
        <w:rPr>
          <w:b/>
          <w:bCs/>
          <w:color w:val="000000"/>
          <w:u w:val="single"/>
          <w:shd w:val="clear" w:color="auto" w:fill="00FF00"/>
        </w:rPr>
        <w:t>they won</w:t>
      </w:r>
      <w:r w:rsidRPr="000973B7">
        <w:rPr>
          <w:color w:val="000000"/>
          <w:sz w:val="10"/>
        </w:rPr>
        <w:t> </w:t>
      </w:r>
      <w:r>
        <w:rPr>
          <w:b/>
          <w:bCs/>
          <w:color w:val="000000"/>
          <w:u w:val="single"/>
        </w:rPr>
        <w:t>important and</w:t>
      </w:r>
      <w:r w:rsidRPr="000973B7">
        <w:rPr>
          <w:color w:val="000000"/>
          <w:sz w:val="10"/>
        </w:rPr>
        <w:t> </w:t>
      </w:r>
      <w:r>
        <w:rPr>
          <w:b/>
          <w:bCs/>
          <w:color w:val="000000"/>
          <w:u w:val="single"/>
          <w:shd w:val="clear" w:color="auto" w:fill="00FF00"/>
        </w:rPr>
        <w:t>lasting concessions</w:t>
      </w:r>
      <w:r w:rsidRPr="000973B7">
        <w:rPr>
          <w:color w:val="000000"/>
          <w:sz w:val="10"/>
        </w:rPr>
        <w:t> </w:t>
      </w:r>
      <w:r>
        <w:rPr>
          <w:b/>
          <w:bCs/>
          <w:color w:val="000000"/>
          <w:u w:val="single"/>
        </w:rPr>
        <w:t>bit by bit.</w:t>
      </w:r>
      <w:r w:rsidRPr="000973B7">
        <w:rPr>
          <w:color w:val="000000"/>
          <w:sz w:val="10"/>
        </w:rPr>
        <w:t> In the long run, </w:t>
      </w:r>
      <w:r>
        <w:rPr>
          <w:color w:val="000000"/>
          <w:u w:val="single"/>
          <w:shd w:val="clear" w:color="auto" w:fill="00FF00"/>
        </w:rPr>
        <w:t>these</w:t>
      </w:r>
      <w:r w:rsidRPr="000973B7">
        <w:rPr>
          <w:color w:val="000000"/>
          <w:sz w:val="10"/>
        </w:rPr>
        <w:t> </w:t>
      </w:r>
      <w:r>
        <w:rPr>
          <w:color w:val="000000"/>
          <w:u w:val="single"/>
        </w:rPr>
        <w:t>concessions</w:t>
      </w:r>
      <w:r w:rsidRPr="000973B7">
        <w:rPr>
          <w:color w:val="000000"/>
          <w:sz w:val="10"/>
        </w:rPr>
        <w:t> </w:t>
      </w:r>
      <w:r>
        <w:rPr>
          <w:color w:val="000000"/>
          <w:u w:val="single"/>
        </w:rPr>
        <w:t>and relationships</w:t>
      </w:r>
      <w:r w:rsidRPr="000973B7">
        <w:rPr>
          <w:color w:val="000000"/>
          <w:sz w:val="10"/>
        </w:rPr>
        <w:t> </w:t>
      </w:r>
      <w:r>
        <w:rPr>
          <w:color w:val="000000"/>
          <w:u w:val="single"/>
        </w:rPr>
        <w:t>have</w:t>
      </w:r>
      <w:r w:rsidRPr="000973B7">
        <w:rPr>
          <w:color w:val="000000"/>
          <w:sz w:val="10"/>
        </w:rPr>
        <w:t> </w:t>
      </w:r>
      <w:r>
        <w:rPr>
          <w:color w:val="000000"/>
          <w:u w:val="single"/>
          <w:shd w:val="clear" w:color="auto" w:fill="00FF00"/>
        </w:rPr>
        <w:t>provided indigenous nations with access to government as well as the</w:t>
      </w:r>
      <w:r w:rsidRPr="000973B7">
        <w:rPr>
          <w:color w:val="000000"/>
          <w:sz w:val="10"/>
        </w:rPr>
        <w:t> </w:t>
      </w:r>
      <w:r>
        <w:rPr>
          <w:color w:val="000000"/>
          <w:u w:val="single"/>
        </w:rPr>
        <w:t>political, economic, and</w:t>
      </w:r>
      <w:r w:rsidRPr="000973B7">
        <w:rPr>
          <w:color w:val="000000"/>
          <w:sz w:val="10"/>
        </w:rPr>
        <w:t> </w:t>
      </w:r>
      <w:r>
        <w:rPr>
          <w:color w:val="000000"/>
          <w:u w:val="single"/>
          <w:shd w:val="clear" w:color="auto" w:fill="00FF00"/>
        </w:rPr>
        <w:t>legal leverage to deliver</w:t>
      </w:r>
      <w:r w:rsidRPr="000973B7">
        <w:rPr>
          <w:color w:val="000000"/>
          <w:sz w:val="10"/>
        </w:rPr>
        <w:t> </w:t>
      </w:r>
      <w:r>
        <w:rPr>
          <w:color w:val="000000"/>
          <w:u w:val="single"/>
        </w:rPr>
        <w:t>devastating</w:t>
      </w:r>
      <w:r w:rsidRPr="000973B7">
        <w:rPr>
          <w:color w:val="000000"/>
          <w:sz w:val="10"/>
        </w:rPr>
        <w:t> </w:t>
      </w:r>
      <w:r>
        <w:rPr>
          <w:color w:val="000000"/>
          <w:u w:val="single"/>
          <w:shd w:val="clear" w:color="auto" w:fill="00FF00"/>
        </w:rPr>
        <w:t>blows to</w:t>
      </w:r>
      <w:r w:rsidRPr="000973B7">
        <w:rPr>
          <w:color w:val="000000"/>
          <w:sz w:val="10"/>
        </w:rPr>
        <w:t> </w:t>
      </w:r>
      <w:r>
        <w:rPr>
          <w:color w:val="000000"/>
          <w:u w:val="single"/>
        </w:rPr>
        <w:t>the</w:t>
      </w:r>
      <w:r w:rsidRPr="000973B7">
        <w:rPr>
          <w:color w:val="000000"/>
          <w:sz w:val="10"/>
        </w:rPr>
        <w:t> </w:t>
      </w:r>
      <w:r>
        <w:rPr>
          <w:color w:val="000000"/>
          <w:u w:val="single"/>
          <w:shd w:val="clear" w:color="auto" w:fill="00FF00"/>
        </w:rPr>
        <w:t>networks</w:t>
      </w:r>
      <w:r w:rsidRPr="000973B7">
        <w:rPr>
          <w:color w:val="000000"/>
          <w:sz w:val="10"/>
        </w:rPr>
        <w:t> </w:t>
      </w:r>
      <w:r>
        <w:rPr>
          <w:color w:val="000000"/>
          <w:u w:val="single"/>
        </w:rPr>
        <w:t>and infrastructure of</w:t>
      </w:r>
      <w:r w:rsidRPr="000973B7">
        <w:rPr>
          <w:color w:val="000000"/>
          <w:sz w:val="10"/>
        </w:rPr>
        <w:t> </w:t>
      </w:r>
      <w:r>
        <w:rPr>
          <w:color w:val="000000"/>
          <w:u w:val="single"/>
        </w:rPr>
        <w:t>carbon-dependent capitalism, which threaten the future of indigenous communities, lands, and waters and all who share these with them.</w:t>
      </w:r>
      <w:r w:rsidRPr="000973B7">
        <w:rPr>
          <w:color w:val="000000"/>
          <w:sz w:val="10"/>
        </w:rPr>
        <w:t> 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Pr>
          <w:b/>
          <w:bCs/>
          <w:color w:val="000000"/>
          <w:u w:val="single"/>
          <w:shd w:val="clear" w:color="auto" w:fill="00FF00"/>
        </w:rPr>
        <w:t>movements must remain resolute</w:t>
      </w:r>
      <w:r w:rsidRPr="000973B7">
        <w:rPr>
          <w:color w:val="000000"/>
          <w:sz w:val="10"/>
        </w:rPr>
        <w:t> </w:t>
      </w:r>
      <w:r>
        <w:rPr>
          <w:b/>
          <w:bCs/>
          <w:color w:val="000000"/>
          <w:u w:val="single"/>
        </w:rPr>
        <w:t>in their aims —</w:t>
      </w:r>
      <w:r w:rsidRPr="000973B7">
        <w:rPr>
          <w:color w:val="000000"/>
          <w:sz w:val="10"/>
        </w:rPr>
        <w:t> </w:t>
      </w:r>
      <w:r>
        <w:rPr>
          <w:b/>
          <w:bCs/>
          <w:color w:val="000000"/>
          <w:u w:val="single"/>
          <w:shd w:val="clear" w:color="auto" w:fill="00FF00"/>
        </w:rPr>
        <w:t>even if</w:t>
      </w:r>
      <w:r w:rsidRPr="000973B7">
        <w:rPr>
          <w:color w:val="000000"/>
          <w:sz w:val="10"/>
        </w:rPr>
        <w:t> </w:t>
      </w:r>
      <w:r>
        <w:rPr>
          <w:b/>
          <w:bCs/>
          <w:color w:val="000000"/>
          <w:u w:val="single"/>
        </w:rPr>
        <w:t>their</w:t>
      </w:r>
      <w:r w:rsidRPr="000973B7">
        <w:rPr>
          <w:color w:val="000000"/>
          <w:sz w:val="10"/>
        </w:rPr>
        <w:t> </w:t>
      </w:r>
      <w:r>
        <w:rPr>
          <w:b/>
          <w:bCs/>
          <w:color w:val="000000"/>
          <w:u w:val="single"/>
          <w:shd w:val="clear" w:color="auto" w:fill="00FF00"/>
        </w:rPr>
        <w:t>goals take decades</w:t>
      </w:r>
      <w:r w:rsidRPr="000973B7">
        <w:rPr>
          <w:color w:val="000000"/>
          <w:sz w:val="10"/>
        </w:rPr>
        <w:t> </w:t>
      </w:r>
      <w:r>
        <w:rPr>
          <w:b/>
          <w:bCs/>
          <w:color w:val="000000"/>
          <w:u w:val="single"/>
        </w:rPr>
        <w:t>to achieve. Politics is a long game.</w:t>
      </w:r>
      <w:r w:rsidRPr="000973B7">
        <w:rPr>
          <w:color w:val="000000"/>
          <w:sz w:val="10"/>
        </w:rPr>
        <w:t> </w:t>
      </w:r>
      <w:r>
        <w:rPr>
          <w:color w:val="000000"/>
          <w:u w:val="single"/>
        </w:rPr>
        <w:t>Standing Rock</w:t>
      </w:r>
      <w:r w:rsidRPr="000973B7">
        <w:rPr>
          <w:color w:val="000000"/>
          <w:sz w:val="10"/>
        </w:rPr>
        <w:t> also </w:t>
      </w:r>
      <w:r>
        <w:rPr>
          <w:color w:val="000000"/>
          <w:u w:val="single"/>
        </w:rPr>
        <w:t>reminds us that</w:t>
      </w:r>
      <w:r w:rsidRPr="000973B7">
        <w:rPr>
          <w:color w:val="000000"/>
          <w:sz w:val="10"/>
        </w:rPr>
        <w:t> </w:t>
      </w:r>
      <w:r>
        <w:rPr>
          <w:color w:val="000000"/>
          <w:u w:val="single"/>
          <w:shd w:val="clear" w:color="auto" w:fill="00FF00"/>
        </w:rPr>
        <w:t>resistance is key, but</w:t>
      </w:r>
      <w:r w:rsidRPr="000973B7">
        <w:rPr>
          <w:color w:val="000000"/>
          <w:sz w:val="10"/>
        </w:rPr>
        <w:t> </w:t>
      </w:r>
      <w:r>
        <w:rPr>
          <w:color w:val="000000"/>
          <w:u w:val="single"/>
        </w:rPr>
        <w:t>that</w:t>
      </w:r>
      <w:r w:rsidRPr="000973B7">
        <w:rPr>
          <w:color w:val="000000"/>
          <w:sz w:val="10"/>
        </w:rPr>
        <w:t> </w:t>
      </w:r>
      <w:r>
        <w:rPr>
          <w:color w:val="000000"/>
          <w:u w:val="single"/>
          <w:shd w:val="clear" w:color="auto" w:fill="00FF00"/>
        </w:rPr>
        <w:t>effective resistance is strategic. And</w:t>
      </w:r>
      <w:r w:rsidRPr="000973B7">
        <w:rPr>
          <w:color w:val="000000"/>
          <w:sz w:val="10"/>
        </w:rPr>
        <w:t> </w:t>
      </w:r>
      <w:r>
        <w:rPr>
          <w:color w:val="000000"/>
          <w:u w:val="single"/>
        </w:rPr>
        <w:t>strategic resistance is</w:t>
      </w:r>
      <w:r w:rsidRPr="000973B7">
        <w:rPr>
          <w:color w:val="000000"/>
          <w:sz w:val="10"/>
        </w:rPr>
        <w:t> </w:t>
      </w:r>
      <w:r>
        <w:rPr>
          <w:color w:val="000000"/>
          <w:u w:val="single"/>
        </w:rPr>
        <w:t>even more</w:t>
      </w:r>
      <w:r w:rsidRPr="000973B7">
        <w:rPr>
          <w:color w:val="000000"/>
          <w:sz w:val="10"/>
        </w:rPr>
        <w:t> </w:t>
      </w:r>
      <w:r>
        <w:rPr>
          <w:color w:val="000000"/>
          <w:u w:val="single"/>
          <w:shd w:val="clear" w:color="auto" w:fill="00FF00"/>
        </w:rPr>
        <w:t>impactful when paired with</w:t>
      </w:r>
      <w:r w:rsidRPr="000973B7">
        <w:rPr>
          <w:color w:val="000000"/>
          <w:sz w:val="10"/>
        </w:rPr>
        <w:t> </w:t>
      </w:r>
      <w:r>
        <w:rPr>
          <w:color w:val="000000"/>
          <w:u w:val="single"/>
        </w:rPr>
        <w:t>subtle and cunning forms of</w:t>
      </w:r>
      <w:r w:rsidRPr="000973B7">
        <w:rPr>
          <w:color w:val="000000"/>
          <w:sz w:val="10"/>
        </w:rPr>
        <w:t> </w:t>
      </w:r>
      <w:r>
        <w:rPr>
          <w:color w:val="000000"/>
          <w:u w:val="single"/>
          <w:shd w:val="clear" w:color="auto" w:fill="00FF00"/>
        </w:rPr>
        <w:t>persuasion.</w:t>
      </w:r>
      <w:r w:rsidRPr="000973B7">
        <w:rPr>
          <w:color w:val="000000"/>
          <w:sz w:val="10"/>
        </w:rPr>
        <w:t>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Pr>
          <w:color w:val="000000"/>
          <w:u w:val="single"/>
        </w:rPr>
        <w:t>Dark times lie ahead for</w:t>
      </w:r>
      <w:r w:rsidRPr="000973B7">
        <w:rPr>
          <w:color w:val="000000"/>
          <w:sz w:val="10"/>
        </w:rPr>
        <w:t> </w:t>
      </w:r>
      <w:r>
        <w:rPr>
          <w:color w:val="000000"/>
          <w:u w:val="single"/>
        </w:rPr>
        <w:t>the first people of this land and all who share it with us.</w:t>
      </w:r>
      <w:r w:rsidRPr="000973B7">
        <w:rPr>
          <w:color w:val="000000"/>
          <w:sz w:val="10"/>
        </w:rPr>
        <w:t> President-elect </w:t>
      </w:r>
      <w:r>
        <w:rPr>
          <w:color w:val="000000"/>
          <w:u w:val="single"/>
        </w:rPr>
        <w:t>Trump</w:t>
      </w:r>
      <w:r w:rsidRPr="000973B7">
        <w:rPr>
          <w:color w:val="000000"/>
          <w:sz w:val="10"/>
        </w:rPr>
        <w:t>, a former Dakota Access investor, </w:t>
      </w:r>
      <w:r>
        <w:rPr>
          <w:color w:val="000000"/>
          <w:u w:val="single"/>
        </w:rPr>
        <w:t>has threatened to approve the pipeline</w:t>
      </w:r>
      <w:r w:rsidRPr="000973B7">
        <w:rPr>
          <w:color w:val="000000"/>
          <w:sz w:val="10"/>
        </w:rPr>
        <w:t>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Pr>
          <w:color w:val="000000"/>
          <w:u w:val="singl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0973B7">
        <w:rPr>
          <w:color w:val="000000"/>
          <w:sz w:val="10"/>
        </w:rPr>
        <w:t> In politics, it turns out that Indians make the best Cowboys.</w:t>
      </w:r>
    </w:p>
    <w:p w:rsidR="000973B7" w:rsidRPr="000973B7" w:rsidRDefault="000973B7" w:rsidP="000973B7"/>
    <w:p w:rsidR="000973B7" w:rsidRDefault="000973B7" w:rsidP="000973B7">
      <w:pPr>
        <w:pStyle w:val="Heading4"/>
      </w:pPr>
      <w:r>
        <w:t>The success of the AIM and other indigenous movements and the ability to use political power to influence legislation shows that the state is not ontologically settler colonialist</w:t>
      </w:r>
    </w:p>
    <w:p w:rsidR="000973B7" w:rsidRPr="007E63F8" w:rsidRDefault="000973B7" w:rsidP="000973B7">
      <w:r w:rsidRPr="00402A1E">
        <w:rPr>
          <w:b/>
          <w:sz w:val="26"/>
          <w:szCs w:val="26"/>
        </w:rPr>
        <w:t>Fiorillo 15</w:t>
      </w:r>
      <w:r>
        <w:t xml:space="preserve"> </w:t>
      </w:r>
      <w:r w:rsidR="00402A1E">
        <w:t>[</w:t>
      </w:r>
      <w:r>
        <w:t xml:space="preserve">This thesis was prepared under the direction of the candidate's thesis advisor, Dr. Arlene Fradkin, Department of Anthropology, and has been approved by the members of her supervisory committee. It was submitted to the faculty of the Dorothy F. Schmidt College of Arts and Letters and was accepted in partial fulfillment of the requirements for the degree of Master of Arts. [December 2015 “THE IMPACT OF NATIVE AMERICAN ACTNISM AND THE MEDIA ON MUSEUM EXHIBITIONS OF INDIGENOUS PEOPLES: TWO CASE STUDIES” </w:t>
      </w:r>
      <w:r w:rsidRPr="00F41E7F">
        <w:t>https://www.proquest.com/openview/8124b6ce344c3c5e6d9d0c1400df89e7/1?pq-origsite=gscholar&amp;cbl=18750</w:t>
      </w:r>
      <w:r>
        <w:t xml:space="preserve">]  </w:t>
      </w:r>
    </w:p>
    <w:p w:rsidR="000973B7" w:rsidRPr="007E63F8" w:rsidRDefault="000973B7" w:rsidP="000973B7">
      <w:pPr>
        <w:rPr>
          <w:rStyle w:val="StyleUnderline"/>
        </w:rPr>
      </w:pPr>
      <w:r w:rsidRPr="007E63F8">
        <w:rPr>
          <w:rStyle w:val="StyleUnderline"/>
        </w:rPr>
        <w:t>The greatest tools in the self-determination movement's arsenal were American Indian activists groups, the most notorious of which was the American Indian Movement (AIM).</w:t>
      </w:r>
      <w:r w:rsidRPr="007E63F8">
        <w:rPr>
          <w:sz w:val="16"/>
        </w:rPr>
        <w:t xml:space="preserve"> The civil rights organization, which initially focused solely on Native Americans in urban communities, eventually expanded and aligned with the entirety of those seeking sovereignty and civil and cultural rights. </w:t>
      </w:r>
      <w:r w:rsidRPr="007E63F8">
        <w:rPr>
          <w:rStyle w:val="StyleUnderline"/>
        </w:rPr>
        <w:t>They sought economic independence, a renewal of traditional culture, the protection of their legal rights, and more importantly sovereignty over tribal properties and the restoration of lands that were historical tribally held territory</w:t>
      </w:r>
      <w:r w:rsidRPr="007E63F8">
        <w:rPr>
          <w:sz w:val="16"/>
        </w:rPr>
        <w:t xml:space="preserve"> (Campbell2010:309). Among the biggest offenders violating American Indian rights were museums and how they displayed and represented Native American cultures. Native Activist groups confronted museums with grievances regarding human remains and with appeals that American Indians be allowed to communicate their own histories to the public. In 1971, AIM protested the Southwest Museum in Los Angeles' public display of their ancestors' remains. Leaders denounced ~he desecration of their dead, their beliefs, and their sacred places for science and for public entertainment (Milo 2000:45). The most infamous museum was the Dickson Mounds Museum. The burial site sits on land previously owned by Don Dickson who excavated the mounds. Instead of removing the remains and funerary objects from the graves, he decided to leave them in place, uncovered and open to the public. The Dickson Mounds Museum became a state-owned and sanctioned museum when ownership was transferred to the state of Illinois. In the 1960s, </w:t>
      </w:r>
      <w:r w:rsidRPr="007E63F8">
        <w:rPr>
          <w:rStyle w:val="StyleUnderline"/>
        </w:rPr>
        <w:t>Native American protestors began to gain national attention, citing the desecration of the dead and racism, but they experienced a great deal of opposition from business owners living in the town and from researchers</w:t>
      </w:r>
      <w:r w:rsidRPr="007E63F8">
        <w:rPr>
          <w:sz w:val="16"/>
        </w:rPr>
        <w:t xml:space="preserve"> (Dellios 1992). It was not until1991-92 that the Dickson Mound's burials were enclosed and the remains laid to rest. Shortly thereafter, the museum closed for major renovations and in 1994 reopened to the public with new exhibitions in place. New York's Museum of Modem Art (MOMA) attempted to showcase a sacred Zuni figurine. However, after protests by the Zuni, the museum posted a note which stated that MOMA would not be put the figurine on display because of the objections raised by tribal authorities. Instead, the show ended with work from living indigenous artists (Clifford 1984:244-245). </w:t>
      </w:r>
      <w:r w:rsidRPr="007E63F8">
        <w:rPr>
          <w:rStyle w:val="StyleUnderline"/>
        </w:rPr>
        <w:t>In these instances of protest and negotiation, Native Americans demonstrated two important aspects of self-determination: the first is the power of protests, and the second is the growing political influence Native communities wielded. By voicing criticisms in the display of their culture, activists brought national attention to the problem through the use of the media The influence of the media, in turn, shifted public opinion toward deference for the cultural sensitivities of Native peoples and in favor of repatriation efforts by universities and museums</w:t>
      </w:r>
      <w:r w:rsidRPr="007E63F8">
        <w:rPr>
          <w:sz w:val="16"/>
        </w:rPr>
        <w:t xml:space="preserve"> (Milo 2000:45). </w:t>
      </w:r>
      <w:r w:rsidRPr="007E63F8">
        <w:rPr>
          <w:rStyle w:val="StyleUnderline"/>
        </w:rPr>
        <w:t>The growing political influence through protests led by Native communities and the subsequent favorable media coverage helped shape federal policy by first placing and then keeping Native American concerns on the national agenda (</w:t>
      </w:r>
      <w:r w:rsidRPr="007E63F8">
        <w:rPr>
          <w:sz w:val="16"/>
        </w:rPr>
        <w:t xml:space="preserve">Kotlowski 2003:204). While Native American activists made strides politically, museum-focused activists, however, struggled to combat a slowly changing museum culture. Remnants of an earlier time period still clung to museum policy despite some instances of renegotiation. There was still a feeling among museum professionals and scholars that they alone had authority over the collections and their histories. Professionals intentionally built a wall between the museum and the layperson to exclude any voice in the exhibitions that was not from a scholarly background. </w:t>
      </w:r>
      <w:r w:rsidRPr="007E63F8">
        <w:rPr>
          <w:rStyle w:val="StyleUnderline"/>
        </w:rPr>
        <w:t>The shifts in public opinion brought by the media was something that museums would have to reckon with, particularly when those same activists included a new tactic in their fight for change: legislation.</w:t>
      </w:r>
    </w:p>
    <w:p w:rsidR="000973B7" w:rsidRDefault="000973B7" w:rsidP="000973B7">
      <w:pPr>
        <w:pStyle w:val="Heading4"/>
        <w:spacing w:before="30" w:line="278" w:lineRule="atLeast"/>
        <w:rPr>
          <w:rFonts w:cs="Times New Roman"/>
          <w:color w:val="000000"/>
          <w:szCs w:val="26"/>
        </w:rPr>
      </w:pPr>
      <w:r>
        <w:rPr>
          <w:color w:val="000000"/>
          <w:szCs w:val="26"/>
        </w:rPr>
        <w:t>Imagining possible futures is key to indigenous organizing.</w:t>
      </w:r>
    </w:p>
    <w:p w:rsidR="000973B7" w:rsidRDefault="000973B7" w:rsidP="000973B7">
      <w:pPr>
        <w:spacing w:after="120" w:line="235" w:lineRule="atLeast"/>
        <w:rPr>
          <w:color w:val="000000"/>
        </w:rPr>
      </w:pPr>
      <w:r>
        <w:rPr>
          <w:b/>
          <w:bCs/>
          <w:color w:val="000000"/>
          <w:sz w:val="26"/>
          <w:szCs w:val="26"/>
        </w:rPr>
        <w:t>Anne</w:t>
      </w:r>
      <w:r>
        <w:rPr>
          <w:color w:val="000000"/>
        </w:rPr>
        <w:t> </w:t>
      </w:r>
      <w:r>
        <w:rPr>
          <w:b/>
          <w:bCs/>
          <w:color w:val="000000"/>
          <w:sz w:val="26"/>
          <w:szCs w:val="26"/>
        </w:rPr>
        <w:t>Spice 16</w:t>
      </w:r>
      <w:r>
        <w:rPr>
          <w:color w:val="000000"/>
        </w:rPr>
        <w:t>, Tlingit member of Kwanlin Dun First Nation and a doctoral student in anthropology at the CUNY Graduate Center, A History and Future of Resistance, https://www.jacobinmag.com/2016/09/standing-rock-dakota-access-pipeline-protest/</w:t>
      </w:r>
    </w:p>
    <w:p w:rsidR="004644E1" w:rsidRPr="004644E1" w:rsidRDefault="000973B7" w:rsidP="004644E1">
      <w:pPr>
        <w:spacing w:line="235" w:lineRule="atLeast"/>
        <w:rPr>
          <w:color w:val="000000"/>
          <w:sz w:val="14"/>
        </w:rPr>
      </w:pPr>
      <w:r>
        <w:rPr>
          <w:color w:val="000000"/>
          <w:u w:val="single"/>
          <w:shd w:val="clear" w:color="auto" w:fill="00FF00"/>
        </w:rPr>
        <w:t>The struggle against</w:t>
      </w:r>
      <w:r w:rsidRPr="00113114">
        <w:rPr>
          <w:color w:val="000000"/>
          <w:sz w:val="14"/>
        </w:rPr>
        <w:t> </w:t>
      </w:r>
      <w:r>
        <w:rPr>
          <w:color w:val="000000"/>
          <w:u w:val="single"/>
        </w:rPr>
        <w:t>the</w:t>
      </w:r>
      <w:r w:rsidRPr="00113114">
        <w:rPr>
          <w:color w:val="000000"/>
          <w:sz w:val="14"/>
        </w:rPr>
        <w:t> </w:t>
      </w:r>
      <w:r>
        <w:rPr>
          <w:b/>
          <w:bCs/>
          <w:color w:val="000000"/>
          <w:u w:val="single"/>
          <w:shd w:val="clear" w:color="auto" w:fill="00FF00"/>
        </w:rPr>
        <w:t>D</w:t>
      </w:r>
      <w:r>
        <w:rPr>
          <w:color w:val="000000"/>
          <w:u w:val="single"/>
        </w:rPr>
        <w:t>akota</w:t>
      </w:r>
      <w:r w:rsidRPr="00113114">
        <w:rPr>
          <w:color w:val="000000"/>
          <w:sz w:val="14"/>
        </w:rPr>
        <w:t> </w:t>
      </w:r>
      <w:r>
        <w:rPr>
          <w:b/>
          <w:bCs/>
          <w:color w:val="000000"/>
          <w:u w:val="single"/>
          <w:shd w:val="clear" w:color="auto" w:fill="00FF00"/>
        </w:rPr>
        <w:t>A</w:t>
      </w:r>
      <w:r>
        <w:rPr>
          <w:color w:val="000000"/>
          <w:u w:val="single"/>
        </w:rPr>
        <w:t>ccess</w:t>
      </w:r>
      <w:r w:rsidRPr="00113114">
        <w:rPr>
          <w:color w:val="000000"/>
          <w:sz w:val="14"/>
        </w:rPr>
        <w:t> </w:t>
      </w:r>
      <w:r>
        <w:rPr>
          <w:b/>
          <w:bCs/>
          <w:color w:val="000000"/>
          <w:u w:val="single"/>
          <w:shd w:val="clear" w:color="auto" w:fill="00FF00"/>
        </w:rPr>
        <w:t>P</w:t>
      </w:r>
      <w:r>
        <w:rPr>
          <w:color w:val="000000"/>
          <w:u w:val="single"/>
        </w:rPr>
        <w:t>ipe</w:t>
      </w:r>
      <w:r>
        <w:rPr>
          <w:b/>
          <w:bCs/>
          <w:color w:val="000000"/>
          <w:u w:val="single"/>
          <w:shd w:val="clear" w:color="auto" w:fill="00FF00"/>
        </w:rPr>
        <w:t>l</w:t>
      </w:r>
      <w:r>
        <w:rPr>
          <w:color w:val="000000"/>
          <w:u w:val="single"/>
        </w:rPr>
        <w:t>ine</w:t>
      </w:r>
      <w:r w:rsidRPr="00113114">
        <w:rPr>
          <w:color w:val="000000"/>
          <w:sz w:val="14"/>
        </w:rPr>
        <w:t> </w:t>
      </w:r>
      <w:r>
        <w:rPr>
          <w:color w:val="000000"/>
          <w:u w:val="single"/>
          <w:shd w:val="clear" w:color="auto" w:fill="00FF00"/>
        </w:rPr>
        <w:t>is</w:t>
      </w:r>
      <w:r w:rsidRPr="00113114">
        <w:rPr>
          <w:color w:val="000000"/>
          <w:sz w:val="14"/>
        </w:rPr>
        <w:t> </w:t>
      </w:r>
      <w:r>
        <w:rPr>
          <w:b/>
          <w:bCs/>
          <w:color w:val="000000"/>
          <w:u w:val="single"/>
          <w:shd w:val="clear" w:color="auto" w:fill="00FF00"/>
        </w:rPr>
        <w:t>rooted in</w:t>
      </w:r>
      <w:r w:rsidRPr="00113114">
        <w:rPr>
          <w:color w:val="000000"/>
          <w:sz w:val="14"/>
        </w:rPr>
        <w:t> this </w:t>
      </w:r>
      <w:r>
        <w:rPr>
          <w:b/>
          <w:bCs/>
          <w:color w:val="000000"/>
          <w:u w:val="single"/>
          <w:shd w:val="clear" w:color="auto" w:fill="00FF00"/>
        </w:rPr>
        <w:t>history</w:t>
      </w:r>
      <w:r>
        <w:rPr>
          <w:color w:val="000000"/>
          <w:u w:val="single"/>
        </w:rPr>
        <w:t>. Indeed, the pipeline violates the same treaty that underwrote the AIM occupation of Wounded Knee. And</w:t>
      </w:r>
      <w:r w:rsidRPr="00113114">
        <w:rPr>
          <w:color w:val="000000"/>
          <w:sz w:val="14"/>
        </w:rPr>
        <w:t> </w:t>
      </w:r>
      <w:r>
        <w:rPr>
          <w:b/>
          <w:bCs/>
          <w:color w:val="000000"/>
          <w:u w:val="single"/>
          <w:shd w:val="clear" w:color="auto" w:fill="00FF00"/>
        </w:rPr>
        <w:t>just as AIM demanded respect for</w:t>
      </w:r>
      <w:r w:rsidRPr="00113114">
        <w:rPr>
          <w:color w:val="000000"/>
          <w:sz w:val="14"/>
        </w:rPr>
        <w:t> </w:t>
      </w:r>
      <w:r>
        <w:rPr>
          <w:b/>
          <w:bCs/>
          <w:color w:val="000000"/>
          <w:u w:val="single"/>
        </w:rPr>
        <w:t>the</w:t>
      </w:r>
      <w:r w:rsidRPr="00113114">
        <w:rPr>
          <w:color w:val="000000"/>
          <w:sz w:val="14"/>
        </w:rPr>
        <w:t> </w:t>
      </w:r>
      <w:r>
        <w:rPr>
          <w:b/>
          <w:bCs/>
          <w:color w:val="000000"/>
          <w:u w:val="single"/>
          <w:shd w:val="clear" w:color="auto" w:fill="00FF00"/>
        </w:rPr>
        <w:t>treaties and</w:t>
      </w:r>
      <w:r w:rsidRPr="00113114">
        <w:rPr>
          <w:color w:val="000000"/>
          <w:sz w:val="14"/>
        </w:rPr>
        <w:t> </w:t>
      </w:r>
      <w:r>
        <w:rPr>
          <w:b/>
          <w:bCs/>
          <w:color w:val="000000"/>
          <w:u w:val="single"/>
        </w:rPr>
        <w:t>indigenous</w:t>
      </w:r>
      <w:r w:rsidRPr="00113114">
        <w:rPr>
          <w:color w:val="000000"/>
          <w:sz w:val="14"/>
        </w:rPr>
        <w:t> </w:t>
      </w:r>
      <w:r>
        <w:rPr>
          <w:b/>
          <w:bCs/>
          <w:color w:val="000000"/>
          <w:u w:val="single"/>
          <w:shd w:val="clear" w:color="auto" w:fill="00FF00"/>
        </w:rPr>
        <w:t>sovereignty</w:t>
      </w:r>
      <w:r>
        <w:rPr>
          <w:color w:val="000000"/>
          <w:u w:val="single"/>
        </w:rPr>
        <w:t>, the</w:t>
      </w:r>
      <w:r w:rsidRPr="00113114">
        <w:rPr>
          <w:color w:val="000000"/>
          <w:sz w:val="14"/>
        </w:rPr>
        <w:t> </w:t>
      </w:r>
      <w:r>
        <w:rPr>
          <w:b/>
          <w:bCs/>
          <w:color w:val="000000"/>
          <w:u w:val="single"/>
          <w:shd w:val="clear" w:color="auto" w:fill="00FF00"/>
        </w:rPr>
        <w:t>Standing Rock</w:t>
      </w:r>
      <w:r w:rsidRPr="00113114">
        <w:rPr>
          <w:color w:val="000000"/>
          <w:sz w:val="14"/>
        </w:rPr>
        <w:t> </w:t>
      </w:r>
      <w:r>
        <w:rPr>
          <w:b/>
          <w:bCs/>
          <w:color w:val="000000"/>
          <w:u w:val="single"/>
        </w:rPr>
        <w:t>Sioux</w:t>
      </w:r>
      <w:r w:rsidRPr="00113114">
        <w:rPr>
          <w:color w:val="000000"/>
          <w:sz w:val="14"/>
        </w:rPr>
        <w:t> </w:t>
      </w:r>
      <w:r>
        <w:rPr>
          <w:color w:val="000000"/>
          <w:u w:val="single"/>
          <w:shd w:val="clear" w:color="auto" w:fill="00FF00"/>
        </w:rPr>
        <w:t>are demanding</w:t>
      </w:r>
      <w:r w:rsidRPr="00113114">
        <w:rPr>
          <w:color w:val="000000"/>
          <w:sz w:val="14"/>
        </w:rPr>
        <w:t> </w:t>
      </w:r>
      <w:r>
        <w:rPr>
          <w:color w:val="000000"/>
          <w:u w:val="single"/>
        </w:rPr>
        <w:t>that</w:t>
      </w:r>
      <w:r w:rsidRPr="00113114">
        <w:rPr>
          <w:color w:val="000000"/>
          <w:sz w:val="14"/>
        </w:rPr>
        <w:t> </w:t>
      </w:r>
      <w:r>
        <w:rPr>
          <w:color w:val="000000"/>
          <w:u w:val="single"/>
          <w:shd w:val="clear" w:color="auto" w:fill="00FF00"/>
        </w:rPr>
        <w:t>the Fort Laramie Treaty be</w:t>
      </w:r>
      <w:r w:rsidRPr="00113114">
        <w:rPr>
          <w:color w:val="000000"/>
          <w:sz w:val="14"/>
        </w:rPr>
        <w:t> </w:t>
      </w:r>
      <w:r>
        <w:rPr>
          <w:b/>
          <w:bCs/>
          <w:color w:val="000000"/>
          <w:u w:val="single"/>
          <w:shd w:val="clear" w:color="auto" w:fill="00FF00"/>
        </w:rPr>
        <w:t>honored</w:t>
      </w:r>
      <w:r w:rsidRPr="00113114">
        <w:rPr>
          <w:color w:val="000000"/>
          <w:sz w:val="14"/>
        </w:rPr>
        <w:t> </w:t>
      </w:r>
      <w:r>
        <w:rPr>
          <w:color w:val="000000"/>
          <w:u w:val="single"/>
        </w:rPr>
        <w:t>and the</w:t>
      </w:r>
      <w:r w:rsidRPr="00113114">
        <w:rPr>
          <w:color w:val="000000"/>
          <w:sz w:val="14"/>
        </w:rPr>
        <w:t> </w:t>
      </w:r>
      <w:r>
        <w:rPr>
          <w:b/>
          <w:bCs/>
          <w:color w:val="000000"/>
          <w:u w:val="single"/>
        </w:rPr>
        <w:t>land and water be protected</w:t>
      </w:r>
      <w:r>
        <w:rPr>
          <w:color w:val="000000"/>
          <w:u w:val="single"/>
        </w:rPr>
        <w:t>. The</w:t>
      </w:r>
      <w:r w:rsidRPr="00113114">
        <w:rPr>
          <w:color w:val="000000"/>
          <w:sz w:val="14"/>
        </w:rPr>
        <w:t> </w:t>
      </w:r>
      <w:r>
        <w:rPr>
          <w:color w:val="000000"/>
          <w:u w:val="single"/>
          <w:shd w:val="clear" w:color="auto" w:fill="00FF00"/>
        </w:rPr>
        <w:t>people who</w:t>
      </w:r>
      <w:r w:rsidRPr="00113114">
        <w:rPr>
          <w:color w:val="000000"/>
          <w:sz w:val="14"/>
        </w:rPr>
        <w:t> </w:t>
      </w:r>
      <w:r>
        <w:rPr>
          <w:color w:val="000000"/>
          <w:u w:val="single"/>
        </w:rPr>
        <w:t>have</w:t>
      </w:r>
      <w:r w:rsidRPr="00113114">
        <w:rPr>
          <w:color w:val="000000"/>
          <w:sz w:val="14"/>
        </w:rPr>
        <w:t> </w:t>
      </w:r>
      <w:r>
        <w:rPr>
          <w:color w:val="000000"/>
          <w:u w:val="single"/>
          <w:shd w:val="clear" w:color="auto" w:fill="00FF00"/>
        </w:rPr>
        <w:t>endured</w:t>
      </w:r>
      <w:r w:rsidRPr="00113114">
        <w:rPr>
          <w:color w:val="000000"/>
          <w:sz w:val="14"/>
        </w:rPr>
        <w:t> </w:t>
      </w:r>
      <w:r>
        <w:rPr>
          <w:b/>
          <w:bCs/>
          <w:color w:val="000000"/>
          <w:u w:val="single"/>
        </w:rPr>
        <w:t>centuries of</w:t>
      </w:r>
      <w:r w:rsidRPr="00113114">
        <w:rPr>
          <w:color w:val="000000"/>
          <w:sz w:val="14"/>
        </w:rPr>
        <w:t> </w:t>
      </w:r>
      <w:r>
        <w:rPr>
          <w:b/>
          <w:bCs/>
          <w:color w:val="000000"/>
          <w:u w:val="single"/>
          <w:shd w:val="clear" w:color="auto" w:fill="00FF00"/>
        </w:rPr>
        <w:t>dispossession</w:t>
      </w:r>
      <w:r w:rsidRPr="00113114">
        <w:rPr>
          <w:color w:val="000000"/>
          <w:sz w:val="14"/>
        </w:rPr>
        <w:t> and attempted elimination — the poorest of the poor, the most likely to be killed by law enforcement, the most easily forgotten — </w:t>
      </w:r>
      <w:r>
        <w:rPr>
          <w:color w:val="000000"/>
          <w:u w:val="single"/>
          <w:shd w:val="clear" w:color="auto" w:fill="00FF00"/>
        </w:rPr>
        <w:t>are</w:t>
      </w:r>
      <w:r w:rsidRPr="00113114">
        <w:rPr>
          <w:color w:val="000000"/>
          <w:sz w:val="14"/>
        </w:rPr>
        <w:t> </w:t>
      </w:r>
      <w:r>
        <w:rPr>
          <w:b/>
          <w:bCs/>
          <w:color w:val="000000"/>
          <w:u w:val="single"/>
        </w:rPr>
        <w:t>still here and</w:t>
      </w:r>
      <w:r w:rsidRPr="00113114">
        <w:rPr>
          <w:color w:val="000000"/>
          <w:sz w:val="14"/>
        </w:rPr>
        <w:t> </w:t>
      </w:r>
      <w:r>
        <w:rPr>
          <w:b/>
          <w:bCs/>
          <w:color w:val="000000"/>
          <w:u w:val="single"/>
          <w:shd w:val="clear" w:color="auto" w:fill="00FF00"/>
        </w:rPr>
        <w:t>still fighting</w:t>
      </w:r>
      <w:r>
        <w:rPr>
          <w:color w:val="000000"/>
          <w:u w:val="single"/>
        </w:rPr>
        <w:t>. They have</w:t>
      </w:r>
      <w:r w:rsidRPr="00113114">
        <w:rPr>
          <w:color w:val="000000"/>
          <w:sz w:val="14"/>
        </w:rPr>
        <w:t> </w:t>
      </w:r>
      <w:r>
        <w:rPr>
          <w:b/>
          <w:bCs/>
          <w:color w:val="000000"/>
          <w:u w:val="single"/>
          <w:shd w:val="clear" w:color="auto" w:fill="00FF00"/>
        </w:rPr>
        <w:t>built alternatives</w:t>
      </w:r>
      <w:r w:rsidRPr="00113114">
        <w:rPr>
          <w:color w:val="000000"/>
          <w:sz w:val="14"/>
        </w:rPr>
        <w:t> within and beyond capitalism </w:t>
      </w:r>
      <w:r>
        <w:rPr>
          <w:color w:val="000000"/>
          <w:u w:val="single"/>
        </w:rPr>
        <w:t>for</w:t>
      </w:r>
      <w:r w:rsidRPr="00113114">
        <w:rPr>
          <w:color w:val="000000"/>
          <w:sz w:val="14"/>
        </w:rPr>
        <w:t> </w:t>
      </w:r>
      <w:r>
        <w:rPr>
          <w:b/>
          <w:bCs/>
          <w:color w:val="000000"/>
          <w:u w:val="single"/>
        </w:rPr>
        <w:t>hundreds of years</w:t>
      </w:r>
      <w:r w:rsidRPr="00113114">
        <w:rPr>
          <w:color w:val="000000"/>
          <w:sz w:val="14"/>
        </w:rPr>
        <w:t>. </w:t>
      </w:r>
      <w:r>
        <w:rPr>
          <w:color w:val="000000"/>
          <w:u w:val="single"/>
        </w:rPr>
        <w:t>They are the carriers of traditions of</w:t>
      </w:r>
      <w:r w:rsidRPr="00113114">
        <w:rPr>
          <w:color w:val="000000"/>
          <w:sz w:val="14"/>
        </w:rPr>
        <w:t> </w:t>
      </w:r>
      <w:r>
        <w:rPr>
          <w:b/>
          <w:bCs/>
          <w:color w:val="000000"/>
          <w:u w:val="single"/>
        </w:rPr>
        <w:t>indigenous resistance and resurgence</w:t>
      </w:r>
      <w:r w:rsidRPr="00113114">
        <w:rPr>
          <w:color w:val="000000"/>
          <w:sz w:val="14"/>
        </w:rPr>
        <w:t> </w:t>
      </w:r>
      <w:r>
        <w:rPr>
          <w:color w:val="000000"/>
          <w:u w:val="single"/>
        </w:rPr>
        <w:t>simultaneously rooted in Lakota land and history, and</w:t>
      </w:r>
      <w:r w:rsidRPr="00113114">
        <w:rPr>
          <w:color w:val="000000"/>
          <w:sz w:val="14"/>
        </w:rPr>
        <w:t> </w:t>
      </w:r>
      <w:r>
        <w:rPr>
          <w:b/>
          <w:bCs/>
          <w:color w:val="000000"/>
          <w:u w:val="single"/>
        </w:rPr>
        <w:t>global in scope</w:t>
      </w:r>
      <w:r w:rsidRPr="00113114">
        <w:rPr>
          <w:color w:val="000000"/>
          <w:sz w:val="14"/>
        </w:rPr>
        <w:t>. In recent decades, this struggle has been threatened by neoliberal cooptation. </w:t>
      </w:r>
      <w:r>
        <w:rPr>
          <w:color w:val="000000"/>
          <w:u w:val="single"/>
        </w:rPr>
        <w:t>Repelled by a colonizing state, many indigenous groups found themselves in an</w:t>
      </w:r>
      <w:r w:rsidRPr="00113114">
        <w:rPr>
          <w:color w:val="000000"/>
          <w:sz w:val="14"/>
        </w:rPr>
        <w:t> </w:t>
      </w:r>
      <w:r>
        <w:rPr>
          <w:b/>
          <w:bCs/>
          <w:color w:val="000000"/>
          <w:u w:val="single"/>
        </w:rPr>
        <w:t>uneasy alliance</w:t>
      </w:r>
      <w:r w:rsidRPr="00113114">
        <w:rPr>
          <w:color w:val="000000"/>
          <w:sz w:val="14"/>
        </w:rPr>
        <w:t> </w:t>
      </w:r>
      <w:r>
        <w:rPr>
          <w:color w:val="000000"/>
          <w:u w:val="single"/>
        </w:rPr>
        <w:t>with neoliberals who denounced “big government”</w:t>
      </w:r>
      <w:r w:rsidRPr="00113114">
        <w:rPr>
          <w:color w:val="000000"/>
          <w:sz w:val="14"/>
        </w:rPr>
        <w:t> and jumped at the opportunity to slash the welfare state and restructure tribes as junior corporate partners in the global economy. “Tribal sovereignty” became increasingly conflated with owning and profiting from an Indian casino. Yet </w:t>
      </w:r>
      <w:r>
        <w:rPr>
          <w:color w:val="000000"/>
          <w:u w:val="single"/>
        </w:rPr>
        <w:t>despite the absence of a free-market critique in some indigenous circles, Standing Rock and other actions have emerged as</w:t>
      </w:r>
      <w:r w:rsidRPr="00113114">
        <w:rPr>
          <w:color w:val="000000"/>
          <w:sz w:val="14"/>
        </w:rPr>
        <w:t> </w:t>
      </w:r>
      <w:r>
        <w:rPr>
          <w:b/>
          <w:bCs/>
          <w:color w:val="000000"/>
          <w:u w:val="single"/>
        </w:rPr>
        <w:t>exemplary counterweights</w:t>
      </w:r>
      <w:r w:rsidRPr="00113114">
        <w:rPr>
          <w:color w:val="000000"/>
          <w:sz w:val="14"/>
        </w:rPr>
        <w:t> </w:t>
      </w:r>
      <w:r>
        <w:rPr>
          <w:color w:val="000000"/>
          <w:u w:val="single"/>
        </w:rPr>
        <w:t>to this pernicious drift</w:t>
      </w:r>
      <w:r w:rsidRPr="00113114">
        <w:rPr>
          <w:color w:val="000000"/>
          <w:sz w:val="14"/>
        </w:rPr>
        <w:t>. And </w:t>
      </w:r>
      <w:r>
        <w:rPr>
          <w:color w:val="000000"/>
          <w:u w:val="single"/>
        </w:rPr>
        <w:t>elsewhere, indigenous land protectors are also</w:t>
      </w:r>
      <w:r w:rsidRPr="00113114">
        <w:rPr>
          <w:color w:val="000000"/>
          <w:sz w:val="14"/>
        </w:rPr>
        <w:t> </w:t>
      </w:r>
      <w:r>
        <w:rPr>
          <w:b/>
          <w:bCs/>
          <w:color w:val="000000"/>
          <w:u w:val="single"/>
          <w:shd w:val="clear" w:color="auto" w:fill="00FF00"/>
        </w:rPr>
        <w:t>navigating</w:t>
      </w:r>
      <w:r w:rsidRPr="00113114">
        <w:rPr>
          <w:color w:val="000000"/>
          <w:sz w:val="14"/>
        </w:rPr>
        <w:t> </w:t>
      </w:r>
      <w:r>
        <w:rPr>
          <w:b/>
          <w:bCs/>
          <w:color w:val="000000"/>
          <w:u w:val="single"/>
        </w:rPr>
        <w:t>the currents of</w:t>
      </w:r>
      <w:r w:rsidRPr="00113114">
        <w:rPr>
          <w:color w:val="000000"/>
          <w:sz w:val="14"/>
        </w:rPr>
        <w:t> </w:t>
      </w:r>
      <w:r>
        <w:rPr>
          <w:b/>
          <w:bCs/>
          <w:color w:val="000000"/>
          <w:u w:val="single"/>
          <w:shd w:val="clear" w:color="auto" w:fill="00FF00"/>
        </w:rPr>
        <w:t>globalization</w:t>
      </w:r>
      <w:r w:rsidRPr="00113114">
        <w:rPr>
          <w:color w:val="000000"/>
          <w:sz w:val="14"/>
        </w:rPr>
        <w:t> </w:t>
      </w:r>
      <w:r>
        <w:rPr>
          <w:color w:val="000000"/>
          <w:u w:val="single"/>
          <w:shd w:val="clear" w:color="auto" w:fill="00FF00"/>
        </w:rPr>
        <w:t>to great effect</w:t>
      </w:r>
      <w:r>
        <w:rPr>
          <w:color w:val="000000"/>
          <w:u w:val="single"/>
        </w:rPr>
        <w:t>. The</w:t>
      </w:r>
      <w:r w:rsidRPr="00113114">
        <w:rPr>
          <w:color w:val="000000"/>
          <w:sz w:val="14"/>
        </w:rPr>
        <w:t> </w:t>
      </w:r>
      <w:r>
        <w:rPr>
          <w:color w:val="000000"/>
          <w:u w:val="single"/>
          <w:shd w:val="clear" w:color="auto" w:fill="00FF00"/>
        </w:rPr>
        <w:t>Unist’ot’en</w:t>
      </w:r>
      <w:r w:rsidRPr="00113114">
        <w:rPr>
          <w:color w:val="000000"/>
          <w:sz w:val="14"/>
        </w:rPr>
        <w:t> </w:t>
      </w:r>
      <w:r>
        <w:rPr>
          <w:color w:val="000000"/>
          <w:u w:val="single"/>
        </w:rPr>
        <w:t>camp in northern British Columbia has</w:t>
      </w:r>
      <w:r w:rsidRPr="00113114">
        <w:rPr>
          <w:color w:val="000000"/>
          <w:sz w:val="14"/>
        </w:rPr>
        <w:t>, thus far, </w:t>
      </w:r>
      <w:r>
        <w:rPr>
          <w:color w:val="000000"/>
          <w:u w:val="single"/>
          <w:shd w:val="clear" w:color="auto" w:fill="00FF00"/>
        </w:rPr>
        <w:t>blocked</w:t>
      </w:r>
      <w:r w:rsidRPr="00113114">
        <w:rPr>
          <w:color w:val="000000"/>
          <w:sz w:val="14"/>
        </w:rPr>
        <w:t> </w:t>
      </w:r>
      <w:r>
        <w:rPr>
          <w:color w:val="000000"/>
          <w:u w:val="single"/>
        </w:rPr>
        <w:t>construction of</w:t>
      </w:r>
      <w:r w:rsidRPr="00113114">
        <w:rPr>
          <w:color w:val="000000"/>
          <w:sz w:val="14"/>
        </w:rPr>
        <w:t> </w:t>
      </w:r>
      <w:r>
        <w:rPr>
          <w:b/>
          <w:bCs/>
          <w:color w:val="000000"/>
          <w:u w:val="single"/>
          <w:shd w:val="clear" w:color="auto" w:fill="00FF00"/>
        </w:rPr>
        <w:t>numerous</w:t>
      </w:r>
      <w:r w:rsidRPr="00113114">
        <w:rPr>
          <w:color w:val="000000"/>
          <w:sz w:val="14"/>
        </w:rPr>
        <w:t> </w:t>
      </w:r>
      <w:r>
        <w:rPr>
          <w:b/>
          <w:bCs/>
          <w:color w:val="000000"/>
          <w:u w:val="single"/>
        </w:rPr>
        <w:t>potential and proposed</w:t>
      </w:r>
      <w:r w:rsidRPr="00113114">
        <w:rPr>
          <w:color w:val="000000"/>
          <w:sz w:val="14"/>
        </w:rPr>
        <w:t> </w:t>
      </w:r>
      <w:r>
        <w:rPr>
          <w:b/>
          <w:bCs/>
          <w:color w:val="000000"/>
          <w:u w:val="single"/>
          <w:shd w:val="clear" w:color="auto" w:fill="00FF00"/>
        </w:rPr>
        <w:t>pipelines</w:t>
      </w:r>
      <w:r w:rsidRPr="00113114">
        <w:rPr>
          <w:color w:val="000000"/>
          <w:sz w:val="14"/>
        </w:rPr>
        <w:t> </w:t>
      </w:r>
      <w:r>
        <w:rPr>
          <w:color w:val="000000"/>
          <w:u w:val="single"/>
        </w:rPr>
        <w:t>through their territory,</w:t>
      </w:r>
      <w:r w:rsidRPr="00113114">
        <w:rPr>
          <w:color w:val="000000"/>
          <w:sz w:val="14"/>
        </w:rPr>
        <w:t> </w:t>
      </w:r>
      <w:r>
        <w:rPr>
          <w:color w:val="000000"/>
          <w:u w:val="single"/>
          <w:shd w:val="clear" w:color="auto" w:fill="00FF00"/>
        </w:rPr>
        <w:t>building a space where</w:t>
      </w:r>
      <w:r w:rsidRPr="00113114">
        <w:rPr>
          <w:color w:val="000000"/>
          <w:sz w:val="14"/>
        </w:rPr>
        <w:t> </w:t>
      </w:r>
      <w:r>
        <w:rPr>
          <w:b/>
          <w:bCs/>
          <w:color w:val="000000"/>
          <w:u w:val="single"/>
          <w:shd w:val="clear" w:color="auto" w:fill="00FF00"/>
        </w:rPr>
        <w:t>indigenous lifeways can persist</w:t>
      </w:r>
      <w:r w:rsidRPr="00113114">
        <w:rPr>
          <w:color w:val="000000"/>
          <w:sz w:val="14"/>
        </w:rPr>
        <w:t> </w:t>
      </w:r>
      <w:r>
        <w:rPr>
          <w:color w:val="000000"/>
          <w:u w:val="single"/>
          <w:shd w:val="clear" w:color="auto" w:fill="00FF00"/>
        </w:rPr>
        <w:t>on lands defined</w:t>
      </w:r>
      <w:r w:rsidRPr="00113114">
        <w:rPr>
          <w:color w:val="000000"/>
          <w:sz w:val="14"/>
        </w:rPr>
        <w:t> </w:t>
      </w:r>
      <w:r>
        <w:rPr>
          <w:color w:val="000000"/>
          <w:u w:val="single"/>
        </w:rPr>
        <w:t>by industry</w:t>
      </w:r>
      <w:r w:rsidRPr="00113114">
        <w:rPr>
          <w:color w:val="000000"/>
          <w:sz w:val="14"/>
        </w:rPr>
        <w:t> </w:t>
      </w:r>
      <w:r>
        <w:rPr>
          <w:color w:val="000000"/>
          <w:u w:val="single"/>
          <w:shd w:val="clear" w:color="auto" w:fill="00FF00"/>
        </w:rPr>
        <w:t>as an “energy corridor.” In</w:t>
      </w:r>
      <w:r w:rsidRPr="00113114">
        <w:rPr>
          <w:color w:val="000000"/>
          <w:sz w:val="14"/>
        </w:rPr>
        <w:t> </w:t>
      </w:r>
      <w:r>
        <w:rPr>
          <w:b/>
          <w:bCs/>
          <w:color w:val="000000"/>
          <w:u w:val="single"/>
          <w:shd w:val="clear" w:color="auto" w:fill="00FF00"/>
        </w:rPr>
        <w:t>Minnesota</w:t>
      </w:r>
      <w:r w:rsidRPr="00113114">
        <w:rPr>
          <w:color w:val="000000"/>
          <w:sz w:val="14"/>
        </w:rPr>
        <w:t>, the energy company </w:t>
      </w:r>
      <w:r>
        <w:rPr>
          <w:b/>
          <w:bCs/>
          <w:color w:val="000000"/>
          <w:u w:val="single"/>
          <w:shd w:val="clear" w:color="auto" w:fill="00FF00"/>
        </w:rPr>
        <w:t>Enbridge</w:t>
      </w:r>
      <w:r w:rsidRPr="00113114">
        <w:rPr>
          <w:color w:val="000000"/>
          <w:sz w:val="14"/>
        </w:rPr>
        <w:t> </w:t>
      </w:r>
      <w:r>
        <w:rPr>
          <w:color w:val="000000"/>
          <w:u w:val="single"/>
        </w:rPr>
        <w:t>recently</w:t>
      </w:r>
      <w:r w:rsidRPr="00113114">
        <w:rPr>
          <w:color w:val="000000"/>
          <w:sz w:val="14"/>
        </w:rPr>
        <w:t> </w:t>
      </w:r>
      <w:r>
        <w:rPr>
          <w:color w:val="000000"/>
          <w:u w:val="single"/>
          <w:shd w:val="clear" w:color="auto" w:fill="00FF00"/>
        </w:rPr>
        <w:t>shelved plans for the</w:t>
      </w:r>
      <w:r w:rsidRPr="00113114">
        <w:rPr>
          <w:color w:val="000000"/>
          <w:sz w:val="14"/>
        </w:rPr>
        <w:t> </w:t>
      </w:r>
      <w:r>
        <w:rPr>
          <w:b/>
          <w:bCs/>
          <w:color w:val="000000"/>
          <w:u w:val="single"/>
          <w:shd w:val="clear" w:color="auto" w:fill="00FF00"/>
        </w:rPr>
        <w:t>Sandpiper</w:t>
      </w:r>
      <w:r w:rsidRPr="00113114">
        <w:rPr>
          <w:color w:val="000000"/>
          <w:sz w:val="14"/>
        </w:rPr>
        <w:t> </w:t>
      </w:r>
      <w:r>
        <w:rPr>
          <w:color w:val="000000"/>
          <w:u w:val="single"/>
          <w:shd w:val="clear" w:color="auto" w:fill="00FF00"/>
        </w:rPr>
        <w:t>pipeline</w:t>
      </w:r>
      <w:r w:rsidRPr="00113114">
        <w:rPr>
          <w:color w:val="000000"/>
          <w:sz w:val="14"/>
        </w:rPr>
        <w:t>, partially </w:t>
      </w:r>
      <w:r>
        <w:rPr>
          <w:color w:val="000000"/>
          <w:u w:val="single"/>
          <w:shd w:val="clear" w:color="auto" w:fill="00FF00"/>
        </w:rPr>
        <w:t>in response to</w:t>
      </w:r>
      <w:r w:rsidRPr="00113114">
        <w:rPr>
          <w:color w:val="000000"/>
          <w:sz w:val="14"/>
        </w:rPr>
        <w:t> </w:t>
      </w:r>
      <w:r>
        <w:rPr>
          <w:b/>
          <w:bCs/>
          <w:color w:val="000000"/>
          <w:u w:val="single"/>
          <w:shd w:val="clear" w:color="auto" w:fill="00FF00"/>
        </w:rPr>
        <w:t>tribal opposition</w:t>
      </w:r>
      <w:r w:rsidRPr="00113114">
        <w:rPr>
          <w:color w:val="000000"/>
          <w:sz w:val="14"/>
        </w:rPr>
        <w:t>. And the </w:t>
      </w:r>
      <w:r>
        <w:rPr>
          <w:color w:val="000000"/>
          <w:u w:val="single"/>
          <w:shd w:val="clear" w:color="auto" w:fill="00FF00"/>
        </w:rPr>
        <w:t>Obama</w:t>
      </w:r>
      <w:r w:rsidRPr="00113114">
        <w:rPr>
          <w:color w:val="000000"/>
          <w:sz w:val="14"/>
        </w:rPr>
        <w:t> administration </w:t>
      </w:r>
      <w:r>
        <w:rPr>
          <w:b/>
          <w:bCs/>
          <w:color w:val="000000"/>
          <w:u w:val="single"/>
          <w:shd w:val="clear" w:color="auto" w:fill="00FF00"/>
        </w:rPr>
        <w:t>nixed</w:t>
      </w:r>
      <w:r w:rsidRPr="00113114">
        <w:rPr>
          <w:color w:val="000000"/>
          <w:sz w:val="14"/>
        </w:rPr>
        <w:t> the </w:t>
      </w:r>
      <w:r>
        <w:rPr>
          <w:b/>
          <w:bCs/>
          <w:color w:val="000000"/>
          <w:u w:val="single"/>
          <w:shd w:val="clear" w:color="auto" w:fill="00FF00"/>
        </w:rPr>
        <w:t>K</w:t>
      </w:r>
      <w:r>
        <w:rPr>
          <w:color w:val="000000"/>
          <w:u w:val="single"/>
        </w:rPr>
        <w:t>eystone</w:t>
      </w:r>
      <w:r w:rsidRPr="00113114">
        <w:rPr>
          <w:color w:val="000000"/>
          <w:sz w:val="14"/>
        </w:rPr>
        <w:t> </w:t>
      </w:r>
      <w:r>
        <w:rPr>
          <w:b/>
          <w:bCs/>
          <w:color w:val="000000"/>
          <w:u w:val="single"/>
          <w:shd w:val="clear" w:color="auto" w:fill="00FF00"/>
        </w:rPr>
        <w:t>XL</w:t>
      </w:r>
      <w:r w:rsidRPr="00113114">
        <w:rPr>
          <w:color w:val="000000"/>
          <w:sz w:val="14"/>
        </w:rPr>
        <w:t> Pipeline, </w:t>
      </w:r>
      <w:r>
        <w:rPr>
          <w:color w:val="000000"/>
          <w:u w:val="single"/>
        </w:rPr>
        <w:t>after facing enormous pressure from tribes and their allies.</w:t>
      </w:r>
      <w:r w:rsidRPr="00113114">
        <w:rPr>
          <w:color w:val="000000"/>
          <w:sz w:val="14"/>
        </w:rPr>
        <w:t> </w:t>
      </w:r>
      <w:r>
        <w:rPr>
          <w:color w:val="000000"/>
          <w:u w:val="single"/>
          <w:shd w:val="clear" w:color="auto" w:fill="00FF00"/>
        </w:rPr>
        <w:t>In</w:t>
      </w:r>
      <w:r w:rsidRPr="00113114">
        <w:rPr>
          <w:color w:val="000000"/>
          <w:sz w:val="14"/>
        </w:rPr>
        <w:t> </w:t>
      </w:r>
      <w:r>
        <w:rPr>
          <w:color w:val="000000"/>
          <w:u w:val="single"/>
        </w:rPr>
        <w:t>each of</w:t>
      </w:r>
      <w:r w:rsidRPr="00113114">
        <w:rPr>
          <w:color w:val="000000"/>
          <w:sz w:val="14"/>
        </w:rPr>
        <w:t> </w:t>
      </w:r>
      <w:r>
        <w:rPr>
          <w:color w:val="000000"/>
          <w:u w:val="single"/>
          <w:shd w:val="clear" w:color="auto" w:fill="00FF00"/>
        </w:rPr>
        <w:t>these instances, indigenous peoples are</w:t>
      </w:r>
      <w:r w:rsidRPr="00113114">
        <w:rPr>
          <w:color w:val="000000"/>
          <w:sz w:val="14"/>
        </w:rPr>
        <w:t> </w:t>
      </w:r>
      <w:r>
        <w:rPr>
          <w:b/>
          <w:bCs/>
          <w:color w:val="000000"/>
          <w:u w:val="single"/>
          <w:shd w:val="clear" w:color="auto" w:fill="00FF00"/>
        </w:rPr>
        <w:t>more than</w:t>
      </w:r>
      <w:r w:rsidRPr="00113114">
        <w:rPr>
          <w:color w:val="000000"/>
          <w:sz w:val="14"/>
        </w:rPr>
        <w:t> </w:t>
      </w:r>
      <w:r>
        <w:rPr>
          <w:b/>
          <w:bCs/>
          <w:color w:val="000000"/>
          <w:u w:val="single"/>
        </w:rPr>
        <w:t>cameo</w:t>
      </w:r>
      <w:r w:rsidRPr="00113114">
        <w:rPr>
          <w:color w:val="000000"/>
          <w:sz w:val="14"/>
        </w:rPr>
        <w:t> </w:t>
      </w:r>
      <w:r>
        <w:rPr>
          <w:b/>
          <w:bCs/>
          <w:color w:val="000000"/>
          <w:u w:val="single"/>
          <w:shd w:val="clear" w:color="auto" w:fill="00FF00"/>
        </w:rPr>
        <w:t>extras</w:t>
      </w:r>
      <w:r>
        <w:rPr>
          <w:color w:val="000000"/>
          <w:u w:val="single"/>
        </w:rPr>
        <w:t>. They are</w:t>
      </w:r>
      <w:r w:rsidRPr="00113114">
        <w:rPr>
          <w:color w:val="000000"/>
          <w:sz w:val="14"/>
        </w:rPr>
        <w:t> </w:t>
      </w:r>
      <w:r>
        <w:rPr>
          <w:b/>
          <w:bCs/>
          <w:color w:val="000000"/>
          <w:u w:val="single"/>
          <w:shd w:val="clear" w:color="auto" w:fill="00FF00"/>
        </w:rPr>
        <w:t>central protagonists</w:t>
      </w:r>
      <w:r w:rsidRPr="00113114">
        <w:rPr>
          <w:color w:val="000000"/>
          <w:sz w:val="14"/>
        </w:rPr>
        <w:t> </w:t>
      </w:r>
      <w:r>
        <w:rPr>
          <w:color w:val="000000"/>
          <w:u w:val="single"/>
          <w:shd w:val="clear" w:color="auto" w:fill="00FF00"/>
        </w:rPr>
        <w:t>in the fight against</w:t>
      </w:r>
      <w:r w:rsidRPr="00113114">
        <w:rPr>
          <w:color w:val="000000"/>
          <w:sz w:val="14"/>
        </w:rPr>
        <w:t> </w:t>
      </w:r>
      <w:r>
        <w:rPr>
          <w:color w:val="000000"/>
          <w:u w:val="single"/>
        </w:rPr>
        <w:t>the forces of</w:t>
      </w:r>
      <w:r w:rsidRPr="00113114">
        <w:rPr>
          <w:color w:val="000000"/>
          <w:sz w:val="14"/>
        </w:rPr>
        <w:t> </w:t>
      </w:r>
      <w:r>
        <w:rPr>
          <w:color w:val="000000"/>
          <w:u w:val="single"/>
          <w:shd w:val="clear" w:color="auto" w:fill="00FF00"/>
        </w:rPr>
        <w:t>capitalist expansion</w:t>
      </w:r>
      <w:r>
        <w:rPr>
          <w:color w:val="000000"/>
          <w:u w:val="single"/>
        </w:rPr>
        <w:t>, who would destroy the land and water, and trample indigenous sovereignty, all for the purposes of</w:t>
      </w:r>
      <w:r w:rsidRPr="00113114">
        <w:rPr>
          <w:color w:val="000000"/>
          <w:sz w:val="14"/>
        </w:rPr>
        <w:t> </w:t>
      </w:r>
      <w:r>
        <w:rPr>
          <w:b/>
          <w:bCs/>
          <w:color w:val="000000"/>
          <w:u w:val="single"/>
        </w:rPr>
        <w:t>resource extraction</w:t>
      </w:r>
      <w:r>
        <w:rPr>
          <w:color w:val="000000"/>
          <w:u w:val="single"/>
        </w:rPr>
        <w:t>. At Standing Rock,</w:t>
      </w:r>
      <w:r w:rsidRPr="00113114">
        <w:rPr>
          <w:color w:val="000000"/>
          <w:sz w:val="14"/>
        </w:rPr>
        <w:t> </w:t>
      </w:r>
      <w:r>
        <w:rPr>
          <w:color w:val="000000"/>
          <w:u w:val="single"/>
          <w:shd w:val="clear" w:color="auto" w:fill="00FF00"/>
        </w:rPr>
        <w:t>disparate tribes have set aside differences and</w:t>
      </w:r>
      <w:r w:rsidRPr="00113114">
        <w:rPr>
          <w:color w:val="000000"/>
          <w:sz w:val="14"/>
        </w:rPr>
        <w:t> </w:t>
      </w:r>
      <w:r>
        <w:rPr>
          <w:b/>
          <w:bCs/>
          <w:color w:val="000000"/>
          <w:u w:val="single"/>
          <w:shd w:val="clear" w:color="auto" w:fill="00FF00"/>
        </w:rPr>
        <w:t>come together</w:t>
      </w:r>
      <w:r w:rsidRPr="00113114">
        <w:rPr>
          <w:color w:val="000000"/>
          <w:sz w:val="14"/>
        </w:rPr>
        <w:t> </w:t>
      </w:r>
      <w:r>
        <w:rPr>
          <w:b/>
          <w:bCs/>
          <w:color w:val="000000"/>
          <w:u w:val="single"/>
        </w:rPr>
        <w:t>as one</w:t>
      </w:r>
      <w:r>
        <w:rPr>
          <w:color w:val="000000"/>
          <w:u w:val="single"/>
        </w:rPr>
        <w:t>. People from indigenous nations across the continent have travelled</w:t>
      </w:r>
      <w:r w:rsidRPr="00113114">
        <w:rPr>
          <w:color w:val="000000"/>
          <w:sz w:val="14"/>
        </w:rPr>
        <w:t> </w:t>
      </w:r>
      <w:r>
        <w:rPr>
          <w:b/>
          <w:bCs/>
          <w:color w:val="000000"/>
          <w:u w:val="single"/>
        </w:rPr>
        <w:t>thousands of miles</w:t>
      </w:r>
      <w:r w:rsidRPr="00113114">
        <w:rPr>
          <w:color w:val="000000"/>
          <w:sz w:val="14"/>
        </w:rPr>
        <w:t> </w:t>
      </w:r>
      <w:r>
        <w:rPr>
          <w:color w:val="000000"/>
          <w:u w:val="single"/>
        </w:rPr>
        <w:t>to stand with them</w:t>
      </w:r>
      <w:r w:rsidRPr="00113114">
        <w:rPr>
          <w:color w:val="000000"/>
          <w:sz w:val="14"/>
        </w:rPr>
        <w:t>. Indigenous people are rallying in support from New York City to San Francisco. </w:t>
      </w:r>
      <w:r>
        <w:rPr>
          <w:b/>
          <w:bCs/>
          <w:color w:val="000000"/>
          <w:u w:val="single"/>
          <w:shd w:val="clear" w:color="auto" w:fill="00FF00"/>
        </w:rPr>
        <w:t>Together, they</w:t>
      </w:r>
      <w:r w:rsidRPr="00113114">
        <w:rPr>
          <w:color w:val="000000"/>
          <w:sz w:val="14"/>
        </w:rPr>
        <w:t> </w:t>
      </w:r>
      <w:r>
        <w:rPr>
          <w:b/>
          <w:bCs/>
          <w:color w:val="000000"/>
          <w:u w:val="single"/>
        </w:rPr>
        <w:t>are</w:t>
      </w:r>
      <w:r w:rsidRPr="00113114">
        <w:rPr>
          <w:color w:val="000000"/>
          <w:sz w:val="14"/>
        </w:rPr>
        <w:t> </w:t>
      </w:r>
      <w:r>
        <w:rPr>
          <w:b/>
          <w:bCs/>
          <w:color w:val="000000"/>
          <w:u w:val="single"/>
          <w:shd w:val="clear" w:color="auto" w:fill="00FF00"/>
        </w:rPr>
        <w:t>envision</w:t>
      </w:r>
      <w:r>
        <w:rPr>
          <w:color w:val="000000"/>
          <w:u w:val="single"/>
        </w:rPr>
        <w:t>ing</w:t>
      </w:r>
      <w:r w:rsidRPr="00113114">
        <w:rPr>
          <w:color w:val="000000"/>
          <w:sz w:val="14"/>
        </w:rPr>
        <w:t> </w:t>
      </w:r>
      <w:r>
        <w:rPr>
          <w:b/>
          <w:bCs/>
          <w:color w:val="000000"/>
          <w:u w:val="single"/>
          <w:shd w:val="clear" w:color="auto" w:fill="00FF00"/>
        </w:rPr>
        <w:t>a future without</w:t>
      </w:r>
      <w:r w:rsidRPr="00113114">
        <w:rPr>
          <w:color w:val="000000"/>
          <w:sz w:val="14"/>
        </w:rPr>
        <w:t> </w:t>
      </w:r>
      <w:r>
        <w:rPr>
          <w:b/>
          <w:bCs/>
          <w:color w:val="000000"/>
          <w:u w:val="single"/>
        </w:rPr>
        <w:t>a</w:t>
      </w:r>
      <w:r w:rsidRPr="00113114">
        <w:rPr>
          <w:color w:val="000000"/>
          <w:sz w:val="14"/>
        </w:rPr>
        <w:t> </w:t>
      </w:r>
      <w:r>
        <w:rPr>
          <w:b/>
          <w:bCs/>
          <w:color w:val="000000"/>
          <w:u w:val="single"/>
          <w:shd w:val="clear" w:color="auto" w:fill="00FF00"/>
        </w:rPr>
        <w:t>D</w:t>
      </w:r>
      <w:r>
        <w:rPr>
          <w:color w:val="000000"/>
          <w:u w:val="single"/>
        </w:rPr>
        <w:t>akota</w:t>
      </w:r>
      <w:r w:rsidRPr="00113114">
        <w:rPr>
          <w:color w:val="000000"/>
          <w:sz w:val="14"/>
        </w:rPr>
        <w:t> </w:t>
      </w:r>
      <w:r>
        <w:rPr>
          <w:b/>
          <w:bCs/>
          <w:color w:val="000000"/>
          <w:u w:val="single"/>
          <w:shd w:val="clear" w:color="auto" w:fill="00FF00"/>
        </w:rPr>
        <w:t>A</w:t>
      </w:r>
      <w:r>
        <w:rPr>
          <w:color w:val="000000"/>
          <w:u w:val="single"/>
        </w:rPr>
        <w:t>ccess</w:t>
      </w:r>
      <w:r w:rsidRPr="00113114">
        <w:rPr>
          <w:color w:val="000000"/>
          <w:sz w:val="14"/>
        </w:rPr>
        <w:t> </w:t>
      </w:r>
      <w:r>
        <w:rPr>
          <w:b/>
          <w:bCs/>
          <w:color w:val="000000"/>
          <w:u w:val="single"/>
          <w:shd w:val="clear" w:color="auto" w:fill="00FF00"/>
        </w:rPr>
        <w:t>P</w:t>
      </w:r>
      <w:r>
        <w:rPr>
          <w:color w:val="000000"/>
          <w:u w:val="single"/>
        </w:rPr>
        <w:t>ipe</w:t>
      </w:r>
      <w:r>
        <w:rPr>
          <w:b/>
          <w:bCs/>
          <w:color w:val="000000"/>
          <w:u w:val="single"/>
          <w:shd w:val="clear" w:color="auto" w:fill="00FF00"/>
        </w:rPr>
        <w:t>l</w:t>
      </w:r>
      <w:r>
        <w:rPr>
          <w:color w:val="000000"/>
          <w:u w:val="single"/>
        </w:rPr>
        <w:t>ine,</w:t>
      </w:r>
      <w:r w:rsidRPr="00113114">
        <w:rPr>
          <w:color w:val="000000"/>
          <w:sz w:val="14"/>
        </w:rPr>
        <w:t> </w:t>
      </w:r>
      <w:r>
        <w:rPr>
          <w:b/>
          <w:bCs/>
          <w:color w:val="000000"/>
          <w:u w:val="single"/>
          <w:shd w:val="clear" w:color="auto" w:fill="00FF00"/>
        </w:rPr>
        <w:t>and enacting a future where indigenous nations</w:t>
      </w:r>
      <w:r w:rsidRPr="00113114">
        <w:rPr>
          <w:color w:val="000000"/>
          <w:sz w:val="14"/>
        </w:rPr>
        <w:t> </w:t>
      </w:r>
      <w:r>
        <w:rPr>
          <w:b/>
          <w:bCs/>
          <w:color w:val="000000"/>
          <w:u w:val="single"/>
        </w:rPr>
        <w:t>exercise their rights to</w:t>
      </w:r>
      <w:r w:rsidRPr="00113114">
        <w:rPr>
          <w:color w:val="000000"/>
          <w:sz w:val="14"/>
        </w:rPr>
        <w:t> </w:t>
      </w:r>
      <w:r>
        <w:rPr>
          <w:b/>
          <w:bCs/>
          <w:color w:val="000000"/>
          <w:u w:val="single"/>
          <w:shd w:val="clear" w:color="auto" w:fill="00FF00"/>
        </w:rPr>
        <w:t>define a more just</w:t>
      </w:r>
      <w:r>
        <w:rPr>
          <w:b/>
          <w:bCs/>
          <w:color w:val="000000"/>
          <w:u w:val="single"/>
        </w:rPr>
        <w:t>, equal, and sustainable</w:t>
      </w:r>
      <w:r w:rsidRPr="00113114">
        <w:rPr>
          <w:color w:val="000000"/>
          <w:sz w:val="14"/>
        </w:rPr>
        <w:t> </w:t>
      </w:r>
      <w:r>
        <w:rPr>
          <w:b/>
          <w:bCs/>
          <w:color w:val="000000"/>
          <w:u w:val="single"/>
          <w:shd w:val="clear" w:color="auto" w:fill="00FF00"/>
        </w:rPr>
        <w:t>path forward</w:t>
      </w:r>
      <w:r w:rsidRPr="00113114">
        <w:rPr>
          <w:color w:val="000000"/>
          <w:sz w:val="14"/>
        </w:rPr>
        <w:t>, as stewards of land, water, humanity, and each other. </w:t>
      </w:r>
      <w:r>
        <w:rPr>
          <w:color w:val="000000"/>
          <w:u w:val="single"/>
        </w:rPr>
        <w:t>At Standing Rock, the audacious</w:t>
      </w:r>
      <w:r w:rsidRPr="00113114">
        <w:rPr>
          <w:color w:val="000000"/>
          <w:sz w:val="14"/>
        </w:rPr>
        <w:t> </w:t>
      </w:r>
      <w:r>
        <w:rPr>
          <w:color w:val="000000"/>
          <w:u w:val="single"/>
          <w:shd w:val="clear" w:color="auto" w:fill="00FF00"/>
        </w:rPr>
        <w:t>vision for an</w:t>
      </w:r>
      <w:r w:rsidRPr="00113114">
        <w:rPr>
          <w:color w:val="000000"/>
          <w:sz w:val="14"/>
        </w:rPr>
        <w:t> </w:t>
      </w:r>
      <w:r>
        <w:rPr>
          <w:b/>
          <w:bCs/>
          <w:color w:val="000000"/>
          <w:u w:val="single"/>
          <w:shd w:val="clear" w:color="auto" w:fill="00FF00"/>
        </w:rPr>
        <w:t>indigenous future</w:t>
      </w:r>
      <w:r>
        <w:rPr>
          <w:color w:val="000000"/>
          <w:u w:val="single"/>
        </w:rPr>
        <w:t>, handed down from Wounded Knee and</w:t>
      </w:r>
      <w:r w:rsidRPr="00113114">
        <w:rPr>
          <w:color w:val="000000"/>
          <w:sz w:val="14"/>
        </w:rPr>
        <w:t> </w:t>
      </w:r>
      <w:r>
        <w:rPr>
          <w:b/>
          <w:bCs/>
          <w:color w:val="000000"/>
          <w:u w:val="single"/>
          <w:shd w:val="clear" w:color="auto" w:fill="00FF00"/>
        </w:rPr>
        <w:t>global in force</w:t>
      </w:r>
      <w:r>
        <w:rPr>
          <w:color w:val="000000"/>
          <w:u w:val="single"/>
        </w:rPr>
        <w:t>, is</w:t>
      </w:r>
      <w:r w:rsidRPr="00113114">
        <w:rPr>
          <w:color w:val="000000"/>
          <w:sz w:val="14"/>
        </w:rPr>
        <w:t> </w:t>
      </w:r>
      <w:r>
        <w:rPr>
          <w:b/>
          <w:bCs/>
          <w:color w:val="000000"/>
          <w:u w:val="single"/>
          <w:shd w:val="clear" w:color="auto" w:fill="00FF00"/>
        </w:rPr>
        <w:t>alive and well</w:t>
      </w:r>
      <w:r w:rsidRPr="00113114">
        <w:rPr>
          <w:color w:val="000000"/>
          <w:sz w:val="14"/>
        </w:rPr>
        <w:t>. </w:t>
      </w:r>
      <w:r>
        <w:rPr>
          <w:color w:val="000000"/>
          <w:u w:val="single"/>
        </w:rPr>
        <w:t>This is</w:t>
      </w:r>
      <w:r w:rsidRPr="00113114">
        <w:rPr>
          <w:color w:val="000000"/>
          <w:sz w:val="14"/>
        </w:rPr>
        <w:t> </w:t>
      </w:r>
      <w:r>
        <w:rPr>
          <w:b/>
          <w:bCs/>
          <w:color w:val="000000"/>
          <w:u w:val="single"/>
        </w:rPr>
        <w:t>how you Ghost Dance in 2016</w:t>
      </w:r>
      <w:r w:rsidR="004644E1">
        <w:rPr>
          <w:color w:val="000000"/>
          <w:sz w:val="14"/>
        </w:rPr>
        <w:t>.</w:t>
      </w:r>
    </w:p>
    <w:p w:rsidR="004644E1" w:rsidRDefault="004644E1" w:rsidP="004644E1">
      <w:pPr>
        <w:pStyle w:val="Heading3"/>
      </w:pPr>
      <w:r>
        <w:t>State Good</w:t>
      </w:r>
    </w:p>
    <w:p w:rsidR="004644E1" w:rsidRDefault="004644E1" w:rsidP="004644E1">
      <w:pPr>
        <w:pStyle w:val="Heading4"/>
      </w:pPr>
      <w:r>
        <w:t>Ontology wrong – indigenous groups have a laundry list of ways to address anti-indigenous movements – government policy is key to solve settler colonialism</w:t>
      </w:r>
    </w:p>
    <w:p w:rsidR="004644E1" w:rsidRPr="00042111" w:rsidRDefault="004644E1" w:rsidP="004644E1">
      <w:r w:rsidRPr="00042111">
        <w:rPr>
          <w:rStyle w:val="Style13ptBold"/>
        </w:rPr>
        <w:t>Veit 18</w:t>
      </w:r>
      <w:r>
        <w:t xml:space="preserve"> Peter is a Senior Research Associate at WRI. [20 June 2018 “5 Ways Indigenous Groups Are Fighting Back Against Land Seizures” </w:t>
      </w:r>
      <w:r w:rsidRPr="00042111">
        <w:t>https://www.wri.org/insights/5-ways-indigenous-groups-are-fighting-back-against-land-seizures</w:t>
      </w:r>
      <w:r>
        <w:t xml:space="preserve">] </w:t>
      </w:r>
    </w:p>
    <w:p w:rsidR="004644E1" w:rsidRDefault="004644E1" w:rsidP="004644E1">
      <w:pPr>
        <w:rPr>
          <w:sz w:val="16"/>
        </w:rPr>
      </w:pPr>
      <w:r w:rsidRPr="00042111">
        <w:rPr>
          <w:sz w:val="16"/>
        </w:rPr>
        <w:t xml:space="preserve">Much of the world’s land is occupied and used by Indigenous Peoples and communities — about 50 percent of it, involving more than 2.5 billion people. But these groups are increasingly losing their ancestral lands — their primary source of livelihood, income and social identity. Governments, corporations and local elites are eager to acquire land to extract natural resources; grow food, fibers and biofuels; or simply hold it for speculative purposes. Most communities hold land under customary tenure systems and lack formal titles for it. While national laws in many countries recognize customary rights, the legal protections are often weak and poorly enforced making community land especially vulnerable to being taken by more powerful actors. </w:t>
      </w:r>
      <w:r w:rsidRPr="00C5399B">
        <w:rPr>
          <w:rStyle w:val="StyleUnderline"/>
        </w:rPr>
        <w:t>Communities, however, are not standing by idly. They’re increasingly taking action to protect their lands. Here are five ways communities are defending their land rights: 1. Litigation</w:t>
      </w:r>
      <w:r w:rsidRPr="00042111">
        <w:rPr>
          <w:sz w:val="16"/>
        </w:rPr>
        <w:t xml:space="preserve"> As Indigenous Peoples and communities learn of their rights, more are turning to the courts to help realize them. </w:t>
      </w:r>
      <w:r w:rsidRPr="00C5399B">
        <w:rPr>
          <w:rStyle w:val="StyleUnderline"/>
        </w:rPr>
        <w:t xml:space="preserve">In 2008, the Kenyan government began a campaign to evict the Ogiek, an indigenous group of hunters and gatherers, from their ancestral home, the Mau Forest in the Rift Valley. The following year, the Ogiek filed a complaint against the government to the African Commission on Human and People’s Rights which referred it to the African Court on Human and People's Rights, a continental court based in neighboring Tanzania. Last month, the Court delivered its judgement, ruling that the government had violated several articles of the African Charter on Human and People's Rights, of which Kenya is a signatory. It recognized the Ogiek's indigenous status and their right to the forest, and awarded reparations for forcible evictions. </w:t>
      </w:r>
      <w:r w:rsidRPr="00042111">
        <w:rPr>
          <w:sz w:val="16"/>
        </w:rPr>
        <w:t xml:space="preserve">The ruling from Africa’s highest institutional human rights body sends a powerful message to all African governments of the need to respect indigenous rights. </w:t>
      </w:r>
      <w:r w:rsidRPr="00C5399B">
        <w:rPr>
          <w:rStyle w:val="StyleUnderline"/>
        </w:rPr>
        <w:t>2. Demonstrations and Protests Community members are marching to state capitals, staging protests and meeting directly with government leaders. In December 2017, following a two-week march by hundreds of indigenous people in Quito, Ecuador, President Lenin Moreno agreed to a moratorium on new auctions of oil and mining concessions without the consent of local communities.</w:t>
      </w:r>
      <w:r w:rsidRPr="00042111">
        <w:rPr>
          <w:sz w:val="16"/>
        </w:rPr>
        <w:t xml:space="preserve"> When the government then announced a new oil auction and handed out several new mining concessions in February 2018, protestors returned. In March, nearly 100 indigenous women camped out for five days in front of the government palace in Quito’s central plaza. </w:t>
      </w:r>
      <w:r w:rsidRPr="00C5399B">
        <w:rPr>
          <w:rStyle w:val="StyleUnderline"/>
        </w:rPr>
        <w:t xml:space="preserve">Moreno granted them a meeting, and the women pressed him again to limit oil drilling and mining in their territories, and to combat the violence that often accompanies the industries. Moreno assured them he would heed their demands. </w:t>
      </w:r>
      <w:r w:rsidRPr="00042111">
        <w:rPr>
          <w:sz w:val="16"/>
        </w:rPr>
        <w:t xml:space="preserve">The women vowed they would return if the matter is not addressed. </w:t>
      </w:r>
      <w:r w:rsidRPr="00C5399B">
        <w:rPr>
          <w:rStyle w:val="StyleUnderline"/>
        </w:rPr>
        <w:t>3. Monitoring and Patrolling</w:t>
      </w:r>
      <w:r w:rsidRPr="00042111">
        <w:rPr>
          <w:sz w:val="16"/>
        </w:rPr>
        <w:t xml:space="preserve"> In the absence of government support, </w:t>
      </w:r>
      <w:r w:rsidRPr="00C5399B">
        <w:rPr>
          <w:rStyle w:val="StyleUnderline"/>
        </w:rPr>
        <w:t>many communities have organized their own patrols to monitor their land and evict intruders. Brazil and other countries have long struggled to contain illegal logging. In the state of Maranhão in northeastern Brazil, only 20 percent of the original forest cover remains. Nearly all of this forest is in indigenous territories and protected nature reserves where commercial exploitation is banned, but loggers linked to criminal syndicates continue to cut trees.</w:t>
      </w:r>
      <w:r w:rsidRPr="00042111">
        <w:rPr>
          <w:sz w:val="16"/>
        </w:rPr>
        <w:t xml:space="preserve"> In 2014, after repeated calls to government went unheeded, </w:t>
      </w:r>
      <w:r w:rsidRPr="00C5399B">
        <w:rPr>
          <w:rStyle w:val="StyleUnderline"/>
        </w:rPr>
        <w:t>indigenous Guajajara and Ka’apor communities organized their own patrols to rid their land of illegal loggers. They have captured loggers cutting timber or setting fire in their lands, confiscated their chainsaws and seized their trucks. The Maranhão government has praised the work of the indigenous patrols and offered to train and equip them to help enforce environmental regulations.</w:t>
      </w:r>
      <w:r w:rsidRPr="00042111">
        <w:rPr>
          <w:sz w:val="16"/>
        </w:rPr>
        <w:t xml:space="preserve"> 4. Mapping Land Much community land is not represented on any official government maps and, as such, is essentially invisible. </w:t>
      </w:r>
      <w:r w:rsidRPr="00C5399B">
        <w:rPr>
          <w:rStyle w:val="StyleUnderline"/>
        </w:rPr>
        <w:t>Many communities are therefore preparing precise maps of their land using hand-held Global Positioning Systems (GPS) and other tools. These maps are challenging official government narratives.</w:t>
      </w:r>
      <w:r w:rsidRPr="00042111">
        <w:rPr>
          <w:sz w:val="16"/>
        </w:rPr>
        <w:t xml:space="preserve"> In Indonesia’s Malinau District, East Kalimantan, loggers and palm oil companies have long sought the customary forests of the indigenous Dayak. </w:t>
      </w:r>
      <w:r w:rsidRPr="00C5399B">
        <w:rPr>
          <w:rStyle w:val="StyleUnderline"/>
        </w:rPr>
        <w:t xml:space="preserve">When one palm oil company began to log the forest of Setuland village, villagers jumped into action. After threatening to force the company off their land, the company withdrew. </w:t>
      </w:r>
      <w:r w:rsidRPr="00042111">
        <w:rPr>
          <w:sz w:val="16"/>
        </w:rPr>
        <w:t xml:space="preserve">The Dayaks realized they needed a map of their land that documented their boundaries, customary forest, homes and longhouses, as well as the damaged forests where the company had illegally cut their trees. </w:t>
      </w:r>
      <w:r w:rsidRPr="00C5399B">
        <w:rPr>
          <w:rStyle w:val="StyleUnderline"/>
        </w:rPr>
        <w:t>With the help of an Indonesian geographer, villagers used drones to map and then monitor their lands. Now, if a logging or palm oil company enters onto their land, Setuland will be armed with their own map to help them confront the challenge. 5. Registering and Titling Land</w:t>
      </w:r>
      <w:r w:rsidRPr="00042111">
        <w:rPr>
          <w:sz w:val="16"/>
        </w:rPr>
        <w:t xml:space="preserve"> </w:t>
      </w:r>
      <w:r w:rsidRPr="00C5399B">
        <w:rPr>
          <w:rStyle w:val="StyleUnderline"/>
        </w:rPr>
        <w:t xml:space="preserve">Indigenous Peoples and communities are also registering their customary land rights into a government cadaster and obtaining a formal land titles or certificates. </w:t>
      </w:r>
      <w:r w:rsidRPr="00042111">
        <w:rPr>
          <w:sz w:val="16"/>
        </w:rPr>
        <w:t xml:space="preserve">Doing so integrates their customary rights into the legal system, </w:t>
      </w:r>
      <w:r w:rsidRPr="00C5399B">
        <w:rPr>
          <w:rStyle w:val="StyleUnderline"/>
        </w:rPr>
        <w:t>establishes formal land rights and helps communities protect their lands</w:t>
      </w:r>
      <w:r w:rsidRPr="00042111">
        <w:rPr>
          <w:sz w:val="16"/>
        </w:rPr>
        <w:t xml:space="preserve">. The Higaonon, an indigenous group in the Mindanao region of the Philippines, holds its land under customary tenure systems. </w:t>
      </w:r>
      <w:r w:rsidRPr="00C5399B">
        <w:rPr>
          <w:rStyle w:val="StyleUnderline"/>
        </w:rPr>
        <w:t>The lack of clear boundaries, however, has led to conflicts with neighbors who have extended their plots onto Higaonon land. In response, the Higaonon applied for a Certificate of Ancestral Domain Title (CADT), a formal land ownership title.</w:t>
      </w:r>
      <w:r w:rsidRPr="00042111">
        <w:rPr>
          <w:sz w:val="16"/>
        </w:rPr>
        <w:t xml:space="preserve"> Despite a 1997 law requiring the National Commission on Indigenous Peoples facilitate the demarcation and registration of ancestral lands, the agency has only issued 182 CADTs with many more applications waiting to be processed. Moreover, less than 50 CADTs have been formally registered, limiting their effectiveness to protect indigenous land. While no measure can guarantee land security, these actions have helped communities protect their homes. </w:t>
      </w:r>
      <w:r w:rsidRPr="00042111">
        <w:rPr>
          <w:rStyle w:val="StyleUnderline"/>
        </w:rPr>
        <w:t>Scaling these measures, however, has proven challenging. Communities need help securing the appropriate technologies like GPS devices or navigating often complex land titling processes. And governments</w:t>
      </w:r>
      <w:r w:rsidRPr="00C5399B">
        <w:rPr>
          <w:rStyle w:val="StyleUnderline"/>
        </w:rPr>
        <w:t xml:space="preserve"> must reform and better implement the laws to better protect indigenous and community land.</w:t>
      </w:r>
      <w:r w:rsidRPr="00042111">
        <w:rPr>
          <w:sz w:val="16"/>
        </w:rPr>
        <w:t xml:space="preserve"> Being assertive in protecting their lands has also exposed community members to new risks. Clashes between communities and those seeking their land have escalated in recent years. Last year, 197 land and environmental defenders were killed, the bloodiest year since Global Witness began keeping records on this issue. We all need to do a better job of protecting not only community land, but also land defenders. </w:t>
      </w:r>
    </w:p>
    <w:p w:rsidR="00541F71" w:rsidRDefault="00541F71" w:rsidP="00541F71">
      <w:pPr>
        <w:pStyle w:val="Heading3"/>
      </w:pPr>
      <w:r>
        <w:t>A2 Pharma Bad</w:t>
      </w:r>
    </w:p>
    <w:p w:rsidR="00541F71" w:rsidRDefault="00541F71" w:rsidP="00541F71">
      <w:pPr>
        <w:pStyle w:val="Heading4"/>
      </w:pPr>
      <w:r>
        <w:t>The pharma industry has helped indigenous people – different groups have partnerships which help the pharma industry innovate while creating revenue for indigenous people</w:t>
      </w:r>
    </w:p>
    <w:p w:rsidR="00541F71" w:rsidRPr="00A972D8" w:rsidRDefault="00541F71" w:rsidP="00541F71">
      <w:r w:rsidRPr="00A972D8">
        <w:rPr>
          <w:b/>
          <w:sz w:val="26"/>
          <w:szCs w:val="26"/>
        </w:rPr>
        <w:t>Kennedy 19</w:t>
      </w:r>
      <w:r>
        <w:t xml:space="preserve"> [</w:t>
      </w:r>
      <w:r w:rsidRPr="00A972D8">
        <w:t xml:space="preserve">J.D., Duke Law School, 2019, B.A., College of William and Mary, 2015. [“STRANGE BEDFELLOWS: NATIVE AMERICAN TRIBES, BIG PHARMA, AND THE LEGITIMACY OF THEIR ALLIANCE,” Duke University, </w:t>
      </w:r>
      <w:hyperlink r:id="rId16" w:anchor=":~:text=Contractual%20partnerships%20between%20Native%20American,principles%20of%20tribal%20sovereign%20immunity" w:history="1">
        <w:r w:rsidRPr="00A972D8">
          <w:rPr>
            <w:rStyle w:val="Hyperlink"/>
          </w:rPr>
          <w:t>https://scholarship.law.duke.edu/cgi/viewcontent.cgi?article=3980&amp;context=dlj#:~:text=Contractual%20partnerships%20between%20Native%20American,principles%20of%20tribal%20sovereign%20immunity</w:t>
        </w:r>
      </w:hyperlink>
      <w:r w:rsidRPr="00A972D8">
        <w:t>.]</w:t>
      </w:r>
    </w:p>
    <w:p w:rsidR="00541F71" w:rsidRPr="00E6797F" w:rsidRDefault="00541F71" w:rsidP="00541F71">
      <w:pPr>
        <w:rPr>
          <w:b/>
          <w:bCs/>
        </w:rPr>
      </w:pPr>
      <w:r w:rsidRPr="00003FC5">
        <w:rPr>
          <w:sz w:val="12"/>
          <w:szCs w:val="12"/>
        </w:rPr>
        <w:t>Lost in the cacophony surrounding the debate about high drug prices is the fundamental principle that pharmaceutical innovation will not occur without the prospect of outsized returns enabled through market exclusivity. Biopharmaceutical patents are currently under siege, subject to challenge both in inter partes review (“IPR”) proceedings and in Hatch-Waxman actions. These twin assaults threaten to eliminate the incentives necessary for biotechnological innovation—particularly for discoveries made upstream in the innovation pipeline—thus imperiling the development of new drug therapies. But a fascinating solution has emerged:</w:t>
      </w:r>
      <w:r>
        <w:t xml:space="preserve"> </w:t>
      </w:r>
      <w:r w:rsidRPr="00E6797F">
        <w:rPr>
          <w:b/>
          <w:bCs/>
          <w:u w:val="single"/>
        </w:rPr>
        <w:t>invoking tribal immunity to shield pharmaceutical patents from IPR</w:t>
      </w:r>
      <w:r>
        <w:t xml:space="preserve"> </w:t>
      </w:r>
      <w:r w:rsidRPr="00003FC5">
        <w:rPr>
          <w:sz w:val="12"/>
          <w:szCs w:val="12"/>
        </w:rPr>
        <w:t xml:space="preserve">before the Patent Trial and Appeal Board (“PTAB”). This serves two critically important objectives: </w:t>
      </w:r>
      <w:r w:rsidRPr="00E6797F">
        <w:rPr>
          <w:b/>
          <w:bCs/>
          <w:u w:val="single"/>
        </w:rPr>
        <w:t>promot</w:t>
      </w:r>
      <w:r w:rsidRPr="00E6797F">
        <w:rPr>
          <w:b/>
          <w:bCs/>
        </w:rPr>
        <w:t xml:space="preserve">ing </w:t>
      </w:r>
      <w:r w:rsidRPr="00E6797F">
        <w:rPr>
          <w:b/>
          <w:bCs/>
          <w:u w:val="single"/>
        </w:rPr>
        <w:t>tribal self-sufficiency, and encourag</w:t>
      </w:r>
      <w:r w:rsidRPr="00E6797F">
        <w:rPr>
          <w:b/>
          <w:bCs/>
        </w:rPr>
        <w:t>ing in</w:t>
      </w:r>
      <w:r w:rsidRPr="00E6797F">
        <w:rPr>
          <w:b/>
          <w:bCs/>
          <w:u w:val="single"/>
        </w:rPr>
        <w:t>vestment in life-saving and life-improving new drugs.</w:t>
      </w:r>
      <w:r w:rsidRPr="00415E22">
        <w:rPr>
          <w:u w:val="single"/>
        </w:rPr>
        <w:t xml:space="preserve"> </w:t>
      </w:r>
      <w:r w:rsidRPr="00E6797F">
        <w:rPr>
          <w:b/>
          <w:bCs/>
          <w:u w:val="single"/>
        </w:rPr>
        <w:t>Contractual partnerships between Native American tribes and pharmaceutical companies</w:t>
      </w:r>
      <w:r w:rsidRPr="00415E22">
        <w:rPr>
          <w:u w:val="single"/>
        </w:rPr>
        <w:t xml:space="preserve"> not only </w:t>
      </w:r>
      <w:r w:rsidRPr="00E6797F">
        <w:rPr>
          <w:b/>
          <w:bCs/>
          <w:u w:val="single"/>
        </w:rPr>
        <w:t>provide the tribes with a steady stream of royalty revenue, but also insulate biopharmaceutical patents from challenge in IPR proceedings</w:t>
      </w:r>
      <w:r w:rsidRPr="00415E22">
        <w:rPr>
          <w:u w:val="single"/>
        </w:rPr>
        <w:t xml:space="preserve"> through the invocation of longestablished principles of tribal sovereign immunity. </w:t>
      </w:r>
      <w:r w:rsidRPr="00003FC5">
        <w:rPr>
          <w:sz w:val="12"/>
          <w:szCs w:val="12"/>
        </w:rPr>
        <w:t>This Note is the first piece of scholarship to comprehensively analyze, and advocate for, the right to invoke tribal sovereign immunity in IPR proceedings. Copyright © 2019 Daniel C. Kennedy. † Duke University School of Law, J.D. expected 2019; College of William &amp; Mary, B.A. 2015. I am deeply grateful for the insight of Professor Arti Rai in drafting this Note, Professor Buz Waitzkin for inspiring it, and the Duke Law Journal team for their spot-on suggestions and revisions. I would especially like to thank my mother for lending her expertise and supporting a fellow English major’s attempt to tackle patent law. 1434 DUKE LAW JOURNAL [Vol. 68:1433 INTRODUCTION In June 2017, the St. Regis Mohawk Tribe (“St. Regis Tribe”) adopted a Tribal Council Resolution endorsing the creation of a “‘technology and innovation center for the commercialization of existing and emerging technologies,’ called the Office of Technology, Research, and Patents.”1 Effective September 8, 2017, the St. Regis Tribe entered into a contractual relationship with Allergan Inc. (“Allergan”), a biopharmaceutical company.2 Allergan, pursuant to the parties’ agreement, assigned to the St. Regis Tribe a portfolio of patents related to Restasis (collectively, the “Restasis patents”), a prescription drug for the treatment of dry eye.3 Allergan also agreed to pay the St. Regis Tribe $13.75 million immediately, as well as a royalty of up to $15 million per year until the patents expire in 2024.4 For its part, the St. Regis Tribe granted Allergan “an irrevocable, perpetual, transferable and exclusive license” in the Restasis patents.5 Allergan was thus “granted the first right to sue for infringement with respect to ‘Generic Equivalents,’ while the Tribe [was granted] the first right to sue for infringement unrelated to such Generic Equivalents.”6 At the time that Allergan assigned the Restasis patents to the St. Regis Tribe, the Patent Trial and Appeal Board (“PTAB”) had instituted inter partes review (“IPR”) of those patents, based on petitions filed by Mylan Pharmaceuticals, Inc.7 On September 22, 2017, the St. Regis Tribe asked the PTAB to dismiss the pending IPR proceedings, arguing that tribal sovereign immunity inoculated those patents from challenge before the PTAB.8 1. Mylan Pharm. Inc. v. Saint Regis Mohawk Tribe, Nos. IPR2016-01127, -01128, -01129, - 01130, -01131, -01132, 2018 WL 1100950, at *2 (P.T.A.B. Feb. 23, 2018) (per curiam) (citation omitted). 2. Id. 3. Id.; the patent numbers for these patents are U.S. Patent Nos. 8,685,930, 8,629,111, 8,642,556, 8,633,162, 8,648,048, and 9,248,191. 4. Mylan, 2018 WL 1100950, at *3, *12. 5. Id. at *3 (citation omitted). 6. Id. The license between the St. Regis Tribe and Allergan states that a “Generic Equivalent” is “a drug product that requires [Food and Drug Administration (“FDA”)] approval for sale in the United States, including those products covered by an Abbreviated New Drug Application (ANDA) for which Allergan’s Restasis product is the listed reference drug.” Id. at *8. 7. Id. at *1. 8. Id. 2019] STRANGE BEDFELLOWS 1435 On February 23, 2018, the PTAB instead issued a decision denying the St. Regis Tribe’s motion to terminate proceedings.9 It held that tribal immunity does not apply to IPR proceedings given that such proceedings were created by statute, and because they are “not the type of ‘suit’ to which an Indian tribe would traditionally enjoy immunity under the common law.”10 The PTAB concluded, moreover, that the St. Regis Tribe had not identified any statute or controlling precedent requiring the application of tribal sovereign immunity in IPR proceedings.11 In addition, although the panel recognized that previous PTAB decisions had concluded that state sovereign immunity could be applied to shield patents from IPR review, it held that these decisions were distinguishable—a conclusion this Note argues is erroneous. 12 Following the St. Regis Tribe’s and Allergan’s appeal of the PTAB’s holding, on July 20, 2018, the Federal Circuit issued an opinion incorrectly concluding that tribal sovereign immunity does not apply to IPRs.13 The Federal Circuit panel relied primarily on the Supreme Court’s analysis in Federal Maritime Commission v. South Carolina State Ports Authority (“FMC”),14 in determining that “[g]enerally, [sovereign] immunity does not apply where the federal government acting through an agency engages in an investigative action or pursues an adjudicatory agency action.”15 Yet, the panel conceded that, “IPR is neither clearly a judicial proceeding instituted by a private party nor clearly an enforcement action brought by the federal government.”16 It also acknowledged Supreme Court precedent that sovereign immunity is applicable during administrative adjudications between private parties.17 The panel, however, ultimately determined that “IPR is more like an agency enforcement action than a civil suit brought by a private party,” and thus concluded that “tribal immunity is not implicated” in IPR proceedings.18 9. Id. at *2. 10. Id. at *6. 11. Id. at *3–6. 12. Id. at *3 n.4. 13. Saint Regis Mohawk Tribe v. Mylan Pharm. Inc., 896 F.3d 1322, 1327–29 (Fed. Cir. 2018). 14. Fed. Mar. Comm’n v. S.C. State Ports Auth., 535 U.S. 743 (2002). 15. Mylan, 896 F.3d at 1325. 16. Id. at 1326. 17. Id. at 1326–27. 18. Id. at 1327. 1436 DUKE LAW JOURNAL [Vol. 68:1433 But, contrary to the Federal Circuit’s rejection of the applicability of sovereign immunity, courts and the PTAB have repeatedly allowed state universities that own and license patents to assert sovereign immunity from IPRs.19 Yet, apparently, Native American tribes have no corresponding right to deploy sovereign immunity to shield their patents from IPR scrutiny.20 By drawing such a distinction, the PTAB and Federal Circuit departed from well-established precedent on the scope of tribal immunity</w:t>
      </w:r>
      <w:r w:rsidRPr="00003FC5">
        <w:rPr>
          <w:sz w:val="12"/>
          <w:szCs w:val="12"/>
          <w:u w:val="single"/>
        </w:rPr>
        <w:t>.</w:t>
      </w:r>
      <w:r w:rsidRPr="00415E22">
        <w:rPr>
          <w:u w:val="single"/>
        </w:rPr>
        <w:t xml:space="preserve"> As the Supreme Court has made clear, </w:t>
      </w:r>
      <w:r w:rsidRPr="00E6797F">
        <w:rPr>
          <w:b/>
          <w:bCs/>
          <w:u w:val="single"/>
        </w:rPr>
        <w:t>Native American tribes possess “inherent sovereign authority.”</w:t>
      </w:r>
      <w:r w:rsidRPr="00415E22">
        <w:rPr>
          <w:u w:val="single"/>
        </w:rPr>
        <w:t>21 Therefore, “[a]s a matter of federal law, an Indian tribe is subject to suit only where Congress has authorized the suit, or the tribe has waived its immunity.”</w:t>
      </w:r>
      <w:r>
        <w:t xml:space="preserve">22 </w:t>
      </w:r>
      <w:r w:rsidRPr="00415E22">
        <w:rPr>
          <w:u w:val="single"/>
        </w:rPr>
        <w:t xml:space="preserve">Although many have criticized the partnership as a “sham,”23 </w:t>
      </w:r>
      <w:r w:rsidRPr="00E6797F">
        <w:rPr>
          <w:b/>
          <w:bCs/>
          <w:u w:val="single"/>
        </w:rPr>
        <w:t>the St. Regis Tribe’s contract with Allergan is a proper exercise of its sovereign authority, serving both to protect the Restasis patents and to provide the tribe with a much-needed revenue stream</w:t>
      </w:r>
      <w:r w:rsidRPr="00415E22">
        <w:rPr>
          <w:u w:val="single"/>
        </w:rPr>
        <w:t xml:space="preserve">. Moreover, </w:t>
      </w:r>
      <w:r w:rsidRPr="00E6797F">
        <w:rPr>
          <w:b/>
          <w:bCs/>
          <w:u w:val="single"/>
        </w:rPr>
        <w:t>using tribal sovereign immunity to shield pharmaceutical patents from IPR scrutiny protects and promotes biotechnological innovation</w:t>
      </w:r>
      <w:r w:rsidRPr="00415E22">
        <w:rPr>
          <w:u w:val="single"/>
        </w:rPr>
        <w:t>; more broadly, strong patents—like the Restasis patents—are critically important in encouraging investment in the development of life-saving and life-enhancing drug therapies</w:t>
      </w:r>
      <w:r>
        <w:t xml:space="preserve">.24 </w:t>
      </w:r>
      <w:r w:rsidRPr="00415E22">
        <w:rPr>
          <w:u w:val="single"/>
        </w:rPr>
        <w:t>The costs associated with biotechnological innovation are high,25 and allowing tribal immunity to be used to protect pharmaceutical patents would help</w:t>
      </w:r>
      <w:r>
        <w:t xml:space="preserve"> </w:t>
      </w:r>
      <w:r w:rsidRPr="00003FC5">
        <w:rPr>
          <w:sz w:val="12"/>
          <w:szCs w:val="12"/>
        </w:rPr>
        <w:t>to ensure that 19. See, e.g., Reactive Surfaces Ltd. v. Toyota Motor Corp., No. IPR2016-01914 (P.T.A.B. July 13, 2017) (holding that Regents of the University of Minnesota could not be compelled to join the proceeding); NeoChord, Inc. v. Univ. of Md., No.IPR2016-00208 (P.T.A.B. May 23, 2017) (granting the University of Maryland immunity from the proceeding); Covidien LP v. Univ. of Fla. Research Found. Inc., No. IPR2016-01274, -01276, -01276 (P.T.A.B. Jan. 25, 2017) (determining that the University of Florida Research Foundation was entitled to sovereign immunity as an arm of Florida). 20. Mylan Pharm. Inc. v. Saint Regis Mohawk Tribe, Nos. IPR2016-01127, -01128, -01129, -01130, -01131, -01132, 2018 WL 1100950, at *2 (P.T.A.B. Feb. 23, 2018) (per curiam). 21. Okla. Tax Comm’n v. Citizen Band Potawatomi Tribe of Okla., 498 U.S. 505, 509 (1991). 22. Kiowa Tribe of Okla. v. Mfg. Techs., Inc., 523 U.S. 751, 754 (1998). 23. See, e.g., Allergan, Inc. v. Teva Pharm. USA, Inc., No. 2:15-cv-1455-WCB, 2017 WL 4619790, at *2–3 (E.D. Tex. Oct. 16, 2017) (noting that Allergen’s transactions with the St. Regis Tribe have circumstances that are “frequently encountered in sham transactions”). 24. See PHRMA, BIOPHARMACEUTICAL RESEARCH &amp; DEVELOPMENT: THE PROCESS BEHIND NEW MEDICINES 6 (2015), http://phrma-docs.phrma.org/sites/default/files/pdf/ rd_brochure.pdf [https://perma.cc/FC2G-WG2T] (noting the importance of intellectual property for pharmaceutical research and development). 25. See id. at 1 (estimating the “average cost to research and develop each successful drug . . . to be $2.6 billion”). 2019] STRANGE BEDFELLOWS 1437 the enormous costs associated with new drug development can be recouped. Part I of this Note sketches the legal background of IPR proceedings. Part II discusses the threats facing biopharmaceutical innovation from IPR proceedings, including IPR petitions brought by hedge funds. Part III argues that both the Federal Circuit and the PTAB incorrectly determined that tribal sovereign immunity could not be used to shield patents owned by the St. Regis Tribe from IPR challenge. Finally, Part III also contends that sovereign immunity can and should be used to protect biopharmaceutical patents and to encourage new investments in drug innovation and development. I. A BRIEF OVERVIEW OF IPR AND SOVEREIGN IMMUNITY This Part provides critical background information on the patent system and the type of post-grant proceeding at issue in this Note: IPR. It then provides a primer on the concept of tribal sovereign immunity, upon which the St. Regis Tribe contends that the Restasis patents are not subject to IPR review. A. IPR Challenges The federal government’s power to issue patents stems from a constitutional provision that authorizes Congress “[t]o promote the Progress of . . . useful Arts, by securing for limited Times to . . . Inventors the exclusive Right to their . . . Discoveries.”26 The Patent Act of 1790 granted the Secretary of State, the Secretary of War, and the Attorney General the authority to examine patent applications and issue patents.27 Congress then created the Patent Office in 1836, giving it broad power to “execute, and perform, all such acts and things touching and respecting the granting and issuing of patents for new and useful discoveries, inventions, and improvements.”28 And in 1952, Congress provided the Patent and Trademark Office (“PTO”) with the authority to promulgate rules “for the conduct of proceedings in the Patent Office.”29 26. U.S. CONST. art I, § 8, cl. 8. 27. Patent Act of 1790, ch. 7, § 1, 1 Stat. 109, 109–10. 28. Patent Act of 1836, ch. 357, § 1, 5 Stat. 117, 117–18. 29. Patent Act of 1952, Pub. L. No. 82-593, § 6, 66 Stat. 792, 793. 1438 DUKE LAW JOURNAL [Vol. 68:1433 More recently, the Leahy-Smith America Invents Act30 (“AIA”) was signed into law on September 16, 2011.31 Put simply, it was the most significant overhaul of patent law in more than half a century.32 The AIA gives the PTO expanded authority to reconsider the patentability of claims in issued patents.33 It replaced inter partes reexamination with IPR, an administrative procedure that allows a third-party challenger34 to petition the PTO to reexamine the claims in an issued patent and to cancel any claims the agency finds to be unpatentable in light of the prior art.35 IPRs proceed in two phases.36 In the first phase, the PTO determines whether to institute IPR.37 In the second phase, the PTAB conducts the IPR proceeding and issues a final written decision.38 A party in an IPR proceeding who is “dissatisfied with the final written decision of the [PTAB] may appeal the decision” to the United States Court of Appeals for the Federal Circuit.39 Critically, an IPR can be requested at any point during a patent’s term, beginning nine months after its issuance.40 A petition for IPR will be granted by the PTO if the petitioner can show with “reasonable likelihood” that it will “prevail with respect to at least 1 of the claims challenged in the petition.”41 IPR proceedings—typically heard before three administrative patent judges of the PTAB—are conducted on an expedited basis and are subject to a statutorily imposed requirement that disputes be resolved within twelve to eighteen months.42 30. Pub. L. No. 112-29, 125 Stat. 284 (2011) (codified in scattered sections of 28 and 35 U.S.C.). 31. See 157 CONG. REC. D979 (daily ed. Sept. 16, 2011) (noting the signing of the AIA into law). 32. See Clark D. Asay, Patenting Elasticities, 91 S. CALIF. L. REV. 1, 49 (2017) (noting that “[t]he AIA has been called the most important patent law reform since the 1952 Patent Act”). 33. 35 U.S.C. §§ 311–19 (2012). 34. The AIA provides that “a person who is not the owner of a patent may file with the [PTO] a petition to institute an inter partes review of the patent.” Id. § 311(a). 35. Id. § 311; Cuozzo Speed Techs., LLC v. Lee, 136 S. Ct. 2131, 2136 (2016). 36. See St. Jude Med., Cardiology Div., Inc. v. Volcano Corp., 749 F.3d 1373, 1375–76 (Fed. Cir. 2014) (explaining the IPR process mandated by statute). 37. 35 U.S.C. § 314(a). 38. Id. § 318(a). 39. Id. § 319; see, e.g., Versata Dev. Grp., Inc. v. SAP Am., Inc., 793 F.3d 1306, 1314–15 (Fed. Cir. 2015) (providing an example of an appealed PTAB decision). 40. 35 U.S.C. § 311(c)(1). 41. Id. § 314(a). 42. Id. § 316(a)(11). 2019] STRANGE BEDFELLOWS 1439 IPR proceedings differ from district court proceedings in important ways, and these differences can dramatically increase the likelihood that a challenger will succeed in invalidating a patent.43 In district court litigation, a patent enjoys a presumption of validity,44 with clear and convincing evidence required to demonstrate invalidity.45 By contrast, a petitioner in an IPR proceeding only carries “the burden of proving a proposition of unpatentability by a preponderance of the evidence.”46 Moreover, the PTAB applies a broader claimconstruction standard than that which is applied in district courts. In district court proceedings, the language of a patent claim is given its “ordinary and customary meaning,” which is “the meaning that the term would have to a person of ordinary skill in the art in question at the time of the invention, i.e., as of the effective filing date of the patent application.”47 In IPR proceedings, however, the language of a patent claim is “given its broadest reasonable construction in light of the specification of the patent in which it appears.”48 The impact of this distinction can be profound: a broadly construed claim is far more likely to be invalidated for infringing upon prior art because the more generally a claim is constructed, the more likely it is that its specific novelty will be overlooked. Furthermore, construing identical claims in different ways, solely based upon the forum, is “troubling, especially when claim construction takes place at the same time in parallel district court proceedings and USPTO proceedings.”49 43. See David Hricik, Will Patenting Make As Much Sense in the New Regime of Weakened Patent Rights and Shorter Product Life Cycles?, 20 VAND. J. ENT. &amp; TECH. L. 457, 489–91 (2017) (discussing how IPRs have made it easier to challenge patents because the patents do not have a presumption of validity, claims are given broad interpretations, and litigation can be stayed if an IPR is instituted). 44. 35 U.S.C. § 282(a). 45. Microsoft Corp. v. i4i Ltd. P’ship, 564 U.S. 91, 97 (2011). 46. 35 U.S.C. § 316(e). 47. Phillips v. AWH Corp., 415 F.3d 1303, 1312–13 (Fed. Cir. 2005) (en banc). 48. 37 C.F.R. § 42.100(b) (2017); see Cuozzo Speed Techs., LLC v. Lee, 136 S. Ct. 2131, 2142– 46 (2016) (affirming the Patent Office’s authority to use the “broadest reasonable construction” standard in § 42.100(b)). 49. KEVIN GREENLEAF ET AL., INTELL. PROP. OWNERS ASS’N, HOW DIFFERENT ARE THE BROADEST REASONABLE INTERPRETATION AND PHILLIPS CLAIM CONSTRUCTION STANDARDS? 3 (July 2018), https://www.ipo.org//wp-content/uploads/2018/07/BRI-v-PhillipsFinal.pdf [https://perma.cc/N3LE-HY9U]. 1440 DUKE LAW JOURNAL [Vol. 68:1433 The costs of challenging a patent are generally much lower at the PTAB.50 It is estimated that post-grant-review challenges before the PTAB “on average cost from $350,000 to $450,000 through any appeal, whereas patent litigation in federal court is estimated to cost between $1 [million] and $1.5 million through any appeal for matter[s] in which $1 [million] to $10 million are at stake.”51 Where more money is at stake, the costs associated with challenging a patent in federal court are even higher.52 The AIA’s new post-grant proceedings, including IPR, were designed to be “quick and cost effective alternatives to litigation.”53 One of the motivating policy justifications for enacting the AIA was the sense that the PTO had granted too many “bad” patents that were doing little to incentivize innovation, and that were instead being asserted by so-called “trolls” in an extortionist manner.54 IPRs were instead intended to provide “a meaningful opportunity to improve patent quality and restore confidence in the presumption of validity that comes with issued patents in court.”55 IPRs have provided a highly effective avenue for challenging patents.56 In fact, petitioners have been so successful in invalidating patents before the PTAB that Randall Rader, then Chief Judge of the U.S. Court of Appeals for the Federal Circuit, referred to the PTAB as a “death squad[] killing property rights.”57 And the statistics bear this 50. Teague I. Donahey, The Patent Trial and Appeal Board (PTAB) and the Supreme Court: How Oil States Threatens to Reverse Congressional Efforts to Reform Patent Litigation, 60 ADVOCATE 22, 22 (2017). 51. Id. 52. Id. 53. H.R. REP. NO. 112-98, pt. 1, at 48 (2011), as reprinted in 2011 U.S.C.C.A.N. 67, 78 [hereinafter “House Report”]. 54. See Asay, supra note 32, at 3 (“From fueling the business models of so-called patent trolls, to diverting valuable resources into patent ‘wars,’ to otherwise failing to live up to their purported theoretical justifications, the increasing number of patents flooding the U.S. marketplace is of growing concern to scholars and policymakers alike.” (citations omitted)); Michael A. Carrier, Post-Grant Opposition: A Proposal and a Comparison to the America Invents Act, 45 U.C. DAVIS L. REV. 103, 108–09 (2011) (noting that nearly half of all litigated patents that make it through trial were eventually invalidated by the courts). 55. House Report, supra note 53, at 48. 56. See Donahey, supra note 50, at 22 (“Over the past five years, parties have been widely successful at invalidating patents before the PTAB . . . .”). 57. Brian Nolan &amp; Michael Martinez, New Enemy Challenging Biopharma Patents: Investment Firms, 22 No. 8 WESTLAW J. INTELL. PROP. *1, *1 (Aug. 5, 2015); see also Susan Decker, Apple Likes the ‘Patent Death Squad.’ Allergan Pays to Avoid It, BLOOMBERG (Sept. 20, 2017, 4:00 AM), https://www.bloomberg.com/news/articles/2017-09-20/apple-likes-the-patent- 2019] STRANGE BEDFELLOWS 1441 out: between 2012 and 2017, in instances when the PTAB instituted IPR review, it found all claims unpatentable in 65 percent of instances and at least one claim unpatentable in 82 percent of proceedings.58 A recently published study demonstrates that IPRs pose a very real threat to biopharmaceutical innovation. On March 13, 2018, the PTO issued a special report on trial outcomes for pharmaceutical patents.59 The report focuses on the “institution rate” metric of how often a challenged patent gets upheld; it states that “[t]he cumulative institution rate for [pharmaceutical patent] petitions (66%) is essentially the same as the cumulative overall institution rate (68%).”60 Although the PTAB’s institution rate on pharmaceutical patents is similar to its overall institution rate, in cases where the PTAB issued a final written decision related to pharmaceutical patents, it found that none of the challenged claims were patentable in 46 percent of those cases.61 This means that if a challenger can convince the PTAB to review an Orange Book patent, there is a nearly 50 percent chance that all the challenged claims will ultimately be invalidated.62 Although IPRs may be useful in eliminating low-quality patents in certain fields, the system, as it is currently structured, fails to recognize that “[t]echnology is anything but uniform . . . and it displays highly diverse characteristics across different sectors.”63 In the pharmaceutical sector, the IPR system is not only unnecessary, but it also places potentially catastrophic burdens on the future of new drug development. B. A Primer on Sovereign Immunity Sovereign immunity has been a bedrock principle of our federal system since the founding: “Although the Constitution establishes a National Government with broad, often plenary authority over matters death-squad-allergan-pays-to-avoid-it [https://perma.cc/7R7F-WLNS] (noting that the PTAB has been “dubbed a ‘death squad’”). 58. Donahey, supra note 50, at 22. 59. U.S. PAT. &amp; TRADEMARK OFF., CHAT WITH THE CHIEF, NEW PTAB STUDIES IN AIA PROCEEDINGS: EXPANDED PANELS AND TRIAL OUTCOMES FOR ORANGE BOOK-LISTED PATENTS (2018), https://www.uspto.gov/sites/default/files/documents/ chat_with_the_chief_march_2018.pdf [https://perma.cc/548P-N3XM]. 60. Id. at 34. 61. Id. The PTAB found some claims patentable in another 3 percent of cases. Id. 62. Id. 63. Dan L. Burk &amp; Mark A. Lemley, Policy Levers in Patent Law, 89 VA. L. REV. 1575, 1577 (2003). 1442 DUKE LAW JOURNAL [Vol. 68:1433 within its recognized competence, the founding document ‘specifically recognizes the States as sovereign entities.’”64 By its plain terms, the Eleventh Amendment provides state governments with immunity from suits brought in federal court by citizens of other states and citizens or subjects of foreign states.65 In Hans v. Louisiana, however, the Supreme Court extended this immunity to preclude all suits against a state, including those suits brought by citizens of the same state.66 Unlike state sovereign immunity, which is constitutionally guaranteed under the Eleventh Amendment, tribal immunity is grounded in federal common law.67 In 1919, the Supreme Court explicitly embraced the doctrine of tribal sovereign immunity, stating that tribal governments—like local or state governments—cannot be sued “for injuries to persons or property due to mob violence or failure to keep the peace.”68</w:t>
      </w:r>
      <w:r>
        <w:t xml:space="preserve"> </w:t>
      </w:r>
      <w:r w:rsidRPr="00415E22">
        <w:rPr>
          <w:u w:val="single"/>
        </w:rPr>
        <w:t>In the ensuing years, the Supreme Court made clear that as “domestic dependent nations,”69 Indian tribes “exercise inherent sovereign authority over their members and territories.”70 Accordingly, although Congress exercises “plenary control” over them, the tribes maintain their sovereign authority up to the point at which Congress acts. Furthermore, “[a]lthough Congress has plenary authority over tribes, courts will not lightly assume that Congress in fact intends to undermine Indian self-government.”71 At a base level, the Supreme Court has asserted that, “[a]mong the core aspects of sovereignty that tribes possess—subject, again, to congressional action—is the ‘common-law immunity from suit traditionally enjoyed by sovereign powers.’”72 Specifically, this sovereign tribal immunity applies to suits brought by both states and individuals</w:t>
      </w:r>
      <w:r>
        <w:t>.</w:t>
      </w:r>
      <w:r w:rsidRPr="00003FC5">
        <w:rPr>
          <w:sz w:val="12"/>
          <w:szCs w:val="12"/>
        </w:rPr>
        <w:t>73 And any 64. Alden v. Maine, 527 U.S. 706, 713 (1999) (quoting Seminole Tribe of Fla. v. Florida, 715 U.S. 44, 71 n.15 (1996)). 65. U.S. CONST. amend. XI (“The Judicial Power of the United States shall not be construed to extend to any suit in law or equity, commenced or prosecuted against one of the United States by Citizens of another State, or by Citizens or Subjects of any Foreign State.”). 66. Hans v. Louisiana, 134 U.S. 1, 16 (1890) (noting that a state can only be sued with its consent). 67. Kiowa Tribe of Okla. v. Mfg. Techs., Inc., 523 U.S. 751, 759 (1998). 68. Turner v. United States, 248 U.S. 354, 357–58 (1919). 69. Cherokee Nation v. Georgia, 30 U.S. (5 Pet.) 1, 17 (1831). 70. Okla. Tax Comm’n v. Citizen Band Potawatomi Indian Tribe of Okla., 498 U.S. 505, 509 (1991). 71. Michigan v. Bay Mills Indian Cmty., 134 S. Ct. 2024, 2032 (2014). 72. Id. at 2030 (quoting Santa Clara Pueblo v. Martinez, 436 U.S. 49, 58 (1978)). 73. Id. at 2031. 2019] STRANGE BEDFELLOWS 1443 waiver of sovereign immunity by a tribe must be unequivocally expressed.74 There is no blanket prohibition on asserting sovereign immunity in agency proceedings involving the federal government.75 But there is an exemption from sovereign immunity for suits brought by the United States; however, that exemption only subjects tribes to proceedings that are “commenced and prosecuted” by the United States.76 In general, sovereign immunity applies in agency proceedings when such proceedings “can indeed be characterized as a lawsuit” in that they involve adverse parties, examination and cross examination, deposition discovery, and an impartial federal adjudicator.77</w:t>
      </w:r>
      <w:r>
        <w:t xml:space="preserve"> </w:t>
      </w:r>
      <w:r w:rsidRPr="00E6797F">
        <w:rPr>
          <w:b/>
          <w:bCs/>
          <w:u w:val="single"/>
        </w:rPr>
        <w:t>Tribal sovereign immunity has no exception for commercial activity,78 allowing tribes to engage in commerce with corporate partners without waiving the protections this immunity offers</w:t>
      </w:r>
      <w:r w:rsidRPr="00003FC5">
        <w:rPr>
          <w:sz w:val="12"/>
          <w:szCs w:val="12"/>
        </w:rPr>
        <w:t>. In determining whether a commercial entity enjoys the benefits of tribal immunity, courts look to see whether the entity is an “arm of the tribe.”79 In doing so, they consider whether the entity “is chartered under tribal law, whether its proceeds serve to further the aims of tribal self-governance, and whether the tribe intended to confer its immunity.”80 Casinos and other businesses on reservations routinely receive this protection.81 And significantly</w:t>
      </w:r>
      <w:r w:rsidRPr="00E6797F">
        <w:rPr>
          <w:b/>
          <w:bCs/>
          <w:sz w:val="12"/>
          <w:szCs w:val="12"/>
        </w:rPr>
        <w:t xml:space="preserve">, </w:t>
      </w:r>
      <w:r w:rsidRPr="00E6797F">
        <w:rPr>
          <w:b/>
          <w:bCs/>
          <w:u w:val="single"/>
        </w:rPr>
        <w:t>Allergan and the St. Regis Tribe structured their contract in such a way that their partnership has never been challenged under this test</w:t>
      </w:r>
      <w:r w:rsidRPr="00415E22">
        <w:rPr>
          <w:u w:val="single"/>
        </w:rPr>
        <w:t>.</w:t>
      </w:r>
      <w:r>
        <w:t xml:space="preserve"> </w:t>
      </w:r>
      <w:r w:rsidRPr="00003FC5">
        <w:rPr>
          <w:sz w:val="12"/>
          <w:szCs w:val="12"/>
        </w:rPr>
        <w:t xml:space="preserve">II. IPRS: AN IMPROPER FORUM FOR REVIEW OF PHARMACEUTICAL PATENTS The costs and difficulties associated with drug development, the vital importance of patents to the pharmaceutical industry—especially 74. C &amp; L Enters., Inc. v. Citizen Band Potawatomi Tribe of Okla., 532 U.S. 411, 418 (2001) (“[T]o relinquish its immunity, a tribe’s waiver must be ‘clear.’” (quoting Okla. Tax Comm’n, 498 U.S. at 509)). 75. See Saint Regis Mohawk Tribe v. Mylan Pharm. Inc, 896 F.3d 1322, 1326 (Fed. Cir. 2018) (“There is not, however, a blanket rule that immunity does not apply in federal agency proceedings.” (citing Fed. Mar. Comm’n v. S.C. State Ports Auth., 535 U.S. 743, 754–56 (2002))). 76. Alden v. Maine, 527 U.S. 706, 755 (1999). 77. Vas-Cath, Inc. v. Curators of Univ. of Mo., 473 F.3d 1376, 1382 (Fed. Cir. 2007). 78. Gregory Ablavsky, Tribal Sovereign Immunity and Patent Law, LEGAL AGGREGATE (Sept. 13, 2017), https://law.stanford.edu/2017/09/13/tribal-sovereign-immunity-and-patent-law [https://perma.cc/UP4U-9Y3A]. 79. Id. 80. Id. 81. Id. 1444 DUKE LAW JOURNAL [Vol. 68:1433 early in the innovation pipeline—and the already successful, but delicate, legislative framework allowing generic entry into the market, all make IPR the improper forum to review pharmaceutical patents. A. The Nature of Drug Development Strong patents have been described as the “lifeblood of the biotechnology industry,”82 and with good reason. The costs associated with innovation in the biotechnology realm are typically far higher than in other fields,83 in part because “of the labyrinthine regulatory process and the detailed study that is required to sell a drug for consumption by humans.”84 In 2014, it cost drug manufacturers an estimated average of $2.6 billion to bring a new drug to market.85 This “is based on an average out-of-pocket cost of $1.4 billion and an estimate of $1.2 billion in returns that investors forego” during the decade the drug is in development.86 Before marketing a new drug to the public, pharmaceutical companies must first obtain approval from the Food and Drug Administration (“FDA”).87 The FDA approval process requires timeconsuming and expensive clinical testing, typically including “three phases of human trials designed to test whether a drug is safe and effective for general public consumption.”88 Furthermore, much of the “low-hanging fruit”—the relatively easy-to-develop molecules for which there is great demand—has already been picked, forcing firms to “focus their R&amp;D [research and development] where the science is difficult and the failure risks are higher.”89 Consequently, the practice of creating new medicines “is growing in difficulty and length” as well as in expense.90 It typically takes at least a decade to bring a potentially 82. Sommer Nicole Louie, The Inadequacy of Bankruptcy Protection for the Biotechnology Industry, 22 EMORY BANKR. DEV. J. 337, 339 (2005) (citation omitted). 83. Burk &amp; Lemley, supra note 63, at 1581–82. 84. Id. 85. Rick Mullin, Cost to Develop New Pharmaceutical Drug Now Exceeds $2.5B, SCI. AM. (Nov. 24, 2014), https://www.scientificamerican.com/article/cost-to-develop-new-pharmaceuticaldrug-now-exceeds-2-5b [https://perma.cc/3BW9-HL56]. 86. Id. 87. 21 U.S.C. § 355(a) (2012). 88. Caitlyn Martin, Questioning the “Right” in State Right to Try Laws: Assessing the Legality and Effectiveness of These Laws, 77 OHIO ST. L.J. 159, 168 (2016). 89. PHRMA, supra note 24, at 1. 90. Id. 2019] STRANGE BEDFELLOWS 1445 therapeutic discovery from its nascent stage to the market, “with clinical trials alone taking six to seven years on average.”91 The apparent purpose of IPRs is to rid the system of useless patents writ large. But even the most suspect component of any drug from a patentability perspective has already had to prove its safety and efficacy to the FDA to a greater extent than the most comprehensive PTO review could require: less than 12 percent of drugs survive clinical testing, and thousands more never advance beyond the in vitro stage of testing. 92 Because FDA-approved pharmaceutical components have all been so thoroughly vetted by that industry, and because the FDA process guarantees that the component is functional, allowing these patents to be retroactively invalidated is particularly unfair. Producing any first-in-class drug, like Restasis, requires “the best scientific minds, highly sophisticated technologies, ever-evolving manufacturing processes, and complex project management.”93 Developing a lucrative drug requires dogged persistence through scores of failures, but in the end, the drug “brings hope and relief to millions of patients.”94 At bottom, it is estimated that new drug discoveries accounted for 40 percent of the increase in American lifespan between 1986 and 2000.95 However, the “best scientific minds” can no longer be certain they will be rewarded for their discoveries, even in a field where discovery has provided more life-saving benefits than almost any other. Presumably, the best and brightest should continue to be encouraged to enter the pharma-innovation field and provide society with breakthrough therapies like penicillin or the polio vaccine. But myriad environmental factors are not providing these pharmaceutical innovators with effective incentives. “[T]he unprecedented combination of reduced R&amp;D output in the form of successfully launched truly innovative” new molecular entities, together with reduced market exclusivity and massive revenue loss from generic competitors, “suggest[s] that we may be moving closer to a pharmaceutical ‘ice age’ and the potential extinction of the industry.”96 91. Id. 92. Id. 93. Id. 94. Id. 95. Steven M. Paul et al., How to Improve R&amp;D Productivity: The Pharmaceutical Industry’s Grand Challenge, 9 NATURE REV. DRUG DISCOVERY 203, 204 (2010). 96. Id. 1446 DUKE LAW JOURNAL [Vol. 68:1433 According to one estimate, for every dollar of profit that branded pharmaceuticals miss out on because of patent expirations, they only recoup twenty-six cents through the sale of new products.97 Thus, in the absence of a massive boost in productivity, branded pharmaceuticals simply “cannot sustain sufficient innovation to replace the loss of revenues due to patent expirations for successful products.”98 B. The Critical Role of Patents in Drug Development Given the enormous amount of money and time it takes to bring a new drug to market, the financial rewards of patent protection are of paramount importance to the pharmaceutical sector. Investment in the biotech space “is predicated on an expected return in the form of patent-protected products or services that ultimately reach the market.”99 Furthermore, </w:t>
      </w:r>
      <w:r>
        <w:t>“</w:t>
      </w:r>
      <w:r w:rsidRPr="00E6797F">
        <w:rPr>
          <w:b/>
          <w:bCs/>
          <w:u w:val="single"/>
        </w:rPr>
        <w:t>biotech companies often rely on just a handful of highly valuable patents to protect their products and massive investment therein.”100 Even compared to other industries that rely heavily on research and development (“R&amp;D”), biotechnology companies spend a far greater share of their resources on R&amp;D</w:t>
      </w:r>
      <w:r w:rsidRPr="00415E22">
        <w:rPr>
          <w:u w:val="single"/>
        </w:rPr>
        <w:t>.101 In the chemical industry, for example, “the ratio of R&amp;D expenditure to total revenues is approximately 5%,” but in the biotechnology arena, companies tend to plow between 40 and 50 percent of their revenues back into R&amp;D.102 Moreover, while it is incredibly expensive to bring new drugs to market, it is quite cheap to imitate them</w:t>
      </w:r>
      <w:r>
        <w:t>.</w:t>
      </w:r>
      <w:r w:rsidRPr="00003FC5">
        <w:rPr>
          <w:sz w:val="12"/>
          <w:szCs w:val="12"/>
        </w:rPr>
        <w:t>103 Compared to the billions that pharmaceutical companies are forced to spend to develop first-inclass drugs, it typically costs generics only $1 million to $2 million to gain FDA approval, based on a study in the year 2000.104 This is because the present reality in drug development is that “[a]lmost any 97. Id. at 203. 98. Id. 99. The Impact of Abusive Patent Litigation Practices on the American Economy: Hearing Before the S. Comm. on the Judiciary, 114th Cong. 3–4 (2015) (Statement of Hans Sauer, Deputy General Counsel for Intellectual Property, Biotechnology Industry Association) [hereinafter Sauer Testimony]. 100. Id. at 18. 101. Esteban Burrone, Patents at the Core: The Biotech Business, WORLD INTELL. PROP. ORG. (2006), http://www.wipo.int/sme/en/documents/patents_biotech_fulltext.html#P4_83 [https://perma.cc/5YMN-GW42]. 102. Id. 103. Id. 104. Henry Grabowski, Patents and New Product Development in the Pharmaceutical and Biotechnology Industries, 8 GEO. PUB. POL’Y REV. 7, 13 (2003). 2019] STRANGE BEDFELLOWS 1447 technology or compound can rapidly be reverse engineered,”105 making</w:t>
      </w:r>
      <w:r>
        <w:t xml:space="preserve"> </w:t>
      </w:r>
      <w:r w:rsidRPr="00E6797F">
        <w:rPr>
          <w:b/>
          <w:bCs/>
          <w:u w:val="single"/>
        </w:rPr>
        <w:t>strong intellectual property protection the most significant motivation that companies have to invent new drugs</w:t>
      </w:r>
      <w:r w:rsidRPr="00415E22">
        <w:rPr>
          <w:u w:val="single"/>
        </w:rPr>
        <w:t>. An important—but often overlooked—factor in the debate surrounding high drug prices is that, for many biotech companies, “intellectual property rights are actually the final product.”106 Because such companies lack the resources to bring their drugs to market, many firms either license out their patents to, or are acquired by, larger companies</w:t>
      </w:r>
      <w:r w:rsidRPr="00003FC5">
        <w:rPr>
          <w:sz w:val="12"/>
          <w:szCs w:val="12"/>
        </w:rPr>
        <w:t>.107 The profound implications of this are poorly addressed in the popular discourse surrounding big pharma and rising drug costs. Instead, the pharmaceutical industry is broadly criticized for reaping huge profits at the expense of public health, and it “comes only second to the federal government as the public’s least-favored industry.”108 Consequently, attempting to defend the industry, much less expand its protections, is not a popular position to take. However, unbeknownst to most casual observers, the lion’s share of innovation in the pharmaceutical industry does not occur within large companies.109 Smaller companies, often funded by venture capitalist (“VC”) investors, direct nearly 90 percent of their funding in the space into novel drug R&amp;D—research focused on diseases with an unmet medical need.110 This stands in stark contrast to the “low technical risk” investment model prominent at many large 105. Why Patents are the Lifeblood of Biotech Companies, BIOSPACE (Apr. 26, 2016), https://www.biospace.com/article/around-the-web/why-patents-are-the-lifeblood-of-biotechcompanies- [https://perma.cc/83TU-CN3F]. 106. Id. (emphasis added). 107. Id. 108. Ashley E. Petrarca, Note, Allergan’s Battle to Stay in Court: Does Inter Partes Review Violate the Constitution by Circumventing Courtroom Adjudication?, B.C. INTELL. PROP. &amp; TECH. F. 1, 1 (Dec. 20, 2017); Peter Loftus, Drugmakers Raise Prices Despite Criticisms, WALL ST. J. (Jan. 10, 2016, 8:03 PM), http://www.wsj.com/articles/drugmakers-raise-prices-despitecriticisms-1452474210 [https://perma.cc/3CBL-JNMR] (noting that high drug prices mean that certain patients will be denied access to life-saving drugs). 109. Cf. THE BUSINESS OF HEALTHCARE INNOVATION 148 (Lawton Burns ed., 2d ed. 2012) (“While larger firms may (or may not) undertake the bulk of innovative investment, they are not the source of the majority of innovations, or at least the most distinctive innovations in a therapeutic area.”). 110. David Thomas &amp; Chad Wessel, Emerging Therapeutic Company Investment and Deal Trends, BIO INDUSTRY ANALYSIS 9 (June 1, 2017), https://www.bio.org/sites/default/files/ BIO%20Emerging%20Therapeutic%20Company%20Report%202007-2016.pdf [https:// perma.cc/BHH5-SBMC] (“The majority of the venture funding continues to flow into novel drug R&amp;D, reaching a peak of 92% in 2015 and down slightly to 83% in 2016.”). 1448 DUKE LAW JOURNAL [Vol. 68:1433 pharmaceutical firms.111 By and large, VCs are professional investors, not scientists. Accordingly, in this knowledge-intensive industry, “emerging firms that seek external financ[ing] can be difficult to” value.112 Patents provide an important signaling function to VCs, and they are a useful heuristic for these investors in making their valuations. Studies have documented “that patents attract prominent VC[]s, prompt VC[]s to invest faster and generally increase the amounts” they invest.113 In essence, many VCs rely on the PTO in making their investment decisions—particularly in early rounds of funding,114 where the majority of funding “has gone toward early stage assets”115 like drug discovery, among the furthest upstream research in the innovation pipeline. This is significant because “discovery research and early translational medicine” are the most significant factors in producing “highly innovative medicines that result in markedly improved health outcomes.”116 Further, it is in these early rounds that VCs rely most heavily on the PTO’s grant of a patent. Unfortunately, many feel they can no longer do so.117 In 1996, the United States financed 83 percent of the world’s venture capital.118 But by 2015, its market share had been reduced to 54 percent.119 As investment in the space continues to decrease, the</w:t>
      </w:r>
      <w:r>
        <w:t xml:space="preserve"> </w:t>
      </w:r>
      <w:r w:rsidRPr="00415E22">
        <w:rPr>
          <w:u w:val="single"/>
        </w:rPr>
        <w:t>“US should be working to improve its innovation ecosystem, providing stable and effective property rights,” especially intellectual property rights</w:t>
      </w:r>
      <w:r>
        <w:t>,</w:t>
      </w:r>
      <w:r w:rsidRPr="00003FC5">
        <w:rPr>
          <w:sz w:val="12"/>
          <w:szCs w:val="12"/>
        </w:rPr>
        <w:t xml:space="preserve"> “so that VCs can once again feel confident” in their 111. Bruce Booth, Where Does All That Biotech Venture Capital Go?, LIFESCIVC (Feb. 9, 2015), https://lifescivc.com/2015/02/where-does-all-that-biotech-venture-capital-go [https:// perma.cc/WPY7-QDVS]. 112. Sebastian Hoenen, Christos Kolympiris, Wilfred Schoenmakers &amp; Nicholas Kalaitzandonakes, The Diminishing Signaling Value of Patents Between Early Rounds of Venture Capital Financing, 43 RES. POL’Y 956, 956 (2014). 113. Id. at 957. 114. Eric K. Steffe &amp; Timothy J. Shea, Jr., Protecting Innovation in Biotechnology Startups, NATURE: BIOENTREPRENEUR (June 23, 2003), https://www.nature.com/bioent/2003/030601/full/ bioent741.html [https://perma.cc/YF9Z-VUC3]. 115. Booth, supra note 111. 116. Paul, supra note 95, at 213. 117. See Kevin Madigan, As Investment Moves Overseas, The US Must Restore Its GoldStandard Patent System, CTR. FOR PROTECTION INTELL. PROP. (June 22, 2017), https://cpip.gmu.edu/2017/06/22/as-investment-moves-overseas-the-us-must-restore-its-goldstandard-patent-system [https://perma.cc/86L7-B3TL] (explaining how the weakening of patent rights is a factor causing venture capital investment to decline in the United States and move overseas). 118. Id. 119. Id. 2019] STRANGE BEDFELLOWS 1449 investments.120 However, the American intellectual property regime is “doing just the opposite.”121 For this reason</w:t>
      </w:r>
      <w:r>
        <w:t xml:space="preserve">, </w:t>
      </w:r>
      <w:r w:rsidRPr="00415E22">
        <w:rPr>
          <w:u w:val="single"/>
        </w:rPr>
        <w:t>especially in the researchintensive biotechnology sector where strong patents are “absolutely vital,” investment has been flowing out of American firms and into Chinese ones at an alarming rate. This trend could soon allow China to take the lead “in the development of lifesaving therapeutics and cancer treatment drugs</w:t>
      </w:r>
      <w:r>
        <w:t>.</w:t>
      </w:r>
      <w:r w:rsidRPr="00003FC5">
        <w:rPr>
          <w:sz w:val="12"/>
          <w:szCs w:val="12"/>
        </w:rPr>
        <w:t>”122 Research suggests that possessing patents is among the most significant factors in securing early stage venture funding in the life sciences industry.123 This makes sense, as “[v]ery few biotechnology startups actually have products to sell; their primary assets are usually proprietary technologies”—that is, these companies’ value is usually directly tied to their ability to safeguard their innovations through patent protection.124 For this reason, many VCs hire patent consultants to assess the strength of a company’s patent portfolio before making an investment.125 But the IPR “death squad[]” of the PTAB is increasingly undermining the confidence VCs can place in biotech patents.126 This is problematic because VC investing is risky enough to begin with: the majority of venture capital funds do not break even,127 and around 75 percent of the companies they invest in fail outright.128 To turn a profit, VCs need to hit a home run on a small portion of their investments, and in doing so, make up for their high number of strikeouts, which are especially expensive in the pharmaceutical industry. But who would swing for the fences on every pitch, given that the umpire—the PTAB—can far too easily “invalidate” any pharmaceutical home run? Put simply, according to a letter signed by some of the nation’s top VCs, “the injection of this type of [IPR] uncertainty into the patent system puts in doubt [our] future funding of” the life sciences sector 120. Id. 121. Id. 122. Id. 123. See Steffe &amp; Shea, supra note 114 (noting that “a strong patent position is a crucial ingredient for successfully raising venture capital”). 124. Id. 125. Id. 126. Nolan &amp; Martinez, supra note 57, at *1. 127. Diane Mulcahy, Six Myths About Venture Capitalists, HARV. BUS. REV. (May 2013), https://hbr.org/2013/05/six-myths-about-venture-capitalists [https://perma.cc/6HVW-KN92]. 128. Max Nisen, Bill Gates Says the Success Rate on Venture Capital Is “Pathetic” Compared to Development, QUARTZ (Mar. 14, 2014), https://qz.com/187959/bill-gates-says-the-success-rateon-venture-capital-is-pathetic-compared-to-development [https://perma.cc/6SBE-ASXJ]. 1450 DUKE LAW JOURNAL [Vol. 68:1433 because “no matter how groundbreaking an innovation may be, without the guarantee of a strong patent, the risk cannot be justified.”129 It could be argued that the pharmaceutical patents challenged in IPR proceedings are not the same sort of patents that VCs rely on in making their investment decisions. Instead, so the reasoning goes, the challenged patents are the so-called “evergreening” patents, 130 obtained by large pharmaceutical firms after a drug has been launched. Such “secondary” patents pertain to “ancillary aspects of drug innovation,” such as formulations and compositions, as opposed to active ingredients.131 The data on Orange Book-related patents in IPR proceedings has not been broken down into active-ingredient patents and secondary patents, but in district court proceedings, secondary patents are the subject of a greater proportion of preexpiration challenges, where they are invalidated at higher rates than active ingredient patents.132 Even assuming, arguendo, that secondary patents make up the lion’s share of patents in IPR proceedings, and assuming that these secondary patents are obtained after the venture funding stage, it does not necessarily follow that the invalidation of secondary patents will have a de minimis impact on upstream innovation. Importantly, if large pharmaceutical companies are unable to extend the patent-protected life of their blockbuster drugs by relying on secondary patents, they will be less likely to acquire active-ingredient patents from venture-backed companies in the first place. Because of the “current pressures on existing patents and the uncertain[] future of pharmaceutical patent protection . . . an unintended downward 129. Letter from Members of Life Sciences Venture Capital Community to Chuck Grassley, Chairman, Senate Comm. on the Judiciary, Patrick J. Leahy, Ranking Member, Senate Comm. on the Judiciary, Bob Goodlatte, Chairman, House Comm. on the Judiciary, John Conyers, Ranking Member, House Comm. on the Judiciary (Sept. 9, 2015), https://califesciences.org/wpcontent/uploads/2015/09/VC-Letter-on-IPR-Reform-H-R-9_FINAL.pdf [https://perma.cc/ 6PHC-5WA5]. 130. See Cynthia M. Ho, Should All Drugs Be Patentable? A Comparative Perspective, 17 VAND. J. ENT. &amp; TECH. L. 295, 297 (2015): In recent years, companies are increasingly seeking and obtaining a series of patents on different aspects of a drug, with each patent having a later expiration date to effectively result in a longer period of market exclusivity. Critics call this “evergreening,” in that the patent term appears “evergreen,” even if the commercial exclusivity is technically achieved through different patents. 131. C. Scott Hemphill &amp; Bhaven Sampat, Drug Patents at the Supreme Court, 339 SCIENCE 1386, 1386 (2013). 132. See id. at 1386–87 (“Of . . . cases litigated to completion . . . the branded firm nearly always wins a suit asserting an active ingredient patent . . . but usually loses asserting secondary patents . . . .”). 2019] STRANGE BEDFELLOWS 1451 pressure [is being applied] on the incentives to undertake the most risky research,”133 which is typically sponsored by VCs. If VCs conclude that a drug being developed by a small life sciences firm is unlikely to be acquired or that it will be acquired at a lower multiple than the economics of VC firms demand, the incentives for investment are sharply curtailed. An understanding of the dynamics of upstream innovation requires that “patent incentives . . . promise more than reasonable compensation for R&amp;D effort.”134 Instead, financing incredibly risky and potentially life-saving R&amp;D must promise “great rewards for great advancements that will not be retroactively appropriated” by the PTO.135 Oddly enough, and unfortunately, “[t]here’s more money to be made investing in drugs that will extend cancer patients’ lives by a few months than in drugs that would prevent cancer in the first place.”136 Eric Budish, Benjamin Roin, and Heidi Williams effectively show why our patent system may have historically encouraged this problem by demonstrating that a drug’s commercial success is often inversely correlated with the time it takes to develop and its therapeutic value.137 And IPRs stand to make this problem worse. Drug patents are granted by the PTO well before the FDA approves the sale of actual drugs. Before granting approval, the FDA requires years of clinical testing to show that the drugs are safe and effective.138 While all drugs require these trials, drugs that attack diseases in their later stages, such as chemotherapeutics, tend to take proportionately less time to demonstrate safety and efficacy. This is because diseases in later stages tend to progress much more rapidly and aggressively, allowing firms to see any drug-related effects—even if insignificant—in much less time.139 This rapidity of observable results allows late stage drugs to 133. Daniel R. Cahoy, Rethinking Patents for Optimal Health Care Innovation, at 87 (Apr. 2005) (unpublished manuscript), https://www.smeal.psu.edu/fcfe/research/white/patents.pdf [https://perma.cc/M75L-AV2R]. 134. Id. 135. Id. 136. Austin Frakt, Why Preventing Cancer Is Not the Priority in Drug Development, N.Y. TIMES (Dec. 28, 2015), https://www.nytimes.com/2015/12/29/upshot/why-preventing-cancer-isnot-the-priority-in-drug-development.html [https://perma.cc/G2ZA-MN7J]. 137. See generally Eric Budish, Benjamin N. Roin &amp; Heidi Williams, Do Firms Underinvest in Long-Term Research? Evidence from Cancer Clinical Trials, 105 AM. ECON. REV. 2044 (2015) (analyzing how private investment shapes cancer research). 138. See supra notes 87–98 and accompanying text. 139. Frakt, supra note 136. 1452 DUKE LAW JOURNAL [Vol. 68:1433 obtain FDA approval faster and get to market sooner.140 Accordingly, late-stage drugs have reduced commercialization lag—“the length of time between receipt of a patent and F.D.A. approval”—and they are much more lucrative for pharmaceutical companies because they enjoy monopoly status longer.141 On average, accounting for the time it takes to gain FDA approval, the effective patent term of first-in-class drugs is twelve-anda-half years, entitling them to a mere 62.5 percent of their patent term.142 For this reason, many “compounds are never developed [into drugs] because the patent protected production time available to recoup the cost of development is too short.”143 IPRs risk further limiting patents’ average effective term of market exclusivity— particularly if the proceedings target secondary patents that help add extensions to patent terms. Accordingly, pharmaceutical firms expect to have reduced time within which to recoup their investment, leading to fewer promising compounds being developed. A large pharmaceutical company that acquires a drug from a small firm is in a much better position to forecast the effective life of its primary patent than the small firm was when it undertook discovery research. This is because the commercial lag between acquisition and approval is necessarily shorter than the commercial lag between discovery and approval. Also, the VCs that invest in discovery-research companies “may be more impatient than neo-classical models [of profit-maximizing behavior] would predict due to . . . agency problems”144 that are the result of informational asymmetries between management and investors; these asymmetries are at their greatest when a drug’s therapeutic potential is merely theoretical.145 Furthermore, because of the time value of money, small increases in the risk profile of a project exponentially discount the present value of its future cash flows, especially those that are the most remote— those furthest upstream in the innovation pipeline. According to many patent brokers, the sale price of American patents has been reduced by 140. See id. (“To secure F.D.A. approval . . . drug companies race the clock to show that their product is safe and effective.”). 141. Id. 142. Id. 143. Id. (citation omitted) (alteration in original). 144. Budish et al., supra note 137, at 2045. 145. See infra Part II.B. 2019] STRANGE BEDFELLOWS 1453 two-thirds since the establishment of IPR proceedings.146 Even if the future value of VC-funded primary patents has been reduced by a mere fraction of this amount, the present value of such a patent is worth an order of magnitude less when discounted to present value. The risk that IPRs create for pharmaceutical patents, then, may be felt most acutely far upstream. And upstream is exactly where looming risks carry the most catastrophic consequences, as that is where breakthrough therapeutic innovation typically occurs.147 C. If It Ain’t Broke . . . Long before the advent of IPR proceedings, drug patents were already subject to specialized review. More than three decades ago, Congress, through the Hatch-Waxman Act,148 devised an expedited litigation pathway for challenging pharmaceutical patents.149 The Hatch-Waxman Act sought both to incentivize innovation and to facilitate the entry of cheaper generic drugs into the marketplace.150 And by most accounts, it has been successful in doing so.151 Although generic drugs made up only 19 percent of prescriptions in 1984, they made up 88 percent of prescriptions by 2015.152 Furthermore, by 2015, the average cost of a generic drug was less than one-fifth of the price of a patented brand drug.153 146. Richard Baker, Guest Post: America Invents Act Cost the US Economy Over $1 Trillion, PATENTLY-O (June 8, 2015), https://patentlyo.com/patent/2015/06/america-invents-trillion.html [https://perma.cc/TM84-UWP8]. 147. See infra Part II.B. 148. Drug Price Competition and Patent Term Restoration (Hatch-Waxman) Act of 1984, Pub. L. No. 98-417, 98 Stat. 1585 (codified as amended at 21 U.S.C. § 355 (2012)). 149. The Hatch-Waxman Act does not apply to biologics or biosimilars, which are instead covered by the Biologics Price Competition and Innovation Act (“BPCIA”). 42 U.S.C. § 262. 150. See 130 CONG. REC. 24,425 (1984) (statement of Rep. Waxman) (“[T]he bill . . . assures consumers of more low-cost generic drugs when a valid patent expires and the drug industry of sufficient incentive to develop innovative pharmaceutical therapies.”); see also Michael A. Carrier &amp; Carl J. Minniti III, Biologics: The New Antitrust Frontier, 2018 U. ILL. L. REV. 1, 11–14 (discussing the purposes of the Hatch-Waxman Act); Joanna Shepherd, Disrupting the Balance: The Conflict Between Hatch-Waxman and Inter Partes Review, 6 N.Y.U. J. INTELL. PROP. &amp; ENT. L. 14, 16 (2016) (“With Hatch-Waxman, Congress sought to achieve a delicate balance between stimulating innovation from brand companies who hold patents and facilitating market entry from generic companies who challenge the patents.”). 151. See Carrier &amp; Minniti, supra note 150, at 13 (“On the whole, the Hatch-Waxman Act has been successful.”). 152. Id. 153. Id.; see IMS INST. FOR HEALTHCARE INFORMATICS, MEDICINES USE AND SPENDING IN THE U.S.: A REVIEW OF 2015 AND OUTLOOK TO 2020, at 27 (2016), https://morningconsult.com/wp-content/uploads/2016/04/IMS-Institute-US-Drug-Spending- 1454 DUKE LAW JOURNAL [Vol. 68:1433 To encourage investment in new drugs, the Hatch-Waxman Act provides for “a patent-term extension for patents relating to certain products that were subject to lengthy regulatory delays and could not be marketed prior to regulatory approval.”154 It also seeks to encourage generic drug manufacturers to enter the marketplace.155 The HatchWaxman Act introduced the Abbreviated New Drug Application (“ANDA”),156 which allows the manufacturers of bioequivalent generic drugs to rely on the safety and efficacy data submitted by the brand drug manufacturer when it sought FDA approval.157 Importantly, the Hatch-Waxman Act gives generic drug companies a significant incentive to challenge drug patents prior to their expiration. If a generic drug company wishes to market a generic version of a drug before the Orange Book patents covering that drug expire, it must file a certification under 21 U.S.C. § 355(j)(2)(A)(vii)(IV), known as a Paragraph IV certification.158 The Hatch-Waxman Act promotes the early resolution of patent disputes between generic and brand-name pharmaceutical companies by specifying that the mere act of filing a Paragraph IV certification constitutes an act of patent infringement.159 Furthermore, “to incentivize ANDA filers to challenge the validity of listed patents or design around those patents as early as possible, the Hatch-Waxman Act provides that the first ANDA applicant to file a Paragraph IV certification . . . [will] enjoy a 180-day period of generic marketing exclusivity.”160 Significantly, the first Paragraph IV ANDA filer obtains a 180-day, or six-month, exclusivity period regardless of whether it establishes that the brand name manufacturer’s “OrangeBook-listed patents are invalid or not infringed by the drug described 2015.pdf [https://perma.cc/7JTG-J39E] (comparing branded drugs’ average list price with generic drugs’ average list price). 154. Eli Lilly &amp; Co. v. Medtronic, Inc., 496 U.S. 661, 670 (1990). 155. H.R. REP. NO. 98-857, at 14–15 (1984), as reprinted in 1984 U.S.C.C.A.N. 2647, 2647; see Glaxo Operations UK Ltd. v. Quigg, 894 F.2d 392, 396 (Fed. Cir. 1990) (“[T]he Act has two general purposes: (1) to increase the availability of low-cost drugs . . . and (2) to further encourage new drug research . . . .”). 156. 21 U.S.C. § 355(j) (2012). 157. Eli Lilly, 496 U.S. at 676. 158. See id. at 677 (discussing Paragraph IV certification). 159. 35 U.S.C. § 271(e)(2); see Eli Lilly, 496 U.S. at 678 (“[An] act of infringement . . . consists of submitting an ANDA . . . containing the fourth type of certification . . . .”). 160. Caraco Pharm. Labs., Ltd. v. Forest Labs., Inc., 527 F.3d 1278, 1283 (Fed. Cir. 2008) (citing 21 U.S.C. § 355(j)(5)(B)(iv)). 2019] STRANGE BEDFELLOWS 1455 in its ANDA.”161 This six-month period of generic exclusivity can be extremely profitable, allowing Paragraph IV challengers to price their drug at a cost that is only slightly less than that of the branded drug.162 The data demonstrates the strength of this incentive: “81 percent of drugs facing generic entry in 2012” faced Paragraph IV challenges.163 The IPR regime has also created a new and surprising threat: hedge funds. In 2014, a hedge fund manager named Kyle Bass, along with one of his fund’s subsidiaries—the Coalition for Affordable Drugs (“CFAD”)—entered the fray and made IPR challenges even more perilous for pharmaceutical companies.164 Bass developed a scheme to reap enormous financial rewards by shorting stock in a pharmaceutical company and then petitioning to have one of that company’s important drugs invalidated in IPR proceedings.165 On February 10, 2014, Bass filed IPR petitions challenging the validity of Ampyra, a prescription drug that helps multiple sclerosis patients walk.166 The shares of Acorda Therapeutics, Inc., the company that owned these patents, dropped nearly 15 percent in the days that followed,167 allowing Bass’s hedge fund to turn a fast profit by shorting the stock,168 notwithstanding the fact that the PTAB ultimately upheld the patents’ validity.169 In the months that followed, CFAD filed thirty-two more IPR petitions, all of which challenged patents in the biotechnology space.170 Bass has claimed that his repeated IPR petitions were designed to bring down drug prices, asserting that “Medicare and U.S. consumers pay the ultimate price for the evergreening of bad patents by the pharma cabal.”171 Although Bass and his hedge fund appear to have 161. Id. (citing 21 U.S.C. § 355(j)(5)(B)(iv)(II)(bb)). 162. Shepherd, supra note 150, at 24 (noting that the first Paragraph IV ANDA filer “can earn substantial profits by shadow pricing, or pricing slightly under the innovator’s price”). 163. Id. 164. See Nolan &amp; Martinez, supra note 57, at *2 (suggesting that “the mere filing of the petition—and not its underlying merits—caused the [company’s stock price to drop ten percent]”). 165. Id. 166. Jennifer Robichaux Carter, Hedge Funds Should Be Able to Challenge Patent Validity Using Inter Partes Review Despite Mixed Motives, 54 HOUS. L. REV. 1315, 1317–18 (2017). 167. See id. (explaining that the stock price dropped 9.7 percent on February 10 and then 4.8 percent on February 27, for a total 14.5 percent drop from the original price). 168. Id. at 1330. 169. Coalition For Affordable Drugs (ADROCA) LLC v. Acorda Therapeutics, Inc., No. IPR2015-00817 (P.T.A.B. Aug. 24, 2015). 170. Carter, supra note 166, at 1332–33. 171. Susan Decker, Bloomberg, Dallas’ Kyle Bass Blames Big Pharma ‘Cabal’ for Lost Fights Over Drug Prices, DALL. NEWS (Apr. 10, 2017), https://www.dallasnews.com/business/health- 1456 DUKE LAW JOURNAL [Vol. 68:1433 moved away from filing new IPR petitions,172 the threat to pharmaceutical companies still remains. Biotech companies are particularly vulnerable to IPR challenges filed by hedge funds and short sellers “because—in contrast to most high-tech companies— biotech companies often rely on just a handful of highly valuable patents to protect their products and massive investment therein.”173 Hence, the mere filing of an IPR can drastically impact the stock prices of these companies.174 Fighting a war on two fronts is costly and expensive. HatchWaxman and PTAB proceedings can force drug companies to fight validity battles in two ways, potentially eviscerating the financial incentives necessary to ensure robust drug-development efforts. It has been suggested that life science patents should be exempted from IPR challenges since Congress, through the Hatch-Waxman Act, has already established effective mechanisms for challenging such patents.175 Leaders in the biotechnology and pharmaceutical industries have argued that the IPR process threatens to disrupt the careful balance that Congress achieved over 30 years ago, by increasing business uncertainty for innovative biopharmaceutical companies having to defend their patents in multiple venues and under differing standards and procedures, ultimately diverting finite resources away from the research and development of new cures and treatments, to the detriment of patients.176 Given that</w:t>
      </w:r>
      <w:r>
        <w:t xml:space="preserve"> </w:t>
      </w:r>
      <w:r w:rsidRPr="00003FC5">
        <w:rPr>
          <w:u w:val="single"/>
        </w:rPr>
        <w:t xml:space="preserve">Congress has so far shown no real interest in exempting life sciences patents from IPR challenges, however, an alternative </w:t>
      </w:r>
      <w:r w:rsidRPr="00E6797F">
        <w:rPr>
          <w:b/>
          <w:bCs/>
          <w:u w:val="single"/>
        </w:rPr>
        <w:t>solution is instead for drug companies and Native American tribes to form partnerships in a manner that can effectively shield</w:t>
      </w:r>
      <w:r w:rsidRPr="00003FC5">
        <w:rPr>
          <w:sz w:val="12"/>
          <w:szCs w:val="12"/>
        </w:rPr>
        <w:t xml:space="preserve"> care/2017/04/10/dallas-kyle-bass-blames-big-pharma-cabal-lost-fights-drug-prices [https:// perma.cc/BFJ5-54GX]. 172. See id. (noting that “[t]he coalition hasn’t file a new case in 18 months”). 173. Sauer Testimony, supra note 99, at 18. 174. Id. at 1. 175. See Letter from James C. Greenwood, President &amp; CEO of BIO, and John J. Castellani, President &amp; CEO of PhRMA, to Chuck Grassley, Chairman, Senate Judiciary Comm., Patrick Leahy, Ranking Member, Senate Judiciary Comm., Robert Goodlatte, Chairman, House Judiciary Comm., John Conyers, Ranking Member, House Judiciary Comm. (July 15, 2015) [hereinafter Greenwood Letter], http://thehill.com/sites/default/files/ final_joint_phrma_bio_letter_on_ipr_071515.pdf [https://perma.cc/VCV8-LDCA] (arguing that the “Hatch-Waxman Act and the BPCIA already allow for generic and biosimilar companies to effectively challenge patents that are perceived as overly broad or invalid”). 176. Id. 2019] STRANGE BEDFELLOWS 1457 </w:t>
      </w:r>
      <w:r w:rsidRPr="00E6797F">
        <w:rPr>
          <w:b/>
          <w:bCs/>
          <w:u w:val="single"/>
        </w:rPr>
        <w:t>biopharmaceutical patents from IPR review, as seen in Saint Regis Mohawk Tribe v. Mylan Pharmaceuticals Inc</w:t>
      </w:r>
      <w:r w:rsidRPr="00003FC5">
        <w:rPr>
          <w:u w:val="single"/>
        </w:rPr>
        <w:t>.</w:t>
      </w:r>
      <w:r w:rsidRPr="00003FC5">
        <w:rPr>
          <w:sz w:val="12"/>
          <w:szCs w:val="12"/>
          <w:u w:val="single"/>
        </w:rPr>
        <w:t>177</w:t>
      </w:r>
      <w:r w:rsidRPr="00003FC5">
        <w:rPr>
          <w:sz w:val="12"/>
          <w:szCs w:val="12"/>
        </w:rPr>
        <w:t xml:space="preserve"> III. ALLERGAN AND THE ST. REGIS TRIBE SHOULD ENJOY SOVEREIGN IMMUNITY The Federal Circuit and the PTAB erred in determining that tribal sovereign immunity is inapplicable to the St. Regis Tribe’s patents in IPR proceedings. Their decisions mischaracterize the nature of an IPR proceeding as an administrative enforcement action, conflict with Supreme Court precedent, and fail to recognize that a congressional directive to abrogate tribal sovereign immunity must be unequivocal. Moreover, from a public policy point of view, these decisions fail to analyze the agreement from the Tribe’s perspective, and gloss over the significant non-monetary benefits it will bring to the St. Regis community. A. Similarly Flawed Legal Reasoning: The Federal Circuit and the PTAB On July 20, 2018, the Federal Circuit issued an opinion erroneously concluding that tribal sovereign immunity does not apply to IPRs in Saint Regis Mohawk Tribe v. Mylan Pharmaceuticals. 178 In doing so, the panel relied primarily on the Supreme Court’s analysis in FMC. 179 The Mylan court determined that “[g]enerally, [sovereign] immunity does not apply where the federal government acting through an agency engages in an investigative action or pursues an adjudicatory agency action.”180 The panel did concede that “IPR is neither clearly a judicial proceeding instituted by a private party nor clearly an enforcement action brought by the federal government.”181 It also acknowledged Supreme Court precedent that sovereign immunity is applicable during administrative adjudications between private parties.182 The panel, however, ultimately determined that “IPR is more like an agency enforcement action than a civil suit brought by a 177. Saint Regis Mohawk Tribe v. Mylan Pharm. Inc., 896 F.3d 1322 (Fed. Cir. 2018). 178. Id. 179. Id. at 1326 (citing Fed. Mar. Comm’n v. S.C. State Ports Auth., 535 U.S. 743 (2002)). 180. Id. at 1325. 181. Id. at 1326. 182. Id. at 1326–27. 1458 DUKE LAW JOURNAL [Vol. 68:1433 private party,” and thus concluded that “tribal immunity is not implicated” in IPR proceedings.183 The panel’s decision is problematic for a number of reasons, providing a strong rationale for the Supreme Court to grant certiorari. First and foremost, the panel erred by failing to give sufficient weight to the many marked similarities between IPR proceedings and ordinary civil litigation. In an IPR proceeding, the private-party petitioner controls the claims challenged and the grounds of the attacks, much like a civil plaintiff who makes particularized allegations.184 Indeed, an IPR cannot commence until the petitioner serves the patent owner with a petition, in line with civil service of process. Moreover, the PTAB has no authority to begin a proceeding without a private party’s petition.185 And neither the PTAB nor the PTO Director is a party to the proceeding.186 To the contrary, the petitioner brings forth the evidence187 and carries the burden of establishing unpatentability.188 Moreover, the PTAB must decide the case based on the “arguments that were advanced by a party.”189 Notwithstanding these, and legion other similarities to civil adversarial proceedings, the panel justified its nonadversarial assignation by relying on the fact that the PTAB can issue a decision even if the petitioner withdraws.190 But even this reasoning is flawed; significantly, the PTAB’s authority to issue a decision after the withdrawal of the petitioner is very narrow. By statute, an IPR proceeding must “be terminated with respect to any petitioner upon the joint request of the petitioner and the patent owner, unless the [PTO] has decided the merits of the proceeding before the request for 183. Id. at 1327. 184. SAS Inst., Inc. v. Iancu, 138 S. Ct. 1348, 1355 (2018) (“Congress chose to structure a[n IPR] process in which it’s the petitioner, not the [USPTO] Director, who gets to define the contours of the proceeding.”). 185. 35 U.S.C. § 312(a)(5) (2012). 186. See 37 C.F.R. § 42.2 (2018) (defining “Party” as “at least the petitioner and the patent owner and, in a derivation proceeding, any applicant or assignee of the involved application”). 187. 35 U.S.C. § 312(a)(3) (providing that a petition will only be considered if it identifies, inter alia, “the evidence that supports the grounds for the challenge to each claim”). 188. Id. § 316(e) (“In an inter partes review instituted under this chapter, the petitioner shall have the burden of proving a proposition of unpatentability by a preponderance of the evidence.”). 189. In re Magnum Oil Tools Int’l, Ltd., 829 F.3d 1364, 1381 (Fed. Cir. 2016). 190. Saint Regis Mohawk Tribe v. Mylan Pharm. Inc., 896 F.3d 1322, 1328 (Fed. Cir. 2018) (“Once IPR has been initiated, the Board may choose to continue review even if the petitioner chooses not to participate.” (citing 35 U.S.C. § 317(a))). 2019] STRANGE BEDFELLOWS 1459 termination is filed.”191 Thus, the PTAB can issue a decision following the withdrawal of the petitioner only if the PTAB has already reached a determination on the merits of the case. This is far different from an agency adjudicative action that is “commenced and prosecuted” by the United States,192 like an SEC enforcement action for violating federal securities laws.193 A second problem with the Federal Circuit’s holding in Mylan is that it conflicts with SAS Institute v. Iancu, 194 where the Supreme Court specifically stated that an IPR is a “procedure allow[ing] private parties to challenge previously issued patent claims in an adversarial process before the Patent Office that mimics civil litigation.”195 Given that SAS Institute characterized IPRs as “party-directed, adversarial” proceedings196 with “many of the usual trappings of litigation,”197 it is difficult to see how the Federal Circuit felt justified in concluding that “IPR is more like an agency enforcement action than a civil suit brought by a private party.”198 Finally, the panel’s Mylan holding is flatly inconsistent with the Federal Circuit’s previous decision in Vas-Cath, Inc. v. Curators of University of Missouri.199 In Vas-Cath, the court recognized that sovereign immunity can apply to administrative patent proceedings and pointed to a number of elements—such as the presence of “adverse parties, examination and cross-examination by deposition of witnesses,” and “findings by an impartial federal adjudicator”—that determine when an administrative proceeding “can indeed be characterized as a lawsuit.”200 To wit, all of these elements are indisputably present in an IPR proceeding.201 In sum, sovereign immunity should attach in an IPR proceeding because such a 191. 35 U.S.C. § 317(a). 192. Cf. Alden v. Maine, 527 U.S. 706, 755 (1999) (“A suit which is commenced and prosecuted against a State in the name of the United States . . . differs in kind from the suit of an individual . . . .”). 193. See Securities Act, § 20(b), 15 U.S.C. § 77t(b) (2012); 17 C.F.R. § 202.5(b) (2018). 194. SAS Inst. v. Iancu, 138 S. Ct. 1348 (2018). 195. Id. at 1352 (emphasis added). 196. Id. 197. Id. at 1354. 198. Saint Regis Mohawk Tribe v. Mylan Pharm. Inc., 896 F.3d 1322, 1327 (Fed. Cir. 2018). 199. Vas-Cath, Inc. v. Curators of Univ. of Mo., 473 F.3d 1376 (Fed. Cir. 2007). 200. Id. at 1382. 201. See Covidien LP v. Univ. of Fla. Research Found. Inc., Nos. IPR2016-01274, -01275, - 01276, 2017 WL 4015009, at *8 (P.T.A.B. Jan. 25, 2017) (describing arguments between patent owner and petitioner on how inter partes review is similar and dissimilar to civil litigation). 1460 DUKE LAW JOURNAL [Vol. 68:1433 proceeding “walks, talks, and squawks very much like a lawsuit” between private parties.202 Like the Federal Circuit, the PTAB also erred when it concluded that tribal sovereign immunity does not apply to IPR proceedings.203 The Supreme Court has repeatedly made clear that a tribe, like the St. Regis, is entitled to invoke sovereign immunity unless Congress has “unequivocally” expressed its desire to abrogate this immunity.204 Nothing in the AIA or its legislative history even remotely suggests that tribal immunity should not apply in IPR proceedings. With this lack of any congressional directive, and with the Supreme Court’s determination that a tribe’s “baseline” condition is immunity from suit,205 the PTAB had no reasonable justification for refusing to grant the St. Regis Tribe’s motion to terminate IPR proceedings. The power of an administrative agency like the PTAB “is circumscribed by the authority granted” by Congress.206 As several prominent scholars, including Erwin Chemerinsky, have argued, the PTAB “has no expertise or experience that would enable it to secondguess prima facie assertions of tribal sovereign immunity.”207 The PTAB’s “statutory jurisdiction over IPRs is limited to challenges based on prior art and obviousness” whereas tribal-immunity issues “involve sensitive legal questions that are far different from the patent issues that Congress has charged the [PTAB] with resolving.”208 From an institutional-competency perspective, the PTAB is simply not the right body to evaluate the legitimacy of the contract between Allergan and the St. Regis Tribe. According to one commentator, the PTAB’s “sweeping” determination that tribal sovereign immunity does not apply in IPR proceedings is “the latest and possibly most extreme example of agency overreach in the seven-year history of the PTAB under the [AIA].”209 202. Fed. Mar. Comm’n v. S.C. State Ports Auth., 535 U.S. 743, 757 (2002) (citation omitted). 203. Mylan, 896 F.3d at 1325. 204. Michigan v. Bay Mills Indian Cmty., 134 S. Ct. 2024, 2030–31 (2014). 205. Id. at 2031. 206. Stark v. Wickard, 321 U.S. 288, 309 (1944). 207. Brief of Amici Scholars in Support of Patent Owner the St. Regis Mohawk Tribe at 12, Saint Regis Mohawk Tribe v. Mylan Pharm. Inc., 896 F.3d 1322 (Fed. Cir. 2018) [hereinafter Brief of Scholars] (including Erwin Chemerinsky, Laurence H. Tribe, Joseph William Singer, and William N. Eskridge in the undersigned scholars). 208. Id. 209. Josh Malone, Controversy Over Restasis Patents is Misplaced, IP WATCHDOG (Mar. 21, 2018), http://www.ipwatchdog.com/2018/03/21/controversy-restasis-patents-misplaced/id=94904 [https://perma.cc/Q32G-TPEM]. 2019] STRANGE BEDFELLOWS 1461 The PTAB’s decision that the St. Regis Tribe had no right to assert immunity was particularly unjustifiable given that it has repeatedly allowed states to use sovereign immunity to protect patents from IPR challenge.210 In NeoChord, Inc. v. University of Maryland, 211 the PTAB dismissed an IPR proceeding against both a state university and the private entity that had licensed the university’s patents.212 The PTAB held that sovereign immunity barred suit against the state university, and that the suit could not proceed without the state university because it was an indispensable party.213 In concluding that the state university was an indispensable party, notwithstanding that it had licensed its patents, the PTAB focused on the fact that the state university had not transferred “substantially all” of its rights to its licensee because, like the St. Regis Tribe, the university retained the right to practice the patent, the right to royalties, and the right to respond to legal action in the event the licensee failed to do so.214 The PTAB should have applied this same analysis to the transaction between Allergan and the St. Regis Tribe.</w:t>
      </w:r>
      <w:r>
        <w:t xml:space="preserve"> </w:t>
      </w:r>
      <w:r w:rsidRPr="00003FC5">
        <w:rPr>
          <w:u w:val="single"/>
        </w:rPr>
        <w:t xml:space="preserve">Pursuant to the agreement between the parties, the </w:t>
      </w:r>
      <w:r w:rsidRPr="00E6797F">
        <w:rPr>
          <w:b/>
          <w:bCs/>
          <w:u w:val="single"/>
        </w:rPr>
        <w:t>St. Regis Tribe was given the “first right to sue for infringement unrelated to such Generic Equivalents</w:t>
      </w:r>
      <w:r w:rsidRPr="00003FC5">
        <w:rPr>
          <w:u w:val="single"/>
        </w:rPr>
        <w:t xml:space="preserve">.”215 Furthermore, although </w:t>
      </w:r>
      <w:r w:rsidRPr="00E6797F">
        <w:rPr>
          <w:b/>
          <w:bCs/>
          <w:u w:val="single"/>
        </w:rPr>
        <w:t>Allergan was given the sole right to use the patents in the production of drugs, the St. Regis Tribe retained the prerogative to use the patents for research, academic use, and in the care of patients</w:t>
      </w:r>
      <w:r w:rsidRPr="00003FC5">
        <w:rPr>
          <w:u w:val="single"/>
        </w:rPr>
        <w:t xml:space="preserve">, so long as it developed products that did not compete with Allergan’s.216 Most significantly, </w:t>
      </w:r>
      <w:r w:rsidRPr="00E6797F">
        <w:rPr>
          <w:b/>
          <w:bCs/>
          <w:u w:val="single"/>
        </w:rPr>
        <w:t>the Tribe received an initial payment of $13,750,000 and quarterly royalties of $3,750,000 from Allergan</w:t>
      </w:r>
      <w:r w:rsidRPr="00003FC5">
        <w:rPr>
          <w:u w:val="single"/>
        </w:rPr>
        <w:t>.217 Because the Tribe had a very substantial financial interest in the Restasis patents, as well as the right to use and enforce the patents under certain circumstances, it was an indispensable party, and thus the PTAB had no reasonable basis for concluding that the IPR proceedings could proceed without the Tribe’s participation.</w:t>
      </w:r>
      <w:r w:rsidRPr="00003FC5">
        <w:rPr>
          <w:sz w:val="12"/>
          <w:szCs w:val="12"/>
        </w:rPr>
        <w:t xml:space="preserve"> 210. Examples of such challenges include: Reactive Surfaces Ltd. v. Toyota Motor Corp., No. IPR2016-01914, 2017 WL 2992429 (P.T.A.B. July 13, 2017); NeoChord, Inc. v. University of Maryland, No. IPR2016–00208 (P.T.A.B. May 23, 2017); and Covidien LP v. University of Florida Research Foundation Inc., Nos. IPR2016-01274, -01275, -01276 (P.T.A.B. Jan. 25, 2017). 211. NeoChord, Inc. v. Univ. of Md., No. IPR2016–00208 (P.T.A.B. May 23, 2017). 212. Id. at 2. 213. Id. at 18–19. 214. Id. at 19. 215. Mylan Pharm. Inc. v. Saint Regis Mohawk Tribe, Nos. IPR2016-01127, -01128, -01129, - 01130, -01131, -01132, 2018 WL 1100950, at *3 (P.T.A.B. Feb. 23, 2018) (per curiam). 216. Id. at *10–11 (quoting Exhibit 2087 § 2.1). 217. Id. at *12. 1462 DUKE LAW JOURNAL [Vol. 68:1433 The PTAB determined that there was no controlling precedent requiring the application of tribal immunity in IPR proceedings,218 and that granting states sovereign immunity did not require a similar grant to Native American tribes.219 But considered together, these holdings are insidiously circular and misleading. First of all, IPRs were only created in 2012, so the lack of precedent is unsurprising. But more importantly, the PTAB’s assertion regarding state sovereign immunity fails to mention that in Covidien LP v. University of Florida Research Foundation Inc., 220 the entity granted immunity was a state university’s research foundation that licensed intellectual property to generate revenue—meaning that its purpose was to monetize innovation, much like a pharmaceutical company.221 There is little substantive difference between the university foundation in Covidien and the St. Regis Tribe in the Restasis proceedings; both accepted assignment of patents in order to generate revenue through royalties and licensing agreements. Consequently, to deny the Tribe’s right to assert its sovereign immunity, “would constitute improper unequal treatment and discrimination against the Tribe.”222 Furthermore, even assuming, arguendo, that there was no precedent directly addressing whether tribal sovereign immunity applies in IPR proceedings, the PTAB should have looked to the Supreme Court’s consistent and sympathetic treatment of tribal sovereign immunity for guidance.223 B. Policy Considerations Also Demonstrate Why Sovereign Immunity Should Apply Some commentators have asserted that Allergan’s partnership with the St. Regis Tribe violates the public pledge by Allegan’s CEO, Michael Saunders, to keep drug prices more transparent and affordable to patients.224 This argument is unpersuasive. As Saunders 218. Id. at *3. 219. Id. at *4. 220. Covidien LP v. Univ. of Fla. Research Found. Inc., No. IPR2016-01274, -01275, -01276 (P.T.A.B. Jan. 25, 2017). 221. Id. at *3; University of Florida Research Foundation, OFF. RESEARCH: UNIV. OF FLA., https://research.ufl.edu/ufrf.html [https://perma.cc/H688-YQXH]. 222. Amicus Curiae Brief of the Oglala Sioux Tribe in Support of Corrected Patent Owner’s Motion to Dismiss Based on Tribal Sovereign Immunity at 12, Mylan Pharm. Inc. v. Saint Regis Mohawk Tribe, IPR Nos. 2016-01127, -01128, -01129, -01130, -01131, -01132, 2018 WL 1100950 (P.T.A.B. Feb. 23, 2018). 223. See supra Part I.B and accompanying text. 224. See Sy Mukherjee, Botox Maker Allergan’s CEO Defends Selling Drug Patents to Native American Tribe to Thwart Rivals, FORTUNE (Sept. 9, 2017), 2019] STRANGE BEDFELLOWS 1463 correctly contends, Allergan’s partnership is not at odds with its “social contract,” a core feature of which “is a focus on innovation and research to help patients.”225 He argues that Allergan is not “trying to artificially extend” the Restasis patents, but instead is “just trying to protect [its] property against a system that exposes [it] to double jeopardy.”226 Saunders also points out that there have been many instances of hedge funds demanding cash in exchange for not filing IPR challenges, and that “Allergan has been the target of one of these extortion-like attacks.”227 If our system is to let more entities take cheap(er) shots at branded pharmaceutical companies through IPRs, it is fitting that those companies be allowed to take some additional protections, like the helmet of sovereign immunity. What most commentators fail to analyze is the rationale for the agreement between Allergan and the St. Regis Tribe from the Tribe’s perspective.</w:t>
      </w:r>
      <w:r>
        <w:t xml:space="preserve"> </w:t>
      </w:r>
      <w:r w:rsidRPr="00E6797F">
        <w:rPr>
          <w:b/>
          <w:bCs/>
          <w:u w:val="single"/>
        </w:rPr>
        <w:t>The St. Regis Tribe’s contract with Allergan is an integral part of its “economic development plan</w:t>
      </w:r>
      <w:r w:rsidRPr="00003FC5">
        <w:rPr>
          <w:u w:val="single"/>
        </w:rPr>
        <w:t>,” not merely some “scheme [designed] to shield patents from review.”228 As a direct consequence of its agreement with Allergan, the St. Regis Tribe, as sovereign, passed a resolution “endorsing the creation of a technology and innovation center for the commercialization of existing and emerging technologies</w:t>
      </w:r>
      <w:r>
        <w:t>.</w:t>
      </w:r>
      <w:r w:rsidRPr="00003FC5">
        <w:rPr>
          <w:sz w:val="12"/>
          <w:szCs w:val="12"/>
        </w:rPr>
        <w:t xml:space="preserve">”229 To flippantly conclude that this arrangement is a mere “sham,” as many commentators have done, is to disregard the Tribe’s very legitimate reasons for entering into this contract.230 And to criticize Allergan for engaging in a “rent-a-tribe” scheme trivializes not only the multimillion-dollar arrangement, but also a sovereign nation’s right to act in its own interests.231 The PTAB’s effective nullification of the contract between Allergan and the Tribe needlessly and illegally http://fortune.com/2017/09/09/allergan-drug-patents-native-american [https://perma.cc/U7K3- 456G] (detailing patient advocates’, generic drug makers’, and biotech investors’ concern with the St. Regis arrangement, particularly in light of the “social contract” Saunders promised to patients for fair and transparent prices). 225. Id. (quoting Saunders). 226. Id. (quoting Saunders). 227. Brent Saunders, Reverse Patent Trolls Are Harming Drug Innovation—and Patients, WALL ST. J. (Oct. 8, 2017, 2:33 PM), https://www.wsj.com/articles/reverse-patent-trolls-areharming-drug-innovationand-patients-1507487600 [https://perma.cc/VX2K-NR8R]. 228. Brief of Scholars, supra note 207, at 12. 229. Id. 230. See id. at 13 (noting petitioner’s argument that the Allergen/Mohawk agreement is a sham). 231. See id. (noting petitioner’s argument that the Allergen/Mohawk agreement is a “rent-atribe” scheme). 1464 DUKE LAW JOURNAL [Vol. 68:1433 injects the PTO into a “politically charged inquiry into tribal motivations and the policy wisdom of tribal economic freedom.”232 Put another way, the assertion here is that St. Regis Tribe’s sovereign immunity can be extricated from its current dalliance with pharmaceutical patents—it cannot, for the two are inextricably intertwined. One of the primary goals of the federal government’s policy toward Native American tribes is “to render Tribes more selfsufficient,” making them better able to finance “sovereign functions, rather than relying on federal funding.”233 To date, however, efforts to promote tribal economic growth have proved inadequate. For more than half of reservations, “some of the highest poverty and unemployment rates in the nation remain the norm.”234 In the words of Justice Sonia Sotomayor, “[i]f Tribes are ever to become more selfsufficient, and fund a more substantial portion of their own governmental functions, commercial enterprises will likely be a central means of achieving that goal.”235 As such, developing innovative “tribal business operations [is] critical to the goals of tribal self-sufficiency because such enterprises . . . ‘may be the only means by which a tribe can raise revenues.’”236 </w:t>
      </w:r>
      <w:r w:rsidRPr="00E6797F">
        <w:rPr>
          <w:b/>
          <w:bCs/>
          <w:u w:val="single"/>
        </w:rPr>
        <w:t>The St. Regis Tribe found a very creative and very lucrative means to generate much-needed revenue when it entered into its partnership with Allergan</w:t>
      </w:r>
      <w:r w:rsidRPr="00003FC5">
        <w:rPr>
          <w:sz w:val="12"/>
          <w:szCs w:val="12"/>
        </w:rPr>
        <w:t xml:space="preserve">. Since Congress has not unequivocally expressed its desire to abrogate immunity in this situation,237 both the PTAB and the courts must therefore respect the Tribe’s decision to invoke tribal sovereign immunity and shield the Restasis patents. The PTAB declared that “[e]ven assuming arguendo that the Tribe is entitled to assert immunity,” the IPR could proceed because Allergan is the “effective patent owner.”238 Although this 232. Id. 233. Michigan v. Bay Mills Indian Cmty., 134 S. Ct. 2024, 2043 (2014) (Sotomayor, J., concurring). 234. Ablavsky, supra note 78. 235. Bay Mills, 134 S. Ct. at 2041 (Sotomayor, J., concurring). 236. Id. at 2043 (Sotomayor, J., concurring) (quoting Catherine T. Struve, Tribal Immunity and Tribal Courts, 36 ARIZ. ST. L.J. 137, 169 (2004)). 237. Id. at 2031; see also C &amp; L Enters., Inc. v. Citizen Band Potawatomi Tribe of Okla., 532 U.S. 411, 418 (2001). 238. Mylan Pharm. Inc. v. Saint Regis Mohawk Tribe, Nos. IPR2016-01127, -01128, -01129, - 01130, -01131, -01132, 2018 WL 1100950, at *7, *13 (P.T.A.B. Feb. 23, 2018) (emphasis added). 2019] STRANGE BEDFELLOWS 1465 pronouncement sounds profound, it “has no legal meaning”239 or statutory validation. The St. Regis Tribe is the sole owner of the patents. To allow the IPR to proceed without the St. Regis Tribe could be a violation of due process: no congressional authorization exists permitting “effective” patent owners to litigate on behalf of actual owners. Moreover, as Allergan points out, no unity of interest exists between the partners: “Allergan can practice the inventions in the patents whether or not they are valid but the Tribe’s property rights and right to payments from Allergan would be extinguished if the Appellees prevail in the IPRs.”240 The Federal Circuit has held that “a patent should not be placed at risk of invalidation by the licensee without the participation of the patentee.”241 The Restasis patents are certainly at risk here, yet the PTAB continues to rely on its self-created “effective owner” designation in order to reach its desired result. However, as Allergen and the St. Regis Tribe detail, no statute authorizes the PTAB to conduct an IPR “against an effective patent owner in the absence of [an] ‘actual owner’” who is immune from suit.242 The AIA is clear that the right to participate as a defendant in an IPR proceeding is held by the patent owner.243 Nowhere is an “effective owner” mentioned in the statute.244 Because “effective” patent owners are not granted standing in the AIA, and standing in administrative proceedings is governed by statute,245 the PTAB’s determination that it “may proceed with an ‘effective’ patent owner exceeds its statutory authority.”246 Allowing PTAB judges this degree of ad hoc rulemaking authority would be contrary to the administrative structure that Congress created. In spite of the legitimacy of the St. Regis Tribe’s contract with Allergan, for which millions of dollars of valuable consideration was exchanged, the PTAB felt it could treat Allergan, rather than the St. 239. Appellants’ Motion for Stay Pending Review at 11, Saint Regis Mohawk Tribe v. Mylan Pharm. Inc., 896 F.3d 1322 (Fed. Cir. 2018) (No. 18-1638). 240. Id. at 11–12. 241. Schwarz Pharm., Inc. v. Paddock Labs, Inc., 504 F.3d 1371, 1374 (Fed. Cir. 2007). 242. Matthew Bultman, Tribe Asks Fed. Circ. To Pause Restasis Patent Reviews, LAW360 (Mar. 19, 2018, 6:42 PM), https://www.law360.com/articles/1023523/tribe-asks-fed-circ-to-pauserestasis-patent-reviews [https://perma.cc/HL54-AYTF]. 243. 35 U.S.C. §§ 313, 314(c), 315(a)(8)–(9) (2012). 244. See text accompanying supra note 243. 245. 5 U.S.C. § 702. 246. Appellants’ Motion for Stay Pending Review, supra note 239, at 13. 1466 DUKE LAW JOURNAL [Vol. 68:1433 Regis Tribe, as the patent owner. However, it was the St. Regis Tribe litigating this case, and it will be the St. Regis Tribe appealing the case going forward. In terms of basic contract law, parole evidence— evidence existing outside of the text of the contract—can only be considered if there are defects in the written instrument.247 No one claims that such defects are present here. It is surprising, then, that the PTAB felt it was within its rights to go “under the hood” of the plain language of the St. Regis–Allergan contract. In so doing, the PTAB effectively invalidated a legitimate contract based on its perception of a sovereign entity’s intent, determining that the presumption of patent ownership created by an assignment was rebutted by extrinsic evidence.248 CONCLUSION The patent system no longer effectively incentivizes investment in new and improved drug therapies. Lost in the cacophony surrounding the debate about high drug prices is the fundamental principle that pharmaceutical innovation will not occur without the prospect of outsized returns enabled through market exclusivity. And while the IPR system may sensibly eliminate low-quality patents in certain industries, it has the potential to derail critical investment in the biotechnology industry. VCs, who enable much of the disruptive innovation in the pharma space, rely most heavily on the signaling value of patents in early rounds of financing where therapeutic potential is greatest.249 IPR proceedings have upended the delicate balance that Congress struck in the Hatch-Waxman Act, and in doing so, they have “increas[ed] business uncertainty for innovative biopharmaceutical companies having to defend their patents in multiple venues and under differing standards and procedures.”250 These proceedings are diverting finite resources away from the research and development of new cures and treatments. The patent system may thus be “applying an unintended downward pressure on the incentives to undertake the most risky [and fruitful] research.”251 247. Parol Evidence Rule, LEGAL INFO. INST., https://www.law.cornell.edu/wex/ parol_evidence_rule [https://perma.cc/3KBY-ASKK]. 248. Mylan Pharm. Inc. v. Saint Regis Mohawk Tribe, Nos. IPR2016-01127, -01128, -01129, - 01130, -01131, -01132, 2018 WL 1100950, at *13 (P.T.A.B. Feb. 23, 2018). 249. See Hoenen et al., supra note 112, at 982 (finding that “patent activity before the first round of financing increases the capital invested in a firm”). 250. Greenwood Letter, supra note 175. 251. Cahoy, supra note 133, at 87. 2019] STRANGE BEDFELLOWS 1467 For a myriad of reasons, the pharmaceutical industry is different, incurring far more in R&amp;D costs than any other industry in order to produce products that are easily copied at a fraction of the price. In a recent Senate Judiciary Committee hearing, Orrin Hatch, for whom the Hatch-Waxman Act is named, questioned whether PTAB proceedings “are impacting [the] Hatch-Waxman [Act] in a disproportionate way.”252 </w:t>
      </w:r>
      <w:r w:rsidRPr="00003FC5">
        <w:rPr>
          <w:u w:val="single"/>
        </w:rPr>
        <w:t>The fact that Allergan felt compelled to “sell” its patents to the St. Regis Tribe provides strong evidence that PTAB proceedings are doing just that. The beleaguered pharmaceutical industry is being squeezed on all sides. It costs drug manufacturers an estimated average of $2.6 billion to bring a new drug to market.253 And these costs are only increasing</w:t>
      </w:r>
      <w:r w:rsidRPr="00003FC5">
        <w:rPr>
          <w:sz w:val="12"/>
          <w:szCs w:val="12"/>
        </w:rPr>
        <w:t>. Yet, the expected value of a drug’s patent portfolio is decreasing, thanks to the significant likelihood that some or all patent claims will be invalidated by the PTAB. Moreover, branded manufacturers are forced to fight a war against generics on two fronts, concurrently defending their patents in district court and before the PTAB, each under differing evidentiary standards. All the while, such firms must contend with hedge funds exploiting the IPR system, specifically targeting life sciences companies because they are so vulnerable. Such ills are only compounded by a shrinking R&amp;D pipeline and by VCs deciding to move their life sciences capital abroad.254 Is it any wonder that Allergan turned to the St. Regis Tribe for help? Allergan does not contend that its patents are beyond review. Nor is its partnership with the St. Regis Tribe an exploitation of the IPR regime. Rather, this partnership is a response to exploitation. Far from the “sham” or “rent-a-tribe” scheme narrative pushed by the media and commentators,255</w:t>
      </w:r>
      <w:r>
        <w:t xml:space="preserve"> </w:t>
      </w:r>
      <w:r w:rsidRPr="00E6797F">
        <w:rPr>
          <w:b/>
          <w:bCs/>
          <w:u w:val="single"/>
        </w:rPr>
        <w:t>Allergan’s alliance with the St. Regis Tribe is</w:t>
      </w:r>
      <w:r w:rsidRPr="00003FC5">
        <w:rPr>
          <w:u w:val="single"/>
        </w:rPr>
        <w:t xml:space="preserve"> </w:t>
      </w:r>
      <w:r w:rsidRPr="00003FC5">
        <w:rPr>
          <w:sz w:val="12"/>
          <w:szCs w:val="12"/>
          <w:u w:val="single"/>
        </w:rPr>
        <w:t>a</w:t>
      </w:r>
      <w:r w:rsidRPr="00003FC5">
        <w:rPr>
          <w:sz w:val="12"/>
          <w:szCs w:val="12"/>
        </w:rPr>
        <w:t xml:space="preserve"> 252. Scott Graham, Skilled in the Art: The Brave New World of Section 101 Guidance, LAW.COM (Apr. 20, 2018, 5:59 PM), https://www.law.com/2018/04/20/skilled-in-the-art-the-bravenew-world-of-section-101-guidance [https://perma.cc/2XGJ-6797] (quoting Andrei Iancu, Director of the United States Patent and Trademark Office, in response to prodding by Senator Orrin Hatch). 253. Mullin, supra note 85. 254. See Madigan, supra note 117 (“[T]he National Venture Capital Association . . . highlight[s] a drop [in the US share of global venture capital] from 83% of global share in 1996 to just 54% in 2015.”). 255. Roy Schestowitz, A Sham and a Scam: How Patent Extremists Continue to Promote a Mohawks and Allergan Ploy Against PTAB, Even After Oil States, TECHRIGHTS (May 14, 2018, 12:31 AM), http://techrights.org/2018/05/14/watchtroll-for-allergan [https://perma.cc/QRX2- 5FHG]; see also, e.g., Robert Pear, Indian Tribe Joins Big Pharma at the Supreme Court, Defending a Lucrative Deal, N.Y. TIMES (Jan. 26, 2019), https://www.nytimes.com/2019/01/26/ 1468 DUKE LAW JOURNAL [Vol. 68:1433</w:t>
      </w:r>
      <w:r>
        <w:t xml:space="preserve"> </w:t>
      </w:r>
      <w:r w:rsidRPr="00E6797F">
        <w:rPr>
          <w:b/>
          <w:bCs/>
          <w:u w:val="single"/>
        </w:rPr>
        <w:t>justified effort to obtain reprieve from an IPR regime that is inherently unsuited to pass judgment on dearly acquired patent rights. In that sense, the alliance is an innovative, legitimate, and appropriate use of tribal sovereign immunity.</w:t>
      </w:r>
    </w:p>
    <w:p w:rsidR="00541F71" w:rsidRPr="00A972D8" w:rsidRDefault="00541F71" w:rsidP="00541F71"/>
    <w:p w:rsidR="00541F71" w:rsidRDefault="00541F71" w:rsidP="00541F71">
      <w:pPr>
        <w:pStyle w:val="Heading3"/>
      </w:pPr>
      <w:r>
        <w:t>A2 Space Col</w:t>
      </w:r>
    </w:p>
    <w:p w:rsidR="00541F71" w:rsidRDefault="00541F71" w:rsidP="00541F71">
      <w:pPr>
        <w:pStyle w:val="Heading4"/>
      </w:pPr>
      <w:r>
        <w:t>Perm do both – space colonization does not have to be settler colonial because space is true terra nullius</w:t>
      </w:r>
    </w:p>
    <w:p w:rsidR="00541F71" w:rsidRPr="00373171" w:rsidRDefault="00541F71" w:rsidP="00541F71">
      <w:r w:rsidRPr="00AE702A">
        <w:rPr>
          <w:b/>
          <w:sz w:val="26"/>
          <w:szCs w:val="26"/>
        </w:rPr>
        <w:t>Utrata 24</w:t>
      </w:r>
      <w:r>
        <w:t xml:space="preserve"> [Alina is a </w:t>
      </w:r>
      <w:r w:rsidRPr="00373171">
        <w:t>PhD Candidate in Politics and International Studies at the University of Cambridge, a 2020 Gates-Cambridge scholar, and a 2017 Marshall scholar. Her research focuses on the political theory of corporations and has been published in the American Political Science Review and the Boston Review. She produces the podcast The Anti-Dystopians.</w:t>
      </w:r>
      <w:r>
        <w:t xml:space="preserve"> [January 12, 2024, “</w:t>
      </w:r>
      <w:r w:rsidRPr="00373171">
        <w:t>What’s Wrong with Outer Space Colonialism?</w:t>
      </w:r>
      <w:r>
        <w:t xml:space="preserve">” </w:t>
      </w:r>
      <w:r w:rsidRPr="00373171">
        <w:rPr>
          <w:i/>
          <w:iCs/>
        </w:rPr>
        <w:t>E-International Relations</w:t>
      </w:r>
      <w:r>
        <w:t xml:space="preserve">, </w:t>
      </w:r>
      <w:r w:rsidRPr="00373171">
        <w:t>https://www.e-ir.info/2024/01/12/whats-wrong-with-outer-space-colonialism/</w:t>
      </w:r>
      <w:r>
        <w:t>]</w:t>
      </w:r>
    </w:p>
    <w:p w:rsidR="00541F71" w:rsidRPr="00AE702A" w:rsidRDefault="00541F71" w:rsidP="00541F71">
      <w:pPr>
        <w:rPr>
          <w:sz w:val="12"/>
          <w:szCs w:val="16"/>
        </w:rPr>
      </w:pPr>
      <w:r w:rsidRPr="00AE702A">
        <w:rPr>
          <w:sz w:val="12"/>
          <w:szCs w:val="16"/>
        </w:rPr>
        <w:t>In October of 2023, the New York Times published an article entitled: “Maybe in Your Lifetime, People Will Live on the Moon and then Mars”.</w:t>
      </w:r>
      <w:r w:rsidRPr="00AE702A">
        <w:rPr>
          <w:sz w:val="12"/>
        </w:rPr>
        <w:t xml:space="preserve"> </w:t>
      </w:r>
      <w:r w:rsidRPr="00373171">
        <w:rPr>
          <w:u w:val="single"/>
        </w:rPr>
        <w:t>NASA landed on the Moon for the first time over half a century ago, and by 2040 they plan to return—this time, to stay</w:t>
      </w:r>
      <w:r w:rsidRPr="00AE702A">
        <w:rPr>
          <w:sz w:val="12"/>
        </w:rPr>
        <w:t xml:space="preserve">. </w:t>
      </w:r>
      <w:r w:rsidRPr="00AE702A">
        <w:rPr>
          <w:sz w:val="12"/>
          <w:szCs w:val="16"/>
        </w:rPr>
        <w:t>Outer space colonialism is usually believed to belong to the world of science fiction. But there are very real projects currently underway to ensure that both astronauts and civilians can survive for lengthy periods on the Moon, and thus begin the process of settling space. This includes, for instance, developing 3D printers that could construct homes with the capacity to withstand conditions on the Moon—such as temperatures upwards of 600 degrees, a “vicious combination of radiation and micrometeorites”, and Moon dust “so abrasive it can cut like glass . . . [which] swirls in noxious plumes and is toxic when inhaled” (Kamin 2023).</w:t>
      </w:r>
    </w:p>
    <w:p w:rsidR="00541F71" w:rsidRPr="00AE702A" w:rsidRDefault="00541F71" w:rsidP="00541F71">
      <w:pPr>
        <w:rPr>
          <w:sz w:val="12"/>
        </w:rPr>
      </w:pPr>
      <w:r w:rsidRPr="00AE702A">
        <w:rPr>
          <w:sz w:val="12"/>
          <w:szCs w:val="16"/>
        </w:rPr>
        <w:t>As I detail in my article in the American Political Science Review (Utrata 2023), there are many reasons why one might object to colonies on the Moon. These include the enormous emissions in the midst of the climate catastrophe (Rubenstein 2022; Utrata 2021); the continued dispossession of indigenous lands and displacement of vulnerable communities for rocket launch sites (Sammler and Lynch 2021) and entrenchment of coloniality and colonial relationships (Trevino 2020; Bawaka Country et al. 2020); or the risk of geopolitical conflict and militarization of space (Deudney 2020). However ill-advised colonizing outer</w:t>
      </w:r>
      <w:r w:rsidRPr="00AE702A">
        <w:rPr>
          <w:sz w:val="12"/>
        </w:rPr>
        <w:t xml:space="preserve"> </w:t>
      </w:r>
      <w:r w:rsidRPr="00373171">
        <w:rPr>
          <w:b/>
          <w:bCs/>
          <w:u w:val="single"/>
        </w:rPr>
        <w:t>space</w:t>
      </w:r>
      <w:r w:rsidRPr="00AE702A">
        <w:rPr>
          <w:sz w:val="12"/>
        </w:rPr>
        <w:t xml:space="preserve"> </w:t>
      </w:r>
      <w:r w:rsidRPr="00AE702A">
        <w:rPr>
          <w:sz w:val="12"/>
          <w:szCs w:val="16"/>
        </w:rPr>
        <w:t>might be, it</w:t>
      </w:r>
      <w:r w:rsidRPr="00AE702A">
        <w:rPr>
          <w:sz w:val="12"/>
        </w:rPr>
        <w:t xml:space="preserve"> </w:t>
      </w:r>
      <w:r w:rsidRPr="00373171">
        <w:rPr>
          <w:b/>
          <w:bCs/>
          <w:u w:val="single"/>
        </w:rPr>
        <w:t>is often assumed to be fundamentally different from earthly colonialism for one key reason: outer space is actually empty</w:t>
      </w:r>
      <w:r w:rsidRPr="00AE702A">
        <w:rPr>
          <w:sz w:val="12"/>
        </w:rPr>
        <w:t xml:space="preserve">. </w:t>
      </w:r>
      <w:r w:rsidRPr="00AE702A">
        <w:rPr>
          <w:sz w:val="12"/>
          <w:szCs w:val="16"/>
        </w:rPr>
        <w:t>As Mary-Jane Rubenstein (2022, 158) puts it:</w:t>
      </w:r>
      <w:r w:rsidRPr="00AE702A">
        <w:rPr>
          <w:sz w:val="12"/>
        </w:rPr>
        <w:t xml:space="preserve"> </w:t>
      </w:r>
      <w:r w:rsidRPr="00AE702A">
        <w:rPr>
          <w:sz w:val="12"/>
          <w:szCs w:val="16"/>
        </w:rPr>
        <w:t>Corporate space enthusiasts insist that</w:t>
      </w:r>
      <w:r w:rsidRPr="00AE702A">
        <w:rPr>
          <w:sz w:val="12"/>
        </w:rPr>
        <w:t xml:space="preserve"> </w:t>
      </w:r>
      <w:r w:rsidRPr="00373171">
        <w:rPr>
          <w:u w:val="single"/>
        </w:rPr>
        <w:t xml:space="preserve">the game is different this time because the lands they’re aiming for aren’t inhabited… </w:t>
      </w:r>
      <w:r w:rsidRPr="00373171">
        <w:rPr>
          <w:b/>
          <w:bCs/>
          <w:u w:val="single"/>
        </w:rPr>
        <w:t>when it comes to space… we can finally feel good about frontierism because we’ve finally got an empty frontier.</w:t>
      </w:r>
      <w:r w:rsidRPr="00AE702A">
        <w:rPr>
          <w:sz w:val="12"/>
        </w:rPr>
        <w:t xml:space="preserve"> </w:t>
      </w:r>
      <w:r w:rsidRPr="00AE702A">
        <w:rPr>
          <w:sz w:val="12"/>
          <w:szCs w:val="16"/>
        </w:rPr>
        <w:t>In this article, I want to draw out one aspect of my critique about outer space colonialism and its claim to have found genuinely “empty space”, both for what it suggests about the ethics of settling space as well as what it reveals about terrestrial colonization.</w:t>
      </w:r>
      <w:r w:rsidRPr="00AE702A">
        <w:rPr>
          <w:sz w:val="12"/>
        </w:rPr>
        <w:t xml:space="preserve"> </w:t>
      </w:r>
      <w:r w:rsidRPr="00AE702A">
        <w:rPr>
          <w:sz w:val="12"/>
          <w:szCs w:val="16"/>
        </w:rPr>
        <w:t>The problem with colonialism—whether in outer space or on Earth—cannot simply be reduced to a matter of whether spaces are or are not “empty”.</w:t>
      </w:r>
      <w:r w:rsidRPr="00AE702A">
        <w:rPr>
          <w:sz w:val="12"/>
        </w:rPr>
        <w:t xml:space="preserve"> </w:t>
      </w:r>
      <w:r w:rsidRPr="00373171">
        <w:rPr>
          <w:b/>
          <w:bCs/>
          <w:u w:val="single"/>
        </w:rPr>
        <w:t>Calling something empty presupposes a certain conceptualization of relating to that space</w:t>
      </w:r>
      <w:r w:rsidRPr="00373171">
        <w:rPr>
          <w:u w:val="single"/>
        </w:rPr>
        <w:t>, and already begins the process of legitimating and imposing certain forms of (territorially-based) political rule.</w:t>
      </w:r>
      <w:r w:rsidRPr="00AE702A">
        <w:rPr>
          <w:sz w:val="12"/>
        </w:rPr>
        <w:t xml:space="preserve"> </w:t>
      </w:r>
      <w:r w:rsidRPr="00373171">
        <w:rPr>
          <w:b/>
          <w:bCs/>
          <w:u w:val="single"/>
        </w:rPr>
        <w:t>Space colonies</w:t>
      </w:r>
      <w:r w:rsidRPr="00AE702A">
        <w:rPr>
          <w:sz w:val="12"/>
        </w:rPr>
        <w:t xml:space="preserve">, as David Valentine (2017, 187) has noted, </w:t>
      </w:r>
      <w:r w:rsidRPr="00373171">
        <w:rPr>
          <w:b/>
          <w:bCs/>
          <w:u w:val="single"/>
        </w:rPr>
        <w:t>are</w:t>
      </w:r>
      <w:r w:rsidRPr="00373171">
        <w:rPr>
          <w:u w:val="single"/>
        </w:rPr>
        <w:t xml:space="preserve"> often </w:t>
      </w:r>
      <w:r w:rsidRPr="00373171">
        <w:rPr>
          <w:b/>
          <w:bCs/>
          <w:u w:val="single"/>
        </w:rPr>
        <w:t>purported to offer “a libertarian hope that conscious effort and free enterprise in places where</w:t>
      </w:r>
      <w:r w:rsidRPr="00373171">
        <w:rPr>
          <w:u w:val="single"/>
        </w:rPr>
        <w:t>—as I have frequently heard said—“</w:t>
      </w:r>
      <w:r w:rsidRPr="00373171">
        <w:rPr>
          <w:b/>
          <w:bCs/>
          <w:u w:val="single"/>
        </w:rPr>
        <w:t>there are no natives”</w:t>
      </w:r>
      <w:r w:rsidRPr="00373171">
        <w:rPr>
          <w:u w:val="single"/>
        </w:rPr>
        <w:t xml:space="preserve"> will fix things so that </w:t>
      </w:r>
      <w:r w:rsidRPr="00373171">
        <w:rPr>
          <w:b/>
          <w:bCs/>
          <w:u w:val="single"/>
        </w:rPr>
        <w:t>humans can do a more equitable job of colonialism</w:t>
      </w:r>
      <w:r w:rsidRPr="00373171">
        <w:rPr>
          <w:u w:val="single"/>
        </w:rPr>
        <w:t xml:space="preserve"> this time around”.</w:t>
      </w:r>
      <w:r w:rsidRPr="00AE702A">
        <w:rPr>
          <w:sz w:val="12"/>
        </w:rPr>
        <w:t xml:space="preserve"> For its Silicon Valley supporters, </w:t>
      </w:r>
      <w:r w:rsidRPr="00373171">
        <w:rPr>
          <w:b/>
          <w:bCs/>
          <w:u w:val="single"/>
        </w:rPr>
        <w:t>outer space is</w:t>
      </w:r>
      <w:r w:rsidRPr="00373171">
        <w:rPr>
          <w:u w:val="single"/>
        </w:rPr>
        <w:t xml:space="preserve"> something of </w:t>
      </w:r>
      <w:r w:rsidRPr="00373171">
        <w:rPr>
          <w:b/>
          <w:bCs/>
          <w:u w:val="single"/>
        </w:rPr>
        <w:t>a “technological solution</w:t>
      </w:r>
      <w:r w:rsidRPr="00373171">
        <w:rPr>
          <w:u w:val="single"/>
        </w:rPr>
        <w:t xml:space="preserve">” (to borrow Morozov’s 2013 term) to the ethical issues of colonialism. </w:t>
      </w:r>
      <w:r w:rsidRPr="00373171">
        <w:rPr>
          <w:b/>
          <w:bCs/>
          <w:u w:val="single"/>
        </w:rPr>
        <w:t>If new technologies can allow humans to reach lunar lands which are genuine terra nullius, or empty spaces—then what’s wrong with colonizing outer space?</w:t>
      </w:r>
      <w:r w:rsidRPr="00AE702A">
        <w:rPr>
          <w:sz w:val="12"/>
        </w:rPr>
        <w:t xml:space="preserve"> </w:t>
      </w:r>
      <w:r w:rsidRPr="00F42757">
        <w:rPr>
          <w:b/>
          <w:bCs/>
          <w:u w:val="single"/>
        </w:rPr>
        <w:t>Imagin</w:t>
      </w:r>
      <w:r w:rsidRPr="00373171">
        <w:rPr>
          <w:u w:val="single"/>
        </w:rPr>
        <w:t xml:space="preserve">ing </w:t>
      </w:r>
      <w:r w:rsidRPr="00F42757">
        <w:rPr>
          <w:b/>
          <w:bCs/>
          <w:u w:val="single"/>
        </w:rPr>
        <w:t>outer space as an “empty frontier</w:t>
      </w:r>
      <w:r w:rsidRPr="00373171">
        <w:rPr>
          <w:u w:val="single"/>
        </w:rPr>
        <w:t>”, however, is a conceptual invention</w:t>
      </w:r>
      <w:r w:rsidRPr="00AE702A">
        <w:rPr>
          <w:sz w:val="12"/>
        </w:rPr>
        <w:t>: it relies on the process of territorialization—or imagining space as geospatial plots of territory which can be claimed as territorial property. Notably, this conceptual transformation also underpinned earthly colonialism and indigenous dispossession. As Robert Nichols (2018, 14) has argued in his phenomenal work Theft is Property!, indigenous dispossession can be understood as “a process in which new proprietary relations are generated but under structural conditions that demand their simultaneous negation”. Many indigenous communities, as Nichols points out, did not and do not think that land can be owned as territorial property; yet they still contest that their lands were stolen, a form of theft that presupposes a property right. Nichols explains that dispossession can be coherently understood as a simultaneous transformation and transfer of property. In other words, earthly colonizers transformed land into geospatial plots of territory at the same time that they claimed it for themselves. We can see this conceptual transformation occurring in real time in the night skies. Currently, for instance, the Moon is often conceptualized as a form of light. As light, no individual is understood to exclusively own it. All communities on Earth make use of the Moon’s light, whether they be astronomical researchers, celestial navigators, animals or any person gazing at the night sky. When satellites or cities obscure this light from the skies, all communities have the right to object to “light pollution” because no one is understood to have a greater or exclusive property claim on natural light. However, in 2022, a report from the Adam Smith Institute called for the establishment of a homesteading system to allocate “plots of Moon land” in an effort to preempt a celestial land rush (Lowe 2022</w:t>
      </w:r>
      <w:r w:rsidRPr="00373171">
        <w:rPr>
          <w:u w:val="single"/>
        </w:rPr>
        <w:t>). In this conception of the Moon, the celestial body is no longer understood as light—but as territory. While this may seem an innocuous or indeed even logical suggestion, it in fact relies on a fundamental reconceptualization of outer space which structures and imposes political relationships.</w:t>
      </w:r>
      <w:r w:rsidRPr="00AE702A">
        <w:rPr>
          <w:sz w:val="12"/>
        </w:rPr>
        <w:t xml:space="preserve"> As Morris Cohen (1927, 12) noted: “a property right is a relation not between an owner and a thing, but between the owner and other individuals in reference to things… dominion over things is also imperium over our fellow human beings”. </w:t>
      </w:r>
      <w:r w:rsidRPr="00373171">
        <w:rPr>
          <w:u w:val="single"/>
        </w:rPr>
        <w:t xml:space="preserve">Thus, </w:t>
      </w:r>
      <w:r w:rsidRPr="00373171">
        <w:rPr>
          <w:b/>
          <w:bCs/>
          <w:u w:val="single"/>
        </w:rPr>
        <w:t>a transformation of how space ought to be conceptualized</w:t>
      </w:r>
      <w:r w:rsidRPr="00373171">
        <w:rPr>
          <w:u w:val="single"/>
        </w:rPr>
        <w:t xml:space="preserve">—as light or as land—implies and </w:t>
      </w:r>
      <w:r w:rsidRPr="00373171">
        <w:rPr>
          <w:b/>
          <w:bCs/>
          <w:u w:val="single"/>
        </w:rPr>
        <w:t>imposes a certain understanding of property and political rule</w:t>
      </w:r>
      <w:r w:rsidRPr="00373171">
        <w:rPr>
          <w:u w:val="single"/>
        </w:rPr>
        <w:t>. As owners of territorial property, individuals have the right to exclude others from its use. This will almost certainly require or depend on the coercive force of states, corporations, or settlers to enforce.</w:t>
      </w:r>
      <w:r w:rsidRPr="00AE702A">
        <w:rPr>
          <w:sz w:val="12"/>
        </w:rPr>
        <w:t xml:space="preserve"> </w:t>
      </w:r>
      <w:r w:rsidRPr="00F42757">
        <w:rPr>
          <w:b/>
          <w:bCs/>
          <w:u w:val="single"/>
        </w:rPr>
        <w:t>Inventing territory</w:t>
      </w:r>
      <w:r w:rsidRPr="00373171">
        <w:rPr>
          <w:u w:val="single"/>
        </w:rPr>
        <w:t xml:space="preserve"> thus has political consequences. It </w:t>
      </w:r>
      <w:r w:rsidRPr="00F42757">
        <w:rPr>
          <w:b/>
          <w:bCs/>
          <w:u w:val="single"/>
        </w:rPr>
        <w:t>constructs both what rights individuals or communities are understood to have over spaces</w:t>
      </w:r>
      <w:r w:rsidRPr="00373171">
        <w:rPr>
          <w:u w:val="single"/>
        </w:rPr>
        <w:t>—and therefore one other—as well as formulating the political authority and structures which uphold and enforce those rights, such as states.</w:t>
      </w:r>
      <w:r w:rsidRPr="00AE702A">
        <w:rPr>
          <w:sz w:val="12"/>
        </w:rPr>
        <w:t xml:space="preserve"> Would-be space colonists argue that </w:t>
      </w:r>
      <w:r w:rsidRPr="00F42757">
        <w:rPr>
          <w:b/>
          <w:bCs/>
          <w:u w:val="single"/>
        </w:rPr>
        <w:t>outer space, unlike indigenous lands, is truly empty</w:t>
      </w:r>
      <w:r w:rsidRPr="00373171">
        <w:rPr>
          <w:u w:val="single"/>
        </w:rPr>
        <w:t>. However, space is only empty if we understand it to be a potential site of territory.</w:t>
      </w:r>
      <w:r w:rsidRPr="00AE702A">
        <w:rPr>
          <w:sz w:val="12"/>
        </w:rPr>
        <w:t xml:space="preserve"> To call outer space an “empty frontier” is thus to already impose a territorial conceptualization of property onto that space—and to begin the process of colonialism. </w:t>
      </w:r>
      <w:r w:rsidRPr="00373171">
        <w:rPr>
          <w:u w:val="single"/>
        </w:rPr>
        <w:t>However, this is not the only way to conceptualize spaces</w:t>
      </w:r>
      <w:r w:rsidRPr="00AE702A">
        <w:rPr>
          <w:sz w:val="12"/>
        </w:rPr>
        <w:t xml:space="preserve">. For instance, many communities also consider the Moon to be a person, a spiritual or divine being, an ancestor or relative (Rubenstein 2022; Bawaka Country et al. 2020). Māori indigenous communities consider natural entities on Earth such as the rainforest Te Urewera, the volcanic mountain Mount Taranaki, and the river Whanganui to be persons, who in effect exercise a form of self-ownership (Nichols 2020). These different conceptualizations change the way human communities relate to these spaces and thus construct different political relationships in determining how to treat them. Currently, for instance, Te Urewera, Mount Taranaki, and Whanganui are cared for by shared guardianship between Māori tribes and the government of New Zealand (ibid). </w:t>
      </w:r>
      <w:r w:rsidRPr="00F42757">
        <w:rPr>
          <w:b/>
          <w:bCs/>
          <w:u w:val="single"/>
        </w:rPr>
        <w:t>Outer space colonialism is not without its wrongs and will not be without its harms</w:t>
      </w:r>
      <w:r w:rsidRPr="00AE702A">
        <w:rPr>
          <w:sz w:val="12"/>
        </w:rPr>
        <w:t xml:space="preserve">. Violence and coercion are fundamental to how territorial property relations are structured and upheld, whether on Earth, the Moon, or Mars. While the invention of rocket ships and 3D printers that can build houses on the Moon may further solidify and catalyze these settler processes, they are underpinned by conceptual, political, and legal inventions about how we ought to relate to these spaces. The empty frontier must be invented. </w:t>
      </w:r>
      <w:r w:rsidRPr="00F42757">
        <w:rPr>
          <w:b/>
          <w:bCs/>
          <w:u w:val="single"/>
        </w:rPr>
        <w:t>But it’s possible to imagine something else</w:t>
      </w:r>
      <w:r w:rsidRPr="00373171">
        <w:rPr>
          <w:u w:val="single"/>
        </w:rPr>
        <w:t>.</w:t>
      </w:r>
    </w:p>
    <w:p w:rsidR="00541F71" w:rsidRDefault="00541F71" w:rsidP="00541F71">
      <w:pPr>
        <w:pStyle w:val="Heading4"/>
      </w:pPr>
      <w:r>
        <w:t>Link-turn – Deterring China is good because China has been using settler colonialism to expand their nation; examples are Taiwan, Tibet, Uyghur Muslims, and the Belt and Road Initiative.</w:t>
      </w:r>
    </w:p>
    <w:p w:rsidR="00541F71" w:rsidRPr="008E5C49" w:rsidRDefault="00541F71" w:rsidP="00541F71">
      <w:r w:rsidRPr="00AE702A">
        <w:rPr>
          <w:b/>
          <w:sz w:val="26"/>
          <w:szCs w:val="26"/>
        </w:rPr>
        <w:t>Horne 24</w:t>
      </w:r>
      <w:r>
        <w:t xml:space="preserve"> [Kaleb, April 24, 2024, “</w:t>
      </w:r>
      <w:r w:rsidRPr="008E5C49">
        <w:t>China: A Settler Colonial Empire?</w:t>
      </w:r>
      <w:r>
        <w:t xml:space="preserve">” </w:t>
      </w:r>
      <w:r w:rsidRPr="008E5C49">
        <w:rPr>
          <w:i/>
          <w:iCs/>
        </w:rPr>
        <w:t>Liberty University</w:t>
      </w:r>
      <w:r>
        <w:t xml:space="preserve">, </w:t>
      </w:r>
      <w:r w:rsidRPr="008E5C49">
        <w:t>https://digitalcommons.liberty.edu/hsgconference/2024/foreign_policy/14/</w:t>
      </w:r>
      <w:r>
        <w:t>]</w:t>
      </w:r>
    </w:p>
    <w:p w:rsidR="00541F71" w:rsidRPr="006B3F15" w:rsidRDefault="00541F71" w:rsidP="00541F71">
      <w:pPr>
        <w:rPr>
          <w:rStyle w:val="StyleUnderline"/>
          <w:b/>
          <w:bCs/>
        </w:rPr>
      </w:pPr>
      <w:r w:rsidRPr="0082332E">
        <w:rPr>
          <w:rStyle w:val="StyleUnderline"/>
        </w:rPr>
        <w:t>China’s</w:t>
      </w:r>
      <w:r w:rsidRPr="00AE702A">
        <w:rPr>
          <w:sz w:val="12"/>
        </w:rPr>
        <w:t xml:space="preserve"> rapid expansion is a growing concern to many in the west, yet the history and pattern of its meteoric rise is deeply misunderstood. Surprisingly, its </w:t>
      </w:r>
      <w:r w:rsidRPr="0082332E">
        <w:rPr>
          <w:rStyle w:val="StyleUnderline"/>
        </w:rPr>
        <w:t>rise may bear many</w:t>
      </w:r>
      <w:r>
        <w:rPr>
          <w:rStyle w:val="StyleUnderline"/>
        </w:rPr>
        <w:t xml:space="preserve"> </w:t>
      </w:r>
      <w:r w:rsidRPr="0082332E">
        <w:rPr>
          <w:rStyle w:val="StyleUnderline"/>
        </w:rPr>
        <w:t>similarities with that of the rise of many western states.</w:t>
      </w:r>
      <w:r w:rsidRPr="00AE702A">
        <w:rPr>
          <w:sz w:val="12"/>
        </w:rPr>
        <w:t xml:space="preserve"> This paper will examine a constellation of China’s territorial and cultural expansions. Furthermore, it will examine ongoing and future expansions of the Chinese empire. It will examine Chinese actions in Tibet, the Yunnan province, the Guizhou province, Taiwan, the Belt and Road Initiative, and examine China’s ongoing treatment of Uyghur Muslims. These subjects will also be qualitatively compared to settler colonial theories, as described in a western context, to uncover similarities and points of contention to determine if </w:t>
      </w:r>
      <w:r w:rsidRPr="008E5C49">
        <w:rPr>
          <w:rStyle w:val="StyleUnderline"/>
          <w:b/>
          <w:bCs/>
        </w:rPr>
        <w:t>the rise of the Chinese empire is mostly explained by theories of settler colonialism</w:t>
      </w:r>
      <w:r w:rsidRPr="0082332E">
        <w:rPr>
          <w:rStyle w:val="StyleUnderline"/>
        </w:rPr>
        <w:t>.</w:t>
      </w:r>
      <w:r>
        <w:rPr>
          <w:rStyle w:val="StyleUnderline"/>
        </w:rPr>
        <w:t xml:space="preserve"> </w:t>
      </w:r>
      <w:r w:rsidRPr="0082332E">
        <w:rPr>
          <w:rStyle w:val="StyleUnderline"/>
        </w:rPr>
        <w:t>Settler colonialism</w:t>
      </w:r>
      <w:r w:rsidRPr="00AE702A">
        <w:rPr>
          <w:sz w:val="12"/>
        </w:rPr>
        <w:t xml:space="preserve"> is a unique form of colonization that extends beyond what one normally imagines a colonized area as. It includes the removal of indigenous peoples from their land and the subsequent replacement with the colonizing group. This process </w:t>
      </w:r>
      <w:r w:rsidRPr="0082332E">
        <w:rPr>
          <w:rStyle w:val="StyleUnderline"/>
        </w:rPr>
        <w:t>includes the</w:t>
      </w:r>
      <w:r>
        <w:rPr>
          <w:rStyle w:val="StyleUnderline"/>
        </w:rPr>
        <w:t xml:space="preserve"> </w:t>
      </w:r>
      <w:r w:rsidRPr="0082332E">
        <w:rPr>
          <w:rStyle w:val="StyleUnderline"/>
        </w:rPr>
        <w:t>removal of not only the people, but also their culture, symbols, and everything that could leave a</w:t>
      </w:r>
      <w:r>
        <w:rPr>
          <w:rStyle w:val="StyleUnderline"/>
        </w:rPr>
        <w:t xml:space="preserve"> </w:t>
      </w:r>
      <w:r w:rsidRPr="0082332E">
        <w:rPr>
          <w:rStyle w:val="StyleUnderline"/>
        </w:rPr>
        <w:t>trace that indigenous people were there</w:t>
      </w:r>
      <w:r w:rsidRPr="00AE702A">
        <w:rPr>
          <w:sz w:val="12"/>
        </w:rPr>
        <w:t xml:space="preserve">. Furthermore, as this process is being completed, deep denial takes place whereby </w:t>
      </w:r>
      <w:r w:rsidRPr="0082332E">
        <w:rPr>
          <w:rStyle w:val="StyleUnderline"/>
        </w:rPr>
        <w:t>settlers act as if the land was rightfully theirs</w:t>
      </w:r>
      <w:r w:rsidRPr="00AE702A">
        <w:rPr>
          <w:sz w:val="12"/>
        </w:rPr>
        <w:t xml:space="preserve">. This brutal act is called </w:t>
      </w:r>
      <w:r w:rsidRPr="0082332E">
        <w:rPr>
          <w:rStyle w:val="StyleUnderline"/>
        </w:rPr>
        <w:t>settler colonialism</w:t>
      </w:r>
      <w:r w:rsidRPr="00AE702A">
        <w:rPr>
          <w:sz w:val="12"/>
        </w:rPr>
        <w:t xml:space="preserve"> and </w:t>
      </w:r>
      <w:r w:rsidRPr="0082332E">
        <w:rPr>
          <w:rStyle w:val="StyleUnderline"/>
        </w:rPr>
        <w:t>is generally theorized into four stages: discovery, displacement,</w:t>
      </w:r>
      <w:r>
        <w:rPr>
          <w:rStyle w:val="StyleUnderline"/>
        </w:rPr>
        <w:t xml:space="preserve"> </w:t>
      </w:r>
      <w:r w:rsidRPr="0082332E">
        <w:rPr>
          <w:rStyle w:val="StyleUnderline"/>
        </w:rPr>
        <w:t>destruction, and denial</w:t>
      </w:r>
      <w:r w:rsidRPr="00AE702A">
        <w:rPr>
          <w:sz w:val="12"/>
        </w:rPr>
        <w:t>. One should not slip into the easy habit of conceptualizing these stages as events on a linear progression of history, rather th</w:t>
      </w:r>
      <w:r w:rsidRPr="0082332E">
        <w:rPr>
          <w:rStyle w:val="StyleUnderline"/>
        </w:rPr>
        <w:t xml:space="preserve">ese stages attempt to describe </w:t>
      </w:r>
      <w:r w:rsidRPr="008E5C49">
        <w:rPr>
          <w:rStyle w:val="StyleUnderline"/>
          <w:b/>
          <w:bCs/>
        </w:rPr>
        <w:t>an ongoing structure</w:t>
      </w:r>
      <w:r w:rsidRPr="00AE702A">
        <w:rPr>
          <w:sz w:val="12"/>
        </w:rPr>
        <w:t xml:space="preserve">. </w:t>
      </w:r>
      <w:r w:rsidRPr="0082332E">
        <w:rPr>
          <w:rStyle w:val="StyleUnderline"/>
        </w:rPr>
        <w:t>Each stage occurs simultaneously and folds into one another to create the form of</w:t>
      </w:r>
      <w:r>
        <w:rPr>
          <w:rStyle w:val="StyleUnderline"/>
        </w:rPr>
        <w:t xml:space="preserve"> </w:t>
      </w:r>
      <w:r w:rsidRPr="0082332E">
        <w:rPr>
          <w:rStyle w:val="StyleUnderline"/>
        </w:rPr>
        <w:t>settler colonialism that is largely responsible for the geopolitical landscape of the world today</w:t>
      </w:r>
      <w:r>
        <w:rPr>
          <w:rStyle w:val="StyleUnderline"/>
        </w:rPr>
        <w:t xml:space="preserve"> </w:t>
      </w:r>
      <w:r w:rsidRPr="0082332E">
        <w:rPr>
          <w:rStyle w:val="StyleUnderline"/>
        </w:rPr>
        <w:t>and is typically expressed in terms of race</w:t>
      </w:r>
      <w:r w:rsidRPr="00AE702A">
        <w:rPr>
          <w:sz w:val="12"/>
        </w:rPr>
        <w:t xml:space="preserve">.  Discovery is the first step of settler colonialism. While no land that has people already living on it is ever truly “discovered” in the scientific sense, the existence of indigenous land becoming visible to those who will soon become settlers is critical to settler colonialism. Even </w:t>
      </w:r>
      <w:r w:rsidRPr="008E5C49">
        <w:rPr>
          <w:rStyle w:val="StyleUnderline"/>
          <w:b/>
          <w:bCs/>
        </w:rPr>
        <w:t xml:space="preserve">the grammar associated with a settler’s “discovery” of indigenous lands is </w:t>
      </w:r>
      <w:r w:rsidRPr="008E5C49">
        <w:rPr>
          <w:rStyle w:val="StyleUnderline"/>
        </w:rPr>
        <w:t>itself</w:t>
      </w:r>
      <w:r w:rsidRPr="008E5C49">
        <w:rPr>
          <w:rStyle w:val="StyleUnderline"/>
          <w:b/>
          <w:bCs/>
        </w:rPr>
        <w:t xml:space="preserve"> a form of settler colonialism </w:t>
      </w:r>
      <w:r w:rsidRPr="008E5C49">
        <w:rPr>
          <w:rStyle w:val="StyleUnderline"/>
        </w:rPr>
        <w:t>whereby</w:t>
      </w:r>
      <w:r w:rsidRPr="008E5C49">
        <w:rPr>
          <w:rStyle w:val="StyleUnderline"/>
          <w:b/>
          <w:bCs/>
        </w:rPr>
        <w:t xml:space="preserve"> the perspective of the settler group is </w:t>
      </w:r>
      <w:r w:rsidRPr="008E5C49">
        <w:rPr>
          <w:rStyle w:val="StyleUnderline"/>
        </w:rPr>
        <w:t>already</w:t>
      </w:r>
      <w:r w:rsidRPr="008E5C49">
        <w:rPr>
          <w:rStyle w:val="StyleUnderline"/>
          <w:b/>
          <w:bCs/>
        </w:rPr>
        <w:t xml:space="preserve"> assumed as the starting point for discussions of land – if it is new to the settlers then it must be ontologically new.</w:t>
      </w:r>
      <w:r>
        <w:rPr>
          <w:rStyle w:val="StyleUnderline"/>
          <w:b/>
          <w:bCs/>
        </w:rPr>
        <w:t xml:space="preserve"> </w:t>
      </w:r>
      <w:r w:rsidRPr="00AE702A">
        <w:rPr>
          <w:sz w:val="12"/>
        </w:rPr>
        <w:t>Furthermore, it is from the starting point of centering discourse around the perspective of the</w:t>
      </w:r>
      <w:r w:rsidRPr="00AE702A">
        <w:rPr>
          <w:b/>
          <w:bCs/>
          <w:sz w:val="12"/>
        </w:rPr>
        <w:t xml:space="preserve"> </w:t>
      </w:r>
      <w:r w:rsidRPr="00AE702A">
        <w:rPr>
          <w:sz w:val="12"/>
        </w:rPr>
        <w:t xml:space="preserve">settler that all future acts of settler colonial violence must then be justified. </w:t>
      </w:r>
      <w:r w:rsidRPr="008E5C49">
        <w:rPr>
          <w:rStyle w:val="StyleUnderline"/>
          <w:b/>
          <w:bCs/>
        </w:rPr>
        <w:t xml:space="preserve">Indigenous cultures </w:t>
      </w:r>
      <w:r w:rsidRPr="008E5C49">
        <w:rPr>
          <w:rStyle w:val="StyleUnderline"/>
        </w:rPr>
        <w:t>and peoples</w:t>
      </w:r>
      <w:r w:rsidRPr="008E5C49">
        <w:rPr>
          <w:rStyle w:val="StyleUnderline"/>
          <w:b/>
          <w:bCs/>
        </w:rPr>
        <w:t xml:space="preserve"> are </w:t>
      </w:r>
      <w:r w:rsidRPr="008E5C49">
        <w:rPr>
          <w:rStyle w:val="StyleUnderline"/>
        </w:rPr>
        <w:t>displaced and</w:t>
      </w:r>
      <w:r w:rsidRPr="008E5C49">
        <w:rPr>
          <w:rStyle w:val="StyleUnderline"/>
          <w:b/>
          <w:bCs/>
        </w:rPr>
        <w:t xml:space="preserve"> destroyed to make room for settler people </w:t>
      </w:r>
      <w:r w:rsidRPr="008E5C49">
        <w:rPr>
          <w:rStyle w:val="StyleUnderline"/>
        </w:rPr>
        <w:t>and cultures</w:t>
      </w:r>
      <w:r w:rsidRPr="008E5C49">
        <w:rPr>
          <w:rStyle w:val="StyleUnderline"/>
          <w:b/>
          <w:bCs/>
        </w:rPr>
        <w:t xml:space="preserve"> that have been valorized as morally superior</w:t>
      </w:r>
      <w:r w:rsidRPr="00AE702A">
        <w:rPr>
          <w:sz w:val="12"/>
        </w:rPr>
        <w:t>. This discovery process is most visibly seen in Christopher</w:t>
      </w:r>
      <w:r w:rsidRPr="00AE702A">
        <w:rPr>
          <w:b/>
          <w:bCs/>
          <w:sz w:val="12"/>
        </w:rPr>
        <w:t xml:space="preserve"> </w:t>
      </w:r>
      <w:r w:rsidRPr="00AE702A">
        <w:rPr>
          <w:sz w:val="12"/>
        </w:rPr>
        <w:t>Columbus’ discovery of the New World. The perspective of the Spanish settler was so</w:t>
      </w:r>
      <w:r w:rsidRPr="00AE702A">
        <w:rPr>
          <w:b/>
          <w:bCs/>
          <w:sz w:val="12"/>
        </w:rPr>
        <w:t xml:space="preserve"> </w:t>
      </w:r>
      <w:r w:rsidRPr="00AE702A">
        <w:rPr>
          <w:sz w:val="12"/>
        </w:rPr>
        <w:t>emphasized that because he thought he was sailing for India the individuals he met were called</w:t>
      </w:r>
      <w:r w:rsidRPr="00AE702A">
        <w:rPr>
          <w:b/>
          <w:bCs/>
          <w:sz w:val="12"/>
        </w:rPr>
        <w:t xml:space="preserve"> </w:t>
      </w:r>
      <w:r w:rsidRPr="00AE702A">
        <w:rPr>
          <w:sz w:val="12"/>
        </w:rPr>
        <w:t>Indians, even though they bore no relation to the Indians of the Indo-Pacific.</w:t>
      </w:r>
      <w:r w:rsidRPr="00AE702A">
        <w:rPr>
          <w:b/>
          <w:bCs/>
          <w:sz w:val="12"/>
        </w:rPr>
        <w:t xml:space="preserve"> </w:t>
      </w:r>
      <w:r w:rsidRPr="0082332E">
        <w:rPr>
          <w:rStyle w:val="StyleUnderline"/>
        </w:rPr>
        <w:t>The displacement of indigenous people from their lands is perhaps the most</w:t>
      </w:r>
      <w:r>
        <w:rPr>
          <w:rStyle w:val="StyleUnderline"/>
          <w:b/>
          <w:bCs/>
        </w:rPr>
        <w:t xml:space="preserve"> </w:t>
      </w:r>
      <w:r w:rsidRPr="0082332E">
        <w:rPr>
          <w:rStyle w:val="StyleUnderline"/>
        </w:rPr>
        <w:t>psychologically violent aspect of settler colonial violence</w:t>
      </w:r>
      <w:r w:rsidRPr="00AE702A">
        <w:rPr>
          <w:sz w:val="12"/>
        </w:rPr>
        <w:t>. It is not that the land your forefathers</w:t>
      </w:r>
      <w:r w:rsidRPr="00AE702A">
        <w:rPr>
          <w:b/>
          <w:bCs/>
          <w:sz w:val="12"/>
        </w:rPr>
        <w:t xml:space="preserve"> </w:t>
      </w:r>
      <w:r w:rsidRPr="00AE702A">
        <w:rPr>
          <w:sz w:val="12"/>
        </w:rPr>
        <w:t>is no longer fit to be habitable to life, it is that is no longer so for you in particular. It is, however,</w:t>
      </w:r>
      <w:r w:rsidRPr="00AE702A">
        <w:rPr>
          <w:b/>
          <w:bCs/>
          <w:sz w:val="12"/>
        </w:rPr>
        <w:t xml:space="preserve"> </w:t>
      </w:r>
      <w:r w:rsidRPr="00AE702A">
        <w:rPr>
          <w:sz w:val="12"/>
        </w:rPr>
        <w:t>perfectly habitable for the settlers. Displacement sometimes involves the removal of people to a</w:t>
      </w:r>
      <w:r w:rsidRPr="00AE702A">
        <w:rPr>
          <w:b/>
          <w:bCs/>
          <w:sz w:val="12"/>
        </w:rPr>
        <w:t xml:space="preserve"> </w:t>
      </w:r>
      <w:r w:rsidRPr="00AE702A">
        <w:rPr>
          <w:sz w:val="12"/>
        </w:rPr>
        <w:t>particular area or the continual resignation of them to evermore restrictive parcels of land; other</w:t>
      </w:r>
      <w:r w:rsidRPr="00AE702A">
        <w:rPr>
          <w:b/>
          <w:bCs/>
          <w:sz w:val="12"/>
        </w:rPr>
        <w:t xml:space="preserve"> </w:t>
      </w:r>
      <w:r w:rsidRPr="00AE702A">
        <w:rPr>
          <w:sz w:val="12"/>
        </w:rPr>
        <w:t>times displacement is merely a statement that indigenous people simply must no longer live here.</w:t>
      </w:r>
      <w:r w:rsidRPr="00AE702A">
        <w:rPr>
          <w:b/>
          <w:bCs/>
          <w:sz w:val="12"/>
        </w:rPr>
        <w:t xml:space="preserve"> </w:t>
      </w:r>
      <w:r w:rsidRPr="00AE702A">
        <w:rPr>
          <w:sz w:val="12"/>
        </w:rPr>
        <w:t xml:space="preserve">Displacement is seen in many places. </w:t>
      </w:r>
      <w:r w:rsidRPr="0082332E">
        <w:rPr>
          <w:rStyle w:val="StyleUnderline"/>
        </w:rPr>
        <w:t>Most famously, perhaps, is the Trail of Tears where the</w:t>
      </w:r>
      <w:r>
        <w:rPr>
          <w:rStyle w:val="StyleUnderline"/>
          <w:b/>
          <w:bCs/>
        </w:rPr>
        <w:t xml:space="preserve"> </w:t>
      </w:r>
      <w:r w:rsidRPr="0082332E">
        <w:rPr>
          <w:rStyle w:val="StyleUnderline"/>
        </w:rPr>
        <w:t>Cherokee Nation and four other “civilized tribes” in southern America were relocated to</w:t>
      </w:r>
      <w:r>
        <w:rPr>
          <w:rStyle w:val="StyleUnderline"/>
          <w:b/>
          <w:bCs/>
        </w:rPr>
        <w:t xml:space="preserve"> </w:t>
      </w:r>
      <w:r w:rsidRPr="0082332E">
        <w:rPr>
          <w:rStyle w:val="StyleUnderline"/>
        </w:rPr>
        <w:t>Oklahoma.</w:t>
      </w:r>
      <w:r>
        <w:rPr>
          <w:rStyle w:val="StyleUnderline"/>
          <w:b/>
          <w:bCs/>
        </w:rPr>
        <w:t xml:space="preserve"> </w:t>
      </w:r>
      <w:r w:rsidRPr="00AE702A">
        <w:rPr>
          <w:sz w:val="12"/>
        </w:rPr>
        <w:t>Trekking countless miles and swamps and crossing frost-crusted mountains, many</w:t>
      </w:r>
      <w:r w:rsidRPr="00AE702A">
        <w:rPr>
          <w:b/>
          <w:bCs/>
          <w:sz w:val="12"/>
        </w:rPr>
        <w:t xml:space="preserve"> </w:t>
      </w:r>
      <w:r w:rsidRPr="00AE702A">
        <w:rPr>
          <w:sz w:val="12"/>
        </w:rPr>
        <w:t>perished from exhaustion, diseases, and untreated wounds.</w:t>
      </w:r>
      <w:r w:rsidRPr="00AE702A">
        <w:rPr>
          <w:b/>
          <w:bCs/>
          <w:sz w:val="12"/>
        </w:rPr>
        <w:t xml:space="preserve"> </w:t>
      </w:r>
      <w:r w:rsidRPr="0082332E">
        <w:rPr>
          <w:rStyle w:val="StyleUnderline"/>
        </w:rPr>
        <w:t>Destruction under settler colonialism holds many parallels to genocide</w:t>
      </w:r>
      <w:r w:rsidRPr="00AE702A">
        <w:rPr>
          <w:b/>
          <w:bCs/>
          <w:sz w:val="12"/>
        </w:rPr>
        <w:t xml:space="preserve">. </w:t>
      </w:r>
      <w:r w:rsidRPr="008E5C49">
        <w:rPr>
          <w:rStyle w:val="StyleUnderline"/>
          <w:b/>
          <w:bCs/>
        </w:rPr>
        <w:t>Settler colonialism operates through a logic of elimination whereby all remnants of indigeneity must be reduced to nothingness.</w:t>
      </w:r>
      <w:r w:rsidRPr="00AE702A">
        <w:rPr>
          <w:sz w:val="12"/>
        </w:rPr>
        <w:t xml:space="preserve"> All instances of settler colonialism share this in common. Often,</w:t>
      </w:r>
      <w:r w:rsidRPr="00AE702A">
        <w:rPr>
          <w:b/>
          <w:bCs/>
          <w:sz w:val="12"/>
        </w:rPr>
        <w:t xml:space="preserve"> </w:t>
      </w:r>
      <w:r w:rsidRPr="00AE702A">
        <w:rPr>
          <w:sz w:val="12"/>
        </w:rPr>
        <w:t>elimination occurs by breaking down indigenous lands and giving them to settlers, giving</w:t>
      </w:r>
      <w:r w:rsidRPr="00AE702A">
        <w:rPr>
          <w:b/>
          <w:bCs/>
          <w:sz w:val="12"/>
        </w:rPr>
        <w:t xml:space="preserve"> </w:t>
      </w:r>
      <w:r w:rsidRPr="00AE702A">
        <w:rPr>
          <w:sz w:val="12"/>
        </w:rPr>
        <w:t>citizenship to settlers and later denying it to indigenous peoples, and imposing settler religions</w:t>
      </w:r>
      <w:r w:rsidRPr="00AE702A">
        <w:rPr>
          <w:b/>
          <w:bCs/>
          <w:sz w:val="12"/>
        </w:rPr>
        <w:t xml:space="preserve"> </w:t>
      </w:r>
      <w:r w:rsidRPr="00AE702A">
        <w:rPr>
          <w:sz w:val="12"/>
        </w:rPr>
        <w:t>and belief systems on indigenous peoples, among other structures erected with the singular</w:t>
      </w:r>
      <w:r w:rsidRPr="00AE702A">
        <w:rPr>
          <w:b/>
          <w:bCs/>
          <w:sz w:val="12"/>
        </w:rPr>
        <w:t xml:space="preserve"> </w:t>
      </w:r>
      <w:r w:rsidRPr="00AE702A">
        <w:rPr>
          <w:sz w:val="12"/>
        </w:rPr>
        <w:t>purpose of eliminating indigenous people and culture while engraining those of the settlers.</w:t>
      </w:r>
      <w:r w:rsidRPr="00AE702A">
        <w:rPr>
          <w:b/>
          <w:bCs/>
          <w:sz w:val="12"/>
        </w:rPr>
        <w:t xml:space="preserve"> </w:t>
      </w:r>
      <w:r w:rsidRPr="0082332E">
        <w:rPr>
          <w:rStyle w:val="StyleUnderline"/>
        </w:rPr>
        <w:t>One of the most prolific instances of this is found in boarding schools’ attempts to train and</w:t>
      </w:r>
      <w:r>
        <w:rPr>
          <w:rStyle w:val="StyleUnderline"/>
          <w:b/>
          <w:bCs/>
        </w:rPr>
        <w:t xml:space="preserve"> </w:t>
      </w:r>
      <w:r w:rsidRPr="0082332E">
        <w:rPr>
          <w:rStyle w:val="StyleUnderline"/>
        </w:rPr>
        <w:t>civilize indigenous groups.</w:t>
      </w:r>
      <w:r w:rsidRPr="00AE702A">
        <w:rPr>
          <w:sz w:val="12"/>
        </w:rPr>
        <w:t xml:space="preserve"> The Carlisle Indian School changed names, religions, languages,</w:t>
      </w:r>
      <w:r w:rsidRPr="00AE702A">
        <w:rPr>
          <w:b/>
          <w:bCs/>
          <w:sz w:val="12"/>
        </w:rPr>
        <w:t xml:space="preserve"> </w:t>
      </w:r>
      <w:r w:rsidRPr="00AE702A">
        <w:rPr>
          <w:sz w:val="12"/>
        </w:rPr>
        <w:t>haircuts, clothes, and ways of life of ingenious groups in an attempt to assimilate them into</w:t>
      </w:r>
      <w:r w:rsidRPr="00AE702A">
        <w:rPr>
          <w:b/>
          <w:bCs/>
          <w:sz w:val="12"/>
        </w:rPr>
        <w:t xml:space="preserve"> </w:t>
      </w:r>
      <w:r w:rsidRPr="00AE702A">
        <w:rPr>
          <w:sz w:val="12"/>
        </w:rPr>
        <w:t>Western culture. This amounted to an eradication of indigenous culture, even within</w:t>
      </w:r>
      <w:r w:rsidRPr="00AE702A">
        <w:rPr>
          <w:b/>
          <w:bCs/>
          <w:sz w:val="12"/>
        </w:rPr>
        <w:t xml:space="preserve"> </w:t>
      </w:r>
      <w:r w:rsidRPr="00AE702A">
        <w:rPr>
          <w:sz w:val="12"/>
        </w:rPr>
        <w:t>individuals. Denial is perhaps the most sinister of all the stages of settler colonialism. It is the active</w:t>
      </w:r>
      <w:r w:rsidRPr="00AE702A">
        <w:rPr>
          <w:b/>
          <w:bCs/>
          <w:sz w:val="12"/>
        </w:rPr>
        <w:t xml:space="preserve"> </w:t>
      </w:r>
      <w:r w:rsidRPr="00AE702A">
        <w:rPr>
          <w:sz w:val="12"/>
        </w:rPr>
        <w:t xml:space="preserve">disavowal and refusal to acknowledge that </w:t>
      </w:r>
      <w:r w:rsidRPr="008E5C49">
        <w:rPr>
          <w:rStyle w:val="StyleUnderline"/>
          <w:b/>
          <w:bCs/>
        </w:rPr>
        <w:t>settler colonization</w:t>
      </w:r>
      <w:r w:rsidRPr="00AE702A">
        <w:rPr>
          <w:sz w:val="12"/>
        </w:rPr>
        <w:t xml:space="preserve"> ever occurred. In this act of denial</w:t>
      </w:r>
      <w:r w:rsidRPr="00AE702A">
        <w:rPr>
          <w:b/>
          <w:bCs/>
          <w:sz w:val="12"/>
        </w:rPr>
        <w:t xml:space="preserve"> </w:t>
      </w:r>
      <w:r w:rsidRPr="00AE702A">
        <w:rPr>
          <w:sz w:val="12"/>
        </w:rPr>
        <w:t xml:space="preserve">lies a silent admission of guilt. The whole process </w:t>
      </w:r>
      <w:r w:rsidRPr="008E5C49">
        <w:rPr>
          <w:rStyle w:val="StyleUnderline"/>
          <w:b/>
          <w:bCs/>
        </w:rPr>
        <w:t>is so horrific that a conscious</w:t>
      </w:r>
      <w:r w:rsidRPr="0082332E">
        <w:rPr>
          <w:rStyle w:val="StyleUnderline"/>
        </w:rPr>
        <w:t xml:space="preserve"> and honest</w:t>
      </w:r>
      <w:r>
        <w:rPr>
          <w:rStyle w:val="StyleUnderline"/>
          <w:b/>
          <w:bCs/>
        </w:rPr>
        <w:t xml:space="preserve"> </w:t>
      </w:r>
      <w:r w:rsidRPr="008E5C49">
        <w:rPr>
          <w:rStyle w:val="StyleUnderline"/>
          <w:b/>
          <w:bCs/>
        </w:rPr>
        <w:t>admission of guilt is too great a burden to bear. So, the process is buried</w:t>
      </w:r>
      <w:r w:rsidRPr="00AE702A">
        <w:rPr>
          <w:sz w:val="12"/>
        </w:rPr>
        <w:t>. Erased from history</w:t>
      </w:r>
      <w:r w:rsidRPr="00AE702A">
        <w:rPr>
          <w:b/>
          <w:bCs/>
          <w:sz w:val="12"/>
        </w:rPr>
        <w:t xml:space="preserve"> </w:t>
      </w:r>
      <w:r w:rsidRPr="00AE702A">
        <w:rPr>
          <w:sz w:val="12"/>
        </w:rPr>
        <w:t>books. Justified by religious creeds. Anything but a naked acknowledgment of the truth.</w:t>
      </w:r>
      <w:r w:rsidRPr="00AE702A">
        <w:rPr>
          <w:b/>
          <w:bCs/>
          <w:sz w:val="12"/>
        </w:rPr>
        <w:t xml:space="preserve"> </w:t>
      </w:r>
      <w:r w:rsidRPr="00AE702A">
        <w:rPr>
          <w:sz w:val="12"/>
        </w:rPr>
        <w:t xml:space="preserve">One instance of </w:t>
      </w:r>
      <w:r w:rsidRPr="006B3F15">
        <w:rPr>
          <w:rStyle w:val="StyleUnderline"/>
          <w:b/>
          <w:bCs/>
        </w:rPr>
        <w:t>China’s settler colonial behaviors may be seen through its occupation of Tibet</w:t>
      </w:r>
      <w:r w:rsidRPr="00AE702A">
        <w:rPr>
          <w:sz w:val="12"/>
        </w:rPr>
        <w:t xml:space="preserve">. China first invaded Tibet in 1950 and then later annexed it. </w:t>
      </w:r>
      <w:r w:rsidRPr="0082332E">
        <w:rPr>
          <w:rStyle w:val="StyleUnderline"/>
        </w:rPr>
        <w:t xml:space="preserve">In 1951, </w:t>
      </w:r>
      <w:r w:rsidRPr="006B3F15">
        <w:rPr>
          <w:rStyle w:val="StyleUnderline"/>
          <w:b/>
          <w:bCs/>
        </w:rPr>
        <w:t>China</w:t>
      </w:r>
      <w:r w:rsidRPr="0082332E">
        <w:rPr>
          <w:rStyle w:val="StyleUnderline"/>
        </w:rPr>
        <w:t xml:space="preserve"> signed a</w:t>
      </w:r>
      <w:r>
        <w:rPr>
          <w:rStyle w:val="StyleUnderline"/>
          <w:b/>
          <w:bCs/>
        </w:rPr>
        <w:t xml:space="preserve"> </w:t>
      </w:r>
      <w:r w:rsidRPr="0082332E">
        <w:rPr>
          <w:rStyle w:val="StyleUnderline"/>
        </w:rPr>
        <w:t>treaty, called the Seventeen-Point Agreement, with Tibet to recognize the Tibetan cultural and</w:t>
      </w:r>
      <w:r>
        <w:rPr>
          <w:rStyle w:val="StyleUnderline"/>
          <w:b/>
          <w:bCs/>
        </w:rPr>
        <w:t xml:space="preserve"> </w:t>
      </w:r>
      <w:r w:rsidRPr="0082332E">
        <w:rPr>
          <w:rStyle w:val="StyleUnderline"/>
        </w:rPr>
        <w:t>political sovereignty and independence from China.</w:t>
      </w:r>
      <w:r w:rsidRPr="00AE702A">
        <w:rPr>
          <w:sz w:val="12"/>
        </w:rPr>
        <w:t xml:space="preserve"> Soon, Chinese citizens moved to Tibet and</w:t>
      </w:r>
      <w:r w:rsidRPr="00AE702A">
        <w:rPr>
          <w:b/>
          <w:bCs/>
          <w:sz w:val="12"/>
        </w:rPr>
        <w:t xml:space="preserve"> </w:t>
      </w:r>
      <w:r w:rsidRPr="00AE702A">
        <w:rPr>
          <w:sz w:val="12"/>
        </w:rPr>
        <w:t xml:space="preserve">became more and more involved and integrated into Tibetan culture. </w:t>
      </w:r>
      <w:r w:rsidRPr="0082332E">
        <w:rPr>
          <w:rStyle w:val="StyleUnderline"/>
        </w:rPr>
        <w:t xml:space="preserve">They </w:t>
      </w:r>
      <w:r w:rsidRPr="006B3F15">
        <w:rPr>
          <w:rStyle w:val="StyleUnderline"/>
          <w:b/>
          <w:bCs/>
        </w:rPr>
        <w:t>disseminated Chinese ideas, beliefs, and practices to Tibetan individuals</w:t>
      </w:r>
      <w:r w:rsidRPr="00AE702A">
        <w:rPr>
          <w:sz w:val="12"/>
        </w:rPr>
        <w:t>, even sharing with them that clapping was a</w:t>
      </w:r>
      <w:r w:rsidRPr="00AE702A">
        <w:rPr>
          <w:b/>
          <w:bCs/>
          <w:sz w:val="12"/>
        </w:rPr>
        <w:t xml:space="preserve"> </w:t>
      </w:r>
      <w:r w:rsidRPr="00AE702A">
        <w:rPr>
          <w:sz w:val="12"/>
        </w:rPr>
        <w:t>sign of welcome. Additionally, Chinese officials gave silver coins to everyday people in Tibet</w:t>
      </w:r>
      <w:r w:rsidRPr="00AE702A">
        <w:rPr>
          <w:b/>
          <w:bCs/>
          <w:sz w:val="12"/>
        </w:rPr>
        <w:t xml:space="preserve"> </w:t>
      </w:r>
      <w:r w:rsidRPr="00AE702A">
        <w:rPr>
          <w:sz w:val="12"/>
        </w:rPr>
        <w:t>to garner trust and good relations. In 1956, China opened a school in the Sakya region of Tibet</w:t>
      </w:r>
      <w:r w:rsidRPr="00AE702A">
        <w:rPr>
          <w:b/>
          <w:bCs/>
          <w:sz w:val="12"/>
        </w:rPr>
        <w:t xml:space="preserve"> </w:t>
      </w:r>
      <w:r w:rsidRPr="00AE702A">
        <w:rPr>
          <w:sz w:val="12"/>
        </w:rPr>
        <w:t xml:space="preserve">intended to train a new generation of political leaders. </w:t>
      </w:r>
      <w:r w:rsidRPr="006B3F15">
        <w:rPr>
          <w:b/>
          <w:bCs/>
          <w:u w:val="single"/>
        </w:rPr>
        <w:t xml:space="preserve">In </w:t>
      </w:r>
      <w:r w:rsidRPr="006B3F15">
        <w:rPr>
          <w:u w:val="single"/>
        </w:rPr>
        <w:t>these</w:t>
      </w:r>
      <w:r w:rsidRPr="006B3F15">
        <w:rPr>
          <w:b/>
          <w:bCs/>
          <w:u w:val="single"/>
        </w:rPr>
        <w:t xml:space="preserve"> schools, it was Chinese </w:t>
      </w:r>
      <w:r w:rsidRPr="006B3F15">
        <w:rPr>
          <w:u w:val="single"/>
        </w:rPr>
        <w:t>culture and</w:t>
      </w:r>
      <w:r w:rsidRPr="006B3F15">
        <w:rPr>
          <w:b/>
          <w:bCs/>
          <w:u w:val="single"/>
        </w:rPr>
        <w:t xml:space="preserve"> beliefs that were taught, not traditional Tibetan culture.</w:t>
      </w:r>
      <w:r w:rsidRPr="00AE702A">
        <w:rPr>
          <w:sz w:val="12"/>
        </w:rPr>
        <w:t xml:space="preserve"> Then, the Chinese schools began</w:t>
      </w:r>
      <w:r w:rsidRPr="00AE702A">
        <w:rPr>
          <w:b/>
          <w:bCs/>
          <w:sz w:val="12"/>
        </w:rPr>
        <w:t xml:space="preserve"> </w:t>
      </w:r>
      <w:r w:rsidRPr="00AE702A">
        <w:rPr>
          <w:sz w:val="12"/>
        </w:rPr>
        <w:t>suggesting that the traditional Tibetan schools be merged with the new Chinese ones, and many</w:t>
      </w:r>
      <w:r w:rsidRPr="00AE702A">
        <w:rPr>
          <w:b/>
          <w:bCs/>
          <w:sz w:val="12"/>
        </w:rPr>
        <w:t xml:space="preserve"> </w:t>
      </w:r>
      <w:r w:rsidRPr="00AE702A">
        <w:rPr>
          <w:sz w:val="12"/>
        </w:rPr>
        <w:t xml:space="preserve">complied. In these schools, as it would soon be known, </w:t>
      </w:r>
      <w:r w:rsidRPr="0082332E">
        <w:rPr>
          <w:rStyle w:val="StyleUnderline"/>
        </w:rPr>
        <w:t>the Chinese began teaching the young</w:t>
      </w:r>
      <w:r>
        <w:rPr>
          <w:rStyle w:val="StyleUnderline"/>
          <w:b/>
          <w:bCs/>
        </w:rPr>
        <w:t xml:space="preserve"> </w:t>
      </w:r>
      <w:r w:rsidRPr="0082332E">
        <w:rPr>
          <w:rStyle w:val="StyleUnderline"/>
        </w:rPr>
        <w:t>how to be early Marxist revolutionaries who would create a peaceful revolution and overthrow</w:t>
      </w:r>
      <w:r>
        <w:rPr>
          <w:rStyle w:val="StyleUnderline"/>
          <w:b/>
          <w:bCs/>
        </w:rPr>
        <w:t xml:space="preserve"> </w:t>
      </w:r>
      <w:r w:rsidRPr="0082332E">
        <w:rPr>
          <w:rStyle w:val="StyleUnderline"/>
        </w:rPr>
        <w:t>the Tibetan government under the guise of spreading modern, industrial ideas</w:t>
      </w:r>
      <w:r w:rsidRPr="00AE702A">
        <w:rPr>
          <w:sz w:val="12"/>
        </w:rPr>
        <w:t>. Tibetans were</w:t>
      </w:r>
      <w:r w:rsidRPr="00AE702A">
        <w:rPr>
          <w:b/>
          <w:bCs/>
          <w:sz w:val="12"/>
        </w:rPr>
        <w:t xml:space="preserve"> </w:t>
      </w:r>
      <w:r w:rsidRPr="00AE702A">
        <w:rPr>
          <w:sz w:val="12"/>
        </w:rPr>
        <w:t>also invited to travel to China to observe their factories and societies. The vast majority of this</w:t>
      </w:r>
      <w:r w:rsidRPr="00AE702A">
        <w:rPr>
          <w:b/>
          <w:bCs/>
          <w:sz w:val="12"/>
        </w:rPr>
        <w:t xml:space="preserve"> </w:t>
      </w:r>
      <w:r w:rsidRPr="00AE702A">
        <w:rPr>
          <w:sz w:val="12"/>
        </w:rPr>
        <w:t>sharing of culture was directed at the ruling classes of Tibet and the children of all classes. The</w:t>
      </w:r>
      <w:r w:rsidRPr="00AE702A">
        <w:rPr>
          <w:b/>
          <w:bCs/>
          <w:sz w:val="12"/>
        </w:rPr>
        <w:t xml:space="preserve"> </w:t>
      </w:r>
      <w:r w:rsidRPr="00AE702A">
        <w:rPr>
          <w:sz w:val="12"/>
        </w:rPr>
        <w:t>Chinese government also began the extensive construction of strategic roads and infrastructure in</w:t>
      </w:r>
      <w:r w:rsidRPr="00AE702A">
        <w:rPr>
          <w:b/>
          <w:bCs/>
          <w:sz w:val="12"/>
        </w:rPr>
        <w:t xml:space="preserve"> </w:t>
      </w:r>
      <w:r w:rsidRPr="00AE702A">
        <w:rPr>
          <w:sz w:val="12"/>
        </w:rPr>
        <w:t>Tibet that would become vital to the conquest of Tibet under the guise of industrial</w:t>
      </w:r>
      <w:r w:rsidRPr="00AE702A">
        <w:rPr>
          <w:b/>
          <w:bCs/>
          <w:sz w:val="12"/>
        </w:rPr>
        <w:t xml:space="preserve"> </w:t>
      </w:r>
      <w:r w:rsidRPr="00AE702A">
        <w:rPr>
          <w:sz w:val="12"/>
        </w:rPr>
        <w:t>modernization. The indoctrination and persuasion of the Tibetan masses were so deeply</w:t>
      </w:r>
      <w:r w:rsidRPr="00AE702A">
        <w:rPr>
          <w:b/>
          <w:bCs/>
          <w:sz w:val="12"/>
        </w:rPr>
        <w:t xml:space="preserve"> </w:t>
      </w:r>
      <w:r w:rsidRPr="00AE702A">
        <w:rPr>
          <w:sz w:val="12"/>
        </w:rPr>
        <w:t>ingrained that when the People’s Liberation Army first entered the Tibetan borders, they were</w:t>
      </w:r>
      <w:r w:rsidRPr="00AE702A">
        <w:rPr>
          <w:b/>
          <w:bCs/>
          <w:sz w:val="12"/>
        </w:rPr>
        <w:t xml:space="preserve"> </w:t>
      </w:r>
      <w:r w:rsidRPr="00AE702A">
        <w:rPr>
          <w:sz w:val="12"/>
        </w:rPr>
        <w:t xml:space="preserve">assisted by Khampas, despite their strong ties to the Dalai Lama. </w:t>
      </w:r>
      <w:r w:rsidRPr="0082332E">
        <w:rPr>
          <w:rStyle w:val="StyleUnderline"/>
        </w:rPr>
        <w:t>As regions were successfully</w:t>
      </w:r>
      <w:r>
        <w:rPr>
          <w:rStyle w:val="StyleUnderline"/>
          <w:b/>
          <w:bCs/>
        </w:rPr>
        <w:t xml:space="preserve"> </w:t>
      </w:r>
      <w:r w:rsidRPr="0082332E">
        <w:rPr>
          <w:rStyle w:val="StyleUnderline"/>
        </w:rPr>
        <w:t xml:space="preserve">“liberated” by the PLA, </w:t>
      </w:r>
      <w:r w:rsidRPr="006B3F15">
        <w:rPr>
          <w:rStyle w:val="StyleUnderline"/>
          <w:b/>
          <w:bCs/>
        </w:rPr>
        <w:t xml:space="preserve">local </w:t>
      </w:r>
      <w:r w:rsidRPr="006B3F15">
        <w:rPr>
          <w:rStyle w:val="StyleUnderline"/>
        </w:rPr>
        <w:t>and high</w:t>
      </w:r>
      <w:r w:rsidRPr="006B3F15">
        <w:rPr>
          <w:rStyle w:val="StyleUnderline"/>
          <w:b/>
          <w:bCs/>
        </w:rPr>
        <w:t xml:space="preserve"> lamas </w:t>
      </w:r>
      <w:r w:rsidRPr="006B3F15">
        <w:rPr>
          <w:rStyle w:val="StyleUnderline"/>
        </w:rPr>
        <w:t>(religious leaders)</w:t>
      </w:r>
      <w:r w:rsidRPr="006B3F15">
        <w:rPr>
          <w:rStyle w:val="StyleUnderline"/>
          <w:b/>
          <w:bCs/>
        </w:rPr>
        <w:t xml:space="preserve"> were </w:t>
      </w:r>
      <w:r w:rsidRPr="006B3F15">
        <w:rPr>
          <w:rStyle w:val="StyleUnderline"/>
        </w:rPr>
        <w:t>detained and</w:t>
      </w:r>
      <w:r w:rsidRPr="006B3F15">
        <w:rPr>
          <w:rStyle w:val="StyleUnderline"/>
          <w:b/>
          <w:bCs/>
        </w:rPr>
        <w:t xml:space="preserve"> charged with treason against China</w:t>
      </w:r>
      <w:r w:rsidRPr="00AE702A">
        <w:rPr>
          <w:sz w:val="12"/>
        </w:rPr>
        <w:t>. High lamas were asked to attend education programs that were soon to</w:t>
      </w:r>
      <w:r w:rsidRPr="00AE702A">
        <w:rPr>
          <w:b/>
          <w:bCs/>
          <w:sz w:val="12"/>
        </w:rPr>
        <w:t xml:space="preserve"> </w:t>
      </w:r>
      <w:r w:rsidRPr="00AE702A">
        <w:rPr>
          <w:sz w:val="12"/>
        </w:rPr>
        <w:t>be known as Chinese reeducation camps. Ordinary members of the upper class were likewise</w:t>
      </w:r>
      <w:r w:rsidRPr="00AE702A">
        <w:rPr>
          <w:b/>
          <w:bCs/>
          <w:sz w:val="12"/>
        </w:rPr>
        <w:t xml:space="preserve"> </w:t>
      </w:r>
      <w:r w:rsidRPr="00AE702A">
        <w:rPr>
          <w:sz w:val="12"/>
        </w:rPr>
        <w:t xml:space="preserve">arrested for treason, save two families. The Chinese soon forced </w:t>
      </w:r>
      <w:r w:rsidRPr="006B3F15">
        <w:rPr>
          <w:rStyle w:val="StyleUnderline"/>
          <w:b/>
          <w:bCs/>
        </w:rPr>
        <w:t>Tibetans</w:t>
      </w:r>
      <w:r w:rsidRPr="00AE702A">
        <w:rPr>
          <w:sz w:val="12"/>
        </w:rPr>
        <w:t xml:space="preserve"> to attend re-education</w:t>
      </w:r>
      <w:r w:rsidRPr="00AE702A">
        <w:rPr>
          <w:b/>
          <w:bCs/>
          <w:sz w:val="12"/>
        </w:rPr>
        <w:t xml:space="preserve"> </w:t>
      </w:r>
      <w:r w:rsidRPr="00AE702A">
        <w:rPr>
          <w:sz w:val="12"/>
        </w:rPr>
        <w:t>programs where religious leaders were routinely beaten and humiliated as well as forcing those</w:t>
      </w:r>
      <w:r w:rsidRPr="00AE702A">
        <w:rPr>
          <w:b/>
          <w:bCs/>
          <w:sz w:val="12"/>
        </w:rPr>
        <w:t xml:space="preserve"> </w:t>
      </w:r>
      <w:r w:rsidRPr="00AE702A">
        <w:rPr>
          <w:sz w:val="12"/>
        </w:rPr>
        <w:t xml:space="preserve">same leaders to deface Tibetan religious artifacts. They </w:t>
      </w:r>
      <w:r w:rsidRPr="006B3F15">
        <w:rPr>
          <w:rStyle w:val="StyleUnderline"/>
          <w:b/>
          <w:bCs/>
        </w:rPr>
        <w:t>were taught to despise their religion</w:t>
      </w:r>
      <w:r w:rsidRPr="0082332E">
        <w:rPr>
          <w:rStyle w:val="StyleUnderline"/>
        </w:rPr>
        <w:t>.</w:t>
      </w:r>
      <w:r w:rsidRPr="00AE702A">
        <w:rPr>
          <w:b/>
          <w:bCs/>
          <w:sz w:val="12"/>
        </w:rPr>
        <w:t xml:space="preserve"> </w:t>
      </w:r>
      <w:r w:rsidRPr="00AE702A">
        <w:rPr>
          <w:sz w:val="12"/>
        </w:rPr>
        <w:t>Private worship was also strongly discouraged. Private life also became heavily conscripted by</w:t>
      </w:r>
      <w:r w:rsidRPr="00AE702A">
        <w:rPr>
          <w:b/>
          <w:bCs/>
          <w:sz w:val="12"/>
        </w:rPr>
        <w:t xml:space="preserve"> </w:t>
      </w:r>
      <w:r w:rsidRPr="00AE702A">
        <w:rPr>
          <w:sz w:val="12"/>
        </w:rPr>
        <w:t>governing authorities.</w:t>
      </w:r>
      <w:r w:rsidRPr="00AE702A">
        <w:rPr>
          <w:b/>
          <w:bCs/>
          <w:sz w:val="12"/>
        </w:rPr>
        <w:t xml:space="preserve"> </w:t>
      </w:r>
      <w:r w:rsidRPr="00AE702A">
        <w:rPr>
          <w:sz w:val="12"/>
        </w:rPr>
        <w:t xml:space="preserve">Today, it is clear that </w:t>
      </w:r>
      <w:r w:rsidRPr="006B3F15">
        <w:rPr>
          <w:rStyle w:val="StyleUnderline"/>
          <w:b/>
          <w:bCs/>
        </w:rPr>
        <w:t>Tibet was a settler colonial expansion of the Chinese empire</w:t>
      </w:r>
      <w:r w:rsidRPr="00AE702A">
        <w:rPr>
          <w:sz w:val="12"/>
        </w:rPr>
        <w:t>. Art,</w:t>
      </w:r>
      <w:r w:rsidRPr="00AE702A">
        <w:rPr>
          <w:b/>
          <w:bCs/>
          <w:sz w:val="12"/>
        </w:rPr>
        <w:t xml:space="preserve"> </w:t>
      </w:r>
      <w:r w:rsidRPr="00AE702A">
        <w:rPr>
          <w:sz w:val="12"/>
        </w:rPr>
        <w:t>literature, poetry, and songs that are traditionally Tibetan, if shared, risk a state response by the</w:t>
      </w:r>
      <w:r w:rsidRPr="00AE702A">
        <w:rPr>
          <w:b/>
          <w:bCs/>
          <w:sz w:val="12"/>
        </w:rPr>
        <w:t xml:space="preserve"> </w:t>
      </w:r>
      <w:r w:rsidRPr="00AE702A">
        <w:rPr>
          <w:sz w:val="12"/>
        </w:rPr>
        <w:t>People's Republic of China. The use of the Tibetan language is itself seen as an act of resistance</w:t>
      </w:r>
      <w:r w:rsidRPr="00AE702A">
        <w:rPr>
          <w:b/>
          <w:bCs/>
          <w:sz w:val="12"/>
        </w:rPr>
        <w:t xml:space="preserve"> </w:t>
      </w:r>
      <w:r w:rsidRPr="00AE702A">
        <w:rPr>
          <w:sz w:val="12"/>
        </w:rPr>
        <w:t>to the settler state’s presence in Tibet. There are, however, forms of resistance that the Tibetan</w:t>
      </w:r>
      <w:r w:rsidRPr="00AE702A">
        <w:rPr>
          <w:b/>
          <w:bCs/>
          <w:sz w:val="12"/>
        </w:rPr>
        <w:t xml:space="preserve"> </w:t>
      </w:r>
      <w:r w:rsidRPr="00AE702A">
        <w:rPr>
          <w:sz w:val="12"/>
        </w:rPr>
        <w:t>people are performing to stand in opposition to the strong and concerted effort to eliminate all</w:t>
      </w:r>
      <w:r w:rsidRPr="00AE702A">
        <w:rPr>
          <w:b/>
          <w:bCs/>
          <w:sz w:val="12"/>
        </w:rPr>
        <w:t xml:space="preserve"> </w:t>
      </w:r>
      <w:r w:rsidRPr="00AE702A">
        <w:rPr>
          <w:sz w:val="12"/>
        </w:rPr>
        <w:t>Tibetan culture. Beyond the spread of Tibetan art, literature, and language, the Tibetan people</w:t>
      </w:r>
      <w:r w:rsidRPr="00AE702A">
        <w:rPr>
          <w:b/>
          <w:bCs/>
          <w:sz w:val="12"/>
        </w:rPr>
        <w:t xml:space="preserve"> </w:t>
      </w:r>
      <w:r w:rsidRPr="00AE702A">
        <w:rPr>
          <w:sz w:val="12"/>
        </w:rPr>
        <w:t>attempted to become unknowable to the PRC. This act of willful opacity is a means by which</w:t>
      </w:r>
      <w:r w:rsidRPr="00AE702A">
        <w:rPr>
          <w:b/>
          <w:bCs/>
          <w:sz w:val="12"/>
        </w:rPr>
        <w:t xml:space="preserve"> </w:t>
      </w:r>
      <w:r w:rsidRPr="00AE702A">
        <w:rPr>
          <w:sz w:val="12"/>
        </w:rPr>
        <w:t>occupied people can exist in relative freedom from the settler colonial empire. For instance, in</w:t>
      </w:r>
      <w:r w:rsidRPr="00AE702A">
        <w:rPr>
          <w:b/>
          <w:bCs/>
          <w:sz w:val="12"/>
        </w:rPr>
        <w:t xml:space="preserve"> </w:t>
      </w:r>
      <w:r w:rsidRPr="00AE702A">
        <w:rPr>
          <w:sz w:val="12"/>
        </w:rPr>
        <w:t>Kham, there is a community of nuns who exist in a perpetual state of motion by building</w:t>
      </w:r>
      <w:r w:rsidRPr="00AE702A">
        <w:rPr>
          <w:b/>
          <w:bCs/>
          <w:sz w:val="12"/>
        </w:rPr>
        <w:t xml:space="preserve"> </w:t>
      </w:r>
      <w:r w:rsidRPr="00AE702A">
        <w:rPr>
          <w:sz w:val="12"/>
        </w:rPr>
        <w:t>structures in a confusing and disorienting manner in resistance to PRC mandates for easily</w:t>
      </w:r>
      <w:r w:rsidRPr="00AE702A">
        <w:rPr>
          <w:b/>
          <w:bCs/>
          <w:sz w:val="12"/>
        </w:rPr>
        <w:t xml:space="preserve"> </w:t>
      </w:r>
      <w:r w:rsidRPr="00AE702A">
        <w:rPr>
          <w:sz w:val="12"/>
        </w:rPr>
        <w:t>understood building practices that align with their hegemonic demands. They also, along with</w:t>
      </w:r>
      <w:r w:rsidRPr="00AE702A">
        <w:rPr>
          <w:b/>
          <w:bCs/>
          <w:sz w:val="12"/>
        </w:rPr>
        <w:t xml:space="preserve"> </w:t>
      </w:r>
      <w:r w:rsidRPr="00AE702A">
        <w:rPr>
          <w:sz w:val="12"/>
        </w:rPr>
        <w:t>other Tibetans, attempt to disseminate the history of Tibet to their people in a way that the PRC</w:t>
      </w:r>
      <w:r w:rsidRPr="00AE702A">
        <w:rPr>
          <w:b/>
          <w:bCs/>
          <w:sz w:val="12"/>
        </w:rPr>
        <w:t xml:space="preserve"> </w:t>
      </w:r>
      <w:r w:rsidRPr="00AE702A">
        <w:rPr>
          <w:sz w:val="12"/>
        </w:rPr>
        <w:t>does not support. This supports teaching Tibetan people’s history as independent rather than</w:t>
      </w:r>
      <w:r w:rsidRPr="00AE702A">
        <w:rPr>
          <w:b/>
          <w:bCs/>
          <w:sz w:val="12"/>
        </w:rPr>
        <w:t xml:space="preserve"> </w:t>
      </w:r>
      <w:r w:rsidRPr="00AE702A">
        <w:rPr>
          <w:sz w:val="12"/>
        </w:rPr>
        <w:t>dependent on Chinese culture. The images of the Tibetan monk, bandit, and freedom fighter are</w:t>
      </w:r>
      <w:r w:rsidRPr="00AE702A">
        <w:rPr>
          <w:b/>
          <w:bCs/>
          <w:sz w:val="12"/>
        </w:rPr>
        <w:t xml:space="preserve"> </w:t>
      </w:r>
      <w:r w:rsidRPr="00AE702A">
        <w:rPr>
          <w:sz w:val="12"/>
        </w:rPr>
        <w:t>often used to this end. Furthermore, teaching history with Lhasa (the traditional Tibetan capital)</w:t>
      </w:r>
      <w:r w:rsidRPr="00AE702A">
        <w:rPr>
          <w:b/>
          <w:bCs/>
          <w:sz w:val="12"/>
        </w:rPr>
        <w:t xml:space="preserve"> </w:t>
      </w:r>
      <w:r w:rsidRPr="00AE702A">
        <w:rPr>
          <w:sz w:val="12"/>
        </w:rPr>
        <w:t>as the focal point rather than Kham (a Tibetan borderland that is often the focus of the</w:t>
      </w:r>
      <w:r w:rsidRPr="00AE702A">
        <w:rPr>
          <w:b/>
          <w:bCs/>
          <w:sz w:val="12"/>
        </w:rPr>
        <w:t xml:space="preserve"> </w:t>
      </w:r>
      <w:r w:rsidRPr="00AE702A">
        <w:rPr>
          <w:sz w:val="12"/>
        </w:rPr>
        <w:t xml:space="preserve">Chinese). Despite these everyday acts of resistance, </w:t>
      </w:r>
      <w:r w:rsidRPr="006B3F15">
        <w:rPr>
          <w:rStyle w:val="StyleUnderline"/>
          <w:b/>
          <w:bCs/>
        </w:rPr>
        <w:t>the elimination of Tibetan culture is still a violent reality</w:t>
      </w:r>
      <w:r w:rsidRPr="0082332E">
        <w:rPr>
          <w:rStyle w:val="StyleUnderline"/>
        </w:rPr>
        <w:t>.</w:t>
      </w:r>
      <w:r w:rsidRPr="00AE702A">
        <w:rPr>
          <w:sz w:val="12"/>
        </w:rPr>
        <w:t xml:space="preserve"> China, even today, is expanding boarding schools for children to inculcate them</w:t>
      </w:r>
      <w:r w:rsidRPr="00AE702A">
        <w:rPr>
          <w:b/>
          <w:bCs/>
          <w:sz w:val="12"/>
        </w:rPr>
        <w:t xml:space="preserve"> </w:t>
      </w:r>
      <w:r w:rsidRPr="00AE702A">
        <w:rPr>
          <w:sz w:val="12"/>
        </w:rPr>
        <w:t>with the ideals of the Chinese Communist Party, much like the indigenous experience with</w:t>
      </w:r>
      <w:r w:rsidRPr="00AE702A">
        <w:rPr>
          <w:b/>
          <w:bCs/>
          <w:sz w:val="12"/>
        </w:rPr>
        <w:t xml:space="preserve"> </w:t>
      </w:r>
      <w:r w:rsidRPr="00AE702A">
        <w:rPr>
          <w:sz w:val="12"/>
        </w:rPr>
        <w:t>Western boarding schools in the Americas. Students in these schools are strictly forbidden from</w:t>
      </w:r>
      <w:r w:rsidRPr="00AE702A">
        <w:rPr>
          <w:b/>
          <w:bCs/>
          <w:sz w:val="12"/>
        </w:rPr>
        <w:t xml:space="preserve"> </w:t>
      </w:r>
      <w:r w:rsidRPr="00AE702A">
        <w:rPr>
          <w:sz w:val="12"/>
        </w:rPr>
        <w:t xml:space="preserve">practicing their native religion. </w:t>
      </w:r>
      <w:r w:rsidRPr="006B3F15">
        <w:rPr>
          <w:rStyle w:val="StyleUnderline"/>
          <w:b/>
          <w:bCs/>
        </w:rPr>
        <w:t>These efforts have been so successful that only a meager 22% of Tibetan children do not live in these boarding schools</w:t>
      </w:r>
      <w:r w:rsidRPr="00AE702A">
        <w:rPr>
          <w:b/>
          <w:bCs/>
          <w:sz w:val="12"/>
        </w:rPr>
        <w:t>.</w:t>
      </w:r>
      <w:r w:rsidRPr="00AE702A">
        <w:rPr>
          <w:sz w:val="12"/>
        </w:rPr>
        <w:t xml:space="preserve"> The relocation of massive amounts of</w:t>
      </w:r>
      <w:r w:rsidRPr="00AE702A">
        <w:rPr>
          <w:b/>
          <w:bCs/>
          <w:sz w:val="12"/>
        </w:rPr>
        <w:t xml:space="preserve"> </w:t>
      </w:r>
      <w:r w:rsidRPr="00AE702A">
        <w:rPr>
          <w:sz w:val="12"/>
        </w:rPr>
        <w:t>Han people into Tibet has also been a strategic attempt by the PRC to eliminate Tibetan culture.</w:t>
      </w:r>
      <w:r w:rsidRPr="00AE702A">
        <w:rPr>
          <w:b/>
          <w:bCs/>
          <w:sz w:val="12"/>
        </w:rPr>
        <w:t xml:space="preserve"> </w:t>
      </w:r>
      <w:r w:rsidRPr="006B3F15">
        <w:rPr>
          <w:rStyle w:val="StyleUnderline"/>
          <w:b/>
          <w:bCs/>
        </w:rPr>
        <w:t>Chinese settler colonialism is also not a recent trend in Chinese history</w:t>
      </w:r>
      <w:r w:rsidRPr="00AE702A">
        <w:rPr>
          <w:sz w:val="12"/>
        </w:rPr>
        <w:t>. Many view</w:t>
      </w:r>
      <w:r w:rsidRPr="00AE702A">
        <w:rPr>
          <w:b/>
          <w:bCs/>
          <w:sz w:val="12"/>
        </w:rPr>
        <w:t xml:space="preserve"> </w:t>
      </w:r>
      <w:r w:rsidRPr="00AE702A">
        <w:rPr>
          <w:sz w:val="12"/>
        </w:rPr>
        <w:t>China as a relatively homogenous society without internal conflict but this is patently false. In</w:t>
      </w:r>
      <w:r w:rsidRPr="00AE702A">
        <w:rPr>
          <w:b/>
          <w:bCs/>
          <w:sz w:val="12"/>
        </w:rPr>
        <w:t xml:space="preserve"> </w:t>
      </w:r>
      <w:r w:rsidRPr="00AE702A">
        <w:rPr>
          <w:sz w:val="12"/>
        </w:rPr>
        <w:t xml:space="preserve">the 1680s, </w:t>
      </w:r>
      <w:r w:rsidRPr="006B3F15">
        <w:rPr>
          <w:rStyle w:val="StyleUnderline"/>
          <w:b/>
          <w:bCs/>
        </w:rPr>
        <w:t>following the anti-Qing rebellion, the emperor announced his intentions to relocate</w:t>
      </w:r>
      <w:r>
        <w:rPr>
          <w:rStyle w:val="StyleUnderline"/>
          <w:b/>
          <w:bCs/>
        </w:rPr>
        <w:t xml:space="preserve"> </w:t>
      </w:r>
      <w:r w:rsidRPr="006B3F15">
        <w:rPr>
          <w:rStyle w:val="StyleUnderline"/>
          <w:b/>
          <w:bCs/>
        </w:rPr>
        <w:t>Han farmers from the interior of China to the southwestern portions of China</w:t>
      </w:r>
      <w:r w:rsidRPr="00AE702A">
        <w:rPr>
          <w:sz w:val="12"/>
        </w:rPr>
        <w:t xml:space="preserve"> (Yunnan and</w:t>
      </w:r>
      <w:r w:rsidRPr="00AE702A">
        <w:rPr>
          <w:b/>
          <w:bCs/>
          <w:sz w:val="12"/>
        </w:rPr>
        <w:t xml:space="preserve"> </w:t>
      </w:r>
      <w:r w:rsidRPr="00AE702A">
        <w:rPr>
          <w:sz w:val="12"/>
        </w:rPr>
        <w:t>Guizhou). These farmers were intended to capitalize on vast swathes of unproductive land and</w:t>
      </w:r>
      <w:r w:rsidRPr="00AE702A">
        <w:rPr>
          <w:b/>
          <w:bCs/>
          <w:sz w:val="12"/>
        </w:rPr>
        <w:t xml:space="preserve"> </w:t>
      </w:r>
      <w:r w:rsidRPr="00AE702A">
        <w:rPr>
          <w:sz w:val="12"/>
        </w:rPr>
        <w:t>cultivate them to support more population growth. Furthermore, these farmers were granted tax</w:t>
      </w:r>
      <w:r w:rsidRPr="00AE702A">
        <w:rPr>
          <w:b/>
          <w:bCs/>
          <w:sz w:val="12"/>
        </w:rPr>
        <w:t xml:space="preserve"> </w:t>
      </w:r>
      <w:r w:rsidRPr="00AE702A">
        <w:rPr>
          <w:sz w:val="12"/>
        </w:rPr>
        <w:t>incentives from the emperor to perform this labor and once those tax incentives ended, the</w:t>
      </w:r>
      <w:r w:rsidRPr="00AE702A">
        <w:rPr>
          <w:b/>
          <w:bCs/>
          <w:sz w:val="12"/>
        </w:rPr>
        <w:t xml:space="preserve"> </w:t>
      </w:r>
      <w:r w:rsidRPr="00AE702A">
        <w:rPr>
          <w:sz w:val="12"/>
        </w:rPr>
        <w:t>farmers were given ownership of the land. These Han settlers were primarily sent to regions of</w:t>
      </w:r>
      <w:r w:rsidRPr="00AE702A">
        <w:rPr>
          <w:b/>
          <w:bCs/>
          <w:sz w:val="12"/>
        </w:rPr>
        <w:t xml:space="preserve"> </w:t>
      </w:r>
      <w:r w:rsidRPr="00AE702A">
        <w:rPr>
          <w:sz w:val="12"/>
        </w:rPr>
        <w:t>the southwest that were most staunchly opposed to the Qing empire. They were also strongly</w:t>
      </w:r>
      <w:r w:rsidRPr="00AE702A">
        <w:rPr>
          <w:b/>
          <w:bCs/>
          <w:sz w:val="12"/>
        </w:rPr>
        <w:t xml:space="preserve"> </w:t>
      </w:r>
      <w:r w:rsidRPr="00AE702A">
        <w:rPr>
          <w:sz w:val="12"/>
        </w:rPr>
        <w:t>encouraged to extract as much value as possible from the land as possible, even at the expense of</w:t>
      </w:r>
      <w:r w:rsidRPr="00AE702A">
        <w:rPr>
          <w:b/>
          <w:bCs/>
          <w:sz w:val="12"/>
        </w:rPr>
        <w:t xml:space="preserve"> </w:t>
      </w:r>
      <w:r w:rsidRPr="00AE702A">
        <w:rPr>
          <w:sz w:val="12"/>
        </w:rPr>
        <w:t>future cultivation. This land acquisition of indigenous land is a hallmark feature of settler</w:t>
      </w:r>
      <w:r w:rsidRPr="00AE702A">
        <w:rPr>
          <w:b/>
          <w:bCs/>
          <w:sz w:val="12"/>
        </w:rPr>
        <w:t xml:space="preserve"> </w:t>
      </w:r>
      <w:r w:rsidRPr="00AE702A">
        <w:rPr>
          <w:sz w:val="12"/>
        </w:rPr>
        <w:t>colonialism. The terrain, however, proved extremely difficult to cultivate due to the rugged</w:t>
      </w:r>
      <w:r w:rsidRPr="00AE702A">
        <w:rPr>
          <w:b/>
          <w:bCs/>
          <w:sz w:val="12"/>
        </w:rPr>
        <w:t xml:space="preserve"> </w:t>
      </w:r>
      <w:r w:rsidRPr="00AE702A">
        <w:rPr>
          <w:sz w:val="12"/>
        </w:rPr>
        <w:t xml:space="preserve">landscape and steep slopes of the Himalayan Mountain range. Non-Han, </w:t>
      </w:r>
      <w:r w:rsidRPr="00F668FC">
        <w:rPr>
          <w:rStyle w:val="StyleUnderline"/>
        </w:rPr>
        <w:t>indigenous</w:t>
      </w:r>
      <w:r>
        <w:rPr>
          <w:rStyle w:val="StyleUnderline"/>
          <w:b/>
          <w:bCs/>
        </w:rPr>
        <w:t xml:space="preserve"> </w:t>
      </w:r>
      <w:r w:rsidRPr="00F668FC">
        <w:rPr>
          <w:rStyle w:val="StyleUnderline"/>
        </w:rPr>
        <w:t>individuals</w:t>
      </w:r>
      <w:r w:rsidRPr="00AE702A">
        <w:rPr>
          <w:sz w:val="12"/>
        </w:rPr>
        <w:t xml:space="preserve">, called tusi, </w:t>
      </w:r>
      <w:r w:rsidRPr="00F668FC">
        <w:rPr>
          <w:rStyle w:val="StyleUnderline"/>
        </w:rPr>
        <w:t>were hand-selected by the Chinese empire to be “leaders” in the region</w:t>
      </w:r>
      <w:r w:rsidRPr="00AE702A">
        <w:rPr>
          <w:sz w:val="12"/>
        </w:rPr>
        <w:t xml:space="preserve"> in</w:t>
      </w:r>
      <w:r w:rsidRPr="00AE702A">
        <w:rPr>
          <w:b/>
          <w:bCs/>
          <w:sz w:val="12"/>
        </w:rPr>
        <w:t xml:space="preserve"> </w:t>
      </w:r>
      <w:r w:rsidRPr="00AE702A">
        <w:rPr>
          <w:sz w:val="12"/>
        </w:rPr>
        <w:t xml:space="preserve">an attempt to better solidify the rule of the Qing empire. </w:t>
      </w:r>
      <w:r w:rsidRPr="006B3F15">
        <w:rPr>
          <w:rStyle w:val="StyleUnderline"/>
          <w:b/>
          <w:bCs/>
        </w:rPr>
        <w:t>The acceptance of these titles was seen as an act of submission in the eyes of the Qing leaders</w:t>
      </w:r>
      <w:r w:rsidRPr="00F668FC">
        <w:rPr>
          <w:rStyle w:val="StyleUnderline"/>
        </w:rPr>
        <w:t>.</w:t>
      </w:r>
      <w:r w:rsidRPr="00AE702A">
        <w:rPr>
          <w:sz w:val="12"/>
        </w:rPr>
        <w:t xml:space="preserve"> The elevated status of the Tusi was</w:t>
      </w:r>
      <w:r w:rsidRPr="00AE702A">
        <w:rPr>
          <w:b/>
          <w:bCs/>
          <w:sz w:val="12"/>
        </w:rPr>
        <w:t xml:space="preserve"> </w:t>
      </w:r>
      <w:r w:rsidRPr="00AE702A">
        <w:rPr>
          <w:sz w:val="12"/>
        </w:rPr>
        <w:t>accompanied by preferential treatment by the empire, the promise of military support if an</w:t>
      </w:r>
      <w:r w:rsidRPr="00AE702A">
        <w:rPr>
          <w:b/>
          <w:bCs/>
          <w:sz w:val="12"/>
        </w:rPr>
        <w:t xml:space="preserve"> </w:t>
      </w:r>
      <w:r w:rsidRPr="00AE702A">
        <w:rPr>
          <w:sz w:val="12"/>
        </w:rPr>
        <w:t>uprising were to occur, and favorable access to Chinese markets. In the following years of the</w:t>
      </w:r>
      <w:r w:rsidRPr="00AE702A">
        <w:rPr>
          <w:b/>
          <w:bCs/>
          <w:sz w:val="12"/>
        </w:rPr>
        <w:t xml:space="preserve"> </w:t>
      </w:r>
      <w:r w:rsidRPr="00AE702A">
        <w:rPr>
          <w:sz w:val="12"/>
        </w:rPr>
        <w:t>settlement of the Yunnan and Guizhou regions, there were soon instituted conditions for</w:t>
      </w:r>
      <w:r w:rsidRPr="00AE702A">
        <w:rPr>
          <w:b/>
          <w:bCs/>
          <w:sz w:val="12"/>
        </w:rPr>
        <w:t xml:space="preserve"> </w:t>
      </w:r>
      <w:r w:rsidRPr="00AE702A">
        <w:rPr>
          <w:sz w:val="12"/>
        </w:rPr>
        <w:t xml:space="preserve">becoming eligible for imperial positions. </w:t>
      </w:r>
      <w:r w:rsidRPr="006B3F15">
        <w:rPr>
          <w:rStyle w:val="StyleUnderline"/>
          <w:b/>
          <w:bCs/>
        </w:rPr>
        <w:t>Individuals had to be educated in Han schools and pass a literacy test.</w:t>
      </w:r>
      <w:r w:rsidRPr="00F668FC">
        <w:rPr>
          <w:rStyle w:val="StyleUnderline"/>
        </w:rPr>
        <w:t xml:space="preserve"> </w:t>
      </w:r>
      <w:r w:rsidRPr="00AE702A">
        <w:rPr>
          <w:sz w:val="12"/>
        </w:rPr>
        <w:t>This was a consorted effort to elevate only those members of society who were</w:t>
      </w:r>
      <w:r w:rsidRPr="00AE702A">
        <w:rPr>
          <w:b/>
          <w:bCs/>
          <w:sz w:val="12"/>
        </w:rPr>
        <w:t xml:space="preserve"> </w:t>
      </w:r>
      <w:r w:rsidRPr="00AE702A">
        <w:rPr>
          <w:sz w:val="12"/>
        </w:rPr>
        <w:t>willing to submit to the hegemonic Qing empire’s customs. This process was not entirely as</w:t>
      </w:r>
      <w:r w:rsidRPr="00AE702A">
        <w:rPr>
          <w:b/>
          <w:bCs/>
          <w:sz w:val="12"/>
        </w:rPr>
        <w:t xml:space="preserve"> </w:t>
      </w:r>
      <w:r w:rsidRPr="00AE702A">
        <w:rPr>
          <w:sz w:val="12"/>
        </w:rPr>
        <w:t>successful as it was intended to be because many of the Han settlers, once the tax incentives</w:t>
      </w:r>
      <w:r w:rsidRPr="00AE702A">
        <w:rPr>
          <w:b/>
          <w:bCs/>
          <w:sz w:val="12"/>
        </w:rPr>
        <w:t xml:space="preserve"> </w:t>
      </w:r>
      <w:r w:rsidRPr="00AE702A">
        <w:rPr>
          <w:sz w:val="12"/>
        </w:rPr>
        <w:t>subsided, left the region and farmland to avoid paying taxes. The solution to this was to</w:t>
      </w:r>
      <w:r w:rsidRPr="00AE702A">
        <w:rPr>
          <w:b/>
          <w:bCs/>
          <w:sz w:val="12"/>
        </w:rPr>
        <w:t xml:space="preserve"> </w:t>
      </w:r>
      <w:r w:rsidRPr="00AE702A">
        <w:rPr>
          <w:sz w:val="12"/>
        </w:rPr>
        <w:t>militarily occupy the southwest. The Qing Empire ordered its military to occupy the region</w:t>
      </w:r>
      <w:r w:rsidRPr="00AE702A">
        <w:rPr>
          <w:b/>
          <w:bCs/>
          <w:sz w:val="12"/>
        </w:rPr>
        <w:t xml:space="preserve"> </w:t>
      </w:r>
      <w:r w:rsidRPr="00AE702A">
        <w:rPr>
          <w:sz w:val="12"/>
        </w:rPr>
        <w:t xml:space="preserve">permanently. Furthermore, </w:t>
      </w:r>
      <w:r w:rsidRPr="00F668FC">
        <w:rPr>
          <w:rStyle w:val="StyleUnderline"/>
        </w:rPr>
        <w:t>those in the southwest who were found to be loyal to the revolution</w:t>
      </w:r>
      <w:r>
        <w:rPr>
          <w:rStyle w:val="StyleUnderline"/>
          <w:b/>
          <w:bCs/>
        </w:rPr>
        <w:t xml:space="preserve"> </w:t>
      </w:r>
      <w:r w:rsidRPr="00F668FC">
        <w:rPr>
          <w:rStyle w:val="StyleUnderline"/>
        </w:rPr>
        <w:t>were ordered to be killed</w:t>
      </w:r>
      <w:r w:rsidRPr="00AE702A">
        <w:rPr>
          <w:sz w:val="12"/>
        </w:rPr>
        <w:t>. Furthermore, many of the tusi were found to be harboring and</w:t>
      </w:r>
      <w:r w:rsidRPr="00AE702A">
        <w:rPr>
          <w:b/>
          <w:bCs/>
          <w:sz w:val="12"/>
        </w:rPr>
        <w:t xml:space="preserve"> </w:t>
      </w:r>
      <w:r w:rsidRPr="00AE702A">
        <w:rPr>
          <w:sz w:val="12"/>
        </w:rPr>
        <w:t>protecting fugitives who had supported the uprising.</w:t>
      </w:r>
      <w:r w:rsidRPr="00AE702A">
        <w:rPr>
          <w:b/>
          <w:bCs/>
          <w:sz w:val="12"/>
        </w:rPr>
        <w:t xml:space="preserve"> </w:t>
      </w:r>
      <w:r w:rsidRPr="006B3F15">
        <w:rPr>
          <w:rStyle w:val="StyleUnderline"/>
          <w:b/>
          <w:bCs/>
        </w:rPr>
        <w:t>This historic instance of land acquisition in Chinese history</w:t>
      </w:r>
      <w:r w:rsidRPr="00AE702A">
        <w:rPr>
          <w:sz w:val="12"/>
        </w:rPr>
        <w:t xml:space="preserve"> shares many similarities with</w:t>
      </w:r>
      <w:r w:rsidRPr="00AE702A">
        <w:rPr>
          <w:b/>
          <w:bCs/>
          <w:sz w:val="12"/>
        </w:rPr>
        <w:t xml:space="preserve"> </w:t>
      </w:r>
      <w:r w:rsidRPr="00AE702A">
        <w:rPr>
          <w:sz w:val="12"/>
        </w:rPr>
        <w:t xml:space="preserve">traditional theories of settler colonialism. It </w:t>
      </w:r>
      <w:r w:rsidRPr="00AE702A">
        <w:rPr>
          <w:b/>
          <w:bCs/>
          <w:sz w:val="12"/>
        </w:rPr>
        <w:t>r</w:t>
      </w:r>
      <w:r w:rsidRPr="006B3F15">
        <w:rPr>
          <w:rStyle w:val="StyleUnderline"/>
          <w:b/>
          <w:bCs/>
        </w:rPr>
        <w:t>elocated mass amounts of non-indigenous Han people to the southwestern portions of what is now China and granted those settlers ownership of</w:t>
      </w:r>
      <w:r>
        <w:rPr>
          <w:rStyle w:val="StyleUnderline"/>
          <w:b/>
          <w:bCs/>
        </w:rPr>
        <w:t xml:space="preserve"> </w:t>
      </w:r>
      <w:r w:rsidRPr="006B3F15">
        <w:rPr>
          <w:rStyle w:val="StyleUnderline"/>
          <w:b/>
          <w:bCs/>
        </w:rPr>
        <w:t>land. It eliminated many individuals who resisted this process</w:t>
      </w:r>
      <w:r w:rsidRPr="00AE702A">
        <w:rPr>
          <w:sz w:val="12"/>
        </w:rPr>
        <w:t>. However, this event in the Qing</w:t>
      </w:r>
      <w:r w:rsidRPr="00AE702A">
        <w:rPr>
          <w:b/>
          <w:bCs/>
          <w:sz w:val="12"/>
        </w:rPr>
        <w:t xml:space="preserve"> </w:t>
      </w:r>
      <w:r w:rsidRPr="00AE702A">
        <w:rPr>
          <w:sz w:val="12"/>
        </w:rPr>
        <w:t>empire did not make as great of an attempts at exterminating the cultural practices of the Yunnan</w:t>
      </w:r>
      <w:r w:rsidRPr="00AE702A">
        <w:rPr>
          <w:b/>
          <w:bCs/>
          <w:sz w:val="12"/>
        </w:rPr>
        <w:t xml:space="preserve"> </w:t>
      </w:r>
      <w:r w:rsidRPr="00AE702A">
        <w:rPr>
          <w:sz w:val="12"/>
        </w:rPr>
        <w:t>and Guizhou people. It also did not attempt to relocate them to other areas.</w:t>
      </w:r>
      <w:r w:rsidRPr="00AE702A">
        <w:rPr>
          <w:b/>
          <w:bCs/>
          <w:sz w:val="12"/>
        </w:rPr>
        <w:t xml:space="preserve"> </w:t>
      </w:r>
      <w:r w:rsidRPr="00AE702A">
        <w:rPr>
          <w:sz w:val="12"/>
        </w:rPr>
        <w:t>The settler colonialism practiced by the Qing Empire did not end once they were usurped</w:t>
      </w:r>
      <w:r w:rsidRPr="00AE702A">
        <w:rPr>
          <w:b/>
          <w:bCs/>
          <w:sz w:val="12"/>
        </w:rPr>
        <w:t xml:space="preserve"> </w:t>
      </w:r>
      <w:r w:rsidRPr="00AE702A">
        <w:rPr>
          <w:sz w:val="12"/>
        </w:rPr>
        <w:t>by the Chinese Communist Party. Rather, in their dying throws they are engaging today in yet</w:t>
      </w:r>
      <w:r w:rsidRPr="00AE702A">
        <w:rPr>
          <w:b/>
          <w:bCs/>
          <w:sz w:val="12"/>
        </w:rPr>
        <w:t xml:space="preserve"> </w:t>
      </w:r>
      <w:r w:rsidRPr="00AE702A">
        <w:rPr>
          <w:sz w:val="12"/>
        </w:rPr>
        <w:t>another form of settler colonial expansion in Taiwan. The colonization of Taiwan has been</w:t>
      </w:r>
      <w:r w:rsidRPr="00AE702A">
        <w:rPr>
          <w:b/>
          <w:bCs/>
          <w:sz w:val="12"/>
        </w:rPr>
        <w:t xml:space="preserve"> </w:t>
      </w:r>
      <w:r w:rsidRPr="00AE702A">
        <w:rPr>
          <w:sz w:val="12"/>
        </w:rPr>
        <w:t>occurring since the seventeenth century by several nations beginning with the Dutch and ending</w:t>
      </w:r>
      <w:r w:rsidRPr="00AE702A">
        <w:rPr>
          <w:b/>
          <w:bCs/>
          <w:sz w:val="12"/>
        </w:rPr>
        <w:t xml:space="preserve"> </w:t>
      </w:r>
      <w:r w:rsidRPr="00AE702A">
        <w:rPr>
          <w:sz w:val="12"/>
        </w:rPr>
        <w:t xml:space="preserve">with Qing China in the present day. </w:t>
      </w:r>
      <w:r w:rsidRPr="006B3F15">
        <w:rPr>
          <w:rStyle w:val="StyleUnderline"/>
          <w:b/>
          <w:bCs/>
        </w:rPr>
        <w:t>Chinese nationals have been consistently moving to Taiwan gradually displacing the indigenous populations</w:t>
      </w:r>
      <w:r w:rsidRPr="00F668FC">
        <w:rPr>
          <w:rStyle w:val="StyleUnderline"/>
        </w:rPr>
        <w:t xml:space="preserve"> named shoufan (crooked savages) on the</w:t>
      </w:r>
      <w:r>
        <w:rPr>
          <w:rStyle w:val="StyleUnderline"/>
          <w:b/>
          <w:bCs/>
        </w:rPr>
        <w:t xml:space="preserve"> </w:t>
      </w:r>
      <w:r w:rsidRPr="00F668FC">
        <w:rPr>
          <w:rStyle w:val="StyleUnderline"/>
        </w:rPr>
        <w:t>plains of Taiwan and shengfan (raw savages) in the high mountainous regions</w:t>
      </w:r>
      <w:r w:rsidRPr="00AE702A">
        <w:rPr>
          <w:sz w:val="12"/>
        </w:rPr>
        <w:t>. There was,</w:t>
      </w:r>
      <w:r w:rsidRPr="00AE702A">
        <w:rPr>
          <w:b/>
          <w:bCs/>
          <w:sz w:val="12"/>
        </w:rPr>
        <w:t xml:space="preserve"> </w:t>
      </w:r>
      <w:r w:rsidRPr="00AE702A">
        <w:rPr>
          <w:sz w:val="12"/>
        </w:rPr>
        <w:t>however, a brief period of Japanese occupation from 1895 until the end of WWII following</w:t>
      </w:r>
      <w:r w:rsidRPr="00AE702A">
        <w:rPr>
          <w:b/>
          <w:bCs/>
          <w:sz w:val="12"/>
        </w:rPr>
        <w:t xml:space="preserve"> </w:t>
      </w:r>
      <w:r w:rsidRPr="00AE702A">
        <w:rPr>
          <w:sz w:val="12"/>
        </w:rPr>
        <w:t>China’s defeat in the Sino-Japanese War. Following Japan’s defeat in WWII, the island</w:t>
      </w:r>
      <w:r w:rsidRPr="00AE702A">
        <w:rPr>
          <w:b/>
          <w:bCs/>
          <w:sz w:val="12"/>
        </w:rPr>
        <w:t xml:space="preserve"> </w:t>
      </w:r>
      <w:r w:rsidRPr="00AE702A">
        <w:rPr>
          <w:sz w:val="12"/>
        </w:rPr>
        <w:t xml:space="preserve">returned to Chinese hands. Following </w:t>
      </w:r>
      <w:r w:rsidRPr="006B3F15">
        <w:rPr>
          <w:rStyle w:val="StyleUnderline"/>
          <w:b/>
          <w:bCs/>
        </w:rPr>
        <w:t>the Kuomintang</w:t>
      </w:r>
      <w:r w:rsidRPr="00AE702A">
        <w:rPr>
          <w:sz w:val="12"/>
        </w:rPr>
        <w:t xml:space="preserve"> (KMT) regime’s defeat by the Chinese</w:t>
      </w:r>
      <w:r w:rsidRPr="00AE702A">
        <w:rPr>
          <w:b/>
          <w:bCs/>
          <w:sz w:val="12"/>
        </w:rPr>
        <w:t xml:space="preserve"> </w:t>
      </w:r>
      <w:r w:rsidRPr="00AE702A">
        <w:rPr>
          <w:sz w:val="12"/>
        </w:rPr>
        <w:t>Communist Party, they fled to Taiwan as “true Chinese” bent on establishing a true Chinese</w:t>
      </w:r>
      <w:r w:rsidRPr="00AE702A">
        <w:rPr>
          <w:b/>
          <w:bCs/>
          <w:sz w:val="12"/>
        </w:rPr>
        <w:t xml:space="preserve"> </w:t>
      </w:r>
      <w:r w:rsidRPr="00AE702A">
        <w:rPr>
          <w:sz w:val="12"/>
        </w:rPr>
        <w:t xml:space="preserve">state. They </w:t>
      </w:r>
      <w:r w:rsidRPr="00F668FC">
        <w:rPr>
          <w:rStyle w:val="StyleUnderline"/>
        </w:rPr>
        <w:t>renamed indigenous populations yet again</w:t>
      </w:r>
      <w:r w:rsidRPr="00AE702A">
        <w:rPr>
          <w:sz w:val="12"/>
        </w:rPr>
        <w:t xml:space="preserve"> as shandi tongbao (mountain</w:t>
      </w:r>
      <w:r w:rsidRPr="00AE702A">
        <w:rPr>
          <w:b/>
          <w:bCs/>
          <w:sz w:val="12"/>
        </w:rPr>
        <w:t xml:space="preserve"> </w:t>
      </w:r>
      <w:r w:rsidRPr="00AE702A">
        <w:rPr>
          <w:sz w:val="12"/>
        </w:rPr>
        <w:t xml:space="preserve">compatriots). </w:t>
      </w:r>
      <w:r w:rsidRPr="00F668FC">
        <w:rPr>
          <w:rStyle w:val="StyleUnderline"/>
        </w:rPr>
        <w:t xml:space="preserve">The KMT </w:t>
      </w:r>
      <w:r w:rsidRPr="006B3F15">
        <w:rPr>
          <w:rStyle w:val="StyleUnderline"/>
          <w:b/>
          <w:bCs/>
        </w:rPr>
        <w:t>rewrote and disseminated the rewriting of history to teach indigenous populations that they were fellow Chinese citizens rather than a distinct Taiwanese group</w:t>
      </w:r>
      <w:r w:rsidRPr="00F668FC">
        <w:rPr>
          <w:rStyle w:val="StyleUnderline"/>
        </w:rPr>
        <w:t>.</w:t>
      </w:r>
      <w:r w:rsidRPr="00AE702A">
        <w:rPr>
          <w:sz w:val="12"/>
        </w:rPr>
        <w:t xml:space="preserve"> They</w:t>
      </w:r>
      <w:r w:rsidRPr="00AE702A">
        <w:rPr>
          <w:b/>
          <w:bCs/>
          <w:sz w:val="12"/>
        </w:rPr>
        <w:t xml:space="preserve"> </w:t>
      </w:r>
      <w:r w:rsidRPr="00AE702A">
        <w:rPr>
          <w:sz w:val="12"/>
        </w:rPr>
        <w:t>explained the differences between the KMT and indigenous groups by alleging that the</w:t>
      </w:r>
      <w:r w:rsidRPr="00AE702A">
        <w:rPr>
          <w:b/>
          <w:bCs/>
          <w:sz w:val="12"/>
        </w:rPr>
        <w:t xml:space="preserve"> </w:t>
      </w:r>
      <w:r w:rsidRPr="00AE702A">
        <w:rPr>
          <w:sz w:val="12"/>
        </w:rPr>
        <w:t>indigenous groups simply fled mainland China long before the KMT arrived “home” in</w:t>
      </w:r>
      <w:r w:rsidRPr="00AE702A">
        <w:rPr>
          <w:b/>
          <w:bCs/>
          <w:sz w:val="12"/>
        </w:rPr>
        <w:t xml:space="preserve"> </w:t>
      </w:r>
      <w:r w:rsidRPr="00AE702A">
        <w:rPr>
          <w:sz w:val="12"/>
        </w:rPr>
        <w:t>Taiwan. Despite the majority of ethnographical data pointing to the Malay Archipelago as the</w:t>
      </w:r>
      <w:r w:rsidRPr="00AE702A">
        <w:rPr>
          <w:b/>
          <w:bCs/>
          <w:sz w:val="12"/>
        </w:rPr>
        <w:t xml:space="preserve"> </w:t>
      </w:r>
      <w:r w:rsidRPr="00AE702A">
        <w:rPr>
          <w:sz w:val="12"/>
        </w:rPr>
        <w:t>origin of the indigenous Taiwanese populations, these rewritings of history continue to claim that</w:t>
      </w:r>
      <w:r w:rsidRPr="00AE702A">
        <w:rPr>
          <w:b/>
          <w:bCs/>
          <w:sz w:val="12"/>
        </w:rPr>
        <w:t xml:space="preserve"> </w:t>
      </w:r>
      <w:r w:rsidRPr="00AE702A">
        <w:rPr>
          <w:sz w:val="12"/>
        </w:rPr>
        <w:t>they were also a product of mainland China. Most of the historical proofs they used to</w:t>
      </w:r>
      <w:r w:rsidRPr="00AE702A">
        <w:rPr>
          <w:b/>
          <w:bCs/>
          <w:sz w:val="12"/>
        </w:rPr>
        <w:t xml:space="preserve"> </w:t>
      </w:r>
      <w:r w:rsidRPr="00AE702A">
        <w:rPr>
          <w:sz w:val="12"/>
        </w:rPr>
        <w:t>substantiate these claims originated from Qing dynasty texts that were heavily biased like the</w:t>
      </w:r>
      <w:r w:rsidRPr="00AE702A">
        <w:rPr>
          <w:b/>
          <w:bCs/>
          <w:sz w:val="12"/>
        </w:rPr>
        <w:t xml:space="preserve"> </w:t>
      </w:r>
      <w:r w:rsidRPr="00AE702A">
        <w:rPr>
          <w:sz w:val="12"/>
        </w:rPr>
        <w:t>Fengshan Xianzhi and Taiwan Fuzhi. They cited historical similarities like wooden clappers to</w:t>
      </w:r>
      <w:r w:rsidRPr="00AE702A">
        <w:rPr>
          <w:b/>
          <w:bCs/>
          <w:sz w:val="12"/>
        </w:rPr>
        <w:t xml:space="preserve"> </w:t>
      </w:r>
      <w:r w:rsidRPr="00AE702A">
        <w:rPr>
          <w:sz w:val="12"/>
        </w:rPr>
        <w:t>call people together, worshipping dogs, chipping teeth intentionally, hanging coffins over cliffs,</w:t>
      </w:r>
      <w:r w:rsidRPr="00AE702A">
        <w:rPr>
          <w:b/>
          <w:bCs/>
          <w:sz w:val="12"/>
        </w:rPr>
        <w:t xml:space="preserve"> </w:t>
      </w:r>
      <w:r w:rsidRPr="00AE702A">
        <w:rPr>
          <w:sz w:val="12"/>
        </w:rPr>
        <w:t>customarily clean-shaven men, moving houses following a family member's death, the status and</w:t>
      </w:r>
      <w:r w:rsidRPr="00AE702A">
        <w:rPr>
          <w:b/>
          <w:bCs/>
          <w:sz w:val="12"/>
        </w:rPr>
        <w:t xml:space="preserve"> </w:t>
      </w:r>
      <w:r w:rsidRPr="00AE702A">
        <w:rPr>
          <w:sz w:val="12"/>
        </w:rPr>
        <w:t>value associated with items dyed blue, bows and arrows constructed of bamboo, and the</w:t>
      </w:r>
      <w:r w:rsidRPr="00AE702A">
        <w:rPr>
          <w:b/>
          <w:bCs/>
          <w:sz w:val="12"/>
        </w:rPr>
        <w:t xml:space="preserve"> </w:t>
      </w:r>
      <w:r w:rsidRPr="00AE702A">
        <w:rPr>
          <w:sz w:val="12"/>
        </w:rPr>
        <w:t xml:space="preserve">“swallowing mouth” seen in many sculptures. </w:t>
      </w:r>
      <w:r w:rsidRPr="00F668FC">
        <w:rPr>
          <w:rStyle w:val="StyleUnderline"/>
        </w:rPr>
        <w:t>This rescripting of Taiwanese indigenous</w:t>
      </w:r>
      <w:r>
        <w:rPr>
          <w:rStyle w:val="StyleUnderline"/>
          <w:b/>
          <w:bCs/>
        </w:rPr>
        <w:t xml:space="preserve"> </w:t>
      </w:r>
      <w:r w:rsidRPr="00F668FC">
        <w:rPr>
          <w:rStyle w:val="StyleUnderline"/>
        </w:rPr>
        <w:t>populations as originating from mainland China served the purpose of justifying the settler</w:t>
      </w:r>
      <w:r>
        <w:rPr>
          <w:rStyle w:val="StyleUnderline"/>
          <w:b/>
          <w:bCs/>
        </w:rPr>
        <w:t xml:space="preserve"> </w:t>
      </w:r>
      <w:r w:rsidRPr="00F668FC">
        <w:rPr>
          <w:rStyle w:val="StyleUnderline"/>
        </w:rPr>
        <w:t>colonial practices that the KMT and Qing dynasties enacted</w:t>
      </w:r>
      <w:r w:rsidRPr="00AE702A">
        <w:rPr>
          <w:sz w:val="12"/>
        </w:rPr>
        <w:t>. It is not the erasure and belittling of</w:t>
      </w:r>
      <w:r w:rsidRPr="00AE702A">
        <w:rPr>
          <w:b/>
          <w:bCs/>
          <w:sz w:val="12"/>
        </w:rPr>
        <w:t xml:space="preserve"> </w:t>
      </w:r>
      <w:r w:rsidRPr="00AE702A">
        <w:rPr>
          <w:sz w:val="12"/>
        </w:rPr>
        <w:t>indigenous culture, it is rather reuniting it with its originator. Furthermore, recent scholarly</w:t>
      </w:r>
      <w:r w:rsidRPr="00AE702A">
        <w:rPr>
          <w:b/>
          <w:bCs/>
          <w:sz w:val="12"/>
        </w:rPr>
        <w:t xml:space="preserve"> </w:t>
      </w:r>
      <w:r w:rsidRPr="00AE702A">
        <w:rPr>
          <w:sz w:val="12"/>
        </w:rPr>
        <w:t>endeavors indicate that there is a high probability that indigenous Taiwanese populations</w:t>
      </w:r>
      <w:r w:rsidRPr="00AE702A">
        <w:rPr>
          <w:b/>
          <w:bCs/>
          <w:sz w:val="12"/>
        </w:rPr>
        <w:t xml:space="preserve"> </w:t>
      </w:r>
      <w:r w:rsidRPr="00AE702A">
        <w:rPr>
          <w:sz w:val="12"/>
        </w:rPr>
        <w:t>originate from Austronesia and Indochina with a very low probability that they are from</w:t>
      </w:r>
      <w:r w:rsidRPr="00AE702A">
        <w:rPr>
          <w:b/>
          <w:bCs/>
          <w:sz w:val="12"/>
        </w:rPr>
        <w:t xml:space="preserve"> </w:t>
      </w:r>
      <w:r w:rsidRPr="00AE702A">
        <w:rPr>
          <w:sz w:val="12"/>
        </w:rPr>
        <w:t>mainland China. There are, however, recent developments in the settler colonial experience in Taiwan.</w:t>
      </w:r>
      <w:r w:rsidRPr="00AE702A">
        <w:rPr>
          <w:b/>
          <w:bCs/>
          <w:sz w:val="12"/>
        </w:rPr>
        <w:t xml:space="preserve"> </w:t>
      </w:r>
      <w:r w:rsidRPr="00AE702A">
        <w:rPr>
          <w:sz w:val="12"/>
        </w:rPr>
        <w:t>There is a growing movement to locate the national identity of the inhabitants of Taiwan with</w:t>
      </w:r>
      <w:r w:rsidRPr="00AE702A">
        <w:rPr>
          <w:b/>
          <w:bCs/>
          <w:sz w:val="12"/>
        </w:rPr>
        <w:t xml:space="preserve"> </w:t>
      </w:r>
      <w:r w:rsidRPr="00AE702A">
        <w:rPr>
          <w:sz w:val="12"/>
        </w:rPr>
        <w:t>Taiwan itself, rather than with mainland China. This is an effort to push for greater levels of</w:t>
      </w:r>
      <w:r w:rsidRPr="00AE702A">
        <w:rPr>
          <w:b/>
          <w:bCs/>
          <w:sz w:val="12"/>
        </w:rPr>
        <w:t xml:space="preserve"> </w:t>
      </w:r>
      <w:r w:rsidRPr="00AE702A">
        <w:rPr>
          <w:sz w:val="12"/>
        </w:rPr>
        <w:t>independence from the PRC. In 2000, the first president of Taiwan was elected who was not</w:t>
      </w:r>
      <w:r w:rsidRPr="00AE702A">
        <w:rPr>
          <w:b/>
          <w:bCs/>
          <w:sz w:val="12"/>
        </w:rPr>
        <w:t xml:space="preserve"> </w:t>
      </w:r>
      <w:r w:rsidRPr="00AE702A">
        <w:rPr>
          <w:sz w:val="12"/>
        </w:rPr>
        <w:t>associated with the KMT. This was followed by expanded rights and recognition of indigenous</w:t>
      </w:r>
      <w:r w:rsidRPr="00AE702A">
        <w:rPr>
          <w:b/>
          <w:bCs/>
          <w:sz w:val="12"/>
        </w:rPr>
        <w:t xml:space="preserve"> </w:t>
      </w:r>
      <w:r w:rsidRPr="00AE702A">
        <w:rPr>
          <w:sz w:val="12"/>
        </w:rPr>
        <w:t>people in Taiwan. Patrick Wolfe’s statement that settler colonialism is stronger than regime</w:t>
      </w:r>
      <w:r w:rsidRPr="00AE702A">
        <w:rPr>
          <w:b/>
          <w:bCs/>
          <w:sz w:val="12"/>
        </w:rPr>
        <w:t xml:space="preserve"> </w:t>
      </w:r>
      <w:r w:rsidRPr="00AE702A">
        <w:rPr>
          <w:sz w:val="12"/>
        </w:rPr>
        <w:t>change is particularly relevant in this period of Taiwanese history. Around this period, there</w:t>
      </w:r>
      <w:r w:rsidRPr="00AE702A">
        <w:rPr>
          <w:b/>
          <w:bCs/>
          <w:sz w:val="12"/>
        </w:rPr>
        <w:t xml:space="preserve"> </w:t>
      </w:r>
      <w:r w:rsidRPr="00AE702A">
        <w:rPr>
          <w:sz w:val="12"/>
        </w:rPr>
        <w:t>became a wave of scientific experiments and studies that claimed that the inhabitants of Taiwan</w:t>
      </w:r>
      <w:r w:rsidRPr="00AE702A">
        <w:rPr>
          <w:b/>
          <w:bCs/>
          <w:sz w:val="12"/>
        </w:rPr>
        <w:t xml:space="preserve"> </w:t>
      </w:r>
      <w:r w:rsidRPr="00AE702A">
        <w:rPr>
          <w:sz w:val="12"/>
        </w:rPr>
        <w:t>had a distinct DNA sequence that distinguished them from their Chinese counterparts. This</w:t>
      </w:r>
      <w:r w:rsidRPr="00AE702A">
        <w:rPr>
          <w:b/>
          <w:bCs/>
          <w:sz w:val="12"/>
        </w:rPr>
        <w:t xml:space="preserve"> </w:t>
      </w:r>
      <w:r w:rsidRPr="00AE702A">
        <w:rPr>
          <w:sz w:val="12"/>
        </w:rPr>
        <w:t>definition of indigeneity as explained by blood mirrors the one-drop rule that was used in the</w:t>
      </w:r>
      <w:r w:rsidRPr="00AE702A">
        <w:rPr>
          <w:b/>
          <w:bCs/>
          <w:sz w:val="12"/>
        </w:rPr>
        <w:t xml:space="preserve"> </w:t>
      </w:r>
      <w:r w:rsidRPr="00AE702A">
        <w:rPr>
          <w:sz w:val="12"/>
        </w:rPr>
        <w:t>colonization of the Americas. It ignores the importance of non-biological foundations of</w:t>
      </w:r>
      <w:r w:rsidRPr="00AE702A">
        <w:rPr>
          <w:b/>
          <w:bCs/>
          <w:sz w:val="12"/>
        </w:rPr>
        <w:t xml:space="preserve"> </w:t>
      </w:r>
      <w:r w:rsidRPr="00AE702A">
        <w:rPr>
          <w:sz w:val="12"/>
        </w:rPr>
        <w:t>indigeneity like cultural practices. Soon, however, holes were found in these studies. For</w:t>
      </w:r>
      <w:r w:rsidRPr="00AE702A">
        <w:rPr>
          <w:b/>
          <w:bCs/>
          <w:sz w:val="12"/>
        </w:rPr>
        <w:t xml:space="preserve"> </w:t>
      </w:r>
      <w:r w:rsidRPr="00AE702A">
        <w:rPr>
          <w:sz w:val="12"/>
        </w:rPr>
        <w:t>instance, many Han individuals shared the “indigenous genes” while 15% of Taiwanese</w:t>
      </w:r>
      <w:r w:rsidRPr="00AE702A">
        <w:rPr>
          <w:b/>
          <w:bCs/>
          <w:sz w:val="12"/>
        </w:rPr>
        <w:t xml:space="preserve"> </w:t>
      </w:r>
      <w:r w:rsidRPr="00AE702A">
        <w:rPr>
          <w:sz w:val="12"/>
        </w:rPr>
        <w:t>indigenous people did not have those genes.</w:t>
      </w:r>
      <w:r w:rsidRPr="00AE702A">
        <w:rPr>
          <w:b/>
          <w:bCs/>
          <w:sz w:val="12"/>
        </w:rPr>
        <w:t xml:space="preserve"> </w:t>
      </w:r>
      <w:r w:rsidRPr="00AE702A">
        <w:rPr>
          <w:sz w:val="12"/>
        </w:rPr>
        <w:t xml:space="preserve">Perhaps </w:t>
      </w:r>
      <w:r w:rsidRPr="006B3F15">
        <w:rPr>
          <w:rStyle w:val="StyleUnderline"/>
          <w:b/>
          <w:bCs/>
        </w:rPr>
        <w:t>the most visible expression of China’s settler colonialism can be seen in the mass incarceration of Uyghur Muslims in Xinjiang</w:t>
      </w:r>
      <w:r w:rsidRPr="00AE702A">
        <w:rPr>
          <w:sz w:val="12"/>
        </w:rPr>
        <w:t>. Uyghur Muslims are indigenous to the region.</w:t>
      </w:r>
      <w:r w:rsidRPr="00AE702A">
        <w:rPr>
          <w:b/>
          <w:bCs/>
          <w:sz w:val="12"/>
        </w:rPr>
        <w:t xml:space="preserve"> </w:t>
      </w:r>
      <w:r w:rsidRPr="00AE702A">
        <w:rPr>
          <w:sz w:val="12"/>
        </w:rPr>
        <w:t xml:space="preserve">Over the rapid settling of the region, </w:t>
      </w:r>
      <w:r w:rsidRPr="006B3F15">
        <w:rPr>
          <w:rStyle w:val="StyleUnderline"/>
          <w:b/>
          <w:bCs/>
        </w:rPr>
        <w:t>the Han population of Xinjiang rose dramatically which resulted in the population of Uyghur falling from 74.7% of the population to 46.1%.</w:t>
      </w:r>
      <w:r w:rsidRPr="00AE702A">
        <w:rPr>
          <w:sz w:val="12"/>
        </w:rPr>
        <w:t xml:space="preserve"> The</w:t>
      </w:r>
      <w:r w:rsidRPr="00AE702A">
        <w:rPr>
          <w:b/>
          <w:bCs/>
          <w:sz w:val="12"/>
        </w:rPr>
        <w:t xml:space="preserve"> </w:t>
      </w:r>
      <w:r w:rsidRPr="00AE702A">
        <w:rPr>
          <w:sz w:val="12"/>
        </w:rPr>
        <w:t>territory is referred to as an “autonomous region” but it is in reality under strict control by the</w:t>
      </w:r>
      <w:r w:rsidRPr="00AE702A">
        <w:rPr>
          <w:b/>
          <w:bCs/>
          <w:sz w:val="12"/>
        </w:rPr>
        <w:t xml:space="preserve"> </w:t>
      </w:r>
      <w:r w:rsidRPr="00AE702A">
        <w:rPr>
          <w:sz w:val="12"/>
        </w:rPr>
        <w:t>Chinese Communist Party. Much like the Qing practice of appointing tusi, the CCP has</w:t>
      </w:r>
      <w:r w:rsidRPr="00AE702A">
        <w:rPr>
          <w:b/>
          <w:bCs/>
          <w:sz w:val="12"/>
        </w:rPr>
        <w:t xml:space="preserve"> </w:t>
      </w:r>
      <w:r w:rsidRPr="00AE702A">
        <w:rPr>
          <w:sz w:val="12"/>
        </w:rPr>
        <w:t>appointed local “leaders” in the region to enforce the state's rules.</w:t>
      </w:r>
      <w:r w:rsidRPr="00AE702A">
        <w:rPr>
          <w:b/>
          <w:bCs/>
          <w:sz w:val="12"/>
        </w:rPr>
        <w:t xml:space="preserve"> </w:t>
      </w:r>
      <w:r w:rsidRPr="00AE702A">
        <w:rPr>
          <w:sz w:val="12"/>
        </w:rPr>
        <w:t>However, the region is</w:t>
      </w:r>
      <w:r w:rsidRPr="00AE702A">
        <w:rPr>
          <w:b/>
          <w:bCs/>
          <w:sz w:val="12"/>
        </w:rPr>
        <w:t xml:space="preserve"> </w:t>
      </w:r>
      <w:r w:rsidRPr="00AE702A">
        <w:rPr>
          <w:sz w:val="12"/>
        </w:rPr>
        <w:t>largely governed by the Xinjiang Production and Construction Corps which are 90% Han.</w:t>
      </w:r>
      <w:r w:rsidRPr="00AE702A">
        <w:rPr>
          <w:b/>
          <w:bCs/>
          <w:sz w:val="12"/>
        </w:rPr>
        <w:t xml:space="preserve"> </w:t>
      </w:r>
      <w:r w:rsidRPr="00AE702A">
        <w:rPr>
          <w:sz w:val="12"/>
        </w:rPr>
        <w:t>The dispossession of Uyghur land started in 1949. Before the CCP arrived, land was</w:t>
      </w:r>
      <w:r w:rsidRPr="00AE702A">
        <w:rPr>
          <w:b/>
          <w:bCs/>
          <w:sz w:val="12"/>
        </w:rPr>
        <w:t xml:space="preserve"> </w:t>
      </w:r>
      <w:r w:rsidRPr="00AE702A">
        <w:rPr>
          <w:sz w:val="12"/>
        </w:rPr>
        <w:t>distributed in the traditional Islamic practice of land tenure where land was held by mosques or</w:t>
      </w:r>
      <w:r w:rsidRPr="00AE702A">
        <w:rPr>
          <w:b/>
          <w:bCs/>
          <w:sz w:val="12"/>
        </w:rPr>
        <w:t xml:space="preserve"> </w:t>
      </w:r>
      <w:r w:rsidRPr="00AE702A">
        <w:rPr>
          <w:sz w:val="12"/>
        </w:rPr>
        <w:t>nobles. The indigenous populations were largely pastoral. The land was “voluntarily” given up</w:t>
      </w:r>
      <w:r w:rsidRPr="00AE702A">
        <w:rPr>
          <w:b/>
          <w:bCs/>
          <w:sz w:val="12"/>
        </w:rPr>
        <w:t xml:space="preserve"> </w:t>
      </w:r>
      <w:r w:rsidRPr="00AE702A">
        <w:rPr>
          <w:sz w:val="12"/>
        </w:rPr>
        <w:t>and placed in the hands of Imams who were appointed by the Chinese Islamic Association.</w:t>
      </w:r>
      <w:r w:rsidRPr="00AE702A">
        <w:rPr>
          <w:b/>
          <w:bCs/>
          <w:sz w:val="12"/>
        </w:rPr>
        <w:t xml:space="preserve"> </w:t>
      </w:r>
      <w:r w:rsidRPr="006B3F15">
        <w:rPr>
          <w:rStyle w:val="StyleUnderline"/>
          <w:b/>
          <w:bCs/>
        </w:rPr>
        <w:t>Muslim faith leaders were sent to education camps to learn the proper way to practice Islam</w:t>
      </w:r>
      <w:r>
        <w:rPr>
          <w:rStyle w:val="StyleUnderline"/>
          <w:b/>
          <w:bCs/>
        </w:rPr>
        <w:t xml:space="preserve"> </w:t>
      </w:r>
      <w:r w:rsidRPr="006B3F15">
        <w:rPr>
          <w:rStyle w:val="StyleUnderline"/>
          <w:b/>
          <w:bCs/>
        </w:rPr>
        <w:t>which included the hanging of portraits of Mao in mosques</w:t>
      </w:r>
      <w:r w:rsidRPr="00F668FC">
        <w:rPr>
          <w:rStyle w:val="StyleUnderline"/>
        </w:rPr>
        <w:t xml:space="preserve"> and preaching about working class</w:t>
      </w:r>
      <w:r>
        <w:rPr>
          <w:rStyle w:val="StyleUnderline"/>
          <w:b/>
          <w:bCs/>
        </w:rPr>
        <w:t xml:space="preserve"> </w:t>
      </w:r>
      <w:r w:rsidRPr="00F668FC">
        <w:rPr>
          <w:rStyle w:val="StyleUnderline"/>
        </w:rPr>
        <w:t>solidarity.</w:t>
      </w:r>
      <w:r w:rsidRPr="00AE702A">
        <w:rPr>
          <w:sz w:val="12"/>
        </w:rPr>
        <w:t xml:space="preserve"> Poor people, too, were placed in education camps. The Hitlerian conditions of these</w:t>
      </w:r>
      <w:r w:rsidRPr="00AE702A">
        <w:rPr>
          <w:b/>
          <w:bCs/>
          <w:sz w:val="12"/>
        </w:rPr>
        <w:t xml:space="preserve"> </w:t>
      </w:r>
      <w:r w:rsidRPr="00AE702A">
        <w:rPr>
          <w:sz w:val="12"/>
        </w:rPr>
        <w:t>camps are horrendous and often include forced labor. Cattle herders were also forced to</w:t>
      </w:r>
      <w:r w:rsidRPr="00AE702A">
        <w:rPr>
          <w:b/>
          <w:bCs/>
          <w:sz w:val="12"/>
        </w:rPr>
        <w:t xml:space="preserve"> </w:t>
      </w:r>
      <w:r w:rsidRPr="00AE702A">
        <w:rPr>
          <w:sz w:val="12"/>
        </w:rPr>
        <w:t>exchange their cattle for more acceptable forms of agriculture. Han people were also forced to</w:t>
      </w:r>
      <w:r w:rsidRPr="00AE702A">
        <w:rPr>
          <w:b/>
          <w:bCs/>
          <w:sz w:val="12"/>
        </w:rPr>
        <w:t xml:space="preserve"> </w:t>
      </w:r>
      <w:r w:rsidRPr="00AE702A">
        <w:rPr>
          <w:sz w:val="12"/>
        </w:rPr>
        <w:t>relocate to the region. The Han population increased from an original 150,000 in 1954 to almost</w:t>
      </w:r>
      <w:r w:rsidRPr="00AE702A">
        <w:rPr>
          <w:b/>
          <w:bCs/>
          <w:sz w:val="12"/>
        </w:rPr>
        <w:t xml:space="preserve"> </w:t>
      </w:r>
      <w:r w:rsidRPr="00AE702A">
        <w:rPr>
          <w:sz w:val="12"/>
        </w:rPr>
        <w:t>1.5 million by 1966. Furthermore, marriages between Han men and Uyghur women are</w:t>
      </w:r>
      <w:r w:rsidRPr="00AE702A">
        <w:rPr>
          <w:b/>
          <w:bCs/>
          <w:sz w:val="12"/>
        </w:rPr>
        <w:t xml:space="preserve"> </w:t>
      </w:r>
      <w:r w:rsidRPr="00AE702A">
        <w:rPr>
          <w:sz w:val="12"/>
        </w:rPr>
        <w:t>encouraged by the CCP. The offspring of these marriages and be classified as Han or Uyghur,</w:t>
      </w:r>
      <w:r w:rsidRPr="00AE702A">
        <w:rPr>
          <w:b/>
          <w:bCs/>
          <w:sz w:val="12"/>
        </w:rPr>
        <w:t xml:space="preserve"> </w:t>
      </w:r>
      <w:r w:rsidRPr="00AE702A">
        <w:rPr>
          <w:sz w:val="12"/>
        </w:rPr>
        <w:t>but not both. additionally, once the child reaches 18 years of age, they can decide if they wish to</w:t>
      </w:r>
      <w:r w:rsidRPr="00AE702A">
        <w:rPr>
          <w:b/>
          <w:bCs/>
          <w:sz w:val="12"/>
        </w:rPr>
        <w:t xml:space="preserve"> </w:t>
      </w:r>
      <w:r w:rsidRPr="00AE702A">
        <w:rPr>
          <w:sz w:val="12"/>
        </w:rPr>
        <w:t xml:space="preserve">remain whatever their parents classified them as. Overwhelmingly, </w:t>
      </w:r>
      <w:r w:rsidRPr="006B3F15">
        <w:rPr>
          <w:rStyle w:val="StyleUnderline"/>
          <w:b/>
          <w:bCs/>
        </w:rPr>
        <w:t xml:space="preserve">people choose to be classified as Han which has resulted in a substantial reduction in the Uyghur population </w:t>
      </w:r>
      <w:r w:rsidRPr="006B3F15">
        <w:rPr>
          <w:rStyle w:val="StyleUnderline"/>
        </w:rPr>
        <w:t>in reportings</w:t>
      </w:r>
      <w:r w:rsidRPr="00AE702A">
        <w:rPr>
          <w:sz w:val="12"/>
        </w:rPr>
        <w:t>. In</w:t>
      </w:r>
      <w:r w:rsidRPr="00AE702A">
        <w:rPr>
          <w:b/>
          <w:bCs/>
          <w:sz w:val="12"/>
        </w:rPr>
        <w:t xml:space="preserve"> </w:t>
      </w:r>
      <w:r w:rsidRPr="00AE702A">
        <w:rPr>
          <w:sz w:val="12"/>
        </w:rPr>
        <w:t>response to the brutal settler colonialism, Uyghurs have engaged in peaceful protests, bombings,</w:t>
      </w:r>
      <w:r w:rsidRPr="00AE702A">
        <w:rPr>
          <w:b/>
          <w:bCs/>
          <w:sz w:val="12"/>
        </w:rPr>
        <w:t xml:space="preserve"> </w:t>
      </w:r>
      <w:r w:rsidRPr="00AE702A">
        <w:rPr>
          <w:sz w:val="12"/>
        </w:rPr>
        <w:t xml:space="preserve">and knife attacks. However, these </w:t>
      </w:r>
      <w:r w:rsidRPr="006B3F15">
        <w:rPr>
          <w:rStyle w:val="StyleUnderline"/>
          <w:b/>
          <w:bCs/>
        </w:rPr>
        <w:t>momentary acts of resistance have only been used by the CCP as justification</w:t>
      </w:r>
      <w:r w:rsidRPr="00F668FC">
        <w:rPr>
          <w:rStyle w:val="StyleUnderline"/>
        </w:rPr>
        <w:t xml:space="preserve"> for their actions. They are not purging China of all non-Han ethnicities,</w:t>
      </w:r>
      <w:r>
        <w:rPr>
          <w:rStyle w:val="StyleUnderline"/>
          <w:b/>
          <w:bCs/>
        </w:rPr>
        <w:t xml:space="preserve"> </w:t>
      </w:r>
      <w:r w:rsidRPr="00F668FC">
        <w:rPr>
          <w:rStyle w:val="StyleUnderline"/>
        </w:rPr>
        <w:t>rather they are tamping down violent religious extremists</w:t>
      </w:r>
      <w:r w:rsidRPr="00AE702A">
        <w:rPr>
          <w:sz w:val="12"/>
        </w:rPr>
        <w:t xml:space="preserve">. </w:t>
      </w:r>
      <w:r w:rsidRPr="00F668FC">
        <w:rPr>
          <w:rStyle w:val="StyleUnderline"/>
        </w:rPr>
        <w:t>This act of justification is strikingly</w:t>
      </w:r>
      <w:r>
        <w:rPr>
          <w:rStyle w:val="StyleUnderline"/>
          <w:b/>
          <w:bCs/>
        </w:rPr>
        <w:t xml:space="preserve"> </w:t>
      </w:r>
      <w:r w:rsidRPr="006B3F15">
        <w:rPr>
          <w:rStyle w:val="StyleUnderline"/>
          <w:b/>
          <w:bCs/>
        </w:rPr>
        <w:t>similar to the way that the American Western states justified the violence they committed against</w:t>
      </w:r>
      <w:r>
        <w:rPr>
          <w:rStyle w:val="StyleUnderline"/>
          <w:b/>
          <w:bCs/>
        </w:rPr>
        <w:t xml:space="preserve"> </w:t>
      </w:r>
      <w:r w:rsidRPr="006B3F15">
        <w:rPr>
          <w:rStyle w:val="StyleUnderline"/>
          <w:b/>
          <w:bCs/>
        </w:rPr>
        <w:t>indigenous populations by scripting them as “brutal savages</w:t>
      </w:r>
      <w:r w:rsidRPr="00F668FC">
        <w:rPr>
          <w:rStyle w:val="StyleUnderline"/>
        </w:rPr>
        <w:t>.</w:t>
      </w:r>
      <w:r w:rsidRPr="00AE702A">
        <w:rPr>
          <w:sz w:val="12"/>
        </w:rPr>
        <w:t>” Despite there being explicit</w:t>
      </w:r>
      <w:r w:rsidRPr="00AE702A">
        <w:rPr>
          <w:b/>
          <w:bCs/>
          <w:sz w:val="12"/>
        </w:rPr>
        <w:t xml:space="preserve"> </w:t>
      </w:r>
      <w:r w:rsidRPr="00AE702A">
        <w:rPr>
          <w:sz w:val="12"/>
        </w:rPr>
        <w:t>protection of all minorities and their rights to freely practice their religion, the lack of state</w:t>
      </w:r>
      <w:r w:rsidRPr="00AE702A">
        <w:rPr>
          <w:b/>
          <w:bCs/>
          <w:sz w:val="12"/>
        </w:rPr>
        <w:t xml:space="preserve"> </w:t>
      </w:r>
      <w:r w:rsidRPr="00AE702A">
        <w:rPr>
          <w:sz w:val="12"/>
        </w:rPr>
        <w:t>sincerity means that these provisions are merely parchment barriers that do little to protect the</w:t>
      </w:r>
      <w:r w:rsidRPr="00AE702A">
        <w:rPr>
          <w:b/>
          <w:bCs/>
          <w:sz w:val="12"/>
        </w:rPr>
        <w:t xml:space="preserve"> </w:t>
      </w:r>
      <w:r w:rsidRPr="00AE702A">
        <w:rPr>
          <w:sz w:val="12"/>
        </w:rPr>
        <w:t>routine violation of the human rights of Uyghur Muslims.</w:t>
      </w:r>
      <w:r w:rsidRPr="00AE702A">
        <w:rPr>
          <w:b/>
          <w:bCs/>
          <w:sz w:val="12"/>
        </w:rPr>
        <w:t xml:space="preserve"> </w:t>
      </w:r>
      <w:r w:rsidRPr="00AE702A">
        <w:rPr>
          <w:sz w:val="12"/>
        </w:rPr>
        <w:t xml:space="preserve">There is perhaps </w:t>
      </w:r>
      <w:r w:rsidRPr="006B3F15">
        <w:rPr>
          <w:rStyle w:val="StyleUnderline"/>
          <w:b/>
          <w:bCs/>
        </w:rPr>
        <w:t>a future of Chinese settler colonialism that can be found in their Belt and Road Initiative</w:t>
      </w:r>
      <w:r w:rsidRPr="00AE702A">
        <w:rPr>
          <w:sz w:val="12"/>
        </w:rPr>
        <w:t xml:space="preserve"> (BRI). This project is primarily focused on Africa but does influence in South</w:t>
      </w:r>
      <w:r w:rsidRPr="00AE702A">
        <w:rPr>
          <w:b/>
          <w:bCs/>
          <w:sz w:val="12"/>
        </w:rPr>
        <w:t xml:space="preserve"> </w:t>
      </w:r>
      <w:r w:rsidRPr="00AE702A">
        <w:rPr>
          <w:sz w:val="12"/>
        </w:rPr>
        <w:t>America and other regions. Under the BRI, China seeks to reshape global trade in a more Sinocentric manner with itself becoming increasingly integrated into the rapidly emerging markets of</w:t>
      </w:r>
      <w:r w:rsidRPr="00AE702A">
        <w:rPr>
          <w:b/>
          <w:bCs/>
          <w:sz w:val="12"/>
        </w:rPr>
        <w:t xml:space="preserve"> </w:t>
      </w:r>
      <w:r w:rsidRPr="00AE702A">
        <w:rPr>
          <w:sz w:val="12"/>
        </w:rPr>
        <w:t xml:space="preserve">Africa. This project has most notably impacted Kenya, the Maldives, and Kyrgyzstan. </w:t>
      </w:r>
      <w:r w:rsidRPr="008E5C49">
        <w:rPr>
          <w:rStyle w:val="StyleUnderline"/>
        </w:rPr>
        <w:t>The</w:t>
      </w:r>
      <w:r>
        <w:rPr>
          <w:rStyle w:val="StyleUnderline"/>
          <w:b/>
          <w:bCs/>
        </w:rPr>
        <w:t xml:space="preserve"> </w:t>
      </w:r>
      <w:r w:rsidRPr="008E5C49">
        <w:rPr>
          <w:rStyle w:val="StyleUnderline"/>
        </w:rPr>
        <w:t>BRI involves the CCP spending substantial resources on infrastructure development in</w:t>
      </w:r>
      <w:r>
        <w:rPr>
          <w:rStyle w:val="StyleUnderline"/>
          <w:b/>
          <w:bCs/>
        </w:rPr>
        <w:t xml:space="preserve"> </w:t>
      </w:r>
      <w:r w:rsidRPr="008E5C49">
        <w:rPr>
          <w:rStyle w:val="StyleUnderline"/>
        </w:rPr>
        <w:t xml:space="preserve">underdeveloped countries. </w:t>
      </w:r>
      <w:r w:rsidRPr="006B3F15">
        <w:rPr>
          <w:rStyle w:val="StyleUnderline"/>
          <w:b/>
          <w:bCs/>
        </w:rPr>
        <w:t xml:space="preserve">Many countries welcome this investment </w:t>
      </w:r>
      <w:r w:rsidRPr="006B3F15">
        <w:rPr>
          <w:rStyle w:val="StyleUnderline"/>
        </w:rPr>
        <w:t>with open arms</w:t>
      </w:r>
      <w:r w:rsidRPr="006B3F15">
        <w:rPr>
          <w:rStyle w:val="StyleUnderline"/>
          <w:b/>
          <w:bCs/>
        </w:rPr>
        <w:t xml:space="preserve"> but the CCP </w:t>
      </w:r>
      <w:r w:rsidRPr="006B3F15">
        <w:rPr>
          <w:rStyle w:val="StyleUnderline"/>
        </w:rPr>
        <w:t>often</w:t>
      </w:r>
      <w:r w:rsidRPr="006B3F15">
        <w:rPr>
          <w:rStyle w:val="StyleUnderline"/>
          <w:b/>
          <w:bCs/>
        </w:rPr>
        <w:t xml:space="preserve"> stipulates that Chinese workers be the ones who do the construction and that those workers get full citizenship. These Chinese nationals then sway the electorate in a given country to</w:t>
      </w:r>
      <w:r>
        <w:rPr>
          <w:rStyle w:val="StyleUnderline"/>
          <w:b/>
          <w:bCs/>
        </w:rPr>
        <w:t xml:space="preserve"> </w:t>
      </w:r>
      <w:r w:rsidRPr="006B3F15">
        <w:rPr>
          <w:rStyle w:val="StyleUnderline"/>
          <w:b/>
          <w:bCs/>
        </w:rPr>
        <w:t>reflect the beliefs and practices of Chinese culture</w:t>
      </w:r>
      <w:r w:rsidRPr="008E5C49">
        <w:rPr>
          <w:rStyle w:val="StyleUnderline"/>
        </w:rPr>
        <w:t>.</w:t>
      </w:r>
      <w:r w:rsidRPr="00AE702A">
        <w:rPr>
          <w:sz w:val="12"/>
        </w:rPr>
        <w:t xml:space="preserve"> Furthermore, this infrastructure is built on a</w:t>
      </w:r>
      <w:r w:rsidRPr="00AE702A">
        <w:rPr>
          <w:b/>
          <w:bCs/>
          <w:sz w:val="12"/>
        </w:rPr>
        <w:t xml:space="preserve"> </w:t>
      </w:r>
      <w:r w:rsidRPr="00AE702A">
        <w:rPr>
          <w:sz w:val="12"/>
        </w:rPr>
        <w:t>loan and if a country cannot repay a loan, then the workers who build the infrastructure become</w:t>
      </w:r>
      <w:r w:rsidRPr="00AE702A">
        <w:rPr>
          <w:b/>
          <w:bCs/>
          <w:sz w:val="12"/>
        </w:rPr>
        <w:t xml:space="preserve"> </w:t>
      </w:r>
      <w:r w:rsidRPr="00AE702A">
        <w:rPr>
          <w:sz w:val="12"/>
        </w:rPr>
        <w:t xml:space="preserve">the owners of the land. </w:t>
      </w:r>
      <w:r w:rsidRPr="008E5C49">
        <w:rPr>
          <w:rStyle w:val="StyleUnderline"/>
        </w:rPr>
        <w:t>This is a direct form of displacement.</w:t>
      </w:r>
      <w:r w:rsidRPr="00AE702A">
        <w:rPr>
          <w:b/>
          <w:bCs/>
          <w:sz w:val="12"/>
        </w:rPr>
        <w:t xml:space="preserve"> </w:t>
      </w:r>
      <w:r w:rsidRPr="00AE702A">
        <w:rPr>
          <w:sz w:val="12"/>
        </w:rPr>
        <w:t>The BRI is very new in its progress and much is still to unfold. One cannot help but note</w:t>
      </w:r>
      <w:r w:rsidRPr="00AE702A">
        <w:rPr>
          <w:b/>
          <w:bCs/>
          <w:sz w:val="12"/>
        </w:rPr>
        <w:t xml:space="preserve"> </w:t>
      </w:r>
      <w:r w:rsidRPr="006B3F15">
        <w:rPr>
          <w:rStyle w:val="StyleUnderline"/>
          <w:b/>
          <w:bCs/>
        </w:rPr>
        <w:t>many similarities between the actions China is taking now and the early actions of other settler colonial states</w:t>
      </w:r>
      <w:r w:rsidRPr="008E5C49">
        <w:rPr>
          <w:rStyle w:val="StyleUnderline"/>
        </w:rPr>
        <w:t xml:space="preserve"> and even early experiences of Chinese settler colonialism</w:t>
      </w:r>
      <w:r w:rsidRPr="00AE702A">
        <w:rPr>
          <w:sz w:val="12"/>
        </w:rPr>
        <w:t>. Citizenship rights for</w:t>
      </w:r>
      <w:r w:rsidRPr="00AE702A">
        <w:rPr>
          <w:b/>
          <w:bCs/>
          <w:sz w:val="12"/>
        </w:rPr>
        <w:t xml:space="preserve"> </w:t>
      </w:r>
      <w:r w:rsidRPr="00AE702A">
        <w:rPr>
          <w:sz w:val="12"/>
        </w:rPr>
        <w:t xml:space="preserve">construction workers seem to be a </w:t>
      </w:r>
      <w:r w:rsidRPr="008E5C49">
        <w:rPr>
          <w:rStyle w:val="StyleUnderline"/>
        </w:rPr>
        <w:t>more subtle means of displacing indigenous populations</w:t>
      </w:r>
      <w:r w:rsidRPr="00AE702A">
        <w:rPr>
          <w:sz w:val="12"/>
        </w:rPr>
        <w:t>. The</w:t>
      </w:r>
      <w:r w:rsidRPr="00AE702A">
        <w:rPr>
          <w:b/>
          <w:bCs/>
          <w:sz w:val="12"/>
        </w:rPr>
        <w:t xml:space="preserve"> </w:t>
      </w:r>
      <w:r w:rsidRPr="00AE702A">
        <w:rPr>
          <w:sz w:val="12"/>
        </w:rPr>
        <w:t>construction of infrastructure mirrors the European settler-colonial model as well as the Chinese</w:t>
      </w:r>
      <w:r w:rsidRPr="00AE702A">
        <w:rPr>
          <w:b/>
          <w:bCs/>
          <w:sz w:val="12"/>
        </w:rPr>
        <w:t xml:space="preserve"> </w:t>
      </w:r>
      <w:r w:rsidRPr="00AE702A">
        <w:rPr>
          <w:sz w:val="12"/>
        </w:rPr>
        <w:t>experience in Tibet. While there has yet to be a concerted effort at elimination, it is a startlingly</w:t>
      </w:r>
      <w:r w:rsidRPr="00AE702A">
        <w:rPr>
          <w:b/>
          <w:bCs/>
          <w:sz w:val="12"/>
        </w:rPr>
        <w:t xml:space="preserve"> </w:t>
      </w:r>
      <w:r w:rsidRPr="00AE702A">
        <w:rPr>
          <w:sz w:val="12"/>
        </w:rPr>
        <w:t>real possibility that must be considered in the future.</w:t>
      </w:r>
      <w:r w:rsidRPr="00AE702A">
        <w:rPr>
          <w:b/>
          <w:bCs/>
          <w:sz w:val="12"/>
        </w:rPr>
        <w:t xml:space="preserve"> </w:t>
      </w:r>
      <w:r w:rsidRPr="00AE702A">
        <w:rPr>
          <w:sz w:val="12"/>
        </w:rPr>
        <w:t>China has a long and wandering history. Over the centuries it has risen to be one of the</w:t>
      </w:r>
      <w:r w:rsidRPr="00AE702A">
        <w:rPr>
          <w:b/>
          <w:bCs/>
          <w:sz w:val="12"/>
        </w:rPr>
        <w:t xml:space="preserve"> </w:t>
      </w:r>
      <w:r w:rsidRPr="00AE702A">
        <w:rPr>
          <w:sz w:val="12"/>
        </w:rPr>
        <w:t xml:space="preserve">most powerful players on the international stage. </w:t>
      </w:r>
      <w:r w:rsidRPr="008E5C49">
        <w:rPr>
          <w:rStyle w:val="StyleUnderline"/>
        </w:rPr>
        <w:t>Much of this rise has occurred because of the</w:t>
      </w:r>
      <w:r>
        <w:rPr>
          <w:rStyle w:val="StyleUnderline"/>
          <w:b/>
          <w:bCs/>
        </w:rPr>
        <w:t xml:space="preserve"> </w:t>
      </w:r>
      <w:r w:rsidRPr="008E5C49">
        <w:rPr>
          <w:rStyle w:val="StyleUnderline"/>
        </w:rPr>
        <w:t>employment of settler colonial practices whereby a dominant racial group moves into a region</w:t>
      </w:r>
      <w:r>
        <w:rPr>
          <w:rStyle w:val="StyleUnderline"/>
          <w:b/>
          <w:bCs/>
        </w:rPr>
        <w:t xml:space="preserve"> </w:t>
      </w:r>
      <w:r w:rsidRPr="008E5C49">
        <w:rPr>
          <w:rStyle w:val="StyleUnderline"/>
        </w:rPr>
        <w:t>inhabited by indigenous groups, dispossesses them of their land, replaces and eliminates the</w:t>
      </w:r>
      <w:r>
        <w:rPr>
          <w:rStyle w:val="StyleUnderline"/>
          <w:b/>
          <w:bCs/>
        </w:rPr>
        <w:t xml:space="preserve"> </w:t>
      </w:r>
      <w:r w:rsidRPr="008E5C49">
        <w:rPr>
          <w:rStyle w:val="StyleUnderline"/>
        </w:rPr>
        <w:t>existing culture and peoples, and then acts as if the aforementioned process did not take place.</w:t>
      </w:r>
      <w:r>
        <w:rPr>
          <w:rStyle w:val="StyleUnderline"/>
          <w:b/>
          <w:bCs/>
        </w:rPr>
        <w:t xml:space="preserve"> </w:t>
      </w:r>
      <w:r w:rsidRPr="00AE702A">
        <w:rPr>
          <w:sz w:val="12"/>
        </w:rPr>
        <w:t>Because no one of these elements is a singular event but rather points to a structure, the actions</w:t>
      </w:r>
      <w:r w:rsidRPr="00AE702A">
        <w:rPr>
          <w:b/>
          <w:bCs/>
          <w:sz w:val="12"/>
        </w:rPr>
        <w:t xml:space="preserve"> </w:t>
      </w:r>
      <w:r w:rsidRPr="00AE702A">
        <w:rPr>
          <w:sz w:val="12"/>
        </w:rPr>
        <w:t>of China in Tibet, Yunnan, and Guizhou, Taiwan, against the Uyghur Muslims, and most</w:t>
      </w:r>
      <w:r w:rsidRPr="00AE702A">
        <w:rPr>
          <w:b/>
          <w:bCs/>
          <w:sz w:val="12"/>
        </w:rPr>
        <w:t xml:space="preserve"> </w:t>
      </w:r>
      <w:r w:rsidRPr="00AE702A">
        <w:rPr>
          <w:sz w:val="12"/>
        </w:rPr>
        <w:t xml:space="preserve">recently with the Belt and Road Initiative, all illustrate strong examples of how </w:t>
      </w:r>
      <w:r w:rsidRPr="006B3F15">
        <w:rPr>
          <w:rStyle w:val="StyleUnderline"/>
          <w:b/>
          <w:bCs/>
        </w:rPr>
        <w:t>China expanded its empire through processes of settler colonialism.</w:t>
      </w:r>
    </w:p>
    <w:p w:rsidR="000973B7" w:rsidRPr="004644E1" w:rsidRDefault="000973B7" w:rsidP="00541F71"/>
    <w:p w:rsidR="002E141E" w:rsidRDefault="00ED19D9" w:rsidP="00ED19D9">
      <w:pPr>
        <w:pStyle w:val="Heading2"/>
      </w:pPr>
      <w:r>
        <w:t>BIOP ANSWERS TO SET COL</w:t>
      </w:r>
    </w:p>
    <w:p w:rsidR="00ED19D9" w:rsidRDefault="00ED19D9" w:rsidP="00ED19D9">
      <w:pPr>
        <w:pStyle w:val="Heading3"/>
      </w:pPr>
      <w:r>
        <w:t xml:space="preserve">Link Turns </w:t>
      </w:r>
    </w:p>
    <w:p w:rsidR="00ED19D9" w:rsidRDefault="00ED19D9" w:rsidP="00ED19D9">
      <w:pPr>
        <w:pStyle w:val="Heading4"/>
      </w:pPr>
      <w:r>
        <w:t>Our genealogical method is integral to unveiling settler colonialism as the structuring cause of modern biopower</w:t>
      </w:r>
    </w:p>
    <w:p w:rsidR="00ED19D9" w:rsidRPr="00405CFE" w:rsidRDefault="00ED19D9" w:rsidP="00ED19D9">
      <w:pPr>
        <w:rPr>
          <w:rStyle w:val="Style13ptBold"/>
        </w:rPr>
      </w:pPr>
      <w:r w:rsidRPr="00ED4A7B">
        <w:rPr>
          <w:b/>
          <w:bCs/>
          <w:sz w:val="26"/>
        </w:rPr>
        <w:t>Morgensen</w:t>
      </w:r>
      <w:r>
        <w:rPr>
          <w:b/>
          <w:bCs/>
          <w:sz w:val="26"/>
        </w:rPr>
        <w:t xml:space="preserve"> 13 </w:t>
      </w:r>
      <w:r w:rsidRPr="00ED4A7B">
        <w:t>(</w:t>
      </w:r>
      <w:r w:rsidRPr="00DA61D1">
        <w:t>Scott Lauria Morgensen</w:t>
      </w:r>
      <w:r>
        <w:t xml:space="preserve">, </w:t>
      </w:r>
      <w:r w:rsidRPr="00F615BA">
        <w:t>assistant professor of gender studies at Queen’s University in Kingston, Ontario</w:t>
      </w:r>
      <w:r>
        <w:t xml:space="preserve"> and </w:t>
      </w:r>
      <w:r w:rsidRPr="00A15FAF">
        <w:t>coeditor of Queer Indigenous Stu</w:t>
      </w:r>
      <w:r>
        <w:t>die</w:t>
      </w:r>
      <w:r w:rsidRPr="00C66CE0">
        <w:t>s: Critical Interventions in Theory, Politics, and Literature</w:t>
      </w:r>
      <w:r>
        <w:t>; ‘</w:t>
      </w:r>
      <w:r w:rsidRPr="00C66CE0">
        <w:t>The Biopolitics of Settler Colonialism: Right Here, Right Now</w:t>
      </w:r>
      <w:r>
        <w:t xml:space="preserve">”; 2-28-13; </w:t>
      </w:r>
      <w:r w:rsidRPr="000D2F1E">
        <w:t>https://www.tandfonline.com/doi/abs/10.1080/2201473X.2011.10648801</w:t>
      </w:r>
      <w:r>
        <w:t>) - EY</w:t>
      </w:r>
    </w:p>
    <w:p w:rsidR="00ED19D9" w:rsidRDefault="00ED19D9" w:rsidP="00ED19D9">
      <w:r w:rsidRPr="00BA7320">
        <w:rPr>
          <w:sz w:val="16"/>
        </w:rPr>
        <w:t>THEORISING!SETTLER!COLONIAL!BIOPOWER Foucault and Agamben theorised biopower as a present activity that inherits and transforms the deeply historical conditions of Western law. Foucault incited this theory by examining the modern proliferation of procedures to produce the life of the nation in relation to deadly regulation of its others, a process that he argued displaces the power of the sovereign ‘to take life or let live’ with a governmentality that enacts ‘the power to “make” live or “let” die’. 3 Judith Butler emphasises that, for Foucault, governmentality in the modern state or in global regimes acts as an ‘extra-legal sphere’ – ‘an art of managing things and persons, concerned with tactics, not laws’ – that then ‘depends upon “the question of sovereignty” no longer predominating over the field of power’. 4 Hence, governmentality acts in the name of the very sovereignty that it exceeds, producing ‘a lawless sovereignty as part of its own operation of power’. 5 Agamben adapts Foucault’s account of modern biopower as governmentality when he claims that its extra-legal appearance is a recent adaptation of qualities intrinsic to Western law; as he says, ‘it can even be argued that the production of a biopolitical body is the original activity of sovereign power’. 6</w:t>
      </w:r>
      <w:r>
        <w:t xml:space="preserve"> </w:t>
      </w:r>
      <w:r w:rsidRPr="00BA7320">
        <w:rPr>
          <w:sz w:val="16"/>
        </w:rPr>
        <w:t xml:space="preserve">Citing the Roman legal origins of Western law, Agamben links sovereignty to a power to designate subjects of the law as homo sacer, the sacred man who may be killed without being sacrificed or made subject to homicide. The placement of homo sacer in a zone of ‘bare life’ establishes Western law precisely by placing it in abeyance in this case. The sacred man enters a ‘state of exception’ to the law that simultaneously reinforces its rule. Agamben notably defines the exception by reference to the camp as ‘in a decisive way the political space itself of modernity’, which by forming a permanent ‘space for (bare) life’ creates a ‘materialization of the state of exception’ as ‘the rule’. 7 Agamben thus reinterprets the biopolitics of the modern state as an effect of Western law’s constitution by the state of exception. In this reading, the function of governmentality to ‘make life’ is compatible with the state of exception remaining intrinsic to law, as consigning certain subjects to a state of bare life (‘let die’) reestablishes a power to produce and defend life among those who remain. Yet significant tensions appear in the work of Foucault and Agamben – and, hence, also in Agamben’s revision of Foucault – in that neither scholar directly theorises colonialism as a context for biopower. </w:t>
      </w:r>
      <w:r w:rsidRPr="00BA7320">
        <w:rPr>
          <w:rStyle w:val="StyleUnderline"/>
        </w:rPr>
        <w:t xml:space="preserve">Scholars of colonialism respond by arguing that </w:t>
      </w:r>
      <w:r w:rsidRPr="0051734C">
        <w:rPr>
          <w:rStyle w:val="Emphasis"/>
        </w:rPr>
        <w:t>colonialism is intrinsic to processes of biopower</w:t>
      </w:r>
      <w:r w:rsidRPr="00BA7320">
        <w:rPr>
          <w:rStyle w:val="StyleUnderline"/>
        </w:rPr>
        <w:t xml:space="preserve"> in the past and present. Reading Foucault’s account of the modern biopolitical state in relation to colonial situations, Ann Laura Stoler definitively demonstrated that its racial, sexual and national power arise at colonial sites or relationally among colonies and metropoles, not as projections from a European source</w:t>
      </w:r>
      <w:r>
        <w:t xml:space="preserve">.8 Following Stoler, </w:t>
      </w:r>
      <w:r w:rsidRPr="0051734C">
        <w:rPr>
          <w:rStyle w:val="Emphasis"/>
        </w:rPr>
        <w:t>modern biopower is the product and process of a colonial world</w:t>
      </w:r>
      <w:r w:rsidRPr="00BA7320">
        <w:rPr>
          <w:rStyle w:val="StyleUnderline"/>
        </w:rPr>
        <w:t>. Achille Mbembe extended such reinterpretations of Foucault in conversation with Agamben by reading the colony as exception, which defines Western law amid the globalisation of European capital and empire.9 Sherene Razack and Sunera Thobani engage all such theories to explain that in contemporary modes of biopower, the colonial returns or never left; and, notably, both centre settler colonialism as a condition of the power they examine.10 Mark Rifkin signally engages Agamben’s theses with settler colonialism by arguing that the ‘geopolitics’ of conquest place Indigenous peoples in a state of exception that simultaneously troubles the territorial and national integrity of settlers as representatives of Western law.</w:t>
      </w:r>
      <w:r>
        <w:t xml:space="preserve">11 </w:t>
      </w:r>
      <w:r w:rsidRPr="00BA7320">
        <w:rPr>
          <w:sz w:val="16"/>
        </w:rPr>
        <w:t xml:space="preserve">Together, these scholars respond to colonialism’s elision in theories of biopower by demonstrating that it conditions biopower and critical theory – an intervention deepened by Rifkin’s and my work centreing settler </w:t>
      </w:r>
      <w:r w:rsidRPr="00BA7320">
        <w:rPr>
          <w:sz w:val="14"/>
        </w:rPr>
        <w:t xml:space="preserve">colonialism for study. Addressing these critiques requires adjusting the very advance of Agamben’s argument that biopower is intrinsic to Western law. Michael Dillon identifies </w:t>
      </w:r>
      <w:r w:rsidRPr="00BA7320">
        <w:rPr>
          <w:rStyle w:val="StyleUnderline"/>
        </w:rPr>
        <w:t xml:space="preserve">a lingering ahistoricity in Agamben’s ‘ontologization’ of Western law that he argues would benefit from a return to Foucault’s genealogical method, which for Katia Genel will result in ‘revisiting and complicating Agamben’s formulations and more complexly applying them’. 12 </w:t>
      </w:r>
      <w:r w:rsidRPr="00D4461F">
        <w:rPr>
          <w:rStyle w:val="StyleUnderline"/>
        </w:rPr>
        <w:t>Theorising biopower from within a genealogy of settler colonialism</w:t>
      </w:r>
      <w:r w:rsidRPr="00BA7320">
        <w:rPr>
          <w:rStyle w:val="StyleUnderline"/>
        </w:rPr>
        <w:t xml:space="preserve"> will trace how deeply historical procedures in Western law confronted the specificities of the era of European settlement and shifted in response.</w:t>
      </w:r>
      <w:r>
        <w:t xml:space="preserve"> </w:t>
      </w:r>
      <w:r w:rsidRPr="00BA7320">
        <w:rPr>
          <w:sz w:val="16"/>
        </w:rPr>
        <w:t>In such a genealogy Agamben remains crucial, given that scholars of settler colonialism may trace biopower to situations that existed prior to the eighteenth and nineteenth century era that Foucault linked to the rise of the modern biopolitical state. Already in the sixteenth century and across the Americas, settler colonialism grew to condition colonialism and biopower in settler and other societies worldwide. The continuity of settler colonialism at these sites up to the present then demonstrates that this periodisation meaningfully explains biopower today</w:t>
      </w:r>
      <w:r w:rsidRPr="00BA7320">
        <w:rPr>
          <w:rStyle w:val="StyleUnderline"/>
        </w:rPr>
        <w:t xml:space="preserve">. Patrick Wolfe’s </w:t>
      </w:r>
      <w:r w:rsidRPr="00D4461F">
        <w:rPr>
          <w:rStyle w:val="Emphasis"/>
        </w:rPr>
        <w:t>theorisation of settler colonialism already incites a genealogy of its biopolitical form</w:t>
      </w:r>
      <w:r w:rsidRPr="00BA7320">
        <w:rPr>
          <w:rStyle w:val="StyleUnderline"/>
        </w:rPr>
        <w:t>. Arguing that ‘settler colonizers come to stay: invasion is a structure, not an event’, Wolfe explains that assertions of sovereignty by settlers ground Western law in ‘a logic of elimination’</w:t>
      </w:r>
      <w:r>
        <w:t xml:space="preserve">. 13 </w:t>
      </w:r>
      <w:r w:rsidRPr="00BA7320">
        <w:rPr>
          <w:rStyle w:val="StyleUnderline"/>
        </w:rPr>
        <w:t xml:space="preserve">Noting that scholars after Raphael Lemkin tend to correlate genocide with extermination, Wolfe argues that settler colonialism performs genocide alongside a variety of practices that converge on a purposed elimination of Indigenous peoples.14 While the erasure and replacement of Indigenous peoples may transpire through deadly violence, Wolfe emphasises that </w:t>
      </w:r>
      <w:r w:rsidRPr="00D4461F">
        <w:rPr>
          <w:rStyle w:val="Emphasis"/>
        </w:rPr>
        <w:t>elimination may follow efforts not to destroy but to produce life, as in methods to amalgamate Indigenous peoples, cultures and lands into the body of the settler nation.</w:t>
      </w:r>
      <w:r w:rsidRPr="00C26DA2">
        <w:rPr>
          <w:sz w:val="16"/>
        </w:rPr>
        <w:t xml:space="preserve"> As Wolfe and Katherine Ellinghaus explain, this amalgamation precisely narrows or erases the possibility of distinctive Indigenous nationalities challenging the prerogative of the settler nation that means to replace them on, now, ‘its own’ lands.15 Wolfe argues that the racialised political economy of ‘franchise colonialism’ intersects settler colonialism, while bearing distinct implications for Indigenous peoples and for racialised peoples brought by settlers to Indigenous lands. In the Americas, for instance, the earliest settlers enslaved Indigenous peoples while producing racialised labour from the transatlantic slave trade and colonised indentured labour, resulting in the formation of franchise colonies that in the sixteenth and seventeenth centuries were among Europe’s most lucrative colonial projects. Yet Wolfe clarifies that these – and their seeming parallel to franchise colonies that appeared across Africa and Asia into the eighteenth and nineteenth centuries – derived from prior and simultaneous settler colonialism. American settler societies formed distinctly when practicing franchise colonialism: often, by removing European migrants to cultivate ‘emptied’ land, while amalgamating Indigenous peoples within societies dutiful to settler productivity; and by creating franchises that require prior and ongoing conquest of Indigenous peoples to exist and sustain. Thus, Wolfe reminds us that even societies defined by the franchise-orientation of European global capitalism – notably, the slave plantation economies of the Caribbean or southern British American colonies, or of colonial Brazil – relied on settler colonialism to function. Wolfe argues that plantation slavery pursued the elimination of Indigenous nations by plying a ‘difference between one group of people who had survived a centuries-long genocidal catastrophe with correspondingly depleted numbers and another group who, as commodities, had been preserved, their reproduction constituting a singularly primitive form of accumulation for their owners’. 16 Of course, slavery also produced a centuries-long genocidal catastrophe by commodifying African people not for survivability but exchangeability. Any seeming ‘preservation’ of Blackness in white settler societies thus was coterminous with the perpetual subjection of Black peoples to spaces of death, while eliding the formation of Black communities precisely through mixture with Indigenous and European peoples. </w:t>
      </w:r>
      <w:r w:rsidRPr="00C26DA2">
        <w:rPr>
          <w:rStyle w:val="StyleUnderline"/>
        </w:rPr>
        <w:t xml:space="preserve">We find here that the </w:t>
      </w:r>
      <w:r w:rsidRPr="00114FDB">
        <w:rPr>
          <w:rStyle w:val="Emphasis"/>
        </w:rPr>
        <w:t>biopolitics of settler colonialism arose in the Americas by perpetuating African diasporic subjugation and Indigenous elimination simultaneously</w:t>
      </w:r>
      <w:r w:rsidRPr="00C26DA2">
        <w:rPr>
          <w:rStyle w:val="StyleUnderline"/>
        </w:rPr>
        <w:t xml:space="preserve">. Following Wolfe’s reading, </w:t>
      </w:r>
      <w:r w:rsidRPr="00114FDB">
        <w:rPr>
          <w:rStyle w:val="Emphasis"/>
        </w:rPr>
        <w:t>settler colonialism establishes Western law within a white supremacist political economy premised upon the perpetual elimination of Indigenous peoples</w:t>
      </w:r>
      <w:r w:rsidRPr="00C26DA2">
        <w:rPr>
          <w:rStyle w:val="StyleUnderline"/>
        </w:rPr>
        <w:t>. As Thobani eloquently affirms, Indigenous elimination then crucially defines the state of exception in the Western law of settler societie</w:t>
      </w:r>
      <w:r>
        <w:t>s.</w:t>
      </w:r>
      <w:r w:rsidRPr="00906AA0">
        <w:rPr>
          <w:sz w:val="16"/>
        </w:rPr>
        <w:t>17 While I will examine specific modes of governance placing Indigenous peoples in exception to Western law, I emphasise first that their</w:t>
      </w:r>
      <w:r w:rsidRPr="00906AA0">
        <w:rPr>
          <w:rStyle w:val="StyleUnderline"/>
          <w:sz w:val="16"/>
        </w:rPr>
        <w:t xml:space="preserve"> </w:t>
      </w:r>
      <w:r w:rsidRPr="00997988">
        <w:rPr>
          <w:rStyle w:val="Emphasis"/>
        </w:rPr>
        <w:t>settler colonisation informs any simultaneous or subsequent appearance of the state of exception in settler societies</w:t>
      </w:r>
      <w:r w:rsidRPr="00906AA0">
        <w:rPr>
          <w:rStyle w:val="StyleUnderline"/>
        </w:rPr>
        <w:t xml:space="preserve"> or other sites of European colonisation. </w:t>
      </w:r>
      <w:r w:rsidRPr="00997988">
        <w:rPr>
          <w:rStyle w:val="Emphasis"/>
        </w:rPr>
        <w:t>This analytical qualification is necessary to complicate and deepen recent theories of the colony as exception</w:t>
      </w:r>
      <w:r w:rsidRPr="00906AA0">
        <w:rPr>
          <w:sz w:val="16"/>
        </w:rPr>
        <w:t xml:space="preserve">. For instance, Mbembe and Paul Gilroy portray the transatlantic slave trade creating slave societies in the Americas in a state of exception, a claim Gilroy advances by framing them precisely as a camp.18 Yet Wolfe’s reading, which I think affirms theirs, specifies that the transatlantic slave trade formed amid a prior, simultaneous and continuous exception assigned to Indigenous peoples, which conditioned Western sovereignty on the lands where the African diaspora took form. Indeed, </w:t>
      </w:r>
      <w:r w:rsidRPr="00906AA0">
        <w:rPr>
          <w:rStyle w:val="StyleUnderline"/>
        </w:rPr>
        <w:t>the space-outside-law defining Agamben’s reading of the camp defines slave societies only to the extent that the lands placed in exception to terminate Indigenous tenure became available to new biopolitical violences, even as this naturalised the settler violence enabling them. The implications of such an analysis echo within and also shift Mbembe’s account of colonialism and biopower. Mbembe’s reading of ‘necropolitics’ as the logic of the colony as exception references plantation slavery ‘as one of the first instances of biopolitical experimentation’, and then frames relations among African diasporic peoples and white settlers as emblematic of the racialisation of colonialism</w:t>
      </w:r>
      <w:r>
        <w:t>.</w:t>
      </w:r>
      <w:r w:rsidRPr="00906AA0">
        <w:rPr>
          <w:sz w:val="16"/>
        </w:rPr>
        <w:t xml:space="preserve">19 Mbembe later cites ‘the extermination of vanquished peoples’ assigned the status of ‘savages’ within a list of effects of colonisation worldwide, but without specifically naming Indigenous peoples in settler societies. 20 </w:t>
      </w:r>
      <w:r>
        <w:t>Following Wolfe</w:t>
      </w:r>
      <w:r w:rsidRPr="00906AA0">
        <w:rPr>
          <w:rStyle w:val="StyleUnderline"/>
        </w:rPr>
        <w:t xml:space="preserve">, </w:t>
      </w:r>
      <w:r w:rsidRPr="002E66E0">
        <w:rPr>
          <w:rStyle w:val="Emphasis"/>
        </w:rPr>
        <w:t>we can read extermination as a biopolitics originary to the settler colonial situations that conditioned enslavement on settled land.</w:t>
      </w:r>
      <w:r w:rsidRPr="00906AA0">
        <w:rPr>
          <w:rStyle w:val="StyleUnderline"/>
        </w:rPr>
        <w:t xml:space="preserve"> While Mbembe is aware that settlement in the Americas appears in his story, it remains oblique, seemingly absorbed within a more general object, ‘colonialism’. This object then appears in his account to be more definitive of populations framed as suffering it in perpetuity, at the expense of bodies that, here, appear erased from its history. In Mbembe’s emphasis on the genocidal colonial violence perpetrated against Africans and peoples of the African diaspora we hear an unintended echo of the logic of elimination defining settler colonialism. As Wolfe argues, that logic places African diasporic peoples under a perpetual subjugation that attempts to naturalise their relational formation to Indigenous elimination and the ‘emptying’ of Indigenous lands. Mbembe further argues that the past of necropolitics informs the present when it recurs in ‘late modern colonial occupation’. 21 Given his prior claims, this temporalisation occludes settler colonisation of Indigenous peoples as significant to the past or present of necropolitics, even as it prevents settler colonialism from being definitive of the present despite never having ended.</w:t>
      </w:r>
      <w:r>
        <w:t xml:space="preserve"> </w:t>
      </w:r>
      <w:r w:rsidRPr="00477537">
        <w:rPr>
          <w:sz w:val="16"/>
        </w:rPr>
        <w:t>Indeed, for the United States – a key object of Mbembe’s critique – the visitation of late modern colonial occupation beyond ‘its’ borders transpires only to the extent that the United States simultaneously perpetuates colonisation upon the Indigenous peoples it necessarily occupies</w:t>
      </w:r>
      <w:r w:rsidRPr="00477537">
        <w:rPr>
          <w:rStyle w:val="StyleUnderline"/>
        </w:rPr>
        <w:t>. Had Mbembe centred this quality in his account of colonialism, we could ask how late modern colonial occupation acts precisely and continuously as settler colonial, with its global projections being the activity of a settler colonial power that does not cease. Asking this question would resituate our interest in late modern colonial occupation from trying to explain colonialism’s continuation despite its nominal demise, to considering how the failure of decolonisation attends on its failure to be sufficiently extended to settler states and the institutions through which they project settler colonial power in the contemporary world</w:t>
      </w:r>
      <w:r>
        <w:t>.</w:t>
      </w:r>
    </w:p>
    <w:p w:rsidR="00ED19D9" w:rsidRDefault="00ED19D9" w:rsidP="00ED19D9"/>
    <w:p w:rsidR="00ED19D9" w:rsidRDefault="00ED19D9" w:rsidP="00ED19D9">
      <w:pPr>
        <w:pStyle w:val="Heading4"/>
      </w:pPr>
      <w:r>
        <w:t>Only an interrogative genealogical study of biopolitical structures unveils how the state of exception operates as the ordering structure of settler colonialism, past and present</w:t>
      </w:r>
    </w:p>
    <w:p w:rsidR="00ED19D9" w:rsidRPr="005260F2" w:rsidRDefault="00ED19D9" w:rsidP="00ED19D9">
      <w:pPr>
        <w:rPr>
          <w:b/>
          <w:bCs/>
          <w:sz w:val="26"/>
        </w:rPr>
      </w:pPr>
      <w:r w:rsidRPr="00ED4A7B">
        <w:rPr>
          <w:b/>
          <w:bCs/>
          <w:sz w:val="26"/>
        </w:rPr>
        <w:t>Morgensen</w:t>
      </w:r>
      <w:r>
        <w:rPr>
          <w:b/>
          <w:bCs/>
          <w:sz w:val="26"/>
        </w:rPr>
        <w:t xml:space="preserve"> 13 </w:t>
      </w:r>
      <w:r w:rsidRPr="00ED4A7B">
        <w:t>(</w:t>
      </w:r>
      <w:r w:rsidRPr="00DA61D1">
        <w:t>Scott Lauria Morgensen</w:t>
      </w:r>
      <w:r>
        <w:t xml:space="preserve">, </w:t>
      </w:r>
      <w:r w:rsidRPr="00F615BA">
        <w:t>assistant professor of gender studies at Queen’s University in Kingston, Ontario</w:t>
      </w:r>
      <w:r>
        <w:t xml:space="preserve"> and </w:t>
      </w:r>
      <w:r w:rsidRPr="00A15FAF">
        <w:t>coeditor of Queer Indigenous Stu</w:t>
      </w:r>
      <w:r>
        <w:t>die</w:t>
      </w:r>
      <w:r w:rsidRPr="00C66CE0">
        <w:t>s: Critical Interventions in Theory, Politics, and Literature</w:t>
      </w:r>
      <w:r>
        <w:t>; ‘</w:t>
      </w:r>
      <w:r w:rsidRPr="00C66CE0">
        <w:t>The Biopolitics of Settler Colonialism: Right Here, Right Now</w:t>
      </w:r>
      <w:r>
        <w:t xml:space="preserve">”; 2-28-13; </w:t>
      </w:r>
      <w:r w:rsidRPr="000D2F1E">
        <w:t>https://www.tandfonline.com/doi/abs/10.1080/2201473X.2011.10648801</w:t>
      </w:r>
      <w:r>
        <w:t>) - EY</w:t>
      </w:r>
    </w:p>
    <w:p w:rsidR="00ED19D9" w:rsidRPr="001F48C2" w:rsidRDefault="00ED19D9" w:rsidP="00ED19D9">
      <w:pPr>
        <w:rPr>
          <w:rStyle w:val="StyleUnderline"/>
        </w:rPr>
      </w:pPr>
      <w:r w:rsidRPr="006930D4">
        <w:rPr>
          <w:sz w:val="16"/>
        </w:rPr>
        <w:t xml:space="preserve"> INTIMATE!RELATIONALITIES!IN!WESTERN/SETTLER!LAW The colonial power of Western law can be traced distinctly by explaining its formation by the intimacies of settler societies – notably, Indigenous replacement via containment, erasure and amalgamation – that perpetually trouble differentiations of settler nations from what they attempt to replace. ‘Settler’ literally signifies the displacement of Indigenous peoples. Yet a host of scholarship in Native studies explains that settler subjects normatively recall and perform indigeneity as a history they at once incorporate and transcend, inhabit and defer.22 Settlers thus are inexplicable apart from their relationality to Indigenous peoples, as well as to forms of indigeneity of their own imagining that undergird settler subjectivity. All this structures how European settlers ever come to represent the West. To the extent that they do, their relationality to indigeneity through settlement also constitutes the West, even if this quality remains naturalised. To date</w:t>
      </w:r>
      <w:r w:rsidRPr="006930D4">
        <w:rPr>
          <w:rStyle w:val="StyleUnderline"/>
        </w:rPr>
        <w:t>, critics who adapt Agamben to explain colonial biopower have tended to associate the state of exception with the ejection of racialised primitivity from the West. Thus, a most recurrent definition of the exception in such work is the externalisation of racialised and colonised statuses from the body of Europe, whiteness, or their national or global appearance as Western law. Centreing settler colonialism troubles such accounts. If critics ever feel assured that the colonial exception functions through externalisation, this may be an assumption that attends on theory having already normed ‘colonialism’ so as to elide settler colonialism and its ongoing naturalisation. European settler societies enact Western law – indeed, in ways often validated as exemplary of that law – by occupying and incorporating Indigenous peoples within white settler nations. The indigenisation of white settlers and settler nations thus shifts our reading of their capacity to represent the West. Rather than presuming that the West is defined by enforcing boundaries to preserve purity, we must consider that the state of exception arises in settler societies as a function of settlers’ inherent interdependence with indigeneity</w:t>
      </w:r>
      <w:r w:rsidRPr="008F5CF6">
        <w:rPr>
          <w:rStyle w:val="Emphasis"/>
        </w:rPr>
        <w:t>. Accounts of the intimate relationality of Indigenous peoples and settlers in settler societies are enhanced by theorising biopower</w:t>
      </w:r>
      <w:r w:rsidRPr="006930D4">
        <w:rPr>
          <w:rStyle w:val="StyleUnderline"/>
        </w:rPr>
        <w:t xml:space="preserve">. I highlight a quality in Agamben’s account of homo sacer in Roman law that, I argue, </w:t>
      </w:r>
      <w:r w:rsidRPr="008F5CF6">
        <w:rPr>
          <w:rStyle w:val="Emphasis"/>
        </w:rPr>
        <w:t>illuminates how Indigenous peoples and settlers have negotiated their conjuncture by plying ties of kinship and its elimination</w:t>
      </w:r>
      <w:r w:rsidRPr="006930D4">
        <w:rPr>
          <w:rStyle w:val="StyleUnderline"/>
        </w:rPr>
        <w:t xml:space="preserve">. </w:t>
      </w:r>
      <w:r w:rsidRPr="006930D4">
        <w:rPr>
          <w:sz w:val="16"/>
        </w:rPr>
        <w:t xml:space="preserve">Agamben cites a story of patriarchal consanguinity as a governmental origin of the state of exception. In Roman law, the potential extension of bare life to any male citizen appears to have derived from a prior correlation of sovereignty to the rule of the patriarch. According to Agamben, the death of homo sacer – not murdered, but negated; ‘necisque’ as opposed to ‘vitae’ – appears in Roman law through the image of the son who, defying the father’s rule, becomes life that must be abandoned, to death.23 Here, the patriarch embodies a sovereign power that may be enacted at any time he deems necessary, and one that exists beyond the power of the law of citizens to abrogate. Agamben suggests that the extension into law of a paternal power to put the defiant son to death binds a society of law to a thesis of patriarchal </w:t>
      </w:r>
      <w:r w:rsidRPr="006930D4">
        <w:rPr>
          <w:sz w:val="14"/>
        </w:rPr>
        <w:t xml:space="preserve">consanguinity. </w:t>
      </w:r>
      <w:r w:rsidRPr="006930D4">
        <w:rPr>
          <w:sz w:val="12"/>
        </w:rPr>
        <w:t xml:space="preserve">24 Following this model, Roman law distinguished the citizens it protected from those it evicted along their degree of respect for or flouting of filial duty to paternal authority. </w:t>
      </w:r>
      <w:r w:rsidRPr="006930D4">
        <w:rPr>
          <w:sz w:val="10"/>
        </w:rPr>
        <w:t xml:space="preserve">Here, the state of exception potentially accrues to all citizens to the extent that any might forfeit consanguinal protection by a paternal state. I am intrigued by the travels of this formulation of the state of exception at the inception of Western law. In light of Agamben’s account, even if the terms of subjection to Western law shift across places or times, they do so in relation to a law that first posits subjects as a consanguinal People before any are excised. What happens to this quality under European settler colonialism, once Western law endeavours to be established intimately with </w:t>
      </w:r>
      <w:r w:rsidRPr="008F5CF6">
        <w:rPr>
          <w:sz w:val="16"/>
        </w:rPr>
        <w:t>Indigenous peoples?</w:t>
      </w:r>
      <w:r w:rsidRPr="008F5CF6">
        <w:rPr>
          <w:rStyle w:val="StyleUnderline"/>
          <w:sz w:val="16"/>
        </w:rPr>
        <w:t xml:space="preserve"> </w:t>
      </w:r>
      <w:r w:rsidRPr="006930D4">
        <w:rPr>
          <w:rStyle w:val="StyleUnderline"/>
        </w:rPr>
        <w:t xml:space="preserve">A question first arises of whether Western law recognises Indigenous people as human. But if it were to do so, it would confront the degree to which Indigenous people become recognisable within the People of the settler nation, which in turn would condition their particular exposure to the state of exception. </w:t>
      </w:r>
      <w:r w:rsidRPr="008F5CF6">
        <w:rPr>
          <w:rStyle w:val="Emphasis"/>
        </w:rPr>
        <w:t>The settler colonisation of Indigenous Americans demonstrates that questioning their degree of humanity and their genealogical relationship to European patriarchal authority defined their subjection to Western law and its exception</w:t>
      </w:r>
      <w:r>
        <w:t xml:space="preserve">. </w:t>
      </w:r>
      <w:r w:rsidRPr="006930D4">
        <w:rPr>
          <w:sz w:val="16"/>
        </w:rPr>
        <w:t>Dale Turner examines these questions by reference to the Valladolid debate of 1550-51, in which Bartolomé de las Casas and Juan Gines de Sepulveda deliberated the deadly treatment of Indigenous Americans under Spanish rule by considering the theological and legal significance of their humanity.25 The Valladolid debate was contextualised by a Papal bull of 1537 having already decreed an end to formal enslavement of Indigenous Americans by deeming them unequivocally human and capable of salvation. Las Casas argued that Papal recognition of Indigenous peoples’ humanity meant that they should be brought to Christian belief and law without force or coercion. In contrast, Sepulveda argued that even if recognizably human, Indigenous peoples remained in Aristotelian terms ‘barbarians’ who were naturally inclined to enslavement, and furthermore that the Spanish remained bound to punish them for crimes against God’s law</w:t>
      </w:r>
      <w:r w:rsidRPr="00E95E3B">
        <w:rPr>
          <w:sz w:val="16"/>
        </w:rPr>
        <w:t>. Sepulveda thus portrayed Indigenous people as human only to the extent that their abjection followed having defied divine authority, which demanded their treatment as bare life subject to genocide. Las Casas, by contrast, sought to protect Indigenous people as subjects acceptable to God’s law, but only to the extent that they conformed to the Church and sovereign as paternal educators, whom they must not resist lest in violating the terms of their protection they be returned to the ever-present possibility of death. Interestingly, the position Sepulveda defended played out in Spanish and Portuguese colonies precisely not through modes of separation but of amalgamation</w:t>
      </w:r>
      <w:r w:rsidRPr="00E95E3B">
        <w:rPr>
          <w:rStyle w:val="StyleUnderline"/>
        </w:rPr>
        <w:t>. The classification of Indigenous peoples as barbarians facilitated the forced intermarriage and rape of Indigenous women by European men, whose children incompletely inherited a patriarchal lineage even as their suspect primitivity located them proximate to the state of exception.26 In turn, despite the semblance that Las Casas sought to protect Indigenous people from violence, his position justified subjecting Indigenous and growing mestizo constituencies to a racialised colonial economy, wherein promises of salvation and civilisation framed people of Indigenous heritage as children whose potentially wayward inclinations still placed them near the state of exception. While specific to the early Latin American settler colonies, these contrastive positions recur across white settler societies that attempt to eliminate Indigenous nations by amalgamating Indigenous people as potentially protected children whose racialisation leaves their consanguinity open to excision. Adjudicating life for Indigenous people defines settler law’s extension of elimination into governmental procedures of ‘recognition’ – even, of ‘nationality’ or ‘sovereignty’</w:t>
      </w:r>
      <w:r w:rsidRPr="002E2333">
        <w:rPr>
          <w:sz w:val="16"/>
        </w:rPr>
        <w:t xml:space="preserve">. For instance, the Dominion of Canada established its relationship to Indigenous peoples under law in the 1876 Indian Act, which in ever-revised form still structures Canada today. The Act pursued elimination through the settler colonial governmentality of ‘identity regulation’, to use Bonita Lawrence’s term.27 While this procedure may appear to preserve life, in its definition of over six hundred ‘First Nations’ whose members received ‘Indian status’ by state decree, the Act also separated myriad communities of common nationality, radically reduced land bases (if any remained), and enabled the state to determine the fact or erasure of their existence. </w:t>
      </w:r>
      <w:r w:rsidRPr="00E95E3B">
        <w:rPr>
          <w:sz w:val="16"/>
        </w:rPr>
        <w:t xml:space="preserve">Duncan Campbell Scott, deputy director of the Department of Indian Affairs, argued in 1920 that his effort to place Indigenous people in a ‘state of tutelage’ sought its own end, in a time when ‘there is not a single Indian in Canada that has not been absorbed into the body politic, and there is no Indian question’. 28 The settler colonial governmentality that here wrests identity from Indigenous peoples also imposed a patriarchal authority within the law to assimilate them into the settler </w:t>
      </w:r>
      <w:r w:rsidRPr="002E2333">
        <w:rPr>
          <w:sz w:val="14"/>
        </w:rPr>
        <w:t>nation. Aboriginal women activists in Canada exposed this by challenging the Indian Act’s restriction of status inheritance to patrilines. Women who inherited status from their fathers found that it was rescinded for them and their children if they married a person without status. This broadly-applied rule first facilitated marriages of white men with Indigenous women, which absorbed their children through the patriline into the settler nation and its citizenship. Aboriginal women activists specifically targeted the Act’s contradictory enabling of Indigenous men with status to confer it to non-Indigenous spouses and their children. Keeping in mind that status and band structure were defined by the Act, we see here that empowering Indigenous patrilineality replicated patriarchal consanguinity as law for settler and Indigenous nations, while departures from paternal law remained cause for eviction. As Aboriginal women’s movement activists argued, evicting Indigenous women harmed them while simultaneously reinforcing the colonial authority that Indigenous men gained from the settler state. While after long protest the passage of Canadian Bill C-31 reinstated status for recent generations of Indigenous women, Lawrence argues that the Act already had achieved ‘statistical genocide’: with over 25,000 women between 1876 and 1985 having had status rescinded, estimates range that from one to two million descendants of these women are incapable of asserting legally-recognised Indigenous identity in Canada, and remain removed from relationship with or even awareness of their peoples or lands. Yet alongside this elimination, a governmental effect also arises here, as constituencies that remain Indigenous-identified are narrowly delimited by the patriarchal authority of the state, which by continuing to assimilate indigeneity sustains a practice that, as Scott stated, linked recognition to its erasure. Indigenous theorists in Canada argue that the subjection of bands to definition by the sovereign power of the settler state characterises the entire project of ‘recognition’. Taiaiake Alfred targets ‘sovereignty’ itself as a logic that presumes and produces apparatuses of colonial rule while precluding distinctive modes of Indigenous governance. So long as Indigenous politics is constrained in this way, he argues, ‘the state has nothing to fear from Native leaders, for even if they succeed in achieving the goal of selfgovernment, the basic power structure remains intact’. 29 Addressing a moment in Canadian politics described for Australia by Elizabeth Povinelli as ‘liberal settler multiculturalism’, Glen Coulthard specifies that the ‘politics of recognition’ precisely sustains ‘the colonial relationship between Indigenous peoples and the Canadian state’. 30 ‘Recognition’ reproduces within land claims, capital disbursements, and political authority ‘the very configurations of colonial power that Indigenous people’s demands for recognition have historically sought to transcend’. Citing Frantz Fanon, Coulthard insists that the reproduction of a colonial structure of dominance like Canada’s rests on its ability to entice Indigenous peoples to come to identify, either implicitly or explicitly, with the profoundly asymmetrical and non-reciprocal forms of recognition either imposed on or granted to them by the colonial-state and society. 31 Alfred and Coulthard compellingly argue for the renewal of modes of Indigenous governance that redefine collectivity in excess of settler colonial governmentality</w:t>
      </w:r>
      <w:r w:rsidRPr="002E2333">
        <w:rPr>
          <w:sz w:val="16"/>
        </w:rPr>
        <w:t xml:space="preserve">. I wish to emphasise in their accounts their specification of Indigenous nations through ‘recognition’ in a childlike subjection to the authority of the state. For Indigenous peoples in settler societies – notably, those who resist elimination by asserting national difference and distinctive modes of governance – the threat of the exception is ever-present. Coulthard and Alfred highlight the bind Indigenous people face if seeking state recognition of their survival elicits the power of settler sovereignty to eliminate Indigenous difference as a threat by granting, rescinding and managing ‘recognition’. Amalgamation as a tool of elimination echoes back to Valladolid as a theme of the settler colonisation of Indigenous </w:t>
      </w:r>
      <w:r w:rsidRPr="008F5CF6">
        <w:rPr>
          <w:sz w:val="16"/>
        </w:rPr>
        <w:t>peoples. Yet</w:t>
      </w:r>
      <w:r w:rsidRPr="008F5CF6">
        <w:rPr>
          <w:rStyle w:val="StyleUnderline"/>
          <w:sz w:val="16"/>
        </w:rPr>
        <w:t xml:space="preserve"> </w:t>
      </w:r>
      <w:r w:rsidRPr="008F5CF6">
        <w:rPr>
          <w:rStyle w:val="Emphasis"/>
        </w:rPr>
        <w:t>following Agamben, entering into a recognisable status under the law also opens to elimination and replacement by settler rule</w:t>
      </w:r>
      <w:r w:rsidRPr="00382A79">
        <w:rPr>
          <w:sz w:val="16"/>
        </w:rPr>
        <w:t xml:space="preserve">. I cited a thesis of consanguinity in Agamben’s account of Roman law not merely, or even literally to invoke mestizaje/metissage as a phenomenon of settler societies or of the place of Indigenous peoples or their descendants within them. Nor do I suggest that indigenising white settler nations eclipses their concurrent definition by hypodescent, which in opposing whiteness to blackness attempts to erase the sexual violence of slavery and deny consanguinity across the colour line, all of which – as Gilroy and Sylvia Wynter argue – contributes to making the African diaspora definitive of Western modernity.32 By citing Wolfe, I indicated that the </w:t>
      </w:r>
      <w:r w:rsidRPr="00382A79">
        <w:rPr>
          <w:rStyle w:val="StyleUnderline"/>
        </w:rPr>
        <w:t>settler colonisation of Indigenous Americans, the transatlantic slave trade, and all colonised indentured labour invoke a global history of colonial modernity in which Indigenous and African diasporic peoples appear relationally. My argument has been that when slavery and its legacies exclude blackness from whiteness, this also intersects a prior and simultaneous indigenising of settler whiteness.</w:t>
      </w:r>
      <w:r>
        <w:t xml:space="preserve"> </w:t>
      </w:r>
      <w:r w:rsidRPr="00382A79">
        <w:rPr>
          <w:sz w:val="16"/>
        </w:rPr>
        <w:t xml:space="preserve">We saw glimmers of these positionings in a relational contrast in the Valladolid debate. Without conflating either claim across distinct contexts, Sepulveda’s position appears to echo when Fanon, </w:t>
      </w:r>
      <w:r w:rsidRPr="00382A79">
        <w:rPr>
          <w:rStyle w:val="StyleUnderline"/>
        </w:rPr>
        <w:t>Mbembe or theorists of colonial biopolitics link the state of exception to subjects who exist not just beyond the law but beyond humanity, within what Mbembe calls ‘animal life’. 33 Such a reading appears to explain the irremediability of blackness in Western modernity and settler nations. It also appears in postcolonial critiques that presume that this mode of racialisation defines the colonial exception. My argument is that such readings are conditional on another that they occlude, and that in turn is conditioned by them</w:t>
      </w:r>
      <w:r w:rsidRPr="004532D4">
        <w:rPr>
          <w:sz w:val="16"/>
        </w:rPr>
        <w:t>. In the sixteenth centuries, as colonisation took shape in the settler societies of the Americas, a relational position purposefully formed. Countering the overtly genocidal violence of Sepulveda’s contravention of Indigenous humanity, Las Casas argued, for his time, a more compassionate, inclusive, and – I will return to this – liberal mode of settler colonial governance. Las Casas affirmed Indigenous humanity under God’s universal law and the necessity of its defence within a settler societ</w:t>
      </w:r>
      <w:r w:rsidRPr="004532D4">
        <w:rPr>
          <w:sz w:val="14"/>
        </w:rPr>
        <w:t>y. Yet his claim functioned precisely as a logic of elimination, in that recognising people of Indigenous heritage as subject racialised populations barred them from any difference that could trouble settler rule. As the incompletely consanguine children of Western law, they remained ever on the verge of eviction from it if they troubled the terms of their protection: amalgamation. Their proximity to exception arose under settler rule precisely by considering the degree to which Indigenous peoples may be included in the body of the West and its law. Far from being arbitrary, this concern was requisite to a settler society defining its relation to racialised differences on the lands it remade. A capacity in Western law to simultaneously incorporate and eliminate, recognise and except racialised and primitive difference was learned in settler projects of Indigenous elimination that established Western law on lands beyond ‘the West’.</w:t>
      </w:r>
      <w:r>
        <w:t xml:space="preserve"> </w:t>
      </w:r>
      <w:r w:rsidRPr="004532D4">
        <w:rPr>
          <w:rStyle w:val="StyleUnderline"/>
        </w:rPr>
        <w:t>To the extent that they succeeded</w:t>
      </w:r>
      <w:r w:rsidRPr="008F5CF6">
        <w:rPr>
          <w:rStyle w:val="Emphasis"/>
        </w:rPr>
        <w:t xml:space="preserve">, settler colonialism made Western law </w:t>
      </w:r>
      <w:r w:rsidRPr="008F5CF6">
        <w:rPr>
          <w:rStyle w:val="StyleUnderline"/>
        </w:rPr>
        <w:t>spatially nonspecific and demonstrably universal, long prior to late modern mechanisms of global governance, and</w:t>
      </w:r>
      <w:r w:rsidRPr="008F5CF6">
        <w:rPr>
          <w:rStyle w:val="Emphasis"/>
        </w:rPr>
        <w:t xml:space="preserve"> as their genealogical condition</w:t>
      </w:r>
      <w:r w:rsidRPr="004532D4">
        <w:rPr>
          <w:rStyle w:val="StyleUnderline"/>
        </w:rPr>
        <w:t xml:space="preserve">. Today, the ongoing naturalisation of settler colonialism positions settler states as exemplary of liberal governance universalised within and as Western law. </w:t>
      </w:r>
      <w:r w:rsidRPr="004532D4">
        <w:rPr>
          <w:sz w:val="16"/>
        </w:rPr>
        <w:t>A noted example transpired at the 2009 G20 Summit, when Prime Minister Stephen Harper found it useful to portray a gentle face for Canadian leadership by pointedly asserting that Canada ‘has no history of colonialism’. 34 The significance of his comment was its clarity – notable for a leader quite familiar with critiques of Canada bearing a colonial relationship to Indigenous peoples. Harper obliquely invoked here the baggage of states such as the United Kingdom, France and Japan that negotiate tense relations with former conquests when governing global economics. On a global stage, Harper’s Canada separates from colonial legacies in Africa and Asia to assert a moral neutrality that is conveniently consistent with the universality of international law. The confidence in Harper’s statement would be implausible if his audiences – broader than we may care to think – truly believed that Canada practices colonisation</w:t>
      </w:r>
      <w:r w:rsidRPr="001F48C2">
        <w:rPr>
          <w:sz w:val="16"/>
        </w:rPr>
        <w:t>. From theses of terra nullius, to justifications that ‘guns, germs, and steel’ made Indigenous replacement inevitable, to a sense that settler states ‘decolonised’ after rule devolved to white citizens: settlers readily present as other than colonists.35 Yet while Harper might believe that as a Canadian he inherits something other than conquest, I suggest that his exoneration hinges less on such belief, and more on a general appearance that ‘Canada’ exemplifies the universalisation of liberal modernity on the global stage. Interestingly, Harper’s statement appeared barely a year after his government responded to years of Indigenous activism by issuing a state apology for the Residential School system. As a primary agent in the genocidal histories Lawrence recounts, Residential Schools forcibly relocated Indigenous children to sites where they were killed by disease or neglect, or survived to be assimilated into settler society via enforced separation from and erasure of familial and community ties. As an educative mode of disciplinary power, Residential Schools situated internees and all Indigenous peoples as children: wards of a state whose paternalism appears not only in past abuse but in the present apology, which suggests that the state will better manage the Indigenous people over whom it retains a power to protect or destroy. The apology’s consistency with Harper’s disavowal of colonial history naturalises settler colonialism both ‘at home’ and ‘abroad’. We see here that the ongoing coloniality of settler states conditions their practice of liberal governance as not only Western, or even originally Western, but as universal through its instantiation by settler colonialism. I have argued that settler law presents an apotheosis of Western law by utilising its consanguinal logic to amalgamate and eliminate Indigenous peoples and thereby enable settler states to performatively universalise the West</w:t>
      </w:r>
      <w:r>
        <w:t xml:space="preserve">. </w:t>
      </w:r>
      <w:r w:rsidRPr="001F48C2">
        <w:rPr>
          <w:rStyle w:val="StyleUnderline"/>
        </w:rPr>
        <w:t>To the extent that they succeed, then global governance precisely continues, naturalises, and globalises settler colonialism in and as our ‘colonial present’. 36 The Western law universalised by settler states formed precisely by incorporating and excising Indigenous peoples as potentially yet incompletely consanguine with the social body. If settler law as Western law is projected as liberal governance, it follows a principle that it may arrive and settle anywhere, as itself. Such law then encompasses the provisional humanity of all whom it occupies as racialised and primitive children, whose capacity for defiance nevertheless invests the West with a paternal authority to act as caretaker or killer of ‘kin’ under its care</w:t>
      </w:r>
      <w:r>
        <w:t xml:space="preserve">. </w:t>
      </w:r>
      <w:r w:rsidRPr="001F48C2">
        <w:rPr>
          <w:sz w:val="16"/>
        </w:rPr>
        <w:t>My argument modifies our interest to read Afghanistan or Iraq as sites of settler colonialism, once the United States gathers its allies for occupation. Settler colonialism occurs at these sites not, or not only because the U.S. or other states occupy Afghani and Iraqi peoples</w:t>
      </w:r>
      <w:r>
        <w:t>.</w:t>
      </w:r>
      <w:r w:rsidRPr="001F48C2">
        <w:rPr>
          <w:sz w:val="16"/>
        </w:rPr>
        <w:t xml:space="preserve"> It occurs more importantly because occupation performatively universalises Western governance through the nominal inclusion of Afghanis and Iraqis within its body of law, only to face elimination of their racialised primitivity: if not by being summarily placed ‘outside’ the law, then by being educated and contained through amalgamation as a potentially ever-endangering difference. </w:t>
      </w:r>
      <w:r w:rsidRPr="001F48C2">
        <w:rPr>
          <w:rStyle w:val="StyleUnderline"/>
        </w:rPr>
        <w:t xml:space="preserve">Western law attains universality by containing and eliminating differences in the functional extension of settler colonialism as liberal governmentality. Yet even as the West and its governance are liberated from attachment to place, their globalisation naturalises ongoing settler colonisation of Indigenous peoples in settler states. Indeed, by permanently remaining in a state of exception to settler law as Western law, Indigenous peoples model this status for all others who come under Western law’s global reach. The settler colonial elimination of Indigenous peoples requires them to have existed and to tenuously exist in settler societies, for only their perpetual replacement demonstrates settlers’ achievement of Western law where it would not otherwise exist. </w:t>
      </w:r>
    </w:p>
    <w:p w:rsidR="00ED19D9" w:rsidRDefault="00ED19D9" w:rsidP="00ED19D9"/>
    <w:p w:rsidR="00ED19D9" w:rsidRDefault="00ED19D9" w:rsidP="00ED19D9">
      <w:pPr>
        <w:pStyle w:val="Heading3"/>
      </w:pPr>
      <w:r>
        <w:t>Perm Card</w:t>
      </w:r>
    </w:p>
    <w:p w:rsidR="00ED19D9" w:rsidRDefault="00ED19D9" w:rsidP="00ED19D9">
      <w:pPr>
        <w:pStyle w:val="Heading4"/>
      </w:pPr>
      <w:r>
        <w:t>Perm do both— Utilizing a genealogical study of colonial biopolitics unmasks the way settler relations naturalize and operate in political and academic spaces</w:t>
      </w:r>
    </w:p>
    <w:p w:rsidR="00ED19D9" w:rsidRPr="005260F2" w:rsidRDefault="00ED19D9" w:rsidP="00ED19D9">
      <w:pPr>
        <w:rPr>
          <w:b/>
          <w:bCs/>
          <w:sz w:val="26"/>
        </w:rPr>
      </w:pPr>
      <w:r w:rsidRPr="00ED4A7B">
        <w:rPr>
          <w:b/>
          <w:bCs/>
          <w:sz w:val="26"/>
        </w:rPr>
        <w:t>Morgensen</w:t>
      </w:r>
      <w:r>
        <w:rPr>
          <w:b/>
          <w:bCs/>
          <w:sz w:val="26"/>
        </w:rPr>
        <w:t xml:space="preserve"> 13 </w:t>
      </w:r>
      <w:r w:rsidRPr="00ED4A7B">
        <w:t>(</w:t>
      </w:r>
      <w:r w:rsidRPr="00DA61D1">
        <w:t>Scott Lauria Morgensen</w:t>
      </w:r>
      <w:r>
        <w:t xml:space="preserve">, </w:t>
      </w:r>
      <w:r w:rsidRPr="00F615BA">
        <w:t>assistant professor of gender studies at Queen’s University in Kingston, Ontario</w:t>
      </w:r>
      <w:r>
        <w:t xml:space="preserve"> and </w:t>
      </w:r>
      <w:r w:rsidRPr="00A15FAF">
        <w:t>coeditor of Queer Indigenous Stu</w:t>
      </w:r>
      <w:r>
        <w:t>die</w:t>
      </w:r>
      <w:r w:rsidRPr="00C66CE0">
        <w:t>s: Critical Interventions in Theory, Politics, and Literature</w:t>
      </w:r>
      <w:r>
        <w:t>; ‘</w:t>
      </w:r>
      <w:r w:rsidRPr="00C66CE0">
        <w:t>The Biopolitics of Settler Colonialism: Right Here, Right Now</w:t>
      </w:r>
      <w:r>
        <w:t xml:space="preserve">”; 2-28-13; </w:t>
      </w:r>
      <w:r w:rsidRPr="000D2F1E">
        <w:t>https://www.tandfonline.com/doi/abs/10.1080/2201473X.2011.10648801</w:t>
      </w:r>
      <w:r>
        <w:t>) - EY</w:t>
      </w:r>
    </w:p>
    <w:p w:rsidR="00ED19D9" w:rsidRPr="00E822FF" w:rsidRDefault="00ED19D9" w:rsidP="00ED19D9">
      <w:pPr>
        <w:rPr>
          <w:rStyle w:val="StyleUnderline"/>
        </w:rPr>
      </w:pPr>
      <w:r>
        <w:t>THE!GLOBAL!SITUATION!IN!SETTLER!COLONIAL!</w:t>
      </w:r>
      <w:r w:rsidRPr="00344DC7">
        <w:rPr>
          <w:rStyle w:val="StyleUnderline"/>
        </w:rPr>
        <w:t xml:space="preserve">TIME </w:t>
      </w:r>
      <w:r w:rsidRPr="00E822FF">
        <w:rPr>
          <w:rStyle w:val="Emphasis"/>
        </w:rPr>
        <w:t>Scholars must examine the past and present biopolitics of settler colonialism to challenge presentist horizons in theories of biopower and colonialism</w:t>
      </w:r>
      <w:r w:rsidRPr="00344DC7">
        <w:rPr>
          <w:rStyle w:val="StyleUnderline"/>
        </w:rPr>
        <w:t>.</w:t>
      </w:r>
      <w:r>
        <w:t xml:space="preserve"> I argued that </w:t>
      </w:r>
      <w:r w:rsidRPr="00344DC7">
        <w:rPr>
          <w:rStyle w:val="StyleUnderline"/>
        </w:rPr>
        <w:t>liberal governance under Western law is presaged and instituted by the biopolitics of settler colonialism. Here, Indigenous peoples are recognised with a provisional humanity for amalgamation by settler nations, where their elimination nevertheless follows whether they defy or conform to a promised consanguinity with settlers who replace</w:t>
      </w:r>
      <w:r w:rsidRPr="00344DC7">
        <w:rPr>
          <w:sz w:val="16"/>
        </w:rPr>
        <w:t xml:space="preserve">. Sherene Razack and Sunera Thobani have modelled the acknowledgment </w:t>
      </w:r>
      <w:r w:rsidRPr="00344DC7">
        <w:rPr>
          <w:rStyle w:val="StyleUnderline"/>
        </w:rPr>
        <w:t xml:space="preserve">of </w:t>
      </w:r>
      <w:r w:rsidRPr="00E822FF">
        <w:rPr>
          <w:rStyle w:val="Emphasis"/>
        </w:rPr>
        <w:t>settler colonialism as a condition of the colonial biopolitics</w:t>
      </w:r>
      <w:r w:rsidRPr="00344DC7">
        <w:rPr>
          <w:rStyle w:val="StyleUnderline"/>
        </w:rPr>
        <w:t xml:space="preserve"> scholars increasingly diagnose in contemporary states and global regimes</w:t>
      </w:r>
      <w:r w:rsidRPr="00344DC7">
        <w:rPr>
          <w:sz w:val="16"/>
        </w:rPr>
        <w:t>. Yet my argument extends theirs by requesting even broader enunciation of</w:t>
      </w:r>
      <w:r>
        <w:t xml:space="preserve"> </w:t>
      </w:r>
      <w:r w:rsidRPr="00E822FF">
        <w:rPr>
          <w:rStyle w:val="Emphasis"/>
        </w:rPr>
        <w:t>settler colonialism as an activity directly manifesting as the biopolitics of the present.</w:t>
      </w:r>
      <w:r w:rsidRPr="00344DC7">
        <w:rPr>
          <w:rStyle w:val="StyleUnderline"/>
        </w:rPr>
        <w:t xml:space="preserve"> My account suggests that the growth of liberal modernity by universalising Western law and its exception was facilitated by settler states that circulate and sustain them today.</w:t>
      </w:r>
      <w:r w:rsidRPr="00344DC7">
        <w:rPr>
          <w:sz w:val="16"/>
        </w:rPr>
        <w:t xml:space="preserve"> Here I echo Anna Tsing’s account of the conditions of theories and practices of globalisation – ‘the global situation’ – when I argue that they also arise in relation to the intimate and systemic procedures of settler colonialism.37 In particular,</w:t>
      </w:r>
      <w:r>
        <w:t xml:space="preserve"> </w:t>
      </w:r>
      <w:r w:rsidRPr="00E822FF">
        <w:rPr>
          <w:rStyle w:val="Emphasis"/>
        </w:rPr>
        <w:t>scholars must challenge ahistoricity in accounts of the coloniality of biopower, as these temporalise colonialisms in various pasts only to link them to supposedly unprecedented power relations in the present.</w:t>
      </w:r>
      <w:r w:rsidRPr="00344DC7">
        <w:rPr>
          <w:rStyle w:val="StyleUnderline"/>
        </w:rPr>
        <w:t xml:space="preserve"> Certainly distinctions within present power relations must be specified. </w:t>
      </w:r>
      <w:r w:rsidRPr="00E822FF">
        <w:rPr>
          <w:rStyle w:val="Emphasis"/>
        </w:rPr>
        <w:t>But to posit their temporality as advanced beyond colonialism is to naturalise how settler colonialism acts continuously within them</w:t>
      </w:r>
      <w:r w:rsidRPr="00344DC7">
        <w:rPr>
          <w:rStyle w:val="StyleUnderline"/>
        </w:rPr>
        <w:t xml:space="preserve">. The persistence and </w:t>
      </w:r>
      <w:r w:rsidRPr="00E822FF">
        <w:rPr>
          <w:rStyle w:val="Emphasis"/>
        </w:rPr>
        <w:t>naturalisation of settler colonialism defines the present as colonial, while occluding settler colonialism’s action in and as the power we wish to critique</w:t>
      </w:r>
      <w:r w:rsidRPr="00344DC7">
        <w:rPr>
          <w:rStyle w:val="StyleUnderline"/>
        </w:rPr>
        <w:t>. Even to mark this would transform most work on coloniality and biopower.</w:t>
      </w:r>
      <w:r>
        <w:t xml:space="preserve"> </w:t>
      </w:r>
      <w:r w:rsidRPr="00344DC7">
        <w:rPr>
          <w:sz w:val="16"/>
        </w:rPr>
        <w:t xml:space="preserve">Yet while I did intend my words to call for such analysis, my argument more deeply marks the specific </w:t>
      </w:r>
      <w:r w:rsidRPr="00E822FF">
        <w:rPr>
          <w:rStyle w:val="Emphasis"/>
        </w:rPr>
        <w:t>biopolitics of settler colonialism as generalised tactics of late modern power relations, which proliferate by naturalising their settler colonial conditions</w:t>
      </w:r>
      <w:r w:rsidRPr="00344DC7">
        <w:rPr>
          <w:rStyle w:val="StyleUnderline"/>
        </w:rPr>
        <w:t>. Agamben’s work is ripe for such analysis given that, by the appearance of State of Exception, the superpower status of the United States becomes his central case. Yet given that his prior scholarship concertedly traced a European horizon, citing the United States as exemplary of ‘Western’ sovereignty occludes its formation outside Europe through settler colonial processes that remain opaque to his critique.</w:t>
      </w:r>
      <w:r>
        <w:t xml:space="preserve"> </w:t>
      </w:r>
      <w:r w:rsidRPr="00344DC7">
        <w:rPr>
          <w:sz w:val="16"/>
        </w:rPr>
        <w:t xml:space="preserve">For instance, when Agamben traces the history of the camp to Spanish Cuba in 1896 and to the twentieth century British conquest of the Boers, he omits knowledge in Native studies that nineteenth-century U.S. expansion used internment camps to relocate Indigenous peoples and to model their militarised containment on reservations.38 Some scholars date this process to the 1837 Treaty of New Echota – passed by Congress in disregard of Cherokee protest – which through military force contained Cherokee people for removal on the Trail of Tears.39 Another noted example is the 1862 Dakota War, in which Dakota peoples denounced the breaking of treaties by Congress and the State of Minnesota by fighting back against land theft. The war concluded with the largest mass hanging in U.S. history, of 38 Dakota men at the Lower Sioux Agency; the three-year internment of 1700 Dakota people at Fort Snelling on Pike Island, Minnesota, where over 300 died of starvation and disease; and the forced relocation of survivors hundreds of miles to militarised reservations.40 Pike Island sits at the confluence of the Minnesota and Mississippi Rivers, a central site of the traditional spiritual homeland of the Dakota people. Today it remains a Minnesota state park, where the now-forested internment site is overlooked by the massive stone fort, its gun turrets still pointing down at passing bicyclists and day hikers, while historical reenactors of U.S. soldiers employed by the fort educate visiting children by teaching them how to march in formation while pretending to hold bayonets.41 Dakota activist, historian and critical theorist Waziyatawin has helped lead annual Dakota Commemorative Marches the 150 miles from Lower Sioux Agency to Pike Island during the cold autumn season when these events transpired. Dakota activists continue to mobilise to ‘Take Down the Fort’ and return the lands and internment site to the Dakota people.42 </w:t>
      </w:r>
      <w:r w:rsidRPr="00344DC7">
        <w:rPr>
          <w:rStyle w:val="StyleUnderline"/>
        </w:rPr>
        <w:t xml:space="preserve">Given that the 1862 events followed Minnesota Governor Ramsey declaring that ‘the Sioux Indians of Minnesota must be exterminated or driven forever beyond the borders of the state’, the genocidal biopolitics that defined Dakota people for one and a half centuries would seem relevant to a history of the camp within Western modernity.43 I do not mark Agamben’s neglect of histories such as this as an erasure correctable by citation. Rather, I am identifying here a naturalisation and continuation of settler colonialism within Agamben’s theoretical apparatus and the horizons of critical theory. Certainly, Agamben’s account of the camp elides the encampment of Indigenous peoples as distinctive nations resisting incorporation by a settler nation. </w:t>
      </w:r>
      <w:r>
        <w:t xml:space="preserve">Yet, at once, </w:t>
      </w:r>
      <w:r w:rsidRPr="00344DC7">
        <w:rPr>
          <w:rStyle w:val="StyleUnderline"/>
        </w:rPr>
        <w:t>Agamben obliquely invokes, without discussing, two more cases of settler colonialism: Spanish removal of Cuban revolutionaries seeking self-rule on lands erased of Indigenous national difference; and British containment of Boer settler colonists so as to pursue their own white settler conquest of African peoples and lands. We see here that white supremacist settler colonialism was already fully present, yet fully occluded in the history of the camp provided by Agamben, whose citational trail leads to twentieth century Europe and National Socialism.</w:t>
      </w:r>
      <w:r>
        <w:t xml:space="preserve"> 44 </w:t>
      </w:r>
      <w:r w:rsidRPr="00344DC7">
        <w:rPr>
          <w:sz w:val="16"/>
        </w:rPr>
        <w:t xml:space="preserve">But what if we took Agamben seriously, so that whether marked or unmarked, his citations prove the case: that the camp does arise within white supremacist settler colonisation, only later to be transported to the Nazi regime? Does our understanding of the camp shift if its definition and containment of racialised populations by the modern biopolitical state was a lesson learned in settler colonial situations and subsequently applied to Europe? Does the camp’s spatialisation of the exception come to exemplify Western law only on its returnarrival to Europe; or, might it have borne that capacity on Indigenous American and African lands? Does its European arrival then constitute a reckoning with what the West could become by following lessons already learned under settler colonialism? And once the camp finally returns again to Cuba – this time, under the United States as supreme arbiter of global law and its exceptions – is settler colonialism irrelevant to its form? Does settler colonialism represent only a historical footnote to U.S. rule at Guantanamo Bay, as representative of an unprecedented scope of power in the contemporary world? Or does the ongoing life of settler colonialism in fact condition and produce all that is new and transformative about that power? </w:t>
      </w:r>
      <w:r w:rsidRPr="00344DC7">
        <w:rPr>
          <w:rStyle w:val="StyleUnderline"/>
        </w:rPr>
        <w:t>Scholars can trace how the U.S. establishment of a ‘zone of indistinction’ for ‘enemy combatants’ on settled Indigenous lands learns from the conquest of Indigenous peoples and its naturalisation, which remain the state’s foundational and sustained activity.</w:t>
      </w:r>
      <w:r w:rsidRPr="00344DC7">
        <w:rPr>
          <w:sz w:val="16"/>
        </w:rPr>
        <w:t xml:space="preserve"> Regardless of the answers to my questions</w:t>
      </w:r>
      <w:r>
        <w:t xml:space="preserve">, </w:t>
      </w:r>
      <w:r w:rsidRPr="00E822FF">
        <w:rPr>
          <w:rStyle w:val="StyleUnderline"/>
        </w:rPr>
        <w:t xml:space="preserve">the evidence that they have been unimaginable in theory of biopower – even if a theorist cites settler situations – indicates that </w:t>
      </w:r>
      <w:r w:rsidRPr="00E822FF">
        <w:rPr>
          <w:rStyle w:val="Emphasis"/>
        </w:rPr>
        <w:t xml:space="preserve">settler colonialism remains naturalised within theory and requires a new genealogy to be transformed. Scholars must not interpret modern state biopolitics or its extrapolations in global governance as recent rather than deeply historical phenomena. </w:t>
      </w:r>
      <w:r w:rsidRPr="00E822FF">
        <w:rPr>
          <w:rStyle w:val="StyleUnderline"/>
        </w:rPr>
        <w:t xml:space="preserve">Nor should we let the preeminent role of any settler state in those processes appear to be the action of ‘the West’, without specifying how settler colonialism acts as the West’s leading edge by establishing grounds for the globalisation and universalisation of its governance. </w:t>
      </w:r>
      <w:r w:rsidRPr="00E822FF">
        <w:rPr>
          <w:rStyle w:val="Emphasis"/>
        </w:rPr>
        <w:t>The biopolitics of settler colonialism sustain in the persistence of settler states, and we must interpret their activities as precisely enacting settler colonialism</w:t>
      </w:r>
      <w:r>
        <w:t xml:space="preserve">. </w:t>
      </w:r>
      <w:r w:rsidRPr="00E822FF">
        <w:rPr>
          <w:sz w:val="16"/>
        </w:rPr>
        <w:t xml:space="preserve">These notably include the proliferation of Western modernity and liberal governance using methods first learned and still defended by settlement. National resistance to incorporation in the body of Western law continues to result in being placed in the camp. The power of Western law demands incorporation and justifies excision by containing the differences it encounters in a globalizing world: a process highlighted already by Indigenous peoples who confront the West and its law as settler colonial. In conclusion, I hope my analysis illuminates a key implication of Agamben’s work: that ‘if today there is no longer any one clear figure of the sacred man, it is perhaps because we are all virtually homines sacri’. 45 Agamben’s statement acknowledges here a longstanding premise of the state of exception, that anyone incorporated into Western law may be assigned to this state: as the defiant son is eliminated by the father in exception to their bond, so the law excises people to constitute a People that returns to conformance with its rule. Yet his statement clearly foregrounds a more recent temporality in which proliferating permutations of the state of exception seem to blur its target, and suggest – using Butler’s paraphrase – that today ‘we are all potentially exposed to this condition’. 46 I submit that how Agamben’s statement reads to you depends largely on whom you think he means by ‘we’. Some of us will always appear to be part of ‘the People’ Agamben perceives within the body of Western law, as if our consanguinity is not in question until confronted by what we do with it. Some of us, however, only appear within the body of Western law once ‘recognition’ of consanguinity arrives as a violence to destroy collective and resistant difference. Thus, today, we are all exposed to bare life not because we appear similarly to Western law, but only to the extent that we are all caught distinctly in the hierarchies that structure its persistently colonial </w:t>
      </w:r>
      <w:r w:rsidRPr="00E822FF">
        <w:rPr>
          <w:sz w:val="14"/>
        </w:rPr>
        <w:t xml:space="preserve">formation. While I expect this point is not lost on my readers, it bears repeating. </w:t>
      </w:r>
      <w:r w:rsidRPr="00E822FF">
        <w:rPr>
          <w:rStyle w:val="StyleUnderline"/>
        </w:rPr>
        <w:t>Ongoing reaction to the U.S. Patriot Act or the war on terror by many white Europeans and white settlers suggests that their potential exposure to bare life comes as an unwelcome surprise. Produced by the securitisation of liberal modernity, white liberal subjects might think that the Act or the war abrogate freedoms promised by a law that should protect them – the very law that they invite racialised and colonised peoples to affirm, as if extending its rule leads to liberation rather than subjection. Yet if we situate the Patriot Act or the war on terror in context of settler colonialism</w:t>
      </w:r>
      <w:r>
        <w:t xml:space="preserve">, as does Indigenous feminist theorist Andrea Smith, </w:t>
      </w:r>
      <w:r w:rsidRPr="00E822FF">
        <w:rPr>
          <w:rStyle w:val="StyleUnderline"/>
        </w:rPr>
        <w:t>we can ask what shifts ‘if we understand the Bush regime not as the erosion of U.S. democracy but as its fulfillment? If we understand American democracy as premised on the genocide of indigenous peoples?’47 Such a perspective informs alliances by Palestinians and Indigenous Americans who critique the war on terror for having linked white supremacy, Orientalism, and racial nationalism to reinforce the United States and Israel as settler colonial states. In such a light</w:t>
      </w:r>
      <w:r w:rsidRPr="00E822FF">
        <w:rPr>
          <w:rStyle w:val="Emphasis"/>
        </w:rPr>
        <w:t>, Agamben’s assertion might suggest that ‘we’ are all exposed to bare life to the extent that the colonial exception and its universalisation within Western law now mark all peoples for elimination just as Indigenous peoples always were and still are marked</w:t>
      </w:r>
      <w:r w:rsidRPr="00E822FF">
        <w:rPr>
          <w:rStyle w:val="StyleUnderline"/>
        </w:rPr>
        <w:t>.</w:t>
      </w:r>
      <w:r w:rsidRPr="00E822FF">
        <w:rPr>
          <w:sz w:val="16"/>
        </w:rPr>
        <w:t xml:space="preserve"> Yet, conversely, if Agamben names an exception that settlers assigned to others now being potentially assigned to them, then for all of us to be exposed to bare life is to potentially position us all as settlers. I write provocatively here to suggest that a normative relationality between ‘Indigenous’ and ‘settler’ structures all logics of inclusion and exclusion in settler law and, therefore, in its universalisation as Western law. </w:t>
      </w:r>
      <w:r w:rsidRPr="00E822FF">
        <w:rPr>
          <w:rStyle w:val="StyleUnderline"/>
        </w:rPr>
        <w:t xml:space="preserve">Scholars must interrogate how this power-laden distinction imbues not only settler societies, but also their conditioning of liberal modernity along global scales. </w:t>
      </w:r>
      <w:r w:rsidRPr="00E822FF">
        <w:rPr>
          <w:rStyle w:val="Emphasis"/>
        </w:rPr>
        <w:t>We must theorise settler colonialism as historical grounds for the globalisation of biopower, and as an activity producing biopower in the present that requires denaturalising critique</w:t>
      </w:r>
      <w:r w:rsidRPr="00E822FF">
        <w:rPr>
          <w:rStyle w:val="StyleUnderline"/>
        </w:rPr>
        <w:t xml:space="preserve">. </w:t>
      </w:r>
    </w:p>
    <w:p w:rsidR="00B0636D" w:rsidRDefault="00B0636D" w:rsidP="00B0636D">
      <w:pPr>
        <w:pStyle w:val="Heading4"/>
      </w:pPr>
      <w:r>
        <w:t xml:space="preserve">Biopolitical structures and settler colonialism work in conjunction, it is key that we tackle them both. </w:t>
      </w:r>
    </w:p>
    <w:p w:rsidR="00B0636D" w:rsidRPr="00804FBA" w:rsidRDefault="00B0636D" w:rsidP="00B0636D">
      <w:pPr>
        <w:rPr>
          <w:rFonts w:asciiTheme="minorHAnsi" w:hAnsiTheme="minorHAnsi" w:cstheme="minorHAnsi"/>
        </w:rPr>
      </w:pPr>
      <w:r w:rsidRPr="009B5CDC">
        <w:rPr>
          <w:b/>
          <w:bCs/>
        </w:rPr>
        <w:t>Dietrich</w:t>
      </w:r>
      <w:r w:rsidRPr="009B5CDC">
        <w:rPr>
          <w:sz w:val="16"/>
        </w:rPr>
        <w:t xml:space="preserve">, René </w:t>
      </w:r>
      <w:r w:rsidRPr="009B5CDC">
        <w:rPr>
          <w:rFonts w:asciiTheme="minorHAnsi" w:hAnsiTheme="minorHAnsi" w:cstheme="minorHAnsi"/>
          <w:sz w:val="16"/>
          <w:shd w:val="clear" w:color="auto" w:fill="FFFFFF"/>
        </w:rPr>
        <w:t xml:space="preserve">Transnational American Studies Institute, University of Mainz. </w:t>
      </w:r>
      <w:r w:rsidRPr="009B5CDC">
        <w:rPr>
          <w:rFonts w:asciiTheme="minorHAnsi" w:hAnsiTheme="minorHAnsi" w:cstheme="minorHAnsi"/>
          <w:sz w:val="16"/>
        </w:rPr>
        <w:t>(</w:t>
      </w:r>
      <w:r w:rsidRPr="009B5CDC">
        <w:rPr>
          <w:rFonts w:asciiTheme="minorHAnsi" w:hAnsiTheme="minorHAnsi" w:cstheme="minorHAnsi"/>
          <w:szCs w:val="32"/>
        </w:rPr>
        <w:t>20</w:t>
      </w:r>
      <w:r w:rsidRPr="009B5CDC">
        <w:rPr>
          <w:rFonts w:asciiTheme="minorHAnsi" w:hAnsiTheme="minorHAnsi" w:cstheme="minorHAnsi"/>
          <w:b/>
          <w:bCs/>
          <w:szCs w:val="32"/>
        </w:rPr>
        <w:t>17</w:t>
      </w:r>
      <w:r w:rsidRPr="009B5CDC">
        <w:rPr>
          <w:rFonts w:asciiTheme="minorHAnsi" w:hAnsiTheme="minorHAnsi" w:cstheme="minorHAnsi"/>
          <w:sz w:val="16"/>
        </w:rPr>
        <w:t>).</w:t>
      </w:r>
      <w:r w:rsidRPr="009B5CDC">
        <w:rPr>
          <w:rFonts w:asciiTheme="minorHAnsi" w:hAnsiTheme="minorHAnsi" w:cstheme="minorHAnsi"/>
          <w:sz w:val="16"/>
          <w:shd w:val="clear" w:color="auto" w:fill="FFFFFF"/>
        </w:rPr>
        <w:t xml:space="preserve"> “</w:t>
      </w:r>
      <w:r w:rsidRPr="009B5CDC">
        <w:rPr>
          <w:rFonts w:asciiTheme="minorHAnsi" w:hAnsiTheme="minorHAnsi" w:cstheme="minorHAnsi"/>
          <w:sz w:val="16"/>
        </w:rPr>
        <w:t xml:space="preserve">The Biopolitical Logics of Settler Colonialism and Disruptive Relationality”. Cultural Studies ↔ Critical Methodologies, 17(1), 67-77. </w:t>
      </w:r>
      <w:hyperlink r:id="rId17" w:history="1">
        <w:r w:rsidRPr="009B5CDC">
          <w:rPr>
            <w:rStyle w:val="Hyperlink"/>
            <w:rFonts w:asciiTheme="minorHAnsi" w:hAnsiTheme="minorHAnsi" w:cstheme="minorHAnsi"/>
            <w:sz w:val="16"/>
          </w:rPr>
          <w:t>https://doi.org/10.1177/1532708616638696</w:t>
        </w:r>
      </w:hyperlink>
      <w:r w:rsidRPr="009B5CDC">
        <w:rPr>
          <w:rFonts w:asciiTheme="minorHAnsi" w:hAnsiTheme="minorHAnsi" w:cstheme="minorHAnsi"/>
          <w:sz w:val="16"/>
        </w:rPr>
        <w:t xml:space="preserve"> </w:t>
      </w:r>
    </w:p>
    <w:p w:rsidR="00B0636D" w:rsidRPr="00804FBA" w:rsidRDefault="00B0636D" w:rsidP="00B0636D">
      <w:pPr>
        <w:rPr>
          <w:sz w:val="16"/>
        </w:rPr>
      </w:pPr>
      <w:r w:rsidRPr="00804FBA">
        <w:rPr>
          <w:sz w:val="16"/>
        </w:rPr>
        <w:t>Introduction In settler colonial contexts</w:t>
      </w:r>
      <w:r w:rsidRPr="009B5CDC">
        <w:rPr>
          <w:u w:val="single"/>
        </w:rPr>
        <w:t>, biopolitics is an instrument of naturalization and depoliticization. The categorization of Indigenous peoples as a specifically racialized population group of “Indians” works to construe conflicts with Indigenous peoples as merely domestic problems of the set tler nation-state, such as the United States, best dealt with through implementation and enforcement of settler nation state laws</w:t>
      </w:r>
      <w:r w:rsidRPr="00804FBA">
        <w:rPr>
          <w:sz w:val="16"/>
        </w:rPr>
        <w:t xml:space="preserve">. </w:t>
      </w:r>
      <w:r w:rsidRPr="00061F83">
        <w:rPr>
          <w:u w:val="single"/>
        </w:rPr>
        <w:t>At the same time, specific modes of living that are privileged by settler nation-state institutions such as heteronormative coupling, patriarchal households, nuclear family living arrangements, and individual land ownership, are biopolitically regulated so as not to appear linked to a particular form of settler governance but expressive of the natural course and order of life. To this end, settler colonialism has been analyzed particularly in recent years not only as a geopolitical project, operating through logics of dispossession, removal, and containment, but also as a biopolitical project, operating through logics of racialization, regulation, and naturalization.1 At the same time, especially with the advancement of biopolitical theories in “mainstream” cultural studies and critical theory, numerous Indigenous studies scholars have also pointed out the necessity not to favor a biopolitical analysis of sovereignty, for instance, at the expense of geopolitical considerations that need to remain crucial for a thorough analysis and critique of settler colonialism, because: “Territoriality is settler colonialism’s specific, irreducible element” (P. Wolfe, 2006, p. 388).2 Notably, then, recent iterations of settler colonial and critical Indigenous studies approaches put an emphasis on how biopolitical and geopolitical forms of settler governance operate in conjunction, as for instance in the ongoing attacks against Indigenous lands, bodies, and lives so as to produce colonial space in the United States and Canada (Mishuana Goeman) or in the employment of “Indianness” for the transit of U.S. empire (Jodi Byrd) in geopolitical and biopolitical terms.</w:t>
      </w:r>
      <w:r w:rsidRPr="00804FBA">
        <w:rPr>
          <w:sz w:val="16"/>
        </w:rPr>
        <w:t xml:space="preserve"> The attention to geopolitical and biopolitical forms of settler colonial violence and governance thus serves to address the manifold, and oftentimes intersecting ways in which settler nation-states attempt to control Indigenous lands, lives, and bodies. At the same time, however, it also helps to make manifest the settler colonial assumption that there is, at least in theory, a geos divorced from the bios, and vice versa, which can be targeted distinctly. Such a logic ultimately rests on a European tradition of thought (which is then universalized in settler colonial contexts) that land itself is not a living thing, is not animate, is not a form of life. </w:t>
      </w:r>
      <w:r w:rsidRPr="00061F83">
        <w:rPr>
          <w:u w:val="single"/>
        </w:rPr>
        <w:t>Within a hierarchical order of the biopolitical, land is as such excluded from the sphere that constitutes political life. Such an exclusion, based on the Aristotelean hierarchy of all forms of life from the human to the seemingly inanimate stone, furthermore places political systems of thought and organization for whom the non-hierarchical relationality of all forms of life is constitutive, outside of the sphere that gets to count as political in dominant Euro-American society.</w:t>
      </w:r>
      <w:r w:rsidRPr="00804FBA">
        <w:rPr>
          <w:sz w:val="16"/>
        </w:rPr>
        <w:t xml:space="preserve"> In this essay then, I want to interrogate how the biopolitical logics of settler colonialism work to discredit the valid ity of a place-based politics of relationality in which Indigenous land and all forms of life, including the land itself, make up, through their mutually constitutive relation ships, the sphere of politics. Through the matrix of a settler colonial logic, such a politics is de facto placed outside the realm of what is acknowledged as political, since it extends its understanding of political life to spheres that are credited no political existence in Western or European accounts of politics. The essay is thus concerned with an issue similar to that outlined by Mark Rifkin (2009) in “Indigenizing Agamben” when he argues that “the state of exception pro duced through Indian policy creates a monopoly on the legitimate exercise of legitimacy, an exclusive uncontest able right to define what will count as a viable legal or polit ical form(ul)ation” (p. 91</w:t>
      </w:r>
      <w:r w:rsidRPr="00061F83">
        <w:rPr>
          <w:u w:val="single"/>
        </w:rPr>
        <w:t>). My focus is slightly different, however, as I want to examine to what extent Indigenous polities are illegible and unrecognizable as political forma tions to universalized paradigms of European political thought in the first place, which then enables the constitu tion of settler states and the subsequent biopolitical produc tion of Indigenous peoples as depoliticized populations or cultures.</w:t>
      </w:r>
      <w:r w:rsidRPr="00804FBA">
        <w:rPr>
          <w:sz w:val="16"/>
        </w:rPr>
        <w:t xml:space="preserve"> My main object in this essay is thus to outline the biopo litical logics of settler colonialism as they are embedded in hierarchical distinctions of forms of life foundational to European political thought, and additionally to theorize a politics of place-based relationality that seeks to disrupt these logics. In order to do so, I will engage and connect two distinct sites of knowledge production. First, I turn to Foucault’s and Agamben’s theorizations of the biopolitical particularly so as to reread their use of Aristotle and to ask in which way certain premises of Aristotle’s philosophy inform Foucault’s and Agamben’s thoughts on life and poli tics in distinct ways—which then remain largely unac knowledged in their own writing, however, and can continue to operate without being subjected to a biopolitical analytic. Second, I address Cherokee scholar and author Daniel Heath Justice’s (2011) fantasy novel The Way of Thorn and Thunder: The Kynship Chronicles not as a text on which to apply my reading of Foucault and Agamben, but rather with Mark Rifkin, as “a form of political theory” (2012, p. 2). Building also on the work of Indigenous legal theorists and law-and-literature scholars who posit that Native writing is characterized by, as David Carlson (2006) argues for early Native autobiography, “an engagement with colonial legal discourse,” (p. 23), I seek to read Justice’s novel as a means to theorize the possible framework for social, political, and legal formations of Indigenous peoples within, or opposed to, the settler state. My interest, however, lies not so much in reading Justice’s text as a possibility to enter into a con tested dialogue with the legal framework of U.S. Indian policy, or as a way to counter through literature the legal racism Robert A. Williams (2005) has detected as being instrumental for the history of U.S. Indian policy. Instead, I seek to read Justice’s novel as a means to illuminate Native writing, conventionally perceived as foremost a form of cultural expression, in its possibility to indicate an alterna tive horizon of politics. More precisely, I read his novel as gesturing towards a form of political normativity based on what is also conventionally perceived as a mere cultural trait of Indigenous ways of being, that is the strong empha sis on the relationship among all forms of life and (includ ing) the land. Precisely because of its position outside of the range of officially acknowledged politico-legal texts, while deeply engaging these discourses, Justice’s anticolonial fantasy offers itself to be analyzed as a site of Indigenous political knowledge production. I thus want to read it as a site of what I term disruptive relationality that generates ways to think about forms of political life which, in center ing principles of relationality, exceed what officially gets to count as political in settler colonial contexts. As such, a reading of Justice’s novel can point out the potentials of the literary and the fantastical for denaturalizing settler colonial rule, imagining decolonization, and indicating the possibilities of Indigenous futurity beyond settler fantasy.</w:t>
      </w:r>
    </w:p>
    <w:p w:rsidR="00EA24BE" w:rsidRPr="00EA24BE" w:rsidRDefault="00EA24BE" w:rsidP="00EA24BE">
      <w:pPr>
        <w:rPr>
          <w:rFonts w:asciiTheme="minorHAnsi" w:hAnsiTheme="minorHAnsi"/>
          <w:b/>
          <w:sz w:val="26"/>
          <w:szCs w:val="26"/>
        </w:rPr>
      </w:pPr>
      <w:r w:rsidRPr="00EA24BE">
        <w:rPr>
          <w:rFonts w:asciiTheme="minorHAnsi" w:hAnsiTheme="minorHAnsi"/>
          <w:b/>
          <w:sz w:val="26"/>
          <w:szCs w:val="26"/>
        </w:rPr>
        <w:t xml:space="preserve">Perm – Biopolitical and Settler Colonial narratives are intrinsically connected and can be read alongside each other. </w:t>
      </w:r>
    </w:p>
    <w:p w:rsidR="00EA24BE" w:rsidRPr="00EA24BE" w:rsidRDefault="00EA24BE" w:rsidP="00EA24BE">
      <w:pPr>
        <w:rPr>
          <w:rStyle w:val="Style13ptBold"/>
          <w:rFonts w:asciiTheme="minorHAnsi" w:hAnsiTheme="minorHAnsi"/>
          <w:b w:val="0"/>
          <w:bCs w:val="0"/>
          <w:color w:val="555555"/>
          <w:sz w:val="16"/>
          <w:szCs w:val="18"/>
          <w:shd w:val="clear" w:color="auto" w:fill="FFFFFF"/>
        </w:rPr>
      </w:pPr>
      <w:r w:rsidRPr="00EA24BE">
        <w:rPr>
          <w:rFonts w:asciiTheme="minorHAnsi" w:hAnsiTheme="minorHAnsi"/>
          <w:b/>
          <w:color w:val="000000" w:themeColor="text1"/>
          <w:sz w:val="26"/>
          <w:szCs w:val="26"/>
          <w:shd w:val="clear" w:color="auto" w:fill="FFFFFF"/>
        </w:rPr>
        <w:t xml:space="preserve">Griffiths </w:t>
      </w:r>
      <w:r w:rsidRPr="00EA24BE">
        <w:rPr>
          <w:rFonts w:asciiTheme="minorHAnsi" w:hAnsiTheme="minorHAnsi"/>
          <w:b/>
          <w:color w:val="000000" w:themeColor="text1"/>
          <w:sz w:val="26"/>
          <w:szCs w:val="26"/>
          <w:shd w:val="clear" w:color="auto" w:fill="FFFFFF"/>
        </w:rPr>
        <w:t>12</w:t>
      </w:r>
      <w:r>
        <w:rPr>
          <w:rFonts w:asciiTheme="minorHAnsi" w:hAnsiTheme="minorHAnsi"/>
          <w:color w:val="000000" w:themeColor="text1"/>
          <w:sz w:val="16"/>
          <w:szCs w:val="18"/>
          <w:shd w:val="clear" w:color="auto" w:fill="FFFFFF"/>
        </w:rPr>
        <w:t xml:space="preserve"> [</w:t>
      </w:r>
      <w:r w:rsidRPr="00EA24BE">
        <w:rPr>
          <w:rFonts w:asciiTheme="minorHAnsi" w:hAnsiTheme="minorHAnsi"/>
          <w:color w:val="000000" w:themeColor="text1"/>
          <w:sz w:val="16"/>
          <w:szCs w:val="18"/>
          <w:shd w:val="clear" w:color="auto" w:fill="FFFFFF"/>
        </w:rPr>
        <w:t>Michael R. Griffiths is a literary scholar whose work has focused principally on Indigenous, settler colonial and postcolonial literatures. He joined the School of The Arts, English, and Media in 2014. He received his PhD in English from Rice University in 2012, and was a Postdoctoral Fellow at Columbia University's Institute for Comparative Literature and Society from 2012 to 2014. 2012. “Unsettling artifacts: Biopolitics, cultural memory, and the public sphere in a (post)settler colony.” https://www.proquest.com/dissertations-theses/unsettling-artifacts-biopolitics-cultural</w:t>
      </w:r>
      <w:r>
        <w:rPr>
          <w:rFonts w:asciiTheme="minorHAnsi" w:hAnsiTheme="minorHAnsi"/>
          <w:color w:val="555555"/>
          <w:sz w:val="16"/>
          <w:szCs w:val="18"/>
          <w:shd w:val="clear" w:color="auto" w:fill="FFFFFF"/>
        </w:rPr>
        <w:t>]</w:t>
      </w:r>
    </w:p>
    <w:p w:rsidR="00EA24BE" w:rsidRPr="00EA24BE" w:rsidRDefault="00EA24BE" w:rsidP="00EA24BE">
      <w:pPr>
        <w:rPr>
          <w:rFonts w:asciiTheme="minorHAnsi" w:hAnsiTheme="minorHAnsi"/>
          <w:sz w:val="16"/>
        </w:rPr>
      </w:pPr>
      <w:r w:rsidRPr="00EA24BE">
        <w:rPr>
          <w:rFonts w:asciiTheme="minorHAnsi" w:hAnsiTheme="minorHAnsi"/>
          <w:sz w:val="16"/>
        </w:rPr>
        <w:t xml:space="preserve">Chapter 4 Biopolitical Correspondences: Anthropology, Native Administration, and Cultural Nationalism “[P]hysiographic factors work slowly . . . Ultimately the Australian race will be quite different from the ‘English’ race and hence Australian literature will be quite different from the merely English literature, of England.”1 P. R. Stephensen </w:t>
      </w:r>
      <w:r w:rsidRPr="00EA24BE">
        <w:rPr>
          <w:rFonts w:asciiTheme="minorHAnsi" w:hAnsiTheme="minorHAnsi"/>
          <w:u w:val="single"/>
        </w:rPr>
        <w:t>How does (post)colonial literary culture, so often annexed to nationalist concerns, interface with the biopolitical regulation of race and sexuality? Colonial biopolitics can be defined as the regularisation of a population according to the perceived insistence on norms. Unlike the diffuse, microscopic, governmental mechanisms of surveillance that identify the need for disciplinary interventions, biopolitics concerns itself with the regularisation of societies on a large scale, notably through demography.</w:t>
      </w:r>
      <w:r w:rsidRPr="00EA24BE">
        <w:rPr>
          <w:rFonts w:asciiTheme="minorHAnsi" w:hAnsiTheme="minorHAnsi"/>
          <w:sz w:val="16"/>
        </w:rPr>
        <w:t xml:space="preserve"> As Ann Laura Stoler has put it, Foucault’s identification of these two forms of power, “the disciplining of individual bodies . . . and the regularization of the life processes of aggregate human populations” has led to much productive work in the postcolonialist critique of “the discursive management of the sexual practices of the colonized,” and the resultant “colonial order of things.”2 Indeed, biopolitics is crucially concerned with what is perceptible at the macroscopic level of an entire population – often rendering its operations blind to more singular, small, identitarian, or even communitarian 184 representations and imaginaries. Certainly one can find representations of disciplinary power across the canon of oft-taught postcolonial texts, from Ngugi Wa Thiong’o’s critique of colonial policing in Petals of Blood, to Tsitsi Dangarembga’s meditation on the affective violence of mimicry in Nervous Conditions, to Salman Rushdie’s magical realist parody of Indira Gandhi’s state of emergency in Midnight’s Children.3 Such texts are cognizant of policing, colonial education, and the retention of exceptional measures threatening the democratic form emergent from the subcontinent. But what does one begin to write of the lettered settler colony, particularly since so much of the national imaginary, including its positioning of indigenous peoples, has been conjured as an intertext, a canon, an inheritance by the simultaneously antipodean and (nonetheless) colonizing imaginaries of settler colonists? As Wolfe suggested, settler colonies are not merely premised on the subjection of indigenous peoples, but very often also on their total disappearance. As we have seen, the natal-thanatopolitical, biopolitical, and other mechanisms by which this is attempted are variegated. It is incumbent to similarly survey the cultural correlates of such ideas. In the Australian context, the processes of absorption and assimilation directed toward Aboriginal people in the twentieth century clearly involve disciplinary practices driven by biopolitical projections of future normativity and homogeneity. But literary texts, while making truth claims about such contexts, rarely prescribe policy. </w:t>
      </w:r>
      <w:r w:rsidRPr="00EA24BE">
        <w:rPr>
          <w:rFonts w:asciiTheme="minorHAnsi" w:hAnsiTheme="minorHAnsi"/>
          <w:u w:val="single"/>
        </w:rPr>
        <w:t>Those singular settler imaginaries that traverse the backdrop of the governance and policing of indigenous people—constrained by the inheritance of genre, form, convention, and voice—nonetheless hardly reproduce the fantasies and anxieties of colonial governance as facsimiles of Aborigines Department memoranda. How do we read the narration of subaltern death, survival, or indeed assimilation when such an imaginary of doom in literary and cinematic texts has found itself displaced within the discursive formations of colonial governance: why do Aboriginal characters in novels keep dying after the turn to cultural assimilation? Why do settler poets consistently return to a melancholic lamentation of Aboriginal loss (as though it were their own) after this turn? Is it too much to say (as Foucault did not, at least not in so many words) that postcolonial texts—these small and particular representations—can be read alongside texts from the archive of settler colonial biopolitics? Taking seriously the degree to which such literary frames are not mere carbon copies, this chapter nonetheless insists on a tactical attempt to map the occasional correspondence of such archival and literary expressions. Doing so, I contend, brings into greater relief the moments of non correspondence: when imaginaries of death subsist after the supposed turn to assimilation, when policies about subaltern peoples are debated by white settler characters and not resolved.</w:t>
      </w:r>
      <w:r w:rsidRPr="00EA24BE">
        <w:rPr>
          <w:rFonts w:asciiTheme="minorHAnsi" w:hAnsiTheme="minorHAnsi"/>
          <w:sz w:val="16"/>
        </w:rPr>
        <w:t xml:space="preserve"> This notion off correspondence also allows us to tell the story of the way anthropological conceits and practices of colonial administration produced concrete concurrent effects in the cultural sphere, particularly, the emergent literary nationalist public sphere. The projected outcome of both absorption and assimilation was the homogenization of the Australian national polity. Where absorption imagined the disappearance of Aboriginal people via natal-thanatopolitical methods, assimilation— while retaining its disciplinary measures—turned on a more subtle articulation of its outcome vis a vis ideas of race, culture, and national homogeneity. Assimilation’s vision of national homogeneity was paralleled by regularizing functions that correspondingly 186 operated in anthropological discourse as well as literary nationalist discourse; it is these correspondences which I examine here. In the post-war period anthropologists, literary nationalists, and agents of assimilation variously contributed to a networked discursive formation that anxiously concerned itself with the place that Aboriginal culture and social life was to have in the new nation. Mid twentieth century Australian cultural nationalism drew heavily on the physiognomic, racial, and eugenic data that was also significantly in play in the discourse of Aboriginal policy. A key methodological investment of this chapter arises from the assertion that the biopolitical outcome of regularization and homogenization parallels the concerns of cultural nationalism, drawing out imaginaries, forces and desires that exceed and outlast their concrete governmental implementation. Many of these imaginaries insist on the symbolic value of settler nativity over against the voice of the too often expendible indigene. As Chadwick Allen suggests, “Aboriginal inhabitants of what are now First World nations have been forced to compete for indigenous status with European settlers and their descendants eager to construct new identities that separate them from European antecedents.”4 This is often the way indigenous characters operate in settler texts heavily concerned with indigeneity. While Aboriginality is avowed to the point of fetishization, it is also often made so at the expense of the indigenous body and mind as living presence. One organizing question, which precipitates this observation asks: how, as the physical anthropological and absorptionist elements retained by assimilationist doctrine called for the biological incorporation of the “Australoid race” into the settler nation’s normative population, were the correlative cultural appropriations disseminated as a party to the settler nation’s cultural uniqueness and homogeneity? How does the settler nation 187 imagine its coherence and independence through the sublation of an indigenous identity which it simultaneously destroys, constrains, and normativizes? Here I explore the way a certain artifactual Aboriginal constellation would have to be regularized and presented as acceptable to the dominant white population of the nation. Assimilation required that Aboriginal tradition be regularized as a “primitive” social form adaptable to the settler cultural model of nuclear familialism. If orientation to an environment hostile to whiteness was a problem for what Warwick Anderson has called Australia’s “reproductive frontier,” and if adaptation to this environment could (for many assimilationists) benefit from the biological absorption of Aboriginality, would there emerge an analogous desire for cultural adaptation?5 Discourses of Aboriginality were disseminated alongside government policies of assimilation in order to negotiate a form of nativist primitivism that would be acceptable to the nation’s future cultural homogeneity. The late 1930s are a key period in the government of Aboriginal people in Australia. I want to mark three further dates from the late 1930s that index three acutely biopolitical instances of the settler nationalist imaginary: October 1937. Elkin would continue a correspondence with his lay-ethnographer contact, W. E. “Bill” Harney, who was gathering ethnographic data at the Missions on Bathurst and Melville Islands. In this particular letter, alongside notes on the subsection systems of neighbouring peoples, the Anula and the Mudbura, Harney would insert his opinion about the potential normativization of the Aboriginal family and what precisely could be “abolished or modified”: 188 The system of polygamy seems to me to be quite OK in a nomadic race and can be eradicated without going to extreme means as I have found that the natives try to imitate the white and this they do in marriage and it is incredible the amount of natives in the bush working with the white man that have only one wife, they do not want another and when questioned on this, they remark that two women would be a nuisance as they would be jealous of each other.6 For Harney, the “imitat[ion of] the white” was a process that was already taking its course. Harney would elsewhere criticize the attitude (among missionaries and government agents) of “no compromise” in approaching the modification of native customs.7 His correspondence with Elkin would help produce a genre of popular narrative inviting settlers into the transforming Aboriginal life-world. January 1936. After its first two instalments had been published in The Australian Mercury, P.R. Stephensen’s The Foundations of Culture in Australia: An Essay Toward National Self Respect is published in book form by W.J. Miles. A short way into the essay’s third instalment, Stephensen would declare, ‘[a]ll parties agree that population is Australia’s paramount need’ (149). For Stephensen, a large population was one of the preconditions of a culturally nationalist Australia, independent of the British metropole. Yet, questions of race, hybridity, and the legitimacy of settler belonging would also not be absent from his prose. Coinciding with key transformations in Australian Aboriginal policy, Stephensen’s tract would influence a number of nativist and nationalist writers who desired both cultural independence and the incorporation of Aboriginal motifs into their writing; these included Rex Ingamells, Ian Mudie, and, most notably, Xavier Herbert. 189 June 1936. Herbert writes to his friend Arthur Dibley, a manuscript reader at P.R. Stephensen and Co., from the veranda of his house in the Kahlin Aboriginal Compound in Darwin.8 In early 1934, Herbert and Stephensen had worked closely on the revision of Capricornia;9 indeed, in the early 1960s Stephensen even claimed his role in editing to be so extensive as to warrant co-authorship.10 When Herbert wrote to Dibley, he was employed as acting superintendent of the compound—an agent of the surveillance and discipline of Aboriginal people. In his letter, Herbert clearly related his literary ambitions to grandiloquent dreams of nationalism and race-consciousness: Do you know what I’ve been dreaming of doing? Why, no less than teaching the Aboriginal race to accept citizenship &amp; win a place in the Nation, &amp; honourable place [sic], so that they may cross with the invaders &amp; enrich the new Nation with their blood. Already I have founded a Euraustralian League, the members of which are Halfcastes and Quartercastes whose blood is pure Aboriginal and European, the aim of which is to teach pride of race to these people &amp; to teach others to honour them &amp; ultimately to found a Nation.11 Herbert’s imagined project of a hybrid nation was not only premised on the citizenship of Aboriginal Australians. It was also an appeal to contemporary population and attitudes toward potential preservation of ‘full blood’ natives through reserve land12. Before turning to limn the correspondences between these events, it is incumbent upon me to say something further about the methodological stakes of correspondence itself. </w:t>
      </w:r>
    </w:p>
    <w:p w:rsidR="002E141E" w:rsidRPr="00EA24BE" w:rsidRDefault="002E141E" w:rsidP="002E141E">
      <w:pPr>
        <w:rPr>
          <w:rFonts w:asciiTheme="minorHAnsi" w:hAnsiTheme="minorHAnsi"/>
        </w:rPr>
      </w:pPr>
    </w:p>
    <w:sectPr w:rsidR="002E141E" w:rsidRPr="00EA24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2F16" w:rsidRDefault="00462F16" w:rsidP="00066D2C">
      <w:pPr>
        <w:spacing w:after="0" w:line="240" w:lineRule="auto"/>
      </w:pPr>
      <w:r>
        <w:separator/>
      </w:r>
    </w:p>
  </w:endnote>
  <w:endnote w:type="continuationSeparator" w:id="0">
    <w:p w:rsidR="00462F16" w:rsidRDefault="00462F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2F16" w:rsidRDefault="00462F16" w:rsidP="00066D2C">
      <w:pPr>
        <w:spacing w:after="0" w:line="240" w:lineRule="auto"/>
      </w:pPr>
      <w:r>
        <w:separator/>
      </w:r>
    </w:p>
  </w:footnote>
  <w:footnote w:type="continuationSeparator" w:id="0">
    <w:p w:rsidR="00462F16" w:rsidRDefault="00462F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67EF4"/>
    <w:multiLevelType w:val="hybridMultilevel"/>
    <w:tmpl w:val="E550C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1"/>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S" w:val="Windows NT"/>
    <w:docVar w:name="OSVersion" w:val="10.0"/>
    <w:docVar w:name="RibbonPointer" w:val="321688408"/>
    <w:docVar w:name="VerbatimVersion" w:val="6.0.0"/>
    <w:docVar w:name="WordVersion" w:val="16.0"/>
  </w:docVars>
  <w:rsids>
    <w:rsidRoot w:val="00F0115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547"/>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3B7"/>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2"/>
    <w:rsid w:val="000F5C68"/>
    <w:rsid w:val="000F6390"/>
    <w:rsid w:val="000F6530"/>
    <w:rsid w:val="000F775F"/>
    <w:rsid w:val="001014FC"/>
    <w:rsid w:val="0010417F"/>
    <w:rsid w:val="00105540"/>
    <w:rsid w:val="00105C8A"/>
    <w:rsid w:val="001119CE"/>
    <w:rsid w:val="001128A3"/>
    <w:rsid w:val="00113114"/>
    <w:rsid w:val="00114316"/>
    <w:rsid w:val="001149FE"/>
    <w:rsid w:val="00117F85"/>
    <w:rsid w:val="00117F87"/>
    <w:rsid w:val="001218F5"/>
    <w:rsid w:val="00122202"/>
    <w:rsid w:val="00123317"/>
    <w:rsid w:val="00127061"/>
    <w:rsid w:val="00131B53"/>
    <w:rsid w:val="001327C1"/>
    <w:rsid w:val="001329A3"/>
    <w:rsid w:val="00134120"/>
    <w:rsid w:val="001356C8"/>
    <w:rsid w:val="001378C8"/>
    <w:rsid w:val="00140A6B"/>
    <w:rsid w:val="00144AD4"/>
    <w:rsid w:val="00146731"/>
    <w:rsid w:val="00146F2E"/>
    <w:rsid w:val="00150A2E"/>
    <w:rsid w:val="00152BF7"/>
    <w:rsid w:val="00154D61"/>
    <w:rsid w:val="00163574"/>
    <w:rsid w:val="001645D4"/>
    <w:rsid w:val="0016567B"/>
    <w:rsid w:val="0016568A"/>
    <w:rsid w:val="00170A72"/>
    <w:rsid w:val="00171A2A"/>
    <w:rsid w:val="001723BA"/>
    <w:rsid w:val="00175A0C"/>
    <w:rsid w:val="00180A4E"/>
    <w:rsid w:val="00181F58"/>
    <w:rsid w:val="0018555B"/>
    <w:rsid w:val="00186B65"/>
    <w:rsid w:val="00190CDA"/>
    <w:rsid w:val="00191500"/>
    <w:rsid w:val="00196816"/>
    <w:rsid w:val="00196A2C"/>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194"/>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5D08"/>
    <w:rsid w:val="002B1F99"/>
    <w:rsid w:val="002B2116"/>
    <w:rsid w:val="002B3050"/>
    <w:rsid w:val="002B5F0C"/>
    <w:rsid w:val="002C0731"/>
    <w:rsid w:val="002C0B33"/>
    <w:rsid w:val="002C30D9"/>
    <w:rsid w:val="002C4979"/>
    <w:rsid w:val="002C6C7D"/>
    <w:rsid w:val="002C769C"/>
    <w:rsid w:val="002D2594"/>
    <w:rsid w:val="002D3647"/>
    <w:rsid w:val="002D418C"/>
    <w:rsid w:val="002E141E"/>
    <w:rsid w:val="002E663F"/>
    <w:rsid w:val="002E6840"/>
    <w:rsid w:val="002F0384"/>
    <w:rsid w:val="002F276B"/>
    <w:rsid w:val="002F28CE"/>
    <w:rsid w:val="002F2CFC"/>
    <w:rsid w:val="002F37D1"/>
    <w:rsid w:val="002F5714"/>
    <w:rsid w:val="002F5A47"/>
    <w:rsid w:val="002F636E"/>
    <w:rsid w:val="00300F2F"/>
    <w:rsid w:val="0030169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079"/>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5EE"/>
    <w:rsid w:val="003F3920"/>
    <w:rsid w:val="003F4D5F"/>
    <w:rsid w:val="00402A1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2F16"/>
    <w:rsid w:val="004644E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B2D"/>
    <w:rsid w:val="005268F8"/>
    <w:rsid w:val="0053626E"/>
    <w:rsid w:val="00541F71"/>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8B4"/>
    <w:rsid w:val="005932B4"/>
    <w:rsid w:val="0059620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9B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EB1"/>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1B9"/>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88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C1B"/>
    <w:rsid w:val="007F1998"/>
    <w:rsid w:val="007F2034"/>
    <w:rsid w:val="007F22C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5A6"/>
    <w:rsid w:val="00841328"/>
    <w:rsid w:val="00841CCC"/>
    <w:rsid w:val="00844377"/>
    <w:rsid w:val="008443EF"/>
    <w:rsid w:val="00846F90"/>
    <w:rsid w:val="00852FB9"/>
    <w:rsid w:val="008536B7"/>
    <w:rsid w:val="00860F34"/>
    <w:rsid w:val="00862AC4"/>
    <w:rsid w:val="0086319B"/>
    <w:rsid w:val="008674A6"/>
    <w:rsid w:val="00870C15"/>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4A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80D"/>
    <w:rsid w:val="00991819"/>
    <w:rsid w:val="00992BBB"/>
    <w:rsid w:val="00996B34"/>
    <w:rsid w:val="009A0FC8"/>
    <w:rsid w:val="009A2372"/>
    <w:rsid w:val="009A42F1"/>
    <w:rsid w:val="009A4600"/>
    <w:rsid w:val="009A5571"/>
    <w:rsid w:val="009A7878"/>
    <w:rsid w:val="009B0CDC"/>
    <w:rsid w:val="009B1729"/>
    <w:rsid w:val="009B5B4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81D"/>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4E84"/>
    <w:rsid w:val="00A81524"/>
    <w:rsid w:val="00A81D60"/>
    <w:rsid w:val="00A90163"/>
    <w:rsid w:val="00A972D8"/>
    <w:rsid w:val="00AA1AC0"/>
    <w:rsid w:val="00AA23DA"/>
    <w:rsid w:val="00AA3B66"/>
    <w:rsid w:val="00AA57D9"/>
    <w:rsid w:val="00AA5803"/>
    <w:rsid w:val="00AA584F"/>
    <w:rsid w:val="00AB2843"/>
    <w:rsid w:val="00AB3118"/>
    <w:rsid w:val="00AB6F32"/>
    <w:rsid w:val="00AC46C7"/>
    <w:rsid w:val="00AC5B71"/>
    <w:rsid w:val="00AC5F18"/>
    <w:rsid w:val="00AC6ED5"/>
    <w:rsid w:val="00AE00AE"/>
    <w:rsid w:val="00AE56E1"/>
    <w:rsid w:val="00AE6C9A"/>
    <w:rsid w:val="00AE702A"/>
    <w:rsid w:val="00AF2207"/>
    <w:rsid w:val="00AF2612"/>
    <w:rsid w:val="00AF2A61"/>
    <w:rsid w:val="00AF30D9"/>
    <w:rsid w:val="00AF63BF"/>
    <w:rsid w:val="00AF6B3B"/>
    <w:rsid w:val="00AF79DD"/>
    <w:rsid w:val="00AF7F2C"/>
    <w:rsid w:val="00AF7F46"/>
    <w:rsid w:val="00B0178C"/>
    <w:rsid w:val="00B019F0"/>
    <w:rsid w:val="00B02885"/>
    <w:rsid w:val="00B04EC7"/>
    <w:rsid w:val="00B0636D"/>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CFE"/>
    <w:rsid w:val="00BB1630"/>
    <w:rsid w:val="00BB6860"/>
    <w:rsid w:val="00BC306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5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AB3"/>
    <w:rsid w:val="00C27729"/>
    <w:rsid w:val="00C312FA"/>
    <w:rsid w:val="00C332C4"/>
    <w:rsid w:val="00C333CD"/>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9C8"/>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352"/>
    <w:rsid w:val="00D70E15"/>
    <w:rsid w:val="00D714E5"/>
    <w:rsid w:val="00D7546D"/>
    <w:rsid w:val="00D75C54"/>
    <w:rsid w:val="00D839C5"/>
    <w:rsid w:val="00D84043"/>
    <w:rsid w:val="00D855D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D56"/>
    <w:rsid w:val="00E33666"/>
    <w:rsid w:val="00E3771A"/>
    <w:rsid w:val="00E40B45"/>
    <w:rsid w:val="00E41637"/>
    <w:rsid w:val="00E50C30"/>
    <w:rsid w:val="00E51410"/>
    <w:rsid w:val="00E515E7"/>
    <w:rsid w:val="00E53B5E"/>
    <w:rsid w:val="00E5580D"/>
    <w:rsid w:val="00E56402"/>
    <w:rsid w:val="00E56CB5"/>
    <w:rsid w:val="00E61828"/>
    <w:rsid w:val="00E65E56"/>
    <w:rsid w:val="00E664D0"/>
    <w:rsid w:val="00E66F94"/>
    <w:rsid w:val="00E670E5"/>
    <w:rsid w:val="00E6767D"/>
    <w:rsid w:val="00E717C1"/>
    <w:rsid w:val="00E71E63"/>
    <w:rsid w:val="00E76D4C"/>
    <w:rsid w:val="00E81786"/>
    <w:rsid w:val="00E82EEA"/>
    <w:rsid w:val="00E85DE5"/>
    <w:rsid w:val="00E90EC0"/>
    <w:rsid w:val="00E944C1"/>
    <w:rsid w:val="00E97D8B"/>
    <w:rsid w:val="00EA24BE"/>
    <w:rsid w:val="00EA5878"/>
    <w:rsid w:val="00EA7F55"/>
    <w:rsid w:val="00EB1CE6"/>
    <w:rsid w:val="00EB1F19"/>
    <w:rsid w:val="00EB7375"/>
    <w:rsid w:val="00EC06EA"/>
    <w:rsid w:val="00EC2660"/>
    <w:rsid w:val="00EC3057"/>
    <w:rsid w:val="00EC47C5"/>
    <w:rsid w:val="00ED087B"/>
    <w:rsid w:val="00ED19D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5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6C8437C9-7AAB-4AFA-AA83-DFD6ED9A5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F01155"/>
    <w:rPr>
      <w:rFonts w:ascii="Calibri" w:hAnsi="Calibri" w:cs="Calibri"/>
    </w:rPr>
  </w:style>
  <w:style w:type="paragraph" w:styleId="Heading1">
    <w:name w:val="heading 1"/>
    <w:aliases w:val="Pocket"/>
    <w:basedOn w:val="Normal"/>
    <w:next w:val="Normal"/>
    <w:link w:val="Heading1Char"/>
    <w:qFormat/>
    <w:rsid w:val="00F011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11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011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F011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11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11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155"/>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F011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1155"/>
    <w:rPr>
      <w:color w:val="auto"/>
      <w:u w:val="none"/>
    </w:rPr>
  </w:style>
  <w:style w:type="character" w:customStyle="1" w:styleId="Heading1Char">
    <w:name w:val="Heading 1 Char"/>
    <w:aliases w:val="Pocket Char"/>
    <w:basedOn w:val="DefaultParagraphFont"/>
    <w:link w:val="Heading1"/>
    <w:rsid w:val="00F011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115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0115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F011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1155"/>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o,8,8."/>
    <w:basedOn w:val="DefaultParagraphFont"/>
    <w:uiPriority w:val="7"/>
    <w:qFormat/>
    <w:rsid w:val="00F01155"/>
    <w:rPr>
      <w:b w:val="0"/>
      <w:sz w:val="22"/>
      <w:u w:val="single"/>
    </w:rPr>
  </w:style>
  <w:style w:type="character" w:styleId="Strong">
    <w:name w:val="Strong"/>
    <w:basedOn w:val="DefaultParagraphFont"/>
    <w:uiPriority w:val="22"/>
    <w:semiHidden/>
    <w:qFormat/>
    <w:rsid w:val="00F01155"/>
    <w:rPr>
      <w:b/>
      <w:bCs/>
    </w:rPr>
  </w:style>
  <w:style w:type="character" w:styleId="BookTitle">
    <w:name w:val="Book Title"/>
    <w:basedOn w:val="DefaultParagraphFont"/>
    <w:uiPriority w:val="33"/>
    <w:semiHidden/>
    <w:qFormat/>
    <w:rsid w:val="00F01155"/>
    <w:rPr>
      <w:b/>
      <w:bCs/>
      <w:i/>
      <w:iCs/>
      <w:spacing w:val="5"/>
    </w:rPr>
  </w:style>
  <w:style w:type="character" w:customStyle="1" w:styleId="Heading5Char">
    <w:name w:val="Heading 5 Char"/>
    <w:basedOn w:val="DefaultParagraphFont"/>
    <w:link w:val="Heading5"/>
    <w:uiPriority w:val="9"/>
    <w:semiHidden/>
    <w:rsid w:val="00F011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1155"/>
  </w:style>
  <w:style w:type="paragraph" w:styleId="Header">
    <w:name w:val="header"/>
    <w:basedOn w:val="Normal"/>
    <w:link w:val="HeaderChar"/>
    <w:uiPriority w:val="99"/>
    <w:semiHidden/>
    <w:rsid w:val="00F011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1155"/>
    <w:rPr>
      <w:rFonts w:ascii="Calibri" w:hAnsi="Calibri" w:cs="Calibri"/>
    </w:rPr>
  </w:style>
  <w:style w:type="paragraph" w:styleId="Footer">
    <w:name w:val="footer"/>
    <w:basedOn w:val="Normal"/>
    <w:link w:val="FooterChar"/>
    <w:uiPriority w:val="99"/>
    <w:semiHidden/>
    <w:rsid w:val="00F011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1155"/>
    <w:rPr>
      <w:rFonts w:ascii="Calibri" w:hAnsi="Calibri" w:cs="Calibri"/>
    </w:rPr>
  </w:style>
  <w:style w:type="paragraph" w:styleId="BodyText">
    <w:name w:val="Body Text"/>
    <w:basedOn w:val="Normal"/>
    <w:link w:val="BodyTextChar"/>
    <w:uiPriority w:val="99"/>
    <w:semiHidden/>
    <w:unhideWhenUsed/>
    <w:rsid w:val="00F01155"/>
    <w:pPr>
      <w:spacing w:after="120"/>
    </w:pPr>
  </w:style>
  <w:style w:type="character" w:customStyle="1" w:styleId="BodyTextChar">
    <w:name w:val="Body Text Char"/>
    <w:basedOn w:val="DefaultParagraphFont"/>
    <w:link w:val="BodyText"/>
    <w:uiPriority w:val="99"/>
    <w:semiHidden/>
    <w:rsid w:val="00F01155"/>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No Spacing7"/>
    <w:link w:val="NoSpacingChar"/>
    <w:uiPriority w:val="99"/>
    <w:unhideWhenUsed/>
    <w:qFormat/>
    <w:rsid w:val="00F01155"/>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semiHidden/>
    <w:rsid w:val="00F0115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F01155"/>
    <w:rPr>
      <w:color w:val="0563C1" w:themeColor="hyperlink"/>
      <w:u w:val="single"/>
    </w:rPr>
  </w:style>
  <w:style w:type="character" w:customStyle="1" w:styleId="UnresolvedMention">
    <w:name w:val="Unresolved Mention"/>
    <w:basedOn w:val="DefaultParagraphFont"/>
    <w:uiPriority w:val="99"/>
    <w:semiHidden/>
    <w:unhideWhenUsed/>
    <w:rsid w:val="00F01155"/>
    <w:rPr>
      <w:color w:val="605E5C"/>
      <w:shd w:val="clear" w:color="auto" w:fill="E1DFDD"/>
    </w:rPr>
  </w:style>
  <w:style w:type="paragraph" w:customStyle="1" w:styleId="Analytic">
    <w:name w:val="Analytic"/>
    <w:basedOn w:val="Normal"/>
    <w:autoRedefine/>
    <w:uiPriority w:val="5"/>
    <w:qFormat/>
    <w:rsid w:val="002E141E"/>
    <w:rPr>
      <w:b/>
      <w:bCs/>
      <w:color w:val="1F3864" w:themeColor="accent1" w:themeShade="80"/>
      <w:sz w:val="26"/>
      <w:szCs w:val="26"/>
    </w:rPr>
  </w:style>
  <w:style w:type="paragraph" w:customStyle="1" w:styleId="Undertag">
    <w:name w:val="Undertag"/>
    <w:autoRedefine/>
    <w:uiPriority w:val="5"/>
    <w:qFormat/>
    <w:rsid w:val="002E141E"/>
    <w:rPr>
      <w:rFonts w:ascii="Calibri" w:hAnsi="Calibri" w:cs="Calibri"/>
      <w:bCs/>
      <w:i/>
      <w:color w:val="385623" w:themeColor="accent6" w:themeShade="80"/>
      <w:sz w:val="26"/>
      <w:szCs w:val="26"/>
    </w:rPr>
  </w:style>
  <w:style w:type="paragraph" w:customStyle="1" w:styleId="textbold">
    <w:name w:val="text bold"/>
    <w:basedOn w:val="Normal"/>
    <w:link w:val="Emphasis"/>
    <w:uiPriority w:val="8"/>
    <w:qFormat/>
    <w:rsid w:val="002E141E"/>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underline">
    <w:name w:val="underline"/>
    <w:basedOn w:val="DefaultParagraphFont"/>
    <w:qFormat/>
    <w:rsid w:val="002E141E"/>
  </w:style>
  <w:style w:type="paragraph" w:styleId="NormalWeb">
    <w:name w:val="Normal (Web)"/>
    <w:basedOn w:val="Normal"/>
    <w:uiPriority w:val="99"/>
    <w:unhideWhenUsed/>
    <w:rsid w:val="007E4C1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E4C1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E4C1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E4C1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E4C1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69415875">
      <w:bodyDiv w:val="1"/>
      <w:marLeft w:val="0"/>
      <w:marRight w:val="0"/>
      <w:marTop w:val="0"/>
      <w:marBottom w:val="0"/>
      <w:divBdr>
        <w:top w:val="none" w:sz="0" w:space="0" w:color="auto"/>
        <w:left w:val="none" w:sz="0" w:space="0" w:color="auto"/>
        <w:bottom w:val="none" w:sz="0" w:space="0" w:color="auto"/>
        <w:right w:val="none" w:sz="0" w:space="0" w:color="auto"/>
      </w:divBdr>
      <w:divsChild>
        <w:div w:id="1986398073">
          <w:marLeft w:val="0"/>
          <w:marRight w:val="0"/>
          <w:marTop w:val="0"/>
          <w:marBottom w:val="0"/>
          <w:divBdr>
            <w:top w:val="none" w:sz="0" w:space="0" w:color="auto"/>
            <w:left w:val="none" w:sz="0" w:space="0" w:color="auto"/>
            <w:bottom w:val="none" w:sz="0" w:space="0" w:color="auto"/>
            <w:right w:val="none" w:sz="0" w:space="0" w:color="auto"/>
          </w:divBdr>
          <w:divsChild>
            <w:div w:id="13147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0046">
      <w:bodyDiv w:val="1"/>
      <w:marLeft w:val="0"/>
      <w:marRight w:val="0"/>
      <w:marTop w:val="0"/>
      <w:marBottom w:val="0"/>
      <w:divBdr>
        <w:top w:val="none" w:sz="0" w:space="0" w:color="auto"/>
        <w:left w:val="none" w:sz="0" w:space="0" w:color="auto"/>
        <w:bottom w:val="none" w:sz="0" w:space="0" w:color="auto"/>
        <w:right w:val="none" w:sz="0" w:space="0" w:color="auto"/>
      </w:divBdr>
      <w:divsChild>
        <w:div w:id="759835818">
          <w:marLeft w:val="0"/>
          <w:marRight w:val="0"/>
          <w:marTop w:val="0"/>
          <w:marBottom w:val="0"/>
          <w:divBdr>
            <w:top w:val="none" w:sz="0" w:space="0" w:color="auto"/>
            <w:left w:val="none" w:sz="0" w:space="0" w:color="auto"/>
            <w:bottom w:val="none" w:sz="0" w:space="0" w:color="auto"/>
            <w:right w:val="none" w:sz="0" w:space="0" w:color="auto"/>
          </w:divBdr>
          <w:divsChild>
            <w:div w:id="1782139767">
              <w:marLeft w:val="0"/>
              <w:marRight w:val="0"/>
              <w:marTop w:val="0"/>
              <w:marBottom w:val="0"/>
              <w:divBdr>
                <w:top w:val="none" w:sz="0" w:space="0" w:color="auto"/>
                <w:left w:val="none" w:sz="0" w:space="0" w:color="auto"/>
                <w:bottom w:val="none" w:sz="0" w:space="0" w:color="auto"/>
                <w:right w:val="none" w:sz="0" w:space="0" w:color="auto"/>
              </w:divBdr>
              <w:divsChild>
                <w:div w:id="784812573">
                  <w:marLeft w:val="0"/>
                  <w:marRight w:val="0"/>
                  <w:marTop w:val="0"/>
                  <w:marBottom w:val="0"/>
                  <w:divBdr>
                    <w:top w:val="none" w:sz="0" w:space="0" w:color="auto"/>
                    <w:left w:val="none" w:sz="0" w:space="0" w:color="auto"/>
                    <w:bottom w:val="none" w:sz="0" w:space="0" w:color="auto"/>
                    <w:right w:val="none" w:sz="0" w:space="0" w:color="auto"/>
                  </w:divBdr>
                  <w:divsChild>
                    <w:div w:id="302277787">
                      <w:marLeft w:val="0"/>
                      <w:marRight w:val="0"/>
                      <w:marTop w:val="0"/>
                      <w:marBottom w:val="0"/>
                      <w:divBdr>
                        <w:top w:val="none" w:sz="0" w:space="0" w:color="auto"/>
                        <w:left w:val="none" w:sz="0" w:space="0" w:color="auto"/>
                        <w:bottom w:val="none" w:sz="0" w:space="0" w:color="auto"/>
                        <w:right w:val="none" w:sz="0" w:space="0" w:color="auto"/>
                      </w:divBdr>
                      <w:divsChild>
                        <w:div w:id="557937262">
                          <w:marLeft w:val="0"/>
                          <w:marRight w:val="0"/>
                          <w:marTop w:val="0"/>
                          <w:marBottom w:val="0"/>
                          <w:divBdr>
                            <w:top w:val="none" w:sz="0" w:space="0" w:color="auto"/>
                            <w:left w:val="none" w:sz="0" w:space="0" w:color="auto"/>
                            <w:bottom w:val="none" w:sz="0" w:space="0" w:color="auto"/>
                            <w:right w:val="none" w:sz="0" w:space="0" w:color="auto"/>
                          </w:divBdr>
                          <w:divsChild>
                            <w:div w:id="1564633153">
                              <w:marLeft w:val="0"/>
                              <w:marRight w:val="0"/>
                              <w:marTop w:val="0"/>
                              <w:marBottom w:val="0"/>
                              <w:divBdr>
                                <w:top w:val="none" w:sz="0" w:space="0" w:color="auto"/>
                                <w:left w:val="none" w:sz="0" w:space="0" w:color="auto"/>
                                <w:bottom w:val="none" w:sz="0" w:space="0" w:color="auto"/>
                                <w:right w:val="none" w:sz="0" w:space="0" w:color="auto"/>
                              </w:divBdr>
                              <w:divsChild>
                                <w:div w:id="1871843245">
                                  <w:marLeft w:val="0"/>
                                  <w:marRight w:val="0"/>
                                  <w:marTop w:val="0"/>
                                  <w:marBottom w:val="0"/>
                                  <w:divBdr>
                                    <w:top w:val="none" w:sz="0" w:space="0" w:color="auto"/>
                                    <w:left w:val="none" w:sz="0" w:space="0" w:color="auto"/>
                                    <w:bottom w:val="none" w:sz="0" w:space="0" w:color="auto"/>
                                    <w:right w:val="none" w:sz="0" w:space="0" w:color="auto"/>
                                  </w:divBdr>
                                  <w:divsChild>
                                    <w:div w:id="587814284">
                                      <w:marLeft w:val="0"/>
                                      <w:marRight w:val="0"/>
                                      <w:marTop w:val="0"/>
                                      <w:marBottom w:val="0"/>
                                      <w:divBdr>
                                        <w:top w:val="none" w:sz="0" w:space="0" w:color="auto"/>
                                        <w:left w:val="none" w:sz="0" w:space="0" w:color="auto"/>
                                        <w:bottom w:val="none" w:sz="0" w:space="0" w:color="auto"/>
                                        <w:right w:val="none" w:sz="0" w:space="0" w:color="auto"/>
                                      </w:divBdr>
                                      <w:divsChild>
                                        <w:div w:id="960842965">
                                          <w:marLeft w:val="0"/>
                                          <w:marRight w:val="0"/>
                                          <w:marTop w:val="0"/>
                                          <w:marBottom w:val="0"/>
                                          <w:divBdr>
                                            <w:top w:val="none" w:sz="0" w:space="0" w:color="auto"/>
                                            <w:left w:val="none" w:sz="0" w:space="0" w:color="auto"/>
                                            <w:bottom w:val="none" w:sz="0" w:space="0" w:color="auto"/>
                                            <w:right w:val="none" w:sz="0" w:space="0" w:color="auto"/>
                                          </w:divBdr>
                                          <w:divsChild>
                                            <w:div w:id="213741557">
                                              <w:marLeft w:val="0"/>
                                              <w:marRight w:val="0"/>
                                              <w:marTop w:val="0"/>
                                              <w:marBottom w:val="0"/>
                                              <w:divBdr>
                                                <w:top w:val="none" w:sz="0" w:space="0" w:color="auto"/>
                                                <w:left w:val="none" w:sz="0" w:space="0" w:color="auto"/>
                                                <w:bottom w:val="none" w:sz="0" w:space="0" w:color="auto"/>
                                                <w:right w:val="none" w:sz="0" w:space="0" w:color="auto"/>
                                              </w:divBdr>
                                              <w:divsChild>
                                                <w:div w:id="791173200">
                                                  <w:marLeft w:val="0"/>
                                                  <w:marRight w:val="0"/>
                                                  <w:marTop w:val="0"/>
                                                  <w:marBottom w:val="0"/>
                                                  <w:divBdr>
                                                    <w:top w:val="none" w:sz="0" w:space="0" w:color="auto"/>
                                                    <w:left w:val="none" w:sz="0" w:space="0" w:color="auto"/>
                                                    <w:bottom w:val="none" w:sz="0" w:space="0" w:color="auto"/>
                                                    <w:right w:val="none" w:sz="0" w:space="0" w:color="auto"/>
                                                  </w:divBdr>
                                                  <w:divsChild>
                                                    <w:div w:id="920720196">
                                                      <w:marLeft w:val="0"/>
                                                      <w:marRight w:val="0"/>
                                                      <w:marTop w:val="0"/>
                                                      <w:marBottom w:val="0"/>
                                                      <w:divBdr>
                                                        <w:top w:val="none" w:sz="0" w:space="0" w:color="auto"/>
                                                        <w:left w:val="none" w:sz="0" w:space="0" w:color="auto"/>
                                                        <w:bottom w:val="none" w:sz="0" w:space="0" w:color="auto"/>
                                                        <w:right w:val="none" w:sz="0" w:space="0" w:color="auto"/>
                                                      </w:divBdr>
                                                      <w:divsChild>
                                                        <w:div w:id="1502550546">
                                                          <w:marLeft w:val="0"/>
                                                          <w:marRight w:val="0"/>
                                                          <w:marTop w:val="0"/>
                                                          <w:marBottom w:val="0"/>
                                                          <w:divBdr>
                                                            <w:top w:val="none" w:sz="0" w:space="0" w:color="auto"/>
                                                            <w:left w:val="none" w:sz="0" w:space="0" w:color="auto"/>
                                                            <w:bottom w:val="none" w:sz="0" w:space="0" w:color="auto"/>
                                                            <w:right w:val="none" w:sz="0" w:space="0" w:color="auto"/>
                                                          </w:divBdr>
                                                          <w:divsChild>
                                                            <w:div w:id="11115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915246">
          <w:marLeft w:val="0"/>
          <w:marRight w:val="0"/>
          <w:marTop w:val="0"/>
          <w:marBottom w:val="0"/>
          <w:divBdr>
            <w:top w:val="none" w:sz="0" w:space="0" w:color="auto"/>
            <w:left w:val="none" w:sz="0" w:space="0" w:color="auto"/>
            <w:bottom w:val="none" w:sz="0" w:space="0" w:color="auto"/>
            <w:right w:val="none" w:sz="0" w:space="0" w:color="auto"/>
          </w:divBdr>
          <w:divsChild>
            <w:div w:id="1790318233">
              <w:marLeft w:val="0"/>
              <w:marRight w:val="0"/>
              <w:marTop w:val="0"/>
              <w:marBottom w:val="0"/>
              <w:divBdr>
                <w:top w:val="none" w:sz="0" w:space="0" w:color="auto"/>
                <w:left w:val="none" w:sz="0" w:space="0" w:color="auto"/>
                <w:bottom w:val="none" w:sz="0" w:space="0" w:color="auto"/>
                <w:right w:val="none" w:sz="0" w:space="0" w:color="auto"/>
              </w:divBdr>
              <w:divsChild>
                <w:div w:id="20934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941709">
      <w:bodyDiv w:val="1"/>
      <w:marLeft w:val="0"/>
      <w:marRight w:val="0"/>
      <w:marTop w:val="0"/>
      <w:marBottom w:val="0"/>
      <w:divBdr>
        <w:top w:val="none" w:sz="0" w:space="0" w:color="auto"/>
        <w:left w:val="none" w:sz="0" w:space="0" w:color="auto"/>
        <w:bottom w:val="none" w:sz="0" w:space="0" w:color="auto"/>
        <w:right w:val="none" w:sz="0" w:space="0" w:color="auto"/>
      </w:divBdr>
      <w:divsChild>
        <w:div w:id="1352150983">
          <w:marLeft w:val="0"/>
          <w:marRight w:val="0"/>
          <w:marTop w:val="0"/>
          <w:marBottom w:val="0"/>
          <w:divBdr>
            <w:top w:val="none" w:sz="0" w:space="0" w:color="auto"/>
            <w:left w:val="none" w:sz="0" w:space="0" w:color="auto"/>
            <w:bottom w:val="none" w:sz="0" w:space="0" w:color="auto"/>
            <w:right w:val="none" w:sz="0" w:space="0" w:color="auto"/>
          </w:divBdr>
          <w:divsChild>
            <w:div w:id="784345053">
              <w:marLeft w:val="0"/>
              <w:marRight w:val="0"/>
              <w:marTop w:val="0"/>
              <w:marBottom w:val="0"/>
              <w:divBdr>
                <w:top w:val="none" w:sz="0" w:space="0" w:color="auto"/>
                <w:left w:val="none" w:sz="0" w:space="0" w:color="auto"/>
                <w:bottom w:val="none" w:sz="0" w:space="0" w:color="auto"/>
                <w:right w:val="none" w:sz="0" w:space="0" w:color="auto"/>
              </w:divBdr>
              <w:divsChild>
                <w:div w:id="964238359">
                  <w:marLeft w:val="0"/>
                  <w:marRight w:val="0"/>
                  <w:marTop w:val="0"/>
                  <w:marBottom w:val="0"/>
                  <w:divBdr>
                    <w:top w:val="none" w:sz="0" w:space="0" w:color="auto"/>
                    <w:left w:val="none" w:sz="0" w:space="0" w:color="auto"/>
                    <w:bottom w:val="none" w:sz="0" w:space="0" w:color="auto"/>
                    <w:right w:val="none" w:sz="0" w:space="0" w:color="auto"/>
                  </w:divBdr>
                  <w:divsChild>
                    <w:div w:id="1784575606">
                      <w:marLeft w:val="0"/>
                      <w:marRight w:val="0"/>
                      <w:marTop w:val="0"/>
                      <w:marBottom w:val="0"/>
                      <w:divBdr>
                        <w:top w:val="none" w:sz="0" w:space="0" w:color="auto"/>
                        <w:left w:val="none" w:sz="0" w:space="0" w:color="auto"/>
                        <w:bottom w:val="none" w:sz="0" w:space="0" w:color="auto"/>
                        <w:right w:val="none" w:sz="0" w:space="0" w:color="auto"/>
                      </w:divBdr>
                      <w:divsChild>
                        <w:div w:id="25764449">
                          <w:marLeft w:val="0"/>
                          <w:marRight w:val="0"/>
                          <w:marTop w:val="0"/>
                          <w:marBottom w:val="0"/>
                          <w:divBdr>
                            <w:top w:val="none" w:sz="0" w:space="0" w:color="auto"/>
                            <w:left w:val="none" w:sz="0" w:space="0" w:color="auto"/>
                            <w:bottom w:val="none" w:sz="0" w:space="0" w:color="auto"/>
                            <w:right w:val="none" w:sz="0" w:space="0" w:color="auto"/>
                          </w:divBdr>
                          <w:divsChild>
                            <w:div w:id="1930966647">
                              <w:marLeft w:val="0"/>
                              <w:marRight w:val="0"/>
                              <w:marTop w:val="0"/>
                              <w:marBottom w:val="0"/>
                              <w:divBdr>
                                <w:top w:val="none" w:sz="0" w:space="0" w:color="auto"/>
                                <w:left w:val="none" w:sz="0" w:space="0" w:color="auto"/>
                                <w:bottom w:val="none" w:sz="0" w:space="0" w:color="auto"/>
                                <w:right w:val="none" w:sz="0" w:space="0" w:color="auto"/>
                              </w:divBdr>
                              <w:divsChild>
                                <w:div w:id="1465853090">
                                  <w:marLeft w:val="0"/>
                                  <w:marRight w:val="0"/>
                                  <w:marTop w:val="0"/>
                                  <w:marBottom w:val="0"/>
                                  <w:divBdr>
                                    <w:top w:val="none" w:sz="0" w:space="0" w:color="auto"/>
                                    <w:left w:val="none" w:sz="0" w:space="0" w:color="auto"/>
                                    <w:bottom w:val="none" w:sz="0" w:space="0" w:color="auto"/>
                                    <w:right w:val="none" w:sz="0" w:space="0" w:color="auto"/>
                                  </w:divBdr>
                                  <w:divsChild>
                                    <w:div w:id="1848060239">
                                      <w:marLeft w:val="0"/>
                                      <w:marRight w:val="0"/>
                                      <w:marTop w:val="0"/>
                                      <w:marBottom w:val="0"/>
                                      <w:divBdr>
                                        <w:top w:val="none" w:sz="0" w:space="0" w:color="auto"/>
                                        <w:left w:val="none" w:sz="0" w:space="0" w:color="auto"/>
                                        <w:bottom w:val="none" w:sz="0" w:space="0" w:color="auto"/>
                                        <w:right w:val="none" w:sz="0" w:space="0" w:color="auto"/>
                                      </w:divBdr>
                                      <w:divsChild>
                                        <w:div w:id="1868250469">
                                          <w:marLeft w:val="0"/>
                                          <w:marRight w:val="0"/>
                                          <w:marTop w:val="0"/>
                                          <w:marBottom w:val="0"/>
                                          <w:divBdr>
                                            <w:top w:val="none" w:sz="0" w:space="0" w:color="auto"/>
                                            <w:left w:val="none" w:sz="0" w:space="0" w:color="auto"/>
                                            <w:bottom w:val="none" w:sz="0" w:space="0" w:color="auto"/>
                                            <w:right w:val="none" w:sz="0" w:space="0" w:color="auto"/>
                                          </w:divBdr>
                                          <w:divsChild>
                                            <w:div w:id="2061005795">
                                              <w:marLeft w:val="0"/>
                                              <w:marRight w:val="0"/>
                                              <w:marTop w:val="0"/>
                                              <w:marBottom w:val="0"/>
                                              <w:divBdr>
                                                <w:top w:val="none" w:sz="0" w:space="0" w:color="auto"/>
                                                <w:left w:val="none" w:sz="0" w:space="0" w:color="auto"/>
                                                <w:bottom w:val="none" w:sz="0" w:space="0" w:color="auto"/>
                                                <w:right w:val="none" w:sz="0" w:space="0" w:color="auto"/>
                                              </w:divBdr>
                                              <w:divsChild>
                                                <w:div w:id="1936209083">
                                                  <w:marLeft w:val="0"/>
                                                  <w:marRight w:val="0"/>
                                                  <w:marTop w:val="0"/>
                                                  <w:marBottom w:val="0"/>
                                                  <w:divBdr>
                                                    <w:top w:val="none" w:sz="0" w:space="0" w:color="auto"/>
                                                    <w:left w:val="none" w:sz="0" w:space="0" w:color="auto"/>
                                                    <w:bottom w:val="none" w:sz="0" w:space="0" w:color="auto"/>
                                                    <w:right w:val="none" w:sz="0" w:space="0" w:color="auto"/>
                                                  </w:divBdr>
                                                  <w:divsChild>
                                                    <w:div w:id="872889698">
                                                      <w:marLeft w:val="0"/>
                                                      <w:marRight w:val="0"/>
                                                      <w:marTop w:val="0"/>
                                                      <w:marBottom w:val="0"/>
                                                      <w:divBdr>
                                                        <w:top w:val="none" w:sz="0" w:space="0" w:color="auto"/>
                                                        <w:left w:val="none" w:sz="0" w:space="0" w:color="auto"/>
                                                        <w:bottom w:val="none" w:sz="0" w:space="0" w:color="auto"/>
                                                        <w:right w:val="none" w:sz="0" w:space="0" w:color="auto"/>
                                                      </w:divBdr>
                                                      <w:divsChild>
                                                        <w:div w:id="1655644274">
                                                          <w:marLeft w:val="0"/>
                                                          <w:marRight w:val="0"/>
                                                          <w:marTop w:val="0"/>
                                                          <w:marBottom w:val="0"/>
                                                          <w:divBdr>
                                                            <w:top w:val="none" w:sz="0" w:space="0" w:color="auto"/>
                                                            <w:left w:val="none" w:sz="0" w:space="0" w:color="auto"/>
                                                            <w:bottom w:val="none" w:sz="0" w:space="0" w:color="auto"/>
                                                            <w:right w:val="none" w:sz="0" w:space="0" w:color="auto"/>
                                                          </w:divBdr>
                                                          <w:divsChild>
                                                            <w:div w:id="3490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52011">
          <w:marLeft w:val="0"/>
          <w:marRight w:val="0"/>
          <w:marTop w:val="0"/>
          <w:marBottom w:val="0"/>
          <w:divBdr>
            <w:top w:val="none" w:sz="0" w:space="0" w:color="auto"/>
            <w:left w:val="none" w:sz="0" w:space="0" w:color="auto"/>
            <w:bottom w:val="none" w:sz="0" w:space="0" w:color="auto"/>
            <w:right w:val="none" w:sz="0" w:space="0" w:color="auto"/>
          </w:divBdr>
          <w:divsChild>
            <w:div w:id="1192453171">
              <w:marLeft w:val="0"/>
              <w:marRight w:val="0"/>
              <w:marTop w:val="0"/>
              <w:marBottom w:val="0"/>
              <w:divBdr>
                <w:top w:val="none" w:sz="0" w:space="0" w:color="auto"/>
                <w:left w:val="none" w:sz="0" w:space="0" w:color="auto"/>
                <w:bottom w:val="none" w:sz="0" w:space="0" w:color="auto"/>
                <w:right w:val="none" w:sz="0" w:space="0" w:color="auto"/>
              </w:divBdr>
              <w:divsChild>
                <w:div w:id="20894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37112">
      <w:bodyDiv w:val="1"/>
      <w:marLeft w:val="0"/>
      <w:marRight w:val="0"/>
      <w:marTop w:val="0"/>
      <w:marBottom w:val="0"/>
      <w:divBdr>
        <w:top w:val="none" w:sz="0" w:space="0" w:color="auto"/>
        <w:left w:val="none" w:sz="0" w:space="0" w:color="auto"/>
        <w:bottom w:val="none" w:sz="0" w:space="0" w:color="auto"/>
        <w:right w:val="none" w:sz="0" w:space="0" w:color="auto"/>
      </w:divBdr>
      <w:divsChild>
        <w:div w:id="142937420">
          <w:marLeft w:val="0"/>
          <w:marRight w:val="0"/>
          <w:marTop w:val="0"/>
          <w:marBottom w:val="0"/>
          <w:divBdr>
            <w:top w:val="none" w:sz="0" w:space="0" w:color="auto"/>
            <w:left w:val="none" w:sz="0" w:space="0" w:color="auto"/>
            <w:bottom w:val="none" w:sz="0" w:space="0" w:color="auto"/>
            <w:right w:val="none" w:sz="0" w:space="0" w:color="auto"/>
          </w:divBdr>
          <w:divsChild>
            <w:div w:id="2124839421">
              <w:marLeft w:val="0"/>
              <w:marRight w:val="0"/>
              <w:marTop w:val="0"/>
              <w:marBottom w:val="0"/>
              <w:divBdr>
                <w:top w:val="none" w:sz="0" w:space="0" w:color="auto"/>
                <w:left w:val="none" w:sz="0" w:space="0" w:color="auto"/>
                <w:bottom w:val="none" w:sz="0" w:space="0" w:color="auto"/>
                <w:right w:val="none" w:sz="0" w:space="0" w:color="auto"/>
              </w:divBdr>
              <w:divsChild>
                <w:div w:id="1253389953">
                  <w:marLeft w:val="0"/>
                  <w:marRight w:val="0"/>
                  <w:marTop w:val="0"/>
                  <w:marBottom w:val="0"/>
                  <w:divBdr>
                    <w:top w:val="none" w:sz="0" w:space="0" w:color="auto"/>
                    <w:left w:val="none" w:sz="0" w:space="0" w:color="auto"/>
                    <w:bottom w:val="none" w:sz="0" w:space="0" w:color="auto"/>
                    <w:right w:val="none" w:sz="0" w:space="0" w:color="auto"/>
                  </w:divBdr>
                  <w:divsChild>
                    <w:div w:id="176429643">
                      <w:marLeft w:val="0"/>
                      <w:marRight w:val="0"/>
                      <w:marTop w:val="0"/>
                      <w:marBottom w:val="0"/>
                      <w:divBdr>
                        <w:top w:val="none" w:sz="0" w:space="0" w:color="auto"/>
                        <w:left w:val="none" w:sz="0" w:space="0" w:color="auto"/>
                        <w:bottom w:val="none" w:sz="0" w:space="0" w:color="auto"/>
                        <w:right w:val="none" w:sz="0" w:space="0" w:color="auto"/>
                      </w:divBdr>
                      <w:divsChild>
                        <w:div w:id="898174650">
                          <w:marLeft w:val="0"/>
                          <w:marRight w:val="0"/>
                          <w:marTop w:val="0"/>
                          <w:marBottom w:val="0"/>
                          <w:divBdr>
                            <w:top w:val="none" w:sz="0" w:space="0" w:color="auto"/>
                            <w:left w:val="none" w:sz="0" w:space="0" w:color="auto"/>
                            <w:bottom w:val="none" w:sz="0" w:space="0" w:color="auto"/>
                            <w:right w:val="none" w:sz="0" w:space="0" w:color="auto"/>
                          </w:divBdr>
                          <w:divsChild>
                            <w:div w:id="1097677279">
                              <w:marLeft w:val="0"/>
                              <w:marRight w:val="0"/>
                              <w:marTop w:val="0"/>
                              <w:marBottom w:val="0"/>
                              <w:divBdr>
                                <w:top w:val="none" w:sz="0" w:space="0" w:color="auto"/>
                                <w:left w:val="none" w:sz="0" w:space="0" w:color="auto"/>
                                <w:bottom w:val="none" w:sz="0" w:space="0" w:color="auto"/>
                                <w:right w:val="none" w:sz="0" w:space="0" w:color="auto"/>
                              </w:divBdr>
                              <w:divsChild>
                                <w:div w:id="2144694862">
                                  <w:marLeft w:val="0"/>
                                  <w:marRight w:val="0"/>
                                  <w:marTop w:val="0"/>
                                  <w:marBottom w:val="0"/>
                                  <w:divBdr>
                                    <w:top w:val="none" w:sz="0" w:space="0" w:color="auto"/>
                                    <w:left w:val="none" w:sz="0" w:space="0" w:color="auto"/>
                                    <w:bottom w:val="none" w:sz="0" w:space="0" w:color="auto"/>
                                    <w:right w:val="none" w:sz="0" w:space="0" w:color="auto"/>
                                  </w:divBdr>
                                  <w:divsChild>
                                    <w:div w:id="1420323187">
                                      <w:marLeft w:val="0"/>
                                      <w:marRight w:val="0"/>
                                      <w:marTop w:val="0"/>
                                      <w:marBottom w:val="0"/>
                                      <w:divBdr>
                                        <w:top w:val="none" w:sz="0" w:space="0" w:color="auto"/>
                                        <w:left w:val="none" w:sz="0" w:space="0" w:color="auto"/>
                                        <w:bottom w:val="none" w:sz="0" w:space="0" w:color="auto"/>
                                        <w:right w:val="none" w:sz="0" w:space="0" w:color="auto"/>
                                      </w:divBdr>
                                      <w:divsChild>
                                        <w:div w:id="14314339">
                                          <w:marLeft w:val="0"/>
                                          <w:marRight w:val="0"/>
                                          <w:marTop w:val="0"/>
                                          <w:marBottom w:val="0"/>
                                          <w:divBdr>
                                            <w:top w:val="none" w:sz="0" w:space="0" w:color="auto"/>
                                            <w:left w:val="none" w:sz="0" w:space="0" w:color="auto"/>
                                            <w:bottom w:val="none" w:sz="0" w:space="0" w:color="auto"/>
                                            <w:right w:val="none" w:sz="0" w:space="0" w:color="auto"/>
                                          </w:divBdr>
                                          <w:divsChild>
                                            <w:div w:id="886185322">
                                              <w:marLeft w:val="0"/>
                                              <w:marRight w:val="0"/>
                                              <w:marTop w:val="0"/>
                                              <w:marBottom w:val="0"/>
                                              <w:divBdr>
                                                <w:top w:val="none" w:sz="0" w:space="0" w:color="auto"/>
                                                <w:left w:val="none" w:sz="0" w:space="0" w:color="auto"/>
                                                <w:bottom w:val="none" w:sz="0" w:space="0" w:color="auto"/>
                                                <w:right w:val="none" w:sz="0" w:space="0" w:color="auto"/>
                                              </w:divBdr>
                                              <w:divsChild>
                                                <w:div w:id="926812459">
                                                  <w:marLeft w:val="0"/>
                                                  <w:marRight w:val="0"/>
                                                  <w:marTop w:val="0"/>
                                                  <w:marBottom w:val="0"/>
                                                  <w:divBdr>
                                                    <w:top w:val="none" w:sz="0" w:space="0" w:color="auto"/>
                                                    <w:left w:val="none" w:sz="0" w:space="0" w:color="auto"/>
                                                    <w:bottom w:val="none" w:sz="0" w:space="0" w:color="auto"/>
                                                    <w:right w:val="none" w:sz="0" w:space="0" w:color="auto"/>
                                                  </w:divBdr>
                                                  <w:divsChild>
                                                    <w:div w:id="644505067">
                                                      <w:marLeft w:val="0"/>
                                                      <w:marRight w:val="0"/>
                                                      <w:marTop w:val="0"/>
                                                      <w:marBottom w:val="0"/>
                                                      <w:divBdr>
                                                        <w:top w:val="none" w:sz="0" w:space="0" w:color="auto"/>
                                                        <w:left w:val="none" w:sz="0" w:space="0" w:color="auto"/>
                                                        <w:bottom w:val="none" w:sz="0" w:space="0" w:color="auto"/>
                                                        <w:right w:val="none" w:sz="0" w:space="0" w:color="auto"/>
                                                      </w:divBdr>
                                                      <w:divsChild>
                                                        <w:div w:id="1273249767">
                                                          <w:marLeft w:val="0"/>
                                                          <w:marRight w:val="0"/>
                                                          <w:marTop w:val="0"/>
                                                          <w:marBottom w:val="0"/>
                                                          <w:divBdr>
                                                            <w:top w:val="none" w:sz="0" w:space="0" w:color="auto"/>
                                                            <w:left w:val="none" w:sz="0" w:space="0" w:color="auto"/>
                                                            <w:bottom w:val="none" w:sz="0" w:space="0" w:color="auto"/>
                                                            <w:right w:val="none" w:sz="0" w:space="0" w:color="auto"/>
                                                          </w:divBdr>
                                                          <w:divsChild>
                                                            <w:div w:id="212758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695006">
          <w:marLeft w:val="0"/>
          <w:marRight w:val="0"/>
          <w:marTop w:val="0"/>
          <w:marBottom w:val="0"/>
          <w:divBdr>
            <w:top w:val="none" w:sz="0" w:space="0" w:color="auto"/>
            <w:left w:val="none" w:sz="0" w:space="0" w:color="auto"/>
            <w:bottom w:val="none" w:sz="0" w:space="0" w:color="auto"/>
            <w:right w:val="none" w:sz="0" w:space="0" w:color="auto"/>
          </w:divBdr>
          <w:divsChild>
            <w:div w:id="1790666769">
              <w:marLeft w:val="0"/>
              <w:marRight w:val="0"/>
              <w:marTop w:val="0"/>
              <w:marBottom w:val="0"/>
              <w:divBdr>
                <w:top w:val="none" w:sz="0" w:space="0" w:color="auto"/>
                <w:left w:val="none" w:sz="0" w:space="0" w:color="auto"/>
                <w:bottom w:val="none" w:sz="0" w:space="0" w:color="auto"/>
                <w:right w:val="none" w:sz="0" w:space="0" w:color="auto"/>
              </w:divBdr>
              <w:divsChild>
                <w:div w:id="4975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97599">
      <w:bodyDiv w:val="1"/>
      <w:marLeft w:val="0"/>
      <w:marRight w:val="0"/>
      <w:marTop w:val="0"/>
      <w:marBottom w:val="0"/>
      <w:divBdr>
        <w:top w:val="none" w:sz="0" w:space="0" w:color="auto"/>
        <w:left w:val="none" w:sz="0" w:space="0" w:color="auto"/>
        <w:bottom w:val="none" w:sz="0" w:space="0" w:color="auto"/>
        <w:right w:val="none" w:sz="0" w:space="0" w:color="auto"/>
      </w:divBdr>
      <w:divsChild>
        <w:div w:id="1274903750">
          <w:marLeft w:val="0"/>
          <w:marRight w:val="0"/>
          <w:marTop w:val="0"/>
          <w:marBottom w:val="0"/>
          <w:divBdr>
            <w:top w:val="none" w:sz="0" w:space="0" w:color="auto"/>
            <w:left w:val="none" w:sz="0" w:space="0" w:color="auto"/>
            <w:bottom w:val="none" w:sz="0" w:space="0" w:color="auto"/>
            <w:right w:val="none" w:sz="0" w:space="0" w:color="auto"/>
          </w:divBdr>
          <w:divsChild>
            <w:div w:id="1316255728">
              <w:marLeft w:val="0"/>
              <w:marRight w:val="0"/>
              <w:marTop w:val="0"/>
              <w:marBottom w:val="0"/>
              <w:divBdr>
                <w:top w:val="none" w:sz="0" w:space="0" w:color="auto"/>
                <w:left w:val="none" w:sz="0" w:space="0" w:color="auto"/>
                <w:bottom w:val="none" w:sz="0" w:space="0" w:color="auto"/>
                <w:right w:val="none" w:sz="0" w:space="0" w:color="auto"/>
              </w:divBdr>
              <w:divsChild>
                <w:div w:id="1178272790">
                  <w:marLeft w:val="0"/>
                  <w:marRight w:val="0"/>
                  <w:marTop w:val="0"/>
                  <w:marBottom w:val="0"/>
                  <w:divBdr>
                    <w:top w:val="none" w:sz="0" w:space="0" w:color="auto"/>
                    <w:left w:val="none" w:sz="0" w:space="0" w:color="auto"/>
                    <w:bottom w:val="none" w:sz="0" w:space="0" w:color="auto"/>
                    <w:right w:val="none" w:sz="0" w:space="0" w:color="auto"/>
                  </w:divBdr>
                  <w:divsChild>
                    <w:div w:id="863589924">
                      <w:marLeft w:val="0"/>
                      <w:marRight w:val="0"/>
                      <w:marTop w:val="0"/>
                      <w:marBottom w:val="0"/>
                      <w:divBdr>
                        <w:top w:val="none" w:sz="0" w:space="0" w:color="auto"/>
                        <w:left w:val="none" w:sz="0" w:space="0" w:color="auto"/>
                        <w:bottom w:val="none" w:sz="0" w:space="0" w:color="auto"/>
                        <w:right w:val="none" w:sz="0" w:space="0" w:color="auto"/>
                      </w:divBdr>
                      <w:divsChild>
                        <w:div w:id="463696088">
                          <w:marLeft w:val="0"/>
                          <w:marRight w:val="0"/>
                          <w:marTop w:val="0"/>
                          <w:marBottom w:val="0"/>
                          <w:divBdr>
                            <w:top w:val="none" w:sz="0" w:space="0" w:color="auto"/>
                            <w:left w:val="none" w:sz="0" w:space="0" w:color="auto"/>
                            <w:bottom w:val="none" w:sz="0" w:space="0" w:color="auto"/>
                            <w:right w:val="none" w:sz="0" w:space="0" w:color="auto"/>
                          </w:divBdr>
                          <w:divsChild>
                            <w:div w:id="2049453236">
                              <w:marLeft w:val="0"/>
                              <w:marRight w:val="0"/>
                              <w:marTop w:val="0"/>
                              <w:marBottom w:val="0"/>
                              <w:divBdr>
                                <w:top w:val="none" w:sz="0" w:space="0" w:color="auto"/>
                                <w:left w:val="none" w:sz="0" w:space="0" w:color="auto"/>
                                <w:bottom w:val="none" w:sz="0" w:space="0" w:color="auto"/>
                                <w:right w:val="none" w:sz="0" w:space="0" w:color="auto"/>
                              </w:divBdr>
                              <w:divsChild>
                                <w:div w:id="1637880766">
                                  <w:marLeft w:val="0"/>
                                  <w:marRight w:val="0"/>
                                  <w:marTop w:val="0"/>
                                  <w:marBottom w:val="0"/>
                                  <w:divBdr>
                                    <w:top w:val="none" w:sz="0" w:space="0" w:color="auto"/>
                                    <w:left w:val="none" w:sz="0" w:space="0" w:color="auto"/>
                                    <w:bottom w:val="none" w:sz="0" w:space="0" w:color="auto"/>
                                    <w:right w:val="none" w:sz="0" w:space="0" w:color="auto"/>
                                  </w:divBdr>
                                  <w:divsChild>
                                    <w:div w:id="1052458614">
                                      <w:marLeft w:val="0"/>
                                      <w:marRight w:val="0"/>
                                      <w:marTop w:val="0"/>
                                      <w:marBottom w:val="0"/>
                                      <w:divBdr>
                                        <w:top w:val="none" w:sz="0" w:space="0" w:color="auto"/>
                                        <w:left w:val="none" w:sz="0" w:space="0" w:color="auto"/>
                                        <w:bottom w:val="none" w:sz="0" w:space="0" w:color="auto"/>
                                        <w:right w:val="none" w:sz="0" w:space="0" w:color="auto"/>
                                      </w:divBdr>
                                      <w:divsChild>
                                        <w:div w:id="1277563416">
                                          <w:marLeft w:val="0"/>
                                          <w:marRight w:val="0"/>
                                          <w:marTop w:val="0"/>
                                          <w:marBottom w:val="0"/>
                                          <w:divBdr>
                                            <w:top w:val="none" w:sz="0" w:space="0" w:color="auto"/>
                                            <w:left w:val="none" w:sz="0" w:space="0" w:color="auto"/>
                                            <w:bottom w:val="none" w:sz="0" w:space="0" w:color="auto"/>
                                            <w:right w:val="none" w:sz="0" w:space="0" w:color="auto"/>
                                          </w:divBdr>
                                          <w:divsChild>
                                            <w:div w:id="970280897">
                                              <w:marLeft w:val="0"/>
                                              <w:marRight w:val="0"/>
                                              <w:marTop w:val="0"/>
                                              <w:marBottom w:val="0"/>
                                              <w:divBdr>
                                                <w:top w:val="none" w:sz="0" w:space="0" w:color="auto"/>
                                                <w:left w:val="none" w:sz="0" w:space="0" w:color="auto"/>
                                                <w:bottom w:val="none" w:sz="0" w:space="0" w:color="auto"/>
                                                <w:right w:val="none" w:sz="0" w:space="0" w:color="auto"/>
                                              </w:divBdr>
                                              <w:divsChild>
                                                <w:div w:id="1239364943">
                                                  <w:marLeft w:val="0"/>
                                                  <w:marRight w:val="0"/>
                                                  <w:marTop w:val="0"/>
                                                  <w:marBottom w:val="0"/>
                                                  <w:divBdr>
                                                    <w:top w:val="none" w:sz="0" w:space="0" w:color="auto"/>
                                                    <w:left w:val="none" w:sz="0" w:space="0" w:color="auto"/>
                                                    <w:bottom w:val="none" w:sz="0" w:space="0" w:color="auto"/>
                                                    <w:right w:val="none" w:sz="0" w:space="0" w:color="auto"/>
                                                  </w:divBdr>
                                                  <w:divsChild>
                                                    <w:div w:id="720180160">
                                                      <w:marLeft w:val="0"/>
                                                      <w:marRight w:val="0"/>
                                                      <w:marTop w:val="0"/>
                                                      <w:marBottom w:val="0"/>
                                                      <w:divBdr>
                                                        <w:top w:val="none" w:sz="0" w:space="0" w:color="auto"/>
                                                        <w:left w:val="none" w:sz="0" w:space="0" w:color="auto"/>
                                                        <w:bottom w:val="none" w:sz="0" w:space="0" w:color="auto"/>
                                                        <w:right w:val="none" w:sz="0" w:space="0" w:color="auto"/>
                                                      </w:divBdr>
                                                      <w:divsChild>
                                                        <w:div w:id="2052073329">
                                                          <w:marLeft w:val="0"/>
                                                          <w:marRight w:val="0"/>
                                                          <w:marTop w:val="0"/>
                                                          <w:marBottom w:val="0"/>
                                                          <w:divBdr>
                                                            <w:top w:val="none" w:sz="0" w:space="0" w:color="auto"/>
                                                            <w:left w:val="none" w:sz="0" w:space="0" w:color="auto"/>
                                                            <w:bottom w:val="none" w:sz="0" w:space="0" w:color="auto"/>
                                                            <w:right w:val="none" w:sz="0" w:space="0" w:color="auto"/>
                                                          </w:divBdr>
                                                          <w:divsChild>
                                                            <w:div w:id="61598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536346">
          <w:marLeft w:val="0"/>
          <w:marRight w:val="0"/>
          <w:marTop w:val="0"/>
          <w:marBottom w:val="0"/>
          <w:divBdr>
            <w:top w:val="none" w:sz="0" w:space="0" w:color="auto"/>
            <w:left w:val="none" w:sz="0" w:space="0" w:color="auto"/>
            <w:bottom w:val="none" w:sz="0" w:space="0" w:color="auto"/>
            <w:right w:val="none" w:sz="0" w:space="0" w:color="auto"/>
          </w:divBdr>
          <w:divsChild>
            <w:div w:id="1762528836">
              <w:marLeft w:val="0"/>
              <w:marRight w:val="0"/>
              <w:marTop w:val="0"/>
              <w:marBottom w:val="0"/>
              <w:divBdr>
                <w:top w:val="none" w:sz="0" w:space="0" w:color="auto"/>
                <w:left w:val="none" w:sz="0" w:space="0" w:color="auto"/>
                <w:bottom w:val="none" w:sz="0" w:space="0" w:color="auto"/>
                <w:right w:val="none" w:sz="0" w:space="0" w:color="auto"/>
              </w:divBdr>
              <w:divsChild>
                <w:div w:id="15532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1711">
      <w:bodyDiv w:val="1"/>
      <w:marLeft w:val="0"/>
      <w:marRight w:val="0"/>
      <w:marTop w:val="0"/>
      <w:marBottom w:val="0"/>
      <w:divBdr>
        <w:top w:val="none" w:sz="0" w:space="0" w:color="auto"/>
        <w:left w:val="none" w:sz="0" w:space="0" w:color="auto"/>
        <w:bottom w:val="none" w:sz="0" w:space="0" w:color="auto"/>
        <w:right w:val="none" w:sz="0" w:space="0" w:color="auto"/>
      </w:divBdr>
      <w:divsChild>
        <w:div w:id="1836456588">
          <w:marLeft w:val="0"/>
          <w:marRight w:val="0"/>
          <w:marTop w:val="0"/>
          <w:marBottom w:val="0"/>
          <w:divBdr>
            <w:top w:val="none" w:sz="0" w:space="0" w:color="auto"/>
            <w:left w:val="none" w:sz="0" w:space="0" w:color="auto"/>
            <w:bottom w:val="none" w:sz="0" w:space="0" w:color="auto"/>
            <w:right w:val="none" w:sz="0" w:space="0" w:color="auto"/>
          </w:divBdr>
          <w:divsChild>
            <w:div w:id="13063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5749/j.ctttv97j.10//ajoseph" TargetMode="External"/><Relationship Id="rId13" Type="http://schemas.openxmlformats.org/officeDocument/2006/relationships/hyperlink" Target="https://www.tandfonline.com/doi/full/10.1080/13698230.2021.199725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13698230.2021.1997250" TargetMode="External"/><Relationship Id="rId17" Type="http://schemas.openxmlformats.org/officeDocument/2006/relationships/hyperlink" Target="https://doi.org/10.1177/1532708616638696" TargetMode="External"/><Relationship Id="rId2" Type="http://schemas.openxmlformats.org/officeDocument/2006/relationships/numbering" Target="numbering.xml"/><Relationship Id="rId16" Type="http://schemas.openxmlformats.org/officeDocument/2006/relationships/hyperlink" Target="https://scholarship.law.duke.edu/cgi/viewcontent.cgi?article=3980&amp;context=dl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article/652573/pdf?casa_token=GSm2SCaU79AAAAAA:ujeg-7od0jKzXbvnGEHhEdj61Td6tgAwp3Rz0id34eDBUq9Y0Rw_jqWpVi-6f9jW2yhb3acp_jo" TargetMode="External"/><Relationship Id="rId5" Type="http://schemas.openxmlformats.org/officeDocument/2006/relationships/webSettings" Target="webSettings.xml"/><Relationship Id="rId15" Type="http://schemas.openxmlformats.org/officeDocument/2006/relationships/hyperlink" Target="https://ruor.uottawa.ca/bitstream/10393/42906/1/Bourne_Nisse_2021_Thesis.pdf%5d//" TargetMode="External"/><Relationship Id="rId10" Type="http://schemas.openxmlformats.org/officeDocument/2006/relationships/hyperlink" Target="http://www.jstor.org/stable/2645590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flux.com/architecture/accumulation/121847/epochal-aesthetics-affectual-infrastructures-of-the-anthropocene/" TargetMode="External"/><Relationship Id="rId14" Type="http://schemas.openxmlformats.org/officeDocument/2006/relationships/hyperlink" Target="https://doi.org/10.1515/9781800732858-0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mar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1676D-AF89-48F9-83F2-A903555F3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1197</TotalTime>
  <Pages>1</Pages>
  <Words>83396</Words>
  <Characters>475362</Characters>
  <Application>Microsoft Office Word</Application>
  <DocSecurity>0</DocSecurity>
  <Lines>3961</Lines>
  <Paragraphs>1115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Umar Shaikh</dc:creator>
  <cp:keywords>6.0.0</cp:keywords>
  <dc:description/>
  <cp:lastModifiedBy>Umar Shaikh</cp:lastModifiedBy>
  <cp:revision>65</cp:revision>
  <dcterms:created xsi:type="dcterms:W3CDTF">2024-07-21T02:14:00Z</dcterms:created>
  <dcterms:modified xsi:type="dcterms:W3CDTF">2024-07-21T22:38:00Z</dcterms:modified>
</cp:coreProperties>
</file>