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56C3E" w14:textId="013D543D" w:rsidR="00F57D66" w:rsidRDefault="00F57D66" w:rsidP="00F57D66">
      <w:pPr>
        <w:pStyle w:val="Heading1"/>
      </w:pPr>
      <w:r>
        <w:t>Topicalit</w:t>
      </w:r>
      <w:r w:rsidR="003A76D9">
        <w:t>y</w:t>
      </w:r>
    </w:p>
    <w:p w14:paraId="64408365" w14:textId="77777777" w:rsidR="00F57D66" w:rsidRPr="00164C0B" w:rsidRDefault="00F57D66" w:rsidP="00164C0B">
      <w:r w:rsidRPr="00164C0B">
        <w:t>Resolved: The United States federal government should significantly strengthen its protection of domestic intellectual property rights in copyrights, patents, and/or trademarks.</w:t>
      </w:r>
    </w:p>
    <w:p w14:paraId="2899DF2D" w14:textId="77777777" w:rsidR="00410846" w:rsidRDefault="007852BF" w:rsidP="00410846">
      <w:pPr>
        <w:pStyle w:val="Heading2"/>
      </w:pPr>
      <w:r>
        <w:lastRenderedPageBreak/>
        <w:t>Strengthen</w:t>
      </w:r>
      <w:r w:rsidR="00410846">
        <w:t xml:space="preserve"> Protection of IPR</w:t>
      </w:r>
    </w:p>
    <w:p w14:paraId="1B4CDA6B" w14:textId="55DD8887" w:rsidR="00410846" w:rsidRPr="00410846" w:rsidRDefault="00410846" w:rsidP="00410846">
      <w:pPr>
        <w:pStyle w:val="Heading3"/>
      </w:pPr>
      <w:r>
        <w:lastRenderedPageBreak/>
        <w:t xml:space="preserve">1NC – T Excludes New Ownership Rights  </w:t>
      </w:r>
    </w:p>
    <w:p w14:paraId="5C728A99" w14:textId="47ED6483" w:rsidR="00410846" w:rsidRPr="002B55F4" w:rsidRDefault="00410846" w:rsidP="00410846">
      <w:pPr>
        <w:pStyle w:val="Heading4"/>
        <w:rPr>
          <w:b w:val="0"/>
          <w:bCs/>
        </w:rPr>
      </w:pPr>
      <w:r>
        <w:t xml:space="preserve">a. </w:t>
      </w:r>
      <w:r w:rsidRPr="002B55F4">
        <w:t xml:space="preserve">Strengthening </w:t>
      </w:r>
      <w:r>
        <w:t>IPR</w:t>
      </w:r>
      <w:r w:rsidRPr="002B55F4">
        <w:t xml:space="preserve"> excludes expanding IPR to new areas.</w:t>
      </w:r>
    </w:p>
    <w:p w14:paraId="04532430" w14:textId="40E7DBAE" w:rsidR="00410846" w:rsidRPr="002B55F4" w:rsidRDefault="00410846" w:rsidP="00410846">
      <w:r w:rsidRPr="002B55F4">
        <w:rPr>
          <w:rStyle w:val="Style13ptBold"/>
        </w:rPr>
        <w:t>Tudor 12</w:t>
      </w:r>
      <w:r w:rsidRPr="002B55F4">
        <w:t xml:space="preserve"> – LLM in Intellectual Property Law from the University of Akron.</w:t>
      </w:r>
      <w:r>
        <w:t xml:space="preserve"> </w:t>
      </w:r>
      <w:r w:rsidRPr="002B55F4">
        <w:t xml:space="preserve">Jarrod Tudor, “Compulsory Licensing in the European Union,” </w:t>
      </w:r>
      <w:r w:rsidRPr="002B55F4">
        <w:rPr>
          <w:i/>
          <w:iCs/>
        </w:rPr>
        <w:t>George Mason Journal of International Commercial Law</w:t>
      </w:r>
      <w:r w:rsidRPr="002B55F4">
        <w:t>, vol. 4, Spring 2012, pp. 252, Lexis.</w:t>
      </w:r>
    </w:p>
    <w:p w14:paraId="049FECB4" w14:textId="77777777" w:rsidR="00410846" w:rsidRPr="002B55F4" w:rsidRDefault="00410846" w:rsidP="00410846">
      <w:pPr>
        <w:rPr>
          <w:sz w:val="16"/>
          <w:szCs w:val="16"/>
        </w:rPr>
      </w:pPr>
      <w:r w:rsidRPr="002B55F4">
        <w:rPr>
          <w:sz w:val="16"/>
          <w:szCs w:val="16"/>
        </w:rPr>
        <w:t xml:space="preserve">Given the robust amount of trade between the United States and European Union, those practicing law or engaged in international business in the United States and Europe should have a working knowledge of the differences between the two legal regimes on the point of compulsory licensing. One general guideline to help the practitioner operating within both legal regimes is that the tension between the assertion of intellectual property rights and the prevention of the abuse of those rights is more noteworthy in Europe than in the United States. 254 One comment states that the Microsoft Corp. decision itself is a terrific example of the schism between legal approaches found in the European Union and the United States. 255 </w:t>
      </w:r>
      <w:r w:rsidRPr="002B55F4">
        <w:rPr>
          <w:rStyle w:val="StyleUnderline"/>
        </w:rPr>
        <w:t xml:space="preserve">The </w:t>
      </w:r>
      <w:r w:rsidRPr="002B55F4">
        <w:rPr>
          <w:rStyle w:val="Emphasis"/>
        </w:rPr>
        <w:t>E</w:t>
      </w:r>
      <w:r w:rsidRPr="002B55F4">
        <w:rPr>
          <w:rStyle w:val="StyleUnderline"/>
        </w:rPr>
        <w:t xml:space="preserve">uropean </w:t>
      </w:r>
      <w:r w:rsidRPr="002B55F4">
        <w:rPr>
          <w:rStyle w:val="Emphasis"/>
        </w:rPr>
        <w:t>U</w:t>
      </w:r>
      <w:r w:rsidRPr="002B55F4">
        <w:rPr>
          <w:rStyle w:val="StyleUnderline"/>
        </w:rPr>
        <w:t>nion has</w:t>
      </w:r>
      <w:r w:rsidRPr="002B55F4">
        <w:rPr>
          <w:sz w:val="16"/>
          <w:szCs w:val="16"/>
        </w:rPr>
        <w:t xml:space="preserve"> titled the balance toward a more short-term consumer benefit and </w:t>
      </w:r>
      <w:r w:rsidRPr="002B55F4">
        <w:rPr>
          <w:rStyle w:val="StyleUnderline"/>
        </w:rPr>
        <w:t xml:space="preserve">a </w:t>
      </w:r>
      <w:r w:rsidRPr="002B55F4">
        <w:rPr>
          <w:rStyle w:val="Emphasis"/>
        </w:rPr>
        <w:t>lesser level</w:t>
      </w:r>
      <w:r w:rsidRPr="002B55F4">
        <w:rPr>
          <w:rStyle w:val="StyleUnderline"/>
        </w:rPr>
        <w:t xml:space="preserve"> of </w:t>
      </w:r>
      <w:r w:rsidRPr="002B55F4">
        <w:rPr>
          <w:rStyle w:val="Emphasis"/>
        </w:rPr>
        <w:t>intellectual property right protection</w:t>
      </w:r>
      <w:r w:rsidRPr="002B55F4">
        <w:rPr>
          <w:sz w:val="16"/>
          <w:szCs w:val="16"/>
        </w:rPr>
        <w:t xml:space="preserve"> whereas </w:t>
      </w:r>
      <w:r w:rsidRPr="002B55F4">
        <w:rPr>
          <w:rStyle w:val="StyleUnderline"/>
        </w:rPr>
        <w:t xml:space="preserve">the </w:t>
      </w:r>
      <w:r w:rsidRPr="002B55F4">
        <w:rPr>
          <w:rStyle w:val="Emphasis"/>
        </w:rPr>
        <w:t>U</w:t>
      </w:r>
      <w:r w:rsidRPr="002B55F4">
        <w:rPr>
          <w:rStyle w:val="StyleUnderline"/>
        </w:rPr>
        <w:t xml:space="preserve">nited </w:t>
      </w:r>
      <w:r w:rsidRPr="002B55F4">
        <w:rPr>
          <w:rStyle w:val="Emphasis"/>
        </w:rPr>
        <w:t>S</w:t>
      </w:r>
      <w:r w:rsidRPr="002B55F4">
        <w:rPr>
          <w:rStyle w:val="StyleUnderline"/>
        </w:rPr>
        <w:t xml:space="preserve">tates takes a </w:t>
      </w:r>
      <w:r w:rsidRPr="002B55F4">
        <w:rPr>
          <w:rStyle w:val="Emphasis"/>
        </w:rPr>
        <w:t>much stronger</w:t>
      </w:r>
      <w:r w:rsidRPr="002B55F4">
        <w:rPr>
          <w:rStyle w:val="StyleUnderline"/>
        </w:rPr>
        <w:t xml:space="preserve"> intellectual property protection approach</w:t>
      </w:r>
      <w:r w:rsidRPr="002B55F4">
        <w:rPr>
          <w:sz w:val="16"/>
          <w:szCs w:val="16"/>
        </w:rPr>
        <w:t xml:space="preserve"> that sacrifices some short-term consumer welfare. 256 </w:t>
      </w:r>
      <w:r w:rsidRPr="002B55F4">
        <w:rPr>
          <w:rStyle w:val="StyleUnderline"/>
        </w:rPr>
        <w:t xml:space="preserve">This is </w:t>
      </w:r>
      <w:r w:rsidRPr="002B55F4">
        <w:rPr>
          <w:rStyle w:val="Emphasis"/>
        </w:rPr>
        <w:t>despite</w:t>
      </w:r>
      <w:r w:rsidRPr="002B55F4">
        <w:rPr>
          <w:rStyle w:val="StyleUnderline"/>
        </w:rPr>
        <w:t xml:space="preserve"> the fact that the </w:t>
      </w:r>
      <w:r w:rsidRPr="002B55F4">
        <w:rPr>
          <w:rStyle w:val="Emphasis"/>
        </w:rPr>
        <w:t>qualifications</w:t>
      </w:r>
      <w:r w:rsidRPr="002B55F4">
        <w:rPr>
          <w:rStyle w:val="StyleUnderline"/>
        </w:rPr>
        <w:t xml:space="preserve"> for </w:t>
      </w:r>
      <w:r w:rsidRPr="002B55F4">
        <w:rPr>
          <w:rStyle w:val="Emphasis"/>
        </w:rPr>
        <w:t>gaining intellectual property rights</w:t>
      </w:r>
      <w:r w:rsidRPr="002B55F4">
        <w:rPr>
          <w:rStyle w:val="StyleUnderline"/>
        </w:rPr>
        <w:t xml:space="preserve"> are </w:t>
      </w:r>
      <w:r w:rsidRPr="002B55F4">
        <w:rPr>
          <w:rStyle w:val="Emphasis"/>
        </w:rPr>
        <w:t>similar</w:t>
      </w:r>
      <w:r w:rsidRPr="002B55F4">
        <w:rPr>
          <w:rStyle w:val="StyleUnderline"/>
        </w:rPr>
        <w:t xml:space="preserve"> across the United States and the</w:t>
      </w:r>
      <w:r w:rsidRPr="002B55F4">
        <w:rPr>
          <w:sz w:val="16"/>
          <w:szCs w:val="16"/>
        </w:rPr>
        <w:t xml:space="preserve"> Member-States of the </w:t>
      </w:r>
      <w:r w:rsidRPr="002B55F4">
        <w:rPr>
          <w:rStyle w:val="StyleUnderline"/>
        </w:rPr>
        <w:t>European Union</w:t>
      </w:r>
      <w:r w:rsidRPr="002B55F4">
        <w:rPr>
          <w:sz w:val="16"/>
          <w:szCs w:val="16"/>
        </w:rPr>
        <w:t>. 257 However, there is commentary that this divergence in jurisprudence between the United States and Europe is recent. 258 This divergence has also recently separated the United States from Canada, its leading trading partner, as Canada has taken an approach to compulsory licensing as a remedy more akin to that of the European Union. 259</w:t>
      </w:r>
    </w:p>
    <w:p w14:paraId="375CE1E4" w14:textId="77777777" w:rsidR="00410846" w:rsidRPr="00410846" w:rsidRDefault="00410846" w:rsidP="00410846"/>
    <w:p w14:paraId="5FD02318" w14:textId="48935F74" w:rsidR="007852BF" w:rsidRDefault="00410846" w:rsidP="007852BF">
      <w:pPr>
        <w:pStyle w:val="Heading4"/>
      </w:pPr>
      <w:r>
        <w:t xml:space="preserve">b. </w:t>
      </w:r>
      <w:r w:rsidR="007852BF">
        <w:t xml:space="preserve">IPR protections refer </w:t>
      </w:r>
      <w:r w:rsidR="007852BF">
        <w:rPr>
          <w:u w:val="single"/>
        </w:rPr>
        <w:t>solely</w:t>
      </w:r>
      <w:r w:rsidR="007852BF" w:rsidRPr="00DA6F58">
        <w:t xml:space="preserve"> to </w:t>
      </w:r>
      <w:r w:rsidR="007852BF">
        <w:t xml:space="preserve">the </w:t>
      </w:r>
      <w:r w:rsidR="007852BF" w:rsidRPr="00410846">
        <w:rPr>
          <w:u w:val="single"/>
        </w:rPr>
        <w:t>scope</w:t>
      </w:r>
      <w:r w:rsidR="007852BF">
        <w:t xml:space="preserve"> of entitlement. This </w:t>
      </w:r>
      <w:r w:rsidR="007852BF" w:rsidRPr="00DA6F58">
        <w:rPr>
          <w:u w:val="single"/>
        </w:rPr>
        <w:t>excludes</w:t>
      </w:r>
      <w:r w:rsidR="007852BF">
        <w:t xml:space="preserve"> considerations of </w:t>
      </w:r>
      <w:r w:rsidR="007852BF" w:rsidRPr="00410846">
        <w:rPr>
          <w:u w:val="single"/>
        </w:rPr>
        <w:t>ownership</w:t>
      </w:r>
      <w:r w:rsidR="007852BF">
        <w:t xml:space="preserve">. </w:t>
      </w:r>
    </w:p>
    <w:p w14:paraId="4EDF42E2" w14:textId="77777777" w:rsidR="007852BF" w:rsidRDefault="007852BF" w:rsidP="007852BF">
      <w:r w:rsidRPr="00624E68">
        <w:rPr>
          <w:rStyle w:val="Style13ptBold"/>
        </w:rPr>
        <w:t>Faster Capital ’24</w:t>
      </w:r>
      <w:r>
        <w:t xml:space="preserve"> [Faster Capital; last updated June 24; international startup incubator;“ </w:t>
      </w:r>
      <w:r w:rsidRPr="00C55685">
        <w:t>Assignment: How to Transfer Your Intellectual Property Rights to Another Party</w:t>
      </w:r>
      <w:r>
        <w:t>,”</w:t>
      </w:r>
      <w:r w:rsidRPr="00C55685">
        <w:t xml:space="preserve"> https://fastercapital.com/content/Assignment--How-to-Transfer-Your-Intellectual-Property-Rights-to-Another-Party.html#Assessing-the-Scope-of-Intellectual-Property-Rights.html</w:t>
      </w:r>
      <w:r>
        <w:t>]</w:t>
      </w:r>
    </w:p>
    <w:p w14:paraId="6615B8E8" w14:textId="77777777" w:rsidR="007852BF" w:rsidRPr="00C55685" w:rsidRDefault="007852BF" w:rsidP="007852BF">
      <w:pPr>
        <w:rPr>
          <w:rStyle w:val="StyleUnderline"/>
        </w:rPr>
      </w:pPr>
      <w:r w:rsidRPr="00DA6F58">
        <w:rPr>
          <w:sz w:val="16"/>
        </w:rPr>
        <w:t xml:space="preserve">3. </w:t>
      </w:r>
      <w:r w:rsidRPr="00DA6F58">
        <w:rPr>
          <w:rStyle w:val="StyleUnderline"/>
          <w:highlight w:val="cyan"/>
        </w:rPr>
        <w:t>Assessing the Scope</w:t>
      </w:r>
      <w:r w:rsidRPr="00C55685">
        <w:rPr>
          <w:rStyle w:val="StyleUnderline"/>
        </w:rPr>
        <w:t xml:space="preserve"> of Intellectual Property Rights</w:t>
      </w:r>
    </w:p>
    <w:p w14:paraId="6A639031" w14:textId="77777777" w:rsidR="007852BF" w:rsidRPr="00C55685" w:rsidRDefault="007852BF" w:rsidP="007852BF">
      <w:pPr>
        <w:rPr>
          <w:rStyle w:val="Emphasis"/>
        </w:rPr>
      </w:pPr>
      <w:r w:rsidRPr="00DA6F58">
        <w:rPr>
          <w:rStyle w:val="Emphasis"/>
          <w:highlight w:val="cyan"/>
        </w:rPr>
        <w:t>Intellectual property rights</w:t>
      </w:r>
    </w:p>
    <w:p w14:paraId="089FA7EF" w14:textId="77777777" w:rsidR="007852BF" w:rsidRPr="00DA6F58" w:rsidRDefault="007852BF" w:rsidP="007852BF">
      <w:pPr>
        <w:rPr>
          <w:sz w:val="16"/>
        </w:rPr>
      </w:pPr>
      <w:r w:rsidRPr="00C55685">
        <w:rPr>
          <w:rStyle w:val="StyleUnderline"/>
        </w:rPr>
        <w:t xml:space="preserve">One of the most important steps in transferring your intellectual property rights to another party is to </w:t>
      </w:r>
      <w:r w:rsidRPr="00810303">
        <w:rPr>
          <w:rStyle w:val="StyleUnderline"/>
        </w:rPr>
        <w:t>assess the scope</w:t>
      </w:r>
      <w:r w:rsidRPr="00C55685">
        <w:rPr>
          <w:rStyle w:val="StyleUnderline"/>
        </w:rPr>
        <w:t xml:space="preserve"> of those rights</w:t>
      </w:r>
      <w:r w:rsidRPr="00DA6F58">
        <w:rPr>
          <w:sz w:val="16"/>
        </w:rPr>
        <w:t xml:space="preserve">. </w:t>
      </w:r>
      <w:r w:rsidRPr="00C55685">
        <w:rPr>
          <w:rStyle w:val="StyleUnderline"/>
        </w:rPr>
        <w:t xml:space="preserve">This means identifying what type of intellectual property you own, </w:t>
      </w:r>
      <w:r w:rsidRPr="00810303">
        <w:rPr>
          <w:rStyle w:val="StyleUnderline"/>
          <w:highlight w:val="cyan"/>
        </w:rPr>
        <w:t xml:space="preserve">how it is </w:t>
      </w:r>
      <w:r w:rsidRPr="00810303">
        <w:rPr>
          <w:rStyle w:val="Emphasis"/>
          <w:highlight w:val="cyan"/>
        </w:rPr>
        <w:t>protected</w:t>
      </w:r>
      <w:r w:rsidRPr="00810303">
        <w:rPr>
          <w:rStyle w:val="StyleUnderline"/>
          <w:highlight w:val="cyan"/>
        </w:rPr>
        <w:t>, and what are the</w:t>
      </w:r>
      <w:r w:rsidRPr="00DA6F58">
        <w:rPr>
          <w:sz w:val="16"/>
          <w:highlight w:val="cyan"/>
        </w:rPr>
        <w:t xml:space="preserve"> </w:t>
      </w:r>
      <w:r w:rsidRPr="00810303">
        <w:rPr>
          <w:rStyle w:val="Emphasis"/>
          <w:highlight w:val="cyan"/>
        </w:rPr>
        <w:t>limitations</w:t>
      </w:r>
      <w:r w:rsidRPr="00DA6F58">
        <w:rPr>
          <w:sz w:val="16"/>
          <w:highlight w:val="cyan"/>
        </w:rPr>
        <w:t xml:space="preserve"> </w:t>
      </w:r>
      <w:r w:rsidRPr="00810303">
        <w:rPr>
          <w:rStyle w:val="StyleUnderline"/>
          <w:highlight w:val="cyan"/>
        </w:rPr>
        <w:t>and exceptions</w:t>
      </w:r>
      <w:r w:rsidRPr="00C55685">
        <w:rPr>
          <w:rStyle w:val="StyleUnderline"/>
        </w:rPr>
        <w:t xml:space="preserve"> to your exclusive rights</w:t>
      </w:r>
      <w:r w:rsidRPr="00DA6F58">
        <w:rPr>
          <w:sz w:val="16"/>
        </w:rPr>
        <w:t xml:space="preserve">. </w:t>
      </w:r>
      <w:r w:rsidRPr="00C55685">
        <w:rPr>
          <w:rStyle w:val="StyleUnderline"/>
        </w:rPr>
        <w:t xml:space="preserve">Assessing the </w:t>
      </w:r>
      <w:r w:rsidRPr="00C55685">
        <w:rPr>
          <w:rStyle w:val="Emphasis"/>
        </w:rPr>
        <w:t>scope</w:t>
      </w:r>
      <w:r w:rsidRPr="00C55685">
        <w:rPr>
          <w:rStyle w:val="StyleUnderline"/>
        </w:rPr>
        <w:t xml:space="preserve"> of your </w:t>
      </w:r>
      <w:r w:rsidRPr="00C55685">
        <w:rPr>
          <w:rStyle w:val="Emphasis"/>
        </w:rPr>
        <w:t>intellectual property rights</w:t>
      </w:r>
      <w:r w:rsidRPr="00DA6F58">
        <w:rPr>
          <w:sz w:val="16"/>
        </w:rPr>
        <w:t xml:space="preserve"> can help you determine the value of your assets, negotiate the terms of the transfer, and avoid potential disputes or infringements. In this section, we will discuss some of the factors that you should consider when assessing the scope of your intellectual property rights, such as:</w:t>
      </w:r>
    </w:p>
    <w:p w14:paraId="6FFA2029" w14:textId="77777777" w:rsidR="007852BF" w:rsidRPr="00DA6F58" w:rsidRDefault="007852BF" w:rsidP="007852BF">
      <w:pPr>
        <w:rPr>
          <w:sz w:val="16"/>
        </w:rPr>
      </w:pPr>
      <w:r w:rsidRPr="00DA6F58">
        <w:rPr>
          <w:sz w:val="16"/>
        </w:rPr>
        <w:t xml:space="preserve">1. </w:t>
      </w:r>
      <w:r w:rsidRPr="00C55685">
        <w:rPr>
          <w:rStyle w:val="StyleUnderline"/>
        </w:rPr>
        <w:t>The type of intellectual property</w:t>
      </w:r>
      <w:r w:rsidRPr="00DA6F58">
        <w:rPr>
          <w:sz w:val="16"/>
        </w:rPr>
        <w:t>. There are different types of intellectual property, such as patents, trademarks, copyrights, trade secrets, and designs. Each type of intellectual property has its own criteria for protection, duration, and enforcement. For example, patents protect inventions that are novel, useful, and non-obvious, and last for 20 years from the filing date. trademarks protect distinctive signs that identify the source of goods or services, and can last indefinitely as long as they are used and renewed. Copyrights protect original works of authorship, such as books, music, and software, and last for the life of the author plus 70 years. Trade secrets protect confidential information that has economic value and is not generally known, and can last indefinitely as long as they are kept secret. Designs protect the appearance of products or parts of products, and can last for up to 25 years depending on the jurisdiction.</w:t>
      </w:r>
    </w:p>
    <w:p w14:paraId="69B0C8C4" w14:textId="77777777" w:rsidR="007852BF" w:rsidRPr="00DA6F58" w:rsidRDefault="007852BF" w:rsidP="007852BF">
      <w:pPr>
        <w:rPr>
          <w:sz w:val="16"/>
        </w:rPr>
      </w:pPr>
      <w:r w:rsidRPr="00DA6F58">
        <w:rPr>
          <w:sz w:val="16"/>
        </w:rPr>
        <w:t xml:space="preserve">2. </w:t>
      </w:r>
      <w:r w:rsidRPr="00DA6F58">
        <w:rPr>
          <w:rStyle w:val="Emphasis"/>
          <w:highlight w:val="cyan"/>
        </w:rPr>
        <w:t xml:space="preserve">The </w:t>
      </w:r>
      <w:r w:rsidRPr="00810303">
        <w:rPr>
          <w:rStyle w:val="Emphasis"/>
          <w:highlight w:val="cyan"/>
        </w:rPr>
        <w:t>scope of protection</w:t>
      </w:r>
      <w:r w:rsidRPr="00DA6F58">
        <w:rPr>
          <w:sz w:val="16"/>
        </w:rPr>
        <w:t xml:space="preserve">. </w:t>
      </w:r>
      <w:r w:rsidRPr="00810303">
        <w:rPr>
          <w:rStyle w:val="StyleUnderline"/>
          <w:highlight w:val="cyan"/>
        </w:rPr>
        <w:t xml:space="preserve">The scope of protection refers to the </w:t>
      </w:r>
      <w:r w:rsidRPr="00810303">
        <w:rPr>
          <w:rStyle w:val="Emphasis"/>
          <w:highlight w:val="cyan"/>
        </w:rPr>
        <w:t>extent</w:t>
      </w:r>
      <w:r w:rsidRPr="00DA6F58">
        <w:rPr>
          <w:sz w:val="16"/>
          <w:highlight w:val="cyan"/>
        </w:rPr>
        <w:t xml:space="preserve"> </w:t>
      </w:r>
      <w:r w:rsidRPr="00810303">
        <w:rPr>
          <w:rStyle w:val="StyleUnderline"/>
          <w:highlight w:val="cyan"/>
        </w:rPr>
        <w:t>of your</w:t>
      </w:r>
      <w:r w:rsidRPr="00C55685">
        <w:rPr>
          <w:rStyle w:val="StyleUnderline"/>
        </w:rPr>
        <w:t xml:space="preserve"> </w:t>
      </w:r>
      <w:r w:rsidRPr="00C55685">
        <w:rPr>
          <w:rStyle w:val="Emphasis"/>
        </w:rPr>
        <w:t xml:space="preserve">exclusive </w:t>
      </w:r>
      <w:r w:rsidRPr="00810303">
        <w:rPr>
          <w:rStyle w:val="Emphasis"/>
          <w:highlight w:val="cyan"/>
        </w:rPr>
        <w:t>rights</w:t>
      </w:r>
      <w:r w:rsidRPr="00DA6F58">
        <w:rPr>
          <w:sz w:val="16"/>
        </w:rPr>
        <w:t xml:space="preserve"> over your intellectual property</w:t>
      </w:r>
      <w:r w:rsidRPr="00C55685">
        <w:rPr>
          <w:rStyle w:val="StyleUnderline"/>
        </w:rPr>
        <w:t xml:space="preserve">. </w:t>
      </w:r>
      <w:r w:rsidRPr="00810303">
        <w:rPr>
          <w:rStyle w:val="StyleUnderline"/>
          <w:highlight w:val="cyan"/>
        </w:rPr>
        <w:t>This depends on the type of intellectual property</w:t>
      </w:r>
      <w:r w:rsidRPr="00DA6F58">
        <w:rPr>
          <w:sz w:val="16"/>
        </w:rPr>
        <w:t xml:space="preserve">, the jurisdiction, and the specific claims or registrations that you have. </w:t>
      </w:r>
      <w:r w:rsidRPr="00810303">
        <w:rPr>
          <w:rStyle w:val="StyleUnderline"/>
        </w:rPr>
        <w:t>For example, the</w:t>
      </w:r>
      <w:r w:rsidRPr="00C55685">
        <w:rPr>
          <w:rStyle w:val="StyleUnderline"/>
        </w:rPr>
        <w:t xml:space="preserve"> </w:t>
      </w:r>
      <w:r w:rsidRPr="00810303">
        <w:rPr>
          <w:rStyle w:val="StyleUnderline"/>
        </w:rPr>
        <w:t xml:space="preserve">scope of </w:t>
      </w:r>
      <w:r w:rsidRPr="00DA6F58">
        <w:rPr>
          <w:rStyle w:val="StyleUnderline"/>
          <w:highlight w:val="cyan"/>
        </w:rPr>
        <w:t>protection of a patent is determined by the claims that</w:t>
      </w:r>
      <w:r w:rsidRPr="00810303">
        <w:rPr>
          <w:rStyle w:val="StyleUnderline"/>
        </w:rPr>
        <w:t xml:space="preserve"> </w:t>
      </w:r>
      <w:r w:rsidRPr="00DA6F58">
        <w:rPr>
          <w:rStyle w:val="StyleUnderline"/>
          <w:highlight w:val="cyan"/>
        </w:rPr>
        <w:t>define the</w:t>
      </w:r>
      <w:r w:rsidRPr="00DA6F58">
        <w:rPr>
          <w:sz w:val="16"/>
          <w:highlight w:val="cyan"/>
        </w:rPr>
        <w:t xml:space="preserve"> </w:t>
      </w:r>
      <w:r w:rsidRPr="00DA6F58">
        <w:rPr>
          <w:rStyle w:val="Emphasis"/>
          <w:highlight w:val="cyan"/>
        </w:rPr>
        <w:t>invention</w:t>
      </w:r>
      <w:r w:rsidRPr="00DA6F58">
        <w:rPr>
          <w:sz w:val="16"/>
          <w:highlight w:val="cyan"/>
        </w:rPr>
        <w:t>,</w:t>
      </w:r>
      <w:r w:rsidRPr="00DA6F58">
        <w:rPr>
          <w:sz w:val="16"/>
        </w:rPr>
        <w:t xml:space="preserve"> </w:t>
      </w:r>
      <w:r w:rsidRPr="00810303">
        <w:rPr>
          <w:rStyle w:val="StyleUnderline"/>
        </w:rPr>
        <w:t xml:space="preserve">and may vary depending on the interpretation of the patent office or the court. </w:t>
      </w:r>
      <w:r w:rsidRPr="00810303">
        <w:rPr>
          <w:rStyle w:val="StyleUnderline"/>
        </w:rPr>
        <w:lastRenderedPageBreak/>
        <w:t xml:space="preserve">The scope of </w:t>
      </w:r>
      <w:r w:rsidRPr="00DA6F58">
        <w:rPr>
          <w:rStyle w:val="StyleUnderline"/>
          <w:highlight w:val="cyan"/>
        </w:rPr>
        <w:t>protection of a trademark is determined</w:t>
      </w:r>
      <w:r w:rsidRPr="00810303">
        <w:rPr>
          <w:rStyle w:val="StyleUnderline"/>
        </w:rPr>
        <w:t xml:space="preserve"> </w:t>
      </w:r>
      <w:r w:rsidRPr="00DA6F58">
        <w:rPr>
          <w:rStyle w:val="StyleUnderline"/>
          <w:highlight w:val="cyan"/>
        </w:rPr>
        <w:t>by the classes of goods or services</w:t>
      </w:r>
      <w:r w:rsidRPr="00810303">
        <w:rPr>
          <w:rStyle w:val="StyleUnderline"/>
        </w:rPr>
        <w:t xml:space="preserve"> that it covers, and may vary depending on the similarity</w:t>
      </w:r>
      <w:r w:rsidRPr="00C55685">
        <w:rPr>
          <w:rStyle w:val="StyleUnderline"/>
        </w:rPr>
        <w:t xml:space="preserve"> or</w:t>
      </w:r>
      <w:r w:rsidRPr="00DA6F58">
        <w:rPr>
          <w:sz w:val="16"/>
        </w:rPr>
        <w:t xml:space="preserve"> </w:t>
      </w:r>
      <w:r w:rsidRPr="00C55685">
        <w:rPr>
          <w:rStyle w:val="StyleUnderline"/>
        </w:rPr>
        <w:t xml:space="preserve">confusion with other marks. The </w:t>
      </w:r>
      <w:r w:rsidRPr="00C55685">
        <w:rPr>
          <w:rStyle w:val="Emphasis"/>
        </w:rPr>
        <w:t xml:space="preserve">scope of </w:t>
      </w:r>
      <w:r w:rsidRPr="00DA6F58">
        <w:rPr>
          <w:rStyle w:val="Emphasis"/>
          <w:highlight w:val="cyan"/>
        </w:rPr>
        <w:t>protection</w:t>
      </w:r>
      <w:r w:rsidRPr="00DA6F58">
        <w:rPr>
          <w:rStyle w:val="StyleUnderline"/>
          <w:highlight w:val="cyan"/>
        </w:rPr>
        <w:t xml:space="preserve"> of a </w:t>
      </w:r>
      <w:r w:rsidRPr="00DA6F58">
        <w:rPr>
          <w:rStyle w:val="Emphasis"/>
          <w:highlight w:val="cyan"/>
        </w:rPr>
        <w:t>copyright</w:t>
      </w:r>
      <w:r w:rsidRPr="00DA6F58">
        <w:rPr>
          <w:rStyle w:val="StyleUnderline"/>
          <w:highlight w:val="cyan"/>
        </w:rPr>
        <w:t xml:space="preserve"> is determined by the originality and expression of the work, and may vary depending on the fair use</w:t>
      </w:r>
      <w:r w:rsidRPr="00C55685">
        <w:rPr>
          <w:rStyle w:val="StyleUnderline"/>
        </w:rPr>
        <w:t xml:space="preserve"> or fair dealing </w:t>
      </w:r>
      <w:r w:rsidRPr="00DA6F58">
        <w:rPr>
          <w:rStyle w:val="Emphasis"/>
          <w:highlight w:val="cyan"/>
        </w:rPr>
        <w:t>exceptions</w:t>
      </w:r>
      <w:r w:rsidRPr="00DA6F58">
        <w:rPr>
          <w:sz w:val="16"/>
        </w:rPr>
        <w:t>. The scope of protection of a trade secret is determined by the secrecy and value of the information, and may vary depending on the contractual or legal obligations of the parties. The scope of protection of a design is determined by the novelty and individual character of the design, and may vary depending on the functionality or ornamentality of the product.</w:t>
      </w:r>
    </w:p>
    <w:p w14:paraId="3E12FB6B" w14:textId="77777777" w:rsidR="007852BF" w:rsidRPr="00DA6F58" w:rsidRDefault="007852BF" w:rsidP="007852BF">
      <w:pPr>
        <w:rPr>
          <w:sz w:val="16"/>
        </w:rPr>
      </w:pPr>
      <w:r w:rsidRPr="00DA6F58">
        <w:rPr>
          <w:sz w:val="16"/>
        </w:rPr>
        <w:t xml:space="preserve">3. The </w:t>
      </w:r>
      <w:r w:rsidRPr="00810303">
        <w:rPr>
          <w:rStyle w:val="Emphasis"/>
          <w:highlight w:val="cyan"/>
        </w:rPr>
        <w:t>ownership</w:t>
      </w:r>
      <w:r w:rsidRPr="00DA6F58">
        <w:rPr>
          <w:sz w:val="16"/>
          <w:highlight w:val="cyan"/>
        </w:rPr>
        <w:t xml:space="preserve"> </w:t>
      </w:r>
      <w:r w:rsidRPr="00810303">
        <w:rPr>
          <w:rStyle w:val="StyleUnderline"/>
          <w:highlight w:val="cyan"/>
        </w:rPr>
        <w:t>and</w:t>
      </w:r>
      <w:r w:rsidRPr="00DA6F58">
        <w:rPr>
          <w:sz w:val="16"/>
          <w:highlight w:val="cyan"/>
        </w:rPr>
        <w:t xml:space="preserve"> </w:t>
      </w:r>
      <w:r w:rsidRPr="00810303">
        <w:rPr>
          <w:rStyle w:val="Emphasis"/>
          <w:highlight w:val="cyan"/>
        </w:rPr>
        <w:t>transferability</w:t>
      </w:r>
      <w:r w:rsidRPr="00DA6F58">
        <w:rPr>
          <w:sz w:val="16"/>
        </w:rPr>
        <w:t xml:space="preserve">. The ownership and transferability of your intellectual property rights depend on the type of intellectual property, the jurisdiction, and the contractual or legal arrangements that you have. For example, the </w:t>
      </w:r>
      <w:r w:rsidRPr="00C55685">
        <w:rPr>
          <w:rStyle w:val="StyleUnderline"/>
        </w:rPr>
        <w:t xml:space="preserve">ownership of </w:t>
      </w:r>
      <w:r w:rsidRPr="00810303">
        <w:rPr>
          <w:rStyle w:val="StyleUnderline"/>
          <w:highlight w:val="cyan"/>
        </w:rPr>
        <w:t xml:space="preserve">a patent may belong to the </w:t>
      </w:r>
      <w:r w:rsidRPr="00810303">
        <w:rPr>
          <w:rStyle w:val="Emphasis"/>
          <w:highlight w:val="cyan"/>
        </w:rPr>
        <w:t>inventor</w:t>
      </w:r>
      <w:r w:rsidRPr="00DA6F58">
        <w:rPr>
          <w:sz w:val="16"/>
          <w:highlight w:val="cyan"/>
        </w:rPr>
        <w:t>,</w:t>
      </w:r>
      <w:r w:rsidRPr="00DA6F58">
        <w:rPr>
          <w:sz w:val="16"/>
        </w:rPr>
        <w:t xml:space="preserve"> the </w:t>
      </w:r>
      <w:r w:rsidRPr="00810303">
        <w:rPr>
          <w:rStyle w:val="Emphasis"/>
          <w:highlight w:val="cyan"/>
        </w:rPr>
        <w:t>employer</w:t>
      </w:r>
      <w:r w:rsidRPr="00DA6F58">
        <w:rPr>
          <w:sz w:val="16"/>
          <w:highlight w:val="cyan"/>
        </w:rPr>
        <w:t xml:space="preserve">, </w:t>
      </w:r>
      <w:r w:rsidRPr="00810303">
        <w:rPr>
          <w:rStyle w:val="StyleUnderline"/>
          <w:highlight w:val="cyan"/>
        </w:rPr>
        <w:t>or a third party</w:t>
      </w:r>
      <w:r w:rsidRPr="00DA6F58">
        <w:rPr>
          <w:sz w:val="16"/>
        </w:rPr>
        <w:t xml:space="preserve">, </w:t>
      </w:r>
      <w:r w:rsidRPr="00C55685">
        <w:rPr>
          <w:rStyle w:val="StyleUnderline"/>
        </w:rPr>
        <w:t>depending on the employment contract</w:t>
      </w:r>
      <w:r w:rsidRPr="00DA6F58">
        <w:rPr>
          <w:sz w:val="16"/>
        </w:rPr>
        <w:t xml:space="preserve">, the assignment agreement, or the law. The ownership of a </w:t>
      </w:r>
      <w:r w:rsidRPr="00DA6F58">
        <w:rPr>
          <w:rStyle w:val="StyleUnderline"/>
          <w:highlight w:val="cyan"/>
        </w:rPr>
        <w:t>trademark may belong to the person who uses or registers it, or to a licensor</w:t>
      </w:r>
      <w:r w:rsidRPr="00DA6F58">
        <w:rPr>
          <w:sz w:val="16"/>
        </w:rPr>
        <w:t xml:space="preserve"> or a licensee, depending on the license agreement or the law. </w:t>
      </w:r>
      <w:r w:rsidRPr="00810303">
        <w:rPr>
          <w:rStyle w:val="StyleUnderline"/>
          <w:highlight w:val="cyan"/>
        </w:rPr>
        <w:t>The ownership of a copyright may belong to the author, the employer, or a third party</w:t>
      </w:r>
      <w:r w:rsidRPr="00C55685">
        <w:rPr>
          <w:rStyle w:val="StyleUnderline"/>
        </w:rPr>
        <w:t>, depending on the work-for-hire doctrine, the assignment agreement, or the law.</w:t>
      </w:r>
      <w:r w:rsidRPr="00DA6F58">
        <w:rPr>
          <w:sz w:val="16"/>
        </w:rPr>
        <w:t xml:space="preserve"> The ownership of a trade secret may belong to the person who creates or acquires it, or to a licensor or a licensee, depending on the confidentiality agreement or the law. </w:t>
      </w:r>
      <w:r w:rsidRPr="00C55685">
        <w:rPr>
          <w:rStyle w:val="StyleUnderline"/>
        </w:rPr>
        <w:t>The ownership of a design may belong to the designer, the</w:t>
      </w:r>
      <w:r w:rsidRPr="00DA6F58">
        <w:rPr>
          <w:sz w:val="16"/>
        </w:rPr>
        <w:t xml:space="preserve"> </w:t>
      </w:r>
      <w:r w:rsidRPr="00C55685">
        <w:rPr>
          <w:rStyle w:val="StyleUnderline"/>
        </w:rPr>
        <w:t>employer, or a third party, depending on the employment contract, the assignment agreement, or the law</w:t>
      </w:r>
      <w:r w:rsidRPr="00DA6F58">
        <w:rPr>
          <w:sz w:val="16"/>
        </w:rPr>
        <w:t xml:space="preserve">. The </w:t>
      </w:r>
      <w:r w:rsidRPr="008701E4">
        <w:rPr>
          <w:rStyle w:val="StyleUnderline"/>
        </w:rPr>
        <w:t>transferability of your intellectual property rights may be subject to certain conditions, such as registration, notification</w:t>
      </w:r>
      <w:r w:rsidRPr="00DA6F58">
        <w:rPr>
          <w:sz w:val="16"/>
        </w:rPr>
        <w:t xml:space="preserve">, </w:t>
      </w:r>
      <w:r w:rsidRPr="008701E4">
        <w:rPr>
          <w:rStyle w:val="StyleUnderline"/>
        </w:rPr>
        <w:t>consent, or payment,</w:t>
      </w:r>
      <w:r w:rsidRPr="00DA6F58">
        <w:rPr>
          <w:sz w:val="16"/>
        </w:rPr>
        <w:t xml:space="preserve"> depending on the type of intellectual property, the jurisdiction, and the agreement that you have.</w:t>
      </w:r>
    </w:p>
    <w:p w14:paraId="79440724" w14:textId="76AE9DCA" w:rsidR="007852BF" w:rsidRDefault="00410846" w:rsidP="00410846">
      <w:pPr>
        <w:pStyle w:val="Heading4"/>
      </w:pPr>
      <w:r>
        <w:t>b. Vote negative</w:t>
      </w:r>
    </w:p>
    <w:p w14:paraId="33C7424D" w14:textId="77777777" w:rsidR="00410846" w:rsidRDefault="00410846" w:rsidP="00410846">
      <w:pPr>
        <w:pStyle w:val="Heading4"/>
      </w:pPr>
      <w:r>
        <w:t xml:space="preserve">1. Limits – Their interp allows the aff to unpredictably </w:t>
      </w:r>
      <w:r w:rsidRPr="00410846">
        <w:rPr>
          <w:u w:val="single"/>
        </w:rPr>
        <w:t>create</w:t>
      </w:r>
      <w:r>
        <w:t xml:space="preserve"> a new right instead of strengthening an existing one. They could choose any number of entities to be eligible for rights. </w:t>
      </w:r>
    </w:p>
    <w:p w14:paraId="4CBF3FC7" w14:textId="2F419246" w:rsidR="00410846" w:rsidRDefault="00410846" w:rsidP="00410846">
      <w:pPr>
        <w:pStyle w:val="Heading4"/>
      </w:pPr>
      <w:r>
        <w:t xml:space="preserve">2. Ground – The aff doesn’t change the strength of the patent regime, it uses the same patent standards but generates advantages off of ownership. That gives the aff unfair ground and denies the neg links to the Court Clog DA, and Patents Bad offense. </w:t>
      </w:r>
    </w:p>
    <w:p w14:paraId="2288DD54" w14:textId="660E46CE" w:rsidR="00410846" w:rsidRDefault="00410846" w:rsidP="00410846">
      <w:r>
        <w:t xml:space="preserve"> </w:t>
      </w:r>
    </w:p>
    <w:p w14:paraId="161E564F" w14:textId="77777777" w:rsidR="00410846" w:rsidRPr="00410846" w:rsidRDefault="00410846" w:rsidP="00410846"/>
    <w:p w14:paraId="19B3E4A7" w14:textId="0E51B0CD" w:rsidR="00410846" w:rsidRDefault="00410846" w:rsidP="00410846">
      <w:pPr>
        <w:pStyle w:val="Heading3"/>
      </w:pPr>
      <w:r>
        <w:lastRenderedPageBreak/>
        <w:t>2NC</w:t>
      </w:r>
    </w:p>
    <w:p w14:paraId="6130E811" w14:textId="77777777" w:rsidR="00410846" w:rsidRDefault="00410846" w:rsidP="00410846">
      <w:pPr>
        <w:pStyle w:val="Heading4"/>
      </w:pPr>
      <w:r>
        <w:t>Strengthening</w:t>
      </w:r>
      <w:r w:rsidRPr="003E0408">
        <w:t xml:space="preserve"> of </w:t>
      </w:r>
      <w:r>
        <w:rPr>
          <w:u w:val="single"/>
        </w:rPr>
        <w:t>patent protection</w:t>
      </w:r>
      <w:r>
        <w:t xml:space="preserve"> covers five categories </w:t>
      </w:r>
      <w:r>
        <w:rPr>
          <w:b w:val="0"/>
          <w:bCs/>
        </w:rPr>
        <w:t xml:space="preserve">(scope of inventions covered; membership in international treaties; duration of protection; enforcement mechanisms; restrictions). </w:t>
      </w:r>
      <w:r>
        <w:t xml:space="preserve">Topical affs </w:t>
      </w:r>
      <w:r>
        <w:rPr>
          <w:u w:val="single"/>
        </w:rPr>
        <w:t>must</w:t>
      </w:r>
      <w:r>
        <w:t xml:space="preserve"> remove a component of the </w:t>
      </w:r>
      <w:r>
        <w:rPr>
          <w:u w:val="single"/>
        </w:rPr>
        <w:t>patent protection index</w:t>
      </w:r>
      <w:r w:rsidRPr="00AD7FC7">
        <w:rPr>
          <w:b w:val="0"/>
          <w:bCs/>
          <w:u w:val="single"/>
        </w:rPr>
        <w:t xml:space="preserve">, </w:t>
      </w:r>
      <w:r>
        <w:t>the gold standard for measuring IPR strength</w:t>
      </w:r>
      <w:r w:rsidRPr="00AD7FC7">
        <w:t>.</w:t>
      </w:r>
    </w:p>
    <w:p w14:paraId="2C43CE9C" w14:textId="77777777" w:rsidR="00410846" w:rsidRPr="00AD7FC7" w:rsidRDefault="00410846" w:rsidP="00410846">
      <w:r>
        <w:t>---limits topic to 18 aff areas</w:t>
      </w:r>
    </w:p>
    <w:p w14:paraId="405A08DE" w14:textId="77777777" w:rsidR="00410846" w:rsidRDefault="00410846" w:rsidP="00410846">
      <w:r w:rsidRPr="003E0408">
        <w:rPr>
          <w:rStyle w:val="Style13ptBold"/>
        </w:rPr>
        <w:t>Park ’8</w:t>
      </w:r>
      <w:r>
        <w:t xml:space="preserve"> [Walter G.; May; Professor of Economics and Associate Dean of Graduate Studies at American University; Research Policy, “</w:t>
      </w:r>
      <w:r w:rsidRPr="003E0408">
        <w:t>International patent protection: 1960–2005</w:t>
      </w:r>
      <w:r>
        <w:t>,” Volume 37, Issue 4]</w:t>
      </w:r>
    </w:p>
    <w:p w14:paraId="59131074" w14:textId="77777777" w:rsidR="00410846" w:rsidRPr="003E0408" w:rsidRDefault="00410846" w:rsidP="00410846">
      <w:pPr>
        <w:rPr>
          <w:sz w:val="16"/>
        </w:rPr>
      </w:pPr>
      <w:r w:rsidRPr="003E0408">
        <w:rPr>
          <w:sz w:val="16"/>
        </w:rPr>
        <w:t>The global trade-related aspects of intellectual property rights (TRIPS) agreement of 1995 has intensified interest in, and research on, the economics of intellectual property protection. Researchers and policymakers, for example, have been interested in the extent to which stronger intellectual property rights (IPR) influence R&amp;D and innovation, international trade and technology transfer, productivity growth, and national and global welfare.1</w:t>
      </w:r>
    </w:p>
    <w:p w14:paraId="4B6B09E2" w14:textId="77777777" w:rsidR="00410846" w:rsidRPr="003E0408" w:rsidRDefault="00410846" w:rsidP="00410846">
      <w:pPr>
        <w:rPr>
          <w:sz w:val="16"/>
        </w:rPr>
      </w:pPr>
      <w:r w:rsidRPr="003E0408">
        <w:rPr>
          <w:rStyle w:val="StyleUnderline"/>
        </w:rPr>
        <w:t>Empirical work</w:t>
      </w:r>
      <w:r w:rsidRPr="003E0408">
        <w:rPr>
          <w:sz w:val="16"/>
        </w:rPr>
        <w:t xml:space="preserve"> often </w:t>
      </w:r>
      <w:r w:rsidRPr="003E0408">
        <w:rPr>
          <w:rStyle w:val="StyleUnderline"/>
        </w:rPr>
        <w:t xml:space="preserve">relies on a </w:t>
      </w:r>
      <w:r w:rsidRPr="003E0408">
        <w:rPr>
          <w:rStyle w:val="Emphasis"/>
        </w:rPr>
        <w:t>quantifiable</w:t>
      </w:r>
      <w:r w:rsidRPr="003E0408">
        <w:rPr>
          <w:rStyle w:val="StyleUnderline"/>
        </w:rPr>
        <w:t xml:space="preserve"> measure of the </w:t>
      </w:r>
      <w:r w:rsidRPr="002F129C">
        <w:rPr>
          <w:rStyle w:val="Emphasis"/>
        </w:rPr>
        <w:t>shifts</w:t>
      </w:r>
      <w:r w:rsidRPr="003E0408">
        <w:rPr>
          <w:rStyle w:val="StyleUnderline"/>
        </w:rPr>
        <w:t xml:space="preserve"> in </w:t>
      </w:r>
      <w:r w:rsidRPr="002F129C">
        <w:rPr>
          <w:rStyle w:val="Emphasis"/>
        </w:rPr>
        <w:t>intellectual property</w:t>
      </w:r>
      <w:r w:rsidRPr="003E0408">
        <w:rPr>
          <w:rStyle w:val="StyleUnderline"/>
        </w:rPr>
        <w:t xml:space="preserve"> regimes</w:t>
      </w:r>
      <w:r w:rsidRPr="003E0408">
        <w:rPr>
          <w:sz w:val="16"/>
        </w:rPr>
        <w:t xml:space="preserve">. </w:t>
      </w:r>
      <w:r w:rsidRPr="003E0408">
        <w:rPr>
          <w:rStyle w:val="StyleUnderline"/>
        </w:rPr>
        <w:t>In Ginarte and</w:t>
      </w:r>
      <w:r w:rsidRPr="003E0408">
        <w:rPr>
          <w:sz w:val="16"/>
        </w:rPr>
        <w:t xml:space="preserve"> </w:t>
      </w:r>
      <w:r w:rsidRPr="003E0408">
        <w:rPr>
          <w:rStyle w:val="StyleUnderline"/>
        </w:rPr>
        <w:t>Park</w:t>
      </w:r>
      <w:r w:rsidRPr="003E0408">
        <w:rPr>
          <w:sz w:val="16"/>
        </w:rPr>
        <w:t xml:space="preserve"> (1997), </w:t>
      </w:r>
      <w:r w:rsidRPr="003E0408">
        <w:rPr>
          <w:rStyle w:val="StyleUnderline"/>
        </w:rPr>
        <w:t>an index of patent rights was developed for 110 countries</w:t>
      </w:r>
      <w:r w:rsidRPr="003E0408">
        <w:rPr>
          <w:sz w:val="16"/>
        </w:rPr>
        <w:t xml:space="preserve"> for 1960–1990 (broken down into 5 years intervals). The index is </w:t>
      </w:r>
      <w:r w:rsidRPr="003E0408">
        <w:rPr>
          <w:rStyle w:val="StyleUnderline"/>
        </w:rPr>
        <w:t>the unweighted sum of five separate scores for</w:t>
      </w:r>
      <w:r w:rsidRPr="003E0408">
        <w:rPr>
          <w:sz w:val="16"/>
        </w:rPr>
        <w:t xml:space="preserve">: </w:t>
      </w:r>
      <w:r w:rsidRPr="003E0408">
        <w:rPr>
          <w:rStyle w:val="Emphasis"/>
        </w:rPr>
        <w:t>coverage</w:t>
      </w:r>
      <w:r w:rsidRPr="003E0408">
        <w:rPr>
          <w:sz w:val="16"/>
        </w:rPr>
        <w:t xml:space="preserve"> (</w:t>
      </w:r>
      <w:r w:rsidRPr="003E0408">
        <w:rPr>
          <w:rStyle w:val="StyleUnderline"/>
        </w:rPr>
        <w:t>inventions that are patentable</w:t>
      </w:r>
      <w:r w:rsidRPr="003E0408">
        <w:rPr>
          <w:sz w:val="16"/>
        </w:rPr>
        <w:t xml:space="preserve">); </w:t>
      </w:r>
      <w:r w:rsidRPr="003E0408">
        <w:rPr>
          <w:rStyle w:val="Emphasis"/>
        </w:rPr>
        <w:t>membership</w:t>
      </w:r>
      <w:r w:rsidRPr="003E0408">
        <w:rPr>
          <w:rStyle w:val="StyleUnderline"/>
        </w:rPr>
        <w:t xml:space="preserve"> in international </w:t>
      </w:r>
      <w:r w:rsidRPr="003E0408">
        <w:rPr>
          <w:rStyle w:val="Emphasis"/>
        </w:rPr>
        <w:t>treaties</w:t>
      </w:r>
      <w:r w:rsidRPr="003E0408">
        <w:rPr>
          <w:sz w:val="16"/>
        </w:rPr>
        <w:t xml:space="preserve">; </w:t>
      </w:r>
      <w:r w:rsidRPr="003E0408">
        <w:rPr>
          <w:rStyle w:val="Emphasis"/>
        </w:rPr>
        <w:t>duration of protection</w:t>
      </w:r>
      <w:r w:rsidRPr="003E0408">
        <w:rPr>
          <w:sz w:val="16"/>
        </w:rPr>
        <w:t xml:space="preserve">; </w:t>
      </w:r>
      <w:r w:rsidRPr="003E0408">
        <w:rPr>
          <w:rStyle w:val="Emphasis"/>
        </w:rPr>
        <w:t>enforcement mechanisms</w:t>
      </w:r>
      <w:r w:rsidRPr="003E0408">
        <w:rPr>
          <w:sz w:val="16"/>
        </w:rPr>
        <w:t xml:space="preserve">; and </w:t>
      </w:r>
      <w:r w:rsidRPr="003E0408">
        <w:rPr>
          <w:rStyle w:val="Emphasis"/>
        </w:rPr>
        <w:t>restrictions</w:t>
      </w:r>
      <w:r w:rsidRPr="003E0408">
        <w:rPr>
          <w:sz w:val="16"/>
        </w:rPr>
        <w:t xml:space="preserve"> (for example, </w:t>
      </w:r>
      <w:r w:rsidRPr="003E0408">
        <w:rPr>
          <w:rStyle w:val="Emphasis"/>
        </w:rPr>
        <w:t>compulsory licensing</w:t>
      </w:r>
      <w:r w:rsidRPr="003E0408">
        <w:rPr>
          <w:sz w:val="16"/>
        </w:rPr>
        <w:t xml:space="preserve"> in the event that a patented invention is not sufficiently exploited). </w:t>
      </w:r>
      <w:r w:rsidRPr="003E0408">
        <w:rPr>
          <w:rStyle w:val="StyleUnderline"/>
        </w:rPr>
        <w:t xml:space="preserve">This index was designed to provide an </w:t>
      </w:r>
      <w:r w:rsidRPr="002F129C">
        <w:rPr>
          <w:rStyle w:val="Emphasis"/>
        </w:rPr>
        <w:t>indicator</w:t>
      </w:r>
      <w:r w:rsidRPr="003E0408">
        <w:rPr>
          <w:rStyle w:val="StyleUnderline"/>
        </w:rPr>
        <w:t xml:space="preserve"> of the </w:t>
      </w:r>
      <w:r w:rsidRPr="003E0408">
        <w:rPr>
          <w:rStyle w:val="Emphasis"/>
        </w:rPr>
        <w:t>strength</w:t>
      </w:r>
      <w:r w:rsidRPr="003E0408">
        <w:rPr>
          <w:rStyle w:val="StyleUnderline"/>
        </w:rPr>
        <w:t xml:space="preserve"> of </w:t>
      </w:r>
      <w:r w:rsidRPr="003E0408">
        <w:rPr>
          <w:rStyle w:val="Emphasis"/>
        </w:rPr>
        <w:t>patent protection</w:t>
      </w:r>
      <w:r w:rsidRPr="003E0408">
        <w:rPr>
          <w:sz w:val="16"/>
        </w:rPr>
        <w:t>, n</w:t>
      </w:r>
      <w:r w:rsidRPr="002F129C">
        <w:rPr>
          <w:rStyle w:val="StyleUnderline"/>
        </w:rPr>
        <w:t>ot the quality of patent systems.</w:t>
      </w:r>
    </w:p>
    <w:p w14:paraId="6466F17A" w14:textId="77777777" w:rsidR="00410846" w:rsidRPr="003E0408" w:rsidRDefault="00410846" w:rsidP="00410846">
      <w:pPr>
        <w:rPr>
          <w:sz w:val="16"/>
        </w:rPr>
      </w:pPr>
      <w:r w:rsidRPr="003E0408">
        <w:rPr>
          <w:sz w:val="16"/>
        </w:rPr>
        <w:t>However, the index is now over 15 years out of date. To better serve ongoing research, I have updated the index of patent rights to the year 2005 and included more countries (such as China and the East European countries, which were originally excluded because laws protecting industrial property were either non-existent or based on a different system, such as inventor certificates). In this note, I present the updated data, highlight the key developments underlying the changes in patent rights across countries, and discuss the possible applications of the data.</w:t>
      </w:r>
    </w:p>
    <w:p w14:paraId="5C4AAF02" w14:textId="77777777" w:rsidR="00410846" w:rsidRPr="003E0408" w:rsidRDefault="00410846" w:rsidP="00410846">
      <w:pPr>
        <w:rPr>
          <w:sz w:val="16"/>
        </w:rPr>
      </w:pPr>
      <w:r w:rsidRPr="003E0408">
        <w:rPr>
          <w:sz w:val="16"/>
        </w:rPr>
        <w:t>2. Updated patent rights index and key developments</w:t>
      </w:r>
    </w:p>
    <w:p w14:paraId="3828C9D3" w14:textId="77777777" w:rsidR="00410846" w:rsidRPr="003E0408" w:rsidRDefault="00410846" w:rsidP="00410846">
      <w:pPr>
        <w:rPr>
          <w:sz w:val="16"/>
        </w:rPr>
      </w:pPr>
      <w:r w:rsidRPr="003E0408">
        <w:rPr>
          <w:sz w:val="16"/>
        </w:rPr>
        <w:t xml:space="preserve">Table 1 presents a summary of the scores by country. The </w:t>
      </w:r>
      <w:r w:rsidRPr="003E0408">
        <w:rPr>
          <w:rStyle w:val="Emphasis"/>
        </w:rPr>
        <w:t>Appendix A</w:t>
      </w:r>
      <w:r w:rsidRPr="003E0408">
        <w:rPr>
          <w:sz w:val="16"/>
        </w:rPr>
        <w:t xml:space="preserve"> </w:t>
      </w:r>
      <w:r w:rsidRPr="003E0408">
        <w:rPr>
          <w:rStyle w:val="StyleUnderline"/>
        </w:rPr>
        <w:t>summarizes the scoring methodology</w:t>
      </w:r>
      <w:r w:rsidRPr="003E0408">
        <w:rPr>
          <w:sz w:val="16"/>
        </w:rPr>
        <w:t xml:space="preserve">. </w:t>
      </w:r>
      <w:r w:rsidRPr="003E0408">
        <w:rPr>
          <w:rStyle w:val="StyleUnderline"/>
        </w:rPr>
        <w:t>The present index incorporates the effects of recent national and global developments</w:t>
      </w:r>
      <w:r w:rsidRPr="003E0408">
        <w:rPr>
          <w:sz w:val="16"/>
        </w:rPr>
        <w:t xml:space="preserve">, most notably the TRIPS agreement, </w:t>
      </w:r>
      <w:r w:rsidRPr="003E0408">
        <w:rPr>
          <w:rStyle w:val="StyleUnderline"/>
        </w:rPr>
        <w:t>legislations dealing with emerging technologies</w:t>
      </w:r>
      <w:r w:rsidRPr="003E0408">
        <w:rPr>
          <w:sz w:val="16"/>
        </w:rPr>
        <w:t xml:space="preserve"> such as software and biotechnology, </w:t>
      </w:r>
      <w:r w:rsidRPr="003E0408">
        <w:rPr>
          <w:rStyle w:val="StyleUnderline"/>
        </w:rPr>
        <w:t>and the</w:t>
      </w:r>
      <w:r w:rsidRPr="003E0408">
        <w:rPr>
          <w:sz w:val="16"/>
        </w:rPr>
        <w:t xml:space="preserve"> </w:t>
      </w:r>
      <w:r w:rsidRPr="002F129C">
        <w:rPr>
          <w:rStyle w:val="Emphasis"/>
        </w:rPr>
        <w:t>revisions</w:t>
      </w:r>
      <w:r w:rsidRPr="003E0408">
        <w:rPr>
          <w:rStyle w:val="StyleUnderline"/>
        </w:rPr>
        <w:t xml:space="preserve"> in </w:t>
      </w:r>
      <w:r w:rsidRPr="002F129C">
        <w:rPr>
          <w:rStyle w:val="Emphasis"/>
        </w:rPr>
        <w:t>national patent laws</w:t>
      </w:r>
      <w:r w:rsidRPr="002F129C">
        <w:rPr>
          <w:rStyle w:val="StyleUnderline"/>
        </w:rPr>
        <w:t xml:space="preserve"> required to </w:t>
      </w:r>
      <w:r w:rsidRPr="002F129C">
        <w:rPr>
          <w:rStyle w:val="Emphasis"/>
        </w:rPr>
        <w:t>conform</w:t>
      </w:r>
      <w:r w:rsidRPr="002F129C">
        <w:rPr>
          <w:rStyle w:val="StyleUnderline"/>
        </w:rPr>
        <w:t xml:space="preserve"> to international and regional agreements</w:t>
      </w:r>
      <w:r w:rsidRPr="003E0408">
        <w:rPr>
          <w:sz w:val="16"/>
        </w:rPr>
        <w:t xml:space="preserve"> (such as the North American free trade agreement (NAFTA), European patent convention (EPC), African Regional industrial property organization (ARIPO), Cartagena agreement, among others).2</w:t>
      </w:r>
    </w:p>
    <w:p w14:paraId="0FD3854A" w14:textId="77777777" w:rsidR="00410846" w:rsidRPr="003E0408" w:rsidRDefault="00410846" w:rsidP="00410846">
      <w:pPr>
        <w:rPr>
          <w:b/>
          <w:bCs/>
        </w:rPr>
      </w:pPr>
      <w:r>
        <w:rPr>
          <w:b/>
          <w:bCs/>
        </w:rPr>
        <w:t>(Appendix A Attached)</w:t>
      </w:r>
    </w:p>
    <w:p w14:paraId="40AD0EFF" w14:textId="77777777" w:rsidR="00410846" w:rsidRPr="00DD1D9E" w:rsidRDefault="00410846" w:rsidP="00410846">
      <w:pPr>
        <w:rPr>
          <w:sz w:val="16"/>
        </w:rPr>
      </w:pPr>
      <w:r w:rsidRPr="00DD1D9E">
        <w:rPr>
          <w:sz w:val="16"/>
        </w:rPr>
        <w:t>Appendix A. Components and scoring method of patent rights index7</w:t>
      </w:r>
    </w:p>
    <w:p w14:paraId="4A251F6F" w14:textId="77777777" w:rsidR="00410846" w:rsidRPr="00DD1D9E" w:rsidRDefault="00410846" w:rsidP="00410846">
      <w:pPr>
        <w:rPr>
          <w:sz w:val="16"/>
        </w:rPr>
      </w:pPr>
      <w:r w:rsidRPr="00DD1D9E">
        <w:rPr>
          <w:sz w:val="16"/>
        </w:rPr>
        <w:t>(1) Coverage</w:t>
      </w:r>
      <w:r w:rsidRPr="00DD1D9E">
        <w:rPr>
          <w:sz w:val="16"/>
        </w:rPr>
        <w:tab/>
        <w:t>Available</w:t>
      </w:r>
      <w:r w:rsidRPr="00DD1D9E">
        <w:rPr>
          <w:sz w:val="16"/>
        </w:rPr>
        <w:tab/>
        <w:t>Not available</w:t>
      </w:r>
    </w:p>
    <w:p w14:paraId="0D33B427" w14:textId="77777777" w:rsidR="00410846" w:rsidRPr="00DD1D9E" w:rsidRDefault="00410846" w:rsidP="00410846">
      <w:pPr>
        <w:rPr>
          <w:sz w:val="16"/>
        </w:rPr>
      </w:pPr>
      <w:r w:rsidRPr="00DD1D9E">
        <w:rPr>
          <w:sz w:val="16"/>
        </w:rPr>
        <w:t xml:space="preserve">Patentability of </w:t>
      </w:r>
      <w:r w:rsidRPr="003E0408">
        <w:rPr>
          <w:rStyle w:val="StyleUnderline"/>
        </w:rPr>
        <w:t>pharma</w:t>
      </w:r>
      <w:r w:rsidRPr="00DD1D9E">
        <w:rPr>
          <w:sz w:val="16"/>
        </w:rPr>
        <w:t>ceuticals</w:t>
      </w:r>
      <w:r w:rsidRPr="00DD1D9E">
        <w:rPr>
          <w:sz w:val="16"/>
        </w:rPr>
        <w:tab/>
        <w:t>1/8</w:t>
      </w:r>
      <w:r w:rsidRPr="00DD1D9E">
        <w:rPr>
          <w:sz w:val="16"/>
        </w:rPr>
        <w:tab/>
        <w:t>0</w:t>
      </w:r>
    </w:p>
    <w:p w14:paraId="1392F2F2" w14:textId="77777777" w:rsidR="00410846" w:rsidRPr="00DD1D9E" w:rsidRDefault="00410846" w:rsidP="00410846">
      <w:pPr>
        <w:rPr>
          <w:sz w:val="16"/>
        </w:rPr>
      </w:pPr>
      <w:r w:rsidRPr="00DD1D9E">
        <w:rPr>
          <w:sz w:val="16"/>
        </w:rPr>
        <w:t xml:space="preserve">Patentability of </w:t>
      </w:r>
      <w:r w:rsidRPr="003E0408">
        <w:rPr>
          <w:rStyle w:val="StyleUnderline"/>
        </w:rPr>
        <w:t>chemicals</w:t>
      </w:r>
      <w:r w:rsidRPr="00DD1D9E">
        <w:rPr>
          <w:sz w:val="16"/>
        </w:rPr>
        <w:tab/>
        <w:t>1/8</w:t>
      </w:r>
      <w:r w:rsidRPr="00DD1D9E">
        <w:rPr>
          <w:sz w:val="16"/>
        </w:rPr>
        <w:tab/>
        <w:t>0</w:t>
      </w:r>
    </w:p>
    <w:p w14:paraId="077ED8ED" w14:textId="77777777" w:rsidR="00410846" w:rsidRPr="00DD1D9E" w:rsidRDefault="00410846" w:rsidP="00410846">
      <w:pPr>
        <w:rPr>
          <w:sz w:val="16"/>
        </w:rPr>
      </w:pPr>
      <w:r w:rsidRPr="00DD1D9E">
        <w:rPr>
          <w:sz w:val="16"/>
        </w:rPr>
        <w:t xml:space="preserve">Patentability of </w:t>
      </w:r>
      <w:r w:rsidRPr="003E0408">
        <w:rPr>
          <w:rStyle w:val="StyleUnderline"/>
        </w:rPr>
        <w:t>food</w:t>
      </w:r>
      <w:r w:rsidRPr="00DD1D9E">
        <w:rPr>
          <w:sz w:val="16"/>
        </w:rPr>
        <w:tab/>
        <w:t>1/8</w:t>
      </w:r>
      <w:r w:rsidRPr="00DD1D9E">
        <w:rPr>
          <w:sz w:val="16"/>
        </w:rPr>
        <w:tab/>
        <w:t>0</w:t>
      </w:r>
    </w:p>
    <w:p w14:paraId="2854B99E" w14:textId="77777777" w:rsidR="00410846" w:rsidRPr="00DD1D9E" w:rsidRDefault="00410846" w:rsidP="00410846">
      <w:pPr>
        <w:rPr>
          <w:sz w:val="16"/>
        </w:rPr>
      </w:pPr>
      <w:r w:rsidRPr="00DD1D9E">
        <w:rPr>
          <w:sz w:val="16"/>
        </w:rPr>
        <w:t xml:space="preserve">Patentability of </w:t>
      </w:r>
      <w:r w:rsidRPr="003E0408">
        <w:rPr>
          <w:rStyle w:val="StyleUnderline"/>
        </w:rPr>
        <w:t>surgical products</w:t>
      </w:r>
      <w:r w:rsidRPr="00DD1D9E">
        <w:rPr>
          <w:sz w:val="16"/>
        </w:rPr>
        <w:tab/>
        <w:t>1/8</w:t>
      </w:r>
      <w:r w:rsidRPr="00DD1D9E">
        <w:rPr>
          <w:sz w:val="16"/>
        </w:rPr>
        <w:tab/>
        <w:t>0</w:t>
      </w:r>
    </w:p>
    <w:p w14:paraId="55619ABE" w14:textId="77777777" w:rsidR="00410846" w:rsidRPr="00DD1D9E" w:rsidRDefault="00410846" w:rsidP="00410846">
      <w:pPr>
        <w:rPr>
          <w:sz w:val="16"/>
        </w:rPr>
      </w:pPr>
      <w:r w:rsidRPr="00DD1D9E">
        <w:rPr>
          <w:sz w:val="16"/>
        </w:rPr>
        <w:t xml:space="preserve">Patentability of </w:t>
      </w:r>
      <w:r w:rsidRPr="003E0408">
        <w:rPr>
          <w:rStyle w:val="Emphasis"/>
        </w:rPr>
        <w:t>microorganisms</w:t>
      </w:r>
      <w:r w:rsidRPr="00DD1D9E">
        <w:rPr>
          <w:sz w:val="16"/>
        </w:rPr>
        <w:tab/>
        <w:t>1/8</w:t>
      </w:r>
      <w:r w:rsidRPr="00DD1D9E">
        <w:rPr>
          <w:sz w:val="16"/>
        </w:rPr>
        <w:tab/>
        <w:t>0</w:t>
      </w:r>
    </w:p>
    <w:p w14:paraId="1C7A5BA5" w14:textId="77777777" w:rsidR="00410846" w:rsidRPr="00DD1D9E" w:rsidRDefault="00410846" w:rsidP="00410846">
      <w:pPr>
        <w:rPr>
          <w:sz w:val="16"/>
        </w:rPr>
      </w:pPr>
      <w:r w:rsidRPr="00DD1D9E">
        <w:rPr>
          <w:sz w:val="16"/>
        </w:rPr>
        <w:lastRenderedPageBreak/>
        <w:t xml:space="preserve">Patentability of </w:t>
      </w:r>
      <w:r w:rsidRPr="003E0408">
        <w:rPr>
          <w:rStyle w:val="StyleUnderline"/>
        </w:rPr>
        <w:t>utility models</w:t>
      </w:r>
      <w:r w:rsidRPr="00DD1D9E">
        <w:rPr>
          <w:sz w:val="16"/>
        </w:rPr>
        <w:tab/>
        <w:t>1/8</w:t>
      </w:r>
      <w:r w:rsidRPr="00DD1D9E">
        <w:rPr>
          <w:sz w:val="16"/>
        </w:rPr>
        <w:tab/>
        <w:t>0</w:t>
      </w:r>
    </w:p>
    <w:p w14:paraId="1D1A7CA5" w14:textId="77777777" w:rsidR="00410846" w:rsidRPr="00DD1D9E" w:rsidRDefault="00410846" w:rsidP="00410846">
      <w:pPr>
        <w:rPr>
          <w:sz w:val="16"/>
        </w:rPr>
      </w:pPr>
      <w:r w:rsidRPr="00DD1D9E">
        <w:rPr>
          <w:sz w:val="16"/>
        </w:rPr>
        <w:t xml:space="preserve">Patentability of </w:t>
      </w:r>
      <w:r w:rsidRPr="003E0408">
        <w:rPr>
          <w:rStyle w:val="StyleUnderline"/>
        </w:rPr>
        <w:t>software</w:t>
      </w:r>
      <w:r w:rsidRPr="00DD1D9E">
        <w:rPr>
          <w:sz w:val="16"/>
        </w:rPr>
        <w:tab/>
        <w:t>1/8</w:t>
      </w:r>
      <w:r w:rsidRPr="00DD1D9E">
        <w:rPr>
          <w:sz w:val="16"/>
        </w:rPr>
        <w:tab/>
        <w:t>0</w:t>
      </w:r>
    </w:p>
    <w:p w14:paraId="1C2C8628" w14:textId="77777777" w:rsidR="00410846" w:rsidRPr="00DD1D9E" w:rsidRDefault="00410846" w:rsidP="00410846">
      <w:pPr>
        <w:rPr>
          <w:sz w:val="16"/>
        </w:rPr>
      </w:pPr>
      <w:r w:rsidRPr="00DD1D9E">
        <w:rPr>
          <w:sz w:val="16"/>
        </w:rPr>
        <w:t xml:space="preserve">Patentability of </w:t>
      </w:r>
      <w:r w:rsidRPr="003E0408">
        <w:rPr>
          <w:rStyle w:val="StyleUnderline"/>
        </w:rPr>
        <w:t>plant and animal varieties</w:t>
      </w:r>
      <w:r w:rsidRPr="00DD1D9E">
        <w:rPr>
          <w:sz w:val="16"/>
        </w:rPr>
        <w:tab/>
        <w:t>1/8</w:t>
      </w:r>
      <w:r w:rsidRPr="00DD1D9E">
        <w:rPr>
          <w:sz w:val="16"/>
        </w:rPr>
        <w:tab/>
        <w:t>0</w:t>
      </w:r>
    </w:p>
    <w:p w14:paraId="7323798E" w14:textId="77777777" w:rsidR="00410846" w:rsidRPr="00DD1D9E" w:rsidRDefault="00410846" w:rsidP="00410846">
      <w:pPr>
        <w:rPr>
          <w:sz w:val="16"/>
        </w:rPr>
      </w:pPr>
      <w:r w:rsidRPr="00DD1D9E">
        <w:rPr>
          <w:sz w:val="16"/>
        </w:rPr>
        <w:t xml:space="preserve">(2) </w:t>
      </w:r>
      <w:r w:rsidRPr="003E0408">
        <w:rPr>
          <w:rStyle w:val="StyleUnderline"/>
        </w:rPr>
        <w:t>Membership in</w:t>
      </w:r>
      <w:r w:rsidRPr="00DD1D9E">
        <w:rPr>
          <w:sz w:val="16"/>
        </w:rPr>
        <w:t xml:space="preserve"> international </w:t>
      </w:r>
      <w:r w:rsidRPr="003E0408">
        <w:rPr>
          <w:rStyle w:val="StyleUnderline"/>
        </w:rPr>
        <w:t>treaties</w:t>
      </w:r>
      <w:r w:rsidRPr="00DD1D9E">
        <w:rPr>
          <w:sz w:val="16"/>
        </w:rPr>
        <w:tab/>
        <w:t>Signatory</w:t>
      </w:r>
      <w:r w:rsidRPr="00DD1D9E">
        <w:rPr>
          <w:sz w:val="16"/>
        </w:rPr>
        <w:tab/>
        <w:t>Not signatory</w:t>
      </w:r>
    </w:p>
    <w:p w14:paraId="32FB324D" w14:textId="77777777" w:rsidR="00410846" w:rsidRPr="00DD1D9E" w:rsidRDefault="00410846" w:rsidP="00410846">
      <w:pPr>
        <w:rPr>
          <w:sz w:val="16"/>
        </w:rPr>
      </w:pPr>
      <w:r w:rsidRPr="003E0408">
        <w:rPr>
          <w:rStyle w:val="StyleUnderline"/>
        </w:rPr>
        <w:t>Paris</w:t>
      </w:r>
      <w:r w:rsidRPr="00DD1D9E">
        <w:rPr>
          <w:sz w:val="16"/>
        </w:rPr>
        <w:t xml:space="preserve"> convention and revisions</w:t>
      </w:r>
      <w:r w:rsidRPr="00DD1D9E">
        <w:rPr>
          <w:sz w:val="16"/>
        </w:rPr>
        <w:tab/>
        <w:t>1/5</w:t>
      </w:r>
      <w:r w:rsidRPr="00DD1D9E">
        <w:rPr>
          <w:sz w:val="16"/>
        </w:rPr>
        <w:tab/>
        <w:t>0</w:t>
      </w:r>
    </w:p>
    <w:p w14:paraId="69C5753C" w14:textId="77777777" w:rsidR="00410846" w:rsidRPr="00DD1D9E" w:rsidRDefault="00410846" w:rsidP="00410846">
      <w:pPr>
        <w:rPr>
          <w:sz w:val="16"/>
        </w:rPr>
      </w:pPr>
      <w:r w:rsidRPr="003E0408">
        <w:rPr>
          <w:rStyle w:val="StyleUnderline"/>
        </w:rPr>
        <w:t>Patent cooperation treaty</w:t>
      </w:r>
      <w:r w:rsidRPr="00DD1D9E">
        <w:rPr>
          <w:sz w:val="16"/>
        </w:rPr>
        <w:tab/>
        <w:t>1/5</w:t>
      </w:r>
      <w:r w:rsidRPr="00DD1D9E">
        <w:rPr>
          <w:sz w:val="16"/>
        </w:rPr>
        <w:tab/>
        <w:t>0</w:t>
      </w:r>
    </w:p>
    <w:p w14:paraId="572F60A7" w14:textId="77777777" w:rsidR="00410846" w:rsidRPr="00DD1D9E" w:rsidRDefault="00410846" w:rsidP="00410846">
      <w:pPr>
        <w:rPr>
          <w:sz w:val="16"/>
        </w:rPr>
      </w:pPr>
      <w:r w:rsidRPr="003E0408">
        <w:rPr>
          <w:rStyle w:val="StyleUnderline"/>
        </w:rPr>
        <w:t>Protection of new varieties</w:t>
      </w:r>
      <w:r w:rsidRPr="00DD1D9E">
        <w:rPr>
          <w:sz w:val="16"/>
        </w:rPr>
        <w:t xml:space="preserve"> (UPOV)</w:t>
      </w:r>
      <w:r w:rsidRPr="00DD1D9E">
        <w:rPr>
          <w:sz w:val="16"/>
        </w:rPr>
        <w:tab/>
        <w:t>1/5</w:t>
      </w:r>
      <w:r w:rsidRPr="00DD1D9E">
        <w:rPr>
          <w:sz w:val="16"/>
        </w:rPr>
        <w:tab/>
        <w:t>0</w:t>
      </w:r>
    </w:p>
    <w:p w14:paraId="4F9BC90C" w14:textId="77777777" w:rsidR="00410846" w:rsidRPr="00DD1D9E" w:rsidRDefault="00410846" w:rsidP="00410846">
      <w:pPr>
        <w:rPr>
          <w:sz w:val="16"/>
        </w:rPr>
      </w:pPr>
      <w:r w:rsidRPr="003E0408">
        <w:rPr>
          <w:rStyle w:val="StyleUnderline"/>
        </w:rPr>
        <w:t>Budapest</w:t>
      </w:r>
      <w:r w:rsidRPr="00DD1D9E">
        <w:rPr>
          <w:sz w:val="16"/>
        </w:rPr>
        <w:t xml:space="preserve"> treaty (microorganism deposits)</w:t>
      </w:r>
      <w:r w:rsidRPr="00DD1D9E">
        <w:rPr>
          <w:sz w:val="16"/>
        </w:rPr>
        <w:tab/>
        <w:t>1/5</w:t>
      </w:r>
      <w:r w:rsidRPr="00DD1D9E">
        <w:rPr>
          <w:sz w:val="16"/>
        </w:rPr>
        <w:tab/>
        <w:t>0</w:t>
      </w:r>
    </w:p>
    <w:p w14:paraId="267CBE28" w14:textId="77777777" w:rsidR="00410846" w:rsidRPr="00DD1D9E" w:rsidRDefault="00410846" w:rsidP="00410846">
      <w:pPr>
        <w:rPr>
          <w:sz w:val="16"/>
        </w:rPr>
      </w:pPr>
      <w:r w:rsidRPr="00DD1D9E">
        <w:rPr>
          <w:sz w:val="16"/>
        </w:rPr>
        <w:t>Trade-related intellectual property rights (</w:t>
      </w:r>
      <w:r w:rsidRPr="003E0408">
        <w:rPr>
          <w:rStyle w:val="Emphasis"/>
        </w:rPr>
        <w:t>TRIPS</w:t>
      </w:r>
      <w:r w:rsidRPr="00DD1D9E">
        <w:rPr>
          <w:sz w:val="16"/>
        </w:rPr>
        <w:t>)</w:t>
      </w:r>
      <w:r w:rsidRPr="00DD1D9E">
        <w:rPr>
          <w:sz w:val="16"/>
        </w:rPr>
        <w:tab/>
        <w:t>1/5</w:t>
      </w:r>
      <w:r w:rsidRPr="00DD1D9E">
        <w:rPr>
          <w:sz w:val="16"/>
        </w:rPr>
        <w:tab/>
        <w:t>0</w:t>
      </w:r>
    </w:p>
    <w:p w14:paraId="1A97D47B" w14:textId="77777777" w:rsidR="00410846" w:rsidRPr="00DD1D9E" w:rsidRDefault="00410846" w:rsidP="00410846">
      <w:pPr>
        <w:rPr>
          <w:sz w:val="16"/>
        </w:rPr>
      </w:pPr>
      <w:r w:rsidRPr="00DD1D9E">
        <w:rPr>
          <w:sz w:val="16"/>
        </w:rPr>
        <w:t xml:space="preserve">(3) </w:t>
      </w:r>
      <w:r w:rsidRPr="003E0408">
        <w:rPr>
          <w:rStyle w:val="Emphasis"/>
        </w:rPr>
        <w:t>Duration of protection</w:t>
      </w:r>
      <w:r w:rsidRPr="00DD1D9E">
        <w:rPr>
          <w:sz w:val="16"/>
        </w:rPr>
        <w:tab/>
        <w:t>Full</w:t>
      </w:r>
      <w:r w:rsidRPr="00DD1D9E">
        <w:rPr>
          <w:sz w:val="16"/>
        </w:rPr>
        <w:tab/>
        <w:t>Partial</w:t>
      </w:r>
    </w:p>
    <w:p w14:paraId="4DBF4541" w14:textId="77777777" w:rsidR="00410846" w:rsidRPr="00DD1D9E" w:rsidRDefault="00410846" w:rsidP="00410846">
      <w:pPr>
        <w:rPr>
          <w:sz w:val="16"/>
        </w:rPr>
      </w:pPr>
      <w:r w:rsidRPr="00DD1D9E">
        <w:rPr>
          <w:sz w:val="16"/>
        </w:rPr>
        <w:t>1</w:t>
      </w:r>
      <w:r w:rsidRPr="00DD1D9E">
        <w:rPr>
          <w:sz w:val="16"/>
        </w:rPr>
        <w:tab/>
        <w:t>0 &lt; f &lt; 1</w:t>
      </w:r>
    </w:p>
    <w:p w14:paraId="3DD0AEE6" w14:textId="77777777" w:rsidR="00410846" w:rsidRPr="00DD1D9E" w:rsidRDefault="00410846" w:rsidP="00410846">
      <w:pPr>
        <w:rPr>
          <w:sz w:val="16"/>
        </w:rPr>
      </w:pPr>
      <w:r w:rsidRPr="00DD1D9E">
        <w:rPr>
          <w:sz w:val="16"/>
        </w:rPr>
        <w:t xml:space="preserve">(4) </w:t>
      </w:r>
      <w:r w:rsidRPr="003E0408">
        <w:rPr>
          <w:rStyle w:val="Emphasis"/>
        </w:rPr>
        <w:t>Enforcement mechanisms</w:t>
      </w:r>
      <w:r w:rsidRPr="00DD1D9E">
        <w:rPr>
          <w:sz w:val="16"/>
        </w:rPr>
        <w:tab/>
        <w:t>Available</w:t>
      </w:r>
      <w:r w:rsidRPr="00DD1D9E">
        <w:rPr>
          <w:sz w:val="16"/>
        </w:rPr>
        <w:tab/>
        <w:t>Not available</w:t>
      </w:r>
    </w:p>
    <w:p w14:paraId="09D270B2" w14:textId="77777777" w:rsidR="00410846" w:rsidRPr="00DD1D9E" w:rsidRDefault="00410846" w:rsidP="00410846">
      <w:pPr>
        <w:rPr>
          <w:sz w:val="16"/>
        </w:rPr>
      </w:pPr>
      <w:r w:rsidRPr="003E0408">
        <w:rPr>
          <w:rStyle w:val="StyleUnderline"/>
        </w:rPr>
        <w:t>Preliminary (pre-trial) injunctions</w:t>
      </w:r>
      <w:r w:rsidRPr="00DD1D9E">
        <w:rPr>
          <w:sz w:val="16"/>
        </w:rPr>
        <w:tab/>
        <w:t>1/3</w:t>
      </w:r>
      <w:r w:rsidRPr="00DD1D9E">
        <w:rPr>
          <w:sz w:val="16"/>
        </w:rPr>
        <w:tab/>
        <w:t>0</w:t>
      </w:r>
    </w:p>
    <w:p w14:paraId="693A068C" w14:textId="77777777" w:rsidR="00410846" w:rsidRPr="00DD1D9E" w:rsidRDefault="00410846" w:rsidP="00410846">
      <w:pPr>
        <w:rPr>
          <w:sz w:val="16"/>
        </w:rPr>
      </w:pPr>
      <w:r w:rsidRPr="003E0408">
        <w:rPr>
          <w:rStyle w:val="StyleUnderline"/>
        </w:rPr>
        <w:t>Contributory infringement</w:t>
      </w:r>
      <w:r w:rsidRPr="00DD1D9E">
        <w:rPr>
          <w:sz w:val="16"/>
        </w:rPr>
        <w:tab/>
        <w:t>1/3</w:t>
      </w:r>
      <w:r w:rsidRPr="00DD1D9E">
        <w:rPr>
          <w:sz w:val="16"/>
        </w:rPr>
        <w:tab/>
        <w:t>0</w:t>
      </w:r>
    </w:p>
    <w:p w14:paraId="721A174D" w14:textId="77777777" w:rsidR="00410846" w:rsidRPr="00DD1D9E" w:rsidRDefault="00410846" w:rsidP="00410846">
      <w:pPr>
        <w:rPr>
          <w:sz w:val="16"/>
        </w:rPr>
      </w:pPr>
      <w:r w:rsidRPr="003E0408">
        <w:rPr>
          <w:rStyle w:val="StyleUnderline"/>
        </w:rPr>
        <w:t>Burden of proof reversal</w:t>
      </w:r>
      <w:r w:rsidRPr="00DD1D9E">
        <w:rPr>
          <w:sz w:val="16"/>
        </w:rPr>
        <w:tab/>
        <w:t>1/3</w:t>
      </w:r>
      <w:r w:rsidRPr="00DD1D9E">
        <w:rPr>
          <w:sz w:val="16"/>
        </w:rPr>
        <w:tab/>
        <w:t>0</w:t>
      </w:r>
    </w:p>
    <w:p w14:paraId="6DFCDB22" w14:textId="77777777" w:rsidR="00410846" w:rsidRPr="00DD1D9E" w:rsidRDefault="00410846" w:rsidP="00410846">
      <w:pPr>
        <w:rPr>
          <w:sz w:val="16"/>
        </w:rPr>
      </w:pPr>
      <w:r w:rsidRPr="00DD1D9E">
        <w:rPr>
          <w:sz w:val="16"/>
        </w:rPr>
        <w:t>(5) Restrictions on patent rights</w:t>
      </w:r>
      <w:r w:rsidRPr="00DD1D9E">
        <w:rPr>
          <w:sz w:val="16"/>
        </w:rPr>
        <w:tab/>
        <w:t>Does not exist</w:t>
      </w:r>
      <w:r w:rsidRPr="00DD1D9E">
        <w:rPr>
          <w:sz w:val="16"/>
        </w:rPr>
        <w:tab/>
        <w:t>Exists</w:t>
      </w:r>
    </w:p>
    <w:p w14:paraId="186F926D" w14:textId="77777777" w:rsidR="00410846" w:rsidRPr="00DD1D9E" w:rsidRDefault="00410846" w:rsidP="00410846">
      <w:pPr>
        <w:rPr>
          <w:sz w:val="16"/>
        </w:rPr>
      </w:pPr>
      <w:r w:rsidRPr="003E0408">
        <w:rPr>
          <w:rStyle w:val="Emphasis"/>
        </w:rPr>
        <w:t>Working requirements</w:t>
      </w:r>
      <w:r w:rsidRPr="00DD1D9E">
        <w:rPr>
          <w:sz w:val="16"/>
        </w:rPr>
        <w:tab/>
        <w:t>1/3</w:t>
      </w:r>
      <w:r w:rsidRPr="00DD1D9E">
        <w:rPr>
          <w:sz w:val="16"/>
        </w:rPr>
        <w:tab/>
        <w:t>0</w:t>
      </w:r>
    </w:p>
    <w:p w14:paraId="0B5128CE" w14:textId="77777777" w:rsidR="00410846" w:rsidRPr="00DD1D9E" w:rsidRDefault="00410846" w:rsidP="00410846">
      <w:pPr>
        <w:rPr>
          <w:sz w:val="16"/>
        </w:rPr>
      </w:pPr>
      <w:r w:rsidRPr="003E0408">
        <w:rPr>
          <w:rStyle w:val="Emphasis"/>
        </w:rPr>
        <w:t>Compulsory licensing</w:t>
      </w:r>
      <w:r w:rsidRPr="00DD1D9E">
        <w:rPr>
          <w:sz w:val="16"/>
        </w:rPr>
        <w:tab/>
        <w:t>1/3</w:t>
      </w:r>
      <w:r w:rsidRPr="00DD1D9E">
        <w:rPr>
          <w:sz w:val="16"/>
        </w:rPr>
        <w:tab/>
        <w:t>0</w:t>
      </w:r>
    </w:p>
    <w:p w14:paraId="43972C12" w14:textId="77777777" w:rsidR="00410846" w:rsidRPr="00DD1D9E" w:rsidRDefault="00410846" w:rsidP="00410846">
      <w:pPr>
        <w:rPr>
          <w:sz w:val="16"/>
        </w:rPr>
      </w:pPr>
      <w:r w:rsidRPr="003E0408">
        <w:rPr>
          <w:rStyle w:val="Emphasis"/>
        </w:rPr>
        <w:t>Revocation of patents</w:t>
      </w:r>
      <w:r w:rsidRPr="00DD1D9E">
        <w:rPr>
          <w:sz w:val="16"/>
        </w:rPr>
        <w:tab/>
        <w:t>1/3</w:t>
      </w:r>
      <w:r w:rsidRPr="00DD1D9E">
        <w:rPr>
          <w:sz w:val="16"/>
        </w:rPr>
        <w:tab/>
        <w:t>0</w:t>
      </w:r>
    </w:p>
    <w:p w14:paraId="19828216" w14:textId="77777777" w:rsidR="00410846" w:rsidRPr="00DD1D9E" w:rsidRDefault="00410846" w:rsidP="00410846">
      <w:pPr>
        <w:rPr>
          <w:sz w:val="16"/>
        </w:rPr>
      </w:pPr>
      <w:r w:rsidRPr="00DD1D9E">
        <w:rPr>
          <w:sz w:val="16"/>
        </w:rPr>
        <w:t>where f is the duration of protection as a fraction of 20 years from the date of application or 17 years from the date of grant (for grant-based patent systems). Overall score for patent rights index: sum of points under (1)–(5).</w:t>
      </w:r>
    </w:p>
    <w:p w14:paraId="48E3AB56" w14:textId="77777777" w:rsidR="00410846" w:rsidRPr="00410846" w:rsidRDefault="00410846" w:rsidP="00410846"/>
    <w:p w14:paraId="4E793099" w14:textId="77777777" w:rsidR="004D3752" w:rsidRDefault="004D3752">
      <w:pPr>
        <w:rPr>
          <w:rFonts w:asciiTheme="minorHAnsi" w:hAnsiTheme="minorHAnsi" w:cstheme="minorBidi"/>
        </w:rPr>
      </w:pPr>
    </w:p>
    <w:sectPr w:rsidR="004D3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E12AE9"/>
    <w:multiLevelType w:val="hybridMultilevel"/>
    <w:tmpl w:val="E500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F21FD"/>
    <w:multiLevelType w:val="hybridMultilevel"/>
    <w:tmpl w:val="7302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7946926">
    <w:abstractNumId w:val="10"/>
  </w:num>
  <w:num w:numId="2" w16cid:durableId="1434937521">
    <w:abstractNumId w:val="8"/>
  </w:num>
  <w:num w:numId="3" w16cid:durableId="1094783432">
    <w:abstractNumId w:val="7"/>
  </w:num>
  <w:num w:numId="4" w16cid:durableId="1810367598">
    <w:abstractNumId w:val="6"/>
  </w:num>
  <w:num w:numId="5" w16cid:durableId="2138714071">
    <w:abstractNumId w:val="5"/>
  </w:num>
  <w:num w:numId="6" w16cid:durableId="158542152">
    <w:abstractNumId w:val="9"/>
  </w:num>
  <w:num w:numId="7" w16cid:durableId="1836609745">
    <w:abstractNumId w:val="4"/>
  </w:num>
  <w:num w:numId="8" w16cid:durableId="351345632">
    <w:abstractNumId w:val="3"/>
  </w:num>
  <w:num w:numId="9" w16cid:durableId="1580361712">
    <w:abstractNumId w:val="2"/>
  </w:num>
  <w:num w:numId="10" w16cid:durableId="997228243">
    <w:abstractNumId w:val="1"/>
  </w:num>
  <w:num w:numId="11" w16cid:durableId="909073978">
    <w:abstractNumId w:val="16"/>
  </w:num>
  <w:num w:numId="12" w16cid:durableId="1205605210">
    <w:abstractNumId w:val="15"/>
  </w:num>
  <w:num w:numId="13" w16cid:durableId="1695883432">
    <w:abstractNumId w:val="13"/>
  </w:num>
  <w:num w:numId="14" w16cid:durableId="720713117">
    <w:abstractNumId w:val="12"/>
  </w:num>
  <w:num w:numId="15" w16cid:durableId="1240364406">
    <w:abstractNumId w:val="11"/>
  </w:num>
  <w:num w:numId="16" w16cid:durableId="582300270">
    <w:abstractNumId w:val="14"/>
  </w:num>
  <w:num w:numId="17" w16cid:durableId="67758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01"/>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694380928"/>
    <w:docVar w:name="VerbatimVersion" w:val="5.1"/>
  </w:docVars>
  <w:rsids>
    <w:rsidRoot w:val="00AD1A7E"/>
    <w:rsid w:val="00000E85"/>
    <w:rsid w:val="00001F6E"/>
    <w:rsid w:val="00011AA8"/>
    <w:rsid w:val="000139A3"/>
    <w:rsid w:val="000140F2"/>
    <w:rsid w:val="0002049A"/>
    <w:rsid w:val="00027BC9"/>
    <w:rsid w:val="00040C63"/>
    <w:rsid w:val="000702D0"/>
    <w:rsid w:val="0007154C"/>
    <w:rsid w:val="00093421"/>
    <w:rsid w:val="00100833"/>
    <w:rsid w:val="00104529"/>
    <w:rsid w:val="00105942"/>
    <w:rsid w:val="00106658"/>
    <w:rsid w:val="00112758"/>
    <w:rsid w:val="00123CA8"/>
    <w:rsid w:val="00144A4C"/>
    <w:rsid w:val="00155090"/>
    <w:rsid w:val="00164C0B"/>
    <w:rsid w:val="00165139"/>
    <w:rsid w:val="00176AB0"/>
    <w:rsid w:val="00177B7D"/>
    <w:rsid w:val="0018322D"/>
    <w:rsid w:val="00193BAC"/>
    <w:rsid w:val="001B5776"/>
    <w:rsid w:val="001E01C9"/>
    <w:rsid w:val="001E527A"/>
    <w:rsid w:val="001E762E"/>
    <w:rsid w:val="001F78CE"/>
    <w:rsid w:val="00222C86"/>
    <w:rsid w:val="00231075"/>
    <w:rsid w:val="0023368B"/>
    <w:rsid w:val="00251FC7"/>
    <w:rsid w:val="002706CC"/>
    <w:rsid w:val="002855A7"/>
    <w:rsid w:val="002967C5"/>
    <w:rsid w:val="002A3BE4"/>
    <w:rsid w:val="002A79F0"/>
    <w:rsid w:val="002B146A"/>
    <w:rsid w:val="002B39AF"/>
    <w:rsid w:val="002B5E17"/>
    <w:rsid w:val="002E6331"/>
    <w:rsid w:val="002F129C"/>
    <w:rsid w:val="00303D09"/>
    <w:rsid w:val="00313202"/>
    <w:rsid w:val="00315690"/>
    <w:rsid w:val="00316B75"/>
    <w:rsid w:val="00325646"/>
    <w:rsid w:val="00334294"/>
    <w:rsid w:val="003460F2"/>
    <w:rsid w:val="0038158C"/>
    <w:rsid w:val="003902BA"/>
    <w:rsid w:val="003A09E2"/>
    <w:rsid w:val="003A395A"/>
    <w:rsid w:val="003A76D9"/>
    <w:rsid w:val="003B3BD6"/>
    <w:rsid w:val="003D2558"/>
    <w:rsid w:val="003E0408"/>
    <w:rsid w:val="003E3504"/>
    <w:rsid w:val="00404196"/>
    <w:rsid w:val="00407037"/>
    <w:rsid w:val="00410846"/>
    <w:rsid w:val="0041569D"/>
    <w:rsid w:val="00432844"/>
    <w:rsid w:val="004347D3"/>
    <w:rsid w:val="004605D6"/>
    <w:rsid w:val="00483EA3"/>
    <w:rsid w:val="004B1B9B"/>
    <w:rsid w:val="004B1EB8"/>
    <w:rsid w:val="004C58EB"/>
    <w:rsid w:val="004C60E8"/>
    <w:rsid w:val="004D3752"/>
    <w:rsid w:val="004E1B71"/>
    <w:rsid w:val="004E1E09"/>
    <w:rsid w:val="004E3579"/>
    <w:rsid w:val="004E728B"/>
    <w:rsid w:val="004F39E0"/>
    <w:rsid w:val="00501307"/>
    <w:rsid w:val="00501534"/>
    <w:rsid w:val="00537BD5"/>
    <w:rsid w:val="005615AF"/>
    <w:rsid w:val="00572ACF"/>
    <w:rsid w:val="00591B56"/>
    <w:rsid w:val="005D2912"/>
    <w:rsid w:val="005F7377"/>
    <w:rsid w:val="006065BD"/>
    <w:rsid w:val="00624E68"/>
    <w:rsid w:val="00645FA9"/>
    <w:rsid w:val="00647866"/>
    <w:rsid w:val="00651038"/>
    <w:rsid w:val="00661076"/>
    <w:rsid w:val="00663F04"/>
    <w:rsid w:val="00665003"/>
    <w:rsid w:val="00673AFE"/>
    <w:rsid w:val="00682404"/>
    <w:rsid w:val="00692F4C"/>
    <w:rsid w:val="006A2AD0"/>
    <w:rsid w:val="006B24AC"/>
    <w:rsid w:val="006C1594"/>
    <w:rsid w:val="006C2375"/>
    <w:rsid w:val="006C2AD1"/>
    <w:rsid w:val="006D4ECC"/>
    <w:rsid w:val="006E019F"/>
    <w:rsid w:val="006F60B5"/>
    <w:rsid w:val="00722258"/>
    <w:rsid w:val="007243E5"/>
    <w:rsid w:val="00730011"/>
    <w:rsid w:val="00766EA0"/>
    <w:rsid w:val="007852BF"/>
    <w:rsid w:val="007A2226"/>
    <w:rsid w:val="007B6F01"/>
    <w:rsid w:val="007C57E0"/>
    <w:rsid w:val="007F5B66"/>
    <w:rsid w:val="00800796"/>
    <w:rsid w:val="00805057"/>
    <w:rsid w:val="00810303"/>
    <w:rsid w:val="00810C09"/>
    <w:rsid w:val="00816BA3"/>
    <w:rsid w:val="00823A1C"/>
    <w:rsid w:val="00845B9D"/>
    <w:rsid w:val="00853D6D"/>
    <w:rsid w:val="00860984"/>
    <w:rsid w:val="008701E4"/>
    <w:rsid w:val="00876609"/>
    <w:rsid w:val="00885A74"/>
    <w:rsid w:val="00893979"/>
    <w:rsid w:val="008B3ECB"/>
    <w:rsid w:val="008B4E85"/>
    <w:rsid w:val="008B4F24"/>
    <w:rsid w:val="008C1B2E"/>
    <w:rsid w:val="008D26DF"/>
    <w:rsid w:val="008E5A4E"/>
    <w:rsid w:val="008E6793"/>
    <w:rsid w:val="00907184"/>
    <w:rsid w:val="0091627E"/>
    <w:rsid w:val="009269F8"/>
    <w:rsid w:val="0096363F"/>
    <w:rsid w:val="00965417"/>
    <w:rsid w:val="009674F4"/>
    <w:rsid w:val="0097032B"/>
    <w:rsid w:val="009D2EAD"/>
    <w:rsid w:val="009D3D97"/>
    <w:rsid w:val="009D54B2"/>
    <w:rsid w:val="009E1922"/>
    <w:rsid w:val="009E57CE"/>
    <w:rsid w:val="009F7ED2"/>
    <w:rsid w:val="00A2017E"/>
    <w:rsid w:val="00A23C5B"/>
    <w:rsid w:val="00A36B81"/>
    <w:rsid w:val="00A75CBA"/>
    <w:rsid w:val="00A82816"/>
    <w:rsid w:val="00A93661"/>
    <w:rsid w:val="00A95652"/>
    <w:rsid w:val="00A97618"/>
    <w:rsid w:val="00AB3C6A"/>
    <w:rsid w:val="00AC0AB8"/>
    <w:rsid w:val="00AC6DFA"/>
    <w:rsid w:val="00AD1A7E"/>
    <w:rsid w:val="00AD7FC7"/>
    <w:rsid w:val="00AE284B"/>
    <w:rsid w:val="00B068AA"/>
    <w:rsid w:val="00B10CCB"/>
    <w:rsid w:val="00B33C6D"/>
    <w:rsid w:val="00B4508F"/>
    <w:rsid w:val="00B5416C"/>
    <w:rsid w:val="00B55AD5"/>
    <w:rsid w:val="00B60B58"/>
    <w:rsid w:val="00B8057C"/>
    <w:rsid w:val="00B85325"/>
    <w:rsid w:val="00BD1758"/>
    <w:rsid w:val="00BD1F7F"/>
    <w:rsid w:val="00BD3B31"/>
    <w:rsid w:val="00BD4DA3"/>
    <w:rsid w:val="00BD6238"/>
    <w:rsid w:val="00BE4D81"/>
    <w:rsid w:val="00BF593B"/>
    <w:rsid w:val="00BF773A"/>
    <w:rsid w:val="00BF7E81"/>
    <w:rsid w:val="00C13773"/>
    <w:rsid w:val="00C17CC8"/>
    <w:rsid w:val="00C37F59"/>
    <w:rsid w:val="00C55685"/>
    <w:rsid w:val="00C83417"/>
    <w:rsid w:val="00C86FA4"/>
    <w:rsid w:val="00C9604F"/>
    <w:rsid w:val="00CA19AA"/>
    <w:rsid w:val="00CC4416"/>
    <w:rsid w:val="00CC5298"/>
    <w:rsid w:val="00CC636C"/>
    <w:rsid w:val="00CD736E"/>
    <w:rsid w:val="00CD798D"/>
    <w:rsid w:val="00CE161E"/>
    <w:rsid w:val="00CF254E"/>
    <w:rsid w:val="00CF59A8"/>
    <w:rsid w:val="00CF71A7"/>
    <w:rsid w:val="00D06169"/>
    <w:rsid w:val="00D325A9"/>
    <w:rsid w:val="00D36A8A"/>
    <w:rsid w:val="00D428C9"/>
    <w:rsid w:val="00D50C95"/>
    <w:rsid w:val="00D56A7C"/>
    <w:rsid w:val="00D61409"/>
    <w:rsid w:val="00D621EB"/>
    <w:rsid w:val="00D6691E"/>
    <w:rsid w:val="00D71170"/>
    <w:rsid w:val="00D84018"/>
    <w:rsid w:val="00D92B95"/>
    <w:rsid w:val="00DA25D4"/>
    <w:rsid w:val="00DA3C58"/>
    <w:rsid w:val="00DA6538"/>
    <w:rsid w:val="00DA6F58"/>
    <w:rsid w:val="00DB16A7"/>
    <w:rsid w:val="00DB6CC7"/>
    <w:rsid w:val="00DC3338"/>
    <w:rsid w:val="00DD1D9E"/>
    <w:rsid w:val="00DD2020"/>
    <w:rsid w:val="00E00DD4"/>
    <w:rsid w:val="00E0122A"/>
    <w:rsid w:val="00E15E75"/>
    <w:rsid w:val="00E21239"/>
    <w:rsid w:val="00E41BD7"/>
    <w:rsid w:val="00E42610"/>
    <w:rsid w:val="00E44474"/>
    <w:rsid w:val="00E5262C"/>
    <w:rsid w:val="00E60830"/>
    <w:rsid w:val="00E7777C"/>
    <w:rsid w:val="00EC7DC4"/>
    <w:rsid w:val="00ED30CF"/>
    <w:rsid w:val="00F176EF"/>
    <w:rsid w:val="00F2405F"/>
    <w:rsid w:val="00F45E10"/>
    <w:rsid w:val="00F57D66"/>
    <w:rsid w:val="00F6364A"/>
    <w:rsid w:val="00F9113A"/>
    <w:rsid w:val="00FB5CE9"/>
    <w:rsid w:val="00FB6DFC"/>
    <w:rsid w:val="00FB7E19"/>
    <w:rsid w:val="00FC1157"/>
    <w:rsid w:val="00FC2CA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35CD"/>
  <w15:chartTrackingRefBased/>
  <w15:docId w15:val="{27894E89-0301-48F6-8B10-FED48437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4C0B"/>
    <w:rPr>
      <w:rFonts w:ascii="Calibri" w:hAnsi="Calibri" w:cs="Calibri"/>
    </w:rPr>
  </w:style>
  <w:style w:type="paragraph" w:styleId="Heading1">
    <w:name w:val="heading 1"/>
    <w:aliases w:val="Pocket"/>
    <w:basedOn w:val="Normal"/>
    <w:next w:val="Normal"/>
    <w:link w:val="Heading1Char"/>
    <w:qFormat/>
    <w:rsid w:val="00164C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164C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64C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164C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4C0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64C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4C0B"/>
  </w:style>
  <w:style w:type="character" w:customStyle="1" w:styleId="Heading1Char">
    <w:name w:val="Heading 1 Char"/>
    <w:aliases w:val="Pocket Char"/>
    <w:basedOn w:val="DefaultParagraphFont"/>
    <w:link w:val="Heading1"/>
    <w:rsid w:val="00164C0B"/>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164C0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164C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64C0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64C0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4C0B"/>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164C0B"/>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C"/>
    <w:basedOn w:val="DefaultParagraphFont"/>
    <w:uiPriority w:val="99"/>
    <w:unhideWhenUsed/>
    <w:rsid w:val="00164C0B"/>
    <w:rPr>
      <w:color w:val="0563C1" w:themeColor="hyperlink"/>
      <w:u w:val="single"/>
    </w:rPr>
  </w:style>
  <w:style w:type="character" w:styleId="FollowedHyperlink">
    <w:name w:val="FollowedHyperlink"/>
    <w:basedOn w:val="DefaultParagraphFont"/>
    <w:uiPriority w:val="99"/>
    <w:semiHidden/>
    <w:unhideWhenUsed/>
    <w:rsid w:val="00164C0B"/>
    <w:rPr>
      <w:color w:val="auto"/>
      <w:u w:val="none"/>
    </w:rPr>
  </w:style>
  <w:style w:type="character" w:styleId="UnresolvedMention">
    <w:name w:val="Unresolved Mention"/>
    <w:basedOn w:val="DefaultParagraphFont"/>
    <w:uiPriority w:val="99"/>
    <w:semiHidden/>
    <w:unhideWhenUsed/>
    <w:rsid w:val="00164C0B"/>
    <w:rPr>
      <w:color w:val="605E5C"/>
      <w:shd w:val="clear" w:color="auto" w:fill="E1DFDD"/>
    </w:rPr>
  </w:style>
  <w:style w:type="character" w:customStyle="1" w:styleId="Heading5Char">
    <w:name w:val="Heading 5 Char"/>
    <w:basedOn w:val="DefaultParagraphFont"/>
    <w:link w:val="Heading5"/>
    <w:uiPriority w:val="9"/>
    <w:semiHidden/>
    <w:rsid w:val="00164C0B"/>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164C0B"/>
    <w:rPr>
      <w:b/>
      <w:bCs/>
    </w:rPr>
  </w:style>
  <w:style w:type="character" w:styleId="BookTitle">
    <w:name w:val="Book Title"/>
    <w:basedOn w:val="DefaultParagraphFont"/>
    <w:uiPriority w:val="33"/>
    <w:qFormat/>
    <w:rsid w:val="00164C0B"/>
    <w:rPr>
      <w:b/>
      <w:bCs/>
      <w:i/>
      <w:iCs/>
      <w:spacing w:val="5"/>
    </w:rPr>
  </w:style>
  <w:style w:type="numbering" w:styleId="111111">
    <w:name w:val="Outline List 2"/>
    <w:basedOn w:val="NoList"/>
    <w:uiPriority w:val="99"/>
    <w:semiHidden/>
    <w:unhideWhenUsed/>
    <w:rsid w:val="00164C0B"/>
  </w:style>
  <w:style w:type="paragraph" w:styleId="Header">
    <w:name w:val="header"/>
    <w:basedOn w:val="Normal"/>
    <w:link w:val="HeaderChar"/>
    <w:uiPriority w:val="99"/>
    <w:semiHidden/>
    <w:rsid w:val="00164C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4C0B"/>
    <w:rPr>
      <w:rFonts w:ascii="Calibri" w:hAnsi="Calibri" w:cs="Calibri"/>
    </w:rPr>
  </w:style>
  <w:style w:type="paragraph" w:styleId="Footer">
    <w:name w:val="footer"/>
    <w:basedOn w:val="Normal"/>
    <w:link w:val="FooterChar"/>
    <w:uiPriority w:val="99"/>
    <w:semiHidden/>
    <w:rsid w:val="00164C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4C0B"/>
    <w:rPr>
      <w:rFonts w:ascii="Calibri" w:hAnsi="Calibri" w:cs="Calibri"/>
    </w:rPr>
  </w:style>
  <w:style w:type="paragraph" w:styleId="BodyText">
    <w:name w:val="Body Text"/>
    <w:basedOn w:val="Normal"/>
    <w:link w:val="BodyTextChar"/>
    <w:uiPriority w:val="99"/>
    <w:semiHidden/>
    <w:unhideWhenUsed/>
    <w:rsid w:val="00164C0B"/>
    <w:pPr>
      <w:spacing w:after="120"/>
    </w:pPr>
  </w:style>
  <w:style w:type="character" w:customStyle="1" w:styleId="BodyTextChar">
    <w:name w:val="Body Text Char"/>
    <w:basedOn w:val="DefaultParagraphFont"/>
    <w:link w:val="BodyText"/>
    <w:uiPriority w:val="99"/>
    <w:semiHidden/>
    <w:rsid w:val="00164C0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
    <w:link w:val="NoSpacingChar"/>
    <w:uiPriority w:val="99"/>
    <w:unhideWhenUsed/>
    <w:qFormat/>
    <w:rsid w:val="00164C0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64C0B"/>
    <w:rPr>
      <w:rFonts w:ascii="Calibri" w:hAnsi="Calibri" w:cs="Calibri"/>
    </w:rPr>
  </w:style>
  <w:style w:type="paragraph" w:customStyle="1" w:styleId="textbold">
    <w:name w:val="text bold"/>
    <w:basedOn w:val="Normal"/>
    <w:link w:val="Emphasis"/>
    <w:uiPriority w:val="8"/>
    <w:qFormat/>
    <w:rsid w:val="00F57D66"/>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Revision">
    <w:name w:val="Revision"/>
    <w:hidden/>
    <w:uiPriority w:val="99"/>
    <w:semiHidden/>
    <w:rsid w:val="00E0122A"/>
    <w:pPr>
      <w:spacing w:after="0" w:line="240" w:lineRule="auto"/>
    </w:pPr>
    <w:rPr>
      <w:rFonts w:ascii="Georgia" w:hAnsi="Georgia" w:cs="Calibri"/>
    </w:rPr>
  </w:style>
  <w:style w:type="paragraph" w:styleId="ListParagraph">
    <w:name w:val="List Paragraph"/>
    <w:basedOn w:val="Normal"/>
    <w:uiPriority w:val="34"/>
    <w:unhideWhenUsed/>
    <w:qFormat/>
    <w:rsid w:val="00D56A7C"/>
    <w:pPr>
      <w:ind w:left="720"/>
      <w:contextualSpacing/>
    </w:pPr>
    <w:rPr>
      <w:rFonts w:eastAsia="Times New Roman"/>
    </w:rPr>
  </w:style>
  <w:style w:type="table" w:styleId="TableGrid">
    <w:name w:val="Table Grid"/>
    <w:basedOn w:val="TableNormal"/>
    <w:uiPriority w:val="39"/>
    <w:rsid w:val="00D56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Indented">
    <w:name w:val="Card (Indented)"/>
    <w:basedOn w:val="Normal"/>
    <w:link w:val="CardIndentedChar"/>
    <w:qFormat/>
    <w:rsid w:val="00D56A7C"/>
    <w:pPr>
      <w:ind w:left="288"/>
    </w:pPr>
    <w:rPr>
      <w:rFonts w:eastAsia="Times New Roman"/>
    </w:rPr>
  </w:style>
  <w:style w:type="character" w:customStyle="1" w:styleId="CardIndentedChar">
    <w:name w:val="Card (Indented) Char"/>
    <w:basedOn w:val="DefaultParagraphFont"/>
    <w:link w:val="CardIndented"/>
    <w:rsid w:val="00D56A7C"/>
    <w:rPr>
      <w:rFonts w:ascii="Georgia" w:eastAsia="Times New Roman" w:hAnsi="Georgia" w:cs="Calibri"/>
    </w:rPr>
  </w:style>
  <w:style w:type="character" w:customStyle="1" w:styleId="underline">
    <w:name w:val="underline"/>
    <w:basedOn w:val="DefaultParagraphFont"/>
    <w:qFormat/>
    <w:rsid w:val="00D56A7C"/>
    <w:rPr>
      <w:rFonts w:ascii="Times New Roman" w:hAnsi="Times New Roman"/>
      <w:sz w:val="22"/>
      <w:u w:val="single"/>
    </w:rPr>
  </w:style>
  <w:style w:type="paragraph" w:customStyle="1" w:styleId="Emphasis1">
    <w:name w:val="Emphasis1"/>
    <w:basedOn w:val="Normal"/>
    <w:uiPriority w:val="8"/>
    <w:qFormat/>
    <w:rsid w:val="00D56A7C"/>
    <w:pPr>
      <w:pBdr>
        <w:top w:val="single" w:sz="4" w:space="1" w:color="auto"/>
        <w:left w:val="single" w:sz="4" w:space="4" w:color="auto"/>
        <w:bottom w:val="single" w:sz="4" w:space="1" w:color="auto"/>
        <w:right w:val="single" w:sz="4" w:space="4" w:color="auto"/>
      </w:pBdr>
      <w:ind w:left="720"/>
      <w:jc w:val="both"/>
    </w:pPr>
    <w:rPr>
      <w:rFonts w:eastAsia="Times New Roman"/>
      <w:b/>
      <w:iCs/>
      <w:u w:val="single"/>
      <w:bdr w:val="single" w:sz="8" w:space="0" w:color="auto"/>
    </w:rPr>
  </w:style>
  <w:style w:type="paragraph" w:styleId="DocumentMap">
    <w:name w:val="Document Map"/>
    <w:basedOn w:val="Normal"/>
    <w:link w:val="DocumentMapChar"/>
    <w:uiPriority w:val="99"/>
    <w:semiHidden/>
    <w:unhideWhenUsed/>
    <w:rsid w:val="00D56A7C"/>
    <w:rPr>
      <w:rFonts w:ascii="Lucida Grande" w:eastAsia="Times New Roman" w:hAnsi="Lucida Grande" w:cs="Lucida Grande"/>
      <w:sz w:val="24"/>
    </w:rPr>
  </w:style>
  <w:style w:type="character" w:customStyle="1" w:styleId="DocumentMapChar">
    <w:name w:val="Document Map Char"/>
    <w:basedOn w:val="DefaultParagraphFont"/>
    <w:link w:val="DocumentMap"/>
    <w:uiPriority w:val="99"/>
    <w:semiHidden/>
    <w:rsid w:val="00D56A7C"/>
    <w:rPr>
      <w:rFonts w:ascii="Lucida Grande" w:eastAsia="Times New Roman" w:hAnsi="Lucida Grande" w:cs="Lucida Grande"/>
      <w:sz w:val="24"/>
    </w:rPr>
  </w:style>
  <w:style w:type="character" w:customStyle="1" w:styleId="TitleChar">
    <w:name w:val="Title Char"/>
    <w:aliases w:val="UNDERLINE Char,Cites and Cards Char,Bold Underlined Char,Block Heading Char"/>
    <w:basedOn w:val="DefaultParagraphFont"/>
    <w:link w:val="Title"/>
    <w:uiPriority w:val="6"/>
    <w:qFormat/>
    <w:rsid w:val="00D56A7C"/>
    <w:rPr>
      <w:rFonts w:cs="Times New Roman"/>
      <w:u w:val="single"/>
    </w:rPr>
  </w:style>
  <w:style w:type="paragraph" w:styleId="Title">
    <w:name w:val="Title"/>
    <w:aliases w:val="UNDERLINE,Cites and Cards,Bold Underlined,Block Heading"/>
    <w:basedOn w:val="Normal"/>
    <w:next w:val="Normal"/>
    <w:link w:val="TitleChar"/>
    <w:uiPriority w:val="6"/>
    <w:qFormat/>
    <w:rsid w:val="00D56A7C"/>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basedOn w:val="DefaultParagraphFont"/>
    <w:uiPriority w:val="10"/>
    <w:rsid w:val="00D56A7C"/>
    <w:rPr>
      <w:rFonts w:asciiTheme="majorHAnsi" w:eastAsiaTheme="majorEastAsia" w:hAnsiTheme="majorHAnsi" w:cstheme="majorBidi"/>
      <w:spacing w:val="-10"/>
      <w:kern w:val="28"/>
      <w:sz w:val="56"/>
      <w:szCs w:val="56"/>
    </w:rPr>
  </w:style>
  <w:style w:type="character" w:customStyle="1" w:styleId="Style11ptBlackUnderline">
    <w:name w:val="Style 11 pt Black Underline"/>
    <w:basedOn w:val="DefaultParagraphFont"/>
    <w:rsid w:val="00D56A7C"/>
    <w:rPr>
      <w:rFonts w:cs="Times New Roman"/>
      <w:color w:val="000000"/>
      <w:sz w:val="20"/>
      <w:u w:val="single"/>
    </w:rPr>
  </w:style>
  <w:style w:type="character" w:customStyle="1" w:styleId="Style11ptBlack">
    <w:name w:val="Style 11 pt Black"/>
    <w:basedOn w:val="DefaultParagraphFont"/>
    <w:rsid w:val="00D56A7C"/>
    <w:rPr>
      <w:rFonts w:cs="Times New Roman"/>
      <w:color w:val="000000"/>
      <w:sz w:val="20"/>
    </w:rPr>
  </w:style>
  <w:style w:type="character" w:customStyle="1" w:styleId="Heading3Char2">
    <w:name w:val="Heading 3 Char2"/>
    <w:aliases w:val="Block Char1,Heading 3 Char Char Char1,Char Char1,Char Char Char Char Char Char Char Char1,Citation Char1,Tag Char Char Char1,Bold Cite Char1,Cite 1 Char1,Read Char Char1,Heading 3 Char1 Char Char Char,Heading 3 Char Char1 Char Char Char1"/>
    <w:basedOn w:val="DefaultParagraphFont"/>
    <w:uiPriority w:val="7"/>
    <w:semiHidden/>
    <w:qFormat/>
    <w:rsid w:val="006F60B5"/>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9014093">
      <w:bodyDiv w:val="1"/>
      <w:marLeft w:val="0"/>
      <w:marRight w:val="0"/>
      <w:marTop w:val="0"/>
      <w:marBottom w:val="0"/>
      <w:divBdr>
        <w:top w:val="none" w:sz="0" w:space="0" w:color="auto"/>
        <w:left w:val="none" w:sz="0" w:space="0" w:color="auto"/>
        <w:bottom w:val="none" w:sz="0" w:space="0" w:color="auto"/>
        <w:right w:val="none" w:sz="0" w:space="0" w:color="auto"/>
      </w:divBdr>
    </w:div>
    <w:div w:id="1043670959">
      <w:bodyDiv w:val="1"/>
      <w:marLeft w:val="0"/>
      <w:marRight w:val="0"/>
      <w:marTop w:val="0"/>
      <w:marBottom w:val="0"/>
      <w:divBdr>
        <w:top w:val="none" w:sz="0" w:space="0" w:color="auto"/>
        <w:left w:val="none" w:sz="0" w:space="0" w:color="auto"/>
        <w:bottom w:val="none" w:sz="0" w:space="0" w:color="auto"/>
        <w:right w:val="none" w:sz="0" w:space="0" w:color="auto"/>
      </w:divBdr>
    </w:div>
    <w:div w:id="1086851207">
      <w:bodyDiv w:val="1"/>
      <w:marLeft w:val="0"/>
      <w:marRight w:val="0"/>
      <w:marTop w:val="0"/>
      <w:marBottom w:val="0"/>
      <w:divBdr>
        <w:top w:val="none" w:sz="0" w:space="0" w:color="auto"/>
        <w:left w:val="none" w:sz="0" w:space="0" w:color="auto"/>
        <w:bottom w:val="none" w:sz="0" w:space="0" w:color="auto"/>
        <w:right w:val="none" w:sz="0" w:space="0" w:color="auto"/>
      </w:divBdr>
    </w:div>
    <w:div w:id="1266498389">
      <w:bodyDiv w:val="1"/>
      <w:marLeft w:val="0"/>
      <w:marRight w:val="0"/>
      <w:marTop w:val="0"/>
      <w:marBottom w:val="0"/>
      <w:divBdr>
        <w:top w:val="none" w:sz="0" w:space="0" w:color="auto"/>
        <w:left w:val="none" w:sz="0" w:space="0" w:color="auto"/>
        <w:bottom w:val="none" w:sz="0" w:space="0" w:color="auto"/>
        <w:right w:val="none" w:sz="0" w:space="0" w:color="auto"/>
      </w:divBdr>
    </w:div>
    <w:div w:id="1503619780">
      <w:bodyDiv w:val="1"/>
      <w:marLeft w:val="0"/>
      <w:marRight w:val="0"/>
      <w:marTop w:val="0"/>
      <w:marBottom w:val="0"/>
      <w:divBdr>
        <w:top w:val="none" w:sz="0" w:space="0" w:color="auto"/>
        <w:left w:val="none" w:sz="0" w:space="0" w:color="auto"/>
        <w:bottom w:val="none" w:sz="0" w:space="0" w:color="auto"/>
        <w:right w:val="none" w:sz="0" w:space="0" w:color="auto"/>
      </w:divBdr>
    </w:div>
    <w:div w:id="1566184962">
      <w:bodyDiv w:val="1"/>
      <w:marLeft w:val="0"/>
      <w:marRight w:val="0"/>
      <w:marTop w:val="0"/>
      <w:marBottom w:val="0"/>
      <w:divBdr>
        <w:top w:val="none" w:sz="0" w:space="0" w:color="auto"/>
        <w:left w:val="none" w:sz="0" w:space="0" w:color="auto"/>
        <w:bottom w:val="none" w:sz="0" w:space="0" w:color="auto"/>
        <w:right w:val="none" w:sz="0" w:space="0" w:color="auto"/>
      </w:divBdr>
    </w:div>
    <w:div w:id="1770808929">
      <w:bodyDiv w:val="1"/>
      <w:marLeft w:val="0"/>
      <w:marRight w:val="0"/>
      <w:marTop w:val="0"/>
      <w:marBottom w:val="0"/>
      <w:divBdr>
        <w:top w:val="none" w:sz="0" w:space="0" w:color="auto"/>
        <w:left w:val="none" w:sz="0" w:space="0" w:color="auto"/>
        <w:bottom w:val="none" w:sz="0" w:space="0" w:color="auto"/>
        <w:right w:val="none" w:sz="0" w:space="0" w:color="auto"/>
      </w:divBdr>
    </w:div>
    <w:div w:id="177231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6</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Mike Shackelford</cp:lastModifiedBy>
  <cp:revision>8</cp:revision>
  <dcterms:created xsi:type="dcterms:W3CDTF">2024-07-11T16:46:00Z</dcterms:created>
  <dcterms:modified xsi:type="dcterms:W3CDTF">2024-07-20T23:46:00Z</dcterms:modified>
</cp:coreProperties>
</file>