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2924A" w14:textId="70C2B759" w:rsidR="00682542" w:rsidRDefault="00682542" w:rsidP="003663A9">
      <w:pPr>
        <w:pStyle w:val="Heading1"/>
      </w:pPr>
      <w:r>
        <w:t>Notes</w:t>
      </w:r>
    </w:p>
    <w:p w14:paraId="2F7066B9" w14:textId="77777777" w:rsidR="00682542" w:rsidRDefault="00682542" w:rsidP="00682542"/>
    <w:p w14:paraId="7DD4C4DE" w14:textId="77777777" w:rsidR="0048289E" w:rsidRDefault="0048289E" w:rsidP="00D107F5">
      <w:pPr>
        <w:pStyle w:val="Heading4"/>
      </w:pPr>
      <w:r w:rsidRPr="0048289E">
        <w:t>Neg strategy notes:</w:t>
      </w:r>
    </w:p>
    <w:p w14:paraId="42FA92E0" w14:textId="77777777" w:rsidR="00E814B0" w:rsidRDefault="0048289E" w:rsidP="0048289E">
      <w:r w:rsidRPr="0048289E">
        <w:t>In addition to the case cards, cap links and CPs included in this file, you can make link args to other neg positions you have access to now.</w:t>
      </w:r>
    </w:p>
    <w:p w14:paraId="620708E4" w14:textId="77777777" w:rsidR="00E814B0" w:rsidRDefault="0048289E" w:rsidP="0048289E">
      <w:r w:rsidRPr="0048289E">
        <w:t>A lot of those negative positions are premised on increasing patents - and to some degree, the university ownership aff internal links are premised on the idea that individual researchers would also get more patents.</w:t>
      </w:r>
      <w:r w:rsidR="00E814B0">
        <w:t xml:space="preserve"> </w:t>
      </w:r>
    </w:p>
    <w:p w14:paraId="54DDE28E" w14:textId="21E179B6" w:rsidR="0048289E" w:rsidRDefault="0048289E" w:rsidP="0048289E">
      <w:r w:rsidRPr="0048289E">
        <w:t>Those other files include:</w:t>
      </w:r>
    </w:p>
    <w:p w14:paraId="4FCFBD3D" w14:textId="77777777" w:rsidR="00E814B0" w:rsidRDefault="0048289E" w:rsidP="0048289E">
      <w:r w:rsidRPr="0048289E">
        <w:t>Pharma DA - although the 1nc is specific to indigenous aff, there are generic patent links in the backup you could repurpose.</w:t>
      </w:r>
    </w:p>
    <w:p w14:paraId="4A803E6B" w14:textId="77777777" w:rsidR="00E814B0" w:rsidRDefault="0048289E" w:rsidP="0048289E">
      <w:r w:rsidRPr="0048289E">
        <w:t>Elections</w:t>
      </w:r>
    </w:p>
    <w:p w14:paraId="0B558961" w14:textId="77777777" w:rsidR="00E814B0" w:rsidRDefault="0048289E" w:rsidP="0048289E">
      <w:r w:rsidRPr="0048289E">
        <w:t>China bashing - to the degree that China is trying to compete through some of their own university patents, this probably links</w:t>
      </w:r>
    </w:p>
    <w:p w14:paraId="5012BEB9" w14:textId="2ADA149D" w:rsidR="00682542" w:rsidRPr="0048289E" w:rsidRDefault="0048289E" w:rsidP="0048289E">
      <w:r w:rsidRPr="0048289E">
        <w:t>Court clog/USPTO - increased number and clarification about whether owner is university or individuals link args</w:t>
      </w:r>
    </w:p>
    <w:p w14:paraId="322DD14A" w14:textId="77777777" w:rsidR="0048289E" w:rsidRPr="0048289E" w:rsidRDefault="0048289E" w:rsidP="0048289E"/>
    <w:p w14:paraId="7C9445BB" w14:textId="58B263FC" w:rsidR="003663A9" w:rsidRDefault="003663A9" w:rsidP="003663A9">
      <w:pPr>
        <w:pStyle w:val="Heading1"/>
      </w:pPr>
      <w:r>
        <w:t>Inherency</w:t>
      </w:r>
    </w:p>
    <w:p w14:paraId="5F4409B9" w14:textId="77777777" w:rsidR="003663A9" w:rsidRDefault="003663A9" w:rsidP="003663A9"/>
    <w:p w14:paraId="5035E289" w14:textId="77777777" w:rsidR="003663A9" w:rsidRDefault="003663A9" w:rsidP="003663A9">
      <w:pPr>
        <w:pStyle w:val="Heading3"/>
      </w:pPr>
      <w:r>
        <w:t>Universities = Small Potatoes</w:t>
      </w:r>
    </w:p>
    <w:p w14:paraId="3E4083ED" w14:textId="77777777" w:rsidR="003663A9" w:rsidRDefault="003663A9" w:rsidP="003663A9"/>
    <w:p w14:paraId="4C11F2FD" w14:textId="77777777" w:rsidR="003663A9" w:rsidRDefault="003663A9" w:rsidP="003663A9">
      <w:pPr>
        <w:pStyle w:val="Heading4"/>
      </w:pPr>
      <w:r>
        <w:t xml:space="preserve">Universities don't own the majority of academic patents. </w:t>
      </w:r>
    </w:p>
    <w:p w14:paraId="67A3B038" w14:textId="77777777" w:rsidR="003663A9" w:rsidRDefault="003663A9" w:rsidP="003663A9">
      <w:pPr>
        <w:spacing w:after="0" w:line="240" w:lineRule="auto"/>
        <w:rPr>
          <w:rFonts w:ascii="Times New Roman" w:eastAsia="Times New Roman" w:hAnsi="Times New Roman" w:cs="Times New Roman"/>
          <w:sz w:val="24"/>
          <w:szCs w:val="24"/>
        </w:rPr>
      </w:pPr>
      <w:r>
        <w:rPr>
          <w:b/>
          <w:color w:val="000000"/>
          <w:sz w:val="24"/>
          <w:szCs w:val="24"/>
        </w:rPr>
        <w:t>Van Burg, Professor Amsterdam Business Research Institute, et al., 21</w:t>
      </w:r>
    </w:p>
    <w:p w14:paraId="0DAC4C28" w14:textId="77777777" w:rsidR="003663A9" w:rsidRDefault="003663A9" w:rsidP="003663A9">
      <w:pPr>
        <w:spacing w:after="0" w:line="240" w:lineRule="auto"/>
        <w:rPr>
          <w:sz w:val="24"/>
          <w:szCs w:val="24"/>
        </w:rPr>
      </w:pPr>
      <w:r>
        <w:rPr>
          <w:color w:val="000000"/>
          <w:sz w:val="24"/>
          <w:szCs w:val="24"/>
        </w:rPr>
        <w:t xml:space="preserve">[Elco, Jingshu Du, Shandong University, Jannigje Gerdien Kers, Wageningen University and Research, </w:t>
      </w:r>
      <w:r w:rsidRPr="006826F1">
        <w:rPr>
          <w:color w:val="000000"/>
          <w:sz w:val="24"/>
          <w:szCs w:val="24"/>
          <w:u w:val="single"/>
        </w:rPr>
        <w:t>Technovation</w:t>
      </w:r>
      <w:r>
        <w:rPr>
          <w:color w:val="000000"/>
          <w:sz w:val="24"/>
          <w:szCs w:val="24"/>
        </w:rPr>
        <w:t xml:space="preserve"> Volume 107, ScienceDirect, “When do academics patent outside their university? An in-depth case study?,” https://www.sciencedirect.com/science/article/pii/S0166497221000687?via%3Dihub, 7-17-24, GDI – Tom Huynh]</w:t>
      </w:r>
      <w:r>
        <w:rPr>
          <w:sz w:val="24"/>
          <w:szCs w:val="24"/>
        </w:rPr>
        <w:t xml:space="preserve"> </w:t>
      </w:r>
    </w:p>
    <w:p w14:paraId="25F25F05" w14:textId="77777777" w:rsidR="003663A9" w:rsidRDefault="003663A9" w:rsidP="003663A9">
      <w:pPr>
        <w:spacing w:after="0" w:line="240" w:lineRule="auto"/>
        <w:rPr>
          <w:color w:val="000000"/>
          <w:sz w:val="16"/>
          <w:szCs w:val="16"/>
        </w:rPr>
      </w:pPr>
      <w:r>
        <w:rPr>
          <w:color w:val="000000"/>
          <w:sz w:val="16"/>
          <w:szCs w:val="16"/>
        </w:rPr>
        <w:t xml:space="preserve">Yet, one issue that prevents to develop a clear picture of academic patenting is that </w:t>
      </w:r>
      <w:r>
        <w:rPr>
          <w:color w:val="000000"/>
          <w:u w:val="single"/>
        </w:rPr>
        <w:t>many patents produced by academics are not patented under the name of a university</w:t>
      </w:r>
      <w:r>
        <w:rPr>
          <w:color w:val="000000"/>
          <w:sz w:val="16"/>
          <w:szCs w:val="16"/>
        </w:rPr>
        <w:t xml:space="preserve"> (</w:t>
      </w:r>
      <w:hyperlink r:id="rId5" w:anchor="bib29">
        <w:r>
          <w:rPr>
            <w:color w:val="000000"/>
            <w:sz w:val="16"/>
            <w:szCs w:val="16"/>
          </w:rPr>
          <w:t>Geuna and Nesta 2006</w:t>
        </w:r>
      </w:hyperlink>
      <w:r>
        <w:rPr>
          <w:color w:val="000000"/>
          <w:sz w:val="16"/>
          <w:szCs w:val="16"/>
        </w:rPr>
        <w:t>; </w:t>
      </w:r>
      <w:hyperlink r:id="rId6" w:anchor="bib50">
        <w:r>
          <w:rPr>
            <w:color w:val="000000"/>
            <w:sz w:val="16"/>
            <w:szCs w:val="16"/>
          </w:rPr>
          <w:t>Lissoni et al., 2013</w:t>
        </w:r>
      </w:hyperlink>
      <w:r>
        <w:rPr>
          <w:color w:val="000000"/>
          <w:sz w:val="16"/>
          <w:szCs w:val="16"/>
        </w:rPr>
        <w:t>; </w:t>
      </w:r>
      <w:hyperlink r:id="rId7" w:anchor="bib75">
        <w:r>
          <w:rPr>
            <w:color w:val="000000"/>
            <w:sz w:val="16"/>
            <w:szCs w:val="16"/>
          </w:rPr>
          <w:t>Thursby et al., 2009</w:t>
        </w:r>
      </w:hyperlink>
      <w:r>
        <w:rPr>
          <w:color w:val="000000"/>
          <w:sz w:val="16"/>
          <w:szCs w:val="16"/>
        </w:rPr>
        <w:t>; </w:t>
      </w:r>
      <w:hyperlink r:id="rId8" w:anchor="bib84">
        <w:r>
          <w:rPr>
            <w:color w:val="000000"/>
            <w:sz w:val="16"/>
            <w:szCs w:val="16"/>
          </w:rPr>
          <w:t>Verspagen 2006</w:t>
        </w:r>
      </w:hyperlink>
      <w:r>
        <w:rPr>
          <w:color w:val="000000"/>
          <w:sz w:val="16"/>
          <w:szCs w:val="16"/>
        </w:rPr>
        <w:t xml:space="preserve">) and the </w:t>
      </w:r>
      <w:r>
        <w:rPr>
          <w:color w:val="000000"/>
          <w:u w:val="single"/>
        </w:rPr>
        <w:t>institutional affiliation of inventors is often not accurately acknowledged</w:t>
      </w:r>
      <w:r>
        <w:rPr>
          <w:color w:val="000000"/>
          <w:sz w:val="16"/>
          <w:szCs w:val="16"/>
        </w:rPr>
        <w:t xml:space="preserve"> (</w:t>
      </w:r>
      <w:hyperlink r:id="rId9" w:anchor="bib59">
        <w:r>
          <w:rPr>
            <w:color w:val="000000"/>
            <w:sz w:val="16"/>
            <w:szCs w:val="16"/>
          </w:rPr>
          <w:t>Murray 2002</w:t>
        </w:r>
      </w:hyperlink>
      <w:r>
        <w:rPr>
          <w:color w:val="000000"/>
          <w:sz w:val="16"/>
          <w:szCs w:val="16"/>
        </w:rPr>
        <w:t xml:space="preserve">). </w:t>
      </w:r>
      <w:r>
        <w:rPr>
          <w:color w:val="000000"/>
          <w:u w:val="single"/>
        </w:rPr>
        <w:t>As a result, it is estimated that 60–80% of </w:t>
      </w:r>
      <w:r>
        <w:rPr>
          <w:i/>
          <w:color w:val="000000"/>
          <w:u w:val="single"/>
        </w:rPr>
        <w:t>academic patents</w:t>
      </w:r>
      <w:r>
        <w:rPr>
          <w:color w:val="000000"/>
          <w:u w:val="single"/>
        </w:rPr>
        <w:t> are not </w:t>
      </w:r>
      <w:r>
        <w:rPr>
          <w:i/>
          <w:color w:val="000000"/>
          <w:u w:val="single"/>
        </w:rPr>
        <w:t>university-owned</w:t>
      </w:r>
      <w:r>
        <w:rPr>
          <w:color w:val="000000"/>
          <w:u w:val="single"/>
        </w:rPr>
        <w:t> patents</w:t>
      </w:r>
      <w:r>
        <w:rPr>
          <w:color w:val="000000"/>
          <w:sz w:val="16"/>
          <w:szCs w:val="16"/>
        </w:rPr>
        <w:t xml:space="preserve"> (i.e., patents that are owned or co-owned by a university) (</w:t>
      </w:r>
      <w:hyperlink r:id="rId10" w:anchor="bib49">
        <w:r>
          <w:rPr>
            <w:color w:val="000000"/>
            <w:sz w:val="16"/>
            <w:szCs w:val="16"/>
          </w:rPr>
          <w:t>Lissoni et al. 2008</w:t>
        </w:r>
      </w:hyperlink>
      <w:r>
        <w:rPr>
          <w:color w:val="000000"/>
          <w:sz w:val="16"/>
          <w:szCs w:val="16"/>
        </w:rPr>
        <w:t>, </w:t>
      </w:r>
      <w:hyperlink r:id="rId11" w:anchor="bib51">
        <w:r>
          <w:rPr>
            <w:color w:val="000000"/>
            <w:sz w:val="16"/>
            <w:szCs w:val="16"/>
          </w:rPr>
          <w:t>2009</w:t>
        </w:r>
      </w:hyperlink>
      <w:r>
        <w:rPr>
          <w:color w:val="000000"/>
          <w:sz w:val="16"/>
          <w:szCs w:val="16"/>
        </w:rPr>
        <w:t>). Such non-university-owned patents that are based on university inventions are commonly referred to as </w:t>
      </w:r>
      <w:r>
        <w:rPr>
          <w:i/>
          <w:color w:val="000000"/>
          <w:sz w:val="16"/>
          <w:szCs w:val="16"/>
        </w:rPr>
        <w:t>university-invented</w:t>
      </w:r>
      <w:r>
        <w:rPr>
          <w:color w:val="000000"/>
          <w:sz w:val="16"/>
          <w:szCs w:val="16"/>
        </w:rPr>
        <w:t> patents (cf. </w:t>
      </w:r>
      <w:hyperlink r:id="rId12" w:anchor="bib15">
        <w:r>
          <w:rPr>
            <w:color w:val="000000"/>
            <w:sz w:val="16"/>
            <w:szCs w:val="16"/>
          </w:rPr>
          <w:t>Crespi et al., 2010</w:t>
        </w:r>
      </w:hyperlink>
      <w:r>
        <w:rPr>
          <w:color w:val="000000"/>
          <w:sz w:val="16"/>
          <w:szCs w:val="16"/>
        </w:rPr>
        <w:t>; </w:t>
      </w:r>
      <w:hyperlink r:id="rId13" w:anchor="bib18">
        <w:r>
          <w:rPr>
            <w:color w:val="000000"/>
            <w:sz w:val="16"/>
            <w:szCs w:val="16"/>
          </w:rPr>
          <w:t>Czarnitzki et al., 2012</w:t>
        </w:r>
      </w:hyperlink>
      <w:r>
        <w:rPr>
          <w:color w:val="000000"/>
          <w:sz w:val="16"/>
          <w:szCs w:val="16"/>
        </w:rPr>
        <w:t>). Thus, even patents that acknowledge only a commercial institution might actually have an academic origin.</w:t>
      </w:r>
    </w:p>
    <w:p w14:paraId="5E33F70A" w14:textId="77777777" w:rsidR="003663A9" w:rsidRPr="003362BF" w:rsidRDefault="003663A9" w:rsidP="003663A9"/>
    <w:p w14:paraId="0A992BA1" w14:textId="77777777" w:rsidR="003663A9" w:rsidRDefault="003663A9" w:rsidP="003663A9">
      <w:pPr>
        <w:pStyle w:val="Heading3"/>
      </w:pPr>
      <w:r>
        <w:t>Inventors Circumvent UOM</w:t>
      </w:r>
    </w:p>
    <w:p w14:paraId="312B6FAB" w14:textId="77777777" w:rsidR="003663A9" w:rsidRPr="00766637" w:rsidRDefault="003663A9" w:rsidP="003663A9"/>
    <w:p w14:paraId="6A67C517" w14:textId="77777777" w:rsidR="003663A9" w:rsidRDefault="003663A9" w:rsidP="003663A9">
      <w:pPr>
        <w:pStyle w:val="Heading4"/>
      </w:pPr>
      <w:r>
        <w:t xml:space="preserve">Researchers bypass TTOs to get patents </w:t>
      </w:r>
    </w:p>
    <w:p w14:paraId="2A00F89F" w14:textId="77777777" w:rsidR="003663A9" w:rsidRPr="00904438" w:rsidRDefault="003663A9" w:rsidP="003663A9">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024EA982" w14:textId="77777777" w:rsidR="003663A9" w:rsidRPr="00904438" w:rsidRDefault="003663A9" w:rsidP="003663A9">
      <w:r>
        <w:t>[Brenda M. "Preserving the Fruits of Labor: Impediments to University Inventor Mobility," Tennessee Law Review 89, no. 1 (Fall 2021): 1-66 heinonline gdi-tm]</w:t>
      </w:r>
    </w:p>
    <w:p w14:paraId="1EC9871E" w14:textId="77777777" w:rsidR="003663A9" w:rsidRPr="0050125F" w:rsidRDefault="003663A9" w:rsidP="003663A9">
      <w:pPr>
        <w:rPr>
          <w:rStyle w:val="Emphasis"/>
        </w:rPr>
      </w:pPr>
      <w:r w:rsidRPr="002D2666">
        <w:rPr>
          <w:sz w:val="16"/>
        </w:rPr>
        <w:t xml:space="preserve">The </w:t>
      </w:r>
      <w:r w:rsidRPr="0050125F">
        <w:rPr>
          <w:rStyle w:val="Emphasis"/>
        </w:rPr>
        <w:t>employer-university typically has a superior ownership interest in inventors' intellectual property and other invention­ related materials by virtue of employment and other agreements</w:t>
      </w:r>
      <w:r w:rsidRPr="002D2666">
        <w:rPr>
          <w:sz w:val="16"/>
        </w:rPr>
        <w:t xml:space="preserve">.163 The </w:t>
      </w:r>
      <w:r w:rsidRPr="0050125F">
        <w:rPr>
          <w:rStyle w:val="Emphasis"/>
        </w:rPr>
        <w:t>Bayh-Dole</w:t>
      </w:r>
      <w:r w:rsidRPr="002D2666">
        <w:rPr>
          <w:sz w:val="16"/>
        </w:rPr>
        <w:t xml:space="preserve"> Act </w:t>
      </w:r>
      <w:r w:rsidRPr="0050125F">
        <w:rPr>
          <w:rStyle w:val="Emphasis"/>
        </w:rPr>
        <w:t>allows patents</w:t>
      </w:r>
      <w:r w:rsidRPr="002D2666">
        <w:rPr>
          <w:sz w:val="16"/>
        </w:rPr>
        <w:t xml:space="preserve"> resulting </w:t>
      </w:r>
      <w:r w:rsidRPr="0050125F">
        <w:rPr>
          <w:rStyle w:val="Emphasis"/>
        </w:rPr>
        <w:t>from</w:t>
      </w:r>
      <w:r w:rsidRPr="002D2666">
        <w:rPr>
          <w:sz w:val="16"/>
        </w:rPr>
        <w:t xml:space="preserve"> </w:t>
      </w:r>
      <w:r w:rsidRPr="0050125F">
        <w:rPr>
          <w:rStyle w:val="Emphasis"/>
        </w:rPr>
        <w:t>federally-funded research</w:t>
      </w:r>
      <w:r w:rsidRPr="002D2666">
        <w:rPr>
          <w:sz w:val="16"/>
        </w:rPr>
        <w:t xml:space="preserve"> </w:t>
      </w:r>
      <w:r w:rsidRPr="0050125F">
        <w:rPr>
          <w:rStyle w:val="Emphasis"/>
        </w:rPr>
        <w:t>to be assigned to universities. 164 Some faculty inventors</w:t>
      </w:r>
      <w:r w:rsidRPr="002D2666">
        <w:rPr>
          <w:sz w:val="16"/>
        </w:rPr>
        <w:t xml:space="preserve">, however, </w:t>
      </w:r>
      <w:r w:rsidRPr="0050125F">
        <w:rPr>
          <w:rStyle w:val="Emphasis"/>
        </w:rPr>
        <w:t>circumvent university</w:t>
      </w:r>
      <w:r w:rsidRPr="002D2666">
        <w:rPr>
          <w:sz w:val="16"/>
        </w:rPr>
        <w:t xml:space="preserve"> procedures requiring coordination with the university's technology transfer office (TTO) and apply for patents on their own.165 </w:t>
      </w:r>
      <w:r w:rsidRPr="0050125F">
        <w:rPr>
          <w:rStyle w:val="Emphasis"/>
        </w:rPr>
        <w:t>One study found that over 42% of university inventors who obtained patents bypassed their university's TTO at least once</w:t>
      </w:r>
      <w:r w:rsidRPr="002D2666">
        <w:rPr>
          <w:sz w:val="16"/>
        </w:rPr>
        <w:t xml:space="preserve">.166 Other university inventors have launched firms without obtaining university licenses, or </w:t>
      </w:r>
      <w:r w:rsidRPr="0050125F">
        <w:rPr>
          <w:rStyle w:val="Emphasis"/>
        </w:rPr>
        <w:t>they have entered into financially beneficial relationships with firms aligned with their research, effectively creating a "gray market" for inventions.167</w:t>
      </w:r>
    </w:p>
    <w:p w14:paraId="345147CB" w14:textId="77777777" w:rsidR="003663A9" w:rsidRPr="002D2666" w:rsidRDefault="003663A9" w:rsidP="003663A9">
      <w:pPr>
        <w:rPr>
          <w:sz w:val="16"/>
        </w:rPr>
      </w:pPr>
      <w:r w:rsidRPr="0050125F">
        <w:rPr>
          <w:rStyle w:val="Emphasis"/>
        </w:rPr>
        <w:t>Despite entering into agreements and contracts that vest ownership in invention-related materials with the university­ employer, some inventors may not fully appreciate that items incorporating their personal reflections and a career's worth of data and effort are within the university-employer's ownership realm</w:t>
      </w:r>
      <w:r w:rsidRPr="002D2666">
        <w:rPr>
          <w:sz w:val="16"/>
        </w:rPr>
        <w:t>.168 Items such as laboratory notebooks, data, and raw materials may capture the inventor's thoughts and expression. 169 In addition, institutional norms with regard to academic research impose responsibility on university scientists to protect the data arising from both external and internal sources.17 For example, funding agencies • typically expect principal investigators to exercise responsibility over the management of data.171 In the process of publication, inventors are generally required to follow rules about providing access to data to ensure reproducibility.172 Perhaps these requirements lead some inventors to conclude, mistakenly, that with great responsibility comes great power.173</w:t>
      </w:r>
    </w:p>
    <w:p w14:paraId="2D3C0293" w14:textId="77777777" w:rsidR="003663A9" w:rsidRDefault="003663A9" w:rsidP="003663A9"/>
    <w:p w14:paraId="723B9458" w14:textId="77777777" w:rsidR="003663A9" w:rsidRPr="00305333" w:rsidRDefault="003663A9" w:rsidP="003663A9">
      <w:pPr>
        <w:pStyle w:val="Heading4"/>
      </w:pPr>
      <w:r w:rsidRPr="00305333">
        <w:t xml:space="preserve">Researchers also file outside of TTOs- not key </w:t>
      </w:r>
    </w:p>
    <w:p w14:paraId="72B6F717" w14:textId="77777777" w:rsidR="003663A9" w:rsidRPr="00305333" w:rsidRDefault="003663A9" w:rsidP="003663A9">
      <w:pPr>
        <w:rPr>
          <w:rStyle w:val="Style13ptBold"/>
        </w:rPr>
      </w:pPr>
      <w:r w:rsidRPr="00305333">
        <w:rPr>
          <w:rStyle w:val="Style13ptBold"/>
        </w:rPr>
        <w:t>Van Burg, Professor Amsterdam Business Research Institute, et al., 21</w:t>
      </w:r>
    </w:p>
    <w:p w14:paraId="703228C2" w14:textId="77777777" w:rsidR="003663A9" w:rsidRDefault="003663A9" w:rsidP="003663A9">
      <w:pPr>
        <w:spacing w:after="0" w:line="240" w:lineRule="auto"/>
        <w:rPr>
          <w:color w:val="000000"/>
          <w:sz w:val="24"/>
          <w:szCs w:val="24"/>
        </w:rPr>
      </w:pPr>
      <w:r>
        <w:rPr>
          <w:color w:val="000000"/>
          <w:sz w:val="24"/>
          <w:szCs w:val="24"/>
        </w:rPr>
        <w:t xml:space="preserve">[Elco, Jingshu Du, Shandong University, Jannigje Gerdien Kers, Wageningen University and Research, </w:t>
      </w:r>
      <w:r w:rsidRPr="006826F1">
        <w:rPr>
          <w:color w:val="000000"/>
          <w:sz w:val="24"/>
          <w:szCs w:val="24"/>
          <w:u w:val="single"/>
        </w:rPr>
        <w:t>Technovation</w:t>
      </w:r>
      <w:r>
        <w:rPr>
          <w:color w:val="000000"/>
          <w:sz w:val="24"/>
          <w:szCs w:val="24"/>
        </w:rPr>
        <w:t xml:space="preserve"> Volume 107, ScienceDirect, “When do academics patent outside their university? An in-depth case study?,” https://www.sciencedirect.com/science/article/pii/S0166497221000687?via%3Dihub, 7-17-24, GDI – Tom Huynh]</w:t>
      </w:r>
    </w:p>
    <w:p w14:paraId="4F52A0F9" w14:textId="77777777" w:rsidR="003663A9" w:rsidRDefault="003663A9" w:rsidP="003663A9">
      <w:pPr>
        <w:spacing w:after="0" w:line="240" w:lineRule="auto"/>
        <w:rPr>
          <w:color w:val="000000"/>
          <w:sz w:val="24"/>
          <w:szCs w:val="24"/>
        </w:rPr>
      </w:pPr>
      <w:r>
        <w:rPr>
          <w:color w:val="000000"/>
          <w:sz w:val="24"/>
          <w:szCs w:val="24"/>
        </w:rPr>
        <w:t xml:space="preserve">*TTOs – technology transfer office </w:t>
      </w:r>
    </w:p>
    <w:p w14:paraId="2FF64C18" w14:textId="77777777" w:rsidR="003663A9" w:rsidRDefault="003663A9" w:rsidP="003663A9">
      <w:pPr>
        <w:spacing w:after="0" w:line="240" w:lineRule="auto"/>
        <w:rPr>
          <w:sz w:val="24"/>
          <w:szCs w:val="24"/>
        </w:rPr>
      </w:pPr>
      <w:r>
        <w:rPr>
          <w:sz w:val="24"/>
          <w:szCs w:val="24"/>
        </w:rPr>
        <w:t xml:space="preserve"> </w:t>
      </w:r>
    </w:p>
    <w:p w14:paraId="16D2142E" w14:textId="77777777" w:rsidR="003663A9" w:rsidRDefault="003663A9" w:rsidP="003663A9">
      <w:pPr>
        <w:rPr>
          <w:color w:val="000000"/>
          <w:sz w:val="16"/>
          <w:szCs w:val="16"/>
        </w:rPr>
      </w:pPr>
      <w:r>
        <w:rPr>
          <w:color w:val="000000"/>
          <w:sz w:val="16"/>
          <w:szCs w:val="16"/>
        </w:rPr>
        <w:t>Focusing on university infrastructure, multiple researchers have looked into the effect of TTOs on patenting behavior in universities (see for a review of TTO literature </w:t>
      </w:r>
      <w:hyperlink r:id="rId14" w:anchor="bib41">
        <w:r>
          <w:rPr>
            <w:color w:val="000000"/>
            <w:sz w:val="16"/>
            <w:szCs w:val="16"/>
          </w:rPr>
          <w:t>Hayter et al., 2018</w:t>
        </w:r>
      </w:hyperlink>
      <w:r>
        <w:rPr>
          <w:color w:val="000000"/>
          <w:sz w:val="16"/>
          <w:szCs w:val="16"/>
        </w:rPr>
        <w:t>; </w:t>
      </w:r>
      <w:hyperlink r:id="rId15" w:anchor="bib42">
        <w:r>
          <w:rPr>
            <w:color w:val="000000"/>
            <w:sz w:val="16"/>
            <w:szCs w:val="16"/>
          </w:rPr>
          <w:t>Huyghe et al., 2016</w:t>
        </w:r>
      </w:hyperlink>
      <w:r>
        <w:rPr>
          <w:color w:val="000000"/>
          <w:sz w:val="16"/>
          <w:szCs w:val="16"/>
        </w:rPr>
        <w:t xml:space="preserve">). </w:t>
      </w:r>
      <w:r>
        <w:rPr>
          <w:color w:val="000000"/>
          <w:u w:val="single"/>
        </w:rPr>
        <w:t>TTO experience and TTO size are related to the number of patents filed and licensed by a university</w:t>
      </w:r>
      <w:r>
        <w:rPr>
          <w:color w:val="000000"/>
          <w:sz w:val="16"/>
          <w:szCs w:val="16"/>
        </w:rPr>
        <w:t xml:space="preserve"> (</w:t>
      </w:r>
      <w:hyperlink r:id="rId16" w:anchor="bib12">
        <w:r>
          <w:rPr>
            <w:color w:val="000000"/>
            <w:sz w:val="16"/>
            <w:szCs w:val="16"/>
          </w:rPr>
          <w:t>Carlsson and Fridh 2002</w:t>
        </w:r>
      </w:hyperlink>
      <w:r>
        <w:rPr>
          <w:color w:val="000000"/>
          <w:sz w:val="16"/>
          <w:szCs w:val="16"/>
        </w:rPr>
        <w:t>; </w:t>
      </w:r>
      <w:hyperlink r:id="rId17" w:anchor="bib90">
        <w:r>
          <w:rPr>
            <w:color w:val="000000"/>
            <w:sz w:val="16"/>
            <w:szCs w:val="16"/>
          </w:rPr>
          <w:t>Zhou and Tang 2020</w:t>
        </w:r>
      </w:hyperlink>
      <w:r>
        <w:rPr>
          <w:color w:val="000000"/>
          <w:sz w:val="16"/>
          <w:szCs w:val="16"/>
        </w:rPr>
        <w:t>) and these factors are sometimes also associated with the revenue generated by these patents (e.g., </w:t>
      </w:r>
      <w:hyperlink r:id="rId18" w:anchor="bib47">
        <w:r>
          <w:rPr>
            <w:color w:val="000000"/>
            <w:sz w:val="16"/>
            <w:szCs w:val="16"/>
          </w:rPr>
          <w:t>Kolympiris and Klein 2017</w:t>
        </w:r>
      </w:hyperlink>
      <w:r>
        <w:rPr>
          <w:color w:val="000000"/>
          <w:sz w:val="16"/>
          <w:szCs w:val="16"/>
        </w:rPr>
        <w:t>; </w:t>
      </w:r>
      <w:hyperlink r:id="rId19" w:anchor="bib55">
        <w:r>
          <w:rPr>
            <w:color w:val="000000"/>
            <w:sz w:val="16"/>
            <w:szCs w:val="16"/>
          </w:rPr>
          <w:t>Markman et al., 2005</w:t>
        </w:r>
      </w:hyperlink>
      <w:r>
        <w:rPr>
          <w:color w:val="000000"/>
          <w:sz w:val="16"/>
          <w:szCs w:val="16"/>
        </w:rPr>
        <w:t xml:space="preserve">). </w:t>
      </w:r>
      <w:r>
        <w:rPr>
          <w:color w:val="000000"/>
          <w:u w:val="single"/>
        </w:rPr>
        <w:t>In general, researchers who receive support from their TTO are more likely to file a patent</w:t>
      </w:r>
      <w:r>
        <w:rPr>
          <w:color w:val="000000"/>
          <w:sz w:val="16"/>
          <w:szCs w:val="16"/>
        </w:rPr>
        <w:t xml:space="preserve"> (</w:t>
      </w:r>
      <w:hyperlink r:id="rId20" w:anchor="bib69">
        <w:r>
          <w:rPr>
            <w:color w:val="000000"/>
            <w:sz w:val="16"/>
            <w:szCs w:val="16"/>
          </w:rPr>
          <w:t>Sellenthin 2009</w:t>
        </w:r>
      </w:hyperlink>
      <w:r>
        <w:rPr>
          <w:color w:val="000000"/>
          <w:sz w:val="16"/>
          <w:szCs w:val="16"/>
        </w:rPr>
        <w:t xml:space="preserve">). </w:t>
      </w:r>
      <w:r>
        <w:rPr>
          <w:color w:val="000000"/>
          <w:u w:val="single"/>
        </w:rPr>
        <w:t>Yet, even though the presence of a TTO appears to influence university-ownership of patents</w:t>
      </w:r>
      <w:r>
        <w:rPr>
          <w:color w:val="000000"/>
          <w:sz w:val="16"/>
          <w:szCs w:val="16"/>
        </w:rPr>
        <w:t xml:space="preserve"> (</w:t>
      </w:r>
      <w:hyperlink r:id="rId21" w:anchor="bib72">
        <w:r>
          <w:rPr>
            <w:color w:val="000000"/>
            <w:sz w:val="16"/>
            <w:szCs w:val="16"/>
          </w:rPr>
          <w:t>Sterzi et al., 2019</w:t>
        </w:r>
      </w:hyperlink>
      <w:r>
        <w:rPr>
          <w:color w:val="000000"/>
          <w:sz w:val="16"/>
          <w:szCs w:val="16"/>
        </w:rPr>
        <w:t xml:space="preserve">), </w:t>
      </w:r>
      <w:r>
        <w:rPr>
          <w:color w:val="000000"/>
          <w:u w:val="single"/>
        </w:rPr>
        <w:t>in particular in the case of more autonomous TTOs</w:t>
      </w:r>
      <w:r>
        <w:rPr>
          <w:color w:val="000000"/>
          <w:sz w:val="16"/>
          <w:szCs w:val="16"/>
        </w:rPr>
        <w:t xml:space="preserve"> (</w:t>
      </w:r>
      <w:hyperlink r:id="rId22" w:anchor="bib54">
        <w:r>
          <w:rPr>
            <w:color w:val="000000"/>
            <w:sz w:val="16"/>
            <w:szCs w:val="16"/>
          </w:rPr>
          <w:t>Markman et al., 2008</w:t>
        </w:r>
      </w:hyperlink>
      <w:r>
        <w:rPr>
          <w:color w:val="000000"/>
          <w:sz w:val="16"/>
          <w:szCs w:val="16"/>
        </w:rPr>
        <w:t xml:space="preserve">), </w:t>
      </w:r>
      <w:r>
        <w:rPr>
          <w:color w:val="000000"/>
          <w:u w:val="single"/>
        </w:rPr>
        <w:t>it is clear that not all researchers patent via their research institute's TTOs, for multiple reasons.</w:t>
      </w:r>
      <w:r>
        <w:rPr>
          <w:color w:val="000000"/>
          <w:sz w:val="16"/>
          <w:szCs w:val="16"/>
        </w:rPr>
        <w:t xml:space="preserve"> </w:t>
      </w:r>
      <w:r>
        <w:rPr>
          <w:color w:val="000000"/>
          <w:u w:val="single"/>
        </w:rPr>
        <w:t>These reasons include unawareness of the TTO</w:t>
      </w:r>
      <w:r>
        <w:rPr>
          <w:color w:val="000000"/>
          <w:sz w:val="16"/>
          <w:szCs w:val="16"/>
        </w:rPr>
        <w:t xml:space="preserve"> (</w:t>
      </w:r>
      <w:hyperlink r:id="rId23" w:anchor="bib42">
        <w:r>
          <w:rPr>
            <w:color w:val="000000"/>
            <w:sz w:val="16"/>
            <w:szCs w:val="16"/>
          </w:rPr>
          <w:t>Huyghe et al., 2016</w:t>
        </w:r>
      </w:hyperlink>
      <w:r>
        <w:rPr>
          <w:color w:val="000000"/>
          <w:sz w:val="16"/>
          <w:szCs w:val="16"/>
        </w:rPr>
        <w:t xml:space="preserve">), </w:t>
      </w:r>
      <w:r>
        <w:rPr>
          <w:color w:val="000000"/>
          <w:u w:val="single"/>
        </w:rPr>
        <w:t>perceived unwillingness or ineffectiveness of the TTO to patent their finding</w:t>
      </w:r>
      <w:r>
        <w:rPr>
          <w:color w:val="000000"/>
          <w:sz w:val="16"/>
          <w:szCs w:val="16"/>
        </w:rPr>
        <w:t xml:space="preserve"> (</w:t>
      </w:r>
      <w:hyperlink r:id="rId24" w:anchor="bib1">
        <w:r>
          <w:rPr>
            <w:color w:val="000000"/>
            <w:sz w:val="16"/>
            <w:szCs w:val="16"/>
          </w:rPr>
          <w:t>Aldridge and Audretsch 2010</w:t>
        </w:r>
      </w:hyperlink>
      <w:r>
        <w:rPr>
          <w:color w:val="000000"/>
          <w:sz w:val="16"/>
          <w:szCs w:val="16"/>
        </w:rPr>
        <w:t>; </w:t>
      </w:r>
      <w:hyperlink r:id="rId25" w:anchor="bib61">
        <w:r>
          <w:rPr>
            <w:color w:val="000000"/>
            <w:sz w:val="16"/>
            <w:szCs w:val="16"/>
          </w:rPr>
          <w:t>O'Kane 2018</w:t>
        </w:r>
      </w:hyperlink>
      <w:r>
        <w:rPr>
          <w:color w:val="000000"/>
          <w:sz w:val="16"/>
          <w:szCs w:val="16"/>
        </w:rPr>
        <w:t xml:space="preserve">), </w:t>
      </w:r>
      <w:r>
        <w:rPr>
          <w:color w:val="000000"/>
          <w:u w:val="single"/>
        </w:rPr>
        <w:t>and overt opportunism in that researchers can gain more by patenting without TTO</w:t>
      </w:r>
      <w:r>
        <w:rPr>
          <w:color w:val="000000"/>
          <w:sz w:val="16"/>
          <w:szCs w:val="16"/>
        </w:rPr>
        <w:t xml:space="preserve"> (and university) involvement (</w:t>
      </w:r>
      <w:hyperlink r:id="rId26" w:anchor="bib31">
        <w:r>
          <w:rPr>
            <w:color w:val="000000"/>
            <w:sz w:val="16"/>
            <w:szCs w:val="16"/>
          </w:rPr>
          <w:t>Gianiodis et al., 2016</w:t>
        </w:r>
      </w:hyperlink>
      <w:r>
        <w:rPr>
          <w:color w:val="000000"/>
          <w:sz w:val="16"/>
          <w:szCs w:val="16"/>
        </w:rPr>
        <w:t>).</w:t>
      </w:r>
    </w:p>
    <w:p w14:paraId="145CEBED" w14:textId="77777777" w:rsidR="003663A9" w:rsidRDefault="003663A9" w:rsidP="003663A9"/>
    <w:p w14:paraId="4BD393F3" w14:textId="77777777" w:rsidR="003663A9" w:rsidRDefault="003663A9" w:rsidP="003663A9">
      <w:pPr>
        <w:pStyle w:val="Heading4"/>
      </w:pPr>
      <w:r>
        <w:t xml:space="preserve">Patent type matters – universities have only basic research patent – if short term valuable, researchers file outside the university </w:t>
      </w:r>
    </w:p>
    <w:p w14:paraId="0EDFBB9B" w14:textId="77777777" w:rsidR="003663A9" w:rsidRDefault="003663A9" w:rsidP="003663A9">
      <w:pPr>
        <w:spacing w:after="0" w:line="240" w:lineRule="auto"/>
        <w:rPr>
          <w:rFonts w:ascii="Times New Roman" w:eastAsia="Times New Roman" w:hAnsi="Times New Roman" w:cs="Times New Roman"/>
          <w:sz w:val="24"/>
          <w:szCs w:val="24"/>
        </w:rPr>
      </w:pPr>
      <w:r>
        <w:rPr>
          <w:b/>
          <w:color w:val="000000"/>
          <w:sz w:val="24"/>
          <w:szCs w:val="24"/>
        </w:rPr>
        <w:t>Van Burg, Professor Amsterdam Business Research Institute, et al., 21</w:t>
      </w:r>
    </w:p>
    <w:p w14:paraId="382CD31F" w14:textId="77777777" w:rsidR="003663A9" w:rsidRDefault="003663A9" w:rsidP="003663A9">
      <w:pPr>
        <w:spacing w:after="0" w:line="240" w:lineRule="auto"/>
        <w:rPr>
          <w:sz w:val="24"/>
          <w:szCs w:val="24"/>
        </w:rPr>
      </w:pPr>
      <w:r>
        <w:rPr>
          <w:color w:val="000000"/>
          <w:sz w:val="24"/>
          <w:szCs w:val="24"/>
        </w:rPr>
        <w:t xml:space="preserve">[Elco, Jingshu Du, Shandong University, Jannigje Gerdien Kers, Wageningen University and Research, </w:t>
      </w:r>
      <w:r w:rsidRPr="006826F1">
        <w:rPr>
          <w:color w:val="000000"/>
          <w:sz w:val="24"/>
          <w:szCs w:val="24"/>
          <w:u w:val="single"/>
        </w:rPr>
        <w:t>Technovation</w:t>
      </w:r>
      <w:r>
        <w:rPr>
          <w:color w:val="000000"/>
          <w:sz w:val="24"/>
          <w:szCs w:val="24"/>
        </w:rPr>
        <w:t xml:space="preserve"> Volume 107, ScienceDirect, “When do academics patent outside their university? An in-depth case study?,” https://www.sciencedirect.com/science/article/pii/S0166497221000687?via%3Dihub, 7-17-24, GDI – Tom Huynh]</w:t>
      </w:r>
      <w:r>
        <w:rPr>
          <w:sz w:val="24"/>
          <w:szCs w:val="24"/>
        </w:rPr>
        <w:t xml:space="preserve"> </w:t>
      </w:r>
    </w:p>
    <w:p w14:paraId="2AAC0D60" w14:textId="77777777" w:rsidR="003663A9" w:rsidRDefault="003663A9" w:rsidP="003663A9">
      <w:pPr>
        <w:spacing w:after="0" w:line="240" w:lineRule="auto"/>
        <w:rPr>
          <w:color w:val="000000"/>
          <w:sz w:val="16"/>
          <w:szCs w:val="16"/>
        </w:rPr>
      </w:pPr>
      <w:r>
        <w:rPr>
          <w:color w:val="000000"/>
          <w:sz w:val="16"/>
          <w:szCs w:val="16"/>
        </w:rPr>
        <w:t>Finally, studies have looked into how patent characteristics influence university-ownership of these patents.</w:t>
      </w:r>
      <w:r>
        <w:rPr>
          <w:color w:val="000000"/>
        </w:rPr>
        <w:t xml:space="preserve"> </w:t>
      </w:r>
      <w:r>
        <w:rPr>
          <w:color w:val="000000"/>
          <w:u w:val="single"/>
        </w:rPr>
        <w:t>An obvious argument is that patents that are the result of company-funded research are more likely to be owned by companies</w:t>
      </w:r>
      <w:r>
        <w:rPr>
          <w:color w:val="000000"/>
        </w:rPr>
        <w:t xml:space="preserve"> </w:t>
      </w:r>
      <w:r>
        <w:rPr>
          <w:color w:val="000000"/>
          <w:sz w:val="16"/>
          <w:szCs w:val="16"/>
        </w:rPr>
        <w:t>(</w:t>
      </w:r>
      <w:hyperlink r:id="rId27" w:anchor="bib9">
        <w:r>
          <w:rPr>
            <w:color w:val="000000"/>
            <w:sz w:val="16"/>
            <w:szCs w:val="16"/>
          </w:rPr>
          <w:t>Belderbos et al., 2014</w:t>
        </w:r>
      </w:hyperlink>
      <w:r>
        <w:rPr>
          <w:color w:val="000000"/>
          <w:sz w:val="16"/>
          <w:szCs w:val="16"/>
        </w:rPr>
        <w:t>). Nevertheless, there is no clear effect of such collaboration on the assignment of the patent ownership, except for the case of university spin-off firms and other forms of entrepreneurial collaboration (</w:t>
      </w:r>
      <w:hyperlink r:id="rId28" w:anchor="bib31">
        <w:r>
          <w:rPr>
            <w:color w:val="000000"/>
            <w:sz w:val="16"/>
            <w:szCs w:val="16"/>
          </w:rPr>
          <w:t>Gianiodis et al., 2016</w:t>
        </w:r>
      </w:hyperlink>
      <w:r>
        <w:rPr>
          <w:color w:val="000000"/>
          <w:sz w:val="16"/>
          <w:szCs w:val="16"/>
        </w:rPr>
        <w:t>; </w:t>
      </w:r>
      <w:hyperlink r:id="rId29" w:anchor="bib48">
        <w:r>
          <w:rPr>
            <w:color w:val="000000"/>
            <w:sz w:val="16"/>
            <w:szCs w:val="16"/>
          </w:rPr>
          <w:t>Lawson 2013</w:t>
        </w:r>
      </w:hyperlink>
      <w:r>
        <w:rPr>
          <w:color w:val="000000"/>
          <w:sz w:val="16"/>
          <w:szCs w:val="16"/>
        </w:rPr>
        <w:t>; </w:t>
      </w:r>
      <w:hyperlink r:id="rId30" w:anchor="bib54">
        <w:r>
          <w:rPr>
            <w:color w:val="000000"/>
            <w:sz w:val="16"/>
            <w:szCs w:val="16"/>
          </w:rPr>
          <w:t>Markman et al., 2008</w:t>
        </w:r>
      </w:hyperlink>
      <w:r>
        <w:rPr>
          <w:color w:val="000000"/>
          <w:sz w:val="16"/>
          <w:szCs w:val="16"/>
        </w:rPr>
        <w:t xml:space="preserve">). </w:t>
      </w:r>
      <w:r>
        <w:rPr>
          <w:color w:val="000000"/>
          <w:u w:val="single"/>
        </w:rPr>
        <w:t>Importantly, some studies have found that the (expected) short-term value of patents is related to the tendency to file patents outside the university</w:t>
      </w:r>
      <w:r>
        <w:rPr>
          <w:color w:val="000000"/>
        </w:rPr>
        <w:t xml:space="preserve"> </w:t>
      </w:r>
      <w:r>
        <w:rPr>
          <w:color w:val="000000"/>
          <w:sz w:val="16"/>
          <w:szCs w:val="16"/>
        </w:rPr>
        <w:t>(</w:t>
      </w:r>
      <w:hyperlink r:id="rId31" w:anchor="bib1">
        <w:r>
          <w:rPr>
            <w:color w:val="000000"/>
            <w:sz w:val="16"/>
            <w:szCs w:val="16"/>
          </w:rPr>
          <w:t>Aldridge and Audretsch 2010</w:t>
        </w:r>
      </w:hyperlink>
      <w:r>
        <w:rPr>
          <w:color w:val="000000"/>
          <w:sz w:val="16"/>
          <w:szCs w:val="16"/>
        </w:rPr>
        <w:t>; </w:t>
      </w:r>
      <w:hyperlink r:id="rId32" w:anchor="bib31">
        <w:r>
          <w:rPr>
            <w:color w:val="000000"/>
            <w:sz w:val="16"/>
            <w:szCs w:val="16"/>
          </w:rPr>
          <w:t>Gianiodis et al., 2016</w:t>
        </w:r>
      </w:hyperlink>
      <w:r>
        <w:rPr>
          <w:color w:val="000000"/>
          <w:sz w:val="16"/>
          <w:szCs w:val="16"/>
        </w:rPr>
        <w:t>; </w:t>
      </w:r>
      <w:hyperlink r:id="rId33" w:anchor="bib54">
        <w:r>
          <w:rPr>
            <w:color w:val="000000"/>
            <w:sz w:val="16"/>
            <w:szCs w:val="16"/>
          </w:rPr>
          <w:t>Markman et al., 2008</w:t>
        </w:r>
      </w:hyperlink>
      <w:r>
        <w:rPr>
          <w:color w:val="000000"/>
          <w:sz w:val="16"/>
          <w:szCs w:val="16"/>
        </w:rPr>
        <w:t>),</w:t>
      </w:r>
      <w:r>
        <w:rPr>
          <w:color w:val="000000"/>
        </w:rPr>
        <w:t xml:space="preserve"> </w:t>
      </w:r>
      <w:r>
        <w:rPr>
          <w:color w:val="000000"/>
          <w:u w:val="single"/>
        </w:rPr>
        <w:t>while more basic or fundamental patents, with later forward cites are more likely to be assigned to universities</w:t>
      </w:r>
      <w:r>
        <w:rPr>
          <w:color w:val="000000"/>
        </w:rPr>
        <w:t xml:space="preserve"> </w:t>
      </w:r>
      <w:r>
        <w:rPr>
          <w:color w:val="000000"/>
          <w:sz w:val="16"/>
          <w:szCs w:val="16"/>
        </w:rPr>
        <w:t>(</w:t>
      </w:r>
      <w:hyperlink r:id="rId34" w:anchor="bib18">
        <w:r>
          <w:rPr>
            <w:color w:val="000000"/>
            <w:sz w:val="16"/>
            <w:szCs w:val="16"/>
          </w:rPr>
          <w:t>Czarnitzki et al., 2012</w:t>
        </w:r>
      </w:hyperlink>
      <w:r>
        <w:rPr>
          <w:color w:val="000000"/>
          <w:sz w:val="16"/>
          <w:szCs w:val="16"/>
        </w:rPr>
        <w:t>; </w:t>
      </w:r>
      <w:hyperlink r:id="rId35" w:anchor="bib71">
        <w:r>
          <w:rPr>
            <w:color w:val="000000"/>
            <w:sz w:val="16"/>
            <w:szCs w:val="16"/>
          </w:rPr>
          <w:t>Sterzi 2013</w:t>
        </w:r>
      </w:hyperlink>
      <w:r>
        <w:rPr>
          <w:color w:val="000000"/>
          <w:sz w:val="16"/>
          <w:szCs w:val="16"/>
        </w:rPr>
        <w:t>; </w:t>
      </w:r>
      <w:hyperlink r:id="rId36" w:anchor="bib75">
        <w:r>
          <w:rPr>
            <w:color w:val="000000"/>
            <w:sz w:val="16"/>
            <w:szCs w:val="16"/>
          </w:rPr>
          <w:t>Thursby et al., 2009</w:t>
        </w:r>
      </w:hyperlink>
      <w:r>
        <w:rPr>
          <w:color w:val="000000"/>
          <w:sz w:val="16"/>
          <w:szCs w:val="16"/>
        </w:rPr>
        <w:t>). Overall, patent characteristics may influence the decision-making of individuals, companies, and universities.</w:t>
      </w:r>
    </w:p>
    <w:p w14:paraId="2589EFCC" w14:textId="77777777" w:rsidR="003663A9" w:rsidRDefault="003663A9" w:rsidP="003663A9"/>
    <w:p w14:paraId="37C1295F" w14:textId="77777777" w:rsidR="003663A9" w:rsidRDefault="003663A9" w:rsidP="003663A9">
      <w:pPr>
        <w:pStyle w:val="Heading4"/>
      </w:pPr>
      <w:r>
        <w:t xml:space="preserve">Senior researchers just bypass TTOs – means no tradeoff with tech development </w:t>
      </w:r>
    </w:p>
    <w:p w14:paraId="085CE733" w14:textId="77777777" w:rsidR="003663A9" w:rsidRDefault="003663A9" w:rsidP="003663A9">
      <w:pPr>
        <w:rPr>
          <w:color w:val="000000"/>
        </w:rPr>
      </w:pPr>
      <w:r>
        <w:rPr>
          <w:b/>
          <w:color w:val="000000"/>
        </w:rPr>
        <w:t xml:space="preserve">Ouellette, </w:t>
      </w:r>
      <w:r w:rsidRPr="000A66BE">
        <w:rPr>
          <w:bCs/>
          <w:color w:val="000000"/>
        </w:rPr>
        <w:t xml:space="preserve">Senior Fellow Stanford Law School &amp; </w:t>
      </w:r>
      <w:r w:rsidRPr="000A66BE">
        <w:rPr>
          <w:b/>
          <w:color w:val="000000"/>
        </w:rPr>
        <w:t>Tutt</w:t>
      </w:r>
      <w:r>
        <w:rPr>
          <w:b/>
          <w:color w:val="000000"/>
        </w:rPr>
        <w:t xml:space="preserve">, </w:t>
      </w:r>
      <w:r w:rsidRPr="000A66BE">
        <w:rPr>
          <w:bCs/>
          <w:color w:val="000000"/>
        </w:rPr>
        <w:t>Counsel Arnold &amp; Porter,</w:t>
      </w:r>
      <w:r>
        <w:rPr>
          <w:b/>
          <w:color w:val="000000"/>
        </w:rPr>
        <w:t xml:space="preserve"> 19</w:t>
      </w:r>
    </w:p>
    <w:p w14:paraId="6F1E4027" w14:textId="77777777" w:rsidR="003663A9" w:rsidRDefault="003663A9" w:rsidP="003663A9">
      <w:pPr>
        <w:rPr>
          <w:color w:val="000000"/>
        </w:rPr>
      </w:pPr>
      <w:r>
        <w:t>[Lisa &amp; Andrew,</w:t>
      </w:r>
      <w:r w:rsidRPr="000A66BE">
        <w:t xml:space="preserve"> </w:t>
      </w:r>
      <w:r>
        <w:t>“How do patent incentives affect university researchers?,”  International Review of Law and Economics Volume 61, Elsevier, https://www.sciencedirect.com/science/article/pii/S0144818819302522?via%3Dihub, 7-16-24, GDI – Tom Huynh]</w:t>
      </w:r>
    </w:p>
    <w:p w14:paraId="769013F2" w14:textId="77777777" w:rsidR="003663A9" w:rsidRDefault="003663A9" w:rsidP="003663A9">
      <w:pPr>
        <w:rPr>
          <w:color w:val="000000"/>
        </w:rPr>
      </w:pPr>
      <w:r>
        <w:rPr>
          <w:color w:val="000000"/>
        </w:rPr>
        <w:t>*TTO = technology transfer office</w:t>
      </w:r>
    </w:p>
    <w:p w14:paraId="105A2DD1" w14:textId="77777777" w:rsidR="003663A9" w:rsidRPr="00D91204" w:rsidRDefault="003663A9" w:rsidP="003663A9">
      <w:pPr>
        <w:rPr>
          <w:color w:val="000000"/>
          <w:sz w:val="16"/>
          <w:szCs w:val="16"/>
        </w:rPr>
      </w:pPr>
      <w:r>
        <w:rPr>
          <w:color w:val="000000"/>
          <w:sz w:val="16"/>
          <w:szCs w:val="16"/>
        </w:rPr>
        <w:t xml:space="preserve">Thus, interview data suggest that, in the past, patenting was not well supported or even considered at the university, and therefore regularly patents were given away to companies. </w:t>
      </w:r>
      <w:r>
        <w:rPr>
          <w:color w:val="000000"/>
          <w:u w:val="single"/>
        </w:rPr>
        <w:t xml:space="preserve">The establishment of the TTO, probably in line with an overall trend to be more focused on university IP, impacted the current preference for contract research, which is that the patent should be assigned to both the university and the company. </w:t>
      </w:r>
      <w:r>
        <w:rPr>
          <w:color w:val="000000"/>
          <w:sz w:val="16"/>
          <w:szCs w:val="16"/>
        </w:rPr>
        <w:t xml:space="preserve">Yet, despite this preferential IP strategy, </w:t>
      </w:r>
      <w:r>
        <w:rPr>
          <w:color w:val="000000"/>
          <w:u w:val="single"/>
        </w:rPr>
        <w:t>interviewees acknowledge that there are also cases in which inventors willingly bypass the TTO, as one department head stated: “Sometimes I overhear researchers saying: If I go to TTO, I will … lose part of my autonomy … but also part of my money, as a major part does not go to me but to TTO.”</w:t>
      </w:r>
      <w:r>
        <w:rPr>
          <w:color w:val="000000"/>
          <w:sz w:val="16"/>
          <w:szCs w:val="16"/>
        </w:rPr>
        <w:t xml:space="preserve"> At the same time, as a TTO manager admits, sometimes inventors or companies get the possibility to own university IP: “In several cases, we have granted the inventor the patent, as a deliberate choice. At the same time, it is not the preferred option as it could give an incentive to underestimate the value of the invention or to reduced collaboration [with TTO].”</w:t>
      </w:r>
    </w:p>
    <w:p w14:paraId="6E9C6AFD" w14:textId="77777777" w:rsidR="003663A9" w:rsidRDefault="003663A9" w:rsidP="003663A9">
      <w:pPr>
        <w:rPr>
          <w:color w:val="000000"/>
          <w:sz w:val="16"/>
          <w:szCs w:val="16"/>
        </w:rPr>
      </w:pPr>
      <w:r>
        <w:rPr>
          <w:color w:val="000000"/>
          <w:sz w:val="16"/>
          <w:szCs w:val="16"/>
        </w:rPr>
        <w:t>In Model 3, the variable </w:t>
      </w:r>
      <w:r>
        <w:rPr>
          <w:i/>
          <w:color w:val="000000"/>
          <w:sz w:val="16"/>
          <w:szCs w:val="16"/>
        </w:rPr>
        <w:t>Academic rank</w:t>
      </w:r>
      <w:r>
        <w:rPr>
          <w:color w:val="000000"/>
          <w:sz w:val="16"/>
          <w:szCs w:val="16"/>
        </w:rPr>
        <w:t> is added to the regression. Some of our analysis results confirm the negative effect</w:t>
      </w:r>
      <w:hyperlink r:id="rId37" w:anchor="fn3">
        <w:r>
          <w:rPr>
            <w:color w:val="000000"/>
            <w:sz w:val="16"/>
            <w:szCs w:val="16"/>
            <w:vertAlign w:val="superscript"/>
          </w:rPr>
          <w:t>3</w:t>
        </w:r>
      </w:hyperlink>
      <w:r>
        <w:rPr>
          <w:color w:val="000000"/>
          <w:sz w:val="16"/>
          <w:szCs w:val="16"/>
        </w:rPr>
        <w:t xml:space="preserve"> of academic rank on university ownership of the academic patent, which partially supports Hypothesis 2. Hypothesis 2 stated that the higher the academic rank of the (lead-)inventor, the more likely he/she will file the patent outside the university. </w:t>
      </w:r>
      <w:r>
        <w:rPr>
          <w:color w:val="000000"/>
          <w:u w:val="single"/>
        </w:rPr>
        <w:t>The interview data shed more light on these highly-ranked individuals who bypass the university system</w:t>
      </w:r>
      <w:r>
        <w:rPr>
          <w:color w:val="000000"/>
          <w:sz w:val="16"/>
          <w:szCs w:val="16"/>
        </w:rPr>
        <w:t>.</w:t>
      </w:r>
      <w:r>
        <w:rPr>
          <w:color w:val="000000"/>
          <w:u w:val="single"/>
        </w:rPr>
        <w:t xml:space="preserve"> First, some professors admit that they have granted companies the right to patent their inventions, because it was too cumbersome to deal with the patenting procedure at the university or because the company paid for the patent or the research that led to the patent.</w:t>
      </w:r>
      <w:r>
        <w:rPr>
          <w:color w:val="000000"/>
          <w:sz w:val="16"/>
          <w:szCs w:val="16"/>
        </w:rPr>
        <w:t xml:space="preserve"> As one professor stated: “We have sold these [patents] to the industry. … An external partner has written the patents, we delivered the content, but patent specialists of these companies filed the patents.” Another interviewee stated: </w:t>
      </w:r>
      <w:r>
        <w:rPr>
          <w:color w:val="000000"/>
          <w:u w:val="single"/>
        </w:rPr>
        <w:t>“When I consider the TTO, they do things too broadly and as a result lack sufficient expertise to say for each domain: you can patent this, and you can't do that. The university is so broad and diversified, it is nearly impossible to do that, and that requires experts on those positions</w:t>
      </w:r>
      <w:r>
        <w:rPr>
          <w:color w:val="000000"/>
          <w:sz w:val="16"/>
          <w:szCs w:val="16"/>
        </w:rPr>
        <w:t xml:space="preserve">. It may be possible with help from externals, but </w:t>
      </w:r>
      <w:r>
        <w:rPr>
          <w:color w:val="000000"/>
          <w:u w:val="single"/>
        </w:rPr>
        <w:t>hiring an external expert is very expensive.”</w:t>
      </w:r>
      <w:r>
        <w:rPr>
          <w:color w:val="000000"/>
          <w:sz w:val="16"/>
          <w:szCs w:val="16"/>
        </w:rPr>
        <w:t xml:space="preserve"> Thus, it seems that higher-ranked researchers feel relatively at ease with giving critique to the university service and with bypassing the institutional rules.</w:t>
      </w:r>
    </w:p>
    <w:p w14:paraId="01C1515E" w14:textId="77777777" w:rsidR="003663A9" w:rsidRDefault="003663A9" w:rsidP="003663A9"/>
    <w:p w14:paraId="705B3486" w14:textId="77777777" w:rsidR="003663A9" w:rsidRDefault="003663A9" w:rsidP="003663A9">
      <w:pPr>
        <w:pStyle w:val="Heading3"/>
      </w:pPr>
      <w:r>
        <w:t>SQ TTOs =&gt; Innovation</w:t>
      </w:r>
    </w:p>
    <w:p w14:paraId="75FAED6B" w14:textId="77777777" w:rsidR="003663A9" w:rsidRPr="00E63A1E" w:rsidRDefault="003663A9" w:rsidP="003663A9"/>
    <w:p w14:paraId="367312A4" w14:textId="77777777" w:rsidR="003663A9" w:rsidRDefault="003663A9" w:rsidP="003663A9">
      <w:pPr>
        <w:pStyle w:val="Heading4"/>
      </w:pPr>
      <w:r>
        <w:t xml:space="preserve">TTOs increase innovation and dissemination of tech </w:t>
      </w:r>
    </w:p>
    <w:p w14:paraId="779EDF4A" w14:textId="77777777" w:rsidR="003663A9" w:rsidRPr="005C2E07" w:rsidRDefault="003663A9" w:rsidP="003663A9">
      <w:pPr>
        <w:spacing w:line="240" w:lineRule="auto"/>
        <w:rPr>
          <w:rFonts w:ascii="Times New Roman" w:eastAsia="Times New Roman" w:hAnsi="Times New Roman" w:cs="Times New Roman"/>
          <w:sz w:val="24"/>
          <w:szCs w:val="24"/>
        </w:rPr>
      </w:pPr>
      <w:r>
        <w:rPr>
          <w:rFonts w:eastAsia="Times New Roman"/>
          <w:b/>
          <w:bCs/>
          <w:color w:val="000000"/>
        </w:rPr>
        <w:t xml:space="preserve">Civera </w:t>
      </w:r>
      <w:r w:rsidRPr="005C2E07">
        <w:rPr>
          <w:rFonts w:eastAsia="Times New Roman"/>
          <w:b/>
          <w:bCs/>
          <w:color w:val="000000"/>
        </w:rPr>
        <w:t>et al, </w:t>
      </w:r>
      <w:r>
        <w:rPr>
          <w:rFonts w:eastAsia="Times New Roman"/>
          <w:b/>
          <w:bCs/>
          <w:color w:val="000000"/>
        </w:rPr>
        <w:t>Researcher at the University of Bergamo, 20</w:t>
      </w:r>
    </w:p>
    <w:p w14:paraId="24E8FF30" w14:textId="77777777" w:rsidR="003663A9" w:rsidRPr="004D694E" w:rsidRDefault="003663A9" w:rsidP="003663A9">
      <w:pPr>
        <w:spacing w:line="240" w:lineRule="auto"/>
        <w:rPr>
          <w:rFonts w:eastAsia="Times New Roman"/>
          <w:color w:val="000000"/>
        </w:rPr>
      </w:pPr>
      <w:r w:rsidRPr="005C2E07">
        <w:rPr>
          <w:rFonts w:eastAsia="Times New Roman"/>
          <w:color w:val="000000"/>
        </w:rPr>
        <w:t>[</w:t>
      </w:r>
      <w:r>
        <w:rPr>
          <w:rFonts w:eastAsia="Times New Roman"/>
          <w:color w:val="000000"/>
        </w:rPr>
        <w:t>Alice</w:t>
      </w:r>
      <w:r w:rsidRPr="005C2E07">
        <w:rPr>
          <w:rFonts w:eastAsia="Times New Roman"/>
          <w:color w:val="000000"/>
        </w:rPr>
        <w:t>, “</w:t>
      </w:r>
      <w:r>
        <w:rPr>
          <w:rFonts w:eastAsia="Times New Roman"/>
          <w:color w:val="000000"/>
        </w:rPr>
        <w:t>Engagement of academics in university technology transfer: Opportunity and necessity academic entrepreneurship</w:t>
      </w:r>
      <w:r w:rsidRPr="005C2E07">
        <w:rPr>
          <w:rFonts w:eastAsia="Times New Roman"/>
          <w:color w:val="000000"/>
        </w:rPr>
        <w:t xml:space="preserve">”, </w:t>
      </w:r>
      <w:r>
        <w:rPr>
          <w:rFonts w:eastAsia="Times New Roman"/>
          <w:color w:val="000000"/>
        </w:rPr>
        <w:t>European Economic Review</w:t>
      </w:r>
      <w:r w:rsidRPr="005C2E07">
        <w:rPr>
          <w:rFonts w:eastAsia="Times New Roman"/>
          <w:color w:val="000000"/>
        </w:rPr>
        <w:t xml:space="preserve">, </w:t>
      </w:r>
      <w:r>
        <w:rPr>
          <w:rFonts w:eastAsia="Times New Roman"/>
          <w:color w:val="000000"/>
        </w:rPr>
        <w:t>Vol. 123</w:t>
      </w:r>
      <w:r w:rsidRPr="005C2E07">
        <w:rPr>
          <w:rFonts w:eastAsia="Times New Roman"/>
          <w:color w:val="000000"/>
        </w:rPr>
        <w:t xml:space="preserve">, </w:t>
      </w:r>
      <w:r>
        <w:rPr>
          <w:rFonts w:eastAsia="Times New Roman"/>
          <w:color w:val="000000"/>
        </w:rPr>
        <w:t>Elsevier,</w:t>
      </w:r>
      <w:r w:rsidRPr="005C2E07">
        <w:rPr>
          <w:rFonts w:eastAsia="Times New Roman"/>
          <w:color w:val="000000"/>
        </w:rPr>
        <w:t xml:space="preserve"> </w:t>
      </w:r>
      <w:r>
        <w:rPr>
          <w:rFonts w:eastAsia="Times New Roman"/>
          <w:color w:val="000000"/>
        </w:rPr>
        <w:t>Accessed 7/17, GDI-IM</w:t>
      </w:r>
      <w:r w:rsidRPr="005C2E07">
        <w:rPr>
          <w:rFonts w:eastAsia="Times New Roman"/>
          <w:color w:val="000000"/>
        </w:rPr>
        <w:t>] </w:t>
      </w:r>
    </w:p>
    <w:p w14:paraId="19929E18" w14:textId="77777777" w:rsidR="003663A9" w:rsidRDefault="003663A9" w:rsidP="003663A9">
      <w:r w:rsidRPr="00AA0B72">
        <w:rPr>
          <w:u w:val="single"/>
        </w:rPr>
        <w:t xml:space="preserve">University spinoffs are a well-accepted vehicle for the dissemination and commercialization of new knowledge and a wide range of policies have been recommended and implemented to encourage their formation in hopes of spurring inno- vation and local economic development </w:t>
      </w:r>
      <w:r>
        <w:t>(Shane, 2004). Indeed, according to the knowledge spillover theory of entrepreneur- ship, they result fundamental for the development of the regions where they are located (Acs et al., 2013).</w:t>
      </w:r>
    </w:p>
    <w:p w14:paraId="28C7C767" w14:textId="77777777" w:rsidR="003663A9" w:rsidRDefault="003663A9" w:rsidP="003663A9">
      <w:r>
        <w:t xml:space="preserve">To be effective policy needs to be targeted based on the rationales behind the academic spinoffs establishment. Policy goals usually do not correspond with the motives of enterprising individuals. </w:t>
      </w:r>
      <w:r w:rsidRPr="00CC0554">
        <w:rPr>
          <w:u w:val="single"/>
        </w:rPr>
        <w:t>Hardly anybody starts a business in order to achieve innovation, job creation, or economic growth at the national level. Instead, people desire personal proﬁts, or autonomy, amongst others, or are just forced into entrepreneurship because they have no other options</w:t>
      </w:r>
      <w:r>
        <w:t xml:space="preserve"> (Shane et al., 2003).</w:t>
      </w:r>
    </w:p>
    <w:p w14:paraId="1339753D" w14:textId="77777777" w:rsidR="003663A9" w:rsidRDefault="003663A9" w:rsidP="003663A9">
      <w:r>
        <w:t xml:space="preserve"> Still, the type of individual entrepreneurial motivation may determine the goals and aspirations of the ﬁrm, which in turn may determine macroeconomic outcomes. In either case, it is vital for policy-makers to know what factors within their sphere of inﬂuence correlate with individual entrepreneurial motivation (Hessels et al., 2008).</w:t>
      </w:r>
    </w:p>
    <w:p w14:paraId="1E536F31" w14:textId="77777777" w:rsidR="003663A9" w:rsidRPr="00470730" w:rsidRDefault="003663A9" w:rsidP="003663A9">
      <w:pPr>
        <w:rPr>
          <w:rStyle w:val="Emphasis"/>
        </w:rPr>
      </w:pPr>
      <w:r w:rsidRPr="00CC0554">
        <w:rPr>
          <w:u w:val="single"/>
        </w:rPr>
        <w:t>TTOs have always been one of the preferred channels policymakers have encouraged as testiﬁed by the US Bayh–Dole Act of 1980 and its European counterparts</w:t>
      </w:r>
      <w:r>
        <w:t xml:space="preserve">. Yet, its function varies according to the rationale for spinning out new companies. </w:t>
      </w:r>
      <w:r w:rsidRPr="00CC0554">
        <w:rPr>
          <w:u w:val="single"/>
        </w:rPr>
        <w:t xml:space="preserve">Speciﬁcally, the role of the TTO in increasing the entrepreneurial activities of academics appears to be related to the simpli- ﬁcation of the process of innovation commercialization and diffusion, while TTOs support in terms of coaching, and training activity result essential for those academics who start a new business as a second-best solution. </w:t>
      </w:r>
      <w:r w:rsidRPr="00470730">
        <w:rPr>
          <w:rStyle w:val="Emphasis"/>
        </w:rPr>
        <w:t>These considerations help to shed light on the mixed literature concerning the effectiveness of TTOs, by arguing that it depends on the orientation of academic spinoffs – either opportunity or necessity oriented.</w:t>
      </w:r>
    </w:p>
    <w:p w14:paraId="01DD6FF7" w14:textId="77777777" w:rsidR="003663A9" w:rsidRDefault="003663A9" w:rsidP="003663A9">
      <w:r>
        <w:t xml:space="preserve">Accordingly, some implications can be derived. In particular, whether TTOs adopt best practices or not in enhancing the commercialization of research results is related to the nature of the academic spinoffs. </w:t>
      </w:r>
      <w:r w:rsidRPr="00627C43">
        <w:rPr>
          <w:u w:val="single"/>
        </w:rPr>
        <w:t>In case of opportunity en- trepreneurial activities, the university’s potential for commercializing its research results depend on its ability to attract and retain academics able to recognize the market opportunity. Vice versa, the strategy of universities to created TTOs of considerable size and scope, may translate in a fundamental mechanism for necessity-oriented academic spinoffs in order to survive.</w:t>
      </w:r>
    </w:p>
    <w:p w14:paraId="271CFCF2" w14:textId="77777777" w:rsidR="003663A9" w:rsidRDefault="003663A9" w:rsidP="003663A9"/>
    <w:p w14:paraId="1E209BD2" w14:textId="77777777" w:rsidR="003663A9" w:rsidRDefault="003663A9" w:rsidP="003663A9">
      <w:pPr>
        <w:pStyle w:val="Heading4"/>
      </w:pPr>
      <w:r>
        <w:t>TTOs key to academic spinoffs – promotes disclosure and diffusion</w:t>
      </w:r>
    </w:p>
    <w:p w14:paraId="640691D7" w14:textId="77777777" w:rsidR="003663A9" w:rsidRDefault="003663A9" w:rsidP="003663A9">
      <w:pPr>
        <w:spacing w:line="240" w:lineRule="auto"/>
        <w:rPr>
          <w:rFonts w:ascii="Times New Roman" w:eastAsia="Times New Roman" w:hAnsi="Times New Roman" w:cs="Times New Roman"/>
          <w:sz w:val="24"/>
          <w:szCs w:val="24"/>
        </w:rPr>
      </w:pPr>
      <w:r>
        <w:rPr>
          <w:b/>
        </w:rPr>
        <w:t>Civera et al, Researcher at the University of Bergamo, 20</w:t>
      </w:r>
    </w:p>
    <w:p w14:paraId="6B15DB0A" w14:textId="77777777" w:rsidR="003663A9" w:rsidRDefault="003663A9" w:rsidP="003663A9">
      <w:pPr>
        <w:spacing w:line="240" w:lineRule="auto"/>
        <w:rPr>
          <w:b/>
        </w:rPr>
      </w:pPr>
      <w:r>
        <w:t>[Alice, “Engagement of academics in university technology transfer: Opportunity and necessity academic entrepreneurship”, European Economic Review, 123, Elsevier, Accessed 7/16, GDI-IM] </w:t>
      </w:r>
    </w:p>
    <w:p w14:paraId="40810B17" w14:textId="77777777" w:rsidR="003663A9" w:rsidRDefault="003663A9" w:rsidP="003663A9">
      <w:pPr>
        <w:rPr>
          <w:u w:val="single"/>
        </w:rPr>
      </w:pPr>
      <w:r>
        <w:t xml:space="preserve">In turn, the rationale behind starting a new business is strongly related to the context (Audretsch et al., 2015; Casson, 2005; Clarysse et al., 2005). </w:t>
      </w:r>
      <w:r>
        <w:rPr>
          <w:u w:val="single"/>
        </w:rPr>
        <w:t>In a more traditional context, where academic spinoffs are generated to exploitation a business opportunity, a successful commercialization strategy may be minimizing the cost of placing on the market the company’s innovation. It is thus a task of the spinning out university to ensure the best environment for the diffusion of the innovation. This has led to the creation of the Technology Transfer Oﬃces</w:t>
      </w:r>
      <w:r>
        <w:t xml:space="preserve"> (TTOs henceforth), </w:t>
      </w:r>
      <w:r>
        <w:rPr>
          <w:u w:val="single"/>
        </w:rPr>
        <w:t>with the speciﬁc aim of reducing costs associated with the process of innovation diffusion</w:t>
      </w:r>
      <w:r>
        <w:t xml:space="preserve"> (Audretsch et al., 2014; Siegel et al., 2003). </w:t>
      </w:r>
      <w:r>
        <w:rPr>
          <w:u w:val="single"/>
        </w:rPr>
        <w:t>In a context instead, where academic spinoffs constitute a compensatory self-employment opportunity when academic inventors cannot ﬁnd a stable position within the academia, TTOS play a more crucial role by providing individuals competencies, informa- tion, and in general resources they lack</w:t>
      </w:r>
      <w:r>
        <w:t xml:space="preserve"> (Bercovitz and Feldman, 2008; Clarysse et al., 2011</w:t>
      </w:r>
      <w:r>
        <w:rPr>
          <w:u w:val="single"/>
        </w:rPr>
        <w:t>). Without TTOs’ supporting and coaching activities necessity academic spinoffs can hardly survive.</w:t>
      </w:r>
      <w:r>
        <w:t xml:space="preserve"> Then, in the ﬁrst case, </w:t>
      </w:r>
      <w:r>
        <w:rPr>
          <w:u w:val="single"/>
        </w:rPr>
        <w:t>TTOs are speciﬁcally arranged to stimulate invention disclosures among the researchers, to protect inventions from copying and assistance to researchers in the contractual part of their research. In the second case, they offer incubation services, which make it possible for aca- demics to set up their new business staying on their campus, as well as a variety of advice and coaching activities towards the academics and help in ﬁnding experienced managers from the industry to help support the new ﬁrm.</w:t>
      </w:r>
    </w:p>
    <w:p w14:paraId="31933FF5" w14:textId="77777777" w:rsidR="003663A9" w:rsidRDefault="003663A9" w:rsidP="003663A9"/>
    <w:p w14:paraId="7909623B" w14:textId="77777777" w:rsidR="003663A9" w:rsidRDefault="003663A9" w:rsidP="003663A9">
      <w:pPr>
        <w:pStyle w:val="Heading4"/>
      </w:pPr>
      <w:r>
        <w:t>TTOs increase academic entrepreneurship</w:t>
      </w:r>
    </w:p>
    <w:p w14:paraId="780A7587" w14:textId="77777777" w:rsidR="003663A9" w:rsidRDefault="003663A9" w:rsidP="003663A9">
      <w:pPr>
        <w:spacing w:line="240" w:lineRule="auto"/>
        <w:rPr>
          <w:rFonts w:ascii="Times New Roman" w:eastAsia="Times New Roman" w:hAnsi="Times New Roman" w:cs="Times New Roman"/>
          <w:sz w:val="24"/>
          <w:szCs w:val="24"/>
        </w:rPr>
      </w:pPr>
      <w:r>
        <w:rPr>
          <w:b/>
        </w:rPr>
        <w:t>Civera et al, Researcher at the University of Bergamo, 20</w:t>
      </w:r>
    </w:p>
    <w:p w14:paraId="444BC53D" w14:textId="77777777" w:rsidR="003663A9" w:rsidRDefault="003663A9" w:rsidP="003663A9">
      <w:pPr>
        <w:spacing w:line="240" w:lineRule="auto"/>
        <w:rPr>
          <w:b/>
        </w:rPr>
      </w:pPr>
      <w:r>
        <w:t>[Alice, “Engagement of academics in university technology transfer: Opportunity and necessity academic entrepreneurship”, European Economic Review, 123, Elsevier, Accessed 7/16, GDI-IM] </w:t>
      </w:r>
    </w:p>
    <w:p w14:paraId="29DA7F1E" w14:textId="77777777" w:rsidR="003663A9" w:rsidRDefault="003663A9" w:rsidP="003663A9">
      <w:r>
        <w:t xml:space="preserve">The literature on academic entrepreneurship has mainly focused on how TTOs can foster academic entrepreneurship (Clarysse et al., 2005; Wright, 2007). </w:t>
      </w:r>
      <w:r>
        <w:rPr>
          <w:u w:val="single"/>
        </w:rPr>
        <w:t>Although there is scarce evidence of the direct impact of TTOs on the creation of spin-offs, TTOs have increased the entrepreneurial intent of academics</w:t>
      </w:r>
      <w:r>
        <w:t xml:space="preserve"> (Meyer, 2003). Similarly, Bercovitz and Feld- man (2008) </w:t>
      </w:r>
      <w:r>
        <w:rPr>
          <w:u w:val="single"/>
        </w:rPr>
        <w:t>found that academics who were familiar with TTO activities were more likely to get involved in entrepreneurial activities as they learned the business norms and skills that are needed to be successful in commercializing research due to the supportive environment that TTOs were able to create. In fact, TTOs usually organize pre-seed capital to be invested in potential spin-offs</w:t>
      </w:r>
      <w:r>
        <w:t xml:space="preserve"> (Clarysse and Bruneel, 2007). </w:t>
      </w:r>
      <w:r>
        <w:rPr>
          <w:u w:val="single"/>
        </w:rPr>
        <w:t>Academics, who want to start a new business, therefore have access to capital. In addition, they offer incubation services, which make it possible for academics to set up their new business stay- ing on their campus. They also offer a variety of advice and coaching activities towards the academics and help in ﬁnding experienced managers from the industry to help support the new ﬁrm</w:t>
      </w:r>
      <w:r>
        <w:t xml:space="preserve"> (Clarysse et al., 2011).</w:t>
      </w:r>
    </w:p>
    <w:p w14:paraId="3E4B6017" w14:textId="77777777" w:rsidR="003663A9" w:rsidRDefault="003663A9" w:rsidP="003663A9">
      <w:r>
        <w:t xml:space="preserve">This is why one could expect that entrepreneurial and non-entrepreneurial-oriented academics are differently affected by TTOs. </w:t>
      </w:r>
      <w:r>
        <w:rPr>
          <w:u w:val="single"/>
        </w:rPr>
        <w:t>Individuals with the skill to spot, recognize and absorb opportunities, has been put forward in the entrepreneurship literature as opportunity entrepreneurs</w:t>
      </w:r>
      <w:r>
        <w:t xml:space="preserve"> (Buenstorf, 2007</w:t>
      </w:r>
      <w:r>
        <w:rPr>
          <w:u w:val="single"/>
        </w:rPr>
        <w:t>). Entrepreneurially driven individuals identify opportunities that might lead to new venture ideas that can be commercialized and show a general interest in pursuing these opportunities and/or ideas. The ability of a potential entrepreneur to identify and pursue opportunities is intimately linked to their tech- nological knowledge and/or knowledge about markets and customer need</w:t>
      </w:r>
      <w:r>
        <w:t xml:space="preserve">s (Buenstorf, 2007). Clarysse et al. (2011) explored how different characteristics in the technological knowledge base at start-up predict spin-off performance. They found that corporate spin-offs grow more if they start with a speciﬁc narrow-focused technology suﬃciently distinct from the technical knowledge base of the parent company. </w:t>
      </w:r>
      <w:r w:rsidRPr="00F95BF3">
        <w:rPr>
          <w:rStyle w:val="Emphasis"/>
        </w:rPr>
        <w:t>University spin-offs beneﬁt from a broad technology, which is transferred to the spin-off.</w:t>
      </w:r>
      <w:r>
        <w:t xml:space="preserve"> This proves that the internal availability of technology is not the only one that academic spinoffs need. Indeed</w:t>
      </w:r>
      <w:r w:rsidRPr="00F95BF3">
        <w:rPr>
          <w:rStyle w:val="Emphasis"/>
        </w:rPr>
        <w:t>, spinoffs technological performances are directly correlated with those of the parent ﬁrm</w:t>
      </w:r>
      <w:r>
        <w:t xml:space="preserve"> (Helfat and Lieberman, 2002). </w:t>
      </w:r>
      <w:r w:rsidRPr="00F95BF3">
        <w:rPr>
          <w:rStyle w:val="Emphasis"/>
        </w:rPr>
        <w:t>Universities play a key role</w:t>
      </w:r>
      <w:r>
        <w:t xml:space="preserve"> as explained by O’Shea et al. (2005). A high-quality rating of a university’s science and engi- neering departments positively impacts the number of spinoff companies created. According to Powers (2003), </w:t>
      </w:r>
      <w:r w:rsidRPr="00F95BF3">
        <w:rPr>
          <w:rStyle w:val="Emphasis"/>
        </w:rPr>
        <w:t>one of the necessary conditions for the generation of start-ups from universities is the availability of scientists and engineers with suit- able qualiﬁcations and know-how in R&amp;D activities</w:t>
      </w:r>
      <w:r>
        <w:t>. The availability of human capital implies higher skills and knowledge within a university, which is positive for the realization of technology transfer activity. Therefore</w:t>
      </w:r>
      <w:r w:rsidRPr="00376198">
        <w:rPr>
          <w:rStyle w:val="Emphasis"/>
        </w:rPr>
        <w:t>, university spinoff activity is inﬂuenced by the availability of scientists and engineers with appropriate knowledge and inclination</w:t>
      </w:r>
      <w:r>
        <w:t xml:space="preserve">. The level of tech- nological advancement in the local areas is important as well. There is a well-developed stream of literature devoted to the entrepreneurial ecosystems and their key role in enhancing local entrepreneurial activity (e.g. Audretsch and Belitski, 2017; Feldman, 2014). In particular, </w:t>
      </w:r>
      <w:r w:rsidRPr="00376198">
        <w:rPr>
          <w:rStyle w:val="Emphasis"/>
        </w:rPr>
        <w:t>spinoff activity is more likely to occur in high technology clusters because access to critical expertise, networks, and knowledge is readily available</w:t>
      </w:r>
      <w:r>
        <w:t xml:space="preserve"> (Saxenian, 1994). Research has shown indeed that access to persons with expert knowledge and talent is a critical human capital resource for the development of cutting-edge technologies is (Powers and McDougall, 2005).</w:t>
      </w:r>
    </w:p>
    <w:p w14:paraId="6CB2230D" w14:textId="77777777" w:rsidR="003663A9" w:rsidRPr="009E1917" w:rsidRDefault="003663A9" w:rsidP="003663A9"/>
    <w:p w14:paraId="08F79B9E" w14:textId="77777777" w:rsidR="003663A9" w:rsidRDefault="003663A9" w:rsidP="003663A9">
      <w:pPr>
        <w:pStyle w:val="Heading1"/>
      </w:pPr>
      <w:r>
        <w:t>Solvency</w:t>
      </w:r>
    </w:p>
    <w:p w14:paraId="23EFCB11" w14:textId="77777777" w:rsidR="003663A9" w:rsidRDefault="003663A9" w:rsidP="003663A9"/>
    <w:p w14:paraId="5B06EFD6" w14:textId="77777777" w:rsidR="003663A9" w:rsidRDefault="003663A9" w:rsidP="003663A9">
      <w:pPr>
        <w:pStyle w:val="Heading3"/>
      </w:pPr>
      <w:r>
        <w:t>UOM =&gt; Innovation</w:t>
      </w:r>
    </w:p>
    <w:p w14:paraId="342BDE80" w14:textId="77777777" w:rsidR="003663A9" w:rsidRDefault="003663A9" w:rsidP="003663A9"/>
    <w:p w14:paraId="1203B4B6" w14:textId="77777777" w:rsidR="003663A9" w:rsidRDefault="003663A9" w:rsidP="003663A9">
      <w:pPr>
        <w:pStyle w:val="Heading4"/>
      </w:pPr>
      <w:r>
        <w:t>University innovations vital---numerous benefits including national security</w:t>
      </w:r>
    </w:p>
    <w:p w14:paraId="33386649" w14:textId="77777777" w:rsidR="003663A9" w:rsidRDefault="003663A9" w:rsidP="003663A9">
      <w:pPr>
        <w:rPr>
          <w:rStyle w:val="Style13ptBold"/>
        </w:rPr>
      </w:pPr>
      <w:r>
        <w:rPr>
          <w:rStyle w:val="Style13ptBold"/>
        </w:rPr>
        <w:t>Tyler, J.D. University of Notre Dame, 11</w:t>
      </w:r>
    </w:p>
    <w:p w14:paraId="15B8D2E4" w14:textId="77777777" w:rsidR="003663A9" w:rsidRPr="00B56906" w:rsidRDefault="003663A9" w:rsidP="003663A9">
      <w:pPr>
        <w:rPr>
          <w:sz w:val="16"/>
          <w:szCs w:val="16"/>
        </w:rPr>
      </w:pPr>
      <w:r w:rsidRPr="00C85859">
        <w:rPr>
          <w:sz w:val="16"/>
          <w:szCs w:val="16"/>
        </w:rPr>
        <w:t xml:space="preserve">[John E., III, </w:t>
      </w:r>
      <w:r>
        <w:rPr>
          <w:sz w:val="16"/>
          <w:szCs w:val="16"/>
        </w:rPr>
        <w:t>2013 Volume 38</w:t>
      </w:r>
      <w:r w:rsidRPr="00C85859">
        <w:rPr>
          <w:sz w:val="16"/>
          <w:szCs w:val="16"/>
        </w:rPr>
        <w:t xml:space="preserve">, </w:t>
      </w:r>
      <w:r>
        <w:rPr>
          <w:sz w:val="16"/>
          <w:szCs w:val="16"/>
        </w:rPr>
        <w:t>Journal Technology Transfer</w:t>
      </w:r>
      <w:r w:rsidRPr="00C85859">
        <w:rPr>
          <w:sz w:val="16"/>
          <w:szCs w:val="16"/>
        </w:rPr>
        <w:t xml:space="preserve">, “Redeploying Bayh-Dole: beyond Merely doing good to optimizing the potential in results of taxpayer-funded research”, </w:t>
      </w:r>
      <w:r>
        <w:rPr>
          <w:sz w:val="16"/>
          <w:szCs w:val="16"/>
        </w:rPr>
        <w:t>Springer - DOI 10.1007/s10961-011-9231-x</w:t>
      </w:r>
      <w:r w:rsidRPr="00C85859">
        <w:rPr>
          <w:sz w:val="16"/>
          <w:szCs w:val="16"/>
        </w:rPr>
        <w:t xml:space="preserve">, </w:t>
      </w:r>
      <w:r>
        <w:rPr>
          <w:sz w:val="16"/>
          <w:szCs w:val="16"/>
        </w:rPr>
        <w:t xml:space="preserve">accessed on </w:t>
      </w:r>
      <w:r w:rsidRPr="00C85859">
        <w:rPr>
          <w:sz w:val="16"/>
          <w:szCs w:val="16"/>
        </w:rPr>
        <w:t>7-16-2024, GDI-ALG]</w:t>
      </w:r>
    </w:p>
    <w:p w14:paraId="6E7F3C88" w14:textId="77777777" w:rsidR="003663A9" w:rsidRPr="00FB293E" w:rsidRDefault="003663A9" w:rsidP="003663A9">
      <w:r w:rsidRPr="00FB293E">
        <w:t xml:space="preserve">Many universities are centers of research excellence and innovative thinking. They enhance knowledge, understanding, and basic conceptions that can advance economic growth and human welfare. For instance, </w:t>
      </w:r>
      <w:r w:rsidRPr="00531B99">
        <w:rPr>
          <w:rStyle w:val="Emphasis"/>
        </w:rPr>
        <w:t>university innovations have been and can continue to lead to new products, services, approaches and experiences that can help stimulate economic growth and corresponding potential for jobs, taxes, wealth, and other community benefits</w:t>
      </w:r>
      <w:r w:rsidRPr="00FB293E">
        <w:t xml:space="preserve"> (Litan and Cook-Deegan 2011; Tyler 2009; Schramm 2006; Tornatzky 2002; Good 2004; Thursby and Thursby 2004). The United States government clearly values that role</w:t>
      </w:r>
      <w:r w:rsidRPr="00531B99">
        <w:rPr>
          <w:rStyle w:val="Emphasis"/>
        </w:rPr>
        <w:t>. It annually directs tens of billions of dollars to such universities for their research efforts. These funds and the research that they support serve a ‘‘critical national need’’ that is ‘‘vital to the nation’s welfare and security’’ because of the potential contributions to our nation’s economic growth and well-being, which is increasingly being viewed as a composite of national security</w:t>
      </w:r>
      <w:r w:rsidRPr="00FB293E">
        <w:t xml:space="preserve"> (Schacht 2010b; President’s Council of Advisors 2008; Crow 2008).</w:t>
      </w:r>
    </w:p>
    <w:p w14:paraId="22422718" w14:textId="77777777" w:rsidR="003663A9" w:rsidRDefault="003663A9" w:rsidP="003663A9">
      <w:r w:rsidRPr="00EE776D">
        <w:rPr>
          <w:rStyle w:val="Emphasis"/>
        </w:rPr>
        <w:t>University innovations also can advance human welfare by alleviating hunger and other suffering, creating efficiency, enhancing communications, facilitating safety, and treating, curing, and/or preventing illnes</w:t>
      </w:r>
      <w:r w:rsidRPr="00FB293E">
        <w:t>s (Litan and Cook-Deegan 2011; Tyler 2009). These possibilities are too important to risk being ‘‘left unused and unapplied.’’</w:t>
      </w:r>
    </w:p>
    <w:p w14:paraId="5EE27698" w14:textId="77777777" w:rsidR="003663A9" w:rsidRDefault="003663A9" w:rsidP="003663A9"/>
    <w:p w14:paraId="30EC8BDF" w14:textId="77777777" w:rsidR="003663A9" w:rsidRDefault="003663A9" w:rsidP="003663A9">
      <w:pPr>
        <w:pStyle w:val="Heading4"/>
      </w:pPr>
      <w:r>
        <w:t xml:space="preserve">Bayh-Dole increases tech transfer – removed restrictions on process </w:t>
      </w:r>
    </w:p>
    <w:p w14:paraId="7DBEBE01" w14:textId="77777777" w:rsidR="003663A9" w:rsidRDefault="003663A9" w:rsidP="003663A9">
      <w:pPr>
        <w:spacing w:after="0" w:line="240" w:lineRule="auto"/>
        <w:rPr>
          <w:rFonts w:ascii="Times New Roman" w:eastAsia="Times New Roman" w:hAnsi="Times New Roman" w:cs="Times New Roman"/>
          <w:sz w:val="24"/>
          <w:szCs w:val="24"/>
        </w:rPr>
      </w:pPr>
      <w:r>
        <w:rPr>
          <w:b/>
          <w:color w:val="000000"/>
          <w:sz w:val="24"/>
          <w:szCs w:val="24"/>
        </w:rPr>
        <w:t>Van Burg, Professor Amsterdam Business Research Institute, et al., 21</w:t>
      </w:r>
    </w:p>
    <w:p w14:paraId="198C1DF5" w14:textId="77777777" w:rsidR="003663A9" w:rsidRDefault="003663A9" w:rsidP="003663A9">
      <w:pPr>
        <w:spacing w:after="0" w:line="240" w:lineRule="auto"/>
        <w:rPr>
          <w:sz w:val="24"/>
          <w:szCs w:val="24"/>
        </w:rPr>
      </w:pPr>
      <w:r>
        <w:rPr>
          <w:color w:val="000000"/>
          <w:sz w:val="24"/>
          <w:szCs w:val="24"/>
        </w:rPr>
        <w:t xml:space="preserve">[Elco, Jingshu Du, Shandong University, Jannigje Gerdien Kers, Wageningen University and Research, </w:t>
      </w:r>
      <w:r w:rsidRPr="006826F1">
        <w:rPr>
          <w:color w:val="000000"/>
          <w:sz w:val="24"/>
          <w:szCs w:val="24"/>
          <w:u w:val="single"/>
        </w:rPr>
        <w:t>Technovation</w:t>
      </w:r>
      <w:r>
        <w:rPr>
          <w:color w:val="000000"/>
          <w:sz w:val="24"/>
          <w:szCs w:val="24"/>
        </w:rPr>
        <w:t xml:space="preserve"> Volume 107, ScienceDirect, “When do academics patent outside their university? An in-depth case study?,” https://www.sciencedirect.com/science/article/pii/S0166497221000687?via%3Dihub, 7-17-24, GDI – Tom Huynh]</w:t>
      </w:r>
      <w:r>
        <w:rPr>
          <w:sz w:val="24"/>
          <w:szCs w:val="24"/>
        </w:rPr>
        <w:t xml:space="preserve"> </w:t>
      </w:r>
    </w:p>
    <w:p w14:paraId="2F660191" w14:textId="77777777" w:rsidR="003663A9" w:rsidRDefault="003663A9" w:rsidP="003663A9">
      <w:pPr>
        <w:pBdr>
          <w:top w:val="nil"/>
          <w:left w:val="nil"/>
          <w:bottom w:val="nil"/>
          <w:right w:val="nil"/>
          <w:between w:val="nil"/>
        </w:pBdr>
        <w:spacing w:after="0" w:line="240" w:lineRule="auto"/>
        <w:rPr>
          <w:color w:val="000000"/>
          <w:sz w:val="16"/>
          <w:szCs w:val="16"/>
        </w:rPr>
      </w:pPr>
      <w:r>
        <w:rPr>
          <w:color w:val="000000"/>
          <w:u w:val="single"/>
        </w:rPr>
        <w:t>Universities play a critical role in the generation and dissemination of knowledge</w:t>
      </w:r>
      <w:r>
        <w:rPr>
          <w:color w:val="000000"/>
          <w:sz w:val="16"/>
          <w:szCs w:val="16"/>
        </w:rPr>
        <w:t xml:space="preserve"> (</w:t>
      </w:r>
      <w:hyperlink r:id="rId38" w:anchor="bib53">
        <w:r>
          <w:rPr>
            <w:color w:val="000000"/>
            <w:sz w:val="16"/>
            <w:szCs w:val="16"/>
          </w:rPr>
          <w:t>Mansfield 1998</w:t>
        </w:r>
      </w:hyperlink>
      <w:r>
        <w:rPr>
          <w:color w:val="000000"/>
          <w:sz w:val="16"/>
          <w:szCs w:val="16"/>
        </w:rPr>
        <w:t>; </w:t>
      </w:r>
      <w:hyperlink r:id="rId39" w:anchor="bib60">
        <w:r>
          <w:rPr>
            <w:color w:val="000000"/>
            <w:sz w:val="16"/>
            <w:szCs w:val="16"/>
          </w:rPr>
          <w:t>Narin et al., 1997</w:t>
        </w:r>
      </w:hyperlink>
      <w:r>
        <w:rPr>
          <w:color w:val="000000"/>
          <w:sz w:val="16"/>
          <w:szCs w:val="16"/>
        </w:rPr>
        <w:t xml:space="preserve">). Scientific research conducted at universities and </w:t>
      </w:r>
      <w:r>
        <w:rPr>
          <w:color w:val="000000"/>
          <w:u w:val="single"/>
        </w:rPr>
        <w:t>knowledge institutes serves as an important input for industrial innovation</w:t>
      </w:r>
      <w:r>
        <w:rPr>
          <w:color w:val="000000"/>
          <w:sz w:val="16"/>
          <w:szCs w:val="16"/>
        </w:rPr>
        <w:t xml:space="preserve"> (</w:t>
      </w:r>
      <w:hyperlink r:id="rId40" w:anchor="bib45">
        <w:r>
          <w:rPr>
            <w:color w:val="000000"/>
            <w:sz w:val="16"/>
            <w:szCs w:val="16"/>
          </w:rPr>
          <w:t>Klevorick et al., 1995</w:t>
        </w:r>
      </w:hyperlink>
      <w:r>
        <w:rPr>
          <w:color w:val="000000"/>
          <w:sz w:val="16"/>
          <w:szCs w:val="16"/>
        </w:rPr>
        <w:t>; </w:t>
      </w:r>
      <w:hyperlink r:id="rId41" w:anchor="bib52">
        <w:r>
          <w:rPr>
            <w:color w:val="000000"/>
            <w:sz w:val="16"/>
            <w:szCs w:val="16"/>
          </w:rPr>
          <w:t>Mansfield 1995</w:t>
        </w:r>
      </w:hyperlink>
      <w:r>
        <w:rPr>
          <w:color w:val="000000"/>
          <w:sz w:val="16"/>
          <w:szCs w:val="16"/>
        </w:rPr>
        <w:t>), and functions as a map for applied research (</w:t>
      </w:r>
      <w:hyperlink r:id="rId42" w:anchor="bib28">
        <w:r>
          <w:rPr>
            <w:color w:val="000000"/>
            <w:sz w:val="16"/>
            <w:szCs w:val="16"/>
          </w:rPr>
          <w:t>Fleming and Sorenson 2004</w:t>
        </w:r>
      </w:hyperlink>
      <w:r>
        <w:rPr>
          <w:color w:val="000000"/>
          <w:sz w:val="16"/>
          <w:szCs w:val="16"/>
        </w:rPr>
        <w:t xml:space="preserve">). </w:t>
      </w:r>
      <w:r>
        <w:rPr>
          <w:color w:val="000000"/>
          <w:u w:val="single"/>
        </w:rPr>
        <w:t xml:space="preserve">A large part of scientific knowledge is tacit, which makes it difficult to be freely transferred across organizations </w:t>
      </w:r>
      <w:r>
        <w:rPr>
          <w:color w:val="000000"/>
          <w:sz w:val="16"/>
          <w:szCs w:val="16"/>
        </w:rPr>
        <w:t>(</w:t>
      </w:r>
      <w:hyperlink r:id="rId43" w:anchor="bib65">
        <w:r>
          <w:rPr>
            <w:color w:val="000000"/>
            <w:sz w:val="16"/>
            <w:szCs w:val="16"/>
          </w:rPr>
          <w:t>Polanyi 1967</w:t>
        </w:r>
      </w:hyperlink>
      <w:r>
        <w:rPr>
          <w:color w:val="000000"/>
          <w:sz w:val="16"/>
          <w:szCs w:val="16"/>
        </w:rPr>
        <w:t>). Therefore, increasingly academic researchers are involved in the “translation” of basic science, through participating in applied research projects (</w:t>
      </w:r>
      <w:hyperlink r:id="rId44" w:anchor="bib13">
        <w:r>
          <w:rPr>
            <w:color w:val="000000"/>
            <w:sz w:val="16"/>
            <w:szCs w:val="16"/>
          </w:rPr>
          <w:t>Cockburn and Henderson 1998</w:t>
        </w:r>
      </w:hyperlink>
      <w:r>
        <w:rPr>
          <w:color w:val="000000"/>
          <w:sz w:val="16"/>
          <w:szCs w:val="16"/>
        </w:rPr>
        <w:t>) or coming up with research findings that are of high practical relevance and foster innovation (e.g., </w:t>
      </w:r>
      <w:hyperlink r:id="rId45" w:anchor="bib57">
        <w:r>
          <w:rPr>
            <w:color w:val="000000"/>
            <w:sz w:val="16"/>
            <w:szCs w:val="16"/>
          </w:rPr>
          <w:t>Mowery et al., 2004</w:t>
        </w:r>
      </w:hyperlink>
      <w:r>
        <w:rPr>
          <w:color w:val="000000"/>
          <w:sz w:val="16"/>
          <w:szCs w:val="16"/>
        </w:rPr>
        <w:t>). Both activities may result in the generation of academic patents (referring to patents with at least one university inventor).</w:t>
      </w:r>
    </w:p>
    <w:p w14:paraId="7756EF0A" w14:textId="77777777" w:rsidR="003663A9" w:rsidRDefault="003663A9" w:rsidP="003663A9">
      <w:pPr>
        <w:pBdr>
          <w:top w:val="nil"/>
          <w:left w:val="nil"/>
          <w:bottom w:val="nil"/>
          <w:right w:val="nil"/>
          <w:between w:val="nil"/>
        </w:pBdr>
        <w:spacing w:after="0" w:line="240" w:lineRule="auto"/>
      </w:pPr>
      <w:r>
        <w:rPr>
          <w:color w:val="000000"/>
          <w:u w:val="single"/>
        </w:rPr>
        <w:t>To strengthen university-industry links, several initiatives have been taken to spur local economic development based on university research.</w:t>
      </w:r>
      <w:r>
        <w:rPr>
          <w:color w:val="000000"/>
          <w:sz w:val="16"/>
          <w:szCs w:val="16"/>
        </w:rPr>
        <w:t xml:space="preserve"> For instance, science parks have been located nearby research university campuses (</w:t>
      </w:r>
      <w:hyperlink r:id="rId46" w:anchor="bib82">
        <w:r>
          <w:rPr>
            <w:color w:val="000000"/>
            <w:sz w:val="16"/>
            <w:szCs w:val="16"/>
          </w:rPr>
          <w:t>Vedovello 1997</w:t>
        </w:r>
      </w:hyperlink>
      <w:r>
        <w:rPr>
          <w:color w:val="000000"/>
          <w:sz w:val="16"/>
          <w:szCs w:val="16"/>
        </w:rPr>
        <w:t>), business incubators and public seed capital funds have been established (</w:t>
      </w:r>
      <w:hyperlink r:id="rId47" w:anchor="bib46">
        <w:r>
          <w:rPr>
            <w:color w:val="000000"/>
            <w:sz w:val="16"/>
            <w:szCs w:val="16"/>
          </w:rPr>
          <w:t>Klofsten and Jones-Evans 1996</w:t>
        </w:r>
      </w:hyperlink>
      <w:r>
        <w:rPr>
          <w:color w:val="000000"/>
          <w:sz w:val="16"/>
          <w:szCs w:val="16"/>
        </w:rPr>
        <w:t>; </w:t>
      </w:r>
      <w:hyperlink r:id="rId48" w:anchor="bib79">
        <w:r>
          <w:rPr>
            <w:color w:val="000000"/>
            <w:sz w:val="16"/>
            <w:szCs w:val="16"/>
          </w:rPr>
          <w:t>van Geenhuizen and Soetanto 2009</w:t>
        </w:r>
      </w:hyperlink>
      <w:r>
        <w:rPr>
          <w:color w:val="000000"/>
          <w:sz w:val="16"/>
          <w:szCs w:val="16"/>
        </w:rPr>
        <w:t>), and bridging institutions are formed that are supposed to link universities to industrial innovation (</w:t>
      </w:r>
      <w:hyperlink r:id="rId49" w:anchor="bib57">
        <w:r>
          <w:rPr>
            <w:color w:val="000000"/>
            <w:sz w:val="16"/>
            <w:szCs w:val="16"/>
          </w:rPr>
          <w:t>Mowery et al., 2004</w:t>
        </w:r>
      </w:hyperlink>
      <w:r>
        <w:rPr>
          <w:color w:val="000000"/>
          <w:sz w:val="16"/>
          <w:szCs w:val="16"/>
        </w:rPr>
        <w:t>; </w:t>
      </w:r>
      <w:hyperlink r:id="rId50" w:anchor="bib58">
        <w:r>
          <w:rPr>
            <w:color w:val="000000"/>
            <w:sz w:val="16"/>
            <w:szCs w:val="16"/>
          </w:rPr>
          <w:t>Mowery and Sampat 2005</w:t>
        </w:r>
      </w:hyperlink>
      <w:r>
        <w:rPr>
          <w:color w:val="000000"/>
          <w:sz w:val="16"/>
          <w:szCs w:val="16"/>
        </w:rPr>
        <w:t xml:space="preserve">). </w:t>
      </w:r>
      <w:r>
        <w:rPr>
          <w:color w:val="000000"/>
          <w:u w:val="single"/>
        </w:rPr>
        <w:t>At the country level, in particular, the passage of the University and Small Business Patent Procedures Act of 1980, also known as the ‘Bayh-Dole Act’– providing universities the right to patent and commercialize scientific breakthroughs accomplished with federal funding – has marked an important milestone in the history of university technology transfer, by simplifying and removing many restrictions in the transfer process</w:t>
      </w:r>
      <w:r>
        <w:rPr>
          <w:color w:val="000000"/>
          <w:sz w:val="16"/>
          <w:szCs w:val="16"/>
        </w:rPr>
        <w:t xml:space="preserve"> (</w:t>
      </w:r>
      <w:hyperlink r:id="rId51" w:anchor="bib67">
        <w:r>
          <w:rPr>
            <w:color w:val="000000"/>
            <w:sz w:val="16"/>
            <w:szCs w:val="16"/>
          </w:rPr>
          <w:t>Rothaermel et al., 2007</w:t>
        </w:r>
      </w:hyperlink>
      <w:r>
        <w:rPr>
          <w:color w:val="000000"/>
          <w:sz w:val="16"/>
          <w:szCs w:val="16"/>
        </w:rPr>
        <w:t>; </w:t>
      </w:r>
      <w:hyperlink r:id="rId52" w:anchor="bib70">
        <w:r>
          <w:rPr>
            <w:color w:val="000000"/>
            <w:sz w:val="16"/>
            <w:szCs w:val="16"/>
          </w:rPr>
          <w:t>Siegel et al., 2003</w:t>
        </w:r>
      </w:hyperlink>
      <w:r>
        <w:rPr>
          <w:color w:val="000000"/>
          <w:sz w:val="16"/>
          <w:szCs w:val="16"/>
        </w:rPr>
        <w:t>). Other countries have implemented similar legislation, but with different results (</w:t>
      </w:r>
      <w:hyperlink r:id="rId53" w:anchor="bib5">
        <w:r>
          <w:rPr>
            <w:color w:val="000000"/>
            <w:sz w:val="16"/>
            <w:szCs w:val="16"/>
          </w:rPr>
          <w:t>Åstebro et al., 2019</w:t>
        </w:r>
      </w:hyperlink>
      <w:r>
        <w:rPr>
          <w:color w:val="000000"/>
          <w:sz w:val="16"/>
          <w:szCs w:val="16"/>
        </w:rPr>
        <w:t>). For instance, in Germany, the ‘professor's privilege’ was abolished, granting the university instead of the inventor the ownership over inventions. This did not lead to an increase in university patents overall, but it did increase university-owned patents (</w:t>
      </w:r>
      <w:hyperlink r:id="rId54" w:anchor="bib85">
        <w:r>
          <w:rPr>
            <w:color w:val="000000"/>
            <w:sz w:val="16"/>
            <w:szCs w:val="16"/>
          </w:rPr>
          <w:t>von Proff et al., 2012</w:t>
        </w:r>
      </w:hyperlink>
      <w:r>
        <w:rPr>
          <w:color w:val="000000"/>
          <w:sz w:val="16"/>
          <w:szCs w:val="16"/>
        </w:rPr>
        <w:t>).</w:t>
      </w:r>
    </w:p>
    <w:p w14:paraId="5D1D4AE4" w14:textId="77777777" w:rsidR="003663A9" w:rsidRPr="006F5ED4" w:rsidRDefault="003663A9" w:rsidP="003663A9"/>
    <w:p w14:paraId="47CEFB33" w14:textId="77777777" w:rsidR="003663A9" w:rsidRDefault="003663A9" w:rsidP="003663A9">
      <w:pPr>
        <w:pStyle w:val="Heading3"/>
      </w:pPr>
      <w:r>
        <w:t>IOM Hurts Commercialization</w:t>
      </w:r>
    </w:p>
    <w:p w14:paraId="6A879C5B" w14:textId="77777777" w:rsidR="003663A9" w:rsidRPr="00C05BFE" w:rsidRDefault="003663A9" w:rsidP="003663A9"/>
    <w:p w14:paraId="6F863E2D" w14:textId="77777777" w:rsidR="003663A9" w:rsidRDefault="003663A9" w:rsidP="003663A9">
      <w:pPr>
        <w:pStyle w:val="Heading4"/>
      </w:pPr>
      <w:r>
        <w:t xml:space="preserve">Full investor ownership bad – multiple reasons </w:t>
      </w:r>
    </w:p>
    <w:p w14:paraId="0C0C2C80" w14:textId="77777777" w:rsidR="003663A9" w:rsidRPr="00904438" w:rsidRDefault="003663A9" w:rsidP="003663A9">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4A13F08F" w14:textId="77777777" w:rsidR="003663A9" w:rsidRPr="00904438" w:rsidRDefault="003663A9" w:rsidP="003663A9">
      <w:r>
        <w:t>[Brenda M. "Preserving the Fruits of Labor: Impediments to University Inventor Mobility," Tennessee Law Review 89, no. 1 (Fall 2021): 1-66 heinonline gdi-tm]</w:t>
      </w:r>
    </w:p>
    <w:p w14:paraId="7A00716B" w14:textId="77777777" w:rsidR="003663A9" w:rsidRDefault="003663A9" w:rsidP="003663A9">
      <w:r>
        <w:t>Problematic Proposals to Vest Ownership in Inventors</w:t>
      </w:r>
    </w:p>
    <w:p w14:paraId="7E0BFD0B" w14:textId="77777777" w:rsidR="003663A9" w:rsidRDefault="003663A9" w:rsidP="003663A9">
      <w:r w:rsidRPr="0038143E">
        <w:rPr>
          <w:rStyle w:val="Emphasis"/>
        </w:rPr>
        <w:t>Some authors have suggested that academic inventors should have greater control over their inventions.</w:t>
      </w:r>
      <w:r>
        <w:t xml:space="preserve">389 Unlike employees in industry, </w:t>
      </w:r>
      <w:r w:rsidRPr="0038143E">
        <w:rPr>
          <w:rStyle w:val="Emphasis"/>
        </w:rPr>
        <w:t>academic inventors typically direct their own research programs with little involvement from their university, so they tend to have a better understanding o·f the technology than their parent institutions</w:t>
      </w:r>
      <w:r>
        <w:t>.390 University inventors may be well-situated to direct development of an invention, given their familiarity with the field and work with early-stage technology.</w:t>
      </w:r>
      <w:r w:rsidRPr="0038143E">
        <w:rPr>
          <w:rStyle w:val="Emphasis"/>
        </w:rPr>
        <w:t>391Providing inventors with greater influence over the licensing process could also decrease transaction costs by allowing inventors to retain control of development activity</w:t>
      </w:r>
      <w:r>
        <w:t xml:space="preserve">.392 Inventors might be able to choose more efficient agents than university technology transfer offices, which are sometimes disorganized or ineffective.393 The American Association of University Professors (AAUP) has set forth guidelines that propose providing university inventors with greater control of inventions derived from university research.394 The AAUP is a nonprofit association of academic professionals that seeks to "define fundamental professional values and standards for higher education." 395 The AAUP principles recognize the inventor's "fundamental rights to direct and control" issues related to "invention management, licensing, commercialization, dissemination and public use."396For disputes involving inventor rights, the principles instruct that any resolution should strive to provide the best outcome for the research, the inventors, the institution, and the public interest. 397 </w:t>
      </w:r>
      <w:r w:rsidRPr="0038143E">
        <w:rPr>
          <w:rStyle w:val="Emphasis"/>
        </w:rPr>
        <w:t>Providing inventors with ownership over their inventions, as opposed to merely increased control, would likely create more problems than it would solve</w:t>
      </w:r>
      <w:r>
        <w:t>. The potential for conflicts of interest is vast</w:t>
      </w:r>
      <w:r w:rsidRPr="0038143E">
        <w:rPr>
          <w:rStyle w:val="Emphasis"/>
        </w:rPr>
        <w:t>. Overinvolvement in commercialization can distract university inventors from their responsibilities to their parent institutions</w:t>
      </w:r>
      <w:r>
        <w:t xml:space="preserve">, such as teaching, publishing, programmatic activities, service, and mentoring students. 398 </w:t>
      </w:r>
      <w:r w:rsidRPr="0038143E">
        <w:rPr>
          <w:rStyle w:val="Emphasis"/>
        </w:rPr>
        <w:t>If university inventors were granted sole ownership over their inventions, they might exploit university resources for commercial purposes unrelated to their. academic position</w:t>
      </w:r>
      <w:r>
        <w:t xml:space="preserve">. For example, they alone could reap the financial rewards of inventions that benefit from the efforts of graduate students and other academic personnel. 399 </w:t>
      </w:r>
      <w:r w:rsidRPr="0038143E">
        <w:rPr>
          <w:rStyle w:val="Emphasis"/>
        </w:rPr>
        <w:t>Strong financial interests might sway university inventors to report less than completely accurate results in describing their research</w:t>
      </w:r>
      <w:r>
        <w:t xml:space="preserve">.400 </w:t>
      </w:r>
      <w:r w:rsidRPr="0038143E">
        <w:rPr>
          <w:rStyle w:val="Emphasis"/>
        </w:rPr>
        <w:t>Vesting ownership in university inventors may impede commercialization. Academic inventors might exclusively license technology to a private company with which they have a prior relationship, even if other companies would be better at 'commercializing the invention or creating a larger social benefit.401</w:t>
      </w:r>
      <w:r>
        <w:t xml:space="preserve"> </w:t>
      </w:r>
      <w:r w:rsidRPr="0038143E">
        <w:rPr>
          <w:rStyle w:val="Emphasis"/>
        </w:rPr>
        <w:t>University inventors might lack the experience or financial means to commercialize their inventions</w:t>
      </w:r>
      <w:r>
        <w:t xml:space="preserve">. 402 The skill set of a university inventor may not translate well into licensing the technology or becoming an entrepreneur.403 </w:t>
      </w:r>
      <w:r w:rsidRPr="0038143E">
        <w:rPr>
          <w:rStyle w:val="Emphasis"/>
        </w:rPr>
        <w:t>Moreover, many inventions are jointly owned by multiple university inventors. 404 Commercializing inventions that are jointly owned usually entails higher transaction costs compared· with having the university as the sole owner</w:t>
      </w:r>
      <w:r>
        <w:t>. 405 Universities should also be more likely than inventors to consider the public interest in developing a technology, given their legislative, financial, and reputational foundations described previously.406</w:t>
      </w:r>
    </w:p>
    <w:p w14:paraId="2CF793D8" w14:textId="77777777" w:rsidR="003663A9" w:rsidRDefault="003663A9" w:rsidP="003663A9"/>
    <w:p w14:paraId="30EFA142" w14:textId="77777777" w:rsidR="003663A9" w:rsidRDefault="003663A9" w:rsidP="003663A9">
      <w:pPr>
        <w:pStyle w:val="Heading3"/>
      </w:pPr>
      <w:r>
        <w:t>IOM Not Solve Innovation</w:t>
      </w:r>
    </w:p>
    <w:p w14:paraId="740A2801" w14:textId="77777777" w:rsidR="003663A9" w:rsidRPr="00550662" w:rsidRDefault="003663A9" w:rsidP="003663A9"/>
    <w:p w14:paraId="44ADB60F" w14:textId="77777777" w:rsidR="003663A9" w:rsidRDefault="003663A9" w:rsidP="003663A9">
      <w:pPr>
        <w:pStyle w:val="Heading4"/>
        <w:rPr>
          <w:rFonts w:eastAsia="Times New Roman"/>
        </w:rPr>
      </w:pPr>
      <w:r>
        <w:rPr>
          <w:rFonts w:eastAsia="Times New Roman"/>
        </w:rPr>
        <w:t xml:space="preserve">Comparison of university and inventor ownership neutral – limited evidence that it impact development and if it does, it’s specific university dependent </w:t>
      </w:r>
    </w:p>
    <w:p w14:paraId="572E357D" w14:textId="77777777" w:rsidR="003663A9" w:rsidRDefault="003663A9" w:rsidP="003663A9">
      <w:pPr>
        <w:rPr>
          <w:color w:val="000000"/>
        </w:rPr>
      </w:pPr>
      <w:r>
        <w:rPr>
          <w:b/>
          <w:color w:val="000000"/>
        </w:rPr>
        <w:t xml:space="preserve">Ouellette, </w:t>
      </w:r>
      <w:r w:rsidRPr="000A66BE">
        <w:rPr>
          <w:bCs/>
          <w:color w:val="000000"/>
        </w:rPr>
        <w:t xml:space="preserve">Senior Fellow Stanford Law School &amp; </w:t>
      </w:r>
      <w:r w:rsidRPr="000A66BE">
        <w:rPr>
          <w:b/>
          <w:color w:val="000000"/>
        </w:rPr>
        <w:t>Tutt</w:t>
      </w:r>
      <w:r>
        <w:rPr>
          <w:b/>
          <w:color w:val="000000"/>
        </w:rPr>
        <w:t xml:space="preserve">, </w:t>
      </w:r>
      <w:r w:rsidRPr="000A66BE">
        <w:rPr>
          <w:bCs/>
          <w:color w:val="000000"/>
        </w:rPr>
        <w:t>Counsel Arnold &amp; Porter,</w:t>
      </w:r>
      <w:r>
        <w:rPr>
          <w:b/>
          <w:color w:val="000000"/>
        </w:rPr>
        <w:t xml:space="preserve"> 19</w:t>
      </w:r>
    </w:p>
    <w:p w14:paraId="22C6E6A9" w14:textId="77777777" w:rsidR="003663A9" w:rsidRDefault="003663A9" w:rsidP="003663A9">
      <w:pPr>
        <w:rPr>
          <w:color w:val="000000"/>
        </w:rPr>
      </w:pPr>
      <w:r>
        <w:t>[Lisa &amp; Andrew,</w:t>
      </w:r>
      <w:r w:rsidRPr="000A66BE">
        <w:t xml:space="preserve"> </w:t>
      </w:r>
      <w:r>
        <w:t>“How do patent incentives affect university researchers?,”  International Review of Law and Economics Volume 61, Elsevier, https://www.sciencedirect.com/science/article/pii/S0144818819302522?via%3Dihub, 7-16-24, GDI – Tom Huynh]</w:t>
      </w:r>
    </w:p>
    <w:p w14:paraId="438BAA99" w14:textId="77777777" w:rsidR="003663A9" w:rsidRDefault="003663A9" w:rsidP="003663A9">
      <w:pPr>
        <w:rPr>
          <w:color w:val="000000"/>
          <w:u w:val="single"/>
        </w:rPr>
      </w:pPr>
      <w:r>
        <w:rPr>
          <w:color w:val="000000"/>
        </w:rPr>
        <w:t xml:space="preserve">Assigning patents to universities also has an important legal side: </w:t>
      </w:r>
      <w:r>
        <w:rPr>
          <w:color w:val="000000"/>
          <w:u w:val="single"/>
        </w:rPr>
        <w:t xml:space="preserve">who is entitled to ownership of intellectual property? </w:t>
      </w:r>
      <w:r w:rsidRPr="007D4C1A">
        <w:t>Even though that has not been the focus of this study, as we addressed the individual and university-level</w:t>
      </w:r>
      <w:r>
        <w:rPr>
          <w:color w:val="000000"/>
        </w:rPr>
        <w:t xml:space="preserve">, </w:t>
      </w:r>
      <w:r w:rsidRPr="007D4C1A">
        <w:rPr>
          <w:rStyle w:val="Emphasis"/>
        </w:rPr>
        <w:t>our findings imply that the effect of legislation depends on the execution at university level</w:t>
      </w:r>
      <w:r>
        <w:rPr>
          <w:color w:val="000000"/>
        </w:rPr>
        <w:t xml:space="preserve">. </w:t>
      </w:r>
      <w:r w:rsidRPr="007D4C1A">
        <w:rPr>
          <w:rStyle w:val="Emphasis"/>
        </w:rPr>
        <w:t>On the surface</w:t>
      </w:r>
      <w:r>
        <w:rPr>
          <w:color w:val="000000"/>
        </w:rPr>
        <w:t xml:space="preserve">, </w:t>
      </w:r>
      <w:r w:rsidRPr="007D4C1A">
        <w:rPr>
          <w:rStyle w:val="Emphasis"/>
        </w:rPr>
        <w:t>the difference between university ownership of intellectual property</w:t>
      </w:r>
      <w:r w:rsidRPr="007D4C1A">
        <w:t>, like in the Bayh-Dole act in the US and similar legislation all over Europe</w:t>
      </w:r>
      <w:r>
        <w:rPr>
          <w:color w:val="000000"/>
          <w:u w:val="single"/>
        </w:rPr>
        <w:t xml:space="preserve">, and inventor ownership by the ‘professor's privilege’ </w:t>
      </w:r>
      <w:r w:rsidRPr="007D4C1A">
        <w:t>in Sweden</w:t>
      </w:r>
      <w:r>
        <w:rPr>
          <w:color w:val="000000"/>
          <w:u w:val="single"/>
        </w:rPr>
        <w:t xml:space="preserve"> </w:t>
      </w:r>
      <w:r>
        <w:rPr>
          <w:color w:val="000000"/>
        </w:rPr>
        <w:t xml:space="preserve">(and in the past in Germany, Finland, Norway, and Denmark), </w:t>
      </w:r>
      <w:r w:rsidRPr="007D4C1A">
        <w:rPr>
          <w:rStyle w:val="Emphasis"/>
        </w:rPr>
        <w:t>seems to be very important</w:t>
      </w:r>
      <w:r>
        <w:rPr>
          <w:color w:val="000000"/>
        </w:rPr>
        <w:t xml:space="preserve">. </w:t>
      </w:r>
      <w:r w:rsidRPr="007D4C1A">
        <w:rPr>
          <w:rStyle w:val="Emphasis"/>
        </w:rPr>
        <w:t>Yet, studies have mixed judgments regarding the effect of these different regim</w:t>
      </w:r>
      <w:r>
        <w:rPr>
          <w:color w:val="000000"/>
        </w:rPr>
        <w:t>es (</w:t>
      </w:r>
      <w:hyperlink r:id="rId55" w:anchor="bib5">
        <w:r>
          <w:rPr>
            <w:color w:val="000000"/>
          </w:rPr>
          <w:t>Åstebro et al., 2019</w:t>
        </w:r>
      </w:hyperlink>
      <w:r>
        <w:rPr>
          <w:color w:val="000000"/>
        </w:rPr>
        <w:t>; </w:t>
      </w:r>
      <w:hyperlink r:id="rId56" w:anchor="bib36">
        <w:r>
          <w:rPr>
            <w:color w:val="000000"/>
          </w:rPr>
          <w:t>Granstrand 2013</w:t>
        </w:r>
      </w:hyperlink>
      <w:r>
        <w:rPr>
          <w:color w:val="000000"/>
        </w:rPr>
        <w:t>): some argue that university ownership is more effective in making inventions available for the public (</w:t>
      </w:r>
      <w:hyperlink r:id="rId57" w:anchor="bib56">
        <w:r>
          <w:rPr>
            <w:color w:val="000000"/>
          </w:rPr>
          <w:t>Merill and Mazza 2010</w:t>
        </w:r>
      </w:hyperlink>
      <w:r>
        <w:rPr>
          <w:color w:val="000000"/>
        </w:rPr>
        <w:t>),</w:t>
      </w:r>
      <w:r w:rsidRPr="007D4C1A">
        <w:t xml:space="preserve"> but</w:t>
      </w:r>
      <w:r>
        <w:rPr>
          <w:color w:val="000000"/>
          <w:u w:val="single"/>
        </w:rPr>
        <w:t xml:space="preserve"> most studies find that both systems are at least similarly effective in terms of the number of patents</w:t>
      </w:r>
      <w:r>
        <w:rPr>
          <w:color w:val="000000"/>
        </w:rPr>
        <w:t xml:space="preserve"> (</w:t>
      </w:r>
      <w:hyperlink r:id="rId58" w:anchor="bib49">
        <w:r>
          <w:rPr>
            <w:color w:val="000000"/>
          </w:rPr>
          <w:t>Lissoni et al., 2008</w:t>
        </w:r>
      </w:hyperlink>
      <w:r>
        <w:rPr>
          <w:color w:val="000000"/>
        </w:rPr>
        <w:t>; </w:t>
      </w:r>
      <w:hyperlink r:id="rId59" w:anchor="bib85">
        <w:r>
          <w:rPr>
            <w:color w:val="000000"/>
          </w:rPr>
          <w:t>von Proff et al., 2012</w:t>
        </w:r>
      </w:hyperlink>
      <w:r>
        <w:rPr>
          <w:color w:val="000000"/>
        </w:rPr>
        <w:t xml:space="preserve">) </w:t>
      </w:r>
      <w:r>
        <w:rPr>
          <w:color w:val="000000"/>
          <w:u w:val="single"/>
        </w:rPr>
        <w:t>or that replacing the inventor-ownership with university-ownership even leads to a decrease in patenting and start-up rates</w:t>
      </w:r>
      <w:r>
        <w:rPr>
          <w:color w:val="000000"/>
        </w:rPr>
        <w:t xml:space="preserve"> (e.g., </w:t>
      </w:r>
      <w:hyperlink r:id="rId60" w:anchor="bib17">
        <w:r>
          <w:rPr>
            <w:color w:val="000000"/>
          </w:rPr>
          <w:t>Czarnitzki et al., 2015</w:t>
        </w:r>
      </w:hyperlink>
      <w:r>
        <w:rPr>
          <w:color w:val="000000"/>
        </w:rPr>
        <w:t>; </w:t>
      </w:r>
      <w:hyperlink r:id="rId61" w:anchor="bib25">
        <w:r>
          <w:rPr>
            <w:color w:val="000000"/>
          </w:rPr>
          <w:t>Ejermo and Toivanen 2018</w:t>
        </w:r>
      </w:hyperlink>
      <w:r>
        <w:rPr>
          <w:color w:val="000000"/>
        </w:rPr>
        <w:t>; </w:t>
      </w:r>
      <w:hyperlink r:id="rId62" w:anchor="bib77">
        <w:r>
          <w:rPr>
            <w:color w:val="000000"/>
          </w:rPr>
          <w:t>Valentin and Jensen 2007</w:t>
        </w:r>
      </w:hyperlink>
      <w:r>
        <w:rPr>
          <w:color w:val="000000"/>
        </w:rPr>
        <w:t>). Short- and long-term effects of such legislation changes may be different, but in the end, the effects may be smaller than predicted as </w:t>
      </w:r>
      <w:hyperlink r:id="rId63" w:anchor="bib5">
        <w:r>
          <w:rPr>
            <w:color w:val="000000"/>
          </w:rPr>
          <w:t>Åstebro et al. (2019)</w:t>
        </w:r>
      </w:hyperlink>
      <w:r>
        <w:rPr>
          <w:color w:val="000000"/>
        </w:rPr>
        <w:t xml:space="preserve"> show in their comparison of Sweden and the US. </w:t>
      </w:r>
      <w:r>
        <w:rPr>
          <w:color w:val="000000"/>
          <w:u w:val="single"/>
        </w:rPr>
        <w:t>Our study points at the need to understand the university- and individual-level aspects that play a role. Importantly, in the end in both systems, university managers, technology transfer offices and individual academic inventors jointly impact eventual outcomes in terms of patents and university-based start-ups (see </w:t>
      </w:r>
      <w:hyperlink r:id="rId64" w:anchor="bib32">
        <w:r>
          <w:rPr>
            <w:color w:val="000000"/>
            <w:u w:val="single"/>
          </w:rPr>
          <w:t>Gilsing et al., 2010</w:t>
        </w:r>
      </w:hyperlink>
      <w:r>
        <w:rPr>
          <w:color w:val="000000"/>
          <w:u w:val="single"/>
        </w:rPr>
        <w:t>).</w:t>
      </w:r>
    </w:p>
    <w:p w14:paraId="601C9B2D" w14:textId="77777777" w:rsidR="003663A9" w:rsidRDefault="003663A9" w:rsidP="003663A9"/>
    <w:p w14:paraId="447A0742" w14:textId="77777777" w:rsidR="003663A9" w:rsidRDefault="003663A9" w:rsidP="003663A9">
      <w:pPr>
        <w:pStyle w:val="Heading4"/>
      </w:pPr>
      <w:r>
        <w:t xml:space="preserve">No conclusive evidence inventor ownership on the value of patent </w:t>
      </w:r>
    </w:p>
    <w:p w14:paraId="187536C3" w14:textId="77777777" w:rsidR="003663A9" w:rsidRDefault="003663A9" w:rsidP="003663A9">
      <w:pPr>
        <w:rPr>
          <w:color w:val="000000"/>
        </w:rPr>
      </w:pPr>
      <w:r>
        <w:rPr>
          <w:b/>
          <w:color w:val="000000"/>
        </w:rPr>
        <w:t>Ouellette, Senior Fellow Stanford Law School &amp; Tutt, Counsel Arnold &amp; Porter, 19</w:t>
      </w:r>
    </w:p>
    <w:p w14:paraId="63C28AC3" w14:textId="77777777" w:rsidR="003663A9" w:rsidRDefault="003663A9" w:rsidP="003663A9">
      <w:pPr>
        <w:rPr>
          <w:color w:val="000000"/>
        </w:rPr>
      </w:pPr>
      <w:r>
        <w:rPr>
          <w:color w:val="000000"/>
        </w:rPr>
        <w:t xml:space="preserve">[Lisa &amp; Andrew, 12-25-19, Elsevier, “How do patent incentives affect university researchers?,” https://www.sciencedirect.com/science/article/pii/S0144818819302522?via%3Dihub, 7-18-24, GDI – Tom Huynh] </w:t>
      </w:r>
    </w:p>
    <w:p w14:paraId="39525653" w14:textId="77777777" w:rsidR="003663A9" w:rsidRDefault="003663A9" w:rsidP="003663A9">
      <w:pPr>
        <w:rPr>
          <w:color w:val="000000"/>
          <w:u w:val="single"/>
        </w:rPr>
      </w:pPr>
      <w:r>
        <w:rPr>
          <w:color w:val="000000"/>
          <w:sz w:val="16"/>
          <w:szCs w:val="16"/>
        </w:rPr>
        <w:t xml:space="preserve">Finally, in our study, </w:t>
      </w:r>
      <w:r>
        <w:rPr>
          <w:color w:val="000000"/>
          <w:u w:val="single"/>
        </w:rPr>
        <w:t>the value of the patent, measured in a couple of ways, is not found to be related to university-ownership of the patent, which indicates that both the university and inventors do not discriminate between patents according to their expected value</w:t>
      </w:r>
      <w:r>
        <w:rPr>
          <w:color w:val="000000"/>
          <w:sz w:val="16"/>
          <w:szCs w:val="16"/>
        </w:rPr>
        <w:t>. This finding contradicts most of the studies on this effect but is in line with </w:t>
      </w:r>
      <w:hyperlink r:id="rId65" w:anchor="bib15">
        <w:r>
          <w:rPr>
            <w:color w:val="000000"/>
            <w:sz w:val="16"/>
            <w:szCs w:val="16"/>
          </w:rPr>
          <w:t>Crespi et al. (2010)</w:t>
        </w:r>
      </w:hyperlink>
      <w:r>
        <w:rPr>
          <w:color w:val="000000"/>
          <w:sz w:val="16"/>
          <w:szCs w:val="16"/>
        </w:rPr>
        <w:t xml:space="preserve">. One interviewee told that the </w:t>
      </w:r>
      <w:r>
        <w:rPr>
          <w:color w:val="000000"/>
          <w:u w:val="single"/>
        </w:rPr>
        <w:t>university-owned patent that she filed was the least valuable one, and the more valuable ones were filed with her own company</w:t>
      </w:r>
      <w:r w:rsidRPr="007D4C1A">
        <w:rPr>
          <w:rStyle w:val="Emphasis"/>
        </w:rPr>
        <w:t>. Yet, there is not such a pattern in the patents analyzed for this study, or the pattern is too weak to find a significant result in our sample.</w:t>
      </w:r>
      <w:r>
        <w:rPr>
          <w:color w:val="000000"/>
          <w:sz w:val="16"/>
          <w:szCs w:val="16"/>
        </w:rPr>
        <w:t xml:space="preserve"> </w:t>
      </w:r>
      <w:r>
        <w:rPr>
          <w:color w:val="000000"/>
          <w:u w:val="single"/>
        </w:rPr>
        <w:t>An explanation might be that, at least in the years before and around the founding of the TTO, both academic inventors and the TTO might not have had experience in discerning patent value and making decisions based on such a value assessment. Studies that explore the effect of TTO in later years, or involve more universities, can further explore this issue.</w:t>
      </w:r>
    </w:p>
    <w:p w14:paraId="26C66ED1" w14:textId="77777777" w:rsidR="003663A9" w:rsidRPr="00A93794" w:rsidRDefault="003663A9" w:rsidP="003663A9"/>
    <w:p w14:paraId="25961867" w14:textId="77777777" w:rsidR="003663A9" w:rsidRDefault="003663A9" w:rsidP="003663A9">
      <w:pPr>
        <w:pStyle w:val="Heading3"/>
      </w:pPr>
      <w:r>
        <w:t>Innovation Alt Causes</w:t>
      </w:r>
    </w:p>
    <w:p w14:paraId="0A32DE0B" w14:textId="77777777" w:rsidR="003663A9" w:rsidRDefault="003663A9" w:rsidP="003663A9"/>
    <w:p w14:paraId="5C7D0F6E" w14:textId="77777777" w:rsidR="003663A9" w:rsidRDefault="003663A9" w:rsidP="003663A9">
      <w:pPr>
        <w:pStyle w:val="Heading4"/>
      </w:pPr>
      <w:r>
        <w:t>Universities not sole cause of innovation deficit, government and industry outweigh</w:t>
      </w:r>
    </w:p>
    <w:p w14:paraId="44C5DB15" w14:textId="77777777" w:rsidR="003663A9" w:rsidRDefault="003663A9" w:rsidP="003663A9">
      <w:pPr>
        <w:rPr>
          <w:rStyle w:val="Style13ptBold"/>
        </w:rPr>
      </w:pPr>
      <w:r>
        <w:rPr>
          <w:rStyle w:val="Style13ptBold"/>
        </w:rPr>
        <w:t>Tyler, J.D. University of Notre Dame, 11</w:t>
      </w:r>
    </w:p>
    <w:p w14:paraId="75729296" w14:textId="77777777" w:rsidR="003663A9" w:rsidRPr="00B56906" w:rsidRDefault="003663A9" w:rsidP="003663A9">
      <w:pPr>
        <w:rPr>
          <w:sz w:val="16"/>
          <w:szCs w:val="16"/>
        </w:rPr>
      </w:pPr>
      <w:r w:rsidRPr="00C85859">
        <w:rPr>
          <w:sz w:val="16"/>
          <w:szCs w:val="16"/>
        </w:rPr>
        <w:t xml:space="preserve">[John E., III, </w:t>
      </w:r>
      <w:r>
        <w:rPr>
          <w:sz w:val="16"/>
          <w:szCs w:val="16"/>
        </w:rPr>
        <w:t>2013 Volume 38</w:t>
      </w:r>
      <w:r w:rsidRPr="00C85859">
        <w:rPr>
          <w:sz w:val="16"/>
          <w:szCs w:val="16"/>
        </w:rPr>
        <w:t xml:space="preserve">, </w:t>
      </w:r>
      <w:r>
        <w:rPr>
          <w:sz w:val="16"/>
          <w:szCs w:val="16"/>
        </w:rPr>
        <w:t>Journal Technology Transfer</w:t>
      </w:r>
      <w:r w:rsidRPr="00C85859">
        <w:rPr>
          <w:sz w:val="16"/>
          <w:szCs w:val="16"/>
        </w:rPr>
        <w:t xml:space="preserve">, “Redeploying Bayh-Dole: beyond Merely doing good to optimizing the potential in results of taxpayer-funded research”, </w:t>
      </w:r>
      <w:r>
        <w:rPr>
          <w:sz w:val="16"/>
          <w:szCs w:val="16"/>
        </w:rPr>
        <w:t>Springer - DOI 10.1007/s10961-011-9231-x</w:t>
      </w:r>
      <w:r w:rsidRPr="00C85859">
        <w:rPr>
          <w:sz w:val="16"/>
          <w:szCs w:val="16"/>
        </w:rPr>
        <w:t xml:space="preserve">, </w:t>
      </w:r>
      <w:r>
        <w:rPr>
          <w:sz w:val="16"/>
          <w:szCs w:val="16"/>
        </w:rPr>
        <w:t xml:space="preserve">accessed on </w:t>
      </w:r>
      <w:r w:rsidRPr="00C85859">
        <w:rPr>
          <w:sz w:val="16"/>
          <w:szCs w:val="16"/>
        </w:rPr>
        <w:t>7-16-2024, GDI-ALG]</w:t>
      </w:r>
    </w:p>
    <w:p w14:paraId="476E7C27" w14:textId="77777777" w:rsidR="003663A9" w:rsidRPr="00FB293E" w:rsidRDefault="003663A9" w:rsidP="003663A9">
      <w:r w:rsidRPr="00FB293E">
        <w:t>2 Non-university factors in the advancing innovation ecosystem</w:t>
      </w:r>
    </w:p>
    <w:p w14:paraId="749DC127" w14:textId="77777777" w:rsidR="003663A9" w:rsidRPr="00FB293E" w:rsidRDefault="003663A9" w:rsidP="003663A9">
      <w:r w:rsidRPr="00144D92">
        <w:rPr>
          <w:rStyle w:val="Emphasis"/>
        </w:rPr>
        <w:t>The purpose of this article is not to suggest that any and all problems with or impediments to advancing university innovations originate with universities or with their technology transfer offices. To the contrary, industry and government also contribute to the problems</w:t>
      </w:r>
      <w:r w:rsidRPr="00FB293E">
        <w:t>.</w:t>
      </w:r>
    </w:p>
    <w:p w14:paraId="6307DEF7" w14:textId="77777777" w:rsidR="003663A9" w:rsidRDefault="003663A9" w:rsidP="003663A9">
      <w:r w:rsidRPr="00FB293E">
        <w:t>For instance</w:t>
      </w:r>
      <w:r w:rsidRPr="00144D92">
        <w:rPr>
          <w:rStyle w:val="Emphasis"/>
        </w:rPr>
        <w:t>, industry often fails to appreciate that US universities must comply with a regimen of laws and regulations relating to their status as either governmental bodies or public charities under § 501(c)(3) of the Internal Revenue Code</w:t>
      </w:r>
      <w:r w:rsidRPr="00FB293E">
        <w:t xml:space="preserve">. Among these are mandates to operate in furtherance of exempt, charitable, and educational purposes and not to permit private benefit (President’s Council of Advisors 2008; Clements 2009; Bohlander 2004). Consequently, </w:t>
      </w:r>
      <w:r w:rsidRPr="00D94597">
        <w:rPr>
          <w:rStyle w:val="Emphasis"/>
        </w:rPr>
        <w:t>universities have a legal mandate to ensure prompt dissemination of research results as a condition of retaining exempt status</w:t>
      </w:r>
      <w:r w:rsidRPr="00FB293E">
        <w:t xml:space="preserve"> (Schacht 2010a). In addition, </w:t>
      </w:r>
      <w:r w:rsidRPr="00D94597">
        <w:rPr>
          <w:rStyle w:val="Emphasis"/>
        </w:rPr>
        <w:t xml:space="preserve">universities must ensure that technology transfer arrangements do not jeopardize their tax exempt status and that terms and provisions reflect reasonable, fair value, market conditions. </w:t>
      </w:r>
      <w:r w:rsidRPr="00FB293E">
        <w:t>Universities also can be as concerned about having been taken advantage of and missing out on a financially lucrative opportunity as they have been criticized for overvaluing intellectual property and under-appreciating that most university innovations are early stage, of generally unknown usefulness, high risk, and very expensive to take to market (Nilsson 2006; Mowery et al. 2004; Schacht 2010a, b)</w:t>
      </w:r>
      <w:r>
        <w:t>.</w:t>
      </w:r>
    </w:p>
    <w:p w14:paraId="400195DA" w14:textId="77777777" w:rsidR="003663A9" w:rsidRDefault="003663A9" w:rsidP="003663A9"/>
    <w:p w14:paraId="17DEAA28" w14:textId="77777777" w:rsidR="003663A9" w:rsidRDefault="003663A9" w:rsidP="003663A9">
      <w:pPr>
        <w:pStyle w:val="Heading3"/>
      </w:pPr>
      <w:r>
        <w:t>VCs Fail</w:t>
      </w:r>
    </w:p>
    <w:p w14:paraId="543291D4" w14:textId="77777777" w:rsidR="003663A9" w:rsidRDefault="003663A9" w:rsidP="003663A9"/>
    <w:p w14:paraId="33114EEE" w14:textId="77777777" w:rsidR="003663A9" w:rsidRDefault="003663A9" w:rsidP="003663A9">
      <w:pPr>
        <w:pStyle w:val="Heading4"/>
      </w:pPr>
      <w:r>
        <w:t xml:space="preserve">Venture capital firms bad – and bad at tech diffusion </w:t>
      </w:r>
    </w:p>
    <w:p w14:paraId="3A0DBCEE" w14:textId="77777777" w:rsidR="003663A9" w:rsidRDefault="003663A9" w:rsidP="003663A9">
      <w:pPr>
        <w:rPr>
          <w:rStyle w:val="Style13ptBold"/>
        </w:rPr>
      </w:pPr>
      <w:r w:rsidRPr="00FB5A1A">
        <w:rPr>
          <w:rStyle w:val="Style13ptBold"/>
        </w:rPr>
        <w:t>Lerner</w:t>
      </w:r>
      <w:r>
        <w:rPr>
          <w:rStyle w:val="Style13ptBold"/>
        </w:rPr>
        <w:t xml:space="preserve">, </w:t>
      </w:r>
      <w:r w:rsidRPr="007361E5">
        <w:rPr>
          <w:rStyle w:val="Style13ptBold"/>
        </w:rPr>
        <w:t>Jacob H. Schiff Professor at Harvard Business School, and Nanda, Sarofim-Rock Professor at Harvard Business School</w:t>
      </w:r>
      <w:r>
        <w:rPr>
          <w:rStyle w:val="Style13ptBold"/>
        </w:rPr>
        <w:t>, 20</w:t>
      </w:r>
    </w:p>
    <w:p w14:paraId="3C15C057" w14:textId="77777777" w:rsidR="003663A9" w:rsidRDefault="003663A9" w:rsidP="003663A9">
      <w:r w:rsidRPr="009D179A">
        <w:t>[</w:t>
      </w:r>
      <w:r>
        <w:t>Josh, Ramana, 2020, “Venture Capital’s Role in Financing</w:t>
      </w:r>
    </w:p>
    <w:p w14:paraId="2980A731" w14:textId="77777777" w:rsidR="003663A9" w:rsidRDefault="003663A9" w:rsidP="003663A9">
      <w:r>
        <w:t>Innovation: What We Know and How</w:t>
      </w:r>
      <w:r w:rsidRPr="0092577A">
        <w:t xml:space="preserve"> </w:t>
      </w:r>
      <w:r>
        <w:t>Much We Still Need to Learn,” Journal of Economic PerspectivesJstor, p.237, vol.34, No.3, acc. 7-18-24, GDI-LI]</w:t>
      </w:r>
    </w:p>
    <w:p w14:paraId="479AD79F" w14:textId="77777777" w:rsidR="003663A9" w:rsidRPr="00EE663A" w:rsidRDefault="003663A9" w:rsidP="003663A9">
      <w:pPr>
        <w:rPr>
          <w:sz w:val="16"/>
        </w:rPr>
      </w:pPr>
      <w:r w:rsidRPr="00EE663A">
        <w:rPr>
          <w:sz w:val="16"/>
        </w:rPr>
        <w:t xml:space="preserve">In this paper, we acknowledge the power of the venture capital in fomenting innovation. At the same time, despite the optimism articulated by Arrow and by many other academics and practitioners, we argue that </w:t>
      </w:r>
      <w:r w:rsidRPr="00EE663A">
        <w:rPr>
          <w:b/>
          <w:bCs/>
          <w:u w:val="single"/>
        </w:rPr>
        <w:t>venture capital financing</w:t>
      </w:r>
      <w:r w:rsidRPr="00E40A5D">
        <w:rPr>
          <w:u w:val="single"/>
        </w:rPr>
        <w:t xml:space="preserve"> also has </w:t>
      </w:r>
      <w:r w:rsidRPr="00EE663A">
        <w:rPr>
          <w:b/>
          <w:bCs/>
          <w:u w:val="single"/>
        </w:rPr>
        <w:t>real limitations</w:t>
      </w:r>
      <w:r w:rsidRPr="00E40A5D">
        <w:rPr>
          <w:u w:val="single"/>
        </w:rPr>
        <w:t xml:space="preserve"> in its ability to advance substantial </w:t>
      </w:r>
      <w:r w:rsidRPr="00EE663A">
        <w:rPr>
          <w:b/>
          <w:bCs/>
          <w:u w:val="single"/>
        </w:rPr>
        <w:t>technological change.</w:t>
      </w:r>
      <w:r w:rsidRPr="00EE663A">
        <w:rPr>
          <w:sz w:val="16"/>
        </w:rPr>
        <w:t xml:space="preserve"> While our ability to assess the social welfare impact of venture capital remains nascent, we hope that this discussion will stimulate discussion and research about these questions.</w:t>
      </w:r>
    </w:p>
    <w:p w14:paraId="1A4EB9EB" w14:textId="77777777" w:rsidR="003663A9" w:rsidRPr="00EE663A" w:rsidRDefault="003663A9" w:rsidP="003663A9">
      <w:pPr>
        <w:rPr>
          <w:b/>
          <w:bCs/>
          <w:u w:val="single"/>
        </w:rPr>
      </w:pPr>
      <w:r w:rsidRPr="00E40A5D">
        <w:rPr>
          <w:u w:val="single"/>
        </w:rPr>
        <w:t>Three issues</w:t>
      </w:r>
      <w:r w:rsidRPr="00EE663A">
        <w:rPr>
          <w:sz w:val="16"/>
        </w:rPr>
        <w:t xml:space="preserve"> are particularly </w:t>
      </w:r>
      <w:r w:rsidRPr="00E40A5D">
        <w:rPr>
          <w:u w:val="single"/>
        </w:rPr>
        <w:t xml:space="preserve">concerning </w:t>
      </w:r>
      <w:r w:rsidRPr="00EE663A">
        <w:rPr>
          <w:sz w:val="16"/>
        </w:rPr>
        <w:t xml:space="preserve">to us: 1) the very </w:t>
      </w:r>
      <w:r w:rsidRPr="00E40A5D">
        <w:rPr>
          <w:u w:val="single"/>
        </w:rPr>
        <w:t>narrow band of technological innovations that fit the requirements of institutional venture capital investors</w:t>
      </w:r>
      <w:r w:rsidRPr="00EE663A">
        <w:rPr>
          <w:sz w:val="16"/>
        </w:rPr>
        <w:t xml:space="preserve">; 2) the </w:t>
      </w:r>
      <w:r w:rsidRPr="00E40A5D">
        <w:rPr>
          <w:u w:val="single"/>
        </w:rPr>
        <w:t>relatively small number of venture capital investors who hold and shape the direction of a substantial fraction of capital that is deployed into financing radical technological change</w:t>
      </w:r>
      <w:r w:rsidRPr="00EE663A">
        <w:rPr>
          <w:sz w:val="16"/>
        </w:rPr>
        <w:t xml:space="preserve">; and 3) the </w:t>
      </w:r>
      <w:r w:rsidRPr="00E40A5D">
        <w:rPr>
          <w:u w:val="single"/>
        </w:rPr>
        <w:t>relaxation in recent years of the intense emphasis on corporate governance by venture capital firms</w:t>
      </w:r>
      <w:r w:rsidRPr="00EE663A">
        <w:rPr>
          <w:sz w:val="16"/>
        </w:rPr>
        <w:t xml:space="preserve">. We believe these phenomena, rather than being short-run anomalies associated with the ebullient equities market from the decade or so up through early 2020, may have </w:t>
      </w:r>
      <w:r w:rsidRPr="00EE663A">
        <w:rPr>
          <w:b/>
          <w:bCs/>
          <w:u w:val="single"/>
        </w:rPr>
        <w:t>ongoing and detrimental effects on the rate and direction of innovation in the broader economy.</w:t>
      </w:r>
    </w:p>
    <w:p w14:paraId="593F26F7" w14:textId="77777777" w:rsidR="003663A9" w:rsidRDefault="003663A9" w:rsidP="003663A9"/>
    <w:p w14:paraId="66C6AD37" w14:textId="77777777" w:rsidR="003663A9" w:rsidRPr="00902E38" w:rsidRDefault="003663A9" w:rsidP="003663A9">
      <w:pPr>
        <w:pStyle w:val="Heading4"/>
      </w:pPr>
      <w:r w:rsidRPr="00902E38">
        <w:t xml:space="preserve">Venture capital firms limits on innovation – patent investment and short time horizons means won’t invest in the patents of the aff </w:t>
      </w:r>
    </w:p>
    <w:p w14:paraId="6EF00EDD" w14:textId="77777777" w:rsidR="003663A9" w:rsidRPr="00902E38" w:rsidRDefault="003663A9" w:rsidP="003663A9">
      <w:pPr>
        <w:rPr>
          <w:rStyle w:val="Style13ptBold"/>
        </w:rPr>
      </w:pPr>
      <w:r w:rsidRPr="00902E38">
        <w:rPr>
          <w:rStyle w:val="Style13ptBold"/>
        </w:rPr>
        <w:t>Lerner, Jacob H. Schiff Professor at Harvard Business School, and Nanda, Sarofim-Rock Professor at Harvard Business School, 20</w:t>
      </w:r>
    </w:p>
    <w:p w14:paraId="0A77261B" w14:textId="77777777" w:rsidR="003663A9" w:rsidRPr="00902E38" w:rsidRDefault="003663A9" w:rsidP="003663A9">
      <w:pPr>
        <w:rPr>
          <w:rStyle w:val="Style13ptBold"/>
          <w:b w:val="0"/>
          <w:bCs w:val="0"/>
          <w:sz w:val="22"/>
        </w:rPr>
      </w:pPr>
      <w:r w:rsidRPr="00902E38">
        <w:rPr>
          <w:rStyle w:val="Style13ptBold"/>
          <w:b w:val="0"/>
          <w:bCs w:val="0"/>
          <w:sz w:val="22"/>
        </w:rPr>
        <w:t>[Josh, Ramana, 2020, “Venture Capital’s Role in Financing Innovation: What We Know and How Much We Still Need to Learn,” Journal of Economic Perspectives Jstor, p.244, vol.34, No.3, acc. 7-19-24, GDI-LI]</w:t>
      </w:r>
    </w:p>
    <w:p w14:paraId="17FD89FE" w14:textId="77777777" w:rsidR="003663A9" w:rsidRDefault="003663A9" w:rsidP="003663A9">
      <w:pPr>
        <w:rPr>
          <w:sz w:val="16"/>
        </w:rPr>
      </w:pPr>
      <w:r w:rsidRPr="00247D96">
        <w:rPr>
          <w:sz w:val="16"/>
        </w:rPr>
        <w:t xml:space="preserve">The </w:t>
      </w:r>
      <w:r w:rsidRPr="002A153D">
        <w:rPr>
          <w:u w:val="single"/>
        </w:rPr>
        <w:t xml:space="preserve">growth of the venture capital market in the past decade should not blind us to its </w:t>
      </w:r>
      <w:r w:rsidRPr="00870F9F">
        <w:rPr>
          <w:b/>
          <w:bCs/>
          <w:u w:val="single"/>
        </w:rPr>
        <w:t>limitations as an engine of innovation.</w:t>
      </w:r>
      <w:r w:rsidRPr="00247D96">
        <w:rPr>
          <w:sz w:val="16"/>
        </w:rPr>
        <w:t xml:space="preserve"> Indeed, the changes delineated in the previous section will likely exacerbate these challenges. We lay out three </w:t>
      </w:r>
      <w:r w:rsidRPr="00247D96">
        <w:rPr>
          <w:u w:val="single"/>
        </w:rPr>
        <w:t xml:space="preserve">distinct areas of </w:t>
      </w:r>
      <w:r w:rsidRPr="00870F9F">
        <w:rPr>
          <w:b/>
          <w:bCs/>
          <w:u w:val="single"/>
        </w:rPr>
        <w:t>concern about venture capital and its ability to successfully spur innovations</w:t>
      </w:r>
      <w:r w:rsidRPr="00247D96">
        <w:rPr>
          <w:sz w:val="16"/>
        </w:rPr>
        <w:t>. While the discussion must be inherently more speculative, given the relatively [[TABLE OMMITTED]] limited work done in this area, we suggest that these questions would benefit from scholarly attention in the years to come.</w:t>
      </w:r>
    </w:p>
    <w:p w14:paraId="74A380E1" w14:textId="77777777" w:rsidR="003663A9" w:rsidRPr="004D1605" w:rsidRDefault="003663A9" w:rsidP="003663A9">
      <w:pPr>
        <w:rPr>
          <w:u w:val="single"/>
        </w:rPr>
      </w:pPr>
      <w:r w:rsidRPr="00247D96">
        <w:rPr>
          <w:u w:val="single"/>
        </w:rPr>
        <w:t>Despite the substantial growth of venture capital</w:t>
      </w:r>
      <w:r w:rsidRPr="004D1605">
        <w:rPr>
          <w:sz w:val="16"/>
        </w:rPr>
        <w:t xml:space="preserve"> in the four decades since the revision of the “prudent man” rule for pension fund investment in 1979, </w:t>
      </w:r>
      <w:r w:rsidRPr="004C0136">
        <w:rPr>
          <w:b/>
          <w:bCs/>
          <w:u w:val="single"/>
        </w:rPr>
        <w:t>venture capital touches only a tiny share of firms in the American economy</w:t>
      </w:r>
      <w:r w:rsidRPr="004C0136">
        <w:rPr>
          <w:b/>
          <w:bCs/>
          <w:sz w:val="16"/>
        </w:rPr>
        <w:t>.</w:t>
      </w:r>
      <w:r w:rsidRPr="004D1605">
        <w:rPr>
          <w:sz w:val="16"/>
        </w:rPr>
        <w:t xml:space="preserve"> The </w:t>
      </w:r>
      <w:r w:rsidRPr="00804120">
        <w:rPr>
          <w:u w:val="single"/>
        </w:rPr>
        <w:t>estimated $450 billion currently under management by US venture capital firms</w:t>
      </w:r>
      <w:r w:rsidRPr="004D1605">
        <w:rPr>
          <w:sz w:val="16"/>
        </w:rPr>
        <w:t xml:space="preserve"> (NVCA 2020</w:t>
      </w:r>
      <w:r w:rsidRPr="00804120">
        <w:rPr>
          <w:u w:val="single"/>
        </w:rPr>
        <w:t>) remains small in comparison to the several trillion dollars managed by the broader asset class of all US private equity</w:t>
      </w:r>
      <w:r w:rsidRPr="004D1605">
        <w:rPr>
          <w:sz w:val="16"/>
        </w:rPr>
        <w:t xml:space="preserve">, </w:t>
      </w:r>
      <w:r w:rsidRPr="00804120">
        <w:rPr>
          <w:u w:val="single"/>
        </w:rPr>
        <w:t>not to mention the total of</w:t>
      </w:r>
      <w:r w:rsidRPr="004D1605">
        <w:rPr>
          <w:sz w:val="16"/>
        </w:rPr>
        <w:t xml:space="preserve"> </w:t>
      </w:r>
      <w:r w:rsidRPr="00804120">
        <w:rPr>
          <w:u w:val="single"/>
        </w:rPr>
        <w:t>all US public equities, estimated at $42.9 trillion</w:t>
      </w:r>
      <w:r w:rsidRPr="004D1605">
        <w:rPr>
          <w:sz w:val="16"/>
        </w:rPr>
        <w:t xml:space="preserve"> at the end of 2018 (SIFMA 2019). </w:t>
      </w:r>
      <w:r w:rsidRPr="004D1605">
        <w:rPr>
          <w:u w:val="single"/>
        </w:rPr>
        <w:t xml:space="preserve">Only a few thousand new firms each year raise institutional venture capital for the first time, as compared to over 600,000 annual business starts in the United States. </w:t>
      </w:r>
      <w:r w:rsidRPr="004D1605">
        <w:rPr>
          <w:sz w:val="16"/>
        </w:rPr>
        <w:t xml:space="preserve">Even among high-potential firms engaged in innovation, Farre-Mensa, Hegde, and Ljungqvist (2020) found that </w:t>
      </w:r>
      <w:r w:rsidRPr="004C0136">
        <w:rPr>
          <w:b/>
          <w:bCs/>
          <w:u w:val="single"/>
        </w:rPr>
        <w:t>only 7 percent of firms that filed for a patent went on to raise institutional venture capital</w:t>
      </w:r>
      <w:r w:rsidRPr="004D1605">
        <w:rPr>
          <w:u w:val="single"/>
        </w:rPr>
        <w:t>.</w:t>
      </w:r>
      <w:r w:rsidRPr="004D1605">
        <w:rPr>
          <w:sz w:val="16"/>
        </w:rPr>
        <w:t xml:space="preserve"> These </w:t>
      </w:r>
      <w:r w:rsidRPr="004D1605">
        <w:rPr>
          <w:u w:val="single"/>
        </w:rPr>
        <w:t>disparities are likely even more extreme in other nations, where the venture industry is less mature.</w:t>
      </w:r>
    </w:p>
    <w:p w14:paraId="3F942D00" w14:textId="77777777" w:rsidR="003663A9" w:rsidRDefault="003663A9" w:rsidP="003663A9">
      <w:r w:rsidRPr="00247D96">
        <w:t xml:space="preserve">One reason for this is structural. </w:t>
      </w:r>
      <w:r w:rsidRPr="004F199F">
        <w:rPr>
          <w:u w:val="single"/>
        </w:rPr>
        <w:t>Venture capital investors typically raise funds for a specific</w:t>
      </w:r>
      <w:r w:rsidRPr="00247D96">
        <w:t xml:space="preserve"> (usually a ten-year) </w:t>
      </w:r>
      <w:r w:rsidRPr="004F199F">
        <w:rPr>
          <w:u w:val="single"/>
        </w:rPr>
        <w:t>period.</w:t>
      </w:r>
      <w:r w:rsidRPr="00247D96">
        <w:t xml:space="preserve"> This time frame </w:t>
      </w:r>
      <w:r w:rsidRPr="004F199F">
        <w:rPr>
          <w:u w:val="single"/>
        </w:rPr>
        <w:t>implies that</w:t>
      </w:r>
      <w:r w:rsidRPr="00247D96">
        <w:t xml:space="preserve"> </w:t>
      </w:r>
      <w:r w:rsidRPr="003A120B">
        <w:rPr>
          <w:u w:val="single"/>
        </w:rPr>
        <w:t>venture capitalists are naturally drawn to investment opportunities where the ideas can be commercialized and their value realized through an “exit” within a reasonably short period.</w:t>
      </w:r>
      <w:r w:rsidRPr="00247D96">
        <w:t xml:space="preserve"> </w:t>
      </w:r>
      <w:r w:rsidRPr="00D64284">
        <w:rPr>
          <w:u w:val="single"/>
        </w:rPr>
        <w:t>Sudden market downturns</w:t>
      </w:r>
      <w:r w:rsidRPr="00247D96">
        <w:t xml:space="preserve">, as occurred in 2000, 2008, and 2020, </w:t>
      </w:r>
      <w:r w:rsidRPr="00D64284">
        <w:rPr>
          <w:u w:val="single"/>
        </w:rPr>
        <w:t>may disrupt plans to exit investments</w:t>
      </w:r>
      <w:r w:rsidRPr="00247D96">
        <w:t>, creating more pressure to sell when market conditions permit, even if earlier than optimal for the firm. These constraints imply that</w:t>
      </w:r>
      <w:r>
        <w:t xml:space="preserve"> </w:t>
      </w:r>
      <w:r w:rsidRPr="00D64284">
        <w:rPr>
          <w:u w:val="single"/>
        </w:rPr>
        <w:t>venture capital investors often exit their investments well before growth opportunities are fully realized.</w:t>
      </w:r>
      <w:r w:rsidRPr="00247D96">
        <w:t xml:space="preserve"> </w:t>
      </w:r>
      <w:r w:rsidRPr="00026BA1">
        <w:rPr>
          <w:rStyle w:val="Emphasis"/>
        </w:rPr>
        <w:t>As a result, they are often drawn to sectors with large uncertainty about an idea’s potential that can nevertheless be resolved quickly</w:t>
      </w:r>
      <w:r w:rsidRPr="00247D96">
        <w:t>.</w:t>
      </w:r>
      <w:r>
        <w:t xml:space="preserve"> </w:t>
      </w:r>
      <w:r w:rsidRPr="00247D96">
        <w:t>What leads to variation in the degree to which uncertainty about the prospects</w:t>
      </w:r>
      <w:r>
        <w:t xml:space="preserve"> </w:t>
      </w:r>
      <w:r w:rsidRPr="00247D96">
        <w:t>of a young firm can be reduced quickly? An important element appears to be the</w:t>
      </w:r>
      <w:r>
        <w:t xml:space="preserve"> nature of uncertainty about demand for the new product or service. Put another way, can uncertainty about the viability of the offering and the market demand be resolved quickly? Software and service businesses—which are typically based on proven technologies, often have short development times and can benefit from quick market feedback—are amenable to this approach. Also, as noted above, technological changes over the past two decades have made it quicker and cheaper to learn about demand for a new software business. </w:t>
      </w:r>
      <w:r w:rsidRPr="00026BA1">
        <w:rPr>
          <w:rStyle w:val="Emphasis"/>
        </w:rPr>
        <w:t>By way of contrast, many other sectors like clean energy, new materials, and others are less amenable to such rapid learning</w:t>
      </w:r>
      <w:r>
        <w:t>. The widespread interest among venture capital investors in the few exceptions, such as biotechnology startups, is tied to the drug approval and reimbursement system that enables investors to project the market value of a new drug accurately if it is successful in passing through clinical trials (Janeway 2018).</w:t>
      </w:r>
    </w:p>
    <w:p w14:paraId="328F3D2E" w14:textId="77777777" w:rsidR="003663A9" w:rsidRPr="008304B2" w:rsidRDefault="003663A9" w:rsidP="003663A9"/>
    <w:p w14:paraId="3C2AE1EE" w14:textId="77777777" w:rsidR="003663A9" w:rsidRPr="00F27617" w:rsidRDefault="003663A9" w:rsidP="003663A9"/>
    <w:p w14:paraId="542A4798" w14:textId="77777777" w:rsidR="003663A9" w:rsidRDefault="003663A9" w:rsidP="003663A9">
      <w:pPr>
        <w:pStyle w:val="Heading1"/>
      </w:pPr>
      <w:r>
        <w:t>AT: Green Tech</w:t>
      </w:r>
    </w:p>
    <w:p w14:paraId="75096DC7" w14:textId="77777777" w:rsidR="003663A9" w:rsidRDefault="003663A9" w:rsidP="003663A9"/>
    <w:p w14:paraId="05C56A27" w14:textId="77777777" w:rsidR="003663A9" w:rsidRDefault="003663A9" w:rsidP="003663A9">
      <w:pPr>
        <w:pStyle w:val="Heading3"/>
      </w:pPr>
      <w:r>
        <w:t>SQ Solves</w:t>
      </w:r>
    </w:p>
    <w:p w14:paraId="0185FB37" w14:textId="77777777" w:rsidR="003663A9" w:rsidRDefault="003663A9" w:rsidP="003663A9"/>
    <w:p w14:paraId="0C03246E" w14:textId="77777777" w:rsidR="003663A9" w:rsidRDefault="003663A9" w:rsidP="003663A9">
      <w:pPr>
        <w:pStyle w:val="Heading4"/>
      </w:pPr>
      <w:r>
        <w:t xml:space="preserve">Green tech development now </w:t>
      </w:r>
    </w:p>
    <w:p w14:paraId="6F995352" w14:textId="77777777" w:rsidR="003663A9" w:rsidRPr="00053F98" w:rsidRDefault="003663A9" w:rsidP="003663A9">
      <w:pPr>
        <w:pBdr>
          <w:top w:val="nil"/>
          <w:left w:val="nil"/>
          <w:bottom w:val="nil"/>
          <w:right w:val="nil"/>
          <w:between w:val="nil"/>
        </w:pBdr>
        <w:rPr>
          <w:color w:val="000000"/>
          <w:sz w:val="26"/>
          <w:szCs w:val="26"/>
        </w:rPr>
      </w:pPr>
      <w:r w:rsidRPr="00053F98">
        <w:rPr>
          <w:rFonts w:eastAsia="Calibri"/>
          <w:b/>
          <w:bCs/>
          <w:color w:val="000000"/>
          <w:sz w:val="26"/>
          <w:szCs w:val="26"/>
        </w:rPr>
        <w:t>Institute of Sustainability Studies</w:t>
      </w:r>
      <w:r w:rsidRPr="00053F98">
        <w:rPr>
          <w:rFonts w:eastAsia="Calibri"/>
          <w:b/>
          <w:color w:val="000000"/>
          <w:sz w:val="26"/>
          <w:szCs w:val="26"/>
        </w:rPr>
        <w:t xml:space="preserve"> 24</w:t>
      </w:r>
    </w:p>
    <w:p w14:paraId="681E6171" w14:textId="77777777" w:rsidR="003663A9" w:rsidRDefault="003663A9" w:rsidP="003663A9">
      <w:pPr>
        <w:rPr>
          <w:rFonts w:eastAsia="Calibri"/>
          <w:color w:val="000000"/>
        </w:rPr>
      </w:pPr>
      <w:r>
        <w:rPr>
          <w:rFonts w:eastAsia="Calibri"/>
          <w:color w:val="000000"/>
        </w:rPr>
        <w:t>[Institute of Sustainability Studies, Lexicon: “Exploring green technologies: Innovations, opportunities, and real-world challenges,” 01-29-24, https://instituteofsustainabilitystudies.com/insights/lexicon/green-technologies-innovations-opportunities-challenges/, 7-18-24, GDI – Tom Huynh]</w:t>
      </w:r>
    </w:p>
    <w:p w14:paraId="708D1CD1" w14:textId="77777777" w:rsidR="003663A9" w:rsidRDefault="003663A9" w:rsidP="003663A9">
      <w:pPr>
        <w:rPr>
          <w:rFonts w:eastAsia="Calibri"/>
          <w:color w:val="000000"/>
          <w:u w:val="single"/>
        </w:rPr>
      </w:pPr>
      <w:r>
        <w:rPr>
          <w:rFonts w:eastAsia="Calibri"/>
          <w:color w:val="000000"/>
          <w:u w:val="single"/>
        </w:rPr>
        <w:t>In 2024, the green technology landscape will be marked by several groundbreaking innovations</w:t>
      </w:r>
      <w:r w:rsidRPr="00053F98">
        <w:rPr>
          <w:rFonts w:eastAsia="Calibri"/>
          <w:color w:val="000000"/>
          <w:sz w:val="16"/>
        </w:rPr>
        <w:t xml:space="preserve">. One significant development is in the realm of </w:t>
      </w:r>
      <w:r w:rsidRPr="002B14B0">
        <w:rPr>
          <w:rStyle w:val="Emphasis"/>
        </w:rPr>
        <w:t>solar energy</w:t>
      </w:r>
      <w:r w:rsidRPr="00053F98">
        <w:rPr>
          <w:rFonts w:eastAsia="Calibri"/>
          <w:color w:val="000000"/>
          <w:sz w:val="16"/>
        </w:rPr>
        <w:t>, where advances have led to more efficient and affordable solar panels, making renewable energy from solar energy accessible to a broader audience. Another area of notable progress is in electric vehicle (</w:t>
      </w:r>
      <w:r w:rsidRPr="002B14B0">
        <w:rPr>
          <w:rStyle w:val="Emphasis"/>
        </w:rPr>
        <w:t>EV</w:t>
      </w:r>
      <w:r w:rsidRPr="00053F98">
        <w:rPr>
          <w:rFonts w:eastAsia="Calibri"/>
          <w:color w:val="000000"/>
          <w:sz w:val="16"/>
        </w:rPr>
        <w:t xml:space="preserve">) technology. </w:t>
      </w:r>
      <w:r w:rsidRPr="00053F98">
        <w:rPr>
          <w:sz w:val="16"/>
        </w:rPr>
        <w:t xml:space="preserve">EVs are becoming more mainstream, thanks to improvements in battery life and charging infrastructure. </w:t>
      </w:r>
      <w:r>
        <w:rPr>
          <w:rFonts w:eastAsia="Calibri"/>
          <w:color w:val="000000"/>
          <w:u w:val="single"/>
        </w:rPr>
        <w:t xml:space="preserve">Waste management technologies are also transforming. Innovations in recycling and waste-to-energy processes are enabling more sustainable management of resources. These technologies have the potential to reduce landfill waste and greenhouse gas emissions. </w:t>
      </w:r>
      <w:r w:rsidRPr="00053F98">
        <w:rPr>
          <w:rFonts w:eastAsia="Calibri"/>
          <w:color w:val="000000"/>
          <w:sz w:val="16"/>
        </w:rPr>
        <w:t xml:space="preserve">Moreover, </w:t>
      </w:r>
      <w:r w:rsidRPr="002B14B0">
        <w:rPr>
          <w:rStyle w:val="Emphasis"/>
        </w:rPr>
        <w:t>green architecture is gaining momentum</w:t>
      </w:r>
      <w:r w:rsidRPr="00053F98">
        <w:rPr>
          <w:rFonts w:eastAsia="Calibri"/>
          <w:color w:val="000000"/>
          <w:sz w:val="16"/>
        </w:rPr>
        <w:t xml:space="preserve">, with sustainable buildings designed for energy efficiency and minimal environmental impact. </w:t>
      </w:r>
      <w:r>
        <w:rPr>
          <w:rFonts w:eastAsia="Calibri"/>
          <w:color w:val="000000"/>
          <w:u w:val="single"/>
        </w:rPr>
        <w:t>These structures utilise sustainable materials</w:t>
      </w:r>
      <w:r w:rsidRPr="00053F98">
        <w:rPr>
          <w:rFonts w:eastAsia="Calibri"/>
          <w:color w:val="000000"/>
          <w:sz w:val="16"/>
        </w:rPr>
        <w:t xml:space="preserve"> and </w:t>
      </w:r>
      <w:r w:rsidRPr="002B14B0">
        <w:rPr>
          <w:rStyle w:val="Emphasis"/>
        </w:rPr>
        <w:t>incorporate features like green roofs and energy-efficient lighting</w:t>
      </w:r>
      <w:r w:rsidRPr="00053F98">
        <w:rPr>
          <w:rFonts w:eastAsia="Calibri"/>
          <w:color w:val="000000"/>
          <w:sz w:val="16"/>
        </w:rPr>
        <w:t xml:space="preserve">, </w:t>
      </w:r>
      <w:r w:rsidRPr="002B14B0">
        <w:rPr>
          <w:rStyle w:val="Emphasis"/>
        </w:rPr>
        <w:t xml:space="preserve">contributing significantly to urban sustainability </w:t>
      </w:r>
      <w:r w:rsidRPr="00053F98">
        <w:rPr>
          <w:rFonts w:eastAsia="Calibri"/>
          <w:color w:val="000000"/>
          <w:sz w:val="16"/>
        </w:rPr>
        <w:t xml:space="preserve">and lowering temperatures in adjacent areas. In the agricultural sector, </w:t>
      </w:r>
      <w:r>
        <w:rPr>
          <w:rFonts w:eastAsia="Calibri"/>
          <w:color w:val="000000"/>
          <w:u w:val="single"/>
        </w:rPr>
        <w:t>sustainable farming technologies are evolving</w:t>
      </w:r>
      <w:r w:rsidRPr="00053F98">
        <w:rPr>
          <w:rFonts w:eastAsia="Calibri"/>
          <w:color w:val="000000"/>
          <w:sz w:val="16"/>
        </w:rPr>
        <w:t xml:space="preserve">. Techniques like precision farming, </w:t>
      </w:r>
      <w:r>
        <w:rPr>
          <w:rFonts w:eastAsia="Calibri"/>
          <w:color w:val="000000"/>
          <w:u w:val="single"/>
        </w:rPr>
        <w:t>which uses Artificial Intelligence (AI)</w:t>
      </w:r>
      <w:r w:rsidRPr="00053F98">
        <w:rPr>
          <w:rFonts w:eastAsia="Calibri"/>
          <w:color w:val="000000"/>
          <w:sz w:val="16"/>
        </w:rPr>
        <w:t xml:space="preserve"> and the Internet of Things (IoT) for efficient resource usage, </w:t>
      </w:r>
      <w:r>
        <w:rPr>
          <w:rFonts w:eastAsia="Calibri"/>
          <w:color w:val="000000"/>
          <w:u w:val="single"/>
        </w:rPr>
        <w:t>are revolutionising food production</w:t>
      </w:r>
      <w:r w:rsidRPr="00053F98">
        <w:rPr>
          <w:rFonts w:eastAsia="Calibri"/>
          <w:color w:val="000000"/>
          <w:sz w:val="16"/>
        </w:rPr>
        <w:t xml:space="preserve">, making it more sustainable and less harmful to the environment. </w:t>
      </w:r>
      <w:r>
        <w:rPr>
          <w:rFonts w:eastAsia="Calibri"/>
          <w:color w:val="000000"/>
          <w:u w:val="single"/>
        </w:rPr>
        <w:t>These examples illustrate the dynamic and impactful nature of green technologies. They are not just transforming industries but are also paving the way for a more sustainable and eco-friendly future. The continued evolution and adoption of these technologies will be crucial in addressing the global environmental challenges of our time.</w:t>
      </w:r>
    </w:p>
    <w:p w14:paraId="709765EC" w14:textId="77777777" w:rsidR="003663A9" w:rsidRDefault="003663A9" w:rsidP="003663A9"/>
    <w:p w14:paraId="7B2E136E" w14:textId="77777777" w:rsidR="003663A9" w:rsidRDefault="003663A9" w:rsidP="003663A9">
      <w:pPr>
        <w:pStyle w:val="Heading3"/>
      </w:pPr>
      <w:r>
        <w:t>IPR Bad for Climate</w:t>
      </w:r>
    </w:p>
    <w:p w14:paraId="31AC572D" w14:textId="77777777" w:rsidR="003663A9" w:rsidRDefault="003663A9" w:rsidP="003663A9"/>
    <w:p w14:paraId="3B9928B3" w14:textId="77777777" w:rsidR="003663A9" w:rsidRDefault="003663A9" w:rsidP="003663A9">
      <w:pPr>
        <w:pStyle w:val="Heading4"/>
      </w:pPr>
      <w:r>
        <w:t>Strengthening IPR puts the US in breach of international obligations, which collapses climate treaty implementation globally – IP is the bottleneck</w:t>
      </w:r>
    </w:p>
    <w:p w14:paraId="7DBB1C36" w14:textId="77777777" w:rsidR="003663A9" w:rsidRPr="004364EB" w:rsidRDefault="003663A9" w:rsidP="003663A9">
      <w:pPr>
        <w:rPr>
          <w:rStyle w:val="Style13ptBold"/>
          <w:b w:val="0"/>
          <w:bCs w:val="0"/>
        </w:rPr>
      </w:pPr>
      <w:r>
        <w:rPr>
          <w:rStyle w:val="Style13ptBold"/>
        </w:rPr>
        <w:t xml:space="preserve">Zhou 19 </w:t>
      </w:r>
      <w:r w:rsidRPr="00021899">
        <w:rPr>
          <w:rStyle w:val="Style13ptBold"/>
          <w:sz w:val="16"/>
          <w:szCs w:val="16"/>
        </w:rPr>
        <w:t>[Chen, Assist Prof in the Law School of Xiamen Univ, “Can intellectual property rights within climate technology transfer work for the UNFCCC and the Paris Agreement?” International Environmental Agreements: Politics, Law and Economics 19.1, p.108-10, JCR]</w:t>
      </w:r>
    </w:p>
    <w:p w14:paraId="0E3644DF" w14:textId="77777777" w:rsidR="003663A9" w:rsidRPr="00C24040" w:rsidRDefault="003663A9" w:rsidP="003663A9">
      <w:pPr>
        <w:rPr>
          <w:sz w:val="16"/>
        </w:rPr>
      </w:pPr>
      <w:r w:rsidRPr="00660659">
        <w:rPr>
          <w:sz w:val="16"/>
        </w:rPr>
        <w:t xml:space="preserve">Climate change is a well-researched issue both scientifically and in terms of legal scholarship. It is widely recognized that </w:t>
      </w:r>
      <w:r w:rsidRPr="00FC0EDD">
        <w:rPr>
          <w:rStyle w:val="Emphasis"/>
        </w:rPr>
        <w:t>technological solutions play an important role in climate mitigation and adaptation.</w:t>
      </w:r>
      <w:r w:rsidRPr="00660659">
        <w:rPr>
          <w:sz w:val="16"/>
        </w:rPr>
        <w:t xml:space="preserve"> Due to historical and practical reasons, </w:t>
      </w:r>
      <w:r w:rsidRPr="00FC0EDD">
        <w:rPr>
          <w:rStyle w:val="Emphasis"/>
        </w:rPr>
        <w:t>relevant technologies are distributing unevenly across the world.</w:t>
      </w:r>
      <w:r w:rsidRPr="00660659">
        <w:rPr>
          <w:sz w:val="16"/>
        </w:rPr>
        <w:t xml:space="preserve">1 </w:t>
      </w:r>
      <w:r w:rsidRPr="00080F74">
        <w:rPr>
          <w:rStyle w:val="Emphasis"/>
          <w:highlight w:val="cyan"/>
        </w:rPr>
        <w:t>To combat climate change, the wide and rapid diffusion of</w:t>
      </w:r>
      <w:r w:rsidRPr="00FC0EDD">
        <w:rPr>
          <w:rStyle w:val="Emphasis"/>
        </w:rPr>
        <w:t xml:space="preserve"> such </w:t>
      </w:r>
      <w:r w:rsidRPr="00080F74">
        <w:rPr>
          <w:rStyle w:val="Emphasis"/>
          <w:highlight w:val="cyan"/>
        </w:rPr>
        <w:t>tech</w:t>
      </w:r>
      <w:r w:rsidRPr="00FC0EDD">
        <w:rPr>
          <w:rStyle w:val="Emphasis"/>
        </w:rPr>
        <w:t xml:space="preserve">nologies </w:t>
      </w:r>
      <w:r w:rsidRPr="00080F74">
        <w:rPr>
          <w:rStyle w:val="Emphasis"/>
          <w:highlight w:val="cyan"/>
        </w:rPr>
        <w:t>is in the global</w:t>
      </w:r>
      <w:r w:rsidRPr="00FC0EDD">
        <w:rPr>
          <w:rStyle w:val="Emphasis"/>
        </w:rPr>
        <w:t xml:space="preserve"> self-</w:t>
      </w:r>
      <w:r w:rsidRPr="00080F74">
        <w:rPr>
          <w:rStyle w:val="Emphasis"/>
          <w:highlight w:val="cyan"/>
        </w:rPr>
        <w:t>interest</w:t>
      </w:r>
      <w:r w:rsidRPr="00660659">
        <w:rPr>
          <w:sz w:val="16"/>
        </w:rPr>
        <w:t xml:space="preserve"> (Watal 2010: 14). There is evidence that </w:t>
      </w:r>
      <w:r w:rsidRPr="00FC0EDD">
        <w:rPr>
          <w:rStyle w:val="Emphasis"/>
        </w:rPr>
        <w:t xml:space="preserve">technology </w:t>
      </w:r>
      <w:r w:rsidRPr="00080F74">
        <w:rPr>
          <w:rStyle w:val="Emphasis"/>
          <w:highlight w:val="cyan"/>
        </w:rPr>
        <w:t>transfers increase</w:t>
      </w:r>
      <w:r w:rsidRPr="00FC0EDD">
        <w:rPr>
          <w:rStyle w:val="Emphasis"/>
        </w:rPr>
        <w:t xml:space="preserve"> the </w:t>
      </w:r>
      <w:r w:rsidRPr="00080F74">
        <w:rPr>
          <w:rStyle w:val="Emphasis"/>
          <w:highlight w:val="cyan"/>
        </w:rPr>
        <w:t>incentives for participation in</w:t>
      </w:r>
      <w:r w:rsidRPr="00FC0EDD">
        <w:rPr>
          <w:rStyle w:val="Emphasis"/>
        </w:rPr>
        <w:t xml:space="preserve"> multinational environment </w:t>
      </w:r>
      <w:r w:rsidRPr="00080F74">
        <w:rPr>
          <w:rStyle w:val="Emphasis"/>
          <w:highlight w:val="cyan"/>
        </w:rPr>
        <w:t>agreements</w:t>
      </w:r>
      <w:r w:rsidRPr="00660659">
        <w:rPr>
          <w:sz w:val="16"/>
        </w:rPr>
        <w:t xml:space="preserve"> (MEAs) (Shephard 2007: 10548). In the context of climate change, </w:t>
      </w:r>
      <w:r w:rsidRPr="00902699">
        <w:rPr>
          <w:rStyle w:val="Emphasis"/>
        </w:rPr>
        <w:t>the</w:t>
      </w:r>
      <w:r w:rsidRPr="00660659">
        <w:rPr>
          <w:sz w:val="16"/>
        </w:rPr>
        <w:t xml:space="preserve"> United Nation Framework Convention on Climate Change (</w:t>
      </w:r>
      <w:r w:rsidRPr="00902699">
        <w:rPr>
          <w:rStyle w:val="Emphasis"/>
        </w:rPr>
        <w:t>UNFCCC</w:t>
      </w:r>
      <w:r w:rsidRPr="00660659">
        <w:rPr>
          <w:sz w:val="16"/>
        </w:rPr>
        <w:t xml:space="preserve"> 1992) </w:t>
      </w:r>
      <w:r w:rsidRPr="00902699">
        <w:rPr>
          <w:rStyle w:val="Emphasis"/>
        </w:rPr>
        <w:t>requires industrialized countries to facilitate technology transfers to developing countries to enable them to minimize their emissions</w:t>
      </w:r>
      <w:r w:rsidRPr="00660659">
        <w:rPr>
          <w:sz w:val="16"/>
        </w:rPr>
        <w:t xml:space="preserve"> of greenhouse gas emissions (GHGs). </w:t>
      </w:r>
      <w:r w:rsidRPr="00902699">
        <w:rPr>
          <w:rStyle w:val="Emphasis"/>
        </w:rPr>
        <w:t>The</w:t>
      </w:r>
      <w:r w:rsidRPr="00660659">
        <w:rPr>
          <w:sz w:val="16"/>
        </w:rPr>
        <w:t xml:space="preserve"> 2015 </w:t>
      </w:r>
      <w:r w:rsidRPr="00902699">
        <w:rPr>
          <w:rStyle w:val="Emphasis"/>
        </w:rPr>
        <w:t>Paris Agreement</w:t>
      </w:r>
      <w:r w:rsidRPr="00660659">
        <w:rPr>
          <w:sz w:val="16"/>
        </w:rPr>
        <w:t xml:space="preserve"> (Paris Agreement 2015) emphasizes this once more as it further </w:t>
      </w:r>
      <w:r w:rsidRPr="00902699">
        <w:rPr>
          <w:rStyle w:val="Emphasis"/>
        </w:rPr>
        <w:t>commits the Parties to strengthening cooperation on climate technology.</w:t>
      </w:r>
      <w:r w:rsidRPr="00660659">
        <w:rPr>
          <w:sz w:val="16"/>
        </w:rPr>
        <w:t xml:space="preserve"> However, </w:t>
      </w:r>
      <w:r w:rsidRPr="00080F74">
        <w:rPr>
          <w:rStyle w:val="Emphasis"/>
          <w:highlight w:val="cyan"/>
        </w:rPr>
        <w:t>in reality</w:t>
      </w:r>
      <w:r w:rsidRPr="00902699">
        <w:rPr>
          <w:rStyle w:val="Emphasis"/>
        </w:rPr>
        <w:t xml:space="preserve">, state-of-the-art </w:t>
      </w:r>
      <w:r w:rsidRPr="00080F74">
        <w:rPr>
          <w:rStyle w:val="Emphasis"/>
          <w:highlight w:val="cyan"/>
        </w:rPr>
        <w:t>climate</w:t>
      </w:r>
      <w:r w:rsidRPr="00902699">
        <w:rPr>
          <w:rStyle w:val="Emphasis"/>
        </w:rPr>
        <w:t xml:space="preserve"> </w:t>
      </w:r>
      <w:r w:rsidRPr="00660659">
        <w:rPr>
          <w:sz w:val="16"/>
        </w:rPr>
        <w:t xml:space="preserve">mitigation and </w:t>
      </w:r>
      <w:r w:rsidRPr="00902699">
        <w:rPr>
          <w:rStyle w:val="Emphasis"/>
        </w:rPr>
        <w:t xml:space="preserve">adaptation </w:t>
      </w:r>
      <w:r w:rsidRPr="00080F74">
        <w:rPr>
          <w:rStyle w:val="Emphasis"/>
          <w:highlight w:val="cyan"/>
        </w:rPr>
        <w:t>technologies are not being</w:t>
      </w:r>
      <w:r w:rsidRPr="00660659">
        <w:rPr>
          <w:sz w:val="16"/>
        </w:rPr>
        <w:t xml:space="preserve"> automatically </w:t>
      </w:r>
      <w:r w:rsidRPr="00080F74">
        <w:rPr>
          <w:rStyle w:val="Emphasis"/>
          <w:highlight w:val="cyan"/>
        </w:rPr>
        <w:t xml:space="preserve">transferred </w:t>
      </w:r>
      <w:r w:rsidRPr="00D20F49">
        <w:rPr>
          <w:rStyle w:val="Emphasis"/>
        </w:rPr>
        <w:t xml:space="preserve">through business-as-usual practices where </w:t>
      </w:r>
      <w:r w:rsidRPr="00D20F49">
        <w:rPr>
          <w:sz w:val="16"/>
          <w:szCs w:val="16"/>
        </w:rPr>
        <w:t>traditional legal</w:t>
      </w:r>
      <w:r w:rsidRPr="00D20F49">
        <w:rPr>
          <w:rStyle w:val="Emphasis"/>
        </w:rPr>
        <w:t xml:space="preserve"> protection of</w:t>
      </w:r>
      <w:r w:rsidRPr="00660659">
        <w:rPr>
          <w:sz w:val="16"/>
        </w:rPr>
        <w:t xml:space="preserve"> intellectual property </w:t>
      </w:r>
      <w:r w:rsidRPr="00080F74">
        <w:rPr>
          <w:rStyle w:val="Emphasis"/>
          <w:highlight w:val="cyan"/>
        </w:rPr>
        <w:t>(IP)</w:t>
      </w:r>
      <w:r w:rsidRPr="00902699">
        <w:rPr>
          <w:rStyle w:val="Emphasis"/>
        </w:rPr>
        <w:t xml:space="preserve"> </w:t>
      </w:r>
      <w:r w:rsidRPr="00660659">
        <w:rPr>
          <w:sz w:val="16"/>
          <w:szCs w:val="16"/>
        </w:rPr>
        <w:t>operates under the Climate regime. In</w:t>
      </w:r>
      <w:r w:rsidRPr="00660659">
        <w:rPr>
          <w:sz w:val="16"/>
        </w:rPr>
        <w:t xml:space="preserve"> the light of the growing urgency of climate risks and damage and the emerging recognition of the potential violation of human rights, it is critical to examine what </w:t>
      </w:r>
      <w:r w:rsidRPr="00080F74">
        <w:rPr>
          <w:rStyle w:val="Emphasis"/>
          <w:highlight w:val="cyan"/>
        </w:rPr>
        <w:t>is the key bottleneck</w:t>
      </w:r>
      <w:r w:rsidRPr="00902699">
        <w:rPr>
          <w:rStyle w:val="Emphasis"/>
        </w:rPr>
        <w:t xml:space="preserve"> to technology transfer</w:t>
      </w:r>
      <w:r w:rsidRPr="00660659">
        <w:rPr>
          <w:sz w:val="16"/>
        </w:rPr>
        <w:t xml:space="preserve"> and how this can be addressed. Hence, this article explores how IP laws can be used by climate change policymakers in the post-Paris era to enhance technology transfer. To capture the entire picture, I use a statutory perspective to summarize and analyse the UNFCCC (see Sect. 2) and the WTO (see Sect. 3), the legal setting in which climate technology transfers operate, and explore possible solutions to situate IP in the context of climate change. </w:t>
      </w:r>
      <w:r w:rsidRPr="00902699">
        <w:rPr>
          <w:rStyle w:val="Emphasis"/>
        </w:rPr>
        <w:t xml:space="preserve">In the context of climate change, technology transfer is predominantly regulated by </w:t>
      </w:r>
      <w:r w:rsidRPr="00080F74">
        <w:rPr>
          <w:rStyle w:val="Emphasis"/>
          <w:highlight w:val="cyan"/>
        </w:rPr>
        <w:t>the UNFCCC</w:t>
      </w:r>
      <w:r w:rsidRPr="00902699">
        <w:rPr>
          <w:rStyle w:val="Emphasis"/>
        </w:rPr>
        <w:t>.</w:t>
      </w:r>
      <w:r w:rsidRPr="00660659">
        <w:rPr>
          <w:sz w:val="16"/>
        </w:rPr>
        <w:t xml:space="preserve"> Designed as a broad framework to comprehensively deal with the climate crisis, the UNFCCC has, since 1992, endeavoured to reduce GHG emissions through a range of solutions.2 As early as 1992, the UNFCCC shed light on technology as a solution by framing technology development and transfer as an essential international assistance tool. Two core articles were laid down to facilitate technology transfer: Article 4.5 and Article 4.7. Article 4.5 is cited as a classic clause and has been placed at the heart of the technology transfer commitment system.3 </w:t>
      </w:r>
      <w:r w:rsidRPr="00902699">
        <w:rPr>
          <w:rStyle w:val="Emphasis"/>
        </w:rPr>
        <w:t xml:space="preserve">It </w:t>
      </w:r>
      <w:r w:rsidRPr="00080F74">
        <w:rPr>
          <w:rStyle w:val="Emphasis"/>
          <w:highlight w:val="cyan"/>
        </w:rPr>
        <w:t>obliges the developed country Parties</w:t>
      </w:r>
      <w:r w:rsidRPr="00660659">
        <w:rPr>
          <w:sz w:val="16"/>
        </w:rPr>
        <w:t xml:space="preserve"> of the UNFCCC (Annex I countries) </w:t>
      </w:r>
      <w:r w:rsidRPr="00080F74">
        <w:rPr>
          <w:rStyle w:val="Emphasis"/>
          <w:highlight w:val="cyan"/>
        </w:rPr>
        <w:t>to commit to tech</w:t>
      </w:r>
      <w:r w:rsidRPr="00D20F49">
        <w:rPr>
          <w:rStyle w:val="Emphasis"/>
        </w:rPr>
        <w:t xml:space="preserve">nology </w:t>
      </w:r>
      <w:r w:rsidRPr="00080F74">
        <w:rPr>
          <w:rStyle w:val="Emphasis"/>
          <w:highlight w:val="cyan"/>
        </w:rPr>
        <w:t xml:space="preserve">transfer </w:t>
      </w:r>
      <w:r w:rsidRPr="00D20F49">
        <w:rPr>
          <w:rStyle w:val="Emphasis"/>
        </w:rPr>
        <w:t xml:space="preserve">in order </w:t>
      </w:r>
      <w:r w:rsidRPr="00080F74">
        <w:rPr>
          <w:rStyle w:val="Emphasis"/>
          <w:highlight w:val="cyan"/>
        </w:rPr>
        <w:t>to fulfill the principle of common but differentiated responsibilities</w:t>
      </w:r>
      <w:r w:rsidRPr="00902699">
        <w:rPr>
          <w:rStyle w:val="Emphasis"/>
        </w:rPr>
        <w:t xml:space="preserve"> and respective capabilities. </w:t>
      </w:r>
      <w:r w:rsidRPr="00080F74">
        <w:rPr>
          <w:rStyle w:val="Emphasis"/>
          <w:highlight w:val="cyan"/>
        </w:rPr>
        <w:t>This</w:t>
      </w:r>
      <w:r w:rsidRPr="00902699">
        <w:rPr>
          <w:rStyle w:val="Emphasis"/>
        </w:rPr>
        <w:t xml:space="preserve"> principle</w:t>
      </w:r>
      <w:r w:rsidRPr="00660659">
        <w:rPr>
          <w:sz w:val="16"/>
        </w:rPr>
        <w:t xml:space="preserve"> aimed at substantive equity, international solidarity and assistance. To further confirm this commitment, Article 4.7, known as the conditionality clause, </w:t>
      </w:r>
      <w:r w:rsidRPr="00080F74">
        <w:rPr>
          <w:rStyle w:val="Emphasis"/>
          <w:highlight w:val="cyan"/>
        </w:rPr>
        <w:t>made</w:t>
      </w:r>
      <w:r w:rsidRPr="00902699">
        <w:rPr>
          <w:rStyle w:val="Emphasis"/>
        </w:rPr>
        <w:t xml:space="preserve"> the fulfilment of the </w:t>
      </w:r>
      <w:r w:rsidRPr="00080F74">
        <w:rPr>
          <w:rStyle w:val="Emphasis"/>
          <w:highlight w:val="cyan"/>
        </w:rPr>
        <w:t>developing countries’ commitments conditional on actions taken by developed countries</w:t>
      </w:r>
      <w:r w:rsidRPr="00902699">
        <w:rPr>
          <w:rStyle w:val="Emphasis"/>
        </w:rPr>
        <w:t>.</w:t>
      </w:r>
      <w:r w:rsidRPr="00660659">
        <w:rPr>
          <w:sz w:val="16"/>
        </w:rPr>
        <w:t xml:space="preserve">4 Under this Article, the </w:t>
      </w:r>
      <w:r w:rsidRPr="00080F74">
        <w:rPr>
          <w:rStyle w:val="Emphasis"/>
          <w:highlight w:val="cyan"/>
        </w:rPr>
        <w:t xml:space="preserve">developing country Parties could suspend </w:t>
      </w:r>
      <w:r w:rsidRPr="00D20F49">
        <w:rPr>
          <w:rStyle w:val="Emphasis"/>
        </w:rPr>
        <w:t xml:space="preserve">the Convention’s </w:t>
      </w:r>
      <w:r w:rsidRPr="00080F74">
        <w:rPr>
          <w:rStyle w:val="Emphasis"/>
          <w:highlight w:val="cyan"/>
        </w:rPr>
        <w:t xml:space="preserve">implementation if the developed </w:t>
      </w:r>
      <w:r w:rsidRPr="008A5A82">
        <w:rPr>
          <w:rStyle w:val="Emphasis"/>
        </w:rPr>
        <w:t xml:space="preserve">country </w:t>
      </w:r>
      <w:r w:rsidRPr="00080F74">
        <w:rPr>
          <w:rStyle w:val="Emphasis"/>
          <w:highlight w:val="cyan"/>
        </w:rPr>
        <w:t>Parties did not provide tech</w:t>
      </w:r>
      <w:r w:rsidRPr="00902699">
        <w:rPr>
          <w:rStyle w:val="Emphasis"/>
        </w:rPr>
        <w:t>nology transfer and f</w:t>
      </w:r>
      <w:r>
        <w:rPr>
          <w:rStyle w:val="Emphasis"/>
        </w:rPr>
        <w:t>i</w:t>
      </w:r>
      <w:r w:rsidRPr="00902699">
        <w:rPr>
          <w:rStyle w:val="Emphasis"/>
        </w:rPr>
        <w:t>nancial assistance.</w:t>
      </w:r>
      <w:r w:rsidRPr="00660659">
        <w:rPr>
          <w:sz w:val="16"/>
        </w:rPr>
        <w:t xml:space="preserve"> Therefore, it can be said that </w:t>
      </w:r>
      <w:r w:rsidRPr="00080F74">
        <w:rPr>
          <w:rStyle w:val="Emphasis"/>
          <w:highlight w:val="cyan"/>
        </w:rPr>
        <w:t>the conditionality clause makes tech</w:t>
      </w:r>
      <w:r w:rsidRPr="00902699">
        <w:rPr>
          <w:rStyle w:val="Emphasis"/>
        </w:rPr>
        <w:t xml:space="preserve">nology </w:t>
      </w:r>
      <w:r w:rsidRPr="00080F74">
        <w:rPr>
          <w:rStyle w:val="Emphasis"/>
          <w:highlight w:val="cyan"/>
        </w:rPr>
        <w:t xml:space="preserve">transfer </w:t>
      </w:r>
      <w:r w:rsidRPr="008A5A82">
        <w:rPr>
          <w:rStyle w:val="Emphasis"/>
        </w:rPr>
        <w:t xml:space="preserve">absolutely </w:t>
      </w:r>
      <w:r w:rsidRPr="00080F74">
        <w:rPr>
          <w:rStyle w:val="Emphasis"/>
          <w:highlight w:val="cyan"/>
        </w:rPr>
        <w:t xml:space="preserve">indispensable for </w:t>
      </w:r>
      <w:r w:rsidRPr="00D20F49">
        <w:rPr>
          <w:rStyle w:val="Emphasis"/>
        </w:rPr>
        <w:t>the</w:t>
      </w:r>
      <w:r w:rsidRPr="00902699">
        <w:rPr>
          <w:rStyle w:val="Emphasis"/>
        </w:rPr>
        <w:t xml:space="preserve"> ef</w:t>
      </w:r>
      <w:r>
        <w:rPr>
          <w:rStyle w:val="Emphasis"/>
        </w:rPr>
        <w:t>f</w:t>
      </w:r>
      <w:r w:rsidRPr="00902699">
        <w:rPr>
          <w:rStyle w:val="Emphasis"/>
        </w:rPr>
        <w:t xml:space="preserve">ective </w:t>
      </w:r>
      <w:r w:rsidRPr="00080F74">
        <w:rPr>
          <w:rStyle w:val="Emphasis"/>
          <w:highlight w:val="cyan"/>
        </w:rPr>
        <w:t>implementation of climate</w:t>
      </w:r>
      <w:r w:rsidRPr="00902699">
        <w:rPr>
          <w:rStyle w:val="Emphasis"/>
        </w:rPr>
        <w:t xml:space="preserve"> change </w:t>
      </w:r>
      <w:r w:rsidRPr="00080F74">
        <w:rPr>
          <w:rStyle w:val="Emphasis"/>
          <w:highlight w:val="cyan"/>
        </w:rPr>
        <w:t>agreements. A violation of the provisions on tech</w:t>
      </w:r>
      <w:r w:rsidRPr="008A5A82">
        <w:rPr>
          <w:rStyle w:val="Emphasis"/>
        </w:rPr>
        <w:t xml:space="preserve">nology </w:t>
      </w:r>
      <w:r w:rsidRPr="00080F74">
        <w:rPr>
          <w:rStyle w:val="Emphasis"/>
          <w:highlight w:val="cyan"/>
        </w:rPr>
        <w:t>transfer might</w:t>
      </w:r>
      <w:r w:rsidRPr="00902699">
        <w:rPr>
          <w:rStyle w:val="Emphasis"/>
        </w:rPr>
        <w:t xml:space="preserve"> consequently </w:t>
      </w:r>
      <w:r w:rsidRPr="00080F74">
        <w:rPr>
          <w:rStyle w:val="Emphasis"/>
          <w:highlight w:val="cyan"/>
        </w:rPr>
        <w:t>constitute a material breach</w:t>
      </w:r>
      <w:r w:rsidRPr="008A5A82">
        <w:rPr>
          <w:rStyle w:val="Emphasis"/>
        </w:rPr>
        <w:t xml:space="preserve"> and would conflict with the purpose and objective of the Convention</w:t>
      </w:r>
      <w:r w:rsidRPr="00660659">
        <w:rPr>
          <w:sz w:val="16"/>
        </w:rPr>
        <w:t xml:space="preserve"> (Verhoosel 1998: 66).</w:t>
      </w:r>
      <w:r>
        <w:rPr>
          <w:sz w:val="16"/>
        </w:rPr>
        <w:t xml:space="preserve"> </w:t>
      </w:r>
    </w:p>
    <w:p w14:paraId="52FCDF39" w14:textId="77777777" w:rsidR="003663A9" w:rsidRDefault="003663A9" w:rsidP="003663A9"/>
    <w:p w14:paraId="4A0C8119" w14:textId="77777777" w:rsidR="003663A9" w:rsidRDefault="003663A9" w:rsidP="003663A9">
      <w:pPr>
        <w:pStyle w:val="Heading4"/>
      </w:pPr>
      <w:r>
        <w:t>IPR makes fast progress on green tech impossible – threat of infringement blocks research</w:t>
      </w:r>
    </w:p>
    <w:p w14:paraId="5CC16B6E" w14:textId="77777777" w:rsidR="003663A9" w:rsidRDefault="003663A9" w:rsidP="003663A9">
      <w:pPr>
        <w:rPr>
          <w:rStyle w:val="Style13ptBold"/>
          <w:b w:val="0"/>
          <w:bCs w:val="0"/>
        </w:rPr>
      </w:pPr>
      <w:r>
        <w:rPr>
          <w:rStyle w:val="Style13ptBold"/>
        </w:rPr>
        <w:t xml:space="preserve">Cayton 20 </w:t>
      </w:r>
      <w:r w:rsidRPr="00212A98">
        <w:rPr>
          <w:rStyle w:val="Style13ptBold"/>
        </w:rPr>
        <w:t xml:space="preserve">[Samuel, </w:t>
      </w:r>
      <w:r>
        <w:rPr>
          <w:rStyle w:val="Style13ptBold"/>
        </w:rPr>
        <w:t xml:space="preserve">Adjunct Prof at Seattle Univ School of Law, legal intern at the Media Law Group, </w:t>
      </w:r>
      <w:r w:rsidRPr="00212A98">
        <w:rPr>
          <w:rStyle w:val="Style13ptBold"/>
        </w:rPr>
        <w:t xml:space="preserve">“The ‘Green Patent Paradox’ and Fair Use: The Intellectual Property Solution to Fight Climate Change,” Seattle Journal of Technology, Environmental &amp; Innovation Law 11.1, </w:t>
      </w:r>
      <w:r>
        <w:rPr>
          <w:rStyle w:val="Style13ptBold"/>
        </w:rPr>
        <w:t xml:space="preserve">p.227-8, </w:t>
      </w:r>
      <w:r w:rsidRPr="00212A98">
        <w:rPr>
          <w:rStyle w:val="Style13ptBold"/>
        </w:rPr>
        <w:t>JCR]</w:t>
      </w:r>
    </w:p>
    <w:p w14:paraId="03434284" w14:textId="77777777" w:rsidR="003663A9" w:rsidRPr="00D544A9" w:rsidRDefault="003663A9" w:rsidP="003663A9">
      <w:pPr>
        <w:rPr>
          <w:sz w:val="16"/>
        </w:rPr>
      </w:pPr>
      <w:r w:rsidRPr="00D544A9">
        <w:rPr>
          <w:rStyle w:val="Emphasis"/>
        </w:rPr>
        <w:t>Some</w:t>
      </w:r>
      <w:r w:rsidRPr="00D544A9">
        <w:rPr>
          <w:sz w:val="16"/>
        </w:rPr>
        <w:t xml:space="preserve"> proposals </w:t>
      </w:r>
      <w:r w:rsidRPr="00D544A9">
        <w:rPr>
          <w:rStyle w:val="Emphasis"/>
        </w:rPr>
        <w:t>have called for the U.S. to gear its patent system toward promoting environmental protection.</w:t>
      </w:r>
      <w:r w:rsidRPr="00D544A9">
        <w:rPr>
          <w:sz w:val="16"/>
        </w:rPr>
        <w:t xml:space="preserve"> One proposal creates a specific department for green patents that aims to fix certain shortcomings within the USPTO.109 As demonstrated in KRS International Co. v. Teleflex, Inc., the non-obvious requirement is strict and may inhibit innovation.110 Though the USPTO already covers patents for green technology, a specialized department could relax the non-obvious requirement for green patents, shorten the period of exclusivity, include a review from the EPA, and reconsider the requirement for novelty.111 The categories of patents within this sector may include increasing energy efficiency, replacing fossil fuels, capturing CO2, and other solutions.112 However, </w:t>
      </w:r>
      <w:r w:rsidRPr="00D544A9">
        <w:rPr>
          <w:rStyle w:val="Emphasis"/>
        </w:rPr>
        <w:t>because such solutions would only impose slight modifications to current patent law, they would only promote incremental changes at best.</w:t>
      </w:r>
      <w:r w:rsidRPr="00D544A9">
        <w:rPr>
          <w:sz w:val="16"/>
        </w:rPr>
        <w:t xml:space="preserve">113 Obtaining a patent is a lengthy process and the need to issue patents quickly is critical. In December 2009, the USPTO created a fast-tracking system for green technology patents called the “Green Technology Pilot Program.”114 With this program, an applicant was able to have their patent receive special examination if it pertained to an area of environmental protection such as GHG reduction.115 Rather than loosening doctrinal requirements for the patent, this proposed program addresses the urgency to get green patents issued. However, at the end of 2011, the USPTO announced that the program would be eliminated over the next few months.116 Today, the USPTO’s website directs applicants to other fast-tracking programs, although not specifically geared toward green technology.117 While </w:t>
      </w:r>
      <w:r w:rsidRPr="00D544A9">
        <w:rPr>
          <w:rStyle w:val="Emphasis"/>
        </w:rPr>
        <w:t xml:space="preserve">loosening patent requirements, shortening the length of exclusivity, and speeding up </w:t>
      </w:r>
      <w:r w:rsidRPr="00B3313F">
        <w:rPr>
          <w:rStyle w:val="Emphasis"/>
        </w:rPr>
        <w:t>the application process are important steps</w:t>
      </w:r>
      <w:r w:rsidRPr="00D544A9">
        <w:rPr>
          <w:sz w:val="16"/>
        </w:rPr>
        <w:t xml:space="preserve">, these adjustments </w:t>
      </w:r>
      <w:r w:rsidRPr="00D544A9">
        <w:rPr>
          <w:rStyle w:val="Emphasis"/>
        </w:rPr>
        <w:t>do not alleviate the Green Patent Paradox; the threat of patent infringement from an NPP would remain and continue to hinder the progress needed to create a high volume of green technology for an environmentally sustainable economy.</w:t>
      </w:r>
    </w:p>
    <w:p w14:paraId="465B767A" w14:textId="77777777" w:rsidR="003663A9" w:rsidRDefault="003663A9" w:rsidP="003663A9"/>
    <w:p w14:paraId="3DDD0CD3" w14:textId="77777777" w:rsidR="003663A9" w:rsidRDefault="003663A9" w:rsidP="003663A9">
      <w:pPr>
        <w:pStyle w:val="Heading3"/>
      </w:pPr>
      <w:r>
        <w:t>No Solvency – Alt Causes</w:t>
      </w:r>
    </w:p>
    <w:p w14:paraId="6441D7B6" w14:textId="77777777" w:rsidR="003663A9" w:rsidRDefault="003663A9" w:rsidP="003663A9"/>
    <w:p w14:paraId="4CFD51E2" w14:textId="77777777" w:rsidR="003663A9" w:rsidRPr="00C25278" w:rsidRDefault="003663A9" w:rsidP="003663A9">
      <w:pPr>
        <w:pStyle w:val="Heading4"/>
      </w:pPr>
      <w:r>
        <w:t>Plan doesn’t solve – low NDCs to Paris, lack of renewable energy investment, and accumulating energy bills in low-income households are alt causes to accessible clean energy</w:t>
      </w:r>
    </w:p>
    <w:p w14:paraId="2D3B331A" w14:textId="77777777" w:rsidR="003663A9" w:rsidRPr="00B80A12" w:rsidRDefault="003663A9" w:rsidP="003663A9">
      <w:r w:rsidRPr="00B87971">
        <w:rPr>
          <w:b/>
          <w:bCs/>
        </w:rPr>
        <w:t>Outka</w:t>
      </w:r>
      <w:r>
        <w:rPr>
          <w:b/>
          <w:bCs/>
        </w:rPr>
        <w:t xml:space="preserve"> and </w:t>
      </w:r>
      <w:r w:rsidRPr="00080AC1">
        <w:rPr>
          <w:b/>
          <w:bCs/>
        </w:rPr>
        <w:t xml:space="preserve">Warner  </w:t>
      </w:r>
      <w:r w:rsidRPr="00B80A12">
        <w:t xml:space="preserve">, </w:t>
      </w:r>
      <w:r w:rsidRPr="006D67F2">
        <w:t>Uma Outka is Associate Dean, Faculty, and William R. Scott Law Professor at the University of Kansas School of Law.   Elizabeth Kronk Warner is Dean and Professor of Law at the University of Utah,</w:t>
      </w:r>
      <w:r>
        <w:t xml:space="preserve">, </w:t>
      </w:r>
      <w:r w:rsidRPr="002C32D2">
        <w:rPr>
          <w:b/>
          <w:bCs/>
        </w:rPr>
        <w:t>2021</w:t>
      </w:r>
    </w:p>
    <w:p w14:paraId="53244AC7" w14:textId="77777777" w:rsidR="003663A9" w:rsidRDefault="003663A9" w:rsidP="003663A9">
      <w:r w:rsidRPr="00B80A12">
        <w:t>[</w:t>
      </w:r>
      <w:r w:rsidRPr="005A48B6">
        <w:t>Uma</w:t>
      </w:r>
      <w:r>
        <w:t xml:space="preserve"> and </w:t>
      </w:r>
      <w:r w:rsidRPr="00807E90">
        <w:t>Elizabeth</w:t>
      </w:r>
      <w:r>
        <w:t xml:space="preserve">, </w:t>
      </w:r>
      <w:r w:rsidRPr="00CC1257">
        <w:t>“</w:t>
      </w:r>
      <w:r w:rsidRPr="009D43A4">
        <w:t xml:space="preserve">Goal 3: Good Health and Well-Being  </w:t>
      </w:r>
      <w:r w:rsidRPr="00CC1257">
        <w:t xml:space="preserve">” in </w:t>
      </w:r>
      <w:r w:rsidRPr="00B80A12">
        <w:t>“</w:t>
      </w:r>
      <w:r w:rsidRPr="00373AB4">
        <w:t>MAKING AMERICA A BETTER PLACE FOR ALL: SUSTAINABLE DEVELOPMENT RECOMMENDATIONS FOR THE BIDEN ADMINISTRATION</w:t>
      </w:r>
      <w:r w:rsidRPr="00B80A12">
        <w:t>”</w:t>
      </w:r>
      <w:r>
        <w:t xml:space="preserve"> </w:t>
      </w:r>
      <w:r w:rsidRPr="003C3C2F">
        <w:t>edited by John C. Dernbach and Scott E. Schang</w:t>
      </w:r>
      <w:r>
        <w:t>,</w:t>
      </w:r>
      <w:r w:rsidRPr="00B80A12">
        <w:t xml:space="preserve"> </w:t>
      </w:r>
      <w:r w:rsidRPr="00283FDE">
        <w:t>Environmental Law Institute</w:t>
      </w:r>
      <w:r w:rsidRPr="00B80A12">
        <w:t xml:space="preserve">, </w:t>
      </w:r>
      <w:r w:rsidRPr="00F62DCB">
        <w:t>April</w:t>
      </w:r>
      <w:r>
        <w:t>, Lexis Nexus</w:t>
      </w:r>
      <w:r w:rsidRPr="00B80A12">
        <w:t>]</w:t>
      </w:r>
    </w:p>
    <w:p w14:paraId="3255A86F" w14:textId="77777777" w:rsidR="003663A9" w:rsidRDefault="003663A9" w:rsidP="003663A9">
      <w:r>
        <w:t>*SDG=Sustainable Development Goals</w:t>
      </w:r>
    </w:p>
    <w:p w14:paraId="1B2B72A2" w14:textId="77777777" w:rsidR="003663A9" w:rsidRDefault="003663A9" w:rsidP="003663A9">
      <w:pPr>
        <w:rPr>
          <w:rStyle w:val="Emphasis"/>
        </w:rPr>
      </w:pPr>
      <w:r w:rsidRPr="000B3CA2">
        <w:rPr>
          <w:rStyle w:val="Emphasis"/>
        </w:rPr>
        <w:t>Affordable clean energy for all</w:t>
      </w:r>
      <w:r w:rsidRPr="005D3599">
        <w:rPr>
          <w:sz w:val="16"/>
        </w:rPr>
        <w:t xml:space="preserve"> n64 is an SDG that </w:t>
      </w:r>
      <w:r w:rsidRPr="005D3599">
        <w:rPr>
          <w:rStyle w:val="Emphasis"/>
        </w:rPr>
        <w:t>the U</w:t>
      </w:r>
      <w:r w:rsidRPr="005D3599">
        <w:rPr>
          <w:sz w:val="16"/>
        </w:rPr>
        <w:t xml:space="preserve">nited </w:t>
      </w:r>
      <w:r w:rsidRPr="005D3599">
        <w:rPr>
          <w:rStyle w:val="Emphasis"/>
        </w:rPr>
        <w:t>S</w:t>
      </w:r>
      <w:r w:rsidRPr="005D3599">
        <w:rPr>
          <w:sz w:val="16"/>
        </w:rPr>
        <w:t>tates--even with abundant renewable energy resources and financial capability compared with other nations--</w:t>
      </w:r>
      <w:r w:rsidRPr="000B3CA2">
        <w:rPr>
          <w:rStyle w:val="Emphasis"/>
        </w:rPr>
        <w:t>has yet to achieve</w:t>
      </w:r>
      <w:r w:rsidRPr="006B5B5D">
        <w:rPr>
          <w:rStyle w:val="Emphasis"/>
        </w:rPr>
        <w:t>.</w:t>
      </w:r>
      <w:r w:rsidRPr="005D3599">
        <w:rPr>
          <w:sz w:val="16"/>
        </w:rPr>
        <w:t xml:space="preserve"> The Sustainable Development Solutions Network's Sustainable Development Report 2020 observes that challenges remain for the United States in reducing carbon dioxide emissions from fuel combustion for electricity and heating, and in increasing the share of renewable energy in the total U.S. primary energy supply. n65 President</w:t>
      </w:r>
      <w:r w:rsidRPr="006B5B5D">
        <w:rPr>
          <w:rStyle w:val="Emphasis"/>
        </w:rPr>
        <w:t xml:space="preserve"> Biden's energy plan recognizes these critical needs</w:t>
      </w:r>
      <w:r w:rsidRPr="005D3599">
        <w:rPr>
          <w:sz w:val="16"/>
        </w:rPr>
        <w:t xml:space="preserve">. n66 </w:t>
      </w:r>
      <w:r w:rsidRPr="00AD33E3">
        <w:rPr>
          <w:rStyle w:val="Emphasis"/>
        </w:rPr>
        <w:t>The following are near-term changes that will help accelerate U.S. progress toward achievement of the affordable and clean energy SDG:</w:t>
      </w:r>
    </w:p>
    <w:p w14:paraId="6CD96F31" w14:textId="77777777" w:rsidR="003663A9" w:rsidRPr="005D3599" w:rsidRDefault="003663A9" w:rsidP="003663A9">
      <w:pPr>
        <w:rPr>
          <w:sz w:val="16"/>
        </w:rPr>
      </w:pPr>
      <w:r w:rsidRPr="00AD33E3">
        <w:rPr>
          <w:rStyle w:val="Emphasis"/>
        </w:rPr>
        <w:t xml:space="preserve"> . Restore the U.S. international commitment to the Paris Agreement and substantially increase ambition in the U.S.</w:t>
      </w:r>
      <w:r w:rsidRPr="005D3599">
        <w:rPr>
          <w:sz w:val="16"/>
        </w:rPr>
        <w:t xml:space="preserve"> nationally determined contribution (</w:t>
      </w:r>
      <w:r w:rsidRPr="00AD33E3">
        <w:rPr>
          <w:rStyle w:val="Emphasis"/>
        </w:rPr>
        <w:t>NDC</w:t>
      </w:r>
      <w:r w:rsidRPr="005D3599">
        <w:rPr>
          <w:sz w:val="16"/>
        </w:rPr>
        <w:t xml:space="preserve">). Building on President-elect </w:t>
      </w:r>
      <w:r w:rsidRPr="00AD33E3">
        <w:rPr>
          <w:rStyle w:val="Emphasis"/>
        </w:rPr>
        <w:t>Biden's pledge to rejoin the Paris Agreement immediately upon taking office</w:t>
      </w:r>
      <w:r w:rsidRPr="005D3599">
        <w:rPr>
          <w:sz w:val="16"/>
        </w:rPr>
        <w:t xml:space="preserve"> (which he did on inauguration day), the substantive work of the U.S. commitment to global climate change mitigation will be in the form of the domestic clean energy and emissions reduction policies put in place. This is consistent with SDG 13, which calls for "urgent action to combat climate change and its impacts." The U.S.-intended NDC submitted during the Obama Administration laid out important goals, n67 but higher ambition, particularly in the area of clean energy, is needed to make up for lost time. Under the Obama Administration, the United States expressed its commitment to reducing greenhouse gas (GHG) emissions. The Trump Administration, however, withdrew that commitment, and parties to the Agreement are expected not just to meet initial NDCs, but to increase their ambition over time. The </w:t>
      </w:r>
      <w:r w:rsidRPr="00B05ABB">
        <w:rPr>
          <w:rStyle w:val="Emphasis"/>
        </w:rPr>
        <w:t>Biden</w:t>
      </w:r>
      <w:r w:rsidRPr="005D3599">
        <w:rPr>
          <w:sz w:val="16"/>
        </w:rPr>
        <w:t xml:space="preserve"> Administration </w:t>
      </w:r>
      <w:r w:rsidRPr="00B05ABB">
        <w:rPr>
          <w:rStyle w:val="Emphasis"/>
        </w:rPr>
        <w:t>will</w:t>
      </w:r>
      <w:r w:rsidRPr="005D3599">
        <w:rPr>
          <w:sz w:val="16"/>
        </w:rPr>
        <w:t xml:space="preserve"> therefore </w:t>
      </w:r>
      <w:r w:rsidRPr="00B05ABB">
        <w:rPr>
          <w:rStyle w:val="Emphasis"/>
        </w:rPr>
        <w:t xml:space="preserve">need to work to achieve more significant goals than </w:t>
      </w:r>
      <w:r w:rsidRPr="005D3599">
        <w:rPr>
          <w:sz w:val="16"/>
        </w:rPr>
        <w:t xml:space="preserve">those of the </w:t>
      </w:r>
      <w:r w:rsidRPr="00B05ABB">
        <w:rPr>
          <w:rStyle w:val="Emphasis"/>
        </w:rPr>
        <w:t>Obama</w:t>
      </w:r>
      <w:r w:rsidRPr="005D3599">
        <w:rPr>
          <w:sz w:val="16"/>
        </w:rPr>
        <w:t xml:space="preserve"> Administration, given the delay. Additionally, the </w:t>
      </w:r>
      <w:r w:rsidRPr="00AC1BC6">
        <w:rPr>
          <w:rStyle w:val="Emphasis"/>
        </w:rPr>
        <w:t>Biden</w:t>
      </w:r>
      <w:r w:rsidRPr="005D3599">
        <w:rPr>
          <w:sz w:val="16"/>
        </w:rPr>
        <w:t xml:space="preserve"> Administration </w:t>
      </w:r>
      <w:r w:rsidRPr="00AC1BC6">
        <w:rPr>
          <w:rStyle w:val="Emphasis"/>
        </w:rPr>
        <w:t>should incorporate environmental justice principles into all domestic clean energy policies and advance the same principles in all international relations</w:t>
      </w:r>
      <w:r w:rsidRPr="005D3599">
        <w:rPr>
          <w:sz w:val="16"/>
        </w:rPr>
        <w:t xml:space="preserve">. </w:t>
      </w:r>
    </w:p>
    <w:p w14:paraId="6C8B896F" w14:textId="77777777" w:rsidR="003663A9" w:rsidRPr="008E0B88" w:rsidRDefault="003663A9" w:rsidP="003663A9">
      <w:pPr>
        <w:rPr>
          <w:sz w:val="16"/>
        </w:rPr>
      </w:pPr>
      <w:r w:rsidRPr="008E0B88">
        <w:rPr>
          <w:sz w:val="16"/>
        </w:rPr>
        <w:t xml:space="preserve">. </w:t>
      </w:r>
      <w:r w:rsidRPr="00AC1BC6">
        <w:rPr>
          <w:rStyle w:val="Emphasis"/>
        </w:rPr>
        <w:t>Invest financial and human capital into federal agencies best positioned to play a role in advancing clean energy. Rebuilding and strengthening the</w:t>
      </w:r>
      <w:r w:rsidRPr="008E0B88">
        <w:rPr>
          <w:sz w:val="16"/>
        </w:rPr>
        <w:t xml:space="preserve"> U.S. Environmental Protection Agency (</w:t>
      </w:r>
      <w:r w:rsidRPr="00AC1BC6">
        <w:rPr>
          <w:rStyle w:val="Emphasis"/>
        </w:rPr>
        <w:t>EPA</w:t>
      </w:r>
      <w:r w:rsidRPr="008E0B88">
        <w:rPr>
          <w:sz w:val="16"/>
        </w:rPr>
        <w:t>), U.S. Department of Energy (</w:t>
      </w:r>
      <w:r w:rsidRPr="000D37D6">
        <w:rPr>
          <w:rStyle w:val="Emphasis"/>
        </w:rPr>
        <w:t>DOE</w:t>
      </w:r>
      <w:r w:rsidRPr="008E0B88">
        <w:rPr>
          <w:sz w:val="16"/>
        </w:rPr>
        <w:t xml:space="preserve">), </w:t>
      </w:r>
      <w:r w:rsidRPr="000D37D6">
        <w:rPr>
          <w:rStyle w:val="Emphasis"/>
        </w:rPr>
        <w:t>and</w:t>
      </w:r>
      <w:r w:rsidRPr="008E0B88">
        <w:rPr>
          <w:sz w:val="16"/>
        </w:rPr>
        <w:t xml:space="preserve"> U.S. Department of the Interior (</w:t>
      </w:r>
      <w:r w:rsidRPr="000D37D6">
        <w:rPr>
          <w:rStyle w:val="Emphasis"/>
        </w:rPr>
        <w:t>DOI</w:t>
      </w:r>
      <w:r w:rsidRPr="008E0B88">
        <w:rPr>
          <w:sz w:val="16"/>
        </w:rPr>
        <w:t xml:space="preserve">) is essential. Newly appointed agency leaders will need a robust budget and strong, energetic work force to redefine priorities away from the Trump Administration's emphasis on fossil energy. The </w:t>
      </w:r>
      <w:r w:rsidRPr="00CF1099">
        <w:rPr>
          <w:rStyle w:val="Emphasis"/>
        </w:rPr>
        <w:t>Biden</w:t>
      </w:r>
      <w:r w:rsidRPr="008E0B88">
        <w:rPr>
          <w:sz w:val="16"/>
        </w:rPr>
        <w:t xml:space="preserve"> Administration </w:t>
      </w:r>
      <w:r w:rsidRPr="00CF1099">
        <w:rPr>
          <w:rStyle w:val="Emphasis"/>
        </w:rPr>
        <w:t>should reinstate and initiate programs/offices within these agencies--such as the</w:t>
      </w:r>
      <w:r w:rsidRPr="008E0B88">
        <w:rPr>
          <w:sz w:val="16"/>
        </w:rPr>
        <w:t xml:space="preserve"> Bureau of Land Management's (</w:t>
      </w:r>
      <w:r w:rsidRPr="00CF1099">
        <w:rPr>
          <w:rStyle w:val="Emphasis"/>
        </w:rPr>
        <w:t>BLM's</w:t>
      </w:r>
      <w:r w:rsidRPr="008E0B88">
        <w:rPr>
          <w:sz w:val="16"/>
        </w:rPr>
        <w:t xml:space="preserve">) </w:t>
      </w:r>
      <w:r w:rsidRPr="00AC6A51">
        <w:rPr>
          <w:rStyle w:val="Emphasis"/>
        </w:rPr>
        <w:t>renewable energy permitting office</w:t>
      </w:r>
      <w:r w:rsidRPr="008E0B88">
        <w:rPr>
          <w:sz w:val="16"/>
        </w:rPr>
        <w:t xml:space="preserve">--to focus on this renewed goal. </w:t>
      </w:r>
      <w:r w:rsidRPr="00CF1099">
        <w:rPr>
          <w:rStyle w:val="Emphasis"/>
        </w:rPr>
        <w:t>Other agencies that can engage meaningfully on this SDG with sufficient budget and staffing include the</w:t>
      </w:r>
      <w:r w:rsidRPr="008E0B88">
        <w:rPr>
          <w:sz w:val="16"/>
        </w:rPr>
        <w:t xml:space="preserve"> U.S. Department of Housing and Urban Development (</w:t>
      </w:r>
      <w:r w:rsidRPr="00CF1099">
        <w:rPr>
          <w:rStyle w:val="Emphasis"/>
        </w:rPr>
        <w:t>HUD</w:t>
      </w:r>
      <w:r w:rsidRPr="008E0B88">
        <w:rPr>
          <w:sz w:val="16"/>
        </w:rPr>
        <w:t>) and the U.S. Department of Labor.</w:t>
      </w:r>
    </w:p>
    <w:p w14:paraId="4024510C" w14:textId="77777777" w:rsidR="003663A9" w:rsidRPr="00B05ABB" w:rsidRDefault="003663A9" w:rsidP="003663A9">
      <w:pPr>
        <w:rPr>
          <w:rStyle w:val="Emphasis"/>
        </w:rPr>
      </w:pPr>
      <w:r w:rsidRPr="00AC6A51">
        <w:rPr>
          <w:sz w:val="16"/>
        </w:rPr>
        <w:t xml:space="preserve"> . </w:t>
      </w:r>
      <w:r w:rsidRPr="00CF1099">
        <w:rPr>
          <w:rStyle w:val="Emphasis"/>
        </w:rPr>
        <w:t>Coordinate the work of federal agencies to amplify the shared goal of rapid GHG emissions reduction and expansion of renewable energy</w:t>
      </w:r>
      <w:r w:rsidRPr="00AC6A51">
        <w:rPr>
          <w:sz w:val="16"/>
        </w:rPr>
        <w:t>. In the past, federal agencies have not coordinated as effectively as they might have toward these important [*10320] goals. EPA's work on the Clean Power Plan n68 was undercut by continued fossil resource leasing on federal lands. Providing new frameworks for agency coordination on these critical common goals will accelerate progress more quickly. For example, Council on Environmental Quality (</w:t>
      </w:r>
      <w:r w:rsidRPr="00B05ABB">
        <w:rPr>
          <w:rStyle w:val="Emphasis"/>
        </w:rPr>
        <w:t>CEQ</w:t>
      </w:r>
      <w:r w:rsidRPr="00AC6A51">
        <w:rPr>
          <w:sz w:val="16"/>
        </w:rPr>
        <w:t xml:space="preserve">) leadership </w:t>
      </w:r>
      <w:r w:rsidRPr="00B05ABB">
        <w:rPr>
          <w:rStyle w:val="Emphasis"/>
        </w:rPr>
        <w:t xml:space="preserve">can reinvigorate programmatic environmental reviews to facilitate rapid renewable energy development responsibly and with sensitivity to environmental and cultural surroundings. </w:t>
      </w:r>
    </w:p>
    <w:p w14:paraId="4C461E96" w14:textId="77777777" w:rsidR="003663A9" w:rsidRPr="00973997" w:rsidRDefault="003663A9" w:rsidP="003663A9">
      <w:pPr>
        <w:rPr>
          <w:sz w:val="16"/>
        </w:rPr>
      </w:pPr>
      <w:r w:rsidRPr="00973997">
        <w:rPr>
          <w:sz w:val="16"/>
        </w:rPr>
        <w:t xml:space="preserve">. </w:t>
      </w:r>
      <w:r w:rsidRPr="00CF1099">
        <w:rPr>
          <w:rStyle w:val="Emphasis"/>
        </w:rPr>
        <w:t xml:space="preserve">Set ambitious targets for large-scale renewable energy development--especially on federal land and offshore--and small-scale distributed energy resources, such as community solar, rooftop solar, and energy efficiency. </w:t>
      </w:r>
      <w:r w:rsidRPr="00973997">
        <w:rPr>
          <w:sz w:val="16"/>
        </w:rPr>
        <w:t>The Administration should craft a data-informed, detailed plan for a carbon-free energy sector by 2035, as discussed in the Biden-Harris campaign Clean Energy Plan. n69 Th</w:t>
      </w:r>
      <w:r w:rsidRPr="00E37D33">
        <w:rPr>
          <w:rStyle w:val="Emphasis"/>
        </w:rPr>
        <w:t>is plan should build on the Clean Power Plan</w:t>
      </w:r>
      <w:r w:rsidRPr="00973997">
        <w:rPr>
          <w:sz w:val="16"/>
        </w:rPr>
        <w:t xml:space="preserve"> conceptual model, especially its provisions directing clean energy investment to low-income communities and communities of color. </w:t>
      </w:r>
    </w:p>
    <w:p w14:paraId="3910498B" w14:textId="77777777" w:rsidR="003663A9" w:rsidRPr="00F13C63" w:rsidRDefault="003663A9" w:rsidP="003663A9">
      <w:pPr>
        <w:rPr>
          <w:sz w:val="16"/>
        </w:rPr>
      </w:pPr>
      <w:r w:rsidRPr="00F13C63">
        <w:rPr>
          <w:sz w:val="16"/>
        </w:rPr>
        <w:t xml:space="preserve">. </w:t>
      </w:r>
      <w:r w:rsidRPr="00E37D33">
        <w:rPr>
          <w:rStyle w:val="Emphasis"/>
        </w:rPr>
        <w:t>Support increased</w:t>
      </w:r>
      <w:r w:rsidRPr="00F13C63">
        <w:rPr>
          <w:sz w:val="16"/>
        </w:rPr>
        <w:t xml:space="preserve"> Low Income Heating and Energy Assistance Program (</w:t>
      </w:r>
      <w:r w:rsidRPr="00E37D33">
        <w:rPr>
          <w:rStyle w:val="Emphasis"/>
        </w:rPr>
        <w:t>LIHEAP</w:t>
      </w:r>
      <w:r w:rsidRPr="00F13C63">
        <w:rPr>
          <w:sz w:val="16"/>
        </w:rPr>
        <w:t xml:space="preserve">) </w:t>
      </w:r>
      <w:r w:rsidRPr="00E37D33">
        <w:rPr>
          <w:rStyle w:val="Emphasis"/>
        </w:rPr>
        <w:t>funding to reach more people in need and to pay accumulating energy bills during the pandemic</w:t>
      </w:r>
      <w:r w:rsidRPr="00F13C63">
        <w:rPr>
          <w:sz w:val="16"/>
        </w:rPr>
        <w:t xml:space="preserve">. LIHEAP provides essential assistance for households struggling with energy bills. The importance of preserving this lifeline has been painfully underscored during the pandemic. State moratoria on service disconnections are short-term solutions only. </w:t>
      </w:r>
    </w:p>
    <w:p w14:paraId="40E2264C" w14:textId="77777777" w:rsidR="003663A9" w:rsidRDefault="003663A9" w:rsidP="003663A9">
      <w:pPr>
        <w:rPr>
          <w:sz w:val="16"/>
        </w:rPr>
      </w:pPr>
      <w:r w:rsidRPr="00F13C63">
        <w:rPr>
          <w:sz w:val="16"/>
        </w:rPr>
        <w:t xml:space="preserve">. </w:t>
      </w:r>
      <w:r w:rsidRPr="00E37D33">
        <w:rPr>
          <w:rStyle w:val="Emphasis"/>
        </w:rPr>
        <w:t>Support continued federal-level financial support for clean energy development and jobs training</w:t>
      </w:r>
      <w:r w:rsidRPr="00F13C63">
        <w:rPr>
          <w:sz w:val="16"/>
        </w:rPr>
        <w:t xml:space="preserve">. Support renewed federal tax incentives/credits/subsidies for wind and solar projects and extend federal subsidies to tribal governmental development. </w:t>
      </w:r>
      <w:r w:rsidRPr="00E37D33">
        <w:rPr>
          <w:rStyle w:val="Emphasis"/>
        </w:rPr>
        <w:t>The Administration should focus on skills training and creating jobs for low-income communities and communities of color</w:t>
      </w:r>
      <w:r w:rsidRPr="00F13C63">
        <w:rPr>
          <w:sz w:val="16"/>
        </w:rPr>
        <w:t>, especially for those areas that have been historically underserved, lack adequate energy infrastructure, or are affected by fossil fuel industry job losses.</w:t>
      </w:r>
    </w:p>
    <w:p w14:paraId="3EE4126B" w14:textId="77777777" w:rsidR="003663A9" w:rsidRDefault="003663A9" w:rsidP="003663A9"/>
    <w:p w14:paraId="4EA3606C" w14:textId="77777777" w:rsidR="003663A9" w:rsidRPr="0027576D" w:rsidRDefault="003663A9" w:rsidP="003663A9"/>
    <w:p w14:paraId="6CB6E8FF" w14:textId="77777777" w:rsidR="003663A9" w:rsidRPr="00B25D8E" w:rsidRDefault="003663A9" w:rsidP="003663A9"/>
    <w:p w14:paraId="40156FB4" w14:textId="77777777" w:rsidR="003663A9" w:rsidRDefault="003663A9" w:rsidP="003663A9">
      <w:pPr>
        <w:pStyle w:val="Heading3"/>
      </w:pPr>
      <w:r>
        <w:t>No Impact – Not Existential</w:t>
      </w:r>
    </w:p>
    <w:p w14:paraId="116B29FB" w14:textId="77777777" w:rsidR="003663A9" w:rsidRDefault="003663A9" w:rsidP="003663A9"/>
    <w:p w14:paraId="573630A3" w14:textId="77777777" w:rsidR="003663A9" w:rsidRDefault="003663A9" w:rsidP="003663A9">
      <w:pPr>
        <w:pStyle w:val="Heading4"/>
      </w:pPr>
      <w:bookmarkStart w:id="0" w:name="_Hlk88838674"/>
      <w:r w:rsidRPr="00156AAF">
        <w:rPr>
          <w:u w:val="single"/>
        </w:rPr>
        <w:t>No existential climate change impacts</w:t>
      </w:r>
      <w:r>
        <w:t xml:space="preserve"> – reports are flawed, humans adapt, no natural disasters, food production increasing</w:t>
      </w:r>
    </w:p>
    <w:p w14:paraId="54F4CEBB" w14:textId="77777777" w:rsidR="003663A9" w:rsidRPr="00A70BF6" w:rsidRDefault="003663A9" w:rsidP="003663A9">
      <w:r w:rsidRPr="00A70BF6">
        <w:rPr>
          <w:rStyle w:val="Style13ptBold"/>
        </w:rPr>
        <w:t>Shellenberger 20</w:t>
      </w:r>
      <w:r>
        <w:t xml:space="preserve"> (Michael, Time magazine “Hero of the Environment”; the winner of the 2008 Green Book Award from the Stevens Institute of Technology’s Center for Science Writings; and an invited expert reviewer of the next Assessment Report for the IPCC founder and president of Environmental Progress, “Apocalypse Never.” No Page Numbers, 6/30/20, HarperCollins]</w:t>
      </w:r>
    </w:p>
    <w:p w14:paraId="4EABBCE4" w14:textId="77777777" w:rsidR="003663A9" w:rsidRPr="00A70BF6" w:rsidRDefault="003663A9" w:rsidP="003663A9">
      <w:pPr>
        <w:rPr>
          <w:sz w:val="16"/>
        </w:rPr>
      </w:pPr>
      <w:r w:rsidRPr="00A70BF6">
        <w:rPr>
          <w:sz w:val="16"/>
        </w:rPr>
        <w:t xml:space="preserve">In early 2019, newly elected twenty-nine-year-old congresswoman Alexandria Ocasio-Cortez sat down for an interview with a correspondent for The Atlantic. AOC, as she is known, made the case for a Green New Deal, one that would address poverty and social inequality in addition to climate change. AOC pushed back against critics who claimed it would be too expensive. </w:t>
      </w:r>
      <w:r w:rsidRPr="006E5D04">
        <w:rPr>
          <w:rStyle w:val="Emphasis"/>
        </w:rPr>
        <w:t>“The world is going to end in twelve years if we don’t address climate change,”</w:t>
      </w:r>
      <w:r w:rsidRPr="00A70BF6">
        <w:rPr>
          <w:sz w:val="16"/>
        </w:rPr>
        <w:t xml:space="preserve"> she said, “and your biggest issue is how are we gonna pay for it?” 21</w:t>
      </w:r>
    </w:p>
    <w:p w14:paraId="2D7A5251" w14:textId="77777777" w:rsidR="003663A9" w:rsidRPr="00A70BF6" w:rsidRDefault="003663A9" w:rsidP="003663A9">
      <w:pPr>
        <w:rPr>
          <w:sz w:val="16"/>
        </w:rPr>
      </w:pPr>
      <w:r w:rsidRPr="00A70BF6">
        <w:rPr>
          <w:sz w:val="16"/>
        </w:rPr>
        <w:t>The next day, a reporter for the news website Axios called several climate scientists to get their reactions to AOC’s claim that the world was going to end in twelve years. “</w:t>
      </w:r>
      <w:r w:rsidRPr="00156AAF">
        <w:rPr>
          <w:rStyle w:val="Emphasis"/>
        </w:rPr>
        <w:t xml:space="preserve">All the </w:t>
      </w:r>
      <w:r w:rsidRPr="0055228E">
        <w:rPr>
          <w:rStyle w:val="Emphasis"/>
          <w:highlight w:val="green"/>
        </w:rPr>
        <w:t>time-limited frames are</w:t>
      </w:r>
      <w:r w:rsidRPr="006E5D04">
        <w:rPr>
          <w:rStyle w:val="Emphasis"/>
        </w:rPr>
        <w:t xml:space="preserve"> </w:t>
      </w:r>
      <w:r w:rsidRPr="0055228E">
        <w:rPr>
          <w:rStyle w:val="Emphasis"/>
          <w:highlight w:val="green"/>
        </w:rPr>
        <w:t>b</w:t>
      </w:r>
      <w:r w:rsidRPr="0055228E">
        <w:rPr>
          <w:rStyle w:val="Emphasis"/>
        </w:rPr>
        <w:t>ull</w:t>
      </w:r>
      <w:r w:rsidRPr="0055228E">
        <w:rPr>
          <w:rStyle w:val="Emphasis"/>
          <w:highlight w:val="green"/>
        </w:rPr>
        <w:t>s</w:t>
      </w:r>
      <w:r w:rsidRPr="0055228E">
        <w:rPr>
          <w:rStyle w:val="Emphasis"/>
        </w:rPr>
        <w:t>hit</w:t>
      </w:r>
      <w:r w:rsidRPr="006E5D04">
        <w:rPr>
          <w:rStyle w:val="Emphasis"/>
        </w:rPr>
        <w:t>,”</w:t>
      </w:r>
      <w:r>
        <w:rPr>
          <w:rStyle w:val="Emphasis"/>
        </w:rPr>
        <w:t xml:space="preserve"> </w:t>
      </w:r>
      <w:r w:rsidRPr="006E5D04">
        <w:rPr>
          <w:rStyle w:val="Emphasis"/>
        </w:rPr>
        <w:t>said</w:t>
      </w:r>
      <w:r w:rsidRPr="00A70BF6">
        <w:rPr>
          <w:sz w:val="16"/>
        </w:rPr>
        <w:t xml:space="preserve"> Gavin </w:t>
      </w:r>
      <w:r w:rsidRPr="006E5D04">
        <w:rPr>
          <w:rStyle w:val="Emphasis"/>
        </w:rPr>
        <w:t>Schmidt, a NASA climate scientist. “Nothing special happens</w:t>
      </w:r>
      <w:r>
        <w:rPr>
          <w:rStyle w:val="Emphasis"/>
        </w:rPr>
        <w:t xml:space="preserve"> </w:t>
      </w:r>
      <w:r w:rsidRPr="006E5D04">
        <w:rPr>
          <w:rStyle w:val="Emphasis"/>
        </w:rPr>
        <w:t>when the ‘carbon budget’ runs out or we pass whatever temperature target</w:t>
      </w:r>
      <w:r>
        <w:rPr>
          <w:rStyle w:val="Emphasis"/>
        </w:rPr>
        <w:t xml:space="preserve"> </w:t>
      </w:r>
      <w:r w:rsidRPr="006E5D04">
        <w:rPr>
          <w:rStyle w:val="Emphasis"/>
        </w:rPr>
        <w:t>you care about,</w:t>
      </w:r>
      <w:r w:rsidRPr="00A70BF6">
        <w:rPr>
          <w:sz w:val="16"/>
        </w:rPr>
        <w:t xml:space="preserve"> instead the costs of emissions steadily rise.”22</w:t>
      </w:r>
    </w:p>
    <w:p w14:paraId="48B4BEF3" w14:textId="77777777" w:rsidR="003663A9" w:rsidRPr="00A70BF6" w:rsidRDefault="003663A9" w:rsidP="003663A9">
      <w:pPr>
        <w:rPr>
          <w:sz w:val="16"/>
        </w:rPr>
      </w:pPr>
      <w:r w:rsidRPr="00A70BF6">
        <w:rPr>
          <w:sz w:val="16"/>
        </w:rPr>
        <w:t>Andrea Dutton, a paleoclimate researcher at the University of Wisconsin–Madison, said, “</w:t>
      </w:r>
      <w:r w:rsidRPr="006E5D04">
        <w:rPr>
          <w:rStyle w:val="Emphasis"/>
        </w:rPr>
        <w:t xml:space="preserve">For some reason </w:t>
      </w:r>
      <w:r w:rsidRPr="00156AAF">
        <w:rPr>
          <w:rStyle w:val="Emphasis"/>
        </w:rPr>
        <w:t xml:space="preserve">the </w:t>
      </w:r>
      <w:r w:rsidRPr="0055228E">
        <w:rPr>
          <w:rStyle w:val="Emphasis"/>
          <w:highlight w:val="green"/>
        </w:rPr>
        <w:t>media latched onto</w:t>
      </w:r>
      <w:r w:rsidRPr="006E5D04">
        <w:rPr>
          <w:rStyle w:val="Emphasis"/>
        </w:rPr>
        <w:t xml:space="preserve"> </w:t>
      </w:r>
      <w:r w:rsidRPr="00A70BF6">
        <w:rPr>
          <w:sz w:val="16"/>
        </w:rPr>
        <w:t>the</w:t>
      </w:r>
      <w:r>
        <w:rPr>
          <w:rStyle w:val="Emphasis"/>
        </w:rPr>
        <w:t xml:space="preserve"> </w:t>
      </w:r>
      <w:r w:rsidRPr="00A70BF6">
        <w:rPr>
          <w:sz w:val="16"/>
        </w:rPr>
        <w:t>twelve years (</w:t>
      </w:r>
      <w:r w:rsidRPr="0055228E">
        <w:rPr>
          <w:rStyle w:val="Emphasis"/>
          <w:highlight w:val="green"/>
        </w:rPr>
        <w:t>2030</w:t>
      </w:r>
      <w:r w:rsidRPr="00A70BF6">
        <w:rPr>
          <w:sz w:val="16"/>
        </w:rPr>
        <w:t xml:space="preserve">), presumably </w:t>
      </w:r>
      <w:r w:rsidRPr="00156AAF">
        <w:rPr>
          <w:rStyle w:val="Emphasis"/>
        </w:rPr>
        <w:t xml:space="preserve">because they thought that it helped </w:t>
      </w:r>
      <w:r w:rsidRPr="00156AAF">
        <w:rPr>
          <w:rStyle w:val="Emphasis"/>
          <w:highlight w:val="green"/>
        </w:rPr>
        <w:t>to get across</w:t>
      </w:r>
      <w:r w:rsidRPr="00156AAF">
        <w:rPr>
          <w:rStyle w:val="Emphasis"/>
        </w:rPr>
        <w:t xml:space="preserve"> the </w:t>
      </w:r>
      <w:r w:rsidRPr="00156AAF">
        <w:rPr>
          <w:rStyle w:val="Emphasis"/>
          <w:highlight w:val="green"/>
        </w:rPr>
        <w:t>message</w:t>
      </w:r>
      <w:r w:rsidRPr="00A70BF6">
        <w:rPr>
          <w:sz w:val="16"/>
        </w:rPr>
        <w:t xml:space="preserve"> of how quickly we are approaching this and hence how urgently we need action. </w:t>
      </w:r>
      <w:r w:rsidRPr="006E5D04">
        <w:rPr>
          <w:rStyle w:val="Emphasis"/>
        </w:rPr>
        <w:t xml:space="preserve">Unfortunately, </w:t>
      </w:r>
      <w:r w:rsidRPr="00156AAF">
        <w:rPr>
          <w:rStyle w:val="Emphasis"/>
        </w:rPr>
        <w:t xml:space="preserve">this </w:t>
      </w:r>
      <w:r w:rsidRPr="0055228E">
        <w:rPr>
          <w:rStyle w:val="Emphasis"/>
        </w:rPr>
        <w:t xml:space="preserve">has </w:t>
      </w:r>
      <w:r w:rsidRPr="0055228E">
        <w:rPr>
          <w:rStyle w:val="Emphasis"/>
          <w:highlight w:val="green"/>
        </w:rPr>
        <w:t xml:space="preserve">led to </w:t>
      </w:r>
      <w:r w:rsidRPr="00156AAF">
        <w:rPr>
          <w:rStyle w:val="Emphasis"/>
        </w:rPr>
        <w:t>a</w:t>
      </w:r>
      <w:r w:rsidRPr="0055228E">
        <w:rPr>
          <w:rStyle w:val="Emphasis"/>
          <w:highlight w:val="green"/>
        </w:rPr>
        <w:t xml:space="preserve"> complete mischaracterization </w:t>
      </w:r>
      <w:r w:rsidRPr="00156AAF">
        <w:rPr>
          <w:rStyle w:val="Emphasis"/>
          <w:highlight w:val="green"/>
        </w:rPr>
        <w:t>of</w:t>
      </w:r>
      <w:r w:rsidRPr="00156AAF">
        <w:rPr>
          <w:rStyle w:val="Emphasis"/>
        </w:rPr>
        <w:t xml:space="preserve"> what the </w:t>
      </w:r>
      <w:r w:rsidRPr="00156AAF">
        <w:rPr>
          <w:rStyle w:val="Emphasis"/>
          <w:highlight w:val="green"/>
        </w:rPr>
        <w:t>report</w:t>
      </w:r>
      <w:r w:rsidRPr="006E5D04">
        <w:rPr>
          <w:rStyle w:val="Emphasis"/>
        </w:rPr>
        <w:t xml:space="preserve"> said.</w:t>
      </w:r>
      <w:r w:rsidRPr="00A70BF6">
        <w:rPr>
          <w:sz w:val="16"/>
        </w:rPr>
        <w:t>” 23</w:t>
      </w:r>
    </w:p>
    <w:p w14:paraId="590E3BBB" w14:textId="77777777" w:rsidR="003663A9" w:rsidRPr="00A70BF6" w:rsidRDefault="003663A9" w:rsidP="003663A9">
      <w:pPr>
        <w:rPr>
          <w:sz w:val="16"/>
        </w:rPr>
      </w:pPr>
      <w:r w:rsidRPr="006E5D04">
        <w:rPr>
          <w:rStyle w:val="Emphasis"/>
        </w:rPr>
        <w:t xml:space="preserve">What the </w:t>
      </w:r>
      <w:r w:rsidRPr="00156AAF">
        <w:rPr>
          <w:rStyle w:val="Emphasis"/>
        </w:rPr>
        <w:t>IPCC had actually written</w:t>
      </w:r>
      <w:r w:rsidRPr="00A70BF6">
        <w:rPr>
          <w:sz w:val="16"/>
        </w:rPr>
        <w:t xml:space="preserve"> in its 2018 report and press release </w:t>
      </w:r>
      <w:r w:rsidRPr="006E5D04">
        <w:rPr>
          <w:rStyle w:val="Emphasis"/>
        </w:rPr>
        <w:t xml:space="preserve">was that </w:t>
      </w:r>
      <w:r w:rsidRPr="0055228E">
        <w:rPr>
          <w:rStyle w:val="Emphasis"/>
        </w:rPr>
        <w:t>in order to have a good chance of limiting warming to 1.5</w:t>
      </w:r>
      <w:r w:rsidRPr="0055228E">
        <w:rPr>
          <w:rStyle w:val="Emphasis"/>
          <w:highlight w:val="green"/>
        </w:rPr>
        <w:t xml:space="preserve"> </w:t>
      </w:r>
      <w:r w:rsidRPr="0055228E">
        <w:rPr>
          <w:rStyle w:val="Emphasis"/>
        </w:rPr>
        <w:t xml:space="preserve">degrees </w:t>
      </w:r>
      <w:r w:rsidRPr="0055228E">
        <w:rPr>
          <w:sz w:val="16"/>
        </w:rPr>
        <w:t xml:space="preserve">Celsius from preindustrial times, </w:t>
      </w:r>
      <w:r w:rsidRPr="0055228E">
        <w:rPr>
          <w:rStyle w:val="Emphasis"/>
        </w:rPr>
        <w:t>carbon emissions needed to decline 45 percent by 2030.</w:t>
      </w:r>
      <w:r w:rsidRPr="006E5D04">
        <w:rPr>
          <w:rStyle w:val="Emphasis"/>
        </w:rPr>
        <w:t xml:space="preserve"> </w:t>
      </w:r>
      <w:r w:rsidRPr="00156AAF">
        <w:rPr>
          <w:rStyle w:val="Emphasis"/>
        </w:rPr>
        <w:t xml:space="preserve">The </w:t>
      </w:r>
      <w:r w:rsidRPr="0055228E">
        <w:rPr>
          <w:rStyle w:val="Emphasis"/>
          <w:highlight w:val="green"/>
        </w:rPr>
        <w:t xml:space="preserve">IPCC did not say </w:t>
      </w:r>
      <w:r w:rsidRPr="00156AAF">
        <w:rPr>
          <w:rStyle w:val="Emphasis"/>
        </w:rPr>
        <w:t xml:space="preserve">the </w:t>
      </w:r>
      <w:r w:rsidRPr="0055228E">
        <w:rPr>
          <w:rStyle w:val="Emphasis"/>
          <w:highlight w:val="green"/>
        </w:rPr>
        <w:t xml:space="preserve">world would end, </w:t>
      </w:r>
      <w:r w:rsidRPr="00156AAF">
        <w:rPr>
          <w:rStyle w:val="Emphasis"/>
        </w:rPr>
        <w:t>nor that civilization would collapse, if temperatures rose above 1.5 degrees</w:t>
      </w:r>
      <w:r>
        <w:rPr>
          <w:rStyle w:val="Emphasis"/>
        </w:rPr>
        <w:t xml:space="preserve"> </w:t>
      </w:r>
      <w:r w:rsidRPr="00A70BF6">
        <w:rPr>
          <w:sz w:val="16"/>
        </w:rPr>
        <w:t>Celsius. 24</w:t>
      </w:r>
    </w:p>
    <w:p w14:paraId="12164B67" w14:textId="77777777" w:rsidR="003663A9" w:rsidRPr="00A70BF6" w:rsidRDefault="003663A9" w:rsidP="003663A9">
      <w:pPr>
        <w:rPr>
          <w:sz w:val="16"/>
        </w:rPr>
      </w:pPr>
      <w:r w:rsidRPr="0055228E">
        <w:rPr>
          <w:rStyle w:val="Emphasis"/>
          <w:highlight w:val="green"/>
        </w:rPr>
        <w:t>Scientists</w:t>
      </w:r>
      <w:r w:rsidRPr="006E5D04">
        <w:rPr>
          <w:rStyle w:val="Emphasis"/>
        </w:rPr>
        <w:t xml:space="preserve"> </w:t>
      </w:r>
      <w:r w:rsidRPr="00156AAF">
        <w:rPr>
          <w:rStyle w:val="Emphasis"/>
        </w:rPr>
        <w:t>had</w:t>
      </w:r>
      <w:r w:rsidRPr="00A70BF6">
        <w:rPr>
          <w:sz w:val="16"/>
        </w:rPr>
        <w:t xml:space="preserve"> a similarly </w:t>
      </w:r>
      <w:r w:rsidRPr="00156AAF">
        <w:rPr>
          <w:rStyle w:val="Emphasis"/>
        </w:rPr>
        <w:t>negative reaction to the extreme claims</w:t>
      </w:r>
      <w:r w:rsidRPr="006E5D04">
        <w:rPr>
          <w:rStyle w:val="Emphasis"/>
        </w:rPr>
        <w:t xml:space="preserve"> made</w:t>
      </w:r>
      <w:r>
        <w:rPr>
          <w:rStyle w:val="Emphasis"/>
        </w:rPr>
        <w:t xml:space="preserve"> </w:t>
      </w:r>
      <w:r w:rsidRPr="006E5D04">
        <w:rPr>
          <w:rStyle w:val="Emphasis"/>
        </w:rPr>
        <w:t>by Extinction Rebellion.</w:t>
      </w:r>
      <w:r w:rsidRPr="00A70BF6">
        <w:rPr>
          <w:sz w:val="16"/>
        </w:rPr>
        <w:t xml:space="preserve"> </w:t>
      </w:r>
      <w:r w:rsidRPr="003C71E5">
        <w:rPr>
          <w:rStyle w:val="Emphasis"/>
        </w:rPr>
        <w:t>Stanford University atmospheric scientist Ken Caldeira</w:t>
      </w:r>
      <w:r w:rsidRPr="00A70BF6">
        <w:rPr>
          <w:sz w:val="16"/>
        </w:rPr>
        <w:t xml:space="preserve">, one of the </w:t>
      </w:r>
      <w:r w:rsidRPr="00055D35">
        <w:rPr>
          <w:rStyle w:val="Emphasis"/>
        </w:rPr>
        <w:t>first</w:t>
      </w:r>
      <w:r w:rsidRPr="00A70BF6">
        <w:rPr>
          <w:sz w:val="16"/>
        </w:rPr>
        <w:t xml:space="preserve"> scientists </w:t>
      </w:r>
      <w:r w:rsidRPr="00055D35">
        <w:rPr>
          <w:rStyle w:val="Emphasis"/>
        </w:rPr>
        <w:t>to raise the alarm about ocean acidification</w:t>
      </w:r>
      <w:r w:rsidRPr="00A70BF6">
        <w:rPr>
          <w:sz w:val="16"/>
        </w:rPr>
        <w:t xml:space="preserve">, </w:t>
      </w:r>
      <w:r w:rsidRPr="00156AAF">
        <w:rPr>
          <w:rStyle w:val="Emphasis"/>
          <w:highlight w:val="green"/>
        </w:rPr>
        <w:t>stressed</w:t>
      </w:r>
      <w:r w:rsidRPr="00A70BF6">
        <w:rPr>
          <w:sz w:val="16"/>
        </w:rPr>
        <w:t xml:space="preserve"> </w:t>
      </w:r>
      <w:r w:rsidRPr="00156AAF">
        <w:rPr>
          <w:rStyle w:val="Emphasis"/>
          <w:highlight w:val="green"/>
        </w:rPr>
        <w:t>that</w:t>
      </w:r>
      <w:r w:rsidRPr="00A70BF6">
        <w:rPr>
          <w:sz w:val="16"/>
        </w:rPr>
        <w:t xml:space="preserve"> </w:t>
      </w:r>
      <w:r w:rsidRPr="006E5D04">
        <w:rPr>
          <w:rStyle w:val="Emphasis"/>
        </w:rPr>
        <w:t>“while many species are threatened with</w:t>
      </w:r>
      <w:r>
        <w:rPr>
          <w:rStyle w:val="Emphasis"/>
        </w:rPr>
        <w:t xml:space="preserve"> </w:t>
      </w:r>
      <w:r w:rsidRPr="006E5D04">
        <w:rPr>
          <w:rStyle w:val="Emphasis"/>
        </w:rPr>
        <w:t>extinction</w:t>
      </w:r>
      <w:r w:rsidRPr="00156AAF">
        <w:rPr>
          <w:rStyle w:val="Emphasis"/>
        </w:rPr>
        <w:t xml:space="preserve">, </w:t>
      </w:r>
      <w:r w:rsidRPr="0000015D">
        <w:rPr>
          <w:rStyle w:val="Emphasis"/>
          <w:highlight w:val="green"/>
        </w:rPr>
        <w:t>climate change does not threaten human extinction</w:t>
      </w:r>
      <w:r w:rsidRPr="0000015D">
        <w:rPr>
          <w:rStyle w:val="Emphasis"/>
        </w:rPr>
        <w:t>.”</w:t>
      </w:r>
      <w:r w:rsidRPr="00A70BF6">
        <w:rPr>
          <w:sz w:val="16"/>
        </w:rPr>
        <w:t>25 MIT climate scientist Kerry Emanuel told me, “I don’t have much patience for the apocalypse criers. I don’t think it’s helpful to describe it as an apocalypse.”26</w:t>
      </w:r>
    </w:p>
    <w:p w14:paraId="7C57796B" w14:textId="77777777" w:rsidR="003663A9" w:rsidRPr="00A70BF6" w:rsidRDefault="003663A9" w:rsidP="003663A9">
      <w:pPr>
        <w:rPr>
          <w:sz w:val="16"/>
        </w:rPr>
      </w:pPr>
      <w:r w:rsidRPr="00A70BF6">
        <w:rPr>
          <w:sz w:val="16"/>
        </w:rPr>
        <w:t>An AOC spokesperson told Axios, “We can quibble about the phraseology, whether it’s existential or cataclysmic.” But, he added, “We’re seeing lots of [climate change–related] problems that are already impacting lives.”27</w:t>
      </w:r>
    </w:p>
    <w:p w14:paraId="42D9F741" w14:textId="77777777" w:rsidR="003663A9" w:rsidRPr="00A70BF6" w:rsidRDefault="003663A9" w:rsidP="003663A9">
      <w:pPr>
        <w:rPr>
          <w:sz w:val="16"/>
        </w:rPr>
      </w:pPr>
      <w:r w:rsidRPr="00A70BF6">
        <w:rPr>
          <w:sz w:val="16"/>
        </w:rPr>
        <w:t xml:space="preserve">But if that’s the case, the impact is dwarfed by the </w:t>
      </w:r>
      <w:r w:rsidRPr="00156AAF">
        <w:rPr>
          <w:rStyle w:val="Emphasis"/>
        </w:rPr>
        <w:t>92 percent decline in the decadal death toll from natural disasters since its peak in the 1920s</w:t>
      </w:r>
      <w:r w:rsidRPr="006E5D04">
        <w:rPr>
          <w:rStyle w:val="Emphasis"/>
        </w:rPr>
        <w:t xml:space="preserve">. </w:t>
      </w:r>
      <w:r w:rsidRPr="00A70BF6">
        <w:rPr>
          <w:sz w:val="16"/>
        </w:rPr>
        <w:t>In that decade, 5.4 million people died from natural disasters. In the 2010s, just 0.4 million did.28 Moreover, that decline occurred during a period when the global population nearly quadrupled.</w:t>
      </w:r>
    </w:p>
    <w:p w14:paraId="3EEF5C58" w14:textId="77777777" w:rsidR="003663A9" w:rsidRPr="00A70BF6" w:rsidRDefault="003663A9" w:rsidP="003663A9">
      <w:pPr>
        <w:rPr>
          <w:sz w:val="16"/>
        </w:rPr>
      </w:pPr>
      <w:r w:rsidRPr="00A70BF6">
        <w:rPr>
          <w:sz w:val="16"/>
        </w:rPr>
        <w:t xml:space="preserve">In fact, </w:t>
      </w:r>
      <w:r w:rsidRPr="006E5D04">
        <w:rPr>
          <w:rStyle w:val="Emphasis"/>
        </w:rPr>
        <w:t xml:space="preserve">both rich and </w:t>
      </w:r>
      <w:r w:rsidRPr="0055228E">
        <w:rPr>
          <w:rStyle w:val="Emphasis"/>
          <w:highlight w:val="green"/>
        </w:rPr>
        <w:t xml:space="preserve">poor societies </w:t>
      </w:r>
      <w:r w:rsidRPr="00156AAF">
        <w:rPr>
          <w:rStyle w:val="Emphasis"/>
        </w:rPr>
        <w:t xml:space="preserve">have </w:t>
      </w:r>
      <w:r w:rsidRPr="0055228E">
        <w:rPr>
          <w:rStyle w:val="Emphasis"/>
          <w:highlight w:val="green"/>
        </w:rPr>
        <w:t>become far less vulnerable to extreme weather events</w:t>
      </w:r>
      <w:r w:rsidRPr="006E5D04">
        <w:rPr>
          <w:rStyle w:val="Emphasis"/>
        </w:rPr>
        <w:t xml:space="preserve"> in recent decades. In 2019, the journal Global</w:t>
      </w:r>
      <w:r>
        <w:rPr>
          <w:rStyle w:val="Emphasis"/>
        </w:rPr>
        <w:t xml:space="preserve"> </w:t>
      </w:r>
      <w:r w:rsidRPr="006E5D04">
        <w:rPr>
          <w:rStyle w:val="Emphasis"/>
        </w:rPr>
        <w:t xml:space="preserve">Environmental Change published a major study that found </w:t>
      </w:r>
      <w:r w:rsidRPr="00156AAF">
        <w:rPr>
          <w:rStyle w:val="Emphasis"/>
          <w:highlight w:val="green"/>
        </w:rPr>
        <w:t>death rates and economic damage</w:t>
      </w:r>
      <w:r w:rsidRPr="00156AAF">
        <w:rPr>
          <w:rStyle w:val="Emphasis"/>
        </w:rPr>
        <w:t xml:space="preserve"> </w:t>
      </w:r>
      <w:r w:rsidRPr="00156AAF">
        <w:rPr>
          <w:rStyle w:val="Emphasis"/>
          <w:highlight w:val="green"/>
        </w:rPr>
        <w:t>dropped</w:t>
      </w:r>
      <w:r w:rsidRPr="00156AAF">
        <w:rPr>
          <w:rStyle w:val="Emphasis"/>
        </w:rPr>
        <w:t xml:space="preserve"> by 80 to 90 percent during the last four decades</w:t>
      </w:r>
      <w:r w:rsidRPr="00156AAF">
        <w:rPr>
          <w:sz w:val="16"/>
        </w:rPr>
        <w:t>, from the 1980s to the present. 29</w:t>
      </w:r>
    </w:p>
    <w:p w14:paraId="7FB66CBD" w14:textId="77777777" w:rsidR="003663A9" w:rsidRPr="006E5D04" w:rsidRDefault="003663A9" w:rsidP="003663A9">
      <w:pPr>
        <w:rPr>
          <w:rStyle w:val="Emphasis"/>
        </w:rPr>
      </w:pPr>
      <w:r w:rsidRPr="006E5D04">
        <w:rPr>
          <w:rStyle w:val="Emphasis"/>
        </w:rPr>
        <w:t>While global sea levels rose 7.5 inches</w:t>
      </w:r>
      <w:r w:rsidRPr="00A70BF6">
        <w:rPr>
          <w:sz w:val="16"/>
        </w:rPr>
        <w:t xml:space="preserve"> (0.19 meters) </w:t>
      </w:r>
      <w:r w:rsidRPr="006E5D04">
        <w:rPr>
          <w:rStyle w:val="Emphasis"/>
        </w:rPr>
        <w:t>between 1901 and</w:t>
      </w:r>
      <w:r>
        <w:rPr>
          <w:rStyle w:val="Emphasis"/>
        </w:rPr>
        <w:t xml:space="preserve"> </w:t>
      </w:r>
      <w:r w:rsidRPr="00156AAF">
        <w:rPr>
          <w:rStyle w:val="Emphasis"/>
        </w:rPr>
        <w:t>2010,</w:t>
      </w:r>
      <w:r w:rsidRPr="00156AAF">
        <w:rPr>
          <w:sz w:val="16"/>
        </w:rPr>
        <w:t xml:space="preserve">30 </w:t>
      </w:r>
      <w:r w:rsidRPr="00156AAF">
        <w:rPr>
          <w:rStyle w:val="Emphasis"/>
        </w:rPr>
        <w:t>the IPCC estimates sea levels will rise as much as 2.2 feet</w:t>
      </w:r>
      <w:r w:rsidRPr="00156AAF">
        <w:rPr>
          <w:sz w:val="16"/>
        </w:rPr>
        <w:t xml:space="preserve"> (0.66 meters) </w:t>
      </w:r>
      <w:r w:rsidRPr="00156AAF">
        <w:rPr>
          <w:rStyle w:val="Emphasis"/>
        </w:rPr>
        <w:t>by 2100</w:t>
      </w:r>
      <w:r w:rsidRPr="00156AAF">
        <w:rPr>
          <w:sz w:val="16"/>
        </w:rPr>
        <w:t xml:space="preserve"> in its medium scenario, and by 2.7 feet (0.83 meters) in its high-end scenario. </w:t>
      </w:r>
      <w:r w:rsidRPr="00156AAF">
        <w:rPr>
          <w:rStyle w:val="Emphasis"/>
        </w:rPr>
        <w:t xml:space="preserve">Even if these predictions prove to be significant underestimates, the </w:t>
      </w:r>
      <w:r w:rsidRPr="0055228E">
        <w:rPr>
          <w:rStyle w:val="Emphasis"/>
          <w:highlight w:val="green"/>
        </w:rPr>
        <w:t>slow pace of sea level rise will likely allow societies ample time for adaptation</w:t>
      </w:r>
      <w:r w:rsidRPr="006E5D04">
        <w:rPr>
          <w:rStyle w:val="Emphasis"/>
        </w:rPr>
        <w:t>.</w:t>
      </w:r>
    </w:p>
    <w:p w14:paraId="14768786" w14:textId="77777777" w:rsidR="003663A9" w:rsidRPr="00A70BF6" w:rsidRDefault="003663A9" w:rsidP="003663A9">
      <w:pPr>
        <w:rPr>
          <w:sz w:val="16"/>
        </w:rPr>
      </w:pPr>
      <w:r w:rsidRPr="00156AAF">
        <w:rPr>
          <w:rStyle w:val="Emphasis"/>
        </w:rPr>
        <w:t>We have good examples of successful adaptation to sea level rise.</w:t>
      </w:r>
      <w:r w:rsidRPr="00156AAF">
        <w:rPr>
          <w:sz w:val="16"/>
        </w:rPr>
        <w:t xml:space="preserve"> The </w:t>
      </w:r>
      <w:r w:rsidRPr="00156AAF">
        <w:rPr>
          <w:rStyle w:val="Emphasis"/>
        </w:rPr>
        <w:t>Netherlands</w:t>
      </w:r>
      <w:r w:rsidRPr="00156AAF">
        <w:rPr>
          <w:sz w:val="16"/>
        </w:rPr>
        <w:t xml:space="preserve">, for instance, </w:t>
      </w:r>
      <w:r w:rsidRPr="00156AAF">
        <w:rPr>
          <w:rStyle w:val="Emphasis"/>
        </w:rPr>
        <w:t>became a wealthy nation despite having onethird of its landmass below sea level, including areas a full seven meters below sea level, as a result of the gradual sinking of its landscapes.</w:t>
      </w:r>
      <w:r w:rsidRPr="00156AAF">
        <w:rPr>
          <w:sz w:val="16"/>
        </w:rPr>
        <w:t xml:space="preserve"> 31</w:t>
      </w:r>
    </w:p>
    <w:p w14:paraId="2239D2B5" w14:textId="77777777" w:rsidR="003663A9" w:rsidRPr="00A70BF6" w:rsidRDefault="003663A9" w:rsidP="003663A9">
      <w:pPr>
        <w:rPr>
          <w:sz w:val="16"/>
        </w:rPr>
      </w:pPr>
      <w:r w:rsidRPr="00A70BF6">
        <w:rPr>
          <w:sz w:val="16"/>
        </w:rPr>
        <w:t xml:space="preserve">And today, </w:t>
      </w:r>
      <w:r w:rsidRPr="00156AAF">
        <w:rPr>
          <w:rStyle w:val="Emphasis"/>
        </w:rPr>
        <w:t xml:space="preserve">our </w:t>
      </w:r>
      <w:r w:rsidRPr="0055228E">
        <w:rPr>
          <w:rStyle w:val="Emphasis"/>
          <w:highlight w:val="green"/>
        </w:rPr>
        <w:t>capability for modifying environments is far greater</w:t>
      </w:r>
      <w:r w:rsidRPr="00A70BF6">
        <w:rPr>
          <w:sz w:val="16"/>
        </w:rPr>
        <w:t xml:space="preserve"> than ever before. </w:t>
      </w:r>
      <w:r w:rsidRPr="006E5D04">
        <w:rPr>
          <w:rStyle w:val="Emphasis"/>
        </w:rPr>
        <w:t>Du</w:t>
      </w:r>
      <w:r w:rsidRPr="00156AAF">
        <w:rPr>
          <w:rStyle w:val="Emphasis"/>
        </w:rPr>
        <w:t>tch experts</w:t>
      </w:r>
      <w:r w:rsidRPr="00156AAF">
        <w:rPr>
          <w:sz w:val="16"/>
        </w:rPr>
        <w:t xml:space="preserve"> today </w:t>
      </w:r>
      <w:r w:rsidRPr="00156AAF">
        <w:rPr>
          <w:rStyle w:val="Emphasis"/>
        </w:rPr>
        <w:t>are already working with</w:t>
      </w:r>
      <w:r w:rsidRPr="00156AAF">
        <w:rPr>
          <w:sz w:val="16"/>
        </w:rPr>
        <w:t xml:space="preserve"> the government of </w:t>
      </w:r>
      <w:r w:rsidRPr="00156AAF">
        <w:rPr>
          <w:rStyle w:val="Emphasis"/>
        </w:rPr>
        <w:t>Bangladesh to prepare for rising sea levels</w:t>
      </w:r>
      <w:r w:rsidRPr="006E5D04">
        <w:rPr>
          <w:rStyle w:val="Emphasis"/>
        </w:rPr>
        <w:t>.</w:t>
      </w:r>
      <w:r>
        <w:rPr>
          <w:rStyle w:val="Emphasis"/>
        </w:rPr>
        <w:t xml:space="preserve"> </w:t>
      </w:r>
      <w:r w:rsidRPr="00A70BF6">
        <w:rPr>
          <w:sz w:val="16"/>
        </w:rPr>
        <w:t>32</w:t>
      </w:r>
    </w:p>
    <w:p w14:paraId="1F5537FB" w14:textId="77777777" w:rsidR="003663A9" w:rsidRPr="00A70BF6" w:rsidRDefault="003663A9" w:rsidP="003663A9">
      <w:pPr>
        <w:rPr>
          <w:sz w:val="16"/>
        </w:rPr>
      </w:pPr>
      <w:r w:rsidRPr="00A70BF6">
        <w:rPr>
          <w:sz w:val="16"/>
        </w:rPr>
        <w:t xml:space="preserve">What about fires? Dr. Jon Keeley, a U.S. Geological Survey scientist in California who has researched the topic for forty years, told me, “We’ve looked at the history of climate and fire throughout the whole state, and through much of the state, particularly the western half of </w:t>
      </w:r>
      <w:r w:rsidRPr="00156AAF">
        <w:rPr>
          <w:sz w:val="16"/>
        </w:rPr>
        <w:t xml:space="preserve">the state, </w:t>
      </w:r>
      <w:r w:rsidRPr="00156AAF">
        <w:rPr>
          <w:rStyle w:val="Emphasis"/>
        </w:rPr>
        <w:t>we don’t see any relationship between past climates and the amount of area burned in any given year.”</w:t>
      </w:r>
      <w:r w:rsidRPr="00156AAF">
        <w:rPr>
          <w:sz w:val="16"/>
        </w:rPr>
        <w:t>33</w:t>
      </w:r>
    </w:p>
    <w:p w14:paraId="235163F0" w14:textId="77777777" w:rsidR="003663A9" w:rsidRPr="00A70BF6" w:rsidRDefault="003663A9" w:rsidP="003663A9">
      <w:pPr>
        <w:rPr>
          <w:sz w:val="16"/>
        </w:rPr>
      </w:pPr>
      <w:r w:rsidRPr="00A70BF6">
        <w:rPr>
          <w:sz w:val="16"/>
        </w:rPr>
        <w:t>In 2017, Keeley and a team of scientists modeled thirty-seven different regions across the United States and found that “</w:t>
      </w:r>
      <w:r w:rsidRPr="0055228E">
        <w:rPr>
          <w:rStyle w:val="Emphasis"/>
          <w:highlight w:val="green"/>
        </w:rPr>
        <w:t>humans</w:t>
      </w:r>
      <w:r w:rsidRPr="00A70BF6">
        <w:rPr>
          <w:rStyle w:val="Emphasis"/>
        </w:rPr>
        <w:t xml:space="preserve"> may not only</w:t>
      </w:r>
      <w:r>
        <w:rPr>
          <w:rStyle w:val="Emphasis"/>
        </w:rPr>
        <w:t xml:space="preserve"> </w:t>
      </w:r>
      <w:r w:rsidRPr="00A70BF6">
        <w:rPr>
          <w:rStyle w:val="Emphasis"/>
        </w:rPr>
        <w:t xml:space="preserve">influence fire regimes but their </w:t>
      </w:r>
      <w:r w:rsidRPr="0055228E">
        <w:rPr>
          <w:rStyle w:val="Emphasis"/>
        </w:rPr>
        <w:t xml:space="preserve">presence </w:t>
      </w:r>
      <w:r w:rsidRPr="0055228E">
        <w:rPr>
          <w:rStyle w:val="Emphasis"/>
          <w:highlight w:val="green"/>
        </w:rPr>
        <w:t xml:space="preserve">can actually override, </w:t>
      </w:r>
      <w:r w:rsidRPr="00156AAF">
        <w:rPr>
          <w:rStyle w:val="Emphasis"/>
        </w:rPr>
        <w:t xml:space="preserve">or swamp out, the </w:t>
      </w:r>
      <w:r w:rsidRPr="0055228E">
        <w:rPr>
          <w:rStyle w:val="Emphasis"/>
          <w:highlight w:val="green"/>
        </w:rPr>
        <w:t>effects of climate</w:t>
      </w:r>
      <w:r w:rsidRPr="00A70BF6">
        <w:rPr>
          <w:rStyle w:val="Emphasis"/>
        </w:rPr>
        <w:t>.</w:t>
      </w:r>
      <w:r w:rsidRPr="00A70BF6">
        <w:rPr>
          <w:sz w:val="16"/>
        </w:rPr>
        <w:t>” Keeley’s team found that the only statistically significant factors for the frequency and severity of fires on an annual basis were population and proximity to development. 34</w:t>
      </w:r>
    </w:p>
    <w:p w14:paraId="0473BA2B" w14:textId="77777777" w:rsidR="003663A9" w:rsidRPr="00A70BF6" w:rsidRDefault="003663A9" w:rsidP="003663A9">
      <w:pPr>
        <w:rPr>
          <w:sz w:val="16"/>
        </w:rPr>
      </w:pPr>
      <w:r w:rsidRPr="00A70BF6">
        <w:rPr>
          <w:sz w:val="16"/>
        </w:rPr>
        <w:t>As for the Amazon, The New York Times reported, correctly, that “[the 2019] fires were not caused by climate change.”35</w:t>
      </w:r>
    </w:p>
    <w:p w14:paraId="66B9BE23" w14:textId="77777777" w:rsidR="003663A9" w:rsidRPr="00A70BF6" w:rsidRDefault="003663A9" w:rsidP="003663A9">
      <w:pPr>
        <w:rPr>
          <w:sz w:val="16"/>
        </w:rPr>
      </w:pPr>
      <w:r w:rsidRPr="00A70BF6">
        <w:rPr>
          <w:rStyle w:val="Emphasis"/>
        </w:rPr>
        <w:t>In early 2020</w:t>
      </w:r>
      <w:r w:rsidRPr="00156AAF">
        <w:rPr>
          <w:rStyle w:val="Emphasis"/>
        </w:rPr>
        <w:t xml:space="preserve">, scientists challenged the notion that rising carbon dioxide levels in the ocean were making coral reef fish species oblivious to predators. </w:t>
      </w:r>
      <w:r w:rsidRPr="00156AAF">
        <w:rPr>
          <w:sz w:val="16"/>
        </w:rPr>
        <w:t>The</w:t>
      </w:r>
      <w:r w:rsidRPr="00A70BF6">
        <w:rPr>
          <w:sz w:val="16"/>
        </w:rPr>
        <w:t xml:space="preserve"> seven scientists who published their study in the journal Nature had, three years earlier, raised questions about </w:t>
      </w:r>
      <w:r w:rsidRPr="00A70BF6">
        <w:rPr>
          <w:rStyle w:val="Emphasis"/>
        </w:rPr>
        <w:t>the marine biologist</w:t>
      </w:r>
      <w:r>
        <w:rPr>
          <w:rStyle w:val="Emphasis"/>
        </w:rPr>
        <w:t xml:space="preserve"> </w:t>
      </w:r>
      <w:r w:rsidRPr="00A70BF6">
        <w:rPr>
          <w:rStyle w:val="Emphasis"/>
        </w:rPr>
        <w:t>who had made such claims</w:t>
      </w:r>
      <w:r w:rsidRPr="00A70BF6">
        <w:rPr>
          <w:sz w:val="16"/>
        </w:rPr>
        <w:t xml:space="preserve"> in the journal Science in 2016. After an investigation, James Cook University in Australia concluded that the biologist </w:t>
      </w:r>
      <w:r w:rsidRPr="00A70BF6">
        <w:rPr>
          <w:rStyle w:val="Emphasis"/>
        </w:rPr>
        <w:t>had fabricated her data.</w:t>
      </w:r>
      <w:r>
        <w:rPr>
          <w:rStyle w:val="Emphasis"/>
        </w:rPr>
        <w:t xml:space="preserve"> </w:t>
      </w:r>
      <w:r w:rsidRPr="00A70BF6">
        <w:rPr>
          <w:sz w:val="16"/>
        </w:rPr>
        <w:t>36</w:t>
      </w:r>
    </w:p>
    <w:p w14:paraId="7EC03F98" w14:textId="77777777" w:rsidR="003663A9" w:rsidRPr="00A70BF6" w:rsidRDefault="003663A9" w:rsidP="003663A9">
      <w:pPr>
        <w:rPr>
          <w:sz w:val="16"/>
        </w:rPr>
      </w:pPr>
      <w:r w:rsidRPr="00A70BF6">
        <w:rPr>
          <w:rStyle w:val="Emphasis"/>
        </w:rPr>
        <w:t>When it comes to food production</w:t>
      </w:r>
      <w:r w:rsidRPr="00A70BF6">
        <w:rPr>
          <w:sz w:val="16"/>
        </w:rPr>
        <w:t xml:space="preserve">, the Food and Agriculture </w:t>
      </w:r>
      <w:r w:rsidRPr="00156AAF">
        <w:rPr>
          <w:sz w:val="16"/>
        </w:rPr>
        <w:t>Organization of the United Nations (</w:t>
      </w:r>
      <w:r w:rsidRPr="00156AAF">
        <w:rPr>
          <w:rStyle w:val="Emphasis"/>
        </w:rPr>
        <w:t>FAO</w:t>
      </w:r>
      <w:r w:rsidRPr="00156AAF">
        <w:rPr>
          <w:sz w:val="16"/>
        </w:rPr>
        <w:t xml:space="preserve">) </w:t>
      </w:r>
      <w:r w:rsidRPr="00156AAF">
        <w:rPr>
          <w:rStyle w:val="Emphasis"/>
        </w:rPr>
        <w:t xml:space="preserve">concludes that </w:t>
      </w:r>
      <w:r w:rsidRPr="00156AAF">
        <w:rPr>
          <w:rStyle w:val="Emphasis"/>
          <w:highlight w:val="green"/>
        </w:rPr>
        <w:t>crop yields will increase</w:t>
      </w:r>
      <w:r w:rsidRPr="00156AAF">
        <w:rPr>
          <w:rStyle w:val="Emphasis"/>
        </w:rPr>
        <w:t xml:space="preserve"> significantly, under a wide range of climate change scenarios. </w:t>
      </w:r>
      <w:r w:rsidRPr="00156AAF">
        <w:rPr>
          <w:sz w:val="16"/>
        </w:rPr>
        <w:t xml:space="preserve">37 </w:t>
      </w:r>
      <w:r w:rsidRPr="00156AAF">
        <w:rPr>
          <w:rStyle w:val="Emphasis"/>
        </w:rPr>
        <w:t>Humans today produce enough food for ten billion people, a 25 percent surplus,</w:t>
      </w:r>
      <w:r w:rsidRPr="00156AAF">
        <w:rPr>
          <w:sz w:val="16"/>
        </w:rPr>
        <w:t xml:space="preserve"> and </w:t>
      </w:r>
      <w:r w:rsidRPr="00156AAF">
        <w:rPr>
          <w:rStyle w:val="Emphasis"/>
        </w:rPr>
        <w:t>experts believe we will produce even more</w:t>
      </w:r>
      <w:r w:rsidRPr="00A70BF6">
        <w:rPr>
          <w:rStyle w:val="Emphasis"/>
        </w:rPr>
        <w:t xml:space="preserve"> despite climate</w:t>
      </w:r>
      <w:r>
        <w:rPr>
          <w:rStyle w:val="Emphasis"/>
        </w:rPr>
        <w:t xml:space="preserve"> </w:t>
      </w:r>
      <w:r w:rsidRPr="00A70BF6">
        <w:rPr>
          <w:sz w:val="16"/>
        </w:rPr>
        <w:t>change. 38</w:t>
      </w:r>
    </w:p>
    <w:p w14:paraId="3054A63A" w14:textId="77777777" w:rsidR="003663A9" w:rsidRPr="00A70BF6" w:rsidRDefault="003663A9" w:rsidP="003663A9">
      <w:pPr>
        <w:rPr>
          <w:sz w:val="16"/>
        </w:rPr>
      </w:pPr>
      <w:r w:rsidRPr="00A70BF6">
        <w:rPr>
          <w:rStyle w:val="Emphasis"/>
        </w:rPr>
        <w:t xml:space="preserve">Food </w:t>
      </w:r>
      <w:r w:rsidRPr="00156AAF">
        <w:rPr>
          <w:rStyle w:val="Emphasis"/>
        </w:rPr>
        <w:t>production</w:t>
      </w:r>
      <w:r w:rsidRPr="00156AAF">
        <w:rPr>
          <w:sz w:val="16"/>
        </w:rPr>
        <w:t xml:space="preserve">, the FAO finds, </w:t>
      </w:r>
      <w:r w:rsidRPr="00156AAF">
        <w:rPr>
          <w:rStyle w:val="Emphasis"/>
        </w:rPr>
        <w:t>will depend more on access to tractors, irrigation, and fertilizer than on climate change</w:t>
      </w:r>
      <w:r w:rsidRPr="00156AAF">
        <w:rPr>
          <w:sz w:val="16"/>
        </w:rPr>
        <w:t>, just as</w:t>
      </w:r>
      <w:r w:rsidRPr="00A70BF6">
        <w:rPr>
          <w:sz w:val="16"/>
        </w:rPr>
        <w:t xml:space="preserve"> it did in the last century. The FAO projects that </w:t>
      </w:r>
      <w:r w:rsidRPr="00156AAF">
        <w:rPr>
          <w:rStyle w:val="Emphasis"/>
        </w:rPr>
        <w:t>even farmers in the poorest regions</w:t>
      </w:r>
      <w:r w:rsidRPr="00156AAF">
        <w:rPr>
          <w:sz w:val="16"/>
        </w:rPr>
        <w:t xml:space="preserve"> today, like sub-Saharan Africa, </w:t>
      </w:r>
      <w:r w:rsidRPr="00156AAF">
        <w:rPr>
          <w:rStyle w:val="Emphasis"/>
        </w:rPr>
        <w:t xml:space="preserve">may see 40 percent crop yield increases </w:t>
      </w:r>
      <w:r w:rsidRPr="00156AAF">
        <w:rPr>
          <w:rStyle w:val="Emphasis"/>
          <w:highlight w:val="green"/>
        </w:rPr>
        <w:t>from technological improvements</w:t>
      </w:r>
      <w:r w:rsidRPr="00156AAF">
        <w:rPr>
          <w:rStyle w:val="Emphasis"/>
        </w:rPr>
        <w:t xml:space="preserve"> alone</w:t>
      </w:r>
      <w:r w:rsidRPr="00A70BF6">
        <w:rPr>
          <w:rStyle w:val="Emphasis"/>
        </w:rPr>
        <w:t>.</w:t>
      </w:r>
      <w:r>
        <w:rPr>
          <w:rStyle w:val="Emphasis"/>
        </w:rPr>
        <w:t xml:space="preserve"> </w:t>
      </w:r>
      <w:r w:rsidRPr="00A70BF6">
        <w:rPr>
          <w:sz w:val="16"/>
        </w:rPr>
        <w:t>39</w:t>
      </w:r>
    </w:p>
    <w:p w14:paraId="3A79CA39" w14:textId="77777777" w:rsidR="003663A9" w:rsidRPr="00A70BF6" w:rsidRDefault="003663A9" w:rsidP="003663A9">
      <w:pPr>
        <w:rPr>
          <w:sz w:val="16"/>
        </w:rPr>
      </w:pPr>
      <w:r w:rsidRPr="00A70BF6">
        <w:rPr>
          <w:sz w:val="16"/>
        </w:rPr>
        <w:t>In its fourth assessment report, the IPCC projected that by 2100, the global economy would be three to six times larger than it is today, and that the costs of adapting to a high (4 degrees Celsius) temperature rise would reduce gross domestic product (GDP) just 4.5 percent. 40</w:t>
      </w:r>
    </w:p>
    <w:p w14:paraId="6D4FCDA9" w14:textId="77777777" w:rsidR="003663A9" w:rsidRPr="00A70BF6" w:rsidRDefault="003663A9" w:rsidP="003663A9">
      <w:pPr>
        <w:rPr>
          <w:rStyle w:val="Emphasis"/>
        </w:rPr>
      </w:pPr>
      <w:r w:rsidRPr="00A70BF6">
        <w:rPr>
          <w:rStyle w:val="Emphasis"/>
        </w:rPr>
        <w:t>Does any of that really sound like the end of the world?</w:t>
      </w:r>
    </w:p>
    <w:bookmarkEnd w:id="0"/>
    <w:p w14:paraId="2991CE3F" w14:textId="77777777" w:rsidR="003663A9" w:rsidRDefault="003663A9" w:rsidP="003663A9"/>
    <w:p w14:paraId="59A2187B" w14:textId="77777777" w:rsidR="003663A9" w:rsidRDefault="003663A9" w:rsidP="003663A9">
      <w:pPr>
        <w:pStyle w:val="Heading4"/>
      </w:pPr>
      <w:r>
        <w:t xml:space="preserve">Impacts are over hundreds of years and humans adapt </w:t>
      </w:r>
    </w:p>
    <w:p w14:paraId="3A921F78" w14:textId="77777777" w:rsidR="003663A9" w:rsidRPr="00313C88" w:rsidRDefault="003663A9" w:rsidP="003663A9">
      <w:r w:rsidRPr="00CE323C">
        <w:rPr>
          <w:rStyle w:val="Style13ptBold"/>
        </w:rPr>
        <w:t>Hurt 21</w:t>
      </w:r>
      <w:r>
        <w:t xml:space="preserve"> (Avery, Science Journalist whose work has appeared in Science News for Students, Discover, National Geographic Kids, Double Helix, Parents, Newsweek, The Washington Post, Muse, “How to Survive a Climate Apocalypse.” Discover, 6/25/21, </w:t>
      </w:r>
      <w:hyperlink r:id="rId66" w:history="1">
        <w:r w:rsidRPr="000D3968">
          <w:rPr>
            <w:rStyle w:val="Hyperlink"/>
          </w:rPr>
          <w:t>https://www.discovermagazine.com/planet-earth/how-to-survive-a-climate-apocalypse</w:t>
        </w:r>
      </w:hyperlink>
      <w:r>
        <w:t>,)</w:t>
      </w:r>
    </w:p>
    <w:p w14:paraId="12CE10F1" w14:textId="77777777" w:rsidR="003663A9" w:rsidRPr="00313C88" w:rsidRDefault="003663A9" w:rsidP="003663A9">
      <w:pPr>
        <w:rPr>
          <w:sz w:val="16"/>
        </w:rPr>
      </w:pPr>
      <w:r w:rsidRPr="00313C88">
        <w:rPr>
          <w:sz w:val="16"/>
        </w:rPr>
        <w:t>What About Us?</w:t>
      </w:r>
    </w:p>
    <w:p w14:paraId="066CB8EF" w14:textId="77777777" w:rsidR="003663A9" w:rsidRPr="00313C88" w:rsidRDefault="003663A9" w:rsidP="003663A9">
      <w:pPr>
        <w:rPr>
          <w:u w:val="single"/>
        </w:rPr>
      </w:pPr>
      <w:r w:rsidRPr="003174E8">
        <w:rPr>
          <w:sz w:val="16"/>
          <w:highlight w:val="green"/>
        </w:rPr>
        <w:t xml:space="preserve">So </w:t>
      </w:r>
      <w:r w:rsidRPr="003174E8">
        <w:rPr>
          <w:rStyle w:val="Emphasis"/>
          <w:highlight w:val="green"/>
        </w:rPr>
        <w:t>how likely are humans to survive the next few hundred years</w:t>
      </w:r>
      <w:r w:rsidRPr="00313C88">
        <w:rPr>
          <w:rStyle w:val="Emphasis"/>
        </w:rPr>
        <w:t>?</w:t>
      </w:r>
      <w:r w:rsidRPr="00313C88">
        <w:rPr>
          <w:sz w:val="16"/>
        </w:rPr>
        <w:t xml:space="preserve"> “I’d </w:t>
      </w:r>
      <w:r w:rsidRPr="003174E8">
        <w:rPr>
          <w:sz w:val="16"/>
        </w:rPr>
        <w:t xml:space="preserve">say </w:t>
      </w:r>
      <w:r w:rsidRPr="003174E8">
        <w:rPr>
          <w:rStyle w:val="Emphasis"/>
          <w:highlight w:val="green"/>
        </w:rPr>
        <w:t>if any species in the planet is likely to make it that’s humans</w:t>
      </w:r>
      <w:r w:rsidRPr="00313C88">
        <w:rPr>
          <w:rStyle w:val="Emphasis"/>
        </w:rPr>
        <w:t>,”</w:t>
      </w:r>
      <w:r w:rsidRPr="00313C88">
        <w:rPr>
          <w:sz w:val="16"/>
        </w:rPr>
        <w:t xml:space="preserve"> says Ignacio Morales-Castilla, an ecologist at the University of Alcalá in Alcalá de Henares, Spain, whose research focuses on predicting the future of biodiversity in the changing world. “</w:t>
      </w:r>
      <w:r w:rsidRPr="003174E8">
        <w:rPr>
          <w:rStyle w:val="Emphasis"/>
          <w:highlight w:val="green"/>
        </w:rPr>
        <w:t>There are few examples,</w:t>
      </w:r>
      <w:r w:rsidRPr="00313C88">
        <w:rPr>
          <w:rStyle w:val="Emphasis"/>
        </w:rPr>
        <w:t xml:space="preserve"> if any</w:t>
      </w:r>
      <w:r w:rsidRPr="003174E8">
        <w:rPr>
          <w:rStyle w:val="Emphasis"/>
          <w:highlight w:val="green"/>
        </w:rPr>
        <w:t>, of species with our ability to adapt to almost any environmental condition.”</w:t>
      </w:r>
    </w:p>
    <w:p w14:paraId="13FF51F6" w14:textId="77777777" w:rsidR="003663A9" w:rsidRPr="00313C88" w:rsidRDefault="003663A9" w:rsidP="003663A9">
      <w:pPr>
        <w:rPr>
          <w:sz w:val="16"/>
        </w:rPr>
      </w:pPr>
      <w:r w:rsidRPr="00313C88">
        <w:rPr>
          <w:sz w:val="16"/>
        </w:rPr>
        <w:t xml:space="preserve">But surviving doesn’t mean thriving. Leonard-Pingel agrees that </w:t>
      </w:r>
      <w:r w:rsidRPr="003174E8">
        <w:rPr>
          <w:rStyle w:val="Emphasis"/>
          <w:highlight w:val="green"/>
        </w:rPr>
        <w:t>humans are likely to survive this current extinction event</w:t>
      </w:r>
      <w:r w:rsidRPr="00313C88">
        <w:rPr>
          <w:rStyle w:val="Emphasis"/>
        </w:rPr>
        <w:t>.</w:t>
      </w:r>
      <w:r w:rsidRPr="00313C88">
        <w:rPr>
          <w:sz w:val="16"/>
        </w:rPr>
        <w:t xml:space="preserve"> The question, however, is what that survival will be like if we stay on the same course. “I think we are probably going to have severe consequences from our actions, including, probably, war and famine and drought and disease—all kinds of nasty things that are not going to be pleasant for humans.”</w:t>
      </w:r>
    </w:p>
    <w:p w14:paraId="44F8197E" w14:textId="77777777" w:rsidR="003663A9" w:rsidRPr="00037C8C" w:rsidRDefault="003663A9" w:rsidP="003663A9">
      <w:pPr>
        <w:rPr>
          <w:sz w:val="16"/>
        </w:rPr>
      </w:pPr>
      <w:r w:rsidRPr="00313C88">
        <w:rPr>
          <w:sz w:val="16"/>
        </w:rPr>
        <w:t xml:space="preserve">Still, she has hope that we will reverse course in time to stave off the worst. </w:t>
      </w:r>
      <w:r w:rsidRPr="003174E8">
        <w:rPr>
          <w:rStyle w:val="Emphasis"/>
          <w:highlight w:val="green"/>
        </w:rPr>
        <w:t>The human species is not only the driver of the current extinction crisis, it’s the best hope of slowing it</w:t>
      </w:r>
      <w:r w:rsidRPr="00313C88">
        <w:rPr>
          <w:rStyle w:val="Emphasis"/>
        </w:rPr>
        <w:t>.</w:t>
      </w:r>
      <w:r w:rsidRPr="00313C88">
        <w:rPr>
          <w:sz w:val="16"/>
        </w:rPr>
        <w:t xml:space="preserve"> “Young people are beginning to see climate change as less a political issue than a human one,” she says. “When that happens, </w:t>
      </w:r>
      <w:r w:rsidRPr="003174E8">
        <w:rPr>
          <w:rStyle w:val="Emphasis"/>
          <w:highlight w:val="green"/>
        </w:rPr>
        <w:t>we can make changes and make progress</w:t>
      </w:r>
      <w:r w:rsidRPr="00313C88">
        <w:rPr>
          <w:rStyle w:val="Emphasis"/>
        </w:rPr>
        <w:t>.</w:t>
      </w:r>
      <w:r w:rsidRPr="00313C88">
        <w:rPr>
          <w:sz w:val="16"/>
        </w:rPr>
        <w:t xml:space="preserve"> We can have a fruitful conversation about how we go about combating it. We can actually start talking about solutions.” </w:t>
      </w:r>
    </w:p>
    <w:p w14:paraId="7CF6C96A" w14:textId="77777777" w:rsidR="003663A9" w:rsidRDefault="003663A9" w:rsidP="003663A9"/>
    <w:p w14:paraId="2299F520" w14:textId="77777777" w:rsidR="003663A9" w:rsidRDefault="003663A9" w:rsidP="003663A9">
      <w:pPr>
        <w:pStyle w:val="Heading3"/>
      </w:pPr>
      <w:r>
        <w:t>No Impact – No War</w:t>
      </w:r>
    </w:p>
    <w:p w14:paraId="075D8BCB" w14:textId="77777777" w:rsidR="003663A9" w:rsidRDefault="003663A9" w:rsidP="003663A9"/>
    <w:p w14:paraId="2AC8A2F2" w14:textId="77777777" w:rsidR="003663A9" w:rsidRDefault="003663A9" w:rsidP="003663A9">
      <w:pPr>
        <w:pStyle w:val="Heading4"/>
      </w:pPr>
      <w:r>
        <w:t>No impact uniqueness – there’s no causal relationship between climate change and conflict – other factors are better indicators of conflict</w:t>
      </w:r>
    </w:p>
    <w:p w14:paraId="6E1FDA3B" w14:textId="77777777" w:rsidR="003663A9" w:rsidRPr="00F9735F" w:rsidRDefault="003663A9" w:rsidP="003663A9">
      <w:pPr>
        <w:rPr>
          <w:rStyle w:val="Style13ptBold"/>
        </w:rPr>
      </w:pPr>
      <w:r>
        <w:rPr>
          <w:rStyle w:val="Style13ptBold"/>
        </w:rPr>
        <w:t>Vidal, ‘19</w:t>
      </w:r>
    </w:p>
    <w:p w14:paraId="5703EBBD" w14:textId="77777777" w:rsidR="003663A9" w:rsidRPr="007C0D48" w:rsidRDefault="003663A9" w:rsidP="003663A9">
      <w:r w:rsidRPr="007C0D48">
        <w:t>(John, Environment editor at Ensia, “Is Climate Change Responsible for the Conflicts We’re Seeing Around the World Today?,” Ensia, 15 October 2019, https://ensia.com/features/climate-change-conflict-violence-extremism-draught-flood/,)</w:t>
      </w:r>
    </w:p>
    <w:p w14:paraId="4C77977D" w14:textId="77777777" w:rsidR="003663A9" w:rsidRPr="0019306F" w:rsidRDefault="003663A9" w:rsidP="003663A9">
      <w:pPr>
        <w:rPr>
          <w:sz w:val="16"/>
        </w:rPr>
      </w:pPr>
      <w:r w:rsidRPr="0019306F">
        <w:rPr>
          <w:sz w:val="16"/>
        </w:rPr>
        <w:t xml:space="preserve">Today de Waal says </w:t>
      </w:r>
      <w:r w:rsidRPr="0045691F">
        <w:rPr>
          <w:rStyle w:val="Emphasis"/>
        </w:rPr>
        <w:t xml:space="preserve">there is </w:t>
      </w:r>
      <w:r w:rsidRPr="00332678">
        <w:rPr>
          <w:rStyle w:val="Emphasis"/>
          <w:highlight w:val="cyan"/>
        </w:rPr>
        <w:t xml:space="preserve">no </w:t>
      </w:r>
      <w:r w:rsidRPr="0045691F">
        <w:rPr>
          <w:rStyle w:val="Emphasis"/>
        </w:rPr>
        <w:t xml:space="preserve">new </w:t>
      </w:r>
      <w:r w:rsidRPr="00332678">
        <w:rPr>
          <w:rStyle w:val="Emphasis"/>
          <w:highlight w:val="cyan"/>
        </w:rPr>
        <w:t>evidence to directly link climate change and conflict</w:t>
      </w:r>
      <w:r w:rsidRPr="0045691F">
        <w:rPr>
          <w:rStyle w:val="Emphasis"/>
        </w:rPr>
        <w:t>.</w:t>
      </w:r>
    </w:p>
    <w:p w14:paraId="22FB6A7B" w14:textId="77777777" w:rsidR="003663A9" w:rsidRPr="0019306F" w:rsidRDefault="003663A9" w:rsidP="003663A9">
      <w:pPr>
        <w:rPr>
          <w:sz w:val="16"/>
        </w:rPr>
      </w:pPr>
      <w:r w:rsidRPr="0019306F">
        <w:rPr>
          <w:sz w:val="16"/>
        </w:rPr>
        <w:t>“</w:t>
      </w:r>
      <w:r w:rsidRPr="0019306F">
        <w:rPr>
          <w:rStyle w:val="Emphasis"/>
        </w:rPr>
        <w:t xml:space="preserve">There has been an uptick in </w:t>
      </w:r>
      <w:r w:rsidRPr="00332678">
        <w:rPr>
          <w:rStyle w:val="Emphasis"/>
          <w:highlight w:val="cyan"/>
        </w:rPr>
        <w:t xml:space="preserve">conflict </w:t>
      </w:r>
      <w:r w:rsidRPr="0019306F">
        <w:rPr>
          <w:rStyle w:val="Emphasis"/>
        </w:rPr>
        <w:t xml:space="preserve">in the past 10 years, but it </w:t>
      </w:r>
      <w:r w:rsidRPr="00332678">
        <w:rPr>
          <w:rStyle w:val="Emphasis"/>
          <w:highlight w:val="cyan"/>
        </w:rPr>
        <w:t xml:space="preserve">is </w:t>
      </w:r>
      <w:r w:rsidRPr="0019306F">
        <w:rPr>
          <w:rStyle w:val="Emphasis"/>
        </w:rPr>
        <w:t xml:space="preserve">still </w:t>
      </w:r>
      <w:r w:rsidRPr="00332678">
        <w:rPr>
          <w:rStyle w:val="Emphasis"/>
          <w:highlight w:val="cyan"/>
        </w:rPr>
        <w:t>in overall decline</w:t>
      </w:r>
      <w:r w:rsidRPr="0019306F">
        <w:rPr>
          <w:sz w:val="16"/>
        </w:rPr>
        <w:t xml:space="preserve">,” he says. “Everywhere you look at a specific conflict there are a whole lot of determining factors. In some you can identify a climate element. </w:t>
      </w:r>
      <w:r w:rsidRPr="00332678">
        <w:rPr>
          <w:rStyle w:val="Emphasis"/>
          <w:highlight w:val="cyan"/>
        </w:rPr>
        <w:t>In Syria</w:t>
      </w:r>
      <w:r w:rsidRPr="00332678">
        <w:rPr>
          <w:sz w:val="16"/>
          <w:highlight w:val="cyan"/>
        </w:rPr>
        <w:t xml:space="preserve"> </w:t>
      </w:r>
      <w:r w:rsidRPr="0019306F">
        <w:rPr>
          <w:sz w:val="16"/>
        </w:rPr>
        <w:t xml:space="preserve">there was </w:t>
      </w:r>
      <w:r w:rsidRPr="0019306F">
        <w:rPr>
          <w:rStyle w:val="Emphasis"/>
        </w:rPr>
        <w:t xml:space="preserve">a </w:t>
      </w:r>
      <w:r w:rsidRPr="00332678">
        <w:rPr>
          <w:rStyle w:val="Emphasis"/>
          <w:highlight w:val="cyan"/>
        </w:rPr>
        <w:t>drought exacerbated by poor water management coinciding with a spike in the price of world food</w:t>
      </w:r>
      <w:r w:rsidRPr="0019306F">
        <w:rPr>
          <w:sz w:val="16"/>
        </w:rPr>
        <w:t xml:space="preserve">, which </w:t>
      </w:r>
      <w:r w:rsidRPr="00332678">
        <w:rPr>
          <w:rStyle w:val="Emphasis"/>
          <w:highlight w:val="cyan"/>
        </w:rPr>
        <w:t>was not climate related but due to commodity speculation</w:t>
      </w:r>
      <w:r w:rsidRPr="0019306F">
        <w:rPr>
          <w:rStyle w:val="Emphasis"/>
        </w:rPr>
        <w:t>.</w:t>
      </w:r>
      <w:r w:rsidRPr="0019306F">
        <w:rPr>
          <w:sz w:val="16"/>
        </w:rPr>
        <w:t xml:space="preserve"> </w:t>
      </w:r>
      <w:r w:rsidRPr="0019306F">
        <w:rPr>
          <w:rStyle w:val="Emphasis"/>
        </w:rPr>
        <w:t>[Conflict] is never due to one factor</w:t>
      </w:r>
      <w:r w:rsidRPr="0019306F">
        <w:rPr>
          <w:sz w:val="16"/>
        </w:rPr>
        <w:t xml:space="preserve">; always many. </w:t>
      </w:r>
      <w:r w:rsidRPr="0019306F">
        <w:rPr>
          <w:rStyle w:val="Emphasis"/>
        </w:rPr>
        <w:t xml:space="preserve">A lot of </w:t>
      </w:r>
      <w:r w:rsidRPr="00332678">
        <w:rPr>
          <w:rStyle w:val="Emphasis"/>
          <w:highlight w:val="cyan"/>
        </w:rPr>
        <w:t>research is by people looking for simplistic, causal links</w:t>
      </w:r>
      <w:r w:rsidRPr="0019306F">
        <w:rPr>
          <w:sz w:val="16"/>
        </w:rPr>
        <w:t>,” he says. “However, it is true that climate change is generating more extreme events and makes it more likely that bad things will happen.”</w:t>
      </w:r>
    </w:p>
    <w:p w14:paraId="2230C2E2" w14:textId="77777777" w:rsidR="003663A9" w:rsidRPr="009F188D" w:rsidRDefault="003663A9" w:rsidP="003663A9">
      <w:pPr>
        <w:rPr>
          <w:rStyle w:val="Emphasis"/>
        </w:rPr>
      </w:pPr>
      <w:r w:rsidRPr="009F188D">
        <w:rPr>
          <w:sz w:val="16"/>
        </w:rPr>
        <w:t xml:space="preserve">Halvard </w:t>
      </w:r>
      <w:r w:rsidRPr="00332678">
        <w:rPr>
          <w:rStyle w:val="Emphasis"/>
          <w:highlight w:val="cyan"/>
        </w:rPr>
        <w:t>Buhaug</w:t>
      </w:r>
      <w:r w:rsidRPr="009F188D">
        <w:rPr>
          <w:sz w:val="16"/>
        </w:rPr>
        <w:t xml:space="preserve">, research professor at the Peace Research Institute Oslo (PRIO), has </w:t>
      </w:r>
      <w:r w:rsidRPr="00332678">
        <w:rPr>
          <w:rStyle w:val="Emphasis"/>
          <w:highlight w:val="cyan"/>
        </w:rPr>
        <w:t>studied civil wars in</w:t>
      </w:r>
      <w:r w:rsidRPr="00332678">
        <w:rPr>
          <w:sz w:val="16"/>
          <w:highlight w:val="cyan"/>
        </w:rPr>
        <w:t xml:space="preserve"> </w:t>
      </w:r>
      <w:r w:rsidRPr="009F188D">
        <w:rPr>
          <w:sz w:val="16"/>
        </w:rPr>
        <w:t xml:space="preserve">both </w:t>
      </w:r>
      <w:r w:rsidRPr="00332678">
        <w:rPr>
          <w:rStyle w:val="Emphasis"/>
          <w:highlight w:val="cyan"/>
        </w:rPr>
        <w:t>Africa and Asia and</w:t>
      </w:r>
      <w:r w:rsidRPr="00332678">
        <w:rPr>
          <w:sz w:val="16"/>
          <w:highlight w:val="cyan"/>
        </w:rPr>
        <w:t xml:space="preserve"> </w:t>
      </w:r>
      <w:r w:rsidRPr="009F188D">
        <w:rPr>
          <w:sz w:val="16"/>
        </w:rPr>
        <w:t xml:space="preserve">has written that he </w:t>
      </w:r>
      <w:r w:rsidRPr="00332678">
        <w:rPr>
          <w:rStyle w:val="Emphasis"/>
          <w:highlight w:val="cyan"/>
        </w:rPr>
        <w:t>finds no causal links with climate on either continent</w:t>
      </w:r>
      <w:r w:rsidRPr="009F188D">
        <w:rPr>
          <w:rStyle w:val="Emphasis"/>
        </w:rPr>
        <w:t>.</w:t>
      </w:r>
    </w:p>
    <w:p w14:paraId="43B1158B" w14:textId="77777777" w:rsidR="003663A9" w:rsidRPr="009F188D" w:rsidRDefault="003663A9" w:rsidP="003663A9">
      <w:pPr>
        <w:rPr>
          <w:sz w:val="16"/>
        </w:rPr>
      </w:pPr>
      <w:r w:rsidRPr="009B4FE5">
        <w:rPr>
          <w:rStyle w:val="Emphasis"/>
          <w:highlight w:val="cyan"/>
        </w:rPr>
        <w:t>“[C]limate variability is a poor predictor of armed conflict</w:t>
      </w:r>
      <w:r w:rsidRPr="009F188D">
        <w:rPr>
          <w:rStyle w:val="Emphasis"/>
        </w:rPr>
        <w:t>.</w:t>
      </w:r>
      <w:r w:rsidRPr="009F188D">
        <w:rPr>
          <w:sz w:val="16"/>
        </w:rPr>
        <w:t xml:space="preserve"> Instead, </w:t>
      </w:r>
      <w:r w:rsidRPr="009F188D">
        <w:rPr>
          <w:rStyle w:val="Emphasis"/>
        </w:rPr>
        <w:t>African civil wars can be explained by</w:t>
      </w:r>
      <w:r w:rsidRPr="009F188D">
        <w:rPr>
          <w:sz w:val="16"/>
        </w:rPr>
        <w:t xml:space="preserve"> generic structural and contextual conditions: </w:t>
      </w:r>
      <w:r w:rsidRPr="009F188D">
        <w:rPr>
          <w:rStyle w:val="Emphasis"/>
        </w:rPr>
        <w:t>prevalent ethno-political exclusion, poor national economy, and the collapse of the Cold War system</w:t>
      </w:r>
      <w:r w:rsidRPr="009F188D">
        <w:rPr>
          <w:sz w:val="16"/>
        </w:rPr>
        <w:t xml:space="preserve">,” he wrote in the journal PNAS. “The </w:t>
      </w:r>
      <w:r w:rsidRPr="009B4FE5">
        <w:rPr>
          <w:rStyle w:val="Emphasis"/>
          <w:highlight w:val="cyan"/>
        </w:rPr>
        <w:t>primary causes of civil war are political</w:t>
      </w:r>
      <w:r w:rsidRPr="009F188D">
        <w:rPr>
          <w:sz w:val="16"/>
        </w:rPr>
        <w:t xml:space="preserve">, </w:t>
      </w:r>
      <w:r w:rsidRPr="009F188D">
        <w:rPr>
          <w:rStyle w:val="Emphasis"/>
        </w:rPr>
        <w:t>not environmental</w:t>
      </w:r>
      <w:r w:rsidRPr="009F188D">
        <w:rPr>
          <w:sz w:val="16"/>
        </w:rPr>
        <w:t>, and although environmental conditions may change with future warming, general correlates of conflicts and wars are likely to prevail.”</w:t>
      </w:r>
    </w:p>
    <w:p w14:paraId="7B944D3C" w14:textId="77777777" w:rsidR="003663A9" w:rsidRPr="00DA65A1" w:rsidRDefault="003663A9" w:rsidP="003663A9">
      <w:pPr>
        <w:rPr>
          <w:sz w:val="16"/>
          <w:szCs w:val="16"/>
        </w:rPr>
      </w:pPr>
      <w:r w:rsidRPr="00DA65A1">
        <w:rPr>
          <w:sz w:val="16"/>
          <w:szCs w:val="16"/>
        </w:rPr>
        <w:t>Hakim Abdi, a researcher at Lund University in Sweden, refutes research that climate has played a part in the Somali conflict.</w:t>
      </w:r>
    </w:p>
    <w:p w14:paraId="0363EB8A" w14:textId="77777777" w:rsidR="003663A9" w:rsidRPr="009B4FE5" w:rsidRDefault="003663A9" w:rsidP="003663A9">
      <w:pPr>
        <w:rPr>
          <w:rStyle w:val="Emphasis"/>
          <w:highlight w:val="cyan"/>
        </w:rPr>
      </w:pPr>
      <w:r w:rsidRPr="00DA65A1">
        <w:rPr>
          <w:sz w:val="16"/>
        </w:rPr>
        <w:t>He wrote in The Conversation in 2017: “</w:t>
      </w:r>
      <w:r w:rsidRPr="00DA65A1">
        <w:rPr>
          <w:rStyle w:val="Emphasis"/>
        </w:rPr>
        <w:t>Conflict in Somalia has deep political roots that go back decades.</w:t>
      </w:r>
      <w:r w:rsidRPr="00DA65A1">
        <w:rPr>
          <w:sz w:val="16"/>
        </w:rPr>
        <w:t xml:space="preserve"> … </w:t>
      </w:r>
      <w:r w:rsidRPr="00DA65A1">
        <w:rPr>
          <w:rStyle w:val="Emphasis"/>
        </w:rPr>
        <w:t>[A]l-Shabaab takes advantage of the hunger and desperation caused by drought</w:t>
      </w:r>
      <w:r w:rsidRPr="00DA65A1">
        <w:rPr>
          <w:sz w:val="16"/>
        </w:rPr>
        <w:t xml:space="preserve">. In this way, climate worsens the conflict by giving al-Shabaab more manpower. … </w:t>
      </w:r>
      <w:r w:rsidRPr="009B4FE5">
        <w:rPr>
          <w:rStyle w:val="Emphasis"/>
          <w:highlight w:val="cyan"/>
        </w:rPr>
        <w:t>It is wrong to blame climate change for famine and conflict. These can</w:t>
      </w:r>
      <w:r w:rsidRPr="009B4FE5">
        <w:rPr>
          <w:sz w:val="16"/>
          <w:highlight w:val="cyan"/>
        </w:rPr>
        <w:t xml:space="preserve"> </w:t>
      </w:r>
      <w:r w:rsidRPr="00DA65A1">
        <w:rPr>
          <w:sz w:val="16"/>
        </w:rPr>
        <w:t xml:space="preserve">either </w:t>
      </w:r>
      <w:r w:rsidRPr="009B4FE5">
        <w:rPr>
          <w:rStyle w:val="Emphasis"/>
          <w:highlight w:val="cyan"/>
        </w:rPr>
        <w:t>be</w:t>
      </w:r>
      <w:r w:rsidRPr="009B4FE5">
        <w:rPr>
          <w:sz w:val="16"/>
          <w:highlight w:val="cyan"/>
        </w:rPr>
        <w:t xml:space="preserve"> </w:t>
      </w:r>
      <w:r w:rsidRPr="00DA65A1">
        <w:rPr>
          <w:rStyle w:val="Emphasis"/>
        </w:rPr>
        <w:t>prevented, or</w:t>
      </w:r>
      <w:r w:rsidRPr="00DA65A1">
        <w:rPr>
          <w:sz w:val="16"/>
        </w:rPr>
        <w:t xml:space="preserve"> the impact </w:t>
      </w:r>
      <w:r w:rsidRPr="009B4FE5">
        <w:rPr>
          <w:rStyle w:val="Emphasis"/>
          <w:highlight w:val="cyan"/>
        </w:rPr>
        <w:t>minimised</w:t>
      </w:r>
      <w:r w:rsidRPr="009B4FE5">
        <w:rPr>
          <w:sz w:val="16"/>
          <w:highlight w:val="cyan"/>
        </w:rPr>
        <w:t xml:space="preserve">, </w:t>
      </w:r>
      <w:r w:rsidRPr="009B4FE5">
        <w:rPr>
          <w:rStyle w:val="Emphasis"/>
          <w:highlight w:val="cyan"/>
        </w:rPr>
        <w:t>if institutions and mechanisms of good governance are in place.”</w:t>
      </w:r>
    </w:p>
    <w:p w14:paraId="2B4FC09C" w14:textId="77777777" w:rsidR="003663A9" w:rsidRPr="00E57104" w:rsidRDefault="003663A9" w:rsidP="003663A9">
      <w:pPr>
        <w:rPr>
          <w:sz w:val="16"/>
          <w:szCs w:val="16"/>
        </w:rPr>
      </w:pPr>
      <w:r w:rsidRPr="00E57104">
        <w:rPr>
          <w:sz w:val="16"/>
          <w:szCs w:val="16"/>
        </w:rPr>
        <w:t>Surprising Unanimity</w:t>
      </w:r>
    </w:p>
    <w:p w14:paraId="2D9CF258" w14:textId="77777777" w:rsidR="003663A9" w:rsidRPr="00E57104" w:rsidRDefault="003663A9" w:rsidP="003663A9">
      <w:pPr>
        <w:rPr>
          <w:sz w:val="16"/>
          <w:szCs w:val="16"/>
        </w:rPr>
      </w:pPr>
      <w:r w:rsidRPr="00E57104">
        <w:rPr>
          <w:sz w:val="16"/>
          <w:szCs w:val="16"/>
        </w:rPr>
        <w:t>Faced with such seemingly huge disagreements, it is hard to determine climate’s role in present conflict, says Katharine Mach. An associate professor at the University of Miami Rosenstiel School of Marine and Atmospheric Science, Mach is lead author of a recent paper in Nature that questioned 11 prominent conflict and climate researchers, including political scientists, economists, geographers and environmental academics.</w:t>
      </w:r>
    </w:p>
    <w:p w14:paraId="7909F35B" w14:textId="77777777" w:rsidR="003663A9" w:rsidRPr="009B4FE5" w:rsidRDefault="003663A9" w:rsidP="003663A9">
      <w:pPr>
        <w:rPr>
          <w:rStyle w:val="Emphasis"/>
          <w:highlight w:val="cyan"/>
        </w:rPr>
      </w:pPr>
      <w:r w:rsidRPr="00D7153E">
        <w:rPr>
          <w:sz w:val="16"/>
        </w:rPr>
        <w:t xml:space="preserve">Beneath the initial dissent among them, she says, she found “surprising unanimity” that climate can and does determine the risk of organized armed conflict. But </w:t>
      </w:r>
      <w:r w:rsidRPr="009B4FE5">
        <w:rPr>
          <w:rStyle w:val="Emphasis"/>
          <w:highlight w:val="cyan"/>
        </w:rPr>
        <w:t>in specific conflicts</w:t>
      </w:r>
      <w:r w:rsidRPr="00E57104">
        <w:rPr>
          <w:rStyle w:val="Emphasis"/>
        </w:rPr>
        <w:t xml:space="preserve">, the </w:t>
      </w:r>
      <w:r w:rsidRPr="009B4FE5">
        <w:rPr>
          <w:rStyle w:val="Emphasis"/>
          <w:highlight w:val="cyan"/>
        </w:rPr>
        <w:t xml:space="preserve">role of climate was judged </w:t>
      </w:r>
      <w:r w:rsidRPr="00E57104">
        <w:rPr>
          <w:rStyle w:val="Emphasis"/>
        </w:rPr>
        <w:t xml:space="preserve">to be </w:t>
      </w:r>
      <w:r w:rsidRPr="009B4FE5">
        <w:rPr>
          <w:rStyle w:val="Emphasis"/>
          <w:highlight w:val="cyan"/>
        </w:rPr>
        <w:t>small compared to other drivers.</w:t>
      </w:r>
    </w:p>
    <w:p w14:paraId="0DC9DEA7" w14:textId="77777777" w:rsidR="003663A9" w:rsidRPr="00D7153E" w:rsidRDefault="003663A9" w:rsidP="003663A9">
      <w:pPr>
        <w:rPr>
          <w:sz w:val="16"/>
          <w:szCs w:val="16"/>
        </w:rPr>
      </w:pPr>
      <w:r w:rsidRPr="00D7153E">
        <w:rPr>
          <w:sz w:val="16"/>
          <w:szCs w:val="16"/>
        </w:rPr>
        <w:t>“Across the experts,” Mach and colleagues wrote, “best estimates are that 3–20% of conflict risk over the past century has been influenced by climate variability or change.” But, they also wrote that the risk of conflict is likely to increase as climate change intensifies. “As risks grow under future climate change, many more potential climate–conflict linkages become relevant and extend beyond historical experiences,” the wrote.</w:t>
      </w:r>
    </w:p>
    <w:p w14:paraId="146F520F" w14:textId="77777777" w:rsidR="003663A9" w:rsidRDefault="003663A9" w:rsidP="003663A9">
      <w:pPr>
        <w:rPr>
          <w:rStyle w:val="Emphasis"/>
        </w:rPr>
      </w:pPr>
      <w:r w:rsidRPr="00D7153E">
        <w:rPr>
          <w:sz w:val="16"/>
        </w:rPr>
        <w:t>“The scholarship is confusing,” Mach says. “</w:t>
      </w:r>
      <w:r w:rsidRPr="00D7153E">
        <w:rPr>
          <w:rStyle w:val="Emphasis"/>
        </w:rPr>
        <w:t>It can be very convenient for politicians to say that a conflict is because of climate.</w:t>
      </w:r>
      <w:r w:rsidRPr="00D7153E">
        <w:rPr>
          <w:sz w:val="16"/>
        </w:rPr>
        <w:t xml:space="preserve"> The state of knowledge is limited. Everyone put climate change pretty low on the list of importance [but] at the same time </w:t>
      </w:r>
      <w:r w:rsidRPr="00D7153E">
        <w:rPr>
          <w:rStyle w:val="Emphasis"/>
        </w:rPr>
        <w:t>we</w:t>
      </w:r>
      <w:r w:rsidRPr="00D7153E">
        <w:rPr>
          <w:sz w:val="16"/>
        </w:rPr>
        <w:t xml:space="preserve"> </w:t>
      </w:r>
      <w:r w:rsidRPr="00D7153E">
        <w:rPr>
          <w:rStyle w:val="Emphasis"/>
        </w:rPr>
        <w:t xml:space="preserve">found strong agreement among experts that </w:t>
      </w:r>
      <w:r w:rsidRPr="009B4FE5">
        <w:rPr>
          <w:rStyle w:val="Emphasis"/>
          <w:highlight w:val="cyan"/>
        </w:rPr>
        <w:t>climate</w:t>
      </w:r>
      <w:r w:rsidRPr="009B4FE5">
        <w:rPr>
          <w:sz w:val="16"/>
          <w:highlight w:val="cyan"/>
        </w:rPr>
        <w:t xml:space="preserve"> </w:t>
      </w:r>
      <w:r w:rsidRPr="00D7153E">
        <w:rPr>
          <w:sz w:val="16"/>
        </w:rPr>
        <w:t xml:space="preserve">— in its variability and change — </w:t>
      </w:r>
      <w:r w:rsidRPr="009B4FE5">
        <w:rPr>
          <w:rStyle w:val="Emphasis"/>
          <w:highlight w:val="cyan"/>
        </w:rPr>
        <w:t xml:space="preserve">does influence </w:t>
      </w:r>
      <w:r w:rsidRPr="00D7153E">
        <w:rPr>
          <w:rStyle w:val="Emphasis"/>
        </w:rPr>
        <w:t xml:space="preserve">the </w:t>
      </w:r>
      <w:r w:rsidRPr="009B4FE5">
        <w:rPr>
          <w:rStyle w:val="Emphasis"/>
          <w:highlight w:val="cyan"/>
        </w:rPr>
        <w:t>risk of</w:t>
      </w:r>
      <w:r w:rsidRPr="00D7153E">
        <w:rPr>
          <w:rStyle w:val="Emphasis"/>
        </w:rPr>
        <w:t xml:space="preserve"> organized </w:t>
      </w:r>
      <w:r w:rsidRPr="009B4FE5">
        <w:rPr>
          <w:rStyle w:val="Emphasis"/>
          <w:highlight w:val="cyan"/>
        </w:rPr>
        <w:t>armed conflict. But other factors</w:t>
      </w:r>
      <w:r w:rsidRPr="00D7153E">
        <w:rPr>
          <w:rStyle w:val="Emphasis"/>
        </w:rPr>
        <w:t xml:space="preserve">, such as the capacity of the state or levels of socioeconomic development, </w:t>
      </w:r>
      <w:r w:rsidRPr="009B4FE5">
        <w:rPr>
          <w:rStyle w:val="Emphasis"/>
          <w:highlight w:val="cyan"/>
        </w:rPr>
        <w:t>play a much larger role at present</w:t>
      </w:r>
      <w:r w:rsidRPr="00D7153E">
        <w:rPr>
          <w:rStyle w:val="Emphasis"/>
        </w:rPr>
        <w:t>.”</w:t>
      </w:r>
    </w:p>
    <w:p w14:paraId="0DABD56E" w14:textId="77777777" w:rsidR="003663A9" w:rsidRDefault="003663A9" w:rsidP="003663A9">
      <w:pPr>
        <w:rPr>
          <w:rStyle w:val="Emphasis"/>
        </w:rPr>
      </w:pPr>
    </w:p>
    <w:p w14:paraId="1427977C" w14:textId="77777777" w:rsidR="003663A9" w:rsidRDefault="003663A9" w:rsidP="003663A9">
      <w:pPr>
        <w:pStyle w:val="Heading4"/>
      </w:pPr>
      <w:r>
        <w:t>No impact – their evidence extrapolates to conflict using assumptions that don’t isolate climate as an independent driver of conflict</w:t>
      </w:r>
    </w:p>
    <w:p w14:paraId="4DEB1E34" w14:textId="77777777" w:rsidR="003663A9" w:rsidRPr="00114B07" w:rsidRDefault="003663A9" w:rsidP="003663A9">
      <w:pPr>
        <w:rPr>
          <w:rStyle w:val="Style13ptBold"/>
        </w:rPr>
      </w:pPr>
      <w:r w:rsidRPr="00114B07">
        <w:rPr>
          <w:rStyle w:val="Style13ptBold"/>
        </w:rPr>
        <w:t>von Uexkull and Buhaug, ‘21</w:t>
      </w:r>
    </w:p>
    <w:p w14:paraId="4FF28688" w14:textId="77777777" w:rsidR="003663A9" w:rsidRPr="0064595D" w:rsidRDefault="003663A9" w:rsidP="003663A9">
      <w:r>
        <w:t>(</w:t>
      </w:r>
      <w:r w:rsidRPr="00466105">
        <w:t>Nina</w:t>
      </w:r>
      <w:r>
        <w:t xml:space="preserve">, </w:t>
      </w:r>
      <w:r w:rsidRPr="00FE50BB">
        <w:t>Department of Peace and Conflict Research</w:t>
      </w:r>
      <w:r>
        <w:t xml:space="preserve"> at</w:t>
      </w:r>
      <w:r w:rsidRPr="00FE50BB">
        <w:t xml:space="preserve"> Uppsala University</w:t>
      </w:r>
      <w:r>
        <w:t xml:space="preserve">, and </w:t>
      </w:r>
      <w:r w:rsidRPr="00F54724">
        <w:t>Halvard</w:t>
      </w:r>
      <w:r>
        <w:t>, Department of Sociology and Political Science, Norwegian University of Science and Technology, “Security implications of climate change: A decade of scientific progress,” Journal of Peace Research, Vol. 58, Iss. 1, 2021, pp. 3-17)</w:t>
      </w:r>
    </w:p>
    <w:p w14:paraId="262000D9" w14:textId="77777777" w:rsidR="003663A9" w:rsidRPr="005243FD" w:rsidRDefault="003663A9" w:rsidP="003663A9">
      <w:pPr>
        <w:rPr>
          <w:sz w:val="16"/>
        </w:rPr>
      </w:pPr>
      <w:r w:rsidRPr="00F44CBD">
        <w:rPr>
          <w:rStyle w:val="Emphasis"/>
          <w:highlight w:val="cyan"/>
        </w:rPr>
        <w:t>Research on climate and security</w:t>
      </w:r>
      <w:r w:rsidRPr="005243FD">
        <w:rPr>
          <w:rStyle w:val="Emphasis"/>
        </w:rPr>
        <w:t xml:space="preserve"> has </w:t>
      </w:r>
      <w:r w:rsidRPr="00F44CBD">
        <w:rPr>
          <w:rStyle w:val="Emphasis"/>
          <w:highlight w:val="cyan"/>
        </w:rPr>
        <w:t>expanded significantly in recent years</w:t>
      </w:r>
      <w:r w:rsidRPr="005243FD">
        <w:rPr>
          <w:sz w:val="16"/>
        </w:rPr>
        <w:t>. Progress has been made in spatial and conceptual disaggregation, evaluation of plausible indirect pathways, identification of key scope conditions, and consideration of alternative insecurity outcomes through diverse methodological approaches. This special issue continues along these lines and addresses important research priorities identified in earlier reviews of the field. The contributions provide more evidence for significant climate impacts on social unrest in urban settings; they emphasize the complexity of the climate–migration– unrest link; they investigate how agricultural production patterns affect conflict risk; they study new outcomes, such as interstate claims and individual trust, that hitherto have received scant attention; and they explore the relevance of this research for user groups across academia and beyond. A red thread across these contributions is a nuanced, context-sensitive approach, further underlining that sweeping statements about climate– conflict relationships are neither helpful nor warranted.</w:t>
      </w:r>
    </w:p>
    <w:p w14:paraId="34CD5ED2" w14:textId="77777777" w:rsidR="003663A9" w:rsidRPr="00F44CBD" w:rsidRDefault="003663A9" w:rsidP="003663A9">
      <w:pPr>
        <w:rPr>
          <w:sz w:val="16"/>
          <w:highlight w:val="cyan"/>
        </w:rPr>
      </w:pPr>
      <w:r w:rsidRPr="005243FD">
        <w:rPr>
          <w:rStyle w:val="Emphasis"/>
        </w:rPr>
        <w:t>Yet</w:t>
      </w:r>
      <w:r w:rsidRPr="00BD42B1">
        <w:rPr>
          <w:sz w:val="16"/>
        </w:rPr>
        <w:t xml:space="preserve">, the seven historical </w:t>
      </w:r>
      <w:r w:rsidRPr="005243FD">
        <w:rPr>
          <w:rStyle w:val="Emphasis"/>
        </w:rPr>
        <w:t>research priorities</w:t>
      </w:r>
      <w:r w:rsidRPr="00BD42B1">
        <w:rPr>
          <w:sz w:val="16"/>
        </w:rPr>
        <w:t xml:space="preserve"> presented above </w:t>
      </w:r>
      <w:r w:rsidRPr="005243FD">
        <w:rPr>
          <w:rStyle w:val="Emphasis"/>
        </w:rPr>
        <w:t>remain valid today</w:t>
      </w:r>
      <w:r w:rsidRPr="00BD42B1">
        <w:rPr>
          <w:sz w:val="16"/>
        </w:rPr>
        <w:t xml:space="preserve">, despite notable scientific progress over the past decade (cf. Mach et al., 2020). In conclusion, we would like to highlight three research gaps that we consider particularly pertinent. First, </w:t>
      </w:r>
      <w:r w:rsidRPr="00BE3DC9">
        <w:rPr>
          <w:rStyle w:val="Emphasis"/>
        </w:rPr>
        <w:t xml:space="preserve">our stocktaking exercise has revealed a </w:t>
      </w:r>
      <w:r w:rsidRPr="00F44CBD">
        <w:rPr>
          <w:rStyle w:val="Emphasis"/>
          <w:highlight w:val="cyan"/>
        </w:rPr>
        <w:t xml:space="preserve">critical need for climate–conflict research to move beyond empirical analyses of climate variability and natural hazards and consider </w:t>
      </w:r>
      <w:r w:rsidRPr="00BE3DC9">
        <w:rPr>
          <w:rStyle w:val="Emphasis"/>
        </w:rPr>
        <w:t xml:space="preserve">potential </w:t>
      </w:r>
      <w:r w:rsidRPr="00F44CBD">
        <w:rPr>
          <w:rStyle w:val="Emphasis"/>
          <w:highlight w:val="cyan"/>
        </w:rPr>
        <w:t>long-term security impacts of climate change</w:t>
      </w:r>
      <w:r w:rsidRPr="00BD42B1">
        <w:rPr>
          <w:sz w:val="16"/>
        </w:rPr>
        <w:t xml:space="preserve">. Science is making rapid progress in modeling potential future impacts of climate change on crop yields (Deutsch et al., 2018), economic productivity (Murakami &amp; Yamagata, 2019), and the prevalence of hunger (Hasegawa et al., 2018). In contrast, </w:t>
      </w:r>
      <w:r w:rsidRPr="00BE3DC9">
        <w:rPr>
          <w:rStyle w:val="Emphasis"/>
        </w:rPr>
        <w:t xml:space="preserve">there is a </w:t>
      </w:r>
      <w:r w:rsidRPr="00F44CBD">
        <w:rPr>
          <w:rStyle w:val="Emphasis"/>
          <w:highlight w:val="cyan"/>
        </w:rPr>
        <w:t>distinct lack of scenario-based projection studies that estimate future climate change impacts on conflict risk</w:t>
      </w:r>
      <w:r w:rsidRPr="00F44CBD">
        <w:rPr>
          <w:sz w:val="16"/>
          <w:highlight w:val="cyan"/>
        </w:rPr>
        <w:t xml:space="preserve"> </w:t>
      </w:r>
      <w:r w:rsidRPr="00BD42B1">
        <w:rPr>
          <w:sz w:val="16"/>
        </w:rPr>
        <w:t xml:space="preserve">(though see Witmer et al., 2017). </w:t>
      </w:r>
      <w:r w:rsidRPr="00BE3DC9">
        <w:rPr>
          <w:rStyle w:val="Emphasis"/>
        </w:rPr>
        <w:t>Addressing this</w:t>
      </w:r>
      <w:r w:rsidRPr="00BD42B1">
        <w:rPr>
          <w:sz w:val="16"/>
        </w:rPr>
        <w:t xml:space="preserve"> lacuna </w:t>
      </w:r>
      <w:r w:rsidRPr="00BE3DC9">
        <w:rPr>
          <w:rStyle w:val="Emphasis"/>
        </w:rPr>
        <w:t>is hardly trivial</w:t>
      </w:r>
      <w:r w:rsidRPr="00BD42B1">
        <w:rPr>
          <w:sz w:val="16"/>
        </w:rPr>
        <w:t xml:space="preserve">. When assessing impacts in the future, the </w:t>
      </w:r>
      <w:r w:rsidRPr="00BD42B1">
        <w:rPr>
          <w:rStyle w:val="Emphasis"/>
        </w:rPr>
        <w:t>conditional and complex relationships documented</w:t>
      </w:r>
      <w:r w:rsidRPr="00BD42B1">
        <w:rPr>
          <w:sz w:val="16"/>
        </w:rPr>
        <w:t xml:space="preserve"> in this special issue and elsewhere </w:t>
      </w:r>
      <w:r w:rsidRPr="00BD42B1">
        <w:rPr>
          <w:rStyle w:val="Emphasis"/>
        </w:rPr>
        <w:t xml:space="preserve">need to be accounted for. </w:t>
      </w:r>
      <w:r w:rsidRPr="00F44CBD">
        <w:rPr>
          <w:rStyle w:val="Emphasis"/>
          <w:highlight w:val="cyan"/>
        </w:rPr>
        <w:t>Departing from mere extrapolation of empirical results under a ceteris paribus assumption and</w:t>
      </w:r>
      <w:r w:rsidRPr="00F44CBD">
        <w:rPr>
          <w:sz w:val="16"/>
          <w:highlight w:val="cyan"/>
        </w:rPr>
        <w:t xml:space="preserve"> </w:t>
      </w:r>
      <w:r w:rsidRPr="00BD42B1">
        <w:rPr>
          <w:sz w:val="16"/>
        </w:rPr>
        <w:t xml:space="preserve">carefully </w:t>
      </w:r>
      <w:r w:rsidRPr="00F44CBD">
        <w:rPr>
          <w:rStyle w:val="Emphasis"/>
          <w:highlight w:val="cyan"/>
        </w:rPr>
        <w:t>assessing conflict implications of alternative social, political, and climatic pathways is an important task for future research.</w:t>
      </w:r>
    </w:p>
    <w:p w14:paraId="45BB7DE6" w14:textId="77777777" w:rsidR="003663A9" w:rsidRPr="0046054C" w:rsidRDefault="003663A9" w:rsidP="003663A9"/>
    <w:p w14:paraId="44D9B1B4" w14:textId="77777777" w:rsidR="003663A9" w:rsidRDefault="003663A9" w:rsidP="003663A9">
      <w:pPr>
        <w:pStyle w:val="Heading1"/>
      </w:pPr>
      <w:r>
        <w:t>AT: Biotech</w:t>
      </w:r>
    </w:p>
    <w:p w14:paraId="6E83155D" w14:textId="77777777" w:rsidR="003663A9" w:rsidRDefault="003663A9" w:rsidP="003663A9"/>
    <w:p w14:paraId="35D77BDC" w14:textId="77777777" w:rsidR="003663A9" w:rsidRDefault="003663A9" w:rsidP="003663A9">
      <w:pPr>
        <w:pStyle w:val="Heading3"/>
      </w:pPr>
      <w:r>
        <w:t>No Impact – Bioweapons</w:t>
      </w:r>
    </w:p>
    <w:p w14:paraId="26B77021" w14:textId="77777777" w:rsidR="003663A9" w:rsidRDefault="003663A9" w:rsidP="003663A9"/>
    <w:p w14:paraId="66556738" w14:textId="77777777" w:rsidR="003663A9" w:rsidRPr="002B2EE0" w:rsidRDefault="003663A9" w:rsidP="003663A9">
      <w:pPr>
        <w:pStyle w:val="Heading4"/>
        <w:rPr>
          <w:rFonts w:asciiTheme="minorHAnsi" w:hAnsiTheme="minorHAnsi" w:cstheme="minorHAnsi"/>
        </w:rPr>
      </w:pPr>
      <w:r w:rsidRPr="002B2EE0">
        <w:rPr>
          <w:rFonts w:asciiTheme="minorHAnsi" w:hAnsiTheme="minorHAnsi" w:cstheme="minorHAnsi"/>
        </w:rPr>
        <w:t xml:space="preserve">Bioweapon fears are overstated – technological hurdles, natural barriers, fear of retaliation, and more reliable weapons all disincentivize use and production </w:t>
      </w:r>
    </w:p>
    <w:p w14:paraId="7565C940" w14:textId="77777777" w:rsidR="003663A9" w:rsidRPr="002B2EE0" w:rsidRDefault="003663A9" w:rsidP="003663A9">
      <w:pPr>
        <w:rPr>
          <w:rStyle w:val="Style13ptBold"/>
          <w:rFonts w:asciiTheme="minorHAnsi" w:hAnsiTheme="minorHAnsi" w:cstheme="minorHAnsi"/>
        </w:rPr>
      </w:pPr>
      <w:r w:rsidRPr="002B2EE0">
        <w:rPr>
          <w:rStyle w:val="Style13ptBold"/>
          <w:rFonts w:asciiTheme="minorHAnsi" w:hAnsiTheme="minorHAnsi" w:cstheme="minorHAnsi"/>
        </w:rPr>
        <w:t>Scully</w:t>
      </w:r>
      <w:r w:rsidRPr="002B2EE0">
        <w:rPr>
          <w:rFonts w:asciiTheme="minorHAnsi" w:hAnsiTheme="minorHAnsi" w:cstheme="minorHAnsi"/>
        </w:rPr>
        <w:t>, Science Journalist for the Medical Republic</w:t>
      </w:r>
      <w:r w:rsidRPr="002B2EE0">
        <w:rPr>
          <w:rStyle w:val="Style13ptBold"/>
          <w:rFonts w:asciiTheme="minorHAnsi" w:hAnsiTheme="minorHAnsi" w:cstheme="minorHAnsi"/>
        </w:rPr>
        <w:t>, 2020</w:t>
      </w:r>
    </w:p>
    <w:p w14:paraId="5CE68A65" w14:textId="77777777" w:rsidR="003663A9" w:rsidRPr="002B2EE0" w:rsidRDefault="003663A9" w:rsidP="003663A9">
      <w:pPr>
        <w:rPr>
          <w:rFonts w:asciiTheme="minorHAnsi" w:hAnsiTheme="minorHAnsi" w:cstheme="minorHAnsi"/>
        </w:rPr>
      </w:pPr>
      <w:r w:rsidRPr="002B2EE0">
        <w:rPr>
          <w:rFonts w:asciiTheme="minorHAnsi" w:hAnsiTheme="minorHAnsi" w:cstheme="minorHAnsi"/>
        </w:rPr>
        <w:t>(Ruby Prosser, citing Jeff Ryan, lecturer in bioterrorism response and homeland security at Jacksonville State University, “</w:t>
      </w:r>
      <w:r w:rsidRPr="002B2EE0">
        <w:rPr>
          <w:rStyle w:val="Emphasis"/>
          <w:rFonts w:asciiTheme="minorHAnsi" w:hAnsiTheme="minorHAnsi" w:cstheme="minorHAnsi"/>
        </w:rPr>
        <w:t>Bioterrorism: how afraid should we really be</w:t>
      </w:r>
      <w:r w:rsidRPr="002B2EE0">
        <w:rPr>
          <w:rFonts w:asciiTheme="minorHAnsi" w:hAnsiTheme="minorHAnsi" w:cstheme="minorHAnsi"/>
        </w:rPr>
        <w:t xml:space="preserve">?” The Medical Republic, August 17, </w:t>
      </w:r>
      <w:hyperlink r:id="rId67" w:history="1">
        <w:r w:rsidRPr="002B2EE0">
          <w:rPr>
            <w:rStyle w:val="Hyperlink"/>
            <w:rFonts w:asciiTheme="minorHAnsi" w:hAnsiTheme="minorHAnsi" w:cstheme="minorHAnsi"/>
          </w:rPr>
          <w:t>http://medicalrepublic.com.au/bioterrorism-how-afraid-should-we-really-be/32933</w:t>
        </w:r>
      </w:hyperlink>
      <w:r w:rsidRPr="002B2EE0">
        <w:rPr>
          <w:rFonts w:asciiTheme="minorHAnsi" w:hAnsiTheme="minorHAnsi" w:cstheme="minorHAnsi"/>
        </w:rPr>
        <w:t xml:space="preserve">,) </w:t>
      </w:r>
    </w:p>
    <w:p w14:paraId="13581F22" w14:textId="77777777" w:rsidR="003663A9" w:rsidRPr="002B2EE0" w:rsidRDefault="003663A9" w:rsidP="003663A9">
      <w:pPr>
        <w:rPr>
          <w:rFonts w:asciiTheme="minorHAnsi" w:hAnsiTheme="minorHAnsi" w:cstheme="minorHAnsi"/>
          <w:sz w:val="16"/>
        </w:rPr>
      </w:pPr>
      <w:r w:rsidRPr="002B2EE0">
        <w:rPr>
          <w:rFonts w:asciiTheme="minorHAnsi" w:hAnsiTheme="minorHAnsi" w:cstheme="minorHAnsi"/>
          <w:sz w:val="16"/>
        </w:rPr>
        <w:t xml:space="preserve">However, </w:t>
      </w:r>
      <w:r w:rsidRPr="002B2EE0">
        <w:rPr>
          <w:rStyle w:val="Emphasis"/>
          <w:rFonts w:asciiTheme="minorHAnsi" w:hAnsiTheme="minorHAnsi" w:cstheme="minorHAnsi"/>
        </w:rPr>
        <w:t>Professor Ryan doubts</w:t>
      </w:r>
      <w:r w:rsidRPr="002B2EE0">
        <w:rPr>
          <w:rFonts w:asciiTheme="minorHAnsi" w:hAnsiTheme="minorHAnsi" w:cstheme="minorHAnsi"/>
          <w:sz w:val="16"/>
        </w:rPr>
        <w:t xml:space="preserve"> that </w:t>
      </w:r>
      <w:r w:rsidRPr="002B2EE0">
        <w:rPr>
          <w:rStyle w:val="Emphasis"/>
          <w:rFonts w:asciiTheme="minorHAnsi" w:hAnsiTheme="minorHAnsi" w:cstheme="minorHAnsi"/>
        </w:rPr>
        <w:t>an individual or group is seriously working on that</w:t>
      </w:r>
      <w:r w:rsidRPr="002B2EE0">
        <w:rPr>
          <w:rFonts w:asciiTheme="minorHAnsi" w:hAnsiTheme="minorHAnsi" w:cstheme="minorHAnsi"/>
          <w:sz w:val="16"/>
        </w:rPr>
        <w:t xml:space="preserve"> right now. </w:t>
      </w:r>
      <w:r w:rsidRPr="002B2EE0">
        <w:rPr>
          <w:rStyle w:val="Emphasis"/>
          <w:rFonts w:asciiTheme="minorHAnsi" w:hAnsiTheme="minorHAnsi" w:cstheme="minorHAnsi"/>
        </w:rPr>
        <w:t xml:space="preserve">This is </w:t>
      </w:r>
      <w:r w:rsidRPr="002B2EE0">
        <w:rPr>
          <w:rStyle w:val="Emphasis"/>
          <w:rFonts w:asciiTheme="minorHAnsi" w:hAnsiTheme="minorHAnsi" w:cstheme="minorHAnsi"/>
          <w:highlight w:val="cyan"/>
        </w:rPr>
        <w:t>because of how difficult it is to produce</w:t>
      </w:r>
      <w:r w:rsidRPr="002B2EE0">
        <w:rPr>
          <w:rStyle w:val="Emphasis"/>
          <w:rFonts w:asciiTheme="minorHAnsi" w:hAnsiTheme="minorHAnsi" w:cstheme="minorHAnsi"/>
        </w:rPr>
        <w:t xml:space="preserve"> a </w:t>
      </w:r>
      <w:r w:rsidRPr="002B2EE0">
        <w:rPr>
          <w:rStyle w:val="Emphasis"/>
          <w:rFonts w:asciiTheme="minorHAnsi" w:hAnsiTheme="minorHAnsi" w:cstheme="minorHAnsi"/>
          <w:highlight w:val="cyan"/>
        </w:rPr>
        <w:t>large-scale</w:t>
      </w:r>
      <w:r w:rsidRPr="002B2EE0">
        <w:rPr>
          <w:rStyle w:val="Emphasis"/>
          <w:rFonts w:asciiTheme="minorHAnsi" w:hAnsiTheme="minorHAnsi" w:cstheme="minorHAnsi"/>
        </w:rPr>
        <w:t xml:space="preserve"> viable bacterial or </w:t>
      </w:r>
      <w:r w:rsidRPr="002B2EE0">
        <w:rPr>
          <w:rStyle w:val="Emphasis"/>
          <w:rFonts w:asciiTheme="minorHAnsi" w:hAnsiTheme="minorHAnsi" w:cstheme="minorHAnsi"/>
          <w:highlight w:val="cyan"/>
        </w:rPr>
        <w:t>viral concoction</w:t>
      </w:r>
      <w:r w:rsidRPr="002B2EE0">
        <w:rPr>
          <w:rStyle w:val="Emphasis"/>
          <w:rFonts w:asciiTheme="minorHAnsi" w:hAnsiTheme="minorHAnsi" w:cstheme="minorHAnsi"/>
        </w:rPr>
        <w:t xml:space="preserve"> </w:t>
      </w:r>
      <w:r w:rsidRPr="002B2EE0">
        <w:rPr>
          <w:rStyle w:val="Emphasis"/>
          <w:rFonts w:asciiTheme="minorHAnsi" w:hAnsiTheme="minorHAnsi" w:cstheme="minorHAnsi"/>
          <w:highlight w:val="cyan"/>
        </w:rPr>
        <w:t>that would be expertly disseminated</w:t>
      </w:r>
      <w:r w:rsidRPr="002B2EE0">
        <w:rPr>
          <w:rStyle w:val="Emphasis"/>
          <w:rFonts w:asciiTheme="minorHAnsi" w:hAnsiTheme="minorHAnsi" w:cstheme="minorHAnsi"/>
        </w:rPr>
        <w:t xml:space="preserve">, </w:t>
      </w:r>
      <w:r w:rsidRPr="002B2EE0">
        <w:rPr>
          <w:rStyle w:val="Emphasis"/>
          <w:rFonts w:asciiTheme="minorHAnsi" w:hAnsiTheme="minorHAnsi" w:cstheme="minorHAnsi"/>
          <w:highlight w:val="cyan"/>
        </w:rPr>
        <w:t>maintain its viability</w:t>
      </w:r>
      <w:r w:rsidRPr="002B2EE0">
        <w:rPr>
          <w:rStyle w:val="Emphasis"/>
          <w:rFonts w:asciiTheme="minorHAnsi" w:hAnsiTheme="minorHAnsi" w:cstheme="minorHAnsi"/>
        </w:rPr>
        <w:t xml:space="preserve"> through the dissemination process, </w:t>
      </w:r>
      <w:r w:rsidRPr="002B2EE0">
        <w:rPr>
          <w:rStyle w:val="Emphasis"/>
          <w:rFonts w:asciiTheme="minorHAnsi" w:hAnsiTheme="minorHAnsi" w:cstheme="minorHAnsi"/>
          <w:highlight w:val="cyan"/>
        </w:rPr>
        <w:t>and manage to infect</w:t>
      </w:r>
      <w:r w:rsidRPr="002B2EE0">
        <w:rPr>
          <w:rStyle w:val="Emphasis"/>
          <w:rFonts w:asciiTheme="minorHAnsi" w:hAnsiTheme="minorHAnsi" w:cstheme="minorHAnsi"/>
        </w:rPr>
        <w:t xml:space="preserve"> hundreds, if not </w:t>
      </w:r>
      <w:r w:rsidRPr="002B2EE0">
        <w:rPr>
          <w:rStyle w:val="Emphasis"/>
          <w:rFonts w:asciiTheme="minorHAnsi" w:hAnsiTheme="minorHAnsi" w:cstheme="minorHAnsi"/>
          <w:highlight w:val="cyan"/>
        </w:rPr>
        <w:t>thousands</w:t>
      </w:r>
      <w:r w:rsidRPr="002B2EE0">
        <w:rPr>
          <w:rStyle w:val="Emphasis"/>
          <w:rFonts w:asciiTheme="minorHAnsi" w:hAnsiTheme="minorHAnsi" w:cstheme="minorHAnsi"/>
        </w:rPr>
        <w:t xml:space="preserve"> of people</w:t>
      </w:r>
      <w:r w:rsidRPr="002B2EE0">
        <w:rPr>
          <w:rFonts w:asciiTheme="minorHAnsi" w:hAnsiTheme="minorHAnsi" w:cstheme="minorHAnsi"/>
          <w:sz w:val="16"/>
        </w:rPr>
        <w:t xml:space="preserve">. “I think </w:t>
      </w:r>
      <w:r w:rsidRPr="002B2EE0">
        <w:rPr>
          <w:rStyle w:val="Emphasis"/>
          <w:rFonts w:asciiTheme="minorHAnsi" w:hAnsiTheme="minorHAnsi" w:cstheme="minorHAnsi"/>
        </w:rPr>
        <w:t>a lot of that is science fiction</w:t>
      </w:r>
      <w:r w:rsidRPr="002B2EE0">
        <w:rPr>
          <w:rFonts w:asciiTheme="minorHAnsi" w:hAnsiTheme="minorHAnsi" w:cstheme="minorHAnsi"/>
          <w:sz w:val="16"/>
        </w:rPr>
        <w:t xml:space="preserve">, rather than science fact. </w:t>
      </w:r>
      <w:r w:rsidRPr="002B2EE0">
        <w:rPr>
          <w:rStyle w:val="Emphasis"/>
          <w:rFonts w:asciiTheme="minorHAnsi" w:hAnsiTheme="minorHAnsi" w:cstheme="minorHAnsi"/>
          <w:highlight w:val="cyan"/>
        </w:rPr>
        <w:t>It takes a considerable amount of</w:t>
      </w:r>
      <w:r w:rsidRPr="002B2EE0">
        <w:rPr>
          <w:rStyle w:val="Emphasis"/>
          <w:rFonts w:asciiTheme="minorHAnsi" w:hAnsiTheme="minorHAnsi" w:cstheme="minorHAnsi"/>
        </w:rPr>
        <w:t xml:space="preserve"> technology and </w:t>
      </w:r>
      <w:r w:rsidRPr="002B2EE0">
        <w:rPr>
          <w:rStyle w:val="Emphasis"/>
          <w:rFonts w:asciiTheme="minorHAnsi" w:hAnsiTheme="minorHAnsi" w:cstheme="minorHAnsi"/>
          <w:highlight w:val="cyan"/>
        </w:rPr>
        <w:t>resources and skills to be able to pull off something</w:t>
      </w:r>
      <w:r w:rsidRPr="002B2EE0">
        <w:rPr>
          <w:rStyle w:val="Emphasis"/>
          <w:rFonts w:asciiTheme="minorHAnsi" w:hAnsiTheme="minorHAnsi" w:cstheme="minorHAnsi"/>
        </w:rPr>
        <w:t xml:space="preserve"> like that</w:t>
      </w:r>
      <w:r w:rsidRPr="002B2EE0">
        <w:rPr>
          <w:rFonts w:asciiTheme="minorHAnsi" w:hAnsiTheme="minorHAnsi" w:cstheme="minorHAnsi"/>
          <w:sz w:val="16"/>
        </w:rPr>
        <w:t xml:space="preserve">,” he says. </w:t>
      </w:r>
      <w:r w:rsidRPr="002B2EE0">
        <w:rPr>
          <w:rStyle w:val="Emphasis"/>
          <w:rFonts w:asciiTheme="minorHAnsi" w:hAnsiTheme="minorHAnsi" w:cstheme="minorHAnsi"/>
        </w:rPr>
        <w:t>Even the Rajneeshees, with all of their resources and a medical lab, weren’t able to pull off a particularly damaging attack</w:t>
      </w:r>
      <w:r w:rsidRPr="002B2EE0">
        <w:rPr>
          <w:rFonts w:asciiTheme="minorHAnsi" w:hAnsiTheme="minorHAnsi" w:cstheme="minorHAnsi"/>
          <w:sz w:val="16"/>
        </w:rPr>
        <w:t xml:space="preserve">. While it is possible for small-scale actors to launch a terrorist attack with something such as ricin or E. coli, Professor Ryan believes they would be better served using explosives or industrial chemicals that are readily available and don’t require such careful production. “I tend to think of the threat as a low-probability, high-consequence event,” he said. “It’s not likely to happen, but if it did, wow, it could be devastating.” For Professor Ryan, </w:t>
      </w:r>
      <w:r w:rsidRPr="002B2EE0">
        <w:rPr>
          <w:rStyle w:val="Emphasis"/>
          <w:rFonts w:asciiTheme="minorHAnsi" w:hAnsiTheme="minorHAnsi" w:cstheme="minorHAnsi"/>
          <w:highlight w:val="cyan"/>
        </w:rPr>
        <w:t>the</w:t>
      </w:r>
      <w:r w:rsidRPr="002B2EE0">
        <w:rPr>
          <w:rStyle w:val="Emphasis"/>
          <w:rFonts w:asciiTheme="minorHAnsi" w:hAnsiTheme="minorHAnsi" w:cstheme="minorHAnsi"/>
        </w:rPr>
        <w:t xml:space="preserve"> </w:t>
      </w:r>
      <w:r w:rsidRPr="002B2EE0">
        <w:rPr>
          <w:rStyle w:val="Emphasis"/>
          <w:rFonts w:asciiTheme="minorHAnsi" w:hAnsiTheme="minorHAnsi" w:cstheme="minorHAnsi"/>
          <w:highlight w:val="cyan"/>
        </w:rPr>
        <w:t>tech</w:t>
      </w:r>
      <w:r w:rsidRPr="002B2EE0">
        <w:rPr>
          <w:rStyle w:val="Emphasis"/>
          <w:rFonts w:asciiTheme="minorHAnsi" w:hAnsiTheme="minorHAnsi" w:cstheme="minorHAnsi"/>
        </w:rPr>
        <w:t xml:space="preserve">nology needed to successfully pull off a major attack </w:t>
      </w:r>
      <w:r w:rsidRPr="002B2EE0">
        <w:rPr>
          <w:rStyle w:val="Emphasis"/>
          <w:rFonts w:asciiTheme="minorHAnsi" w:hAnsiTheme="minorHAnsi" w:cstheme="minorHAnsi"/>
          <w:highlight w:val="cyan"/>
        </w:rPr>
        <w:t>would require state actors</w:t>
      </w:r>
      <w:r w:rsidRPr="002B2EE0">
        <w:rPr>
          <w:rStyle w:val="Emphasis"/>
          <w:rFonts w:asciiTheme="minorHAnsi" w:hAnsiTheme="minorHAnsi" w:cstheme="minorHAnsi"/>
        </w:rPr>
        <w:t xml:space="preserve">. </w:t>
      </w:r>
      <w:r w:rsidRPr="002B2EE0">
        <w:rPr>
          <w:rStyle w:val="Emphasis"/>
          <w:rFonts w:asciiTheme="minorHAnsi" w:hAnsiTheme="minorHAnsi" w:cstheme="minorHAnsi"/>
          <w:highlight w:val="cyan"/>
        </w:rPr>
        <w:t>But</w:t>
      </w:r>
      <w:r w:rsidRPr="002B2EE0">
        <w:rPr>
          <w:rStyle w:val="Emphasis"/>
          <w:rFonts w:asciiTheme="minorHAnsi" w:hAnsiTheme="minorHAnsi" w:cstheme="minorHAnsi"/>
        </w:rPr>
        <w:t xml:space="preserve"> </w:t>
      </w:r>
      <w:r w:rsidRPr="002B2EE0">
        <w:rPr>
          <w:rStyle w:val="Emphasis"/>
          <w:rFonts w:asciiTheme="minorHAnsi" w:hAnsiTheme="minorHAnsi" w:cstheme="minorHAnsi"/>
          <w:highlight w:val="cyan"/>
        </w:rPr>
        <w:t>this</w:t>
      </w:r>
      <w:r w:rsidRPr="002B2EE0">
        <w:rPr>
          <w:rFonts w:asciiTheme="minorHAnsi" w:hAnsiTheme="minorHAnsi" w:cstheme="minorHAnsi"/>
          <w:sz w:val="16"/>
        </w:rPr>
        <w:t xml:space="preserve">, he thinks, </w:t>
      </w:r>
      <w:r w:rsidRPr="002B2EE0">
        <w:rPr>
          <w:rStyle w:val="Emphasis"/>
          <w:rFonts w:asciiTheme="minorHAnsi" w:hAnsiTheme="minorHAnsi" w:cstheme="minorHAnsi"/>
          <w:highlight w:val="cyan"/>
        </w:rPr>
        <w:t>makes it unlikely in its own way</w:t>
      </w:r>
      <w:r w:rsidRPr="002B2EE0">
        <w:rPr>
          <w:rFonts w:asciiTheme="minorHAnsi" w:hAnsiTheme="minorHAnsi" w:cstheme="minorHAnsi"/>
          <w:sz w:val="16"/>
        </w:rPr>
        <w:t xml:space="preserve">. </w:t>
      </w:r>
      <w:r w:rsidRPr="002B2EE0">
        <w:rPr>
          <w:rStyle w:val="Emphasis"/>
          <w:rFonts w:asciiTheme="minorHAnsi" w:hAnsiTheme="minorHAnsi" w:cstheme="minorHAnsi"/>
        </w:rPr>
        <w:t>“A state-sponsored attack may be highly risky because of how the developed world would counter such an attack</w:t>
      </w:r>
      <w:r w:rsidRPr="002B2EE0">
        <w:rPr>
          <w:rFonts w:asciiTheme="minorHAnsi" w:hAnsiTheme="minorHAnsi" w:cstheme="minorHAnsi"/>
          <w:sz w:val="16"/>
        </w:rPr>
        <w:t xml:space="preserve">,” he says. </w:t>
      </w:r>
      <w:r w:rsidRPr="002B2EE0">
        <w:rPr>
          <w:rStyle w:val="Emphasis"/>
          <w:rFonts w:asciiTheme="minorHAnsi" w:hAnsiTheme="minorHAnsi" w:cstheme="minorHAnsi"/>
        </w:rPr>
        <w:t>“If somebody was to use biological weapons against the United States, and it was tracked to a state sponsored program or it was a direct act of war, we might retaliate with nukes</w:t>
      </w:r>
      <w:r w:rsidRPr="002B2EE0">
        <w:rPr>
          <w:rFonts w:asciiTheme="minorHAnsi" w:hAnsiTheme="minorHAnsi" w:cstheme="minorHAnsi"/>
          <w:sz w:val="16"/>
        </w:rPr>
        <w:t xml:space="preserve">.” That’s because while the US and other countries have given up their biological and chemical weapon stockpiles, they have made it clear that nuclear weapons may still be kept as a deterrent. </w:t>
      </w:r>
      <w:r w:rsidRPr="002B2EE0">
        <w:rPr>
          <w:rStyle w:val="Emphasis"/>
          <w:rFonts w:asciiTheme="minorHAnsi" w:hAnsiTheme="minorHAnsi" w:cstheme="minorHAnsi"/>
          <w:highlight w:val="cyan"/>
        </w:rPr>
        <w:t>There are</w:t>
      </w:r>
      <w:r w:rsidRPr="002B2EE0">
        <w:rPr>
          <w:rStyle w:val="Emphasis"/>
          <w:rFonts w:asciiTheme="minorHAnsi" w:hAnsiTheme="minorHAnsi" w:cstheme="minorHAnsi"/>
        </w:rPr>
        <w:t xml:space="preserve"> also </w:t>
      </w:r>
      <w:r w:rsidRPr="002B2EE0">
        <w:rPr>
          <w:rStyle w:val="Emphasis"/>
          <w:rFonts w:asciiTheme="minorHAnsi" w:hAnsiTheme="minorHAnsi" w:cstheme="minorHAnsi"/>
          <w:highlight w:val="cyan"/>
        </w:rPr>
        <w:t>so many technological hurdles</w:t>
      </w:r>
      <w:r w:rsidRPr="002B2EE0">
        <w:rPr>
          <w:rStyle w:val="Emphasis"/>
          <w:rFonts w:asciiTheme="minorHAnsi" w:hAnsiTheme="minorHAnsi" w:cstheme="minorHAnsi"/>
        </w:rPr>
        <w:t xml:space="preserve"> that a large, state-sponsored program and a small, rogue one alike would have to overcome</w:t>
      </w:r>
      <w:r w:rsidRPr="002B2EE0">
        <w:rPr>
          <w:rFonts w:asciiTheme="minorHAnsi" w:hAnsiTheme="minorHAnsi" w:cstheme="minorHAnsi"/>
          <w:sz w:val="16"/>
        </w:rPr>
        <w:t xml:space="preserve">. </w:t>
      </w:r>
      <w:r w:rsidRPr="002B2EE0">
        <w:rPr>
          <w:rStyle w:val="Emphasis"/>
          <w:rFonts w:asciiTheme="minorHAnsi" w:hAnsiTheme="minorHAnsi" w:cstheme="minorHAnsi"/>
        </w:rPr>
        <w:t xml:space="preserve">The reality of developing a sophisticated bioweapons program means that the </w:t>
      </w:r>
      <w:r w:rsidRPr="002B2EE0">
        <w:rPr>
          <w:rStyle w:val="Emphasis"/>
          <w:rFonts w:asciiTheme="minorHAnsi" w:hAnsiTheme="minorHAnsi" w:cstheme="minorHAnsi"/>
          <w:highlight w:val="cyan"/>
        </w:rPr>
        <w:t>creators will want to test their pathogens in nature</w:t>
      </w:r>
      <w:r w:rsidRPr="002B2EE0">
        <w:rPr>
          <w:rStyle w:val="Emphasis"/>
          <w:rFonts w:asciiTheme="minorHAnsi" w:hAnsiTheme="minorHAnsi" w:cstheme="minorHAnsi"/>
        </w:rPr>
        <w:t xml:space="preserve"> to see how they survive and how they spread in the sun or wind</w:t>
      </w:r>
      <w:r w:rsidRPr="002B2EE0">
        <w:rPr>
          <w:rFonts w:asciiTheme="minorHAnsi" w:hAnsiTheme="minorHAnsi" w:cstheme="minorHAnsi"/>
          <w:sz w:val="16"/>
        </w:rPr>
        <w:t>, for example. “</w:t>
      </w:r>
      <w:r w:rsidRPr="002B2EE0">
        <w:rPr>
          <w:rStyle w:val="Emphasis"/>
          <w:rFonts w:asciiTheme="minorHAnsi" w:hAnsiTheme="minorHAnsi" w:cstheme="minorHAnsi"/>
        </w:rPr>
        <w:t xml:space="preserve">The reason why </w:t>
      </w:r>
      <w:r w:rsidRPr="002B2EE0">
        <w:rPr>
          <w:rStyle w:val="Emphasis"/>
          <w:rFonts w:asciiTheme="minorHAnsi" w:hAnsiTheme="minorHAnsi" w:cstheme="minorHAnsi"/>
          <w:highlight w:val="cyan"/>
        </w:rPr>
        <w:t>the plague</w:t>
      </w:r>
      <w:r w:rsidRPr="002B2EE0">
        <w:rPr>
          <w:rStyle w:val="Emphasis"/>
          <w:rFonts w:asciiTheme="minorHAnsi" w:hAnsiTheme="minorHAnsi" w:cstheme="minorHAnsi"/>
        </w:rPr>
        <w:t xml:space="preserve">, Yersinia pestis, was never really a good biological weapon is because it </w:t>
      </w:r>
      <w:r w:rsidRPr="002B2EE0">
        <w:rPr>
          <w:rStyle w:val="Emphasis"/>
          <w:rFonts w:asciiTheme="minorHAnsi" w:hAnsiTheme="minorHAnsi" w:cstheme="minorHAnsi"/>
          <w:highlight w:val="cyan"/>
        </w:rPr>
        <w:t>readily degrades in UV light</w:t>
      </w:r>
      <w:r w:rsidRPr="002B2EE0">
        <w:rPr>
          <w:rFonts w:asciiTheme="minorHAnsi" w:hAnsiTheme="minorHAnsi" w:cstheme="minorHAnsi"/>
          <w:sz w:val="16"/>
        </w:rPr>
        <w:t>,” Professor Ryan says. “</w:t>
      </w:r>
      <w:r w:rsidRPr="002B2EE0">
        <w:rPr>
          <w:rStyle w:val="Emphasis"/>
          <w:rFonts w:asciiTheme="minorHAnsi" w:hAnsiTheme="minorHAnsi" w:cstheme="minorHAnsi"/>
        </w:rPr>
        <w:t>Once the sun comes out, it starts to immediately degrade what you’ve deposited</w:t>
      </w:r>
      <w:r w:rsidRPr="002B2EE0">
        <w:rPr>
          <w:rFonts w:asciiTheme="minorHAnsi" w:hAnsiTheme="minorHAnsi" w:cstheme="minorHAnsi"/>
          <w:sz w:val="16"/>
        </w:rPr>
        <w:t xml:space="preserve">.” And while there have been spills from research centres that were detected, </w:t>
      </w:r>
      <w:r w:rsidRPr="002B2EE0">
        <w:rPr>
          <w:rStyle w:val="Emphasis"/>
          <w:rFonts w:asciiTheme="minorHAnsi" w:hAnsiTheme="minorHAnsi" w:cstheme="minorHAnsi"/>
          <w:highlight w:val="cyan"/>
        </w:rPr>
        <w:t>there is little evidence of new</w:t>
      </w:r>
      <w:r w:rsidRPr="002B2EE0">
        <w:rPr>
          <w:rStyle w:val="Emphasis"/>
          <w:rFonts w:asciiTheme="minorHAnsi" w:hAnsiTheme="minorHAnsi" w:cstheme="minorHAnsi"/>
        </w:rPr>
        <w:t xml:space="preserve"> and interesting </w:t>
      </w:r>
      <w:r w:rsidRPr="002B2EE0">
        <w:rPr>
          <w:rStyle w:val="Emphasis"/>
          <w:rFonts w:asciiTheme="minorHAnsi" w:hAnsiTheme="minorHAnsi" w:cstheme="minorHAnsi"/>
          <w:highlight w:val="cyan"/>
        </w:rPr>
        <w:t>pathogens being found</w:t>
      </w:r>
      <w:r w:rsidRPr="002B2EE0">
        <w:rPr>
          <w:rStyle w:val="Emphasis"/>
          <w:rFonts w:asciiTheme="minorHAnsi" w:hAnsiTheme="minorHAnsi" w:cstheme="minorHAnsi"/>
        </w:rPr>
        <w:t xml:space="preserve"> by surveillance systems</w:t>
      </w:r>
      <w:r w:rsidRPr="002B2EE0">
        <w:rPr>
          <w:rFonts w:asciiTheme="minorHAnsi" w:hAnsiTheme="minorHAnsi" w:cstheme="minorHAnsi"/>
          <w:sz w:val="16"/>
        </w:rPr>
        <w:t xml:space="preserve">, says Dr Martin Boland, a specialist in chemical, biological, radiological and nuclear weapons. </w:t>
      </w:r>
      <w:r w:rsidRPr="002B2EE0">
        <w:rPr>
          <w:rStyle w:val="Emphasis"/>
          <w:rFonts w:asciiTheme="minorHAnsi" w:hAnsiTheme="minorHAnsi" w:cstheme="minorHAnsi"/>
          <w:highlight w:val="cyan"/>
        </w:rPr>
        <w:t>Alarm bells would ring</w:t>
      </w:r>
      <w:r w:rsidRPr="002B2EE0">
        <w:rPr>
          <w:rStyle w:val="Emphasis"/>
          <w:rFonts w:asciiTheme="minorHAnsi" w:hAnsiTheme="minorHAnsi" w:cstheme="minorHAnsi"/>
        </w:rPr>
        <w:t xml:space="preserve"> if we found something that looked like Ebola turning up in Afghanistan, or something like SARS in Nigeria</w:t>
      </w:r>
      <w:r w:rsidRPr="002B2EE0">
        <w:rPr>
          <w:rFonts w:asciiTheme="minorHAnsi" w:hAnsiTheme="minorHAnsi" w:cstheme="minorHAnsi"/>
          <w:sz w:val="16"/>
        </w:rPr>
        <w:t xml:space="preserve">, Dr Boland says. </w:t>
      </w:r>
      <w:r w:rsidRPr="002B2EE0">
        <w:rPr>
          <w:rStyle w:val="Emphasis"/>
          <w:rFonts w:asciiTheme="minorHAnsi" w:hAnsiTheme="minorHAnsi" w:cstheme="minorHAnsi"/>
        </w:rPr>
        <w:t xml:space="preserve">Moreover, </w:t>
      </w:r>
      <w:r w:rsidRPr="002B2EE0">
        <w:rPr>
          <w:rStyle w:val="Emphasis"/>
          <w:rFonts w:asciiTheme="minorHAnsi" w:hAnsiTheme="minorHAnsi" w:cstheme="minorHAnsi"/>
          <w:highlight w:val="cyan"/>
        </w:rPr>
        <w:t>biological weapons are</w:t>
      </w:r>
      <w:r w:rsidRPr="002B2EE0">
        <w:rPr>
          <w:rStyle w:val="Emphasis"/>
          <w:rFonts w:asciiTheme="minorHAnsi" w:hAnsiTheme="minorHAnsi" w:cstheme="minorHAnsi"/>
        </w:rPr>
        <w:t xml:space="preserve"> simply </w:t>
      </w:r>
      <w:r w:rsidRPr="002B2EE0">
        <w:rPr>
          <w:rStyle w:val="Emphasis"/>
          <w:rFonts w:asciiTheme="minorHAnsi" w:hAnsiTheme="minorHAnsi" w:cstheme="minorHAnsi"/>
          <w:highlight w:val="cyan"/>
        </w:rPr>
        <w:t>less reliable and more prone to blow back</w:t>
      </w:r>
      <w:r w:rsidRPr="002B2EE0">
        <w:rPr>
          <w:rStyle w:val="Emphasis"/>
          <w:rFonts w:asciiTheme="minorHAnsi" w:hAnsiTheme="minorHAnsi" w:cstheme="minorHAnsi"/>
        </w:rPr>
        <w:t xml:space="preserve"> against your own citizens or soldiers compared with traditional explosives, even chemical and nuclear weapons. </w:t>
      </w:r>
      <w:r w:rsidRPr="002B2EE0">
        <w:rPr>
          <w:rStyle w:val="Emphasis"/>
          <w:rFonts w:asciiTheme="minorHAnsi" w:hAnsiTheme="minorHAnsi" w:cstheme="minorHAnsi"/>
          <w:highlight w:val="cyan"/>
        </w:rPr>
        <w:t>Any plan for Chinese military leaders</w:t>
      </w:r>
      <w:r w:rsidRPr="002B2EE0">
        <w:rPr>
          <w:rStyle w:val="Emphasis"/>
          <w:rFonts w:asciiTheme="minorHAnsi" w:hAnsiTheme="minorHAnsi" w:cstheme="minorHAnsi"/>
        </w:rPr>
        <w:t xml:space="preserve"> to unleash SARS-CoV-2 on the world, </w:t>
      </w:r>
      <w:r w:rsidRPr="002B2EE0">
        <w:rPr>
          <w:rStyle w:val="Emphasis"/>
          <w:rFonts w:asciiTheme="minorHAnsi" w:hAnsiTheme="minorHAnsi" w:cstheme="minorHAnsi"/>
          <w:highlight w:val="cyan"/>
        </w:rPr>
        <w:t>as conspiracy theorists have suggested</w:t>
      </w:r>
      <w:r w:rsidRPr="002B2EE0">
        <w:rPr>
          <w:rStyle w:val="Emphasis"/>
          <w:rFonts w:asciiTheme="minorHAnsi" w:hAnsiTheme="minorHAnsi" w:cstheme="minorHAnsi"/>
        </w:rPr>
        <w:t xml:space="preserve"> occurred, </w:t>
      </w:r>
      <w:r w:rsidRPr="002B2EE0">
        <w:rPr>
          <w:rStyle w:val="Emphasis"/>
          <w:rFonts w:asciiTheme="minorHAnsi" w:hAnsiTheme="minorHAnsi" w:cstheme="minorHAnsi"/>
          <w:highlight w:val="cyan"/>
        </w:rPr>
        <w:t>would have been</w:t>
      </w:r>
      <w:r w:rsidRPr="002B2EE0">
        <w:rPr>
          <w:rStyle w:val="Emphasis"/>
          <w:rFonts w:asciiTheme="minorHAnsi" w:hAnsiTheme="minorHAnsi" w:cstheme="minorHAnsi"/>
        </w:rPr>
        <w:t xml:space="preserve"> simply </w:t>
      </w:r>
      <w:r w:rsidRPr="002B2EE0">
        <w:rPr>
          <w:rStyle w:val="Emphasis"/>
          <w:rFonts w:asciiTheme="minorHAnsi" w:hAnsiTheme="minorHAnsi" w:cstheme="minorHAnsi"/>
          <w:highlight w:val="cyan"/>
        </w:rPr>
        <w:t>too prone to failure</w:t>
      </w:r>
      <w:r w:rsidRPr="002B2EE0">
        <w:rPr>
          <w:rFonts w:asciiTheme="minorHAnsi" w:hAnsiTheme="minorHAnsi" w:cstheme="minorHAnsi"/>
          <w:sz w:val="16"/>
        </w:rPr>
        <w:t xml:space="preserve">, he says. </w:t>
      </w:r>
      <w:r w:rsidRPr="002B2EE0">
        <w:rPr>
          <w:rStyle w:val="Emphasis"/>
          <w:rFonts w:asciiTheme="minorHAnsi" w:hAnsiTheme="minorHAnsi" w:cstheme="minorHAnsi"/>
        </w:rPr>
        <w:t>There was no way for those military commanders to be certain that the US would so severely mismanage their response to the pandemic – in other circumstances, swifter action and more scientifically informed responses could have averted much of the destruction. “</w:t>
      </w:r>
      <w:r w:rsidRPr="002B2EE0">
        <w:rPr>
          <w:rStyle w:val="Emphasis"/>
          <w:rFonts w:asciiTheme="minorHAnsi" w:hAnsiTheme="minorHAnsi" w:cstheme="minorHAnsi"/>
          <w:highlight w:val="cyan"/>
        </w:rPr>
        <w:t>On a</w:t>
      </w:r>
      <w:r w:rsidRPr="002B2EE0">
        <w:rPr>
          <w:rStyle w:val="Emphasis"/>
          <w:rFonts w:asciiTheme="minorHAnsi" w:hAnsiTheme="minorHAnsi" w:cstheme="minorHAnsi"/>
        </w:rPr>
        <w:t xml:space="preserve"> strategic or </w:t>
      </w:r>
      <w:r w:rsidRPr="002B2EE0">
        <w:rPr>
          <w:rStyle w:val="Emphasis"/>
          <w:rFonts w:asciiTheme="minorHAnsi" w:hAnsiTheme="minorHAnsi" w:cstheme="minorHAnsi"/>
          <w:highlight w:val="cyan"/>
        </w:rPr>
        <w:t>tactical level, using a biological weapon is so fraught with problems that no moderately sane military</w:t>
      </w:r>
      <w:r w:rsidRPr="002B2EE0">
        <w:rPr>
          <w:rStyle w:val="Emphasis"/>
          <w:rFonts w:asciiTheme="minorHAnsi" w:hAnsiTheme="minorHAnsi" w:cstheme="minorHAnsi"/>
        </w:rPr>
        <w:t xml:space="preserve"> or political </w:t>
      </w:r>
      <w:r w:rsidRPr="002B2EE0">
        <w:rPr>
          <w:rStyle w:val="Emphasis"/>
          <w:rFonts w:asciiTheme="minorHAnsi" w:hAnsiTheme="minorHAnsi" w:cstheme="minorHAnsi"/>
          <w:highlight w:val="cyan"/>
        </w:rPr>
        <w:t>commander would use it</w:t>
      </w:r>
      <w:r w:rsidRPr="002B2EE0">
        <w:rPr>
          <w:rFonts w:asciiTheme="minorHAnsi" w:hAnsiTheme="minorHAnsi" w:cstheme="minorHAnsi"/>
          <w:sz w:val="16"/>
        </w:rPr>
        <w:t xml:space="preserve">,” Dr Boland adds. </w:t>
      </w:r>
    </w:p>
    <w:p w14:paraId="36AF180B" w14:textId="77777777" w:rsidR="003663A9" w:rsidRDefault="003663A9" w:rsidP="003663A9"/>
    <w:p w14:paraId="763A3CC7" w14:textId="77777777" w:rsidR="003663A9" w:rsidRPr="00195E32" w:rsidRDefault="003663A9" w:rsidP="003663A9">
      <w:pPr>
        <w:pStyle w:val="Heading4"/>
      </w:pPr>
      <w:r>
        <w:t>No risk of bioweapons</w:t>
      </w:r>
    </w:p>
    <w:p w14:paraId="333A95E1" w14:textId="77777777" w:rsidR="003663A9" w:rsidRPr="00195E32" w:rsidRDefault="003663A9" w:rsidP="003663A9">
      <w:pPr>
        <w:rPr>
          <w:b/>
          <w:bCs/>
        </w:rPr>
      </w:pPr>
      <w:r w:rsidRPr="00195E32">
        <w:rPr>
          <w:b/>
          <w:bCs/>
        </w:rPr>
        <w:t xml:space="preserve">Mauroni, </w:t>
      </w:r>
      <w:r w:rsidRPr="00195E32">
        <w:t>Director of the U.S. Air Force Center for Strategic Deterrence Studies at Maxwell Air Force Base,</w:t>
      </w:r>
      <w:r w:rsidRPr="00195E32">
        <w:rPr>
          <w:b/>
          <w:bCs/>
        </w:rPr>
        <w:t xml:space="preserve"> 2022</w:t>
      </w:r>
    </w:p>
    <w:p w14:paraId="6994AEAE" w14:textId="622453BB" w:rsidR="003663A9" w:rsidRPr="00195E32" w:rsidRDefault="003663A9" w:rsidP="003663A9">
      <w:r w:rsidRPr="00195E32">
        <w:t xml:space="preserve">[Al, “On Biological War”, Military Review, May-June, 2022, </w:t>
      </w:r>
      <w:hyperlink r:id="rId68" w:history="1">
        <w:r w:rsidRPr="00195E32">
          <w:rPr>
            <w:rStyle w:val="Hyperlink"/>
          </w:rPr>
          <w:t>https://www.armyupress.army.mil/Portals/7/PDF-UA-docs/Mauroni-UA.pdf</w:t>
        </w:r>
      </w:hyperlink>
      <w:r w:rsidRPr="00195E32">
        <w:t>, pp. 28-36, accessed 8-20-2022, -BB]</w:t>
      </w:r>
    </w:p>
    <w:p w14:paraId="07FE302B" w14:textId="77777777" w:rsidR="003663A9" w:rsidRPr="00195E32" w:rsidRDefault="003663A9" w:rsidP="003663A9">
      <w:r w:rsidRPr="00195E32">
        <w:rPr>
          <w:u w:val="single"/>
        </w:rPr>
        <w:t>China’s position as one of the leaders of the global bioeconomy increases its potential for realized or latent advanced biological warfare capabilities</w:t>
      </w:r>
      <w:r w:rsidRPr="00195E32">
        <w:t xml:space="preserve">. Beijing appears committed to becoming a leader in biotechnology, which holds the promise of myriad public health applications. </w:t>
      </w:r>
      <w:r w:rsidRPr="00195E32">
        <w:rPr>
          <w:u w:val="single"/>
        </w:rPr>
        <w:t>Yet, many biotechnology applications are dual-use, capable of delivering both public health benefits and advances in biological warfare capabilities</w:t>
      </w:r>
      <w:r w:rsidRPr="00195E32">
        <w:t xml:space="preserve">. As one top U.S. expert noted, China “is pursuing a very aggressive strategy to become the world leader in biotechnology.”16 Sustained public and private investment in synthetic biology technologies needed for DNA sequencing and synthesis as well as gene editing have enabled China to develop a wide array of dual-use biotechnologies in the field of synthetic biology. </w:t>
      </w:r>
      <w:r w:rsidRPr="00195E32">
        <w:rPr>
          <w:u w:val="single"/>
        </w:rPr>
        <w:t>Many experts anticipate that synthetic biology advances will enable the development of “new and novel biomaterials” to include advanced bioweapons</w:t>
      </w:r>
      <w:r w:rsidRPr="00195E32">
        <w:t>.17 As a 2020 Brookings Institution study noted, “The determination of China’s one-party state to become a leading player in biotechnology is reflected by the rapid growth in investment in the sector. Some estimates claim that collectively, China’s central, local, and provincial governments have invested over $100 billion in life sciences research and development.”18 China’s sustained and sizeable government investment in domestic biotechnology has created an industrial base capable of developing and manufacturing a range of extant and novel biological warfare agents.</w:t>
      </w:r>
    </w:p>
    <w:p w14:paraId="3D8A84C3" w14:textId="77777777" w:rsidR="003663A9" w:rsidRPr="00195E32" w:rsidRDefault="003663A9" w:rsidP="003663A9">
      <w:r w:rsidRPr="00195E32">
        <w:t xml:space="preserve">And </w:t>
      </w:r>
      <w:r w:rsidRPr="00195E32">
        <w:rPr>
          <w:u w:val="single"/>
        </w:rPr>
        <w:t>while the possibility of developing novel biological warfare agents is present, it is more probable that China wants to use its biotechnology lead to produce superior commercial pharmaceuticals and to enhance its military forces</w:t>
      </w:r>
      <w:r w:rsidRPr="00195E32">
        <w:t xml:space="preserve">. There is always speculation that advances in the life sciences will drive an evolution in biological weapons, making them more lethal, more environmentally hardy, more targeted toward specific populations, or more able to confound contemporary detection systems. This belief used to be rooted in the 1970s rise of biotechnology, and then it was 1990s genetics driving the concerns. Today, it is the promise (and dangers) of synthetic biology. And </w:t>
      </w:r>
      <w:r w:rsidRPr="00195E32">
        <w:rPr>
          <w:u w:val="single"/>
        </w:rPr>
        <w:t>while it is true that one could always improve characteristics of certain biological weapons, there are significant drawbacks as to such an approach</w:t>
      </w:r>
      <w:r w:rsidRPr="00195E32">
        <w:t xml:space="preserve">.19 </w:t>
      </w:r>
      <w:r w:rsidRPr="00195E32">
        <w:rPr>
          <w:u w:val="single"/>
        </w:rPr>
        <w:t>Assuming that an adversary might develop altered biological weapons to be more operationally relevant, this would still be a violation of treaty</w:t>
      </w:r>
      <w:r w:rsidRPr="00195E32">
        <w:t xml:space="preserve"> (if it were China or Russia) </w:t>
      </w:r>
      <w:r w:rsidRPr="00195E32">
        <w:rPr>
          <w:u w:val="single"/>
        </w:rPr>
        <w:t>and international norms</w:t>
      </w:r>
      <w:r w:rsidRPr="00195E32">
        <w:t>. Modifying a biological organism to enhance its resistance to antibiotics might in turn reduce other desired characteristics, such as its lethality or dissemination qualities. Any use of a genetically modified organism would run the risk of direct attribution to a particular source.</w:t>
      </w:r>
    </w:p>
    <w:p w14:paraId="06140DF3" w14:textId="77777777" w:rsidR="003663A9" w:rsidRPr="00195E32" w:rsidRDefault="003663A9" w:rsidP="003663A9">
      <w:pPr>
        <w:rPr>
          <w:u w:val="single"/>
        </w:rPr>
      </w:pPr>
      <w:r w:rsidRPr="00195E32">
        <w:t xml:space="preserve">Western military forces lack the capability to detect the deliberate use of biological weapons until after exposure. In addition, U.S. forces lack vaccines for a number of traditional biological warfare agents, let alone engineered diseases.20 Any nation with an advanced industrial capability can easily develop biological agents that can damage or destroy crops or livestock, in addition to targeting humans. There is no need for an overly sophisticated engineered biological warfare agent à la the latest James Bond movie, No Time to Die. And even if military forces had tactical biological detectors that could identify all biological warfare agents in a timely enough fashion to put on protective masks, traditional biological weapons would still be an effective strategic weapon against a civilian populace, its livestock, or cropland. </w:t>
      </w:r>
      <w:r w:rsidRPr="00195E32">
        <w:rPr>
          <w:u w:val="single"/>
        </w:rPr>
        <w:t>There is no possibility that the United States and its Western allies can make biological weapons obsolete.21 At the same time, we do not need to overexaggerate the threat of biological weapons as some Hollywood scripts portray them.</w:t>
      </w:r>
    </w:p>
    <w:p w14:paraId="4A67E656" w14:textId="77777777" w:rsidR="003663A9" w:rsidRDefault="003663A9" w:rsidP="003663A9"/>
    <w:p w14:paraId="6A9EE246" w14:textId="078915A8" w:rsidR="003663A9" w:rsidRDefault="003663A9" w:rsidP="003663A9">
      <w:pPr>
        <w:pStyle w:val="Heading1"/>
      </w:pPr>
      <w:r>
        <w:t>Counterplans</w:t>
      </w:r>
    </w:p>
    <w:p w14:paraId="63B20DF6" w14:textId="77777777" w:rsidR="003663A9" w:rsidRPr="003663A9" w:rsidRDefault="003663A9" w:rsidP="003663A9"/>
    <w:p w14:paraId="0EFC60E3" w14:textId="77777777" w:rsidR="003663A9" w:rsidRDefault="003663A9" w:rsidP="003663A9">
      <w:pPr>
        <w:pStyle w:val="Heading2"/>
      </w:pPr>
      <w:r>
        <w:t>CP – Public Domain</w:t>
      </w:r>
    </w:p>
    <w:p w14:paraId="031DB0AC" w14:textId="77777777" w:rsidR="003663A9" w:rsidRDefault="003663A9" w:rsidP="003663A9"/>
    <w:p w14:paraId="47ACE113" w14:textId="69AD584F" w:rsidR="00701228" w:rsidRDefault="00701228" w:rsidP="00701228">
      <w:pPr>
        <w:pStyle w:val="Heading3"/>
      </w:pPr>
      <w:r>
        <w:t>Possible Text</w:t>
      </w:r>
    </w:p>
    <w:p w14:paraId="39905931" w14:textId="77777777" w:rsidR="00701228" w:rsidRDefault="00701228" w:rsidP="00701228"/>
    <w:p w14:paraId="1AEEBD36" w14:textId="5DAA6F16" w:rsidR="00701228" w:rsidRDefault="00701228" w:rsidP="00701228">
      <w:pPr>
        <w:pStyle w:val="Heading4"/>
      </w:pPr>
      <w:r>
        <w:t xml:space="preserve">The United States federal government should prohibit private </w:t>
      </w:r>
      <w:r w:rsidR="004B69E8">
        <w:t>ownership</w:t>
      </w:r>
      <w:r>
        <w:t xml:space="preserve"> of federally funded university research</w:t>
      </w:r>
    </w:p>
    <w:p w14:paraId="7E233421" w14:textId="77777777" w:rsidR="00701228" w:rsidRDefault="00701228" w:rsidP="00701228"/>
    <w:p w14:paraId="250F5F8C" w14:textId="77777777" w:rsidR="003663A9" w:rsidRDefault="003663A9" w:rsidP="003663A9">
      <w:pPr>
        <w:pStyle w:val="Heading3"/>
      </w:pPr>
      <w:r>
        <w:t>PD Solvency</w:t>
      </w:r>
    </w:p>
    <w:p w14:paraId="59D14604" w14:textId="77777777" w:rsidR="003663A9" w:rsidRPr="0058173F" w:rsidRDefault="003663A9" w:rsidP="003663A9"/>
    <w:p w14:paraId="4C77F539" w14:textId="77777777" w:rsidR="003663A9" w:rsidRDefault="003663A9" w:rsidP="003663A9">
      <w:pPr>
        <w:pStyle w:val="Heading4"/>
      </w:pPr>
      <w:r>
        <w:t>Public domain solves tech transfer</w:t>
      </w:r>
    </w:p>
    <w:p w14:paraId="31076985" w14:textId="77777777" w:rsidR="003663A9" w:rsidRDefault="003663A9" w:rsidP="003663A9">
      <w:pPr>
        <w:rPr>
          <w:rStyle w:val="Style13ptBold"/>
          <w:b w:val="0"/>
          <w:bCs w:val="0"/>
        </w:rPr>
      </w:pPr>
      <w:r>
        <w:rPr>
          <w:rStyle w:val="Style13ptBold"/>
        </w:rPr>
        <w:t>Kenney, Prof of Human Ecology, &amp; Patton, Research Associate at UC Davis, 09</w:t>
      </w:r>
      <w:r>
        <w:rPr>
          <w:rStyle w:val="Style13ptBold"/>
          <w:b w:val="0"/>
          <w:bCs w:val="0"/>
        </w:rPr>
        <w:t xml:space="preserve"> </w:t>
      </w:r>
    </w:p>
    <w:p w14:paraId="0467D6AE" w14:textId="77777777" w:rsidR="003663A9" w:rsidRDefault="003663A9" w:rsidP="003663A9">
      <w:pPr>
        <w:rPr>
          <w:rStyle w:val="Style13ptBold"/>
          <w:b w:val="0"/>
          <w:bCs w:val="0"/>
          <w:sz w:val="22"/>
        </w:rPr>
      </w:pPr>
      <w:r w:rsidRPr="00082B93">
        <w:rPr>
          <w:rStyle w:val="Style13ptBold"/>
          <w:b w:val="0"/>
          <w:bCs w:val="0"/>
          <w:sz w:val="22"/>
        </w:rPr>
        <w:t xml:space="preserve">[Martin, Donald, “Reconsidering the Bayh-Dole Act and the Current University Invention Ownership Model,” </w:t>
      </w:r>
      <w:r w:rsidRPr="00082B93">
        <w:rPr>
          <w:rStyle w:val="Style13ptBold"/>
          <w:b w:val="0"/>
          <w:bCs w:val="0"/>
          <w:i/>
          <w:iCs/>
          <w:sz w:val="22"/>
        </w:rPr>
        <w:t>Research Policy</w:t>
      </w:r>
      <w:r w:rsidRPr="00082B93">
        <w:rPr>
          <w:rStyle w:val="Style13ptBold"/>
          <w:b w:val="0"/>
          <w:bCs w:val="0"/>
          <w:sz w:val="22"/>
        </w:rPr>
        <w:t xml:space="preserve"> 38, GDI-JCR]</w:t>
      </w:r>
    </w:p>
    <w:p w14:paraId="1EA39001" w14:textId="77777777" w:rsidR="003663A9" w:rsidRDefault="003663A9" w:rsidP="003663A9">
      <w:pPr>
        <w:rPr>
          <w:rStyle w:val="Emphasis"/>
        </w:rPr>
      </w:pPr>
      <w:r w:rsidRPr="00D93888">
        <w:rPr>
          <w:rStyle w:val="Emphasis"/>
        </w:rPr>
        <w:t>For the university, placing inventions in the public domain would</w:t>
      </w:r>
      <w:r w:rsidRPr="00D93888">
        <w:rPr>
          <w:sz w:val="16"/>
        </w:rPr>
        <w:t xml:space="preserve"> ameliorate current concerns about commercialization’s influence upon its mission and faculty. In many cases, it would </w:t>
      </w:r>
      <w:r w:rsidRPr="00D93888">
        <w:rPr>
          <w:rStyle w:val="Emphasis"/>
        </w:rPr>
        <w:t>lower the cost and reduce the uncertainty of using new university</w:t>
      </w:r>
      <w:r>
        <w:rPr>
          <w:rStyle w:val="Emphasis"/>
        </w:rPr>
        <w:t>-</w:t>
      </w:r>
      <w:r w:rsidRPr="00D93888">
        <w:rPr>
          <w:rStyle w:val="Emphasis"/>
        </w:rPr>
        <w:t>developed technologies, thereby accelerating their adoption.</w:t>
      </w:r>
      <w:r w:rsidRPr="00D93888">
        <w:rPr>
          <w:sz w:val="16"/>
        </w:rPr>
        <w:t xml:space="preserve"> Through a radical response to the difficulties of the current model, </w:t>
      </w:r>
      <w:r w:rsidRPr="00D93888">
        <w:rPr>
          <w:rStyle w:val="Emphasis"/>
        </w:rPr>
        <w:t>the public domain model provides an alternative reference point for considering other ownership models. Placing university inventions in the public domain might lead to better solutions compared with using the “perfect world” assumptions underlying most economic models.</w:t>
      </w:r>
    </w:p>
    <w:p w14:paraId="03D83216" w14:textId="77777777" w:rsidR="003663A9" w:rsidRDefault="003663A9" w:rsidP="003663A9"/>
    <w:p w14:paraId="1806208E" w14:textId="77777777" w:rsidR="003663A9" w:rsidRDefault="003663A9" w:rsidP="003663A9">
      <w:pPr>
        <w:pStyle w:val="Heading4"/>
      </w:pPr>
      <w:r>
        <w:t xml:space="preserve">University research IP protections undermine commercialization regardless of university or inventor ownership – should be public domain </w:t>
      </w:r>
    </w:p>
    <w:p w14:paraId="3E1BA1A8" w14:textId="77777777" w:rsidR="003663A9" w:rsidRDefault="003663A9" w:rsidP="003663A9">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45157B1B" w14:textId="078DB34D" w:rsidR="003663A9" w:rsidRPr="00DF743A" w:rsidRDefault="003663A9" w:rsidP="003663A9">
      <w:pPr>
        <w:spacing w:before="1" w:line="235" w:lineRule="auto"/>
        <w:ind w:right="735"/>
        <w:rPr>
          <w:rStyle w:val="Style13ptBold"/>
          <w:b w:val="0"/>
          <w:bCs w:val="0"/>
          <w:sz w:val="22"/>
        </w:rPr>
      </w:pPr>
      <w:r w:rsidRPr="00DF743A">
        <w:rPr>
          <w:rStyle w:val="Style13ptBold"/>
          <w:b w:val="0"/>
          <w:bCs w:val="0"/>
          <w:sz w:val="22"/>
        </w:rPr>
        <w:t>[Christopher J. Jr., et al. "The Hidden Cost of University Patents." Berkeley Business Law Journal, vol. 21, no. 1, 2024, pp. 203-249. HeinOnline -tm]</w:t>
      </w:r>
    </w:p>
    <w:p w14:paraId="642082D0" w14:textId="77777777" w:rsidR="003663A9" w:rsidRPr="00F73654" w:rsidRDefault="003663A9" w:rsidP="003663A9">
      <w:r w:rsidRPr="007D3DDA">
        <w:rPr>
          <w:rStyle w:val="Emphasis"/>
        </w:rPr>
        <w:t>The current state of university patents-especially with respect to the incentives inherent in the patent regime that privileges university-generated research and patenting-is a quagmire</w:t>
      </w:r>
      <w:r w:rsidRPr="00F73654">
        <w:t>. As we explain in this article</w:t>
      </w:r>
      <w:r w:rsidRPr="007D3DDA">
        <w:rPr>
          <w:rStyle w:val="Emphasis"/>
        </w:rPr>
        <w:t>, a substantial body of scholarship questions the effectiveness, efficiency, and wisdom of university patents in general and the Bayh-Dole Act in particular</w:t>
      </w:r>
      <w:r w:rsidRPr="00F73654">
        <w:t>.</w:t>
      </w:r>
      <w:r w:rsidRPr="007D3DDA">
        <w:rPr>
          <w:rStyle w:val="Emphasis"/>
        </w:rPr>
        <w:t>1so It is unclear to what extent patent ownership causes universities to generate more valuable innovation, and there is limited evidence that this goal actually has been fulfilled</w:t>
      </w:r>
      <w:r w:rsidRPr="00F73654">
        <w:t xml:space="preserve">.1s1 Thus, </w:t>
      </w:r>
      <w:r w:rsidRPr="007D3DDA">
        <w:rPr>
          <w:rStyle w:val="Emphasis"/>
        </w:rPr>
        <w:t>it is difficult to justify subsidizing university research both directly through grants and indirectly through patents,</w:t>
      </w:r>
      <w:r w:rsidRPr="00F73654">
        <w:t xml:space="preserve"> and there is some evidence that the justifications provided work far better in theory than in practice.</w:t>
      </w:r>
    </w:p>
    <w:p w14:paraId="4E4754C1" w14:textId="77777777" w:rsidR="003663A9" w:rsidRPr="007D3DDA" w:rsidRDefault="003663A9" w:rsidP="003663A9">
      <w:pPr>
        <w:rPr>
          <w:rStyle w:val="Emphasis"/>
        </w:rPr>
      </w:pPr>
      <w:r w:rsidRPr="00F73654">
        <w:t xml:space="preserve">Although more than four decades have passed, </w:t>
      </w:r>
      <w:r w:rsidRPr="007D3DDA">
        <w:rPr>
          <w:rStyle w:val="Emphasis"/>
        </w:rPr>
        <w:t>it remains disappointing that Congress encouraged universities to claim private ownership of ideas,</w:t>
      </w:r>
      <w:r w:rsidRPr="00F73654">
        <w:t xml:space="preserve"> rather than releasing them to the public domain.1s2 </w:t>
      </w:r>
      <w:r w:rsidRPr="007D3DDA">
        <w:rPr>
          <w:rStyle w:val="Emphasis"/>
        </w:rPr>
        <w:t>Since the passage of the Bayh-Dole Act, the practical effect of university patents on innovation policy is clear.</w:t>
      </w:r>
      <w:r w:rsidRPr="00F73654">
        <w:t xml:space="preserve"> </w:t>
      </w:r>
      <w:r w:rsidRPr="007D3DDA">
        <w:rPr>
          <w:rStyle w:val="Emphasis"/>
        </w:rPr>
        <w:t>The Bayh­ Dole Act enabled universities to patent inventions and discoveries produced by academics, rather than releasing them into the public domain</w:t>
      </w:r>
      <w:r w:rsidRPr="00F73654">
        <w:t xml:space="preserve">.1s3 </w:t>
      </w:r>
      <w:r w:rsidRPr="007D3DDA">
        <w:rPr>
          <w:rStyle w:val="Emphasis"/>
        </w:rPr>
        <w:t>While the Bayh­ Dole Act was intended to encourage the commercialization of academic innovation, it may have had the opposite effect. It incentivized academics to patent their inventions and discoveries, and incentivized universities to enforce those patents</w:t>
      </w:r>
      <w:r w:rsidRPr="00F73654">
        <w:t xml:space="preserve">. </w:t>
      </w:r>
      <w:r w:rsidRPr="007D3DDA">
        <w:rPr>
          <w:rStyle w:val="Emphasis"/>
        </w:rPr>
        <w:t>As a consequence, academics delayed disclosing their research results until they could patent any inventions and discoveries, and universities used those patents to prevent commercialization without a license. Inevitably, research results were often disclosed later, or not at all, and became more expensive to commercialize.</w:t>
      </w:r>
    </w:p>
    <w:p w14:paraId="218B5F3C" w14:textId="77777777" w:rsidR="003663A9" w:rsidRPr="00F73654" w:rsidRDefault="003663A9" w:rsidP="003663A9">
      <w:r w:rsidRPr="00F73654">
        <w:t xml:space="preserve">In addition, </w:t>
      </w:r>
      <w:r w:rsidRPr="007D3DDA">
        <w:rPr>
          <w:rStyle w:val="Emphasis"/>
        </w:rPr>
        <w:t>university patents may have reduced the commercialization of innovation rather than increasing it.1</w:t>
      </w:r>
      <w:r w:rsidRPr="00F73654">
        <w:t xml:space="preserve">54 Like any other form of intellectual property, patents impose transaction costs.155 Sometimes, these costs are justified, such as when they encourage more innovation. </w:t>
      </w:r>
      <w:r w:rsidRPr="007D3DDA">
        <w:rPr>
          <w:rStyle w:val="Emphasis"/>
        </w:rPr>
        <w:t>But universities are charitable organizations and are in the business of funding innovation</w:t>
      </w:r>
      <w:r w:rsidRPr="00F73654">
        <w:t xml:space="preserve">. </w:t>
      </w:r>
      <w:r w:rsidRPr="007D3DDA">
        <w:rPr>
          <w:rStyle w:val="Emphasis"/>
        </w:rPr>
        <w:t>They do not need a patent incentive</w:t>
      </w:r>
      <w:r w:rsidRPr="00F73654">
        <w:t>. As charitable organizations dedicated to education and the advancement of knowledge, universities should make the innovations they produce available to everyone-and perhaps for free. That's their charitable purpose.</w:t>
      </w:r>
    </w:p>
    <w:p w14:paraId="7AD14295" w14:textId="77777777" w:rsidR="003663A9" w:rsidRPr="00F73654" w:rsidRDefault="003663A9" w:rsidP="003663A9">
      <w:r w:rsidRPr="00F73654">
        <w:t xml:space="preserve">At best, </w:t>
      </w:r>
      <w:r w:rsidRPr="007D3DDA">
        <w:rPr>
          <w:rStyle w:val="Emphasis"/>
        </w:rPr>
        <w:t>the Bayh-Dole Act was an effort to reduce government spending on universities by using the patent system to provide indirect funding</w:t>
      </w:r>
      <w:r w:rsidRPr="00F73654">
        <w:t>. But it is easy to imagine worse intentions, especially given the results. As it stands</w:t>
      </w:r>
      <w:r w:rsidRPr="007D3DDA">
        <w:rPr>
          <w:rStyle w:val="Emphasis"/>
        </w:rPr>
        <w:t>, universities receive billions of dollars in federal research grants</w:t>
      </w:r>
      <w:r w:rsidRPr="00F73654">
        <w:t xml:space="preserve">.156 </w:t>
      </w:r>
      <w:r w:rsidRPr="007D3DDA">
        <w:rPr>
          <w:rStyle w:val="Emphasis"/>
        </w:rPr>
        <w:t>The Bayh-Dole Act gives them an incentive to patent anything they can and to sell those patents to the highest bidder, whether or not the buyer has any interest in commercializing the innovation</w:t>
      </w:r>
      <w:r w:rsidRPr="00F73654">
        <w:t>.157 The apparent result of the Bayh-Dole Act was predictable, and Congress should have predicted it.15s</w:t>
      </w:r>
    </w:p>
    <w:p w14:paraId="48F43A66" w14:textId="77777777" w:rsidR="003663A9" w:rsidRPr="00D93888" w:rsidRDefault="003663A9" w:rsidP="003663A9"/>
    <w:p w14:paraId="5C714706" w14:textId="77777777" w:rsidR="003663A9" w:rsidRDefault="003663A9" w:rsidP="003663A9">
      <w:pPr>
        <w:pStyle w:val="Heading2"/>
      </w:pPr>
      <w:r>
        <w:t>CP – Right to Practice</w:t>
      </w:r>
    </w:p>
    <w:p w14:paraId="00BEA792" w14:textId="77777777" w:rsidR="003663A9" w:rsidRDefault="003663A9" w:rsidP="003663A9"/>
    <w:p w14:paraId="5D0A3DAE" w14:textId="7B103542" w:rsidR="00701228" w:rsidRDefault="00701228" w:rsidP="00701228">
      <w:pPr>
        <w:pStyle w:val="Heading3"/>
      </w:pPr>
      <w:r>
        <w:t>Possible Text</w:t>
      </w:r>
    </w:p>
    <w:p w14:paraId="790BD38F" w14:textId="77777777" w:rsidR="00701228" w:rsidRDefault="00701228" w:rsidP="00701228"/>
    <w:p w14:paraId="4B07D522" w14:textId="1F74F7FE" w:rsidR="00701228" w:rsidRDefault="00701228" w:rsidP="00701228">
      <w:pPr>
        <w:pStyle w:val="Heading4"/>
      </w:pPr>
      <w:r>
        <w:t>The United States federal government should establish a presumptive right to practice on payment of reasonable royalties for inventors of federally funded university research</w:t>
      </w:r>
    </w:p>
    <w:p w14:paraId="412F9693" w14:textId="77777777" w:rsidR="00701228" w:rsidRPr="00701228" w:rsidRDefault="00701228" w:rsidP="00701228"/>
    <w:p w14:paraId="2D2F3F37" w14:textId="77777777" w:rsidR="003663A9" w:rsidRDefault="003663A9" w:rsidP="003663A9">
      <w:pPr>
        <w:pStyle w:val="Heading3"/>
      </w:pPr>
      <w:r>
        <w:t>RTP Solves</w:t>
      </w:r>
    </w:p>
    <w:p w14:paraId="0898FD26" w14:textId="77777777" w:rsidR="003663A9" w:rsidRPr="002C01EF" w:rsidRDefault="003663A9" w:rsidP="003663A9"/>
    <w:p w14:paraId="70344373" w14:textId="77777777" w:rsidR="003663A9" w:rsidRDefault="003663A9" w:rsidP="003663A9">
      <w:pPr>
        <w:pStyle w:val="Heading4"/>
      </w:pPr>
      <w:r>
        <w:t xml:space="preserve">Presumption inventors should have royalty based access </w:t>
      </w:r>
    </w:p>
    <w:p w14:paraId="200C9485" w14:textId="77777777" w:rsidR="003663A9" w:rsidRPr="00904438" w:rsidRDefault="003663A9" w:rsidP="003663A9">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1DAA663E" w14:textId="77777777" w:rsidR="003663A9" w:rsidRPr="00904438" w:rsidRDefault="003663A9" w:rsidP="003663A9">
      <w:r>
        <w:t>[Brenda M. "Preserving the Fruits of Labor: Impediments to University Inventor Mobility," Tennessee Law Review 89, no. 1 (Fall 2021): 1-66 heinonline gdi-tm]</w:t>
      </w:r>
    </w:p>
    <w:p w14:paraId="2D212DA5" w14:textId="77777777" w:rsidR="003663A9" w:rsidRPr="00FD13A1" w:rsidRDefault="003663A9" w:rsidP="003663A9">
      <w:r>
        <w:t xml:space="preserve">In considering how best to promote innovation in the challenging situation of university inventor departure, various alternatives will be assessed, though none is without flaws. For many possibilities, the _likelihood of deleterious effects on innovation incentives is concerning.27 This Article proposes </w:t>
      </w:r>
      <w:r w:rsidRPr="00FD13A1">
        <w:rPr>
          <w:rStyle w:val="Emphasis"/>
        </w:rPr>
        <w:t>a-measured approach: a narrow modification to the Bayh-Dole Act to provide a presumptive right for university inventors to practice their inventions on payment of a reasonable royalty</w:t>
      </w:r>
      <w:r>
        <w:t xml:space="preserve">. Because the proposed amendment would </w:t>
      </w:r>
      <w:r w:rsidRPr="00FD13A1">
        <w:rPr>
          <w:rStyle w:val="Emphasis"/>
        </w:rPr>
        <w:t>allow for the presumption to be overcome under certain circumstances, it would have a minimal adverse effect on innovation incentives, if any</w:t>
      </w:r>
      <w:r>
        <w:t>. As an alternative proposal,• funding agencies could impose conditions on government incentive structures to encourage universities to support departing inventor involvement in · development. Of course, any proposal should be informed through empirical analysis and additional discussion.</w:t>
      </w:r>
    </w:p>
    <w:p w14:paraId="6CE0D39A" w14:textId="77777777" w:rsidR="003663A9" w:rsidRDefault="003663A9" w:rsidP="003663A9"/>
    <w:p w14:paraId="0822B1C9" w14:textId="77777777" w:rsidR="003663A9" w:rsidRDefault="003663A9" w:rsidP="003663A9">
      <w:pPr>
        <w:pStyle w:val="Heading4"/>
      </w:pPr>
      <w:r>
        <w:t xml:space="preserve">Bayh-Dole modification fosters inventor involvement </w:t>
      </w:r>
    </w:p>
    <w:p w14:paraId="360B22CB" w14:textId="77777777" w:rsidR="003663A9" w:rsidRPr="00904438" w:rsidRDefault="003663A9" w:rsidP="003663A9">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6442971E" w14:textId="77777777" w:rsidR="003663A9" w:rsidRPr="00904438" w:rsidRDefault="003663A9" w:rsidP="003663A9">
      <w:r>
        <w:t>[Brenda M. "Preserving the Fruits of Labor: Impediments to University Inventor Mobility," Tennessee Law Review 89, no. 1 (Fall 2021): 1-66 heinonline gdi-tm]</w:t>
      </w:r>
    </w:p>
    <w:p w14:paraId="69AC3DC7" w14:textId="77777777" w:rsidR="003663A9" w:rsidRDefault="003663A9" w:rsidP="003663A9">
      <w:pPr>
        <w:rPr>
          <w:rStyle w:val="Emphasis"/>
        </w:rPr>
      </w:pPr>
      <w:r>
        <w:t xml:space="preserve">This Part examines how to address possible harms when academic inventors seek to depart from their universities. In particular, </w:t>
      </w:r>
      <w:r w:rsidRPr="0099085A">
        <w:rPr>
          <w:rStyle w:val="Emphasis"/>
        </w:rPr>
        <w:t>it raises and assesses various proposals to address potential detrimental effects on the dissemination of knowledge and innovation arising from limitations on university inventor mobility</w:t>
      </w:r>
      <w:r>
        <w:t xml:space="preserve">.347 Due to the significant risk of deleterious effects on innovation incentives for many of the proposals, </w:t>
      </w:r>
      <w:r w:rsidRPr="0099085A">
        <w:rPr>
          <w:rStyle w:val="Emphasis"/>
        </w:rPr>
        <w:t xml:space="preserve">the best alternatives would be to modify the Bayh-Dole Act to allow inventors a presumptive right to practice on payment of a reasonable royalty </w:t>
      </w:r>
      <w:r w:rsidRPr="0099085A">
        <w:t>or to place conditions on government incentive structures to encourage university inventor involvement in development</w:t>
      </w:r>
      <w:r w:rsidRPr="0099085A">
        <w:rPr>
          <w:rStyle w:val="Emphasis"/>
        </w:rPr>
        <w:t>.</w:t>
      </w:r>
    </w:p>
    <w:p w14:paraId="0FCADA01" w14:textId="77777777" w:rsidR="003663A9" w:rsidRDefault="003663A9" w:rsidP="003663A9"/>
    <w:p w14:paraId="741A229D" w14:textId="77777777" w:rsidR="003663A9" w:rsidRDefault="003663A9" w:rsidP="003663A9">
      <w:pPr>
        <w:pStyle w:val="Heading4"/>
      </w:pPr>
      <w:r>
        <w:t>Altering Bayh-Dole to allow inventor right to practice boosts mobility and fosters innovation</w:t>
      </w:r>
    </w:p>
    <w:p w14:paraId="29AEE177" w14:textId="77777777" w:rsidR="003663A9" w:rsidRPr="00904438" w:rsidRDefault="003663A9" w:rsidP="003663A9">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350C5298" w14:textId="77777777" w:rsidR="003663A9" w:rsidRPr="00904438" w:rsidRDefault="003663A9" w:rsidP="003663A9">
      <w:r>
        <w:t>[Brenda M. "Preserving the Fruits of Labor: Impediments to University Inventor Mobility," Tennessee Law Review 89, no. 1 (Fall 2021): 1-66 heinonline gdi-tm]</w:t>
      </w:r>
    </w:p>
    <w:p w14:paraId="34C96C2F" w14:textId="77777777" w:rsidR="003663A9" w:rsidRPr="00C73827" w:rsidRDefault="003663A9" w:rsidP="003663A9">
      <w:pPr>
        <w:rPr>
          <w:rStyle w:val="Emphasis"/>
        </w:rPr>
      </w:pPr>
      <w:r w:rsidRPr="00C73827">
        <w:rPr>
          <w:rStyle w:val="Emphasis"/>
        </w:rPr>
        <w:t>One potential solution to address some of the issues related to university inventor mobility described previously would be to modify the Bayh-Dole Act. The proposed amendment would require universities to allow a presumptive right to practice for university inventors on payment of a reasonable royalty, or as otherwise agreed between the inventors and the parent university.</w:t>
      </w:r>
    </w:p>
    <w:p w14:paraId="2E480E2F" w14:textId="77777777" w:rsidR="003663A9" w:rsidRPr="00C73827" w:rsidRDefault="003663A9" w:rsidP="003663A9">
      <w:pPr>
        <w:rPr>
          <w:rStyle w:val="Emphasis"/>
        </w:rPr>
      </w:pPr>
      <w:r w:rsidRPr="00C73827">
        <w:rPr>
          <w:rStyle w:val="Emphasis"/>
        </w:rPr>
        <w:t>If an inventor is moving to another academic institution and the invention will be used for solely academic purposes,  then an appropriate royalty for the presumptive right to practice could be set at zero</w:t>
      </w:r>
      <w:r>
        <w:t xml:space="preserve">. Imposing any royalty could discourage moves for academic purposes only. Alternatively, </w:t>
      </w:r>
      <w:r w:rsidRPr="00C73827">
        <w:rPr>
          <w:rStyle w:val="Emphasis"/>
        </w:rPr>
        <w:t>Congress or the courts could provide for a limited academic "reverse shop right" for inventors seeking to transfer between academic institutions</w:t>
      </w:r>
      <w:r>
        <w:t xml:space="preserve">. 348 </w:t>
      </w:r>
      <w:r w:rsidRPr="00C73827">
        <w:rPr>
          <w:rStyle w:val="Emphasis"/>
        </w:rPr>
        <w:t>A limited reverse shop</w:t>
      </w:r>
    </w:p>
    <w:p w14:paraId="1D54E303" w14:textId="77777777" w:rsidR="003663A9" w:rsidRDefault="003663A9" w:rsidP="003663A9">
      <w:r w:rsidRPr="00C73827">
        <w:rPr>
          <w:rStyle w:val="Emphasis"/>
        </w:rPr>
        <w:t>right would enable inventors to continue using their prior creations for purely academic use.349The traditional shop right doctrine holds that an employer retains a royalty-free, nontransferable license to practice an employee's invention when the employer's resources have been used</w:t>
      </w:r>
      <w:r>
        <w:t xml:space="preserve">. 350 Similar to the equitable principles justifying the standard shop right doctrine, </w:t>
      </w:r>
      <w:r w:rsidRPr="00C73827">
        <w:rPr>
          <w:rStyle w:val="Emphasis"/>
        </w:rPr>
        <w:t>a limited academic reverse shop right would recognize the importance of departing inventors' contributions, supporting the ability of university inventors to continue using their creations for solely academic purposes</w:t>
      </w:r>
      <w:r>
        <w:t>.351</w:t>
      </w:r>
    </w:p>
    <w:p w14:paraId="5C95BDEF" w14:textId="77777777" w:rsidR="003663A9" w:rsidRDefault="003663A9" w:rsidP="003663A9">
      <w:r>
        <w:t>Determining whether an invention will be used for academic purposes only can be difficult. For example, in the case of Madey v. Duke University, the departing inventor owned patents covering the invention at issue and sued his former university for patent infringement. 352 Duke attempted to rely on the experimental use defense. 353 The Federal Circuit explained that Duke's use of the invention in furtherance of its "legitimate business" of"educating and enlightening students and faculty" would not allow it to qualify for the experimental use defense, regardless of its non-profit status.354</w:t>
      </w:r>
    </w:p>
    <w:p w14:paraId="77A45D7A" w14:textId="77777777" w:rsidR="003663A9" w:rsidRDefault="003663A9" w:rsidP="003663A9">
      <w:r w:rsidRPr="00C73827">
        <w:rPr>
          <w:rStyle w:val="Emphasis"/>
        </w:rPr>
        <w:t>To allow for greater discretion, universities could rebut the presumptive right to practice by demonstrating that allowing inventors to practice their inventions would undermine the public interest or that exclusivity is essential to commercialization.</w:t>
      </w:r>
      <w:r>
        <w:t xml:space="preserve"> </w:t>
      </w:r>
      <w:r w:rsidRPr="00C73827">
        <w:rPr>
          <w:rStyle w:val="Emphasis"/>
        </w:rPr>
        <w:t>An inventor</w:t>
      </w:r>
      <w:r>
        <w:t xml:space="preserve"> might not be acting in the best interest of the public, but may instead </w:t>
      </w:r>
      <w:r w:rsidRPr="00C73827">
        <w:rPr>
          <w:rStyle w:val="Emphasis"/>
        </w:rPr>
        <w:t>be motivated by vindictiveness or have</w:t>
      </w:r>
      <w:r>
        <w:t xml:space="preserve"> </w:t>
      </w:r>
      <w:r w:rsidRPr="00C73827">
        <w:rPr>
          <w:rStyle w:val="Emphasis"/>
        </w:rPr>
        <w:t>conflicts of interest.M5 In those circumstances, a university justifiably might not want to share data with or license intellectual property</w:t>
      </w:r>
      <w:r>
        <w:t>. Similarly, sometimes an exclusive patent license is a necessary incentive for a firm to take on the costs of commercializing an invention, particularly in the pharmaceutical or biotechnology space. 356 In other technological areas, such as computer-implemented inventions, exclusivity may not be as essential for commercialization. For example, universities reported that they granted over 60% of patent licenses in a nonexclusive manner from 2009 to 2013.</w:t>
      </w:r>
      <w:r w:rsidRPr="00C73827">
        <w:rPr>
          <w:rStyle w:val="Emphasis"/>
        </w:rPr>
        <w:t>357 In circumstances where a university is already licensing an invention nonexclusively, allowing departing inventor use on payment of a reasonable royalty would be unlikely to adversely affect innovation incentives</w:t>
      </w:r>
      <w:r>
        <w:t>.</w:t>
      </w:r>
    </w:p>
    <w:p w14:paraId="77A3017C" w14:textId="77777777" w:rsidR="003663A9" w:rsidRDefault="003663A9" w:rsidP="003663A9">
      <w:pPr>
        <w:tabs>
          <w:tab w:val="left" w:pos="2438"/>
        </w:tabs>
      </w:pPr>
    </w:p>
    <w:p w14:paraId="437CEF1A" w14:textId="77777777" w:rsidR="003663A9" w:rsidRDefault="003663A9" w:rsidP="003663A9">
      <w:pPr>
        <w:pStyle w:val="Heading4"/>
      </w:pPr>
      <w:r>
        <w:t xml:space="preserve">Amending Bayh-Dole including right to rebut presumption solve mobility and development </w:t>
      </w:r>
    </w:p>
    <w:p w14:paraId="2AED986E" w14:textId="77777777" w:rsidR="003663A9" w:rsidRPr="00904438" w:rsidRDefault="003663A9" w:rsidP="003663A9">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77FD8195" w14:textId="77777777" w:rsidR="003663A9" w:rsidRPr="00904438" w:rsidRDefault="003663A9" w:rsidP="003663A9">
      <w:r>
        <w:t>[Brenda M. "Preserving the Fruits of Labor: Impediments to University Inventor Mobility," Tennessee Law Review 89, no. 1 (Fall 2021): 1-66 heinonline gdi-tm]</w:t>
      </w:r>
    </w:p>
    <w:p w14:paraId="53613839" w14:textId="77777777" w:rsidR="003663A9" w:rsidRDefault="003663A9" w:rsidP="003663A9">
      <w:r w:rsidRPr="003937DB">
        <w:rPr>
          <w:rStyle w:val="Emphasis"/>
        </w:rPr>
        <w:t>The amendment proposed in this Article is narrowly crafted to address the specific effects of unduly limiting university inventor mobility. Although amending the Bayh-Dole Act to provide a presumptive right to practice for university inventors would address situations involving federally-funded patented technology, it would not require universities to allow access to all innovation-essential components, such as data or materials</w:t>
      </w:r>
      <w:r>
        <w:t xml:space="preserve">. As such, the proposed amendment would still require universities to act in accordance with their mission statements, which typically state that universities will act to further public benefit. 369 </w:t>
      </w:r>
      <w:r w:rsidRPr="00832E3F">
        <w:rPr>
          <w:rStyle w:val="Emphasis"/>
        </w:rPr>
        <w:t>By restricting the amendment to address university inventors, the proposal recognizes the importance of tacit knowledge in developing nascent inventions, and any injurious effects on innovation incentives will be minimized</w:t>
      </w:r>
      <w:r>
        <w:t xml:space="preserve">. </w:t>
      </w:r>
      <w:r w:rsidRPr="00832E3F">
        <w:rPr>
          <w:rStyle w:val="Emphasis"/>
        </w:rPr>
        <w:t>The ability to rebut the presumptive right to practice recognizes that exclusivity may be necessary to support not only commercialization of the invention in question, but also for the research and development of inventions that do not succeed but are necessary for innovation.</w:t>
      </w:r>
      <w:r>
        <w:t xml:space="preserve"> As will be discussed in the next section, other proposals to amend Bayh-Dole that have not been adopted have been far more extensive.370</w:t>
      </w:r>
    </w:p>
    <w:p w14:paraId="53B6CFBA" w14:textId="77777777" w:rsidR="003663A9" w:rsidRDefault="003663A9" w:rsidP="003663A9">
      <w:pPr>
        <w:tabs>
          <w:tab w:val="left" w:pos="2438"/>
        </w:tabs>
      </w:pPr>
      <w:r>
        <w:tab/>
      </w:r>
    </w:p>
    <w:p w14:paraId="274BF76D" w14:textId="77777777" w:rsidR="003663A9" w:rsidRDefault="003663A9" w:rsidP="003663A9">
      <w:pPr>
        <w:pStyle w:val="Heading3"/>
      </w:pPr>
      <w:r>
        <w:t>NB – PTX Link</w:t>
      </w:r>
    </w:p>
    <w:p w14:paraId="285FD6CF" w14:textId="77777777" w:rsidR="003663A9" w:rsidRPr="00845AED" w:rsidRDefault="003663A9" w:rsidP="003663A9"/>
    <w:p w14:paraId="7FC07E3D" w14:textId="77777777" w:rsidR="003663A9" w:rsidRDefault="003663A9" w:rsidP="003663A9">
      <w:pPr>
        <w:pStyle w:val="Heading4"/>
      </w:pPr>
      <w:r>
        <w:t xml:space="preserve">Narrow amendment wouldn’t be controversial </w:t>
      </w:r>
    </w:p>
    <w:p w14:paraId="16B7EF76" w14:textId="77777777" w:rsidR="003663A9" w:rsidRPr="00904438" w:rsidRDefault="003663A9" w:rsidP="003663A9">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296A3ABD" w14:textId="77777777" w:rsidR="003663A9" w:rsidRPr="00832E3F" w:rsidRDefault="003663A9" w:rsidP="003663A9">
      <w:r>
        <w:t>[Brenda M. "Preserving the Fruits of Labor: Impediments to University Inventor Mobility," Tennessee Law Review 89, no. 1 (Fall 2021): 1-66 heinonline gdi-tm]</w:t>
      </w:r>
    </w:p>
    <w:p w14:paraId="6B5C3954" w14:textId="77777777" w:rsidR="003663A9" w:rsidRDefault="003663A9" w:rsidP="003663A9">
      <w:r w:rsidRPr="003937DB">
        <w:rPr>
          <w:rStyle w:val="Emphasis"/>
        </w:rPr>
        <w:t>Some commentators have noted that amendments to Bayh-Dole have been rather difficult to obtain in practice</w:t>
      </w:r>
      <w:r>
        <w:t xml:space="preserve">. 358 </w:t>
      </w:r>
      <w:r w:rsidRPr="003937DB">
        <w:rPr>
          <w:rStyle w:val="Emphasis"/>
        </w:rPr>
        <w:t>Lobbying by universities and industry would be expected, as they have strong interests in retaining the status quo with regard to patent protection</w:t>
      </w:r>
      <w:r>
        <w:t xml:space="preserve">. 359 For example,' over three dozen universities spent millions of dollars in their attempts to influence recent patent reform legislation. 360 As a result, the America Invents Act (AIA) includes provisions that provide special treatment for academic institutions, such as reduced fees and immunity from a prior use defense. 361 </w:t>
      </w:r>
      <w:r w:rsidRPr="003937DB">
        <w:rPr>
          <w:rStyle w:val="Emphasis"/>
        </w:rPr>
        <w:t>Nonetheless, a narrow amendment such as the one proposed might not raise as many concerns</w:t>
      </w:r>
      <w:r>
        <w:t>.</w:t>
      </w:r>
    </w:p>
    <w:p w14:paraId="4C102F18" w14:textId="77777777" w:rsidR="003663A9" w:rsidRDefault="003663A9" w:rsidP="003663A9">
      <w:r>
        <w:t xml:space="preserve">In fact, </w:t>
      </w:r>
      <w:r w:rsidRPr="003937DB">
        <w:rPr>
          <w:rStyle w:val="Emphasis"/>
        </w:rPr>
        <w:t>Congress has amended the Bayh-Dole Act many times.</w:t>
      </w:r>
      <w:r>
        <w:t>362 Although most of the amendments were relatively minor, a few substantive amendments stand out. First, Congress removed some of the limitations on the terms of exclusive licenses in 1984. 363 In addition, it modified a prior policy that had allowed agencies to waive provisions of the Act to advance commercialization. 364 The amendments instead required that agencies include government license and march-in rights in funding agreements. 365 In 2000, Congress made significant changes to provisions dealing with federally-funded inventions. 366 It . also added the important underlined phrase to the previous statutory language in 35 U.S.C. § 200 ("Policy and Objective") as follows: "It is the policy and objective of the Congress to·use the patent system to promote the utilization of inventions arising from federally supported research or development</w:t>
      </w:r>
    </w:p>
    <w:p w14:paraId="23EB94FF" w14:textId="77777777" w:rsidR="003663A9" w:rsidRDefault="003663A9" w:rsidP="003663A9">
      <w:r>
        <w:t>... to ensure that inventions ... are used in a manner to promote free competition and enterprise without unduly encumbering future research  and  discovery." 367 The above examples  suggest  that substantively amending the Bayh-Dole Act,' while not .·a trivial endeavor, is certainly possible.368</w:t>
      </w:r>
    </w:p>
    <w:p w14:paraId="1FBFB5FB" w14:textId="77777777" w:rsidR="003663A9" w:rsidRDefault="003663A9" w:rsidP="003663A9"/>
    <w:p w14:paraId="18B532A1" w14:textId="77777777" w:rsidR="003663A9" w:rsidRDefault="003663A9" w:rsidP="003663A9">
      <w:pPr>
        <w:pStyle w:val="Heading2"/>
      </w:pPr>
      <w:r>
        <w:t>CP – GIFT</w:t>
      </w:r>
    </w:p>
    <w:p w14:paraId="7A641929" w14:textId="77777777" w:rsidR="003663A9" w:rsidRDefault="003663A9" w:rsidP="003663A9"/>
    <w:p w14:paraId="6D262F74" w14:textId="77777777" w:rsidR="003663A9" w:rsidRDefault="003663A9" w:rsidP="003663A9">
      <w:pPr>
        <w:pStyle w:val="Heading3"/>
      </w:pPr>
      <w:r>
        <w:t>Solves Climate</w:t>
      </w:r>
    </w:p>
    <w:p w14:paraId="6CF77531" w14:textId="77777777" w:rsidR="003663A9" w:rsidRPr="00FF0CD9" w:rsidRDefault="003663A9" w:rsidP="003663A9"/>
    <w:p w14:paraId="6C57C2F9" w14:textId="77777777" w:rsidR="003663A9" w:rsidRPr="00FF0CD9" w:rsidRDefault="003663A9" w:rsidP="003663A9">
      <w:pPr>
        <w:pStyle w:val="Heading4"/>
      </w:pPr>
      <w:r w:rsidRPr="00FF0CD9">
        <w:t xml:space="preserve">Patent system obstacle to tech diffusion – only the CP solves by creating financial incentives for diffusion of tech while allowing companies to recoup investment funds </w:t>
      </w:r>
    </w:p>
    <w:p w14:paraId="7DDFB321" w14:textId="77777777" w:rsidR="003663A9" w:rsidRPr="00C00BCF" w:rsidRDefault="003663A9" w:rsidP="003663A9">
      <w:pPr>
        <w:rPr>
          <w:rStyle w:val="Style13ptBold"/>
        </w:rPr>
      </w:pPr>
      <w:r w:rsidRPr="00C00BCF">
        <w:rPr>
          <w:rStyle w:val="Style13ptBold"/>
        </w:rPr>
        <w:t>Hollis, Professor of economics at the University of Calgary, 22</w:t>
      </w:r>
    </w:p>
    <w:p w14:paraId="09E7EFC1" w14:textId="77777777" w:rsidR="003663A9" w:rsidRDefault="003663A9" w:rsidP="003663A9">
      <w:pPr>
        <w:spacing w:after="120" w:line="235" w:lineRule="atLeast"/>
        <w:rPr>
          <w:color w:val="000000"/>
        </w:rPr>
      </w:pPr>
      <w:r>
        <w:rPr>
          <w:color w:val="000000"/>
        </w:rPr>
        <w:t xml:space="preserve">[Aidan, “Patent law is hampering climate mitigation. We have a solution.", Grist50, 08-16-2022, </w:t>
      </w:r>
      <w:r w:rsidRPr="00C00BCF">
        <w:rPr>
          <w:color w:val="000000"/>
        </w:rPr>
        <w:t>https://grist.org/fix/opinion/climate-technology-patent-law-innovators-solution/</w:t>
      </w:r>
      <w:r>
        <w:rPr>
          <w:color w:val="000000"/>
        </w:rPr>
        <w:t>, accessed 07-19-2024, GDI-SS.]</w:t>
      </w:r>
    </w:p>
    <w:p w14:paraId="21E56ED8" w14:textId="77777777" w:rsidR="003663A9" w:rsidRPr="004974B7" w:rsidRDefault="003663A9" w:rsidP="003663A9">
      <w:pPr>
        <w:rPr>
          <w:sz w:val="12"/>
        </w:rPr>
      </w:pPr>
      <w:r w:rsidRPr="008A650F">
        <w:rPr>
          <w:sz w:val="14"/>
        </w:rPr>
        <w:t>That window of exclusivity is somewhat arbitrary but has become standard throughout the world. Although </w:t>
      </w:r>
      <w:r w:rsidRPr="00C00BCF">
        <w:rPr>
          <w:u w:val="single"/>
        </w:rPr>
        <w:t>the patent system</w:t>
      </w:r>
      <w:r w:rsidRPr="008A650F">
        <w:rPr>
          <w:sz w:val="14"/>
        </w:rPr>
        <w:t> has served inventors well, it </w:t>
      </w:r>
      <w:r w:rsidRPr="00C00BCF">
        <w:rPr>
          <w:u w:val="single"/>
        </w:rPr>
        <w:t>risks being an obstacle to the</w:t>
      </w:r>
      <w:r w:rsidRPr="008A650F">
        <w:rPr>
          <w:sz w:val="14"/>
        </w:rPr>
        <w:t xml:space="preserve"> widespread </w:t>
      </w:r>
      <w:r w:rsidRPr="00C00BCF">
        <w:rPr>
          <w:u w:val="single"/>
        </w:rPr>
        <w:t>adoption of technologies that could reduce greenhouse gas emissions</w:t>
      </w:r>
      <w:r w:rsidRPr="008A650F">
        <w:rPr>
          <w:sz w:val="14"/>
        </w:rPr>
        <w:t>. </w:t>
      </w:r>
      <w:r w:rsidRPr="00C00BCF">
        <w:rPr>
          <w:u w:val="single"/>
        </w:rPr>
        <w:t>Many of the people</w:t>
      </w:r>
      <w:r w:rsidRPr="008A650F">
        <w:rPr>
          <w:sz w:val="14"/>
        </w:rPr>
        <w:t xml:space="preserve"> and places </w:t>
      </w:r>
      <w:r w:rsidRPr="00C00BCF">
        <w:rPr>
          <w:u w:val="single"/>
        </w:rPr>
        <w:t>that would benefit most</w:t>
      </w:r>
      <w:r w:rsidRPr="008A650F">
        <w:rPr>
          <w:sz w:val="14"/>
        </w:rPr>
        <w:t xml:space="preserve"> from these innovations </w:t>
      </w:r>
      <w:r w:rsidRPr="00C00BCF">
        <w:rPr>
          <w:u w:val="single"/>
        </w:rPr>
        <w:t>cannot afford the licensing fees</w:t>
      </w:r>
      <w:r w:rsidRPr="008A650F">
        <w:rPr>
          <w:sz w:val="14"/>
        </w:rPr>
        <w:t xml:space="preserve">, and </w:t>
      </w:r>
      <w:r w:rsidRPr="00C00BCF">
        <w:rPr>
          <w:u w:val="single"/>
        </w:rPr>
        <w:t>so the tools</w:t>
      </w:r>
      <w:r w:rsidRPr="008A650F">
        <w:rPr>
          <w:sz w:val="14"/>
        </w:rPr>
        <w:t xml:space="preserve"> that could lead to a low-carbon, or even carbon-negative, future </w:t>
      </w:r>
      <w:r w:rsidRPr="00C00BCF">
        <w:rPr>
          <w:u w:val="single"/>
        </w:rPr>
        <w:t>remain out of reach</w:t>
      </w:r>
      <w:r w:rsidRPr="008A650F">
        <w:rPr>
          <w:sz w:val="14"/>
        </w:rPr>
        <w:t> to them.</w:t>
      </w:r>
    </w:p>
    <w:p w14:paraId="79DA22FE" w14:textId="77777777" w:rsidR="003663A9" w:rsidRPr="004974B7" w:rsidRDefault="003663A9" w:rsidP="003663A9">
      <w:pPr>
        <w:rPr>
          <w:sz w:val="12"/>
        </w:rPr>
      </w:pPr>
      <w:r w:rsidRPr="004974B7">
        <w:rPr>
          <w:sz w:val="12"/>
        </w:rPr>
        <w:t>Consider the case of Elysis, a joint venture between Alcoa and Rio Tinto, two of the world’s largest aluminum producers, which has invented a process for smelting aluminum that eliminates direct CO₂ pollution. This could be a significant win for the climate, because making this ubiquitous metal generates about 1 percent of global carbon dioxide emissions. The technology can be installed in new mills or retrofitted to existing ones — but only if the owners of such places can afford it. The company has patented its system and is selling low-carbon aluminum to high-end buyers like Apple. It also plans to license the process to other aluminum producers.</w:t>
      </w:r>
    </w:p>
    <w:p w14:paraId="407D51E6" w14:textId="77777777" w:rsidR="003663A9" w:rsidRPr="004974B7" w:rsidRDefault="003663A9" w:rsidP="003663A9">
      <w:pPr>
        <w:rPr>
          <w:sz w:val="12"/>
        </w:rPr>
      </w:pPr>
      <w:r w:rsidRPr="004974B7">
        <w:rPr>
          <w:sz w:val="12"/>
        </w:rPr>
        <w:t>Although aluminum producers that supply high-income countries can afford to make the switch, smelting operations in India, Brazil, or South Africa probably cannot. They will have to wait 20 years for the technology to enter the public domain. But the world can’t wait that long to access breakthroughs that could help to save our planet.</w:t>
      </w:r>
    </w:p>
    <w:p w14:paraId="22BBC67D" w14:textId="77777777" w:rsidR="003663A9" w:rsidRPr="004974B7" w:rsidRDefault="003663A9" w:rsidP="003663A9">
      <w:pPr>
        <w:rPr>
          <w:u w:val="single"/>
        </w:rPr>
      </w:pPr>
      <w:r w:rsidRPr="004974B7">
        <w:rPr>
          <w:rStyle w:val="Emphasis"/>
        </w:rPr>
        <w:t>Figuring out how to sustain the incentive to innovate without the patent monopoly is a quandary</w:t>
      </w:r>
      <w:r>
        <w:rPr>
          <w:sz w:val="16"/>
        </w:rPr>
        <w:t xml:space="preserve">. If Elysis made its process available to everyone without a licensing fee, the company could lose a tremendous commercial opportunity, undermining the incentive to invest in such innovation. </w:t>
      </w:r>
      <w:r w:rsidRPr="004974B7">
        <w:rPr>
          <w:rStyle w:val="Emphasis"/>
        </w:rPr>
        <w:t>To ensure the technologies that could help mitigate climate change spread around the world without stripping their inventors of the rewards they’re due, we must offer them something at least as attractive as their monopoly on profits.</w:t>
      </w:r>
    </w:p>
    <w:p w14:paraId="18BA6C66" w14:textId="77777777" w:rsidR="003663A9" w:rsidRPr="004974B7" w:rsidRDefault="003663A9" w:rsidP="003663A9">
      <w:pPr>
        <w:rPr>
          <w:u w:val="single"/>
        </w:rPr>
      </w:pPr>
      <w:r>
        <w:rPr>
          <w:sz w:val="16"/>
        </w:rPr>
        <w:t xml:space="preserve">Incentives for Global Health — of which I’m a cofounder and president — and Yale University Global Justice program recently proposed a solution: the Green Impact Fund for Technology </w:t>
      </w:r>
      <w:r w:rsidRPr="004974B7">
        <w:rPr>
          <w:rStyle w:val="Emphasis"/>
        </w:rPr>
        <w:t>(GIFT</w:t>
      </w:r>
      <w:r>
        <w:rPr>
          <w:sz w:val="16"/>
        </w:rPr>
        <w:t xml:space="preserve">). The </w:t>
      </w:r>
      <w:r w:rsidRPr="004974B7">
        <w:rPr>
          <w:rStyle w:val="Emphasis"/>
        </w:rPr>
        <w:t>core idea</w:t>
      </w:r>
      <w:r>
        <w:rPr>
          <w:sz w:val="16"/>
        </w:rPr>
        <w:t xml:space="preserve"> behind the fund </w:t>
      </w:r>
      <w:r w:rsidRPr="004974B7">
        <w:rPr>
          <w:rStyle w:val="Emphasis"/>
        </w:rPr>
        <w:t>is that it would reward</w:t>
      </w:r>
      <w:r>
        <w:rPr>
          <w:sz w:val="16"/>
        </w:rPr>
        <w:t xml:space="preserve"> </w:t>
      </w:r>
      <w:r w:rsidRPr="004974B7">
        <w:rPr>
          <w:rStyle w:val="Emphasis"/>
        </w:rPr>
        <w:t>innovators who make low-carbon tech freely available to low- and lower-middle-income countries</w:t>
      </w:r>
      <w:r>
        <w:rPr>
          <w:sz w:val="16"/>
        </w:rPr>
        <w:t xml:space="preserve"> — </w:t>
      </w:r>
      <w:r w:rsidRPr="004974B7">
        <w:rPr>
          <w:rStyle w:val="Emphasis"/>
        </w:rPr>
        <w:t>GIFT is targeting those with per capita income below $10,000</w:t>
      </w:r>
      <w:r>
        <w:rPr>
          <w:sz w:val="16"/>
        </w:rPr>
        <w:t xml:space="preserve"> — </w:t>
      </w:r>
      <w:r w:rsidRPr="004974B7">
        <w:rPr>
          <w:rStyle w:val="Emphasis"/>
        </w:rPr>
        <w:t>by agreeing to royalty-free licenses or shunning patents entirely in the designated countries.</w:t>
      </w:r>
    </w:p>
    <w:p w14:paraId="42DD475E" w14:textId="77777777" w:rsidR="003663A9" w:rsidRPr="00A17237" w:rsidRDefault="003663A9" w:rsidP="003663A9">
      <w:r>
        <w:rPr>
          <w:sz w:val="16"/>
        </w:rPr>
        <w:t xml:space="preserve">The fund will </w:t>
      </w:r>
      <w:r w:rsidRPr="004974B7">
        <w:rPr>
          <w:rStyle w:val="Emphasis"/>
        </w:rPr>
        <w:t>offer an annual pool of reward money</w:t>
      </w:r>
      <w:r>
        <w:rPr>
          <w:sz w:val="16"/>
        </w:rPr>
        <w:t xml:space="preserve">. </w:t>
      </w:r>
      <w:r w:rsidRPr="004974B7">
        <w:rPr>
          <w:rStyle w:val="Emphasis"/>
        </w:rPr>
        <w:t>Innovators will earn a share of that money based upon their assessed contribution to the greenhouse gas reductions achieved by all of that year’s participants</w:t>
      </w:r>
      <w:r>
        <w:rPr>
          <w:sz w:val="16"/>
        </w:rPr>
        <w:t xml:space="preserve">. For example, if the fund has $100 million to disburse and a company’s invention achieves 10 percent of the emissions reduction, it would earn $10 million. </w:t>
      </w:r>
      <w:r w:rsidRPr="004974B7">
        <w:rPr>
          <w:rStyle w:val="Emphasis"/>
        </w:rPr>
        <w:t xml:space="preserve">To encourage innovation, an invention would be eligible for rewards only for six years. </w:t>
      </w:r>
      <w:r w:rsidRPr="004974B7">
        <w:t>While we plan to start small, our ultimate goal is to raise more than $2 billion per year — enough to drive the change we need.</w:t>
      </w:r>
    </w:p>
    <w:p w14:paraId="3E07B179" w14:textId="77777777" w:rsidR="003663A9" w:rsidRPr="00A17237" w:rsidRDefault="003663A9" w:rsidP="003663A9">
      <w:pPr>
        <w:rPr>
          <w:u w:val="single"/>
        </w:rPr>
      </w:pPr>
      <w:r w:rsidRPr="004974B7">
        <w:rPr>
          <w:rStyle w:val="Emphasis"/>
        </w:rPr>
        <w:t>GIFT is designed to work for the climate</w:t>
      </w:r>
      <w:r>
        <w:rPr>
          <w:sz w:val="16"/>
        </w:rPr>
        <w:t xml:space="preserve">. </w:t>
      </w:r>
      <w:r w:rsidRPr="004974B7">
        <w:rPr>
          <w:rStyle w:val="Emphasis"/>
        </w:rPr>
        <w:t>It is strictly “pay for performance</w:t>
      </w:r>
      <w:r>
        <w:rPr>
          <w:sz w:val="16"/>
        </w:rPr>
        <w:t xml:space="preserve">.” </w:t>
      </w:r>
      <w:r w:rsidRPr="004974B7">
        <w:rPr>
          <w:rStyle w:val="Emphasis"/>
        </w:rPr>
        <w:t>The rewards flow only if the technology actually reduces emissions, so firms are rewarded not for the invention but for delivering a climate benefit</w:t>
      </w:r>
      <w:r>
        <w:rPr>
          <w:sz w:val="16"/>
        </w:rPr>
        <w:t xml:space="preserve">. </w:t>
      </w:r>
      <w:r w:rsidRPr="004974B7">
        <w:rPr>
          <w:rStyle w:val="Emphasis"/>
        </w:rPr>
        <w:t>That would create strong incentives for participating innovators to help firms or consumers adopt and use their inventions</w:t>
      </w:r>
      <w:r>
        <w:rPr>
          <w:sz w:val="16"/>
        </w:rPr>
        <w:t xml:space="preserve">. </w:t>
      </w:r>
      <w:r w:rsidRPr="004974B7">
        <w:rPr>
          <w:rStyle w:val="Emphasis"/>
        </w:rPr>
        <w:t>Rather than focusing on patent enforcement, innovative firms would promote the use of their low-carbon technologies: They would, in effect, compete against each other to maximize their protection of the climate.</w:t>
      </w:r>
    </w:p>
    <w:p w14:paraId="48303E02" w14:textId="77777777" w:rsidR="003663A9" w:rsidRDefault="003663A9" w:rsidP="003663A9">
      <w:pPr>
        <w:rPr>
          <w:sz w:val="16"/>
        </w:rPr>
      </w:pPr>
      <w:r>
        <w:rPr>
          <w:sz w:val="16"/>
        </w:rPr>
        <w:t xml:space="preserve">We’re not the first to recognize the patent as an impediment to dissemination of technology in resource-poor countries. But calls for companies to simply give away their technology by releasing their patents altruistically have never worked. However, innovative financing has worked in the health field, for example, to deliver a pneumococcal vaccine to low-income countries. Companies must make a profit to stay in business. </w:t>
      </w:r>
      <w:r w:rsidRPr="004974B7">
        <w:rPr>
          <w:rStyle w:val="Emphasis"/>
        </w:rPr>
        <w:t>Our idea is to consolidate funds from rich countries, which have already committed to $100 billion in annual climate financing for developing countries</w:t>
      </w:r>
      <w:r>
        <w:rPr>
          <w:sz w:val="16"/>
        </w:rPr>
        <w:t>.</w:t>
      </w:r>
    </w:p>
    <w:p w14:paraId="7DC79E67" w14:textId="77777777" w:rsidR="003663A9" w:rsidRDefault="003663A9" w:rsidP="003663A9">
      <w:pPr>
        <w:rPr>
          <w:sz w:val="16"/>
        </w:rPr>
      </w:pPr>
    </w:p>
    <w:p w14:paraId="6E14C0CA" w14:textId="0945CB84" w:rsidR="003663A9" w:rsidRPr="004974B7" w:rsidRDefault="003663A9" w:rsidP="003663A9">
      <w:pPr>
        <w:pStyle w:val="Heading1"/>
      </w:pPr>
      <w:r>
        <w:t>Kritiks</w:t>
      </w:r>
    </w:p>
    <w:p w14:paraId="2D34EA76" w14:textId="77777777" w:rsidR="003663A9" w:rsidRDefault="003663A9" w:rsidP="003663A9"/>
    <w:p w14:paraId="62138C0E" w14:textId="77777777" w:rsidR="003663A9" w:rsidRDefault="003663A9" w:rsidP="003663A9">
      <w:pPr>
        <w:pStyle w:val="Heading2"/>
      </w:pPr>
      <w:r>
        <w:t>K – Capitalism</w:t>
      </w:r>
    </w:p>
    <w:p w14:paraId="22F0D11A" w14:textId="77777777" w:rsidR="003663A9" w:rsidRDefault="003663A9" w:rsidP="003663A9"/>
    <w:p w14:paraId="0B928806" w14:textId="77777777" w:rsidR="003663A9" w:rsidRDefault="003663A9" w:rsidP="003663A9">
      <w:pPr>
        <w:pStyle w:val="Heading3"/>
      </w:pPr>
      <w:r>
        <w:t>Link – Green Cap</w:t>
      </w:r>
    </w:p>
    <w:p w14:paraId="0F78FCCA" w14:textId="77777777" w:rsidR="003663A9" w:rsidRDefault="003663A9" w:rsidP="003663A9"/>
    <w:p w14:paraId="2F86841C" w14:textId="77777777" w:rsidR="003663A9" w:rsidRPr="00F43E17" w:rsidRDefault="003663A9" w:rsidP="003663A9">
      <w:pPr>
        <w:pStyle w:val="Heading4"/>
      </w:pPr>
      <w:r w:rsidRPr="00F43E17">
        <w:t>The aff's ecological fix greens capitalism to seek surplus value maximization – this results in over-accumulation seeking the environment as a carrier to resolve inevitable capitalist crises – their link turns and perm serve as ideological defense of capitalism and makes it impossible to find an alternative</w:t>
      </w:r>
    </w:p>
    <w:p w14:paraId="5686FEE3" w14:textId="77777777" w:rsidR="003663A9" w:rsidRPr="00F43E17" w:rsidRDefault="003663A9" w:rsidP="003663A9">
      <w:r w:rsidRPr="00F43E17">
        <w:rPr>
          <w:b/>
        </w:rPr>
        <w:t>Cai</w:t>
      </w:r>
      <w:r w:rsidRPr="00F43E17">
        <w:t xml:space="preserve">, Fujian Normal University – Associate Professor, </w:t>
      </w:r>
      <w:r w:rsidRPr="00F43E17">
        <w:rPr>
          <w:b/>
        </w:rPr>
        <w:t>2020</w:t>
      </w:r>
    </w:p>
    <w:p w14:paraId="13ED26B4" w14:textId="7CFCC139" w:rsidR="003663A9" w:rsidRPr="00F43E17" w:rsidRDefault="003663A9" w:rsidP="003663A9">
      <w:r w:rsidRPr="00F43E17">
        <w:t>(Huajie, “The Contradictions of Capitalism, “Greening” of Capitalism and the Lessons From Fuzhou’s Socialist Ecocivilization Construction,” Capitalism Nature Socialism, Volume 32, Issue 3, 23 Jun 2020, Taylor &amp; Francis, accessed 2/2/2022, -tmur)</w:t>
      </w:r>
    </w:p>
    <w:p w14:paraId="0BF291DF" w14:textId="77777777" w:rsidR="003663A9" w:rsidRPr="00F43E17" w:rsidRDefault="003663A9" w:rsidP="003663A9">
      <w:r w:rsidRPr="00F43E17">
        <w:t>By its very nature, the “</w:t>
      </w:r>
      <w:r w:rsidRPr="00F43E17">
        <w:rPr>
          <w:u w:val="single"/>
        </w:rPr>
        <w:t>greening</w:t>
      </w:r>
      <w:r w:rsidRPr="00F43E17">
        <w:t xml:space="preserve">” of </w:t>
      </w:r>
      <w:r w:rsidRPr="00F43E17">
        <w:rPr>
          <w:u w:val="single"/>
        </w:rPr>
        <w:t>capitalism</w:t>
      </w:r>
      <w:r w:rsidRPr="00F43E17">
        <w:t xml:space="preserve"> </w:t>
      </w:r>
      <w:r w:rsidRPr="00F43E17">
        <w:rPr>
          <w:u w:val="single"/>
        </w:rPr>
        <w:t xml:space="preserve">is </w:t>
      </w:r>
      <w:r w:rsidRPr="00F43E17">
        <w:t xml:space="preserve">not so much the purported solution to the ecological crisis but rather the </w:t>
      </w:r>
      <w:r w:rsidRPr="00F43E17">
        <w:rPr>
          <w:u w:val="single"/>
        </w:rPr>
        <w:t xml:space="preserve">hoped-for solution to </w:t>
      </w:r>
      <w:r w:rsidRPr="00F43E17">
        <w:t xml:space="preserve">the </w:t>
      </w:r>
      <w:r w:rsidRPr="00F43E17">
        <w:rPr>
          <w:u w:val="single"/>
        </w:rPr>
        <w:t>crisis of capitalism</w:t>
      </w:r>
      <w:r w:rsidRPr="00F43E17">
        <w:t xml:space="preserve"> itself. It is </w:t>
      </w:r>
      <w:r w:rsidRPr="00F43E17">
        <w:rPr>
          <w:u w:val="single"/>
        </w:rPr>
        <w:t>capitalism</w:t>
      </w:r>
      <w:r w:rsidRPr="00F43E17">
        <w:t xml:space="preserve"> that </w:t>
      </w:r>
      <w:r w:rsidRPr="00F43E17">
        <w:rPr>
          <w:u w:val="single"/>
        </w:rPr>
        <w:t>maintains</w:t>
      </w:r>
      <w:r w:rsidRPr="00F43E17">
        <w:t xml:space="preserve"> its </w:t>
      </w:r>
      <w:r w:rsidRPr="00F43E17">
        <w:rPr>
          <w:u w:val="single"/>
        </w:rPr>
        <w:t>survival by</w:t>
      </w:r>
      <w:r w:rsidRPr="00F43E17">
        <w:t xml:space="preserve"> the “</w:t>
      </w:r>
      <w:r w:rsidRPr="00F43E17">
        <w:rPr>
          <w:u w:val="single"/>
        </w:rPr>
        <w:t>ecological fix</w:t>
      </w:r>
      <w:r w:rsidRPr="00F43E17">
        <w:t xml:space="preserve">” (Smith 2007; Castree 2008). As said before, the </w:t>
      </w:r>
      <w:r w:rsidRPr="00F43E17">
        <w:rPr>
          <w:u w:val="single"/>
        </w:rPr>
        <w:t>essence of capitalism is valorization</w:t>
      </w:r>
      <w:r w:rsidRPr="00F43E17">
        <w:t>. “</w:t>
      </w:r>
      <w:r w:rsidRPr="00F43E17">
        <w:rPr>
          <w:u w:val="single"/>
        </w:rPr>
        <w:t>Growth or Death</w:t>
      </w:r>
      <w:r w:rsidRPr="00F43E17">
        <w:t xml:space="preserve">” </w:t>
      </w:r>
      <w:r w:rsidRPr="00F43E17">
        <w:rPr>
          <w:u w:val="single"/>
        </w:rPr>
        <w:t>is its iron law</w:t>
      </w:r>
      <w:r w:rsidRPr="00F43E17">
        <w:t xml:space="preserve">, </w:t>
      </w:r>
      <w:r w:rsidRPr="00F43E17">
        <w:rPr>
          <w:u w:val="single"/>
        </w:rPr>
        <w:t>pursuing</w:t>
      </w:r>
      <w:r w:rsidRPr="00F43E17">
        <w:t xml:space="preserve"> the </w:t>
      </w:r>
      <w:r w:rsidRPr="00F43E17">
        <w:rPr>
          <w:u w:val="single"/>
        </w:rPr>
        <w:t>maximization of surplus value its ultimate goal</w:t>
      </w:r>
      <w:r w:rsidRPr="00F43E17">
        <w:t xml:space="preserve">. Therefore, </w:t>
      </w:r>
      <w:r w:rsidRPr="00F43E17">
        <w:rPr>
          <w:u w:val="single"/>
        </w:rPr>
        <w:t>maintaining capital accumulation is</w:t>
      </w:r>
      <w:r w:rsidRPr="00F43E17">
        <w:t xml:space="preserve"> the </w:t>
      </w:r>
      <w:r w:rsidRPr="00F43E17">
        <w:rPr>
          <w:u w:val="single"/>
        </w:rPr>
        <w:t>law of capitalist survival</w:t>
      </w:r>
      <w:r w:rsidRPr="00F43E17">
        <w:t xml:space="preserve">, </w:t>
      </w:r>
      <w:r w:rsidRPr="00F43E17">
        <w:rPr>
          <w:u w:val="single"/>
        </w:rPr>
        <w:t>and natural resources are the basic production conditions for capital accumulation</w:t>
      </w:r>
      <w:r w:rsidRPr="00F43E17">
        <w:t xml:space="preserve">. In this regard, the </w:t>
      </w:r>
      <w:r w:rsidRPr="00F43E17">
        <w:rPr>
          <w:u w:val="single"/>
        </w:rPr>
        <w:t>first wave of the</w:t>
      </w:r>
      <w:r w:rsidRPr="00F43E17">
        <w:t xml:space="preserve"> “</w:t>
      </w:r>
      <w:r w:rsidRPr="00F43E17">
        <w:rPr>
          <w:u w:val="single"/>
        </w:rPr>
        <w:t>greening</w:t>
      </w:r>
      <w:r w:rsidRPr="00F43E17">
        <w:t xml:space="preserve">” </w:t>
      </w:r>
      <w:r w:rsidRPr="00F43E17">
        <w:rPr>
          <w:u w:val="single"/>
        </w:rPr>
        <w:t>of capitalism is an inevitable response of capitalism in the face of the danger that the production conditions constituted by natural resources will be exhausted</w:t>
      </w:r>
      <w:r w:rsidRPr="00F43E17">
        <w:t xml:space="preserve">. The </w:t>
      </w:r>
      <w:r w:rsidRPr="00F43E17">
        <w:rPr>
          <w:u w:val="single"/>
        </w:rPr>
        <w:t>continued accumulation of capital triggers a crisis of over-accumulation, which can be solved only by a vehicle able and willing to</w:t>
      </w:r>
      <w:r w:rsidRPr="00F43E17">
        <w:t xml:space="preserve"> “</w:t>
      </w:r>
      <w:r w:rsidRPr="00F43E17">
        <w:rPr>
          <w:u w:val="single"/>
        </w:rPr>
        <w:t>absorb</w:t>
      </w:r>
      <w:r w:rsidRPr="00F43E17">
        <w:t xml:space="preserve">” </w:t>
      </w:r>
      <w:r w:rsidRPr="00F43E17">
        <w:rPr>
          <w:u w:val="single"/>
        </w:rPr>
        <w:t>the excess capital</w:t>
      </w:r>
      <w:r w:rsidRPr="00F43E17">
        <w:t xml:space="preserve">. </w:t>
      </w:r>
      <w:r w:rsidRPr="00F43E17">
        <w:rPr>
          <w:u w:val="single"/>
        </w:rPr>
        <w:t>Capital</w:t>
      </w:r>
      <w:r w:rsidRPr="00F43E17">
        <w:t xml:space="preserve"> </w:t>
      </w:r>
      <w:r w:rsidRPr="00F43E17">
        <w:rPr>
          <w:u w:val="single"/>
        </w:rPr>
        <w:t>must find a carrier that</w:t>
      </w:r>
      <w:r w:rsidRPr="00F43E17">
        <w:t xml:space="preserve"> “</w:t>
      </w:r>
      <w:r w:rsidRPr="00F43E17">
        <w:rPr>
          <w:u w:val="single"/>
        </w:rPr>
        <w:t>absorbs</w:t>
      </w:r>
      <w:r w:rsidRPr="00F43E17">
        <w:t xml:space="preserve">” </w:t>
      </w:r>
      <w:r w:rsidRPr="00F43E17">
        <w:rPr>
          <w:u w:val="single"/>
        </w:rPr>
        <w:t>excess capital to resolve this crisis</w:t>
      </w:r>
      <w:r w:rsidRPr="00F43E17">
        <w:t xml:space="preserve"> (Baran 1966). The stage of free competition and private monopoly capitalism in the 19th century was based on the steam engine and railway construction as carriers. Fordism before the 1970s was based on fossil fuels and automobiles as carriers (Harvey 1990; Freund and Martin 2000). </w:t>
      </w:r>
      <w:r w:rsidRPr="00F43E17">
        <w:rPr>
          <w:u w:val="single"/>
        </w:rPr>
        <w:t>When</w:t>
      </w:r>
      <w:r w:rsidRPr="00F43E17">
        <w:t xml:space="preserve"> the role of “</w:t>
      </w:r>
      <w:r w:rsidRPr="00F43E17">
        <w:rPr>
          <w:u w:val="single"/>
        </w:rPr>
        <w:t>absorption</w:t>
      </w:r>
      <w:r w:rsidRPr="00F43E17">
        <w:t xml:space="preserve">” </w:t>
      </w:r>
      <w:r w:rsidRPr="00F43E17">
        <w:rPr>
          <w:u w:val="single"/>
        </w:rPr>
        <w:t>is exhausted</w:t>
      </w:r>
      <w:r w:rsidRPr="00F43E17">
        <w:t xml:space="preserve">, </w:t>
      </w:r>
      <w:r w:rsidRPr="00F43E17">
        <w:rPr>
          <w:u w:val="single"/>
        </w:rPr>
        <w:t>capital seeks</w:t>
      </w:r>
      <w:r w:rsidRPr="00F43E17">
        <w:t xml:space="preserve"> “</w:t>
      </w:r>
      <w:r w:rsidRPr="00F43E17">
        <w:rPr>
          <w:u w:val="single"/>
        </w:rPr>
        <w:t>environment</w:t>
      </w:r>
      <w:r w:rsidRPr="00F43E17">
        <w:t xml:space="preserve">” </w:t>
      </w:r>
      <w:r w:rsidRPr="00F43E17">
        <w:rPr>
          <w:u w:val="single"/>
        </w:rPr>
        <w:t>to act as the next carrier to resolve the capitalist crisis, which leads to the second wave of the</w:t>
      </w:r>
      <w:r w:rsidRPr="00F43E17">
        <w:t xml:space="preserve"> “</w:t>
      </w:r>
      <w:r w:rsidRPr="00F43E17">
        <w:rPr>
          <w:u w:val="single"/>
        </w:rPr>
        <w:t>greening</w:t>
      </w:r>
      <w:r w:rsidRPr="00F43E17">
        <w:t xml:space="preserve">” </w:t>
      </w:r>
      <w:r w:rsidRPr="00F43E17">
        <w:rPr>
          <w:u w:val="single"/>
        </w:rPr>
        <w:t>of capitalism</w:t>
      </w:r>
      <w:r w:rsidRPr="00F43E17">
        <w:t xml:space="preserve">. </w:t>
      </w:r>
      <w:r w:rsidRPr="00F43E17">
        <w:rPr>
          <w:u w:val="single"/>
        </w:rPr>
        <w:t>As part of this</w:t>
      </w:r>
      <w:r w:rsidRPr="00F43E17">
        <w:t xml:space="preserve"> </w:t>
      </w:r>
      <w:r w:rsidRPr="00F43E17">
        <w:rPr>
          <w:u w:val="single"/>
        </w:rPr>
        <w:t>wave</w:t>
      </w:r>
      <w:r w:rsidRPr="00F43E17">
        <w:t xml:space="preserve">, unlike before, the </w:t>
      </w:r>
      <w:r w:rsidRPr="00F43E17">
        <w:rPr>
          <w:u w:val="single"/>
        </w:rPr>
        <w:t>status and role of environment in capital accumulation are not only a precondition for capital accumulation but themselves have become an important strategic fields of capital accumulation</w:t>
      </w:r>
      <w:r w:rsidRPr="00F43E17">
        <w:t xml:space="preserve">, </w:t>
      </w:r>
      <w:r w:rsidRPr="00F43E17">
        <w:rPr>
          <w:u w:val="single"/>
        </w:rPr>
        <w:t>wrapped in a</w:t>
      </w:r>
      <w:r w:rsidRPr="00F43E17">
        <w:t xml:space="preserve"> “</w:t>
      </w:r>
      <w:r w:rsidRPr="00F43E17">
        <w:rPr>
          <w:u w:val="single"/>
        </w:rPr>
        <w:t>green</w:t>
      </w:r>
      <w:r w:rsidRPr="00F43E17">
        <w:t xml:space="preserve">” </w:t>
      </w:r>
      <w:r w:rsidRPr="00F43E17">
        <w:rPr>
          <w:u w:val="single"/>
        </w:rPr>
        <w:t>coat continue to seek surplus value maximization</w:t>
      </w:r>
      <w:r w:rsidRPr="00F43E17">
        <w:t xml:space="preserve">. </w:t>
      </w:r>
      <w:r w:rsidRPr="00F43E17">
        <w:rPr>
          <w:u w:val="single"/>
        </w:rPr>
        <w:t>Despite this difference</w:t>
      </w:r>
      <w:r w:rsidRPr="00F43E17">
        <w:t>, the two waves of “</w:t>
      </w:r>
      <w:r w:rsidRPr="00F43E17">
        <w:rPr>
          <w:u w:val="single"/>
        </w:rPr>
        <w:t>greening</w:t>
      </w:r>
      <w:r w:rsidRPr="00F43E17">
        <w:t>” of capitalism are</w:t>
      </w:r>
      <w:r w:rsidRPr="00F43E17">
        <w:rPr>
          <w:u w:val="single"/>
        </w:rPr>
        <w:t xml:space="preserve"> continuing their essential function of keeping capitalism in existence</w:t>
      </w:r>
      <w:r w:rsidRPr="00F43E17">
        <w:t>.</w:t>
      </w:r>
    </w:p>
    <w:p w14:paraId="73D2E09D" w14:textId="77777777" w:rsidR="003663A9" w:rsidRPr="00F43E17" w:rsidRDefault="003663A9" w:rsidP="003663A9">
      <w:r w:rsidRPr="00F43E17">
        <w:t xml:space="preserve">As far as its methods are concerned, </w:t>
      </w:r>
      <w:r w:rsidRPr="00F43E17">
        <w:rPr>
          <w:u w:val="single"/>
        </w:rPr>
        <w:t>green capitalism claims</w:t>
      </w:r>
      <w:r w:rsidRPr="00F43E17">
        <w:t xml:space="preserve"> that </w:t>
      </w:r>
      <w:r w:rsidRPr="00F43E17">
        <w:rPr>
          <w:u w:val="single"/>
        </w:rPr>
        <w:t>free market mechanisms can solve major environmental problems such as climate change</w:t>
      </w:r>
      <w:r w:rsidRPr="00F43E17">
        <w:t xml:space="preserve">. In fact, </w:t>
      </w:r>
      <w:r w:rsidRPr="00F43E17">
        <w:rPr>
          <w:u w:val="single"/>
        </w:rPr>
        <w:t>this view serves as the ideological defense of capitalism</w:t>
      </w:r>
      <w:r w:rsidRPr="00F43E17">
        <w:t xml:space="preserve">, </w:t>
      </w:r>
      <w:r w:rsidRPr="00F43E17">
        <w:rPr>
          <w:u w:val="single"/>
        </w:rPr>
        <w:t xml:space="preserve">epitomized only recently by the market-oriented environmental policy </w:t>
      </w:r>
      <w:r w:rsidRPr="00F43E17">
        <w:t xml:space="preserve">– </w:t>
      </w:r>
      <w:r w:rsidRPr="00F43E17">
        <w:rPr>
          <w:u w:val="single"/>
        </w:rPr>
        <w:t>a product of neoliberal politics</w:t>
      </w:r>
      <w:r w:rsidRPr="00F43E17">
        <w:t>. In the two waves of “</w:t>
      </w:r>
      <w:r w:rsidRPr="00F43E17">
        <w:rPr>
          <w:u w:val="single"/>
        </w:rPr>
        <w:t>greening</w:t>
      </w:r>
      <w:r w:rsidRPr="00F43E17">
        <w:t xml:space="preserve">” of </w:t>
      </w:r>
      <w:r w:rsidRPr="00F43E17">
        <w:rPr>
          <w:u w:val="single"/>
        </w:rPr>
        <w:t>capitalism</w:t>
      </w:r>
      <w:r w:rsidRPr="00F43E17">
        <w:t xml:space="preserve">, we find that the first one has </w:t>
      </w:r>
      <w:r w:rsidRPr="00F43E17">
        <w:rPr>
          <w:u w:val="single"/>
        </w:rPr>
        <w:t>prompted</w:t>
      </w:r>
      <w:r w:rsidRPr="00F43E17">
        <w:t xml:space="preserve"> </w:t>
      </w:r>
      <w:r w:rsidRPr="00F43E17">
        <w:rPr>
          <w:u w:val="single"/>
        </w:rPr>
        <w:t>capitalist countries to pay attention to environmental protection but market-oriented environmental governance has not become a dominant method</w:t>
      </w:r>
      <w:r w:rsidRPr="00F43E17">
        <w:t xml:space="preserve">. In the protection of forests, Pinchot’s conservation movement fits squarely within the utilitarian tradition which holds that public policy should be directed to “serve the greatest good of the greatest number for the longest time” (DesJardins 2013, 53). Acting in a manner consistent with this sentiment, Pinchot encouraged the use of experts to these utilitarian ends. It was not until the mid-1980s, when the policy of the U.S. Forest Service was reconsidered, that the idea of protecting forests by introducing the free market mechanism came into being. This is also the period when neoliberalism flourished (DesJardins 2013, 51–59). From then on, </w:t>
      </w:r>
      <w:r w:rsidRPr="00F43E17">
        <w:rPr>
          <w:u w:val="single"/>
        </w:rPr>
        <w:t>governing</w:t>
      </w:r>
      <w:r w:rsidRPr="00F43E17">
        <w:t xml:space="preserve"> the </w:t>
      </w:r>
      <w:r w:rsidRPr="00F43E17">
        <w:rPr>
          <w:u w:val="single"/>
        </w:rPr>
        <w:t>environment</w:t>
      </w:r>
      <w:r w:rsidRPr="00F43E17">
        <w:t xml:space="preserve"> </w:t>
      </w:r>
      <w:r w:rsidRPr="00F43E17">
        <w:rPr>
          <w:u w:val="single"/>
        </w:rPr>
        <w:t>with thorough market-oriented thinking has gradually come to occupy the dominant position</w:t>
      </w:r>
      <w:r w:rsidRPr="00F43E17">
        <w:t xml:space="preserve">. Until 2018, William Nordhaus, who was affiliated with market thinking in environmental economics, won the Nobel Prize in economics, which can be regarded as a symbolic peak of this dominant position. Therefore, </w:t>
      </w:r>
      <w:r w:rsidRPr="00F43E17">
        <w:rPr>
          <w:u w:val="single"/>
        </w:rPr>
        <w:t>we can neither regard the market mechanism as the only mechanism for environmental governance nor cheer for the temporary and partial progress of its governance</w:t>
      </w:r>
      <w:r w:rsidRPr="00F43E17">
        <w:t xml:space="preserve">. </w:t>
      </w:r>
      <w:r w:rsidRPr="00F43E17">
        <w:rPr>
          <w:u w:val="single"/>
        </w:rPr>
        <w:t>To do so would be to risk helping the market get rid of its culpability for destroying the environment.</w:t>
      </w:r>
      <w:r w:rsidRPr="00F43E17">
        <w:t xml:space="preserve"> </w:t>
      </w:r>
      <w:r w:rsidRPr="00F43E17">
        <w:rPr>
          <w:u w:val="single"/>
        </w:rPr>
        <w:t>This will make it impossible for human beings to truly find the root cause of the ecological crisis, and it will also obscure the effectiveness of the alternative production and lifestyle aimed at socialist system design and value to solve the ecological crisis so that human society will go farther and farther on the wrong path that only seems to be correct</w:t>
      </w:r>
      <w:r w:rsidRPr="00F43E17">
        <w:t>.</w:t>
      </w:r>
    </w:p>
    <w:p w14:paraId="7BFFE79C" w14:textId="77777777" w:rsidR="003663A9" w:rsidRPr="00553179" w:rsidRDefault="003663A9" w:rsidP="003663A9"/>
    <w:p w14:paraId="1FA5E54B" w14:textId="77777777" w:rsidR="00451C49" w:rsidRDefault="00451C49"/>
    <w:sectPr w:rsidR="00451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2E2462"/>
    <w:multiLevelType w:val="hybridMultilevel"/>
    <w:tmpl w:val="81D408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17191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A9"/>
    <w:rsid w:val="000426FA"/>
    <w:rsid w:val="003663A9"/>
    <w:rsid w:val="00451C49"/>
    <w:rsid w:val="0048289E"/>
    <w:rsid w:val="004B69E8"/>
    <w:rsid w:val="00682542"/>
    <w:rsid w:val="00701228"/>
    <w:rsid w:val="008545DA"/>
    <w:rsid w:val="00D107F5"/>
    <w:rsid w:val="00E814B0"/>
    <w:rsid w:val="00FA2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2FD7"/>
  <w15:chartTrackingRefBased/>
  <w15:docId w15:val="{E184FAAC-CB19-434D-B8F6-30E395F9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1228"/>
    <w:rPr>
      <w:rFonts w:ascii="Calibri" w:hAnsi="Calibri" w:cs="Calibri"/>
      <w:kern w:val="0"/>
      <w14:ligatures w14:val="none"/>
    </w:rPr>
  </w:style>
  <w:style w:type="paragraph" w:styleId="Heading1">
    <w:name w:val="heading 1"/>
    <w:aliases w:val="Pocket"/>
    <w:basedOn w:val="Normal"/>
    <w:next w:val="Normal"/>
    <w:link w:val="Heading1Char"/>
    <w:qFormat/>
    <w:rsid w:val="007012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12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012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7012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12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66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12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228"/>
  </w:style>
  <w:style w:type="character" w:customStyle="1" w:styleId="Heading1Char">
    <w:name w:val="Heading 1 Char"/>
    <w:aliases w:val="Pocket Char"/>
    <w:basedOn w:val="DefaultParagraphFont"/>
    <w:link w:val="Heading1"/>
    <w:rsid w:val="0070122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012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01228"/>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01228"/>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701228"/>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366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3A9"/>
    <w:rPr>
      <w:rFonts w:eastAsiaTheme="majorEastAsia" w:cstheme="majorBidi"/>
      <w:color w:val="272727" w:themeColor="text1" w:themeTint="D8"/>
    </w:rPr>
  </w:style>
  <w:style w:type="paragraph" w:styleId="Title">
    <w:name w:val="Title"/>
    <w:basedOn w:val="Normal"/>
    <w:next w:val="Normal"/>
    <w:link w:val="TitleChar"/>
    <w:uiPriority w:val="10"/>
    <w:qFormat/>
    <w:rsid w:val="00366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3A9"/>
    <w:pPr>
      <w:spacing w:before="160"/>
      <w:jc w:val="center"/>
    </w:pPr>
    <w:rPr>
      <w:i/>
      <w:iCs/>
      <w:color w:val="404040" w:themeColor="text1" w:themeTint="BF"/>
    </w:rPr>
  </w:style>
  <w:style w:type="character" w:customStyle="1" w:styleId="QuoteChar">
    <w:name w:val="Quote Char"/>
    <w:basedOn w:val="DefaultParagraphFont"/>
    <w:link w:val="Quote"/>
    <w:uiPriority w:val="29"/>
    <w:rsid w:val="003663A9"/>
    <w:rPr>
      <w:i/>
      <w:iCs/>
      <w:color w:val="404040" w:themeColor="text1" w:themeTint="BF"/>
    </w:rPr>
  </w:style>
  <w:style w:type="paragraph" w:styleId="ListParagraph">
    <w:name w:val="List Paragraph"/>
    <w:basedOn w:val="Normal"/>
    <w:uiPriority w:val="34"/>
    <w:qFormat/>
    <w:rsid w:val="003663A9"/>
    <w:pPr>
      <w:ind w:left="720"/>
      <w:contextualSpacing/>
    </w:pPr>
  </w:style>
  <w:style w:type="character" w:styleId="IntenseEmphasis">
    <w:name w:val="Intense Emphasis"/>
    <w:basedOn w:val="DefaultParagraphFont"/>
    <w:uiPriority w:val="21"/>
    <w:qFormat/>
    <w:rsid w:val="003663A9"/>
    <w:rPr>
      <w:i/>
      <w:iCs/>
      <w:color w:val="0F4761" w:themeColor="accent1" w:themeShade="BF"/>
    </w:rPr>
  </w:style>
  <w:style w:type="paragraph" w:styleId="IntenseQuote">
    <w:name w:val="Intense Quote"/>
    <w:basedOn w:val="Normal"/>
    <w:next w:val="Normal"/>
    <w:link w:val="IntenseQuoteChar"/>
    <w:uiPriority w:val="30"/>
    <w:qFormat/>
    <w:rsid w:val="00366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3A9"/>
    <w:rPr>
      <w:i/>
      <w:iCs/>
      <w:color w:val="0F4761" w:themeColor="accent1" w:themeShade="BF"/>
    </w:rPr>
  </w:style>
  <w:style w:type="character" w:styleId="IntenseReference">
    <w:name w:val="Intense Reference"/>
    <w:basedOn w:val="DefaultParagraphFont"/>
    <w:uiPriority w:val="32"/>
    <w:qFormat/>
    <w:rsid w:val="003663A9"/>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7012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01228"/>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701228"/>
    <w:rPr>
      <w:b/>
      <w:bCs/>
      <w:sz w:val="26"/>
      <w:u w:val="none"/>
    </w:rPr>
  </w:style>
  <w:style w:type="character" w:customStyle="1" w:styleId="StyleUnderline">
    <w:name w:val="Style Underline"/>
    <w:aliases w:val="Underline"/>
    <w:basedOn w:val="DefaultParagraphFont"/>
    <w:uiPriority w:val="7"/>
    <w:qFormat/>
    <w:rsid w:val="00701228"/>
    <w:rPr>
      <w:b w:val="0"/>
      <w:sz w:val="22"/>
      <w:u w:val="single"/>
    </w:rPr>
  </w:style>
  <w:style w:type="character" w:styleId="Strong">
    <w:name w:val="Strong"/>
    <w:basedOn w:val="DefaultParagraphFont"/>
    <w:uiPriority w:val="22"/>
    <w:qFormat/>
    <w:rsid w:val="00701228"/>
    <w:rPr>
      <w:b/>
      <w:bCs/>
    </w:rPr>
  </w:style>
  <w:style w:type="character" w:styleId="BookTitle">
    <w:name w:val="Book Title"/>
    <w:basedOn w:val="DefaultParagraphFont"/>
    <w:uiPriority w:val="33"/>
    <w:qFormat/>
    <w:rsid w:val="00701228"/>
    <w:rPr>
      <w:b/>
      <w:bCs/>
      <w:i/>
      <w:iCs/>
      <w:spacing w:val="5"/>
    </w:rPr>
  </w:style>
  <w:style w:type="numbering" w:styleId="111111">
    <w:name w:val="Outline List 2"/>
    <w:basedOn w:val="NoList"/>
    <w:uiPriority w:val="99"/>
    <w:semiHidden/>
    <w:unhideWhenUsed/>
    <w:rsid w:val="00701228"/>
  </w:style>
  <w:style w:type="paragraph" w:styleId="Header">
    <w:name w:val="header"/>
    <w:basedOn w:val="Normal"/>
    <w:link w:val="HeaderChar"/>
    <w:uiPriority w:val="99"/>
    <w:semiHidden/>
    <w:rsid w:val="007012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1228"/>
    <w:rPr>
      <w:rFonts w:ascii="Calibri" w:hAnsi="Calibri" w:cs="Calibri"/>
      <w:kern w:val="0"/>
      <w14:ligatures w14:val="none"/>
    </w:rPr>
  </w:style>
  <w:style w:type="paragraph" w:styleId="Footer">
    <w:name w:val="footer"/>
    <w:basedOn w:val="Normal"/>
    <w:link w:val="FooterChar"/>
    <w:uiPriority w:val="99"/>
    <w:semiHidden/>
    <w:rsid w:val="007012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1228"/>
    <w:rPr>
      <w:rFonts w:ascii="Calibri" w:hAnsi="Calibri" w:cs="Calibri"/>
      <w:kern w:val="0"/>
      <w14:ligatures w14:val="none"/>
    </w:rPr>
  </w:style>
  <w:style w:type="paragraph" w:styleId="BodyText">
    <w:name w:val="Body Text"/>
    <w:basedOn w:val="Normal"/>
    <w:link w:val="BodyTextChar"/>
    <w:uiPriority w:val="99"/>
    <w:semiHidden/>
    <w:unhideWhenUsed/>
    <w:rsid w:val="00701228"/>
    <w:pPr>
      <w:spacing w:after="120"/>
    </w:pPr>
  </w:style>
  <w:style w:type="character" w:customStyle="1" w:styleId="BodyTextChar">
    <w:name w:val="Body Text Char"/>
    <w:basedOn w:val="DefaultParagraphFont"/>
    <w:link w:val="BodyText"/>
    <w:uiPriority w:val="99"/>
    <w:semiHidden/>
    <w:rsid w:val="00701228"/>
    <w:rPr>
      <w:rFonts w:ascii="Calibri" w:hAnsi="Calibri" w:cs="Calibri"/>
      <w:kern w:val="0"/>
      <w14:ligatures w14:val="none"/>
    </w:rPr>
  </w:style>
  <w:style w:type="paragraph" w:styleId="NoSpacing">
    <w:name w:val="No Spacing"/>
    <w:aliases w:val="Card Format,Tag1,No Spacing51,No Spacing311,No Spacing2,Read stuff,ClearFormatting,Clear,DDI Tag,Tag Title,No Spacing11211,No Spacing6,No Spacing7,No Spacing8,Dont u,No Spacing1111111,No Spacing tnr,ca,Card,card,tag,No Spacing111112,Tags"/>
    <w:link w:val="NoSpacingChar"/>
    <w:uiPriority w:val="99"/>
    <w:unhideWhenUsed/>
    <w:qFormat/>
    <w:rsid w:val="00701228"/>
    <w:pPr>
      <w:spacing w:after="0" w:line="240" w:lineRule="auto"/>
    </w:pPr>
    <w:rPr>
      <w:rFonts w:ascii="Calibri" w:hAnsi="Calibri" w:cs="Calibri"/>
      <w:kern w:val="0"/>
      <w14:ligatures w14:val="none"/>
    </w:rPr>
  </w:style>
  <w:style w:type="character" w:customStyle="1" w:styleId="NoSpacingChar">
    <w:name w:val="No Spacing Char"/>
    <w:aliases w:val="Card Format Char1,Tag1 Char1,No Spacing51 Char1,No Spacing311 Char1,No Spacing2 Char1,Read stuff Char1,ClearFormatting Char1,Clear Char1,DDI Tag Char1,Tag Title Char1,No Spacing11211 Char1,No Spacing6 Char1,No Spacing7 Char1,Dont u Char"/>
    <w:basedOn w:val="DefaultParagraphFont"/>
    <w:link w:val="NoSpacing"/>
    <w:uiPriority w:val="99"/>
    <w:rsid w:val="00701228"/>
    <w:rPr>
      <w:rFonts w:ascii="Calibri" w:hAnsi="Calibri" w:cs="Calibri"/>
      <w:kern w:val="0"/>
      <w14:ligatures w14:val="none"/>
    </w:rPr>
  </w:style>
  <w:style w:type="character" w:styleId="Hyperlink">
    <w:name w:val="Hyperlink"/>
    <w:aliases w:val="Card Format Char,Tag1 Char,No Spacing51 Char,No Spacing311 Char,No Spacing2 Char,Read stuff Char,ClearFormatting Char,Clear Char,DDI Tag Char,Tag Title Char,No Spacing11211 Char,No Spacing6 Char,No Spacing7 Char,No Spacing8 Cha,Card Text,Read"/>
    <w:basedOn w:val="DefaultParagraphFont"/>
    <w:link w:val="NoSpacing131"/>
    <w:uiPriority w:val="99"/>
    <w:unhideWhenUsed/>
    <w:rsid w:val="00701228"/>
    <w:rPr>
      <w:color w:val="467886" w:themeColor="hyperlink"/>
      <w:u w:val="single"/>
    </w:rPr>
  </w:style>
  <w:style w:type="character" w:styleId="UnresolvedMention">
    <w:name w:val="Unresolved Mention"/>
    <w:basedOn w:val="DefaultParagraphFont"/>
    <w:uiPriority w:val="99"/>
    <w:semiHidden/>
    <w:unhideWhenUsed/>
    <w:rsid w:val="00701228"/>
    <w:rPr>
      <w:color w:val="605E5C"/>
      <w:shd w:val="clear" w:color="auto" w:fill="E1DFDD"/>
    </w:rPr>
  </w:style>
  <w:style w:type="paragraph" w:styleId="NormalWeb">
    <w:name w:val="Normal (Web)"/>
    <w:basedOn w:val="Normal"/>
    <w:uiPriority w:val="99"/>
    <w:semiHidden/>
    <w:unhideWhenUsed/>
    <w:rsid w:val="003663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3663A9"/>
    <w:pPr>
      <w:spacing w:line="256" w:lineRule="auto"/>
      <w:ind w:left="720"/>
      <w:jc w:val="both"/>
    </w:pPr>
    <w:rPr>
      <w:b/>
      <w:iCs/>
      <w:kern w:val="2"/>
      <w:u w:val="single"/>
      <w14:ligatures w14:val="standardContextual"/>
    </w:rPr>
  </w:style>
  <w:style w:type="paragraph" w:customStyle="1" w:styleId="Emphasize">
    <w:name w:val="Emphasize"/>
    <w:basedOn w:val="Normal"/>
    <w:uiPriority w:val="8"/>
    <w:qFormat/>
    <w:rsid w:val="003663A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NoSpacing131">
    <w:name w:val="No Spacing131"/>
    <w:basedOn w:val="Heading1"/>
    <w:next w:val="NoSpacing"/>
    <w:link w:val="Hyperlink"/>
    <w:autoRedefine/>
    <w:uiPriority w:val="99"/>
    <w:qFormat/>
    <w:rsid w:val="003663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166497221000687?via%3Dihub" TargetMode="External"/><Relationship Id="rId21" Type="http://schemas.openxmlformats.org/officeDocument/2006/relationships/hyperlink" Target="https://www.sciencedirect.com/science/article/pii/S0166497221000687?via%3Dihub" TargetMode="External"/><Relationship Id="rId42" Type="http://schemas.openxmlformats.org/officeDocument/2006/relationships/hyperlink" Target="https://www.sciencedirect.com/science/article/pii/S0166497221000687?via%3Dihub" TargetMode="External"/><Relationship Id="rId47" Type="http://schemas.openxmlformats.org/officeDocument/2006/relationships/hyperlink" Target="https://www.sciencedirect.com/science/article/pii/S0166497221000687?via%3Dihub" TargetMode="External"/><Relationship Id="rId63" Type="http://schemas.openxmlformats.org/officeDocument/2006/relationships/hyperlink" Target="https://www.sciencedirect.com/science/article/pii/S0166497221000687?via%3Dihub" TargetMode="External"/><Relationship Id="rId68" Type="http://schemas.openxmlformats.org/officeDocument/2006/relationships/hyperlink" Target="https://www.armyupress.army.mil/Portals/7/PDF-UA-docs/Mauroni-UA.pdf" TargetMode="External"/><Relationship Id="rId7" Type="http://schemas.openxmlformats.org/officeDocument/2006/relationships/hyperlink" Target="https://www.sciencedirect.com/science/article/pii/S0166497221000687?via%3Dihub" TargetMode="External"/><Relationship Id="rId2" Type="http://schemas.openxmlformats.org/officeDocument/2006/relationships/styles" Target="styles.xml"/><Relationship Id="rId16" Type="http://schemas.openxmlformats.org/officeDocument/2006/relationships/hyperlink" Target="https://www.sciencedirect.com/science/article/pii/S0166497221000687?via%3Dihub" TargetMode="External"/><Relationship Id="rId29" Type="http://schemas.openxmlformats.org/officeDocument/2006/relationships/hyperlink" Target="https://www.sciencedirect.com/science/article/pii/S0166497221000687?via%3Dihub" TargetMode="External"/><Relationship Id="rId11" Type="http://schemas.openxmlformats.org/officeDocument/2006/relationships/hyperlink" Target="https://www.sciencedirect.com/science/article/pii/S0166497221000687?via%3Dihub" TargetMode="External"/><Relationship Id="rId24" Type="http://schemas.openxmlformats.org/officeDocument/2006/relationships/hyperlink" Target="https://www.sciencedirect.com/science/article/pii/S0166497221000687?via%3Dihub" TargetMode="External"/><Relationship Id="rId32" Type="http://schemas.openxmlformats.org/officeDocument/2006/relationships/hyperlink" Target="https://www.sciencedirect.com/science/article/pii/S0166497221000687?via%3Dihub" TargetMode="External"/><Relationship Id="rId37" Type="http://schemas.openxmlformats.org/officeDocument/2006/relationships/hyperlink" Target="https://www.sciencedirect.com/science/article/pii/S0166497221000687?via%3Dihub" TargetMode="External"/><Relationship Id="rId40" Type="http://schemas.openxmlformats.org/officeDocument/2006/relationships/hyperlink" Target="https://www.sciencedirect.com/science/article/pii/S0166497221000687?via%3Dihub" TargetMode="External"/><Relationship Id="rId45" Type="http://schemas.openxmlformats.org/officeDocument/2006/relationships/hyperlink" Target="https://www.sciencedirect.com/science/article/pii/S0166497221000687?via%3Dihub" TargetMode="External"/><Relationship Id="rId53" Type="http://schemas.openxmlformats.org/officeDocument/2006/relationships/hyperlink" Target="https://www.sciencedirect.com/science/article/pii/S0166497221000687?via%3Dihub" TargetMode="External"/><Relationship Id="rId58" Type="http://schemas.openxmlformats.org/officeDocument/2006/relationships/hyperlink" Target="https://www.sciencedirect.com/science/article/pii/S0166497221000687?via%3Dihub" TargetMode="External"/><Relationship Id="rId66" Type="http://schemas.openxmlformats.org/officeDocument/2006/relationships/hyperlink" Target="https://www.discovermagazine.com/planet-earth/how-to-survive-a-climate-apocalypse" TargetMode="External"/><Relationship Id="rId5" Type="http://schemas.openxmlformats.org/officeDocument/2006/relationships/hyperlink" Target="https://www.sciencedirect.com/science/article/pii/S0166497221000687?via%3Dihub" TargetMode="External"/><Relationship Id="rId61" Type="http://schemas.openxmlformats.org/officeDocument/2006/relationships/hyperlink" Target="https://www.sciencedirect.com/science/article/pii/S0166497221000687?via%3Dihub" TargetMode="External"/><Relationship Id="rId19" Type="http://schemas.openxmlformats.org/officeDocument/2006/relationships/hyperlink" Target="https://www.sciencedirect.com/science/article/pii/S0166497221000687?via%3Dihub" TargetMode="External"/><Relationship Id="rId14" Type="http://schemas.openxmlformats.org/officeDocument/2006/relationships/hyperlink" Target="https://www.sciencedirect.com/science/article/pii/S0166497221000687?via%3Dihub" TargetMode="External"/><Relationship Id="rId22" Type="http://schemas.openxmlformats.org/officeDocument/2006/relationships/hyperlink" Target="https://www.sciencedirect.com/science/article/pii/S0166497221000687?via%3Dihub" TargetMode="External"/><Relationship Id="rId27" Type="http://schemas.openxmlformats.org/officeDocument/2006/relationships/hyperlink" Target="https://www.sciencedirect.com/science/article/pii/S0166497221000687?via%3Dihub" TargetMode="External"/><Relationship Id="rId30" Type="http://schemas.openxmlformats.org/officeDocument/2006/relationships/hyperlink" Target="https://www.sciencedirect.com/science/article/pii/S0166497221000687?via%3Dihub" TargetMode="External"/><Relationship Id="rId35" Type="http://schemas.openxmlformats.org/officeDocument/2006/relationships/hyperlink" Target="https://www.sciencedirect.com/science/article/pii/S0166497221000687?via%3Dihub" TargetMode="External"/><Relationship Id="rId43" Type="http://schemas.openxmlformats.org/officeDocument/2006/relationships/hyperlink" Target="https://www.sciencedirect.com/science/article/pii/S0166497221000687?via%3Dihub" TargetMode="External"/><Relationship Id="rId48" Type="http://schemas.openxmlformats.org/officeDocument/2006/relationships/hyperlink" Target="https://www.sciencedirect.com/science/article/pii/S0166497221000687?via%3Dihub" TargetMode="External"/><Relationship Id="rId56" Type="http://schemas.openxmlformats.org/officeDocument/2006/relationships/hyperlink" Target="https://www.sciencedirect.com/science/article/pii/S0166497221000687?via%3Dihub" TargetMode="External"/><Relationship Id="rId64" Type="http://schemas.openxmlformats.org/officeDocument/2006/relationships/hyperlink" Target="https://www.sciencedirect.com/science/article/pii/S0166497221000687?via%3Dihub" TargetMode="External"/><Relationship Id="rId69" Type="http://schemas.openxmlformats.org/officeDocument/2006/relationships/fontTable" Target="fontTable.xml"/><Relationship Id="rId8" Type="http://schemas.openxmlformats.org/officeDocument/2006/relationships/hyperlink" Target="https://www.sciencedirect.com/science/article/pii/S0166497221000687?via%3Dihub" TargetMode="External"/><Relationship Id="rId51" Type="http://schemas.openxmlformats.org/officeDocument/2006/relationships/hyperlink" Target="https://www.sciencedirect.com/science/article/pii/S0166497221000687?via%3Dihub" TargetMode="External"/><Relationship Id="rId3" Type="http://schemas.openxmlformats.org/officeDocument/2006/relationships/settings" Target="settings.xml"/><Relationship Id="rId12" Type="http://schemas.openxmlformats.org/officeDocument/2006/relationships/hyperlink" Target="https://www.sciencedirect.com/science/article/pii/S0166497221000687?via%3Dihub" TargetMode="External"/><Relationship Id="rId17" Type="http://schemas.openxmlformats.org/officeDocument/2006/relationships/hyperlink" Target="https://www.sciencedirect.com/science/article/pii/S0166497221000687?via%3Dihub" TargetMode="External"/><Relationship Id="rId25" Type="http://schemas.openxmlformats.org/officeDocument/2006/relationships/hyperlink" Target="https://www.sciencedirect.com/science/article/pii/S0166497221000687?via%3Dihub" TargetMode="External"/><Relationship Id="rId33" Type="http://schemas.openxmlformats.org/officeDocument/2006/relationships/hyperlink" Target="https://www.sciencedirect.com/science/article/pii/S0166497221000687?via%3Dihub" TargetMode="External"/><Relationship Id="rId38" Type="http://schemas.openxmlformats.org/officeDocument/2006/relationships/hyperlink" Target="https://www.sciencedirect.com/science/article/pii/S0166497221000687?via%3Dihub" TargetMode="External"/><Relationship Id="rId46" Type="http://schemas.openxmlformats.org/officeDocument/2006/relationships/hyperlink" Target="https://www.sciencedirect.com/science/article/pii/S0166497221000687?via%3Dihub" TargetMode="External"/><Relationship Id="rId59" Type="http://schemas.openxmlformats.org/officeDocument/2006/relationships/hyperlink" Target="https://www.sciencedirect.com/science/article/pii/S0166497221000687?via%3Dihub" TargetMode="External"/><Relationship Id="rId67" Type="http://schemas.openxmlformats.org/officeDocument/2006/relationships/hyperlink" Target="http://medicalrepublic.com.au/bioterrorism-how-afraid-should-we-really-be/32933" TargetMode="External"/><Relationship Id="rId20" Type="http://schemas.openxmlformats.org/officeDocument/2006/relationships/hyperlink" Target="https://www.sciencedirect.com/science/article/pii/S0166497221000687?via%3Dihub" TargetMode="External"/><Relationship Id="rId41" Type="http://schemas.openxmlformats.org/officeDocument/2006/relationships/hyperlink" Target="https://www.sciencedirect.com/science/article/pii/S0166497221000687?via%3Dihub" TargetMode="External"/><Relationship Id="rId54" Type="http://schemas.openxmlformats.org/officeDocument/2006/relationships/hyperlink" Target="https://www.sciencedirect.com/science/article/pii/S0166497221000687?via%3Dihub" TargetMode="External"/><Relationship Id="rId62" Type="http://schemas.openxmlformats.org/officeDocument/2006/relationships/hyperlink" Target="https://www.sciencedirect.com/science/article/pii/S0166497221000687?via%3Dihub"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pii/S0166497221000687?via%3Dihub" TargetMode="External"/><Relationship Id="rId15" Type="http://schemas.openxmlformats.org/officeDocument/2006/relationships/hyperlink" Target="https://www.sciencedirect.com/science/article/pii/S0166497221000687?via%3Dihub" TargetMode="External"/><Relationship Id="rId23" Type="http://schemas.openxmlformats.org/officeDocument/2006/relationships/hyperlink" Target="https://www.sciencedirect.com/science/article/pii/S0166497221000687?via%3Dihub" TargetMode="External"/><Relationship Id="rId28" Type="http://schemas.openxmlformats.org/officeDocument/2006/relationships/hyperlink" Target="https://www.sciencedirect.com/science/article/pii/S0166497221000687?via%3Dihub" TargetMode="External"/><Relationship Id="rId36" Type="http://schemas.openxmlformats.org/officeDocument/2006/relationships/hyperlink" Target="https://www.sciencedirect.com/science/article/pii/S0166497221000687?via%3Dihub" TargetMode="External"/><Relationship Id="rId49" Type="http://schemas.openxmlformats.org/officeDocument/2006/relationships/hyperlink" Target="https://www.sciencedirect.com/science/article/pii/S0166497221000687?via%3Dihub" TargetMode="External"/><Relationship Id="rId57" Type="http://schemas.openxmlformats.org/officeDocument/2006/relationships/hyperlink" Target="https://www.sciencedirect.com/science/article/pii/S0166497221000687?via%3Dihub" TargetMode="External"/><Relationship Id="rId10" Type="http://schemas.openxmlformats.org/officeDocument/2006/relationships/hyperlink" Target="https://www.sciencedirect.com/science/article/pii/S0166497221000687?via%3Dihub" TargetMode="External"/><Relationship Id="rId31" Type="http://schemas.openxmlformats.org/officeDocument/2006/relationships/hyperlink" Target="https://www.sciencedirect.com/science/article/pii/S0166497221000687?via%3Dihub" TargetMode="External"/><Relationship Id="rId44" Type="http://schemas.openxmlformats.org/officeDocument/2006/relationships/hyperlink" Target="https://www.sciencedirect.com/science/article/pii/S0166497221000687?via%3Dihub" TargetMode="External"/><Relationship Id="rId52" Type="http://schemas.openxmlformats.org/officeDocument/2006/relationships/hyperlink" Target="https://www.sciencedirect.com/science/article/pii/S0166497221000687?via%3Dihub" TargetMode="External"/><Relationship Id="rId60" Type="http://schemas.openxmlformats.org/officeDocument/2006/relationships/hyperlink" Target="https://www.sciencedirect.com/science/article/pii/S0166497221000687?via%3Dihub" TargetMode="External"/><Relationship Id="rId65" Type="http://schemas.openxmlformats.org/officeDocument/2006/relationships/hyperlink" Target="https://www.sciencedirect.com/science/article/pii/S0166497221000687?via%3Dihub" TargetMode="External"/><Relationship Id="rId4" Type="http://schemas.openxmlformats.org/officeDocument/2006/relationships/webSettings" Target="webSettings.xml"/><Relationship Id="rId9" Type="http://schemas.openxmlformats.org/officeDocument/2006/relationships/hyperlink" Target="https://www.sciencedirect.com/science/article/pii/S0166497221000687?via%3Dihub" TargetMode="External"/><Relationship Id="rId13" Type="http://schemas.openxmlformats.org/officeDocument/2006/relationships/hyperlink" Target="https://www.sciencedirect.com/science/article/pii/S0166497221000687?via%3Dihub" TargetMode="External"/><Relationship Id="rId18" Type="http://schemas.openxmlformats.org/officeDocument/2006/relationships/hyperlink" Target="https://www.sciencedirect.com/science/article/pii/S0166497221000687?via%3Dihub" TargetMode="External"/><Relationship Id="rId39" Type="http://schemas.openxmlformats.org/officeDocument/2006/relationships/hyperlink" Target="https://www.sciencedirect.com/science/article/pii/S0166497221000687?via%3Dihub" TargetMode="External"/><Relationship Id="rId34" Type="http://schemas.openxmlformats.org/officeDocument/2006/relationships/hyperlink" Target="https://www.sciencedirect.com/science/article/pii/S0166497221000687?via%3Dihub" TargetMode="External"/><Relationship Id="rId50" Type="http://schemas.openxmlformats.org/officeDocument/2006/relationships/hyperlink" Target="https://www.sciencedirect.com/science/article/pii/S0166497221000687?via%3Dihub" TargetMode="External"/><Relationship Id="rId55" Type="http://schemas.openxmlformats.org/officeDocument/2006/relationships/hyperlink" Target="https://www.sciencedirect.com/science/article/pii/S0166497221000687?via%3Dihu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g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16230</Words>
  <Characters>92512</Characters>
  <Application>Microsoft Office Word</Application>
  <DocSecurity>0</DocSecurity>
  <Lines>770</Lines>
  <Paragraphs>217</Paragraphs>
  <ScaleCrop>false</ScaleCrop>
  <Company/>
  <LinksUpToDate>false</LinksUpToDate>
  <CharactersWithSpaces>108525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
  <dc:description/>
  <cp:lastModifiedBy>Jason Regnier</cp:lastModifiedBy>
  <cp:revision>4</cp:revision>
  <dcterms:created xsi:type="dcterms:W3CDTF">2024-07-22T06:11:00Z</dcterms:created>
  <dcterms:modified xsi:type="dcterms:W3CDTF">2024-07-23T16:07:00Z</dcterms:modified>
</cp:coreProperties>
</file>