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0AF76C" w14:textId="61EBC2B3" w:rsidR="00F17596" w:rsidRDefault="00F17596" w:rsidP="00F17596">
      <w:pPr>
        <w:pStyle w:val="Heading1"/>
      </w:pPr>
      <w:r>
        <w:t>USPTO &amp; IPR File</w:t>
      </w:r>
    </w:p>
    <w:p w14:paraId="2C994A62" w14:textId="0FC76706" w:rsidR="009F5439" w:rsidRPr="009F5439" w:rsidRDefault="009F5439" w:rsidP="009F5439">
      <w:pPr>
        <w:jc w:val="center"/>
      </w:pPr>
      <w:r>
        <w:rPr>
          <w:noProof/>
        </w:rPr>
        <w:drawing>
          <wp:inline distT="0" distB="0" distL="0" distR="0" wp14:anchorId="6FC8075A" wp14:editId="67CEEE0C">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6"/>
                    <a:srcRect/>
                    <a:stretch>
                      <a:fillRect/>
                    </a:stretch>
                  </pic:blipFill>
                  <pic:spPr>
                    <a:xfrm>
                      <a:off x="0" y="0"/>
                      <a:ext cx="3571875" cy="5886450"/>
                    </a:xfrm>
                    <a:prstGeom prst="rect">
                      <a:avLst/>
                    </a:prstGeom>
                    <a:ln/>
                  </pic:spPr>
                </pic:pic>
              </a:graphicData>
            </a:graphic>
          </wp:inline>
        </w:drawing>
      </w:r>
    </w:p>
    <w:p w14:paraId="4615EB79" w14:textId="6128BDEC" w:rsidR="00F17596" w:rsidRDefault="00F17596" w:rsidP="00F17596">
      <w:pPr>
        <w:pStyle w:val="Heading2"/>
      </w:pPr>
      <w:r>
        <w:lastRenderedPageBreak/>
        <w:t>USPTO Fails</w:t>
      </w:r>
    </w:p>
    <w:p w14:paraId="51F74AFC" w14:textId="77777777" w:rsidR="00F17596" w:rsidRDefault="00F17596" w:rsidP="00F17596">
      <w:pPr>
        <w:rPr>
          <w:rFonts w:eastAsiaTheme="majorEastAsia" w:cstheme="majorBidi"/>
          <w:b/>
          <w:sz w:val="44"/>
          <w:szCs w:val="26"/>
          <w:u w:val="double"/>
        </w:rPr>
      </w:pPr>
      <w:r>
        <w:br w:type="page"/>
      </w:r>
    </w:p>
    <w:p w14:paraId="17049112" w14:textId="77777777" w:rsidR="00F17596" w:rsidRDefault="00F17596" w:rsidP="00F17596">
      <w:pPr>
        <w:pStyle w:val="Heading3"/>
      </w:pPr>
      <w:bookmarkStart w:id="0" w:name="_Hlk171434618"/>
      <w:r>
        <w:lastRenderedPageBreak/>
        <w:t>USPTO Bad – Patent Board/NHK-</w:t>
      </w:r>
      <w:proofErr w:type="spellStart"/>
      <w:r>
        <w:t>Fintiv</w:t>
      </w:r>
      <w:proofErr w:type="spellEnd"/>
    </w:p>
    <w:p w14:paraId="253E2C1E" w14:textId="77777777" w:rsidR="00F17596" w:rsidRDefault="00F17596" w:rsidP="00F17596">
      <w:pPr>
        <w:pStyle w:val="Heading4"/>
      </w:pPr>
      <w:r>
        <w:t>NHK-</w:t>
      </w:r>
      <w:proofErr w:type="spellStart"/>
      <w:r>
        <w:t>Fintiv</w:t>
      </w:r>
      <w:proofErr w:type="spellEnd"/>
      <w:r>
        <w:t xml:space="preserve"> rule makes the patent board ineffective. </w:t>
      </w:r>
      <w:proofErr w:type="gramStart"/>
      <w:r>
        <w:t>Can’t</w:t>
      </w:r>
      <w:proofErr w:type="gramEnd"/>
      <w:r>
        <w:t xml:space="preserve"> solve without repealing the rule</w:t>
      </w:r>
    </w:p>
    <w:p w14:paraId="5D2F46CD" w14:textId="77777777" w:rsidR="00F17596" w:rsidRDefault="00F17596" w:rsidP="00F17596">
      <w:r w:rsidRPr="00C12B7C">
        <w:t xml:space="preserve">Max </w:t>
      </w:r>
      <w:r w:rsidRPr="00C12B7C">
        <w:rPr>
          <w:rStyle w:val="Style13ptBold"/>
        </w:rPr>
        <w:t>Baucus</w:t>
      </w:r>
      <w:r w:rsidRPr="00C12B7C">
        <w:t xml:space="preserve"> </w:t>
      </w:r>
      <w:r>
        <w:t>(</w:t>
      </w:r>
      <w:r w:rsidRPr="00C12B7C">
        <w:t>He served as Chairman of the U.S. Senate Committee on Finance from 2001 until 2003, and again from 2007 until 2014</w:t>
      </w:r>
      <w:r>
        <w:t>) “</w:t>
      </w:r>
      <w:r w:rsidRPr="00C12B7C">
        <w:t>It’s Time for the U.S. to Tackle Patent Trolls</w:t>
      </w:r>
      <w:r>
        <w:t xml:space="preserve">” September 16, </w:t>
      </w:r>
      <w:r w:rsidRPr="00C12B7C">
        <w:rPr>
          <w:rStyle w:val="Style13ptBold"/>
        </w:rPr>
        <w:t>2022</w:t>
      </w:r>
      <w:r>
        <w:t xml:space="preserve"> </w:t>
      </w:r>
      <w:r w:rsidRPr="00C12B7C">
        <w:t>https://hbr.org/2022/09/its-time-for-the-u-s-to-tackle-patent-trolls</w:t>
      </w:r>
    </w:p>
    <w:p w14:paraId="79BC0062" w14:textId="77777777" w:rsidR="00F17596" w:rsidRDefault="00F17596" w:rsidP="00F17596">
      <w:r>
        <w:t xml:space="preserve">The first step Director Vidal must take is to fully repeal </w:t>
      </w:r>
      <w:r w:rsidRPr="00F17596">
        <w:rPr>
          <w:rStyle w:val="StyleUnderline"/>
          <w:highlight w:val="darkGray"/>
        </w:rPr>
        <w:t>the NHK-</w:t>
      </w:r>
      <w:proofErr w:type="spellStart"/>
      <w:r w:rsidRPr="00F17596">
        <w:rPr>
          <w:rStyle w:val="StyleUnderline"/>
          <w:highlight w:val="darkGray"/>
        </w:rPr>
        <w:t>Fintiv</w:t>
      </w:r>
      <w:proofErr w:type="spellEnd"/>
      <w:r w:rsidRPr="00F17596">
        <w:rPr>
          <w:rStyle w:val="StyleUnderline"/>
          <w:highlight w:val="darkGray"/>
        </w:rPr>
        <w:t xml:space="preserve"> rule</w:t>
      </w:r>
      <w:r>
        <w:t xml:space="preserve">, which </w:t>
      </w:r>
      <w:r w:rsidRPr="00F17596">
        <w:rPr>
          <w:rStyle w:val="StyleUnderline"/>
          <w:highlight w:val="darkGray"/>
        </w:rPr>
        <w:t>was unlawfully implemented</w:t>
      </w:r>
      <w:r>
        <w:t xml:space="preserve"> by her predecessor. </w:t>
      </w:r>
      <w:r w:rsidRPr="00F17596">
        <w:rPr>
          <w:rStyle w:val="StyleUnderline"/>
          <w:highlight w:val="darkGray"/>
        </w:rPr>
        <w:t>This rule makes it more difficult for innovators targeted by patent trolls to have expert judges</w:t>
      </w:r>
      <w:r>
        <w:t xml:space="preserve"> at the USPTO determine whether the patent being asserted against them is valid. Those expert judges exist to give businesses and innovators targeted by patent trolls a cheaper, more reliable alternative to litigation; </w:t>
      </w:r>
      <w:r w:rsidRPr="00F17596">
        <w:rPr>
          <w:rStyle w:val="StyleUnderline"/>
          <w:highlight w:val="darkGray"/>
        </w:rPr>
        <w:t>limiting their use is a step backwards</w:t>
      </w:r>
      <w:r>
        <w:t xml:space="preserve">. In 2011, Congress recognized that our patent system needed a significant overhaul and a large bipartisan majority in the House and Senate passed the Leahy-Smith America Invents Act (AIA). The AIA made </w:t>
      </w:r>
      <w:proofErr w:type="gramStart"/>
      <w:r>
        <w:t>a number of</w:t>
      </w:r>
      <w:proofErr w:type="gramEnd"/>
      <w:r>
        <w:t xml:space="preserve"> changes, shifting the U.S. from a first-to-invent to a first-to-file patent system and creating the review process at the Patent Trial and Appeal Board (PTAB), which allowed expert judges to review patents of questionable validity. The AIA had a large positive impact on U.S. economic growth and after 2011 patent troll litigation began to decline. But this </w:t>
      </w:r>
      <w:r w:rsidRPr="00F17596">
        <w:rPr>
          <w:rStyle w:val="StyleUnderline"/>
          <w:highlight w:val="darkGray"/>
        </w:rPr>
        <w:t>progress was interrupted by the previous USPTO director,</w:t>
      </w:r>
      <w:r>
        <w:t xml:space="preserve"> Andrei Iancu, </w:t>
      </w:r>
      <w:r w:rsidRPr="00F17596">
        <w:rPr>
          <w:rStyle w:val="StyleUnderline"/>
          <w:highlight w:val="darkGray"/>
        </w:rPr>
        <w:t xml:space="preserve">who unilaterally made the </w:t>
      </w:r>
      <w:proofErr w:type="spellStart"/>
      <w:r w:rsidRPr="00F17596">
        <w:rPr>
          <w:rStyle w:val="StyleUnderline"/>
          <w:highlight w:val="darkGray"/>
        </w:rPr>
        <w:t>Fintiv</w:t>
      </w:r>
      <w:proofErr w:type="spellEnd"/>
      <w:r w:rsidRPr="00F17596">
        <w:rPr>
          <w:rStyle w:val="StyleUnderline"/>
          <w:highlight w:val="darkGray"/>
        </w:rPr>
        <w:t xml:space="preserve"> rule precedential in 2020</w:t>
      </w:r>
      <w:r>
        <w:t xml:space="preserve">. </w:t>
      </w:r>
      <w:r w:rsidRPr="00F17596">
        <w:rPr>
          <w:rStyle w:val="StyleUnderline"/>
          <w:highlight w:val="darkGray"/>
        </w:rPr>
        <w:t xml:space="preserve">Under </w:t>
      </w:r>
      <w:proofErr w:type="spellStart"/>
      <w:r w:rsidRPr="00F17596">
        <w:rPr>
          <w:rStyle w:val="StyleUnderline"/>
          <w:highlight w:val="darkGray"/>
        </w:rPr>
        <w:t>Fintiv</w:t>
      </w:r>
      <w:proofErr w:type="spellEnd"/>
      <w:r w:rsidRPr="00F17596">
        <w:rPr>
          <w:rStyle w:val="StyleUnderline"/>
          <w:highlight w:val="darkGray"/>
        </w:rPr>
        <w:t>, petitions for PTAB review are denied</w:t>
      </w:r>
      <w:r>
        <w:t xml:space="preserve"> based on factors unrelated to a petition’s merits. Primary among them, </w:t>
      </w:r>
      <w:r w:rsidRPr="00F17596">
        <w:rPr>
          <w:rStyle w:val="StyleUnderline"/>
          <w:highlight w:val="darkGray"/>
        </w:rPr>
        <w:t>PTAB review is denied if there is parallel litigation</w:t>
      </w:r>
      <w:r>
        <w:t xml:space="preserve"> already in progress involving the patents in question. For example, a startup gets notified that an LLC that they have never heard of, and that they </w:t>
      </w:r>
      <w:proofErr w:type="gramStart"/>
      <w:r>
        <w:t>can’t</w:t>
      </w:r>
      <w:proofErr w:type="gramEnd"/>
      <w:r>
        <w:t xml:space="preserve"> find much information about, is suing them for patent infringement. </w:t>
      </w:r>
      <w:r w:rsidRPr="00F17596">
        <w:rPr>
          <w:rStyle w:val="StyleUnderline"/>
          <w:highlight w:val="darkGray"/>
        </w:rPr>
        <w:t>If this litigation is expected to begin ahead of a potential PTAB review, then review is declined because litigation is already in process</w:t>
      </w:r>
      <w:r>
        <w:t xml:space="preserve">. This is especially troubling because </w:t>
      </w:r>
      <w:r w:rsidRPr="00F17596">
        <w:rPr>
          <w:rStyle w:val="Emphasis"/>
          <w:highlight w:val="darkGray"/>
        </w:rPr>
        <w:t>PTAB incorrectly evaluates future trial dates in more than 90% of cases</w:t>
      </w:r>
      <w:r>
        <w:t xml:space="preserve">. When Congress passed the AIA, we intended for review to be in place as a protection for businesses and innovators who were in this exact position, actively facing infringement claims. For review to be denied due to parallel litigation, it is removed as an option in the instances where it is most valuable. </w:t>
      </w:r>
      <w:proofErr w:type="spellStart"/>
      <w:r>
        <w:t>Fintiv</w:t>
      </w:r>
      <w:proofErr w:type="spellEnd"/>
      <w:r>
        <w:t xml:space="preserve"> was supposedly instituted in the name of efficiency, with the PTAB not getting involved in disputes that the courts were already handling. But, particularly in highly technical matters, </w:t>
      </w:r>
      <w:r w:rsidRPr="00F17596">
        <w:rPr>
          <w:rStyle w:val="StyleUnderline"/>
          <w:highlight w:val="darkGray"/>
        </w:rPr>
        <w:t>PTAB judges are far better equipped to handle disputes than the court</w:t>
      </w:r>
      <w:r w:rsidRPr="00F17596">
        <w:rPr>
          <w:highlight w:val="darkGray"/>
        </w:rPr>
        <w:t>s</w:t>
      </w:r>
      <w:r>
        <w:t xml:space="preserve"> are and needing to proceed with litigation </w:t>
      </w:r>
      <w:proofErr w:type="gramStart"/>
      <w:r>
        <w:t>opens up</w:t>
      </w:r>
      <w:proofErr w:type="gramEnd"/>
      <w:r>
        <w:t xml:space="preserve"> defendants to a massive financial burden and increased risk. In essence, </w:t>
      </w:r>
      <w:proofErr w:type="spellStart"/>
      <w:r w:rsidRPr="00F17596">
        <w:rPr>
          <w:rStyle w:val="StyleUnderline"/>
          <w:highlight w:val="darkGray"/>
        </w:rPr>
        <w:t>Fintiv</w:t>
      </w:r>
      <w:proofErr w:type="spellEnd"/>
      <w:r w:rsidRPr="00F17596">
        <w:rPr>
          <w:rStyle w:val="StyleUnderline"/>
          <w:highlight w:val="darkGray"/>
        </w:rPr>
        <w:t xml:space="preserve"> has forced more companies</w:t>
      </w:r>
      <w:r>
        <w:t xml:space="preserve">, including everyone from small startups to large manufacturers, </w:t>
      </w:r>
      <w:r w:rsidRPr="00F17596">
        <w:rPr>
          <w:rStyle w:val="StyleUnderline"/>
          <w:highlight w:val="darkGray"/>
        </w:rPr>
        <w:t>to spend more of their time and resources defending themselves in expensive litigation</w:t>
      </w:r>
      <w:r>
        <w:t xml:space="preserve"> with the possibility of disastrous outcomes, despite having done nothing wrong. Repealing </w:t>
      </w:r>
      <w:proofErr w:type="spellStart"/>
      <w:r>
        <w:t>Fintiv</w:t>
      </w:r>
      <w:proofErr w:type="spellEnd"/>
      <w:r>
        <w:t xml:space="preserve"> would give innovators currently under siege a fairer, less expensive, more efficient option for resolving infringement disputes. It would allow them to spend less of their money hiring lawyers and invest more of it creating jobs, lifting wages, and developing more of the cutting-edge products that catalyze our economy and improve our quality of life.</w:t>
      </w:r>
    </w:p>
    <w:p w14:paraId="3C67AE9B" w14:textId="77777777" w:rsidR="00F17596" w:rsidRDefault="00F17596" w:rsidP="00F17596">
      <w:r>
        <w:br w:type="page"/>
      </w:r>
    </w:p>
    <w:p w14:paraId="70A245A6" w14:textId="77777777" w:rsidR="00F17596" w:rsidRDefault="00F17596" w:rsidP="00F17596">
      <w:pPr>
        <w:pStyle w:val="Heading4"/>
      </w:pPr>
      <w:r>
        <w:lastRenderedPageBreak/>
        <w:t xml:space="preserve">NHK – </w:t>
      </w:r>
      <w:proofErr w:type="spellStart"/>
      <w:r>
        <w:t>Fintiv</w:t>
      </w:r>
      <w:proofErr w:type="spellEnd"/>
      <w:r>
        <w:t xml:space="preserve"> causes many patents to be denied. Undermines the ability of the affirmative to solve through lack of certainty and patents banned</w:t>
      </w:r>
    </w:p>
    <w:p w14:paraId="1C56ED3D" w14:textId="77777777" w:rsidR="00F17596" w:rsidRDefault="00F17596" w:rsidP="00F17596">
      <w:r w:rsidRPr="007E6F21">
        <w:t>SHEILA</w:t>
      </w:r>
      <w:r w:rsidRPr="007E6F21">
        <w:rPr>
          <w:rStyle w:val="Style13ptBold"/>
        </w:rPr>
        <w:t xml:space="preserve"> MORTAZAVI</w:t>
      </w:r>
      <w:r>
        <w:t xml:space="preserve"> “</w:t>
      </w:r>
      <w:r w:rsidRPr="007E6F21">
        <w:t>NHK-</w:t>
      </w:r>
      <w:proofErr w:type="spellStart"/>
      <w:r w:rsidRPr="007E6F21">
        <w:t>Fintiv</w:t>
      </w:r>
      <w:proofErr w:type="spellEnd"/>
      <w:r w:rsidRPr="007E6F21">
        <w:t xml:space="preserve"> Frustration: Status of the Current Challenges and the Uncertain Fate of the PTAB’s Discretionary Denial of IPRs</w:t>
      </w:r>
      <w:r>
        <w:t xml:space="preserve">” </w:t>
      </w:r>
      <w:r w:rsidRPr="007E6F21">
        <w:rPr>
          <w:rStyle w:val="Style13ptBold"/>
        </w:rPr>
        <w:t>2023</w:t>
      </w:r>
      <w:r>
        <w:t xml:space="preserve"> </w:t>
      </w:r>
      <w:r w:rsidRPr="007E6F21">
        <w:t>https://haugpartners.com/article/nhk-fintiv-frustration-status-of-the-current-challenges-and-the-uncertain-fate-of-the-ptabs-discretionary-denial-of-iprs/</w:t>
      </w:r>
    </w:p>
    <w:p w14:paraId="4DD8016B" w14:textId="77777777" w:rsidR="00F17596" w:rsidRDefault="00F17596" w:rsidP="00F17596">
      <w:pPr>
        <w:rPr>
          <w:rStyle w:val="StyleUnderline"/>
        </w:rPr>
      </w:pPr>
      <w:r>
        <w:t xml:space="preserve">Several challenges have been made recently to the Patent Trial and Appeal Board’s (“PTAB’s or Board’s”) controversial practice of denying inter </w:t>
      </w:r>
      <w:proofErr w:type="spellStart"/>
      <w:r>
        <w:t>partes</w:t>
      </w:r>
      <w:proofErr w:type="spellEnd"/>
      <w:r>
        <w:t xml:space="preserve"> review (IPR) petitions based on the status of parallel infringement litigation involving the same claim. </w:t>
      </w:r>
      <w:r w:rsidRPr="00F17596">
        <w:rPr>
          <w:rStyle w:val="StyleUnderline"/>
          <w:highlight w:val="darkGray"/>
        </w:rPr>
        <w:t>The</w:t>
      </w:r>
      <w:r>
        <w:t xml:space="preserve"> so-called </w:t>
      </w:r>
      <w:r w:rsidRPr="00F17596">
        <w:rPr>
          <w:rStyle w:val="StyleUnderline"/>
          <w:highlight w:val="darkGray"/>
        </w:rPr>
        <w:t>NHK-</w:t>
      </w:r>
      <w:proofErr w:type="spellStart"/>
      <w:r w:rsidRPr="00F17596">
        <w:rPr>
          <w:rStyle w:val="StyleUnderline"/>
          <w:highlight w:val="darkGray"/>
        </w:rPr>
        <w:t>Fintiv</w:t>
      </w:r>
      <w:proofErr w:type="spellEnd"/>
      <w:r w:rsidRPr="00F17596">
        <w:rPr>
          <w:rStyle w:val="StyleUnderline"/>
          <w:highlight w:val="darkGray"/>
        </w:rPr>
        <w:t xml:space="preserve"> rule</w:t>
      </w:r>
      <w:r>
        <w:t xml:space="preserve">, resulting from Board-designated precedential cases in 2018 and 2020, </w:t>
      </w:r>
      <w:r w:rsidRPr="00F17596">
        <w:rPr>
          <w:rStyle w:val="StyleUnderline"/>
          <w:highlight w:val="darkGray"/>
        </w:rPr>
        <w:t>allows the PTAB to decline review of a patent based on several discretionary factors, including whether the patent is being asserted in ongoing parallel district court litigati</w:t>
      </w:r>
      <w:r>
        <w:t>on, presumably to prevent the inefficient use of the Board’s resources. The challenges to the NHK-</w:t>
      </w:r>
      <w:proofErr w:type="spellStart"/>
      <w:r>
        <w:t>Fintiv</w:t>
      </w:r>
      <w:proofErr w:type="spellEnd"/>
      <w:r>
        <w:t xml:space="preserve"> rule have been unsuccessful to date, with appellate courts holding that they lack jurisdiction to review institution decisions, and the Supreme Court in January 2022 denying certiorari with respect to two of those challenges. We examine below the </w:t>
      </w:r>
      <w:proofErr w:type="gramStart"/>
      <w:r>
        <w:t>current status</w:t>
      </w:r>
      <w:proofErr w:type="gramEnd"/>
      <w:r>
        <w:t xml:space="preserve"> of the various challenges, and the uncertain fate of the NHK-</w:t>
      </w:r>
      <w:proofErr w:type="spellStart"/>
      <w:r>
        <w:t>Fintiv</w:t>
      </w:r>
      <w:proofErr w:type="spellEnd"/>
      <w:r>
        <w:t xml:space="preserve"> rule. NHK-FINTIV FRAMEWORK: Established under former USPTO director Iancu, the NHK-</w:t>
      </w:r>
      <w:proofErr w:type="spellStart"/>
      <w:r>
        <w:t>Fintiv</w:t>
      </w:r>
      <w:proofErr w:type="spellEnd"/>
      <w:r>
        <w:t xml:space="preserve"> rule resulted from the Board’s precedential opinions in NHK Spring Co. v. </w:t>
      </w:r>
      <w:proofErr w:type="spellStart"/>
      <w:r>
        <w:t>Intri</w:t>
      </w:r>
      <w:proofErr w:type="spellEnd"/>
      <w:r>
        <w:t>-Plex Techs.1 and Apple Inc. v. Fintiv,2 which set forth the circumstances under which the Board may exercise its discretion to deny institution of IPRs. The PTAB considers the following six factors for discretionary denials under 35 U.S.C. § 314(a): (1) whether the court granted a stay or evidence exists that one may be granted if a proceeding is instituted; (2) proximity of the court’s trial date to the Board’s projected statutory deadline for a final written decision; (3) investment in the parallel proceeding by the court and the parties; (4) overlap between issues raised in the petition and in the parallel proceeding; (5) whether the petitioner and the defendant in the parallel proceeding are the same party; and (6) other circumstances that impact the Board’s exercise of discretion, including the merits.3 NHK-FINTIV CHALLENGES: The NHK-</w:t>
      </w:r>
      <w:proofErr w:type="spellStart"/>
      <w:r>
        <w:t>Finitiv</w:t>
      </w:r>
      <w:proofErr w:type="spellEnd"/>
      <w:r>
        <w:t xml:space="preserve"> rule has been the subject of numerous challenges from technology and pharmaceutical companies. On August 31, 2020, Apple, Cisco, Google and Intel (“plaintiffs”) filed a lawsuit in the Northern District of California, arguing that the NHK-</w:t>
      </w:r>
      <w:proofErr w:type="spellStart"/>
      <w:r>
        <w:t>Fintiv</w:t>
      </w:r>
      <w:proofErr w:type="spellEnd"/>
      <w:r>
        <w:t xml:space="preserve"> rule violated the Leahy-Smith America Invents Act (“AIA”), which created the IPR regime, and the Administrative Procedure Act (“APA”), which governs the process by which federal agencies develop and issue regulations.4 Plaintiffs argued that by applying the NHK-</w:t>
      </w:r>
      <w:proofErr w:type="spellStart"/>
      <w:r>
        <w:t>Fintiv</w:t>
      </w:r>
      <w:proofErr w:type="spellEnd"/>
      <w:r>
        <w:t xml:space="preserve"> rule, the Director exceeded his statutory authority and thus violated the AIA, since nothing in the AIA authorizes the Director to deny IPR petitions based on perceived overlap with pending infringement litigation involving the same patent claims.5 According to the plaintiff, the fact that AIA requires IPR petitions to be filed within a year of a company being sued reflects that Congress carefully calibrated the one-year limit to ensure that IPR is not used for purposes of delay, while also giving infringement defendants an adequate opportunity to investigate the claims asserted against them in litigation.6 Plaintiff also argued that </w:t>
      </w:r>
      <w:r w:rsidRPr="00F17596">
        <w:rPr>
          <w:rStyle w:val="StyleUnderline"/>
          <w:highlight w:val="darkGray"/>
        </w:rPr>
        <w:t>the NHK-</w:t>
      </w:r>
      <w:proofErr w:type="spellStart"/>
      <w:r w:rsidRPr="00F17596">
        <w:rPr>
          <w:rStyle w:val="StyleUnderline"/>
          <w:highlight w:val="darkGray"/>
        </w:rPr>
        <w:t>Fintiv</w:t>
      </w:r>
      <w:proofErr w:type="spellEnd"/>
      <w:r w:rsidRPr="00F17596">
        <w:rPr>
          <w:rStyle w:val="StyleUnderline"/>
          <w:highlight w:val="darkGray"/>
        </w:rPr>
        <w:t xml:space="preserve"> rule should be overruled because it is arbitrary, capricious, and violates the AIA </w:t>
      </w:r>
      <w:r w:rsidRPr="00F17596">
        <w:rPr>
          <w:rStyle w:val="Emphasis"/>
          <w:highlight w:val="darkGray"/>
        </w:rPr>
        <w:t>with inconsistent outcomes in different cases</w:t>
      </w:r>
      <w:r w:rsidRPr="00291033">
        <w:rPr>
          <w:rStyle w:val="StyleUnderline"/>
        </w:rPr>
        <w:t xml:space="preserve"> </w:t>
      </w:r>
      <w:r w:rsidRPr="00F17596">
        <w:rPr>
          <w:rStyle w:val="StyleUnderline"/>
          <w:highlight w:val="darkGray"/>
        </w:rPr>
        <w:t>that make it hard to know how the factors will be applied</w:t>
      </w:r>
      <w:r>
        <w:t>.7 Finally, Plaintiffs argued that the NHK-</w:t>
      </w:r>
      <w:proofErr w:type="spellStart"/>
      <w:r>
        <w:t>Fintiv</w:t>
      </w:r>
      <w:proofErr w:type="spellEnd"/>
      <w:r>
        <w:t xml:space="preserve"> rule should be held unlawful and set aside because it is a final, binding rule that substantially alters the rights and interests of IPR petitioners without any notice-and-comment rulemaking.8 USPTO (“defendant”) argued that the plaintiffs’ claims are not justiciable under the APA. The California Court granted defendant’s motion to dismiss, finding that the case is precluded by an AIA </w:t>
      </w:r>
      <w:r>
        <w:lastRenderedPageBreak/>
        <w:t xml:space="preserve">provision stating that decisions on whether to institute IPR are “final and </w:t>
      </w:r>
      <w:proofErr w:type="spellStart"/>
      <w:r>
        <w:t>nonappealable</w:t>
      </w:r>
      <w:proofErr w:type="spellEnd"/>
      <w:r>
        <w:t xml:space="preserve">.” 9 The court reasoned that the Supreme Court in Cuozzo determined that issues closely related to the Director’s decision to institute an IPR petition are non-appealable under 35 U.S.C. § 314(d), and that a court will lack jurisdiction to review such cases.10 The court also relied on the Supreme Court’s decision in </w:t>
      </w:r>
      <w:proofErr w:type="spellStart"/>
      <w:r>
        <w:t>Thryv</w:t>
      </w:r>
      <w:proofErr w:type="spellEnd"/>
      <w:r>
        <w:t xml:space="preserve">, which held that the USPTO’s decision to implement the time bar provision of the IPR regime under 35 U.S.C. § 315(b), so as to refuse institution of an IPR, was also not reviewable since the “time limitation is integral to, indeed a condition on, institution,” and a lawsuit challenging the time bar was merely “an ‘ordinary dispute about the application of’ an institution-related statute.”11 Relying on Cuozzo and </w:t>
      </w:r>
      <w:proofErr w:type="spellStart"/>
      <w:r>
        <w:t>Thryv</w:t>
      </w:r>
      <w:proofErr w:type="spellEnd"/>
      <w:r>
        <w:t>, the court found that the NHK-</w:t>
      </w:r>
      <w:proofErr w:type="spellStart"/>
      <w:r>
        <w:t>Fintiv</w:t>
      </w:r>
      <w:proofErr w:type="spellEnd"/>
      <w:r>
        <w:t xml:space="preserve"> rule establishes factors that are “closely related to [the Director’s decision] whether to institute [IPR],”12 and that it “cannot deduce a principled reason why preclusion of judicial review under § 314(d) would not extend to the Director’s determination that parallel litigation is a factor in denying IPR” under § 314(a).13 The court did note that the Supreme Court in Cuozzo stated that § 314(d) may be reviewable if it implicated “constitutional questions . . . of interpretation that reach, in terms of scope and impact, well beyond [§ 314(d)],”14 and that institution decisions that implicate due process concerns or jurisdictional violations are not “categorically precluded” from judicial review under § 314(d).15 Nevertheless, the court found that plaintiffs’ challenges did not rise to the level of a constitutional violation warranting review. An appeal is currently pending before the Federal Circuit. While the case was still pending, the USPTO requested comments on discretion to institute trials in IPR and post grant review (PGR) proceedings, and specifically solicited comments on whether rulemaking was necessary and the type of rules it should adopt. The USPTO did not itself propose any rules.16 The USPTO received over 800 submissions, and published a summary in January 2021.17 On July 28, 2021, Apple Inc. petitioned the Supreme Court for relief after the Federal Circuit refused to review the Board’s discretionary denial of an IPR.18 Apple had argued that it should be able to appeal the denial of institution based on the </w:t>
      </w:r>
      <w:proofErr w:type="spellStart"/>
      <w:r>
        <w:t>Fintiv</w:t>
      </w:r>
      <w:proofErr w:type="spellEnd"/>
      <w:r>
        <w:t xml:space="preserve"> factors, and that, in the alternative, the Federal Circuit should grant mandamus to review the denials. Apple also contended that the language of § 314(d) is not an absolute bar that prevents arguments that the PTAB’s denial of an IPR petition rested on grounds that exceed the agency’s statutory authority, are arbitrary and capricious, or fail to comply with basic procedural requirements of the APA.19 The government had argued that Apple cannot establish the “clear and indisputable right” to a different outcome that the mandamus standard requires. The Federal Circuit held that it lacks jurisdiction to hear the case.20 On August 9, 2021, Mylan Laboratories urged the Supreme Court to strike down the NHK-</w:t>
      </w:r>
      <w:proofErr w:type="spellStart"/>
      <w:r>
        <w:t>Fintiv</w:t>
      </w:r>
      <w:proofErr w:type="spellEnd"/>
      <w:r>
        <w:t xml:space="preserve"> rule and argued, amongst other things, that the rule is unlawful and renders Congress’s one-year period for seeking IPR illusory.21 Mylan’s IPR had been denied by the USPTO based on the status of pending litigation against a different Hatch-Waxman litigant, not Mylan. In its petition, Mylan also took issue with Federal Circuit’s position that </w:t>
      </w:r>
      <w:r w:rsidRPr="00F17596">
        <w:rPr>
          <w:rStyle w:val="Emphasis"/>
          <w:highlight w:val="darkGray"/>
        </w:rPr>
        <w:t>PTAB institution decisions</w:t>
      </w:r>
      <w:r w:rsidRPr="00F17596">
        <w:rPr>
          <w:rStyle w:val="StyleUnderline"/>
          <w:highlight w:val="darkGray"/>
        </w:rPr>
        <w:t xml:space="preserve"> are not subject to appellate review, which it said “effectively </w:t>
      </w:r>
      <w:r w:rsidRPr="00F17596">
        <w:rPr>
          <w:rStyle w:val="Emphasis"/>
          <w:highlight w:val="darkGray"/>
        </w:rPr>
        <w:t>handed the</w:t>
      </w:r>
      <w:r w:rsidRPr="00F17596">
        <w:rPr>
          <w:rStyle w:val="StyleUnderline"/>
          <w:highlight w:val="darkGray"/>
        </w:rPr>
        <w:t xml:space="preserve"> director and the </w:t>
      </w:r>
      <w:r w:rsidRPr="00F17596">
        <w:rPr>
          <w:rStyle w:val="Emphasis"/>
          <w:highlight w:val="darkGray"/>
        </w:rPr>
        <w:t>board carte blanche</w:t>
      </w:r>
      <w:r w:rsidRPr="00F17596">
        <w:rPr>
          <w:rStyle w:val="StyleUnderline"/>
          <w:highlight w:val="darkGray"/>
        </w:rPr>
        <w:t xml:space="preserve"> </w:t>
      </w:r>
      <w:r w:rsidRPr="00F17596">
        <w:rPr>
          <w:rStyle w:val="Emphasis"/>
          <w:highlight w:val="darkGray"/>
        </w:rPr>
        <w:t>to deny IPR petitions for any random (and potentially unlawful) reason they can dream up</w:t>
      </w:r>
      <w:r>
        <w:t>.”22 Mylan also highlighted that the rule has encouraged patent owners to file suits in districts that promise a fast time to trial, such as Waco in the Western District of Texas, partly to avoid PTAB review of the patents.23 The Supreme Court denied both Mylan’s and Apple’s petitions on January 18, 2022. On, November 29, 2021, US Inventor Incorporated, a non-profit, filed an appeal with the Fifth Circuit arguing that the district court wrongly concluded that the group does not have standing to bring an action challenging the lack of agency rulemaking, seeking formalizing of NHK-</w:t>
      </w:r>
      <w:proofErr w:type="spellStart"/>
      <w:r>
        <w:t>Finitiv</w:t>
      </w:r>
      <w:proofErr w:type="spellEnd"/>
      <w:r>
        <w:t xml:space="preserve"> rule through notice and comment rulemaking.24 The district court had ruled that US Inventor did not face any injury and was generally complaining about the system which Congress had established.25 On </w:t>
      </w:r>
      <w:r>
        <w:lastRenderedPageBreak/>
        <w:t>December 15, 2021, Intel filed a petition at the Supreme Court arguing that the NHK-</w:t>
      </w:r>
      <w:proofErr w:type="spellStart"/>
      <w:r>
        <w:t>Fintiv</w:t>
      </w:r>
      <w:proofErr w:type="spellEnd"/>
      <w:r>
        <w:t xml:space="preserve"> rule is arbitrary and capricious and requires the Board to deny IPR petitions after speculating when the infringement trial will conclude, the calculation of which is mostly incorrect considering trials are often rescheduled.26 In its appeal, Intel states that “by treating such decisions as if they are immune from judicial review, the Federal Circuit’s position endangers a tool that Congress determined to be essential to the integrity of the patent system.”27 Unified Patents, the Alliance for Automotive Innovation and Cable Television Laboratories have filed an amicus brief supporting Intel’s petition. The petition is currently pending FATE OF NHK-FINTIV RULE: While the Supreme Court has thus far not taken up any of the challenges to the rule, there has been proposed legislation from senators that would nullify the NHK-</w:t>
      </w:r>
      <w:proofErr w:type="spellStart"/>
      <w:r>
        <w:t>Fintiv</w:t>
      </w:r>
      <w:proofErr w:type="spellEnd"/>
      <w:r>
        <w:t xml:space="preserve"> rule altogether. Last year, Senators Patrick Leahy and Republican Senator John Cornyn introduced a new bill, the Restoring the America Invents Act, arguing against the use of discretionary denials at the PTAB. The new nominee to lead the U.S. Patent and Trademark Office, Kathi Vidal, has promised to </w:t>
      </w:r>
      <w:proofErr w:type="gramStart"/>
      <w:r>
        <w:t>look into</w:t>
      </w:r>
      <w:proofErr w:type="gramEnd"/>
      <w:r>
        <w:t xml:space="preserve"> the PTAB’s practice of discretionary denials and engage with stakeholders. In her written response to Senate Judiciary Committee members, Ms. Vidal stated “PTAB decisions are not themselves rules within the meaning of the APA and the decision to deem a PTAB decision as precedential is not a rule within the meaning of the APA, so notice-and-comment rulemaking is not required to make the precedential designation.”28 Recently, a group of legal executives from companies like Intel, Fresenius Kabi, Hyundai Motors, Netflix and several others collectively wrote to the Secretary of Commerce, Ms. Raimondo, urging her to immediately repeal </w:t>
      </w:r>
      <w:r w:rsidRPr="00F17596">
        <w:rPr>
          <w:rStyle w:val="StyleUnderline"/>
          <w:highlight w:val="darkGray"/>
        </w:rPr>
        <w:t>the NHK-</w:t>
      </w:r>
      <w:proofErr w:type="spellStart"/>
      <w:r w:rsidRPr="00F17596">
        <w:rPr>
          <w:rStyle w:val="StyleUnderline"/>
          <w:highlight w:val="darkGray"/>
        </w:rPr>
        <w:t>Finitiv</w:t>
      </w:r>
      <w:proofErr w:type="spellEnd"/>
      <w:r>
        <w:t xml:space="preserve"> rule because it </w:t>
      </w:r>
      <w:r w:rsidRPr="00F17596">
        <w:rPr>
          <w:rStyle w:val="StyleUnderline"/>
          <w:highlight w:val="darkGray"/>
        </w:rPr>
        <w:t>unfairly denies access to IPR proceedings and effectively wrote out vital protections</w:t>
      </w:r>
      <w:r>
        <w:t xml:space="preserve"> out of the law </w:t>
      </w:r>
      <w:r w:rsidRPr="00F17596">
        <w:rPr>
          <w:rStyle w:val="StyleUnderline"/>
          <w:highlight w:val="darkGray"/>
        </w:rPr>
        <w:t>without any public notice</w:t>
      </w:r>
      <w:r>
        <w:t xml:space="preserve"> or comment.29</w:t>
      </w:r>
    </w:p>
    <w:p w14:paraId="72BB51EA" w14:textId="77777777" w:rsidR="00F17596" w:rsidRDefault="00F17596" w:rsidP="00F17596">
      <w:pPr>
        <w:rPr>
          <w:rStyle w:val="StyleUnderline"/>
        </w:rPr>
      </w:pPr>
    </w:p>
    <w:p w14:paraId="17427B5E" w14:textId="77777777" w:rsidR="00F17596" w:rsidRDefault="00F17596" w:rsidP="00F17596">
      <w:pPr>
        <w:pStyle w:val="Heading4"/>
      </w:pPr>
      <w:r>
        <w:t xml:space="preserve">NHK – </w:t>
      </w:r>
      <w:proofErr w:type="spellStart"/>
      <w:r>
        <w:t>Fintiv</w:t>
      </w:r>
      <w:proofErr w:type="spellEnd"/>
      <w:r>
        <w:t xml:space="preserve"> kills patent applications </w:t>
      </w:r>
    </w:p>
    <w:p w14:paraId="6C837447" w14:textId="77777777" w:rsidR="00F17596" w:rsidRDefault="00F17596" w:rsidP="00F17596">
      <w:r>
        <w:t xml:space="preserve">Janelle </w:t>
      </w:r>
      <w:r w:rsidRPr="001406CC">
        <w:rPr>
          <w:rStyle w:val="Style13ptBold"/>
        </w:rPr>
        <w:t>Barbier</w:t>
      </w:r>
      <w:r>
        <w:t xml:space="preserve"> “</w:t>
      </w:r>
      <w:r w:rsidRPr="001406CC">
        <w:t>THE NHK-FINTIV RULE: PATENT LAW’S WHACK-A-MOLE</w:t>
      </w:r>
      <w:r>
        <w:t xml:space="preserve">” </w:t>
      </w:r>
      <w:r w:rsidRPr="001406CC">
        <w:t>39 Santa Clara High Tech. L.J. 339 (</w:t>
      </w:r>
      <w:r w:rsidRPr="001406CC">
        <w:rPr>
          <w:rStyle w:val="Style13ptBold"/>
        </w:rPr>
        <w:t>2023</w:t>
      </w:r>
      <w:r w:rsidRPr="001406CC">
        <w:t>)</w:t>
      </w:r>
      <w:r>
        <w:t xml:space="preserve"> </w:t>
      </w:r>
      <w:r w:rsidRPr="001406CC">
        <w:t>https://digitalcommons.law.scu.edu/chtlj/vol39/iss3/2/</w:t>
      </w:r>
    </w:p>
    <w:p w14:paraId="0A10AB4D" w14:textId="77777777" w:rsidR="00F17596" w:rsidRDefault="00F17596" w:rsidP="00F17596">
      <w:r>
        <w:t xml:space="preserve">Since their inception in 2013, </w:t>
      </w:r>
      <w:r w:rsidRPr="00F17596">
        <w:rPr>
          <w:rStyle w:val="StyleUnderline"/>
          <w:highlight w:val="darkGray"/>
        </w:rPr>
        <w:t xml:space="preserve">inter </w:t>
      </w:r>
      <w:proofErr w:type="spellStart"/>
      <w:r w:rsidRPr="00F17596">
        <w:rPr>
          <w:rStyle w:val="StyleUnderline"/>
          <w:highlight w:val="darkGray"/>
        </w:rPr>
        <w:t>partes</w:t>
      </w:r>
      <w:proofErr w:type="spellEnd"/>
      <w:r w:rsidRPr="00F17596">
        <w:rPr>
          <w:rStyle w:val="StyleUnderline"/>
          <w:highlight w:val="darkGray"/>
        </w:rPr>
        <w:t xml:space="preserve"> review proceedings have steadily gained in popularity, killing patents at an astounding rate</w:t>
      </w:r>
      <w:r>
        <w:t xml:space="preserve">. It is no wonder that defendants flee to the PTAB when staring down costly patent infringement suits in federal court. But </w:t>
      </w:r>
      <w:r w:rsidRPr="00F17596">
        <w:rPr>
          <w:rStyle w:val="StyleUnderline"/>
          <w:highlight w:val="darkGray"/>
        </w:rPr>
        <w:t>an IPR institution is not a right</w:t>
      </w:r>
      <w:r>
        <w:t>––</w:t>
      </w:r>
      <w:r w:rsidRPr="00F17596">
        <w:rPr>
          <w:rStyle w:val="StyleUnderline"/>
          <w:highlight w:val="darkGray"/>
        </w:rPr>
        <w:t>it is at the sole discretion of the USPTO Director.</w:t>
      </w:r>
      <w:r>
        <w:t xml:space="preserve"> And despite increased petitions for IPR over the past few years, institution rates have declined. </w:t>
      </w:r>
      <w:r w:rsidRPr="00F17596">
        <w:rPr>
          <w:rStyle w:val="StyleUnderline"/>
          <w:highlight w:val="darkGray"/>
        </w:rPr>
        <w:t>The reason for fewer institutions seemingly lies with the PTAB’s decision to employ certain factors in determining whether public policy weighs against IPR institution</w:t>
      </w:r>
      <w:r>
        <w:t xml:space="preserve">. This precedential doctrine—known as </w:t>
      </w:r>
      <w:r w:rsidRPr="00F17596">
        <w:rPr>
          <w:rStyle w:val="StyleUnderline"/>
          <w:highlight w:val="darkGray"/>
        </w:rPr>
        <w:t>the NHK-</w:t>
      </w:r>
      <w:proofErr w:type="spellStart"/>
      <w:r w:rsidRPr="00F17596">
        <w:rPr>
          <w:rStyle w:val="StyleUnderline"/>
          <w:highlight w:val="darkGray"/>
        </w:rPr>
        <w:t>Fintiv</w:t>
      </w:r>
      <w:proofErr w:type="spellEnd"/>
      <w:r w:rsidRPr="00F17596">
        <w:rPr>
          <w:rStyle w:val="StyleUnderline"/>
          <w:highlight w:val="darkGray"/>
        </w:rPr>
        <w:t xml:space="preserve"> Rule—</w:t>
      </w:r>
      <w:r>
        <w:t xml:space="preserve">was created by the PTAB without any formal procedure. Following the Federal Circuit’s rulings that decisions relating to IPR institution are not subject to judicial review, the Rule </w:t>
      </w:r>
      <w:r w:rsidRPr="00F17596">
        <w:rPr>
          <w:rStyle w:val="StyleUnderline"/>
          <w:highlight w:val="darkGray"/>
        </w:rPr>
        <w:t>has resulted in a frenzy of litigation</w:t>
      </w:r>
      <w:r>
        <w:t xml:space="preserve"> and related pleas to the Supreme Court. While IPR institution denials continue to accumulate, accused infringers are engaged in a game of Whack-a-Mole with the Rule. Instead of continuing to attack the Rule as arbitrary and capricious, litigants should explore other avenues offered by the Administrative Procedure Act and the Constitution—these attacks on procedure may be the key in whacking the Rule for good. Further, the ramifications of the Rule on patent-specific forum shopping and litigation by nonpracticing entities are profound. For these reasons, the Supreme Court should heed the call by technology companies to clarify when judicial review is permissible for acts associated with discretionary agency action. </w:t>
      </w:r>
    </w:p>
    <w:p w14:paraId="3C8864D7" w14:textId="77777777" w:rsidR="00F17596" w:rsidRPr="004B2D96" w:rsidRDefault="00F17596" w:rsidP="00F17596"/>
    <w:p w14:paraId="57916AF7" w14:textId="77777777" w:rsidR="00F17596" w:rsidRDefault="00F17596" w:rsidP="00F17596">
      <w:pPr>
        <w:pStyle w:val="Heading3"/>
      </w:pPr>
      <w:r>
        <w:lastRenderedPageBreak/>
        <w:t>USPTO Fails – Chevron Deference</w:t>
      </w:r>
    </w:p>
    <w:p w14:paraId="00C15DED" w14:textId="77777777" w:rsidR="00F17596" w:rsidRPr="00383464" w:rsidRDefault="00F17596" w:rsidP="00F17596">
      <w:pPr>
        <w:pStyle w:val="Heading4"/>
      </w:pPr>
      <w:r w:rsidRPr="00383464">
        <w:t xml:space="preserve">The Supreme Court’s recent decision to overrule the Chevron doctrine </w:t>
      </w:r>
      <w:r>
        <w:t>undermines the ability of the affirmative to solve – every decision will get caught up in lawsuits and likely overturned</w:t>
      </w:r>
    </w:p>
    <w:p w14:paraId="153CF88F" w14:textId="77777777" w:rsidR="00F17596" w:rsidRPr="009C3F1E" w:rsidRDefault="00F17596" w:rsidP="00F17596">
      <w:bookmarkStart w:id="1" w:name="_Hlk171433542"/>
      <w:r w:rsidRPr="009C3F1E">
        <w:t xml:space="preserve">James </w:t>
      </w:r>
      <w:r w:rsidRPr="009C3F1E">
        <w:rPr>
          <w:rStyle w:val="Style13ptBold"/>
        </w:rPr>
        <w:t>Bertino</w:t>
      </w:r>
      <w:r w:rsidRPr="009C3F1E">
        <w:t xml:space="preserve"> , Benjamin C. Stasa, Ph.D. Candidate, Allowing Agencies, 3-18-20</w:t>
      </w:r>
      <w:r w:rsidRPr="009C3F1E">
        <w:rPr>
          <w:rStyle w:val="Style13ptBold"/>
        </w:rPr>
        <w:t>24</w:t>
      </w:r>
      <w:r w:rsidRPr="009C3F1E">
        <w:t xml:space="preserve">, "From Patents to Policy: The Potential Ripple Effects of Revising the Chevron Doctrine", Brooks Kushman, </w:t>
      </w:r>
      <w:hyperlink r:id="rId7" w:history="1">
        <w:r w:rsidRPr="009C3F1E">
          <w:rPr>
            <w:rStyle w:val="Hyperlink"/>
          </w:rPr>
          <w:t>https://www.brookskushman.com/insights/from-patents-to-policy-the-potential-ripple-effects-of-revising-the-chevron-doctrine/</w:t>
        </w:r>
      </w:hyperlink>
      <w:bookmarkEnd w:id="1"/>
      <w:r w:rsidRPr="009C3F1E">
        <w:t xml:space="preserve"> (Accessed on July 6, 2024) CR</w:t>
      </w:r>
    </w:p>
    <w:p w14:paraId="5F1846E9" w14:textId="77777777" w:rsidR="00F17596" w:rsidRPr="00383464" w:rsidRDefault="00F17596" w:rsidP="00F17596">
      <w:r w:rsidRPr="00F17596">
        <w:rPr>
          <w:rStyle w:val="StyleUnderline"/>
          <w:highlight w:val="darkGray"/>
        </w:rPr>
        <w:t>The</w:t>
      </w:r>
      <w:r w:rsidRPr="009C3F1E">
        <w:rPr>
          <w:sz w:val="16"/>
        </w:rPr>
        <w:t xml:space="preserve"> impending </w:t>
      </w:r>
      <w:r w:rsidRPr="00F17596">
        <w:rPr>
          <w:rStyle w:val="StyleUnderline"/>
          <w:highlight w:val="darkGray"/>
        </w:rPr>
        <w:t>decision on the Chevron doctrine</w:t>
      </w:r>
      <w:r w:rsidRPr="009C3F1E">
        <w:rPr>
          <w:rStyle w:val="StyleUnderline"/>
        </w:rPr>
        <w:t xml:space="preserve"> not only </w:t>
      </w:r>
      <w:r w:rsidRPr="00F17596">
        <w:rPr>
          <w:rStyle w:val="StyleUnderline"/>
          <w:highlight w:val="darkGray"/>
        </w:rPr>
        <w:t>raises questions about the direction of the</w:t>
      </w:r>
      <w:r w:rsidRPr="009C3F1E">
        <w:rPr>
          <w:sz w:val="16"/>
        </w:rPr>
        <w:t xml:space="preserve"> United States Patent and Trademark Office (</w:t>
      </w:r>
      <w:r w:rsidRPr="00F17596">
        <w:rPr>
          <w:rStyle w:val="StyleUnderline"/>
          <w:highlight w:val="darkGray"/>
        </w:rPr>
        <w:t>USPTO</w:t>
      </w:r>
      <w:r w:rsidRPr="009C3F1E">
        <w:rPr>
          <w:sz w:val="16"/>
        </w:rPr>
        <w:t xml:space="preserve">), </w:t>
      </w:r>
      <w:r w:rsidRPr="009C3F1E">
        <w:rPr>
          <w:rStyle w:val="StyleUnderline"/>
        </w:rPr>
        <w:t>but also signals potential shifts across a spectrum of regulatory environments intersecting with</w:t>
      </w:r>
      <w:r w:rsidRPr="009C3F1E">
        <w:rPr>
          <w:sz w:val="16"/>
        </w:rPr>
        <w:t xml:space="preserve"> intellectual property (</w:t>
      </w:r>
      <w:r w:rsidRPr="009C3F1E">
        <w:rPr>
          <w:rStyle w:val="StyleUnderline"/>
        </w:rPr>
        <w:t>IP</w:t>
      </w:r>
      <w:r w:rsidRPr="009C3F1E">
        <w:rPr>
          <w:sz w:val="16"/>
        </w:rPr>
        <w:t xml:space="preserve">). </w:t>
      </w:r>
      <w:r w:rsidRPr="00F17596">
        <w:rPr>
          <w:rStyle w:val="StyleUnderline"/>
          <w:highlight w:val="darkGray"/>
        </w:rPr>
        <w:t>The USPTO</w:t>
      </w:r>
      <w:r w:rsidRPr="009C3F1E">
        <w:rPr>
          <w:sz w:val="16"/>
        </w:rPr>
        <w:t xml:space="preserve">, which </w:t>
      </w:r>
      <w:r w:rsidRPr="00F17596">
        <w:rPr>
          <w:rStyle w:val="StyleUnderline"/>
          <w:highlight w:val="darkGray"/>
        </w:rPr>
        <w:t>relies on Chevron deference for interpreting complex statutes in patent law</w:t>
      </w:r>
      <w:r w:rsidRPr="009C3F1E">
        <w:rPr>
          <w:sz w:val="16"/>
        </w:rPr>
        <w:t xml:space="preserve">, exemplifies the immediate challenges of a post-Chevron landscape. </w:t>
      </w:r>
      <w:r w:rsidRPr="00F17596">
        <w:rPr>
          <w:rStyle w:val="StyleUnderline"/>
          <w:highlight w:val="darkGray"/>
        </w:rPr>
        <w:t>Should this deference be curtailed</w:t>
      </w:r>
      <w:r w:rsidRPr="009C3F1E">
        <w:rPr>
          <w:sz w:val="16"/>
        </w:rPr>
        <w:t xml:space="preserve">, </w:t>
      </w:r>
      <w:r w:rsidRPr="00F17596">
        <w:rPr>
          <w:rStyle w:val="StyleUnderline"/>
          <w:highlight w:val="darkGray"/>
        </w:rPr>
        <w:t>the agency’s decisions and regulations</w:t>
      </w:r>
      <w:r w:rsidRPr="009C3F1E">
        <w:rPr>
          <w:sz w:val="16"/>
        </w:rPr>
        <w:t xml:space="preserve"> might </w:t>
      </w:r>
      <w:r w:rsidRPr="00F17596">
        <w:rPr>
          <w:rStyle w:val="StyleUnderline"/>
          <w:highlight w:val="darkGray"/>
        </w:rPr>
        <w:t xml:space="preserve">face heightened scrutiny and uncertainty, </w:t>
      </w:r>
      <w:r w:rsidRPr="00F17596">
        <w:rPr>
          <w:rStyle w:val="Emphasis"/>
          <w:highlight w:val="darkGray"/>
        </w:rPr>
        <w:t>complicating the patent examination process and affecting applicants’ strategies</w:t>
      </w:r>
      <w:r w:rsidRPr="009C3F1E">
        <w:rPr>
          <w:sz w:val="16"/>
        </w:rPr>
        <w:t xml:space="preserve">. </w:t>
      </w:r>
      <w:r w:rsidRPr="009C3F1E">
        <w:rPr>
          <w:rStyle w:val="StyleUnderline"/>
        </w:rPr>
        <w:t>This scenario at the USPTO serves as a microcosm for the broader regulatory ecosystem</w:t>
      </w:r>
      <w:r w:rsidRPr="009C3F1E">
        <w:rPr>
          <w:sz w:val="16"/>
        </w:rPr>
        <w:t xml:space="preserve">. </w:t>
      </w:r>
      <w:r w:rsidRPr="00F17596">
        <w:rPr>
          <w:rStyle w:val="StyleUnderline"/>
          <w:highlight w:val="darkGray"/>
        </w:rPr>
        <w:t>Similar challenges could ripple through antitrust enforcement</w:t>
      </w:r>
      <w:r w:rsidRPr="009C3F1E">
        <w:rPr>
          <w:sz w:val="16"/>
        </w:rPr>
        <w:t xml:space="preserve">, where the FTC and DOJ navigate IP rights within competitive markets; </w:t>
      </w:r>
      <w:r w:rsidRPr="00F17596">
        <w:rPr>
          <w:rStyle w:val="StyleUnderline"/>
          <w:highlight w:val="darkGray"/>
        </w:rPr>
        <w:t>biotechnology</w:t>
      </w:r>
      <w:r w:rsidRPr="009C3F1E">
        <w:rPr>
          <w:sz w:val="16"/>
        </w:rPr>
        <w:t xml:space="preserve">, where the FDA’s expedited approval processes for new medical innovations could slow; </w:t>
      </w:r>
      <w:r w:rsidRPr="00F17596">
        <w:rPr>
          <w:rStyle w:val="StyleUnderline"/>
          <w:highlight w:val="darkGray"/>
        </w:rPr>
        <w:t>environmental law</w:t>
      </w:r>
      <w:r w:rsidRPr="009C3F1E">
        <w:rPr>
          <w:sz w:val="16"/>
        </w:rPr>
        <w:t xml:space="preserve">, with the EPA’s facilitation of green technologies potentially facing roadblocks; </w:t>
      </w:r>
      <w:r w:rsidRPr="00F17596">
        <w:rPr>
          <w:rStyle w:val="StyleUnderline"/>
          <w:highlight w:val="darkGray"/>
        </w:rPr>
        <w:t>and telecommunications</w:t>
      </w:r>
      <w:r w:rsidRPr="009C3F1E">
        <w:rPr>
          <w:sz w:val="16"/>
        </w:rPr>
        <w:t xml:space="preserve">, as the FCC’s management of spectrum rights and net neutrality principles might encounter increased litigation. </w:t>
      </w:r>
      <w:r w:rsidRPr="009C3F1E">
        <w:rPr>
          <w:rStyle w:val="StyleUnderline"/>
        </w:rPr>
        <w:t>Each of these domains relies on a nuanced interpretation of laws that govern the balance between innovation, public interest, and market competition</w:t>
      </w:r>
      <w:r w:rsidRPr="009C3F1E">
        <w:rPr>
          <w:sz w:val="16"/>
        </w:rPr>
        <w:t xml:space="preserve">. Accordingly, </w:t>
      </w:r>
      <w:r w:rsidRPr="00F17596">
        <w:rPr>
          <w:rStyle w:val="StyleUnderline"/>
          <w:highlight w:val="darkGray"/>
        </w:rPr>
        <w:t>a shift in Chevron deference</w:t>
      </w:r>
      <w:r w:rsidRPr="009C3F1E">
        <w:rPr>
          <w:sz w:val="16"/>
        </w:rPr>
        <w:t xml:space="preserve">, </w:t>
      </w:r>
      <w:r w:rsidRPr="00383464">
        <w:t>therefore, could potentially</w:t>
      </w:r>
      <w:r w:rsidRPr="009C3F1E">
        <w:rPr>
          <w:sz w:val="16"/>
        </w:rPr>
        <w:t xml:space="preserve"> </w:t>
      </w:r>
      <w:r w:rsidRPr="00F17596">
        <w:rPr>
          <w:rStyle w:val="StyleUnderline"/>
          <w:highlight w:val="darkGray"/>
        </w:rPr>
        <w:t xml:space="preserve">introduce a layer of unpredictability and </w:t>
      </w:r>
      <w:r w:rsidRPr="009C3F1E">
        <w:rPr>
          <w:rStyle w:val="StyleUnderline"/>
        </w:rPr>
        <w:t xml:space="preserve">legal </w:t>
      </w:r>
      <w:r w:rsidRPr="00F17596">
        <w:rPr>
          <w:rStyle w:val="StyleUnderline"/>
          <w:highlight w:val="darkGray"/>
        </w:rPr>
        <w:t>complexity, affecting not just the USPTO but also the broader landscape of regulatory action that is intertwined with i</w:t>
      </w:r>
      <w:r w:rsidRPr="009C3F1E">
        <w:rPr>
          <w:rStyle w:val="StyleUnderline"/>
        </w:rPr>
        <w:t>ntellectual</w:t>
      </w:r>
      <w:r w:rsidRPr="00F17596">
        <w:rPr>
          <w:rStyle w:val="StyleUnderline"/>
          <w:highlight w:val="darkGray"/>
        </w:rPr>
        <w:t xml:space="preserve"> p</w:t>
      </w:r>
      <w:r w:rsidRPr="009C3F1E">
        <w:rPr>
          <w:rStyle w:val="StyleUnderline"/>
        </w:rPr>
        <w:t>roperty</w:t>
      </w:r>
      <w:r w:rsidRPr="00F17596">
        <w:rPr>
          <w:sz w:val="16"/>
          <w:highlight w:val="darkGray"/>
        </w:rPr>
        <w:t xml:space="preserve">. </w:t>
      </w:r>
      <w:r w:rsidRPr="00383464">
        <w:t>This interconnectedness underscores the need for careful consideration of the potential consequences that such a legal shift might entail for innovation and regulatory clarity across industries.</w:t>
      </w:r>
    </w:p>
    <w:p w14:paraId="4165507E" w14:textId="77777777" w:rsidR="00F17596" w:rsidRPr="00383464" w:rsidRDefault="00F17596" w:rsidP="00F17596"/>
    <w:p w14:paraId="66CDCCE2" w14:textId="77777777" w:rsidR="00F17596" w:rsidRDefault="00F17596" w:rsidP="00F17596">
      <w:pPr>
        <w:pStyle w:val="Heading4"/>
      </w:pPr>
      <w:r>
        <w:t>Chevron guts the plan – turns innovation and drives out start ups</w:t>
      </w:r>
    </w:p>
    <w:p w14:paraId="0039F583" w14:textId="77777777" w:rsidR="00F17596" w:rsidRDefault="00F17596" w:rsidP="00F17596">
      <w:r w:rsidRPr="009C3F1E">
        <w:t xml:space="preserve">James </w:t>
      </w:r>
      <w:r w:rsidRPr="009C3F1E">
        <w:rPr>
          <w:rStyle w:val="Style13ptBold"/>
        </w:rPr>
        <w:t>Bertino</w:t>
      </w:r>
      <w:r w:rsidRPr="009C3F1E">
        <w:t xml:space="preserve"> , Benjamin C. Stasa, Ph.D. Candidate, Allowing Agencies, 3-18-20</w:t>
      </w:r>
      <w:r w:rsidRPr="009C3F1E">
        <w:rPr>
          <w:rStyle w:val="Style13ptBold"/>
        </w:rPr>
        <w:t>24</w:t>
      </w:r>
      <w:r w:rsidRPr="009C3F1E">
        <w:t xml:space="preserve">, "From Patents to Policy: The Potential Ripple Effects of Revising the Chevron Doctrine", Brooks Kushman, </w:t>
      </w:r>
      <w:hyperlink r:id="rId8" w:history="1">
        <w:r w:rsidRPr="009C3F1E">
          <w:rPr>
            <w:rStyle w:val="Hyperlink"/>
          </w:rPr>
          <w:t>https://www.brookskushman.com/insights/from-patents-to-policy-the-potential-ripple-effects-of-revising-the-chevron-doctrine/</w:t>
        </w:r>
      </w:hyperlink>
    </w:p>
    <w:p w14:paraId="4A8C5C49" w14:textId="77777777" w:rsidR="00F17596" w:rsidRPr="00BC1A5B" w:rsidRDefault="00F17596" w:rsidP="00F17596">
      <w:pPr>
        <w:rPr>
          <w:rStyle w:val="StyleUnderline"/>
        </w:rPr>
      </w:pPr>
      <w:r>
        <w:t xml:space="preserve">The Law of Unintended Consequences </w:t>
      </w:r>
      <w:r w:rsidRPr="00F17596">
        <w:rPr>
          <w:rStyle w:val="StyleUnderline"/>
          <w:highlight w:val="darkGray"/>
        </w:rPr>
        <w:t>In evaluating</w:t>
      </w:r>
      <w:r>
        <w:t xml:space="preserve"> the potential dismantling of the </w:t>
      </w:r>
      <w:r w:rsidRPr="00F17596">
        <w:rPr>
          <w:rStyle w:val="StyleUnderline"/>
          <w:highlight w:val="darkGray"/>
        </w:rPr>
        <w:t>Chevron</w:t>
      </w:r>
      <w:r>
        <w:t xml:space="preserve"> doctrine, </w:t>
      </w:r>
      <w:proofErr w:type="gramStart"/>
      <w:r w:rsidRPr="00F17596">
        <w:rPr>
          <w:rStyle w:val="StyleUnderline"/>
          <w:highlight w:val="darkGray"/>
        </w:rPr>
        <w:t>it’s</w:t>
      </w:r>
      <w:proofErr w:type="gramEnd"/>
      <w:r w:rsidRPr="00F17596">
        <w:rPr>
          <w:rStyle w:val="StyleUnderline"/>
          <w:highlight w:val="darkGray"/>
        </w:rPr>
        <w:t xml:space="preserve"> instructive to consider</w:t>
      </w:r>
      <w:r>
        <w:t xml:space="preserve"> the principle known as </w:t>
      </w:r>
      <w:r w:rsidRPr="00F17596">
        <w:rPr>
          <w:rStyle w:val="StyleUnderline"/>
          <w:highlight w:val="darkGray"/>
        </w:rPr>
        <w:t>“the law of unintended consequences”</w:t>
      </w:r>
      <w:r>
        <w:t xml:space="preserve"> and the metaphor of Chesterton’s Fence. The latter, from the writings of G.K. Chesterton, suggests that one should not remove a fence without first understanding why it was erected in the first place. This wisdom underscores the importance of considering the original purpose and the potential ramifications of altering long-standing legal and regulatory structures, such as Chevron deference. The principle of Chesterton’s Fence—urging caution before removing established structures without understanding their purpose—is </w:t>
      </w:r>
      <w:r w:rsidRPr="00F17596">
        <w:rPr>
          <w:rStyle w:val="StyleUnderline"/>
          <w:highlight w:val="darkGray"/>
        </w:rPr>
        <w:t>illustrated in</w:t>
      </w:r>
      <w:r>
        <w:t xml:space="preserve"> the passage of </w:t>
      </w:r>
      <w:r w:rsidRPr="00F17596">
        <w:rPr>
          <w:rStyle w:val="StyleUnderline"/>
          <w:highlight w:val="darkGray"/>
        </w:rPr>
        <w:t>the America Invents Act</w:t>
      </w:r>
      <w:r>
        <w:t xml:space="preserve"> (AIA) of 2011. Enacted with the intention of streamlining the patent process and reducing litigation, the AIA marked the most significant </w:t>
      </w:r>
      <w:r>
        <w:lastRenderedPageBreak/>
        <w:t xml:space="preserve">overhaul of the U.S. patent system in decades. Among its reforms, the shift from a “first-to-invent” to a “first-inventor-to-file” system was aimed at simplifying the application process and aligning U.S. patent law with international standards. However, </w:t>
      </w:r>
      <w:r w:rsidRPr="00BC1A5B">
        <w:t>the AIA’s</w:t>
      </w:r>
      <w:r w:rsidRPr="00F17596">
        <w:rPr>
          <w:rStyle w:val="StyleUnderline"/>
          <w:highlight w:val="darkGray"/>
        </w:rPr>
        <w:t xml:space="preserve"> well-intentioned changes brought about unintended consequences </w:t>
      </w:r>
      <w:r w:rsidRPr="00BC1A5B">
        <w:t>that underscore the complexity of reforming existing laws</w:t>
      </w:r>
      <w:r>
        <w:t xml:space="preserve">—including intellectual property </w:t>
      </w:r>
      <w:r w:rsidRPr="00BC1A5B">
        <w:t>laws. Some</w:t>
      </w:r>
      <w:r w:rsidRPr="00BC1A5B">
        <w:rPr>
          <w:rStyle w:val="StyleUnderline"/>
        </w:rPr>
        <w:t xml:space="preserve"> </w:t>
      </w:r>
      <w:r w:rsidRPr="00F17596">
        <w:rPr>
          <w:rStyle w:val="StyleUnderline"/>
          <w:highlight w:val="darkGray"/>
        </w:rPr>
        <w:t>smaller inventors and startups, which the patent system seeks to protect and encourage, found themselves at a disadvantage to larger counterparts, struggling with the increased pace and cost of filing patents in what has become more of a “race to the patent office” environment</w:t>
      </w:r>
      <w:r>
        <w:t xml:space="preserve">. </w:t>
      </w:r>
      <w:r w:rsidRPr="00F17596">
        <w:rPr>
          <w:rStyle w:val="StyleUnderline"/>
          <w:highlight w:val="darkGray"/>
        </w:rPr>
        <w:t xml:space="preserve">This real-world example </w:t>
      </w:r>
      <w:r w:rsidRPr="00BC1A5B">
        <w:t>underscores n</w:t>
      </w:r>
      <w:r>
        <w:t xml:space="preserve">ot just the potential for unintended consequences within patent law, but also </w:t>
      </w:r>
      <w:r w:rsidRPr="00F17596">
        <w:rPr>
          <w:rStyle w:val="StyleUnderline"/>
          <w:highlight w:val="darkGray"/>
        </w:rPr>
        <w:t>serves as a cautionary tale for broader regulatory environments</w:t>
      </w:r>
      <w:r>
        <w:t xml:space="preserve">. As the AIA’s reforms have shown, </w:t>
      </w:r>
      <w:r w:rsidRPr="00F17596">
        <w:rPr>
          <w:rStyle w:val="StyleUnderline"/>
          <w:highlight w:val="darkGray"/>
        </w:rPr>
        <w:t>changes intended to simplify</w:t>
      </w:r>
      <w:r>
        <w:t xml:space="preserve"> and improve one area of the law </w:t>
      </w:r>
      <w:r w:rsidRPr="00F17596">
        <w:rPr>
          <w:rStyle w:val="StyleUnderline"/>
          <w:highlight w:val="darkGray"/>
        </w:rPr>
        <w:t>can lead to increased challenges for those it aims to benefit</w:t>
      </w:r>
      <w:r>
        <w:t xml:space="preserve">, particularly small entities and startups. </w:t>
      </w:r>
      <w:r w:rsidRPr="00F17596">
        <w:rPr>
          <w:rStyle w:val="StyleUnderline"/>
          <w:highlight w:val="darkGray"/>
        </w:rPr>
        <w:t>This</w:t>
      </w:r>
      <w:r>
        <w:t xml:space="preserve"> experience </w:t>
      </w:r>
      <w:r w:rsidRPr="00F17596">
        <w:rPr>
          <w:rStyle w:val="StyleUnderline"/>
          <w:highlight w:val="darkGray"/>
        </w:rPr>
        <w:t>mirrors</w:t>
      </w:r>
      <w:r>
        <w:t xml:space="preserve"> the concerns surrounding the potential overhaul of the </w:t>
      </w:r>
      <w:r w:rsidRPr="00F17596">
        <w:rPr>
          <w:rStyle w:val="StyleUnderline"/>
          <w:highlight w:val="darkGray"/>
        </w:rPr>
        <w:t>Chevron</w:t>
      </w:r>
      <w:r>
        <w:t xml:space="preserve"> doctrine. The doctrine, much like a proverbial fence, was established to address specific needs within the regulatory and judicial landscape, balancing agency expertise and judicial oversight. It has, over the decades, facilitated a certain predictability and efficiency in how federal statutes are interpreted and enforced, particularly in complex areas intersecting with intellectual property law. </w:t>
      </w:r>
      <w:r w:rsidRPr="00F17596">
        <w:rPr>
          <w:rStyle w:val="StyleUnderline"/>
          <w:highlight w:val="darkGray"/>
        </w:rPr>
        <w:t>Intellectual property</w:t>
      </w:r>
      <w:r>
        <w:t xml:space="preserve">, by its nature, </w:t>
      </w:r>
      <w:r w:rsidRPr="00F17596">
        <w:rPr>
          <w:rStyle w:val="StyleUnderline"/>
          <w:highlight w:val="darkGray"/>
        </w:rPr>
        <w:t>thrives on a delicate balance between protecting innovators’ rights and fostering a competitive, dynamic environment</w:t>
      </w:r>
      <w:r>
        <w:t xml:space="preserve"> conducive to further innovation. As we await the Supreme Court’s ruling regarding the fate of the Chevron doctrine, </w:t>
      </w:r>
      <w:proofErr w:type="gramStart"/>
      <w:r>
        <w:t>it’s</w:t>
      </w:r>
      <w:proofErr w:type="gramEnd"/>
      <w:r>
        <w:t xml:space="preserve"> important to ponder the “fence” that Chevron represents—not just as a barrier but as a boundary that delineates roles and responsibilities within the federal regulatory framework. </w:t>
      </w:r>
      <w:r w:rsidRPr="00F17596">
        <w:rPr>
          <w:rStyle w:val="StyleUnderline"/>
          <w:highlight w:val="darkGray"/>
        </w:rPr>
        <w:t>Removing this boundary</w:t>
      </w:r>
      <w:r>
        <w:t xml:space="preserve"> without fully appreciating its function </w:t>
      </w:r>
      <w:r w:rsidRPr="00F17596">
        <w:rPr>
          <w:rStyle w:val="StyleUnderline"/>
          <w:highlight w:val="darkGray"/>
        </w:rPr>
        <w:t>could introduce a series of unintended consequences</w:t>
      </w:r>
      <w:r>
        <w:t xml:space="preserve">, particularly for the realm of intellectual property. </w:t>
      </w:r>
      <w:r w:rsidRPr="00F17596">
        <w:rPr>
          <w:rStyle w:val="StyleUnderline"/>
          <w:highlight w:val="darkGray"/>
        </w:rPr>
        <w:t>These consequences might manifest as increased litigation, higher barriers to entry for startups, and a chilling effect on the very innovation that intellectual property laws are designed to promote.</w:t>
      </w:r>
    </w:p>
    <w:p w14:paraId="05BD311E" w14:textId="77777777" w:rsidR="00F17596" w:rsidRDefault="00F17596" w:rsidP="00F17596"/>
    <w:p w14:paraId="46121088" w14:textId="77777777" w:rsidR="00F17596" w:rsidRPr="00E35EED" w:rsidRDefault="00F17596" w:rsidP="00F17596">
      <w:pPr>
        <w:pStyle w:val="Heading4"/>
      </w:pPr>
      <w:r w:rsidRPr="00E35EED">
        <w:t>Intellectual Property will be majorly affected by Chevron</w:t>
      </w:r>
    </w:p>
    <w:p w14:paraId="3E1119EF" w14:textId="77777777" w:rsidR="00F17596" w:rsidRDefault="00F17596" w:rsidP="00F17596">
      <w:r w:rsidRPr="00E35EED">
        <w:rPr>
          <w:rStyle w:val="Style13ptBold"/>
        </w:rPr>
        <w:t>Morgan Lewis Law</w:t>
      </w:r>
      <w:r>
        <w:t xml:space="preserve"> “</w:t>
      </w:r>
      <w:r w:rsidRPr="00E35EED">
        <w:t>LIFE SCIENCES POST-CHEVRON: NAVIGATING THE RANGE OF LEGAL AND REGULATORY CHALLENGES RAISED BY LOPER BRIGHT</w:t>
      </w:r>
      <w:r>
        <w:t>” July 08</w:t>
      </w:r>
      <w:r w:rsidRPr="00E35EED">
        <w:rPr>
          <w:rStyle w:val="Style13ptBold"/>
        </w:rPr>
        <w:t>, 2024</w:t>
      </w:r>
      <w:r w:rsidRPr="00E35EED">
        <w:t xml:space="preserve"> https://www.morganlewis.com/pubs/2024/07/life-sciences-post-chevron-navigating-the-range-of-legal-and-regulatory-challenges-raised-by-loper-bright</w:t>
      </w:r>
    </w:p>
    <w:p w14:paraId="311CA836" w14:textId="77777777" w:rsidR="00F17596" w:rsidRDefault="00F17596" w:rsidP="00F17596">
      <w:r w:rsidRPr="00F17596">
        <w:rPr>
          <w:rStyle w:val="StyleUnderline"/>
          <w:highlight w:val="darkGray"/>
        </w:rPr>
        <w:t>The Court’s decision in Loper</w:t>
      </w:r>
      <w:r w:rsidRPr="00003624">
        <w:t xml:space="preserve"> Bright </w:t>
      </w:r>
      <w:r w:rsidRPr="00F17596">
        <w:rPr>
          <w:rStyle w:val="StyleUnderline"/>
          <w:highlight w:val="darkGray"/>
        </w:rPr>
        <w:t>will likely have a significant impact on all regulated industries</w:t>
      </w:r>
      <w:r w:rsidRPr="00003624">
        <w:t xml:space="preserve">, including the highly regulated life sciences industry. </w:t>
      </w:r>
      <w:r w:rsidRPr="00F17596">
        <w:rPr>
          <w:rStyle w:val="StyleUnderline"/>
          <w:highlight w:val="darkGray"/>
        </w:rPr>
        <w:t>The decision may provide opportunities to raise new or enhanced arguments at various stages of proceedings to support or oppose an agency’s interpretation,</w:t>
      </w:r>
      <w:r w:rsidRPr="00003624">
        <w:t xml:space="preserve"> as well as new proactive challenges to existing agency rules or standards</w:t>
      </w:r>
      <w:r w:rsidRPr="00F17596">
        <w:rPr>
          <w:rStyle w:val="StyleUnderline"/>
          <w:highlight w:val="darkGray"/>
        </w:rPr>
        <w:t>. This is especially true with respect to</w:t>
      </w:r>
      <w:r w:rsidRPr="00003624">
        <w:t xml:space="preserve"> disputes pending in the federal courts, including </w:t>
      </w:r>
      <w:r w:rsidRPr="00F17596">
        <w:rPr>
          <w:rStyle w:val="StyleUnderline"/>
          <w:highlight w:val="darkGray"/>
        </w:rPr>
        <w:t>rulemaking challenges or agency decision appeals</w:t>
      </w:r>
      <w:r w:rsidRPr="00003624">
        <w:t xml:space="preserve">. The exact impact of Loper Bright on the life sciences industry will likely only be truly known with the passage of time. </w:t>
      </w:r>
      <w:r w:rsidRPr="00F17596">
        <w:rPr>
          <w:rStyle w:val="StyleUnderline"/>
          <w:highlight w:val="darkGray"/>
        </w:rPr>
        <w:t>What is clear</w:t>
      </w:r>
      <w:r w:rsidRPr="00003624">
        <w:t xml:space="preserve">, however, </w:t>
      </w:r>
      <w:r w:rsidRPr="00F17596">
        <w:rPr>
          <w:rStyle w:val="StyleUnderline"/>
          <w:highlight w:val="darkGray"/>
        </w:rPr>
        <w:t>is that the Loper Bright decision will affect the application and interpretation of a significant number of the statutes under</w:t>
      </w:r>
      <w:r w:rsidRPr="00003624">
        <w:t xml:space="preserve"> which the life sciences industry operates. This will impact a multitude of areas, including regulation by the Food and Drug Administration (FDA), healthcare and product reimbursement, white collar enforcement and investigations</w:t>
      </w:r>
      <w:r w:rsidRPr="00F17596">
        <w:rPr>
          <w:rStyle w:val="StyleUnderline"/>
          <w:highlight w:val="darkGray"/>
        </w:rPr>
        <w:t>, intellectual property,</w:t>
      </w:r>
      <w:r w:rsidRPr="00003624">
        <w:t xml:space="preserve"> Federal Trade Commission and antitrust enforcement, international </w:t>
      </w:r>
      <w:r w:rsidRPr="00003624">
        <w:lastRenderedPageBreak/>
        <w:t>trade and national security regulation, public company disclosures, environmental regulation, government contracting, business transactions, and litigation, which we discuss below.</w:t>
      </w:r>
    </w:p>
    <w:p w14:paraId="336DF6E9" w14:textId="77777777" w:rsidR="00F17596" w:rsidRDefault="00F17596" w:rsidP="00F17596">
      <w:pPr>
        <w:pStyle w:val="Heading4"/>
      </w:pPr>
      <w:r>
        <w:t xml:space="preserve">USPTO interpretations will be challenged post Chevron </w:t>
      </w:r>
    </w:p>
    <w:p w14:paraId="1CA61393" w14:textId="77777777" w:rsidR="00F17596" w:rsidRDefault="00F17596" w:rsidP="00F17596">
      <w:r w:rsidRPr="00E35EED">
        <w:rPr>
          <w:rStyle w:val="Style13ptBold"/>
        </w:rPr>
        <w:t>Morgan Lewis Law</w:t>
      </w:r>
      <w:r>
        <w:t xml:space="preserve"> “</w:t>
      </w:r>
      <w:r w:rsidRPr="00E35EED">
        <w:t>LIFE SCIENCES POST-CHEVRON: NAVIGATING THE RANGE OF LEGAL AND REGULATORY CHALLENGES RAISED BY LOPER BRIGHT</w:t>
      </w:r>
      <w:r>
        <w:t>” July 08</w:t>
      </w:r>
      <w:r w:rsidRPr="00E35EED">
        <w:rPr>
          <w:rStyle w:val="Style13ptBold"/>
        </w:rPr>
        <w:t>, 2024</w:t>
      </w:r>
      <w:r w:rsidRPr="00E35EED">
        <w:t xml:space="preserve"> https://www.morganlewis.com/pubs/2024/07/life-sciences-post-chevron-navigating-the-range-of-legal-and-regulatory-challenges-raised-by-loper-bright</w:t>
      </w:r>
    </w:p>
    <w:p w14:paraId="2A49BA75" w14:textId="77777777" w:rsidR="00F17596" w:rsidRPr="00003624" w:rsidRDefault="00F17596" w:rsidP="00F17596">
      <w:r>
        <w:t>Intellectual Property US Patent and Trademark Office (USPTO</w:t>
      </w:r>
      <w:r w:rsidRPr="00003624">
        <w:t>) The USPTO is the agency that issues all patents in the United States and administers post-grant review proceedings; therefore</w:t>
      </w:r>
      <w:r>
        <w:t xml:space="preserve">, it is an important agency for any life sciences company looking to protect its intellectual property. Under a prior ruling in the Federal Circuit, it was established that the USPTO’s </w:t>
      </w:r>
      <w:r w:rsidRPr="00003624">
        <w:t>interpretations of substantive patent law were not subject to deference because the agency was never</w:t>
      </w:r>
      <w:r>
        <w:t xml:space="preserve"> granted substantive rulemaking authority by Congress. Instead, USPTO interpretations of substantive patent law have been reviewed de novo on appeal. Therefore, Loper Bright will not impact how substantive patent law is interpreted at the USPTO. Nor will the decision affect </w:t>
      </w:r>
      <w:proofErr w:type="gramStart"/>
      <w:r>
        <w:t>cases</w:t>
      </w:r>
      <w:proofErr w:type="gramEnd"/>
      <w:r>
        <w:t xml:space="preserve"> where the Federal Circuit holds that there is no statutory ambiguity, which has frequently been the case. However, </w:t>
      </w:r>
      <w:r w:rsidRPr="00F17596">
        <w:rPr>
          <w:rStyle w:val="StyleUnderline"/>
          <w:highlight w:val="darkGray"/>
        </w:rPr>
        <w:t>Loper Bright will likely impact how the Federal Circuit treats the USPTO’s interpretations of its own ambiguous procedural statutes, as the USPTO previously enjoyed deference in those instances. There may</w:t>
      </w:r>
      <w:r>
        <w:t xml:space="preserve">, accordingly, </w:t>
      </w:r>
      <w:r w:rsidRPr="00F17596">
        <w:rPr>
          <w:rStyle w:val="StyleUnderline"/>
          <w:highlight w:val="darkGray"/>
        </w:rPr>
        <w:t>be an increase in challenges at the Federal Circuit with respect to how the USPTO implements its procedural requirements</w:t>
      </w:r>
      <w:r>
        <w:t xml:space="preserve">, including while administering inter </w:t>
      </w:r>
      <w:proofErr w:type="spellStart"/>
      <w:r>
        <w:t>partes</w:t>
      </w:r>
      <w:proofErr w:type="spellEnd"/>
      <w:r>
        <w:t xml:space="preserve"> review.</w:t>
      </w:r>
    </w:p>
    <w:p w14:paraId="6982DBFD" w14:textId="77777777" w:rsidR="00F17596" w:rsidRDefault="00F17596" w:rsidP="00F17596"/>
    <w:p w14:paraId="5C3E6FAC" w14:textId="77777777" w:rsidR="00F17596" w:rsidRDefault="00F17596" w:rsidP="00F17596">
      <w:pPr>
        <w:rPr>
          <w:rFonts w:eastAsiaTheme="majorEastAsia" w:cstheme="majorBidi"/>
          <w:b/>
          <w:sz w:val="44"/>
          <w:szCs w:val="26"/>
          <w:u w:val="double"/>
        </w:rPr>
      </w:pPr>
      <w:r>
        <w:br w:type="page"/>
      </w:r>
    </w:p>
    <w:bookmarkEnd w:id="0"/>
    <w:p w14:paraId="624EEF80" w14:textId="77777777" w:rsidR="00F17596" w:rsidRDefault="00F17596" w:rsidP="00F17596">
      <w:pPr>
        <w:pStyle w:val="Heading3"/>
      </w:pPr>
      <w:r>
        <w:lastRenderedPageBreak/>
        <w:t>USPTO Fails – Staffing</w:t>
      </w:r>
    </w:p>
    <w:p w14:paraId="0946EF6C" w14:textId="77777777" w:rsidR="00F17596" w:rsidRDefault="00F17596" w:rsidP="00F17596">
      <w:pPr>
        <w:pStyle w:val="Heading4"/>
      </w:pPr>
      <w:r>
        <w:t xml:space="preserve">Understaffed – </w:t>
      </w:r>
      <w:proofErr w:type="gramStart"/>
      <w:r>
        <w:t>can’t</w:t>
      </w:r>
      <w:proofErr w:type="gramEnd"/>
      <w:r>
        <w:t xml:space="preserve"> review applications correctly</w:t>
      </w:r>
    </w:p>
    <w:p w14:paraId="015BC79F" w14:textId="77777777" w:rsidR="00F17596" w:rsidRDefault="00F17596" w:rsidP="00F17596">
      <w:r w:rsidRPr="00C12B7C">
        <w:t xml:space="preserve">Max </w:t>
      </w:r>
      <w:r w:rsidRPr="00C12B7C">
        <w:rPr>
          <w:rStyle w:val="Style13ptBold"/>
        </w:rPr>
        <w:t>Baucus</w:t>
      </w:r>
      <w:r w:rsidRPr="00C12B7C">
        <w:t xml:space="preserve"> </w:t>
      </w:r>
      <w:r>
        <w:t>(</w:t>
      </w:r>
      <w:r w:rsidRPr="00C12B7C">
        <w:t>He served as Chairman of the U.S. Senate Committee on Finance from 2001 until 2003, and again from 2007 until 2014</w:t>
      </w:r>
      <w:r>
        <w:t>) “</w:t>
      </w:r>
      <w:r w:rsidRPr="00C12B7C">
        <w:t>It’s Time for the U.S. to Tackle Patent Trolls</w:t>
      </w:r>
      <w:r>
        <w:t xml:space="preserve">” September 16, </w:t>
      </w:r>
      <w:r w:rsidRPr="00C12B7C">
        <w:rPr>
          <w:rStyle w:val="Style13ptBold"/>
        </w:rPr>
        <w:t>2022</w:t>
      </w:r>
      <w:r>
        <w:t xml:space="preserve"> </w:t>
      </w:r>
      <w:r w:rsidRPr="00C12B7C">
        <w:t>https://hbr.org/2022/09/its-time-for-the-u-s-to-tackle-patent-trolls</w:t>
      </w:r>
    </w:p>
    <w:p w14:paraId="3905D9E2" w14:textId="77777777" w:rsidR="00F17596" w:rsidRDefault="00F17596" w:rsidP="00F17596">
      <w:r w:rsidRPr="007A479A">
        <w:t xml:space="preserve">Over the long term, </w:t>
      </w:r>
      <w:r w:rsidRPr="00F17596">
        <w:rPr>
          <w:rStyle w:val="StyleUnderline"/>
          <w:highlight w:val="darkGray"/>
        </w:rPr>
        <w:t xml:space="preserve">the USPTO needs to be resourced to handle the high volume of patent applications it receives </w:t>
      </w:r>
      <w:r w:rsidRPr="00F17596">
        <w:rPr>
          <w:rStyle w:val="Emphasis"/>
          <w:highlight w:val="darkGray"/>
        </w:rPr>
        <w:t>and focus on patent quality</w:t>
      </w:r>
      <w:r w:rsidRPr="007A479A">
        <w:t xml:space="preserve">, only granting patents when an idea is novel, useful, and non-obvious. On average, </w:t>
      </w:r>
      <w:r w:rsidRPr="00F17596">
        <w:rPr>
          <w:rStyle w:val="StyleUnderline"/>
          <w:highlight w:val="darkGray"/>
        </w:rPr>
        <w:t>examiners now only spend 19 hours to reviewing each application</w:t>
      </w:r>
      <w:r w:rsidRPr="007A479A">
        <w:t xml:space="preserve">. We must also improve transparency in the patent system so that the public knows who the true owners of patents </w:t>
      </w:r>
      <w:proofErr w:type="gramStart"/>
      <w:r w:rsidRPr="007A479A">
        <w:t>are</w:t>
      </w:r>
      <w:proofErr w:type="gramEnd"/>
      <w:r w:rsidRPr="007A479A">
        <w:t xml:space="preserve"> and patent trolls are prevented from misrepresenting their identities. But the director of the USPTO, Kathi Vidal, also has an opportunity to take immediate action that will substantially improve how our patent system functions and advance U.S. innovation.</w:t>
      </w:r>
    </w:p>
    <w:p w14:paraId="308472A5" w14:textId="77777777" w:rsidR="00F17596" w:rsidRDefault="00F17596" w:rsidP="00F17596">
      <w:pPr>
        <w:rPr>
          <w:rFonts w:eastAsiaTheme="majorEastAsia" w:cstheme="majorBidi"/>
          <w:b/>
          <w:sz w:val="32"/>
          <w:szCs w:val="24"/>
          <w:u w:val="single"/>
        </w:rPr>
      </w:pPr>
      <w:r>
        <w:br w:type="page"/>
      </w:r>
    </w:p>
    <w:p w14:paraId="642EE414" w14:textId="77777777" w:rsidR="00F17596" w:rsidRDefault="00F17596" w:rsidP="00F17596">
      <w:pPr>
        <w:pStyle w:val="Heading3"/>
      </w:pPr>
      <w:r>
        <w:lastRenderedPageBreak/>
        <w:t>USPTO Fails – Reforms Needed</w:t>
      </w:r>
    </w:p>
    <w:p w14:paraId="75F0BFAF" w14:textId="77777777" w:rsidR="00F17596" w:rsidRPr="00383464" w:rsidRDefault="00F17596" w:rsidP="00F17596">
      <w:pPr>
        <w:pStyle w:val="Heading4"/>
      </w:pPr>
      <w:proofErr w:type="gramStart"/>
      <w:r w:rsidRPr="00383464">
        <w:t>In order to</w:t>
      </w:r>
      <w:proofErr w:type="gramEnd"/>
      <w:r w:rsidRPr="00383464">
        <w:t xml:space="preserve"> effectively tackle the issues of IP reforms, supporting the employees at the USPTO must be the first place we start</w:t>
      </w:r>
    </w:p>
    <w:p w14:paraId="2FF69669" w14:textId="77777777" w:rsidR="00F17596" w:rsidRPr="009C3F1E" w:rsidRDefault="00F17596" w:rsidP="00F17596">
      <w:r w:rsidRPr="009C3F1E">
        <w:t xml:space="preserve">Russell </w:t>
      </w:r>
      <w:r w:rsidRPr="009C3F1E">
        <w:rPr>
          <w:rStyle w:val="Style13ptBold"/>
        </w:rPr>
        <w:t>Slifer</w:t>
      </w:r>
      <w:r w:rsidRPr="009C3F1E">
        <w:t>, 7-4-20</w:t>
      </w:r>
      <w:r w:rsidRPr="009C3F1E">
        <w:rPr>
          <w:rStyle w:val="Style13ptBold"/>
        </w:rPr>
        <w:t>24</w:t>
      </w:r>
      <w:r w:rsidRPr="009C3F1E">
        <w:t xml:space="preserve">, "How to Really Improve the U.S. Patent System: Support USPTO Employees", </w:t>
      </w:r>
      <w:proofErr w:type="spellStart"/>
      <w:r w:rsidRPr="009C3F1E">
        <w:t>IPWatchdog</w:t>
      </w:r>
      <w:proofErr w:type="spellEnd"/>
      <w:r w:rsidRPr="009C3F1E">
        <w:t xml:space="preserve"> | Patents &amp; Intellectual Property Law, </w:t>
      </w:r>
      <w:hyperlink r:id="rId9" w:history="1">
        <w:r w:rsidRPr="009C3F1E">
          <w:rPr>
            <w:rStyle w:val="Hyperlink"/>
          </w:rPr>
          <w:t>https://ipwatchdog.com/2024/07/04/really-improve-us-patent-system-support-uspto-employees/id=178594/</w:t>
        </w:r>
      </w:hyperlink>
      <w:r w:rsidRPr="009C3F1E">
        <w:t xml:space="preserve"> (Accessed July 6, 2024) CR</w:t>
      </w:r>
    </w:p>
    <w:p w14:paraId="21F4FB1C" w14:textId="77777777" w:rsidR="00F17596" w:rsidRPr="009C3F1E" w:rsidRDefault="00F17596" w:rsidP="00F17596">
      <w:pPr>
        <w:jc w:val="both"/>
        <w:rPr>
          <w:rStyle w:val="Emphasis"/>
        </w:rPr>
      </w:pPr>
      <w:r w:rsidRPr="009C3F1E">
        <w:rPr>
          <w:rStyle w:val="StyleUnderline"/>
          <w:bCs/>
          <w:sz w:val="16"/>
        </w:rPr>
        <w:t xml:space="preserve">Our patent system has been relentlessly attacked for the better part of the last 20 years. Patents have been blamed for everything from the creation of patent litigation abuse to high prescription drug costs. There is scant evidence of an actual causal relationship, yet the attacks continue. Knowing that it would be impossible to outright ban patents, </w:t>
      </w:r>
      <w:r w:rsidRPr="009C3F1E">
        <w:rPr>
          <w:rStyle w:val="StyleUnderline"/>
        </w:rPr>
        <w:t xml:space="preserve">the popular argument is that poor quality patents that should not have issued are responsible for </w:t>
      </w:r>
      <w:proofErr w:type="gramStart"/>
      <w:r w:rsidRPr="009C3F1E">
        <w:rPr>
          <w:rStyle w:val="StyleUnderline"/>
        </w:rPr>
        <w:t>a majority of</w:t>
      </w:r>
      <w:proofErr w:type="gramEnd"/>
      <w:r w:rsidRPr="009C3F1E">
        <w:rPr>
          <w:rStyle w:val="StyleUnderline"/>
        </w:rPr>
        <w:t xml:space="preserve"> litigation issues and drug prices. In response, Congress created the</w:t>
      </w:r>
      <w:r w:rsidRPr="009C3F1E">
        <w:rPr>
          <w:rStyle w:val="StyleUnderline"/>
          <w:bCs/>
          <w:sz w:val="16"/>
        </w:rPr>
        <w:t xml:space="preserve"> Patent Trial and Appeal Board (</w:t>
      </w:r>
      <w:r w:rsidRPr="009C3F1E">
        <w:rPr>
          <w:rStyle w:val="StyleUnderline"/>
        </w:rPr>
        <w:t>PTAB</w:t>
      </w:r>
      <w:r w:rsidRPr="009C3F1E">
        <w:rPr>
          <w:rStyle w:val="StyleUnderline"/>
          <w:bCs/>
          <w:sz w:val="16"/>
        </w:rPr>
        <w:t xml:space="preserve">) </w:t>
      </w:r>
      <w:r w:rsidRPr="009C3F1E">
        <w:rPr>
          <w:rStyle w:val="StyleUnderline"/>
        </w:rPr>
        <w:t>at the</w:t>
      </w:r>
      <w:r w:rsidRPr="009C3F1E">
        <w:rPr>
          <w:rStyle w:val="StyleUnderline"/>
          <w:bCs/>
          <w:sz w:val="16"/>
        </w:rPr>
        <w:t xml:space="preserve"> United States Patent and Trademark Office (</w:t>
      </w:r>
      <w:r w:rsidRPr="009C3F1E">
        <w:rPr>
          <w:rStyle w:val="StyleUnderline"/>
        </w:rPr>
        <w:t>USPTO</w:t>
      </w:r>
      <w:r w:rsidRPr="009C3F1E">
        <w:rPr>
          <w:rStyle w:val="StyleUnderline"/>
          <w:bCs/>
          <w:sz w:val="16"/>
        </w:rPr>
        <w:t xml:space="preserve">) </w:t>
      </w:r>
      <w:r w:rsidRPr="009C3F1E">
        <w:rPr>
          <w:rStyle w:val="StyleUnderline"/>
        </w:rPr>
        <w:t>in 2011 to make it easier to invalidate “low quality” patents without the need for federal</w:t>
      </w:r>
      <w:r w:rsidRPr="009C3F1E">
        <w:rPr>
          <w:rStyle w:val="StyleUnderline"/>
          <w:bCs/>
          <w:sz w:val="16"/>
        </w:rPr>
        <w:t xml:space="preserve"> district </w:t>
      </w:r>
      <w:r w:rsidRPr="009C3F1E">
        <w:rPr>
          <w:rStyle w:val="StyleUnderline"/>
        </w:rPr>
        <w:t>court litigation</w:t>
      </w:r>
      <w:r w:rsidRPr="009C3F1E">
        <w:rPr>
          <w:rStyle w:val="StyleUnderline"/>
          <w:bCs/>
          <w:sz w:val="16"/>
        </w:rPr>
        <w:t xml:space="preserve">. Yet, </w:t>
      </w:r>
      <w:r w:rsidRPr="00F17596">
        <w:rPr>
          <w:rStyle w:val="StyleUnderline"/>
          <w:highlight w:val="darkGray"/>
        </w:rPr>
        <w:t>after more than 10 years of invalidating issued patents through the PTAB, the criticism of our patent system has not abated</w:t>
      </w:r>
      <w:r w:rsidRPr="009C3F1E">
        <w:rPr>
          <w:rStyle w:val="StyleUnderline"/>
          <w:bCs/>
          <w:sz w:val="16"/>
        </w:rPr>
        <w:t xml:space="preserve">. </w:t>
      </w:r>
      <w:r w:rsidRPr="009C3F1E">
        <w:rPr>
          <w:rStyle w:val="StyleUnderline"/>
        </w:rPr>
        <w:t>These patent critics have called for new policies to change the behavior of inventors.</w:t>
      </w:r>
      <w:r w:rsidRPr="009C3F1E">
        <w:rPr>
          <w:rStyle w:val="StyleUnderline"/>
          <w:bCs/>
          <w:sz w:val="16"/>
        </w:rPr>
        <w:t xml:space="preserve"> The </w:t>
      </w:r>
      <w:r w:rsidRPr="00F17596">
        <w:rPr>
          <w:rStyle w:val="StyleUnderline"/>
          <w:highlight w:val="darkGray"/>
        </w:rPr>
        <w:t>USPTO recently announced substantial fee increases and new “rules” that</w:t>
      </w:r>
      <w:r w:rsidRPr="009C3F1E">
        <w:rPr>
          <w:rStyle w:val="StyleUnderline"/>
          <w:bCs/>
          <w:sz w:val="16"/>
        </w:rPr>
        <w:t xml:space="preserve"> many argue </w:t>
      </w:r>
      <w:proofErr w:type="gramStart"/>
      <w:r w:rsidRPr="009C3F1E">
        <w:rPr>
          <w:rStyle w:val="StyleUnderline"/>
          <w:bCs/>
          <w:sz w:val="16"/>
        </w:rPr>
        <w:t xml:space="preserve">actually </w:t>
      </w:r>
      <w:r w:rsidRPr="00F17596">
        <w:rPr>
          <w:rStyle w:val="StyleUnderline"/>
          <w:highlight w:val="darkGray"/>
        </w:rPr>
        <w:t>amount</w:t>
      </w:r>
      <w:proofErr w:type="gramEnd"/>
      <w:r w:rsidRPr="00F17596">
        <w:rPr>
          <w:rStyle w:val="StyleUnderline"/>
          <w:highlight w:val="darkGray"/>
        </w:rPr>
        <w:t xml:space="preserve"> to legislation to force behavior changes and decrease the number of patent applications that have</w:t>
      </w:r>
      <w:r w:rsidRPr="009C3F1E">
        <w:rPr>
          <w:rStyle w:val="StyleUnderline"/>
          <w:bCs/>
          <w:sz w:val="16"/>
        </w:rPr>
        <w:t xml:space="preserve"> historically </w:t>
      </w:r>
      <w:r w:rsidRPr="00F17596">
        <w:rPr>
          <w:rStyle w:val="StyleUnderline"/>
          <w:highlight w:val="darkGray"/>
        </w:rPr>
        <w:t>been available to inventors</w:t>
      </w:r>
      <w:r w:rsidRPr="00F17596">
        <w:rPr>
          <w:rStyle w:val="StyleUnderline"/>
          <w:bCs/>
          <w:sz w:val="16"/>
          <w:highlight w:val="darkGray"/>
        </w:rPr>
        <w:t xml:space="preserve">. </w:t>
      </w:r>
      <w:r w:rsidRPr="00F17596">
        <w:rPr>
          <w:rStyle w:val="StyleUnderline"/>
          <w:highlight w:val="darkGray"/>
        </w:rPr>
        <w:t>If implemented, these changes will significantly increase the cost and complexity of obtaining patents</w:t>
      </w:r>
      <w:r w:rsidRPr="00F17596">
        <w:rPr>
          <w:rStyle w:val="StyleUnderline"/>
          <w:bCs/>
          <w:sz w:val="16"/>
          <w:highlight w:val="darkGray"/>
        </w:rPr>
        <w:t xml:space="preserve">, </w:t>
      </w:r>
      <w:r w:rsidRPr="00F17596">
        <w:rPr>
          <w:rStyle w:val="Emphasis"/>
          <w:highlight w:val="darkGray"/>
        </w:rPr>
        <w:t>but they will not address the perceived deficiencies in the patent system. Improving the operations of the USPTO, however, is the best opportunity to improve the patent system.</w:t>
      </w:r>
      <w:r w:rsidRPr="009C3F1E">
        <w:rPr>
          <w:rStyle w:val="StyleUnderline"/>
          <w:bCs/>
          <w:sz w:val="16"/>
        </w:rPr>
        <w:t xml:space="preserve"> An </w:t>
      </w:r>
      <w:proofErr w:type="gramStart"/>
      <w:r w:rsidRPr="009C3F1E">
        <w:rPr>
          <w:rStyle w:val="StyleUnderline"/>
          <w:bCs/>
          <w:sz w:val="16"/>
        </w:rPr>
        <w:t>Alarming Trend Recent workplace rankings</w:t>
      </w:r>
      <w:proofErr w:type="gramEnd"/>
      <w:r w:rsidRPr="009C3F1E">
        <w:rPr>
          <w:rStyle w:val="StyleUnderline"/>
          <w:bCs/>
          <w:sz w:val="16"/>
        </w:rPr>
        <w:t xml:space="preserve"> by USPTO employees in the Best Places to Work in the Federal Government, a little-known survey outside of the government, should be a red flag for supporters of our patent system. Twenty years ago, the USPTO’s overall survey result was very poor but improved dramatically until the USPTO reached the top place for employee satisfaction in 2013. The improvement was the result of focused efforts by leadership to improve the agency. In the last 10 years, the USPTO’s overall survey score has steadily decreased. While the current state is not back to the lows of decades ago (the USPTO ranked 236 out of 459 subcomponent agencies), the downward trend is alarming. I had the pleasure of being a leader of the USPTO and working with exceptional patent and trademark examiners. Examiners have scientific degrees; many are attorneys, and they perform a detailed study of technical documents every day. It should not be a surprise that their workplace satisfaction is reflected in the USPTO work product. </w:t>
      </w:r>
      <w:r w:rsidRPr="00F17596">
        <w:rPr>
          <w:rStyle w:val="Emphasis"/>
          <w:highlight w:val="darkGray"/>
        </w:rPr>
        <w:t>Quality starts with employees.</w:t>
      </w:r>
      <w:r w:rsidRPr="009C3F1E">
        <w:rPr>
          <w:rStyle w:val="StyleUnderline"/>
          <w:bCs/>
          <w:sz w:val="16"/>
        </w:rPr>
        <w:t xml:space="preserve"> This is true for manufacturing cars and examining patents. A belief in the agency mission, having meaningful input and enough time to perform a quality job are important. The USPTO reports to the Commerce Department and Secretary of Commerce Raimondo has received well deserved accolades for her leadership of Commerce policies. Among her top achievements are working to get affordable, reliable high-speed Internet service to everyone in America, revitalizing the U.S. semiconductor industry, and building a climate-ready nation. In addition to these important achievements, the Commerce Department has been a top ranked place to work among large federal places to work. But, for some reason, those leadership achievements </w:t>
      </w:r>
      <w:proofErr w:type="gramStart"/>
      <w:r w:rsidRPr="009C3F1E">
        <w:rPr>
          <w:rStyle w:val="StyleUnderline"/>
          <w:bCs/>
          <w:sz w:val="16"/>
        </w:rPr>
        <w:t>haven’t</w:t>
      </w:r>
      <w:proofErr w:type="gramEnd"/>
      <w:r w:rsidRPr="009C3F1E">
        <w:rPr>
          <w:rStyle w:val="StyleUnderline"/>
          <w:bCs/>
          <w:sz w:val="16"/>
        </w:rPr>
        <w:t xml:space="preserve"> extended to the USPTO. Looking Ahead The next administration faces a difficult situation. The drop in the USPTO ranking continues under President Biden and reversing that in a second term will require changes in both policy and leadership. Neither is easy to achieve in a second term. Likewise, a second Trump administration would return to the Republican platform of shrinking government and a hostility toward government labor unions. This is not a recipe for improving federal employee engagement. </w:t>
      </w:r>
      <w:r w:rsidRPr="00F17596">
        <w:rPr>
          <w:rStyle w:val="Emphasis"/>
          <w:highlight w:val="darkGray"/>
        </w:rPr>
        <w:t>Improving America’s patent system starts with supporting the front-line employees of the USPTO. Given the right support, tools, and leadership, the agency can attract the best talent to carefully examine and issue the world’s best patents and trademarks.</w:t>
      </w:r>
    </w:p>
    <w:p w14:paraId="4E522728" w14:textId="77777777" w:rsidR="00F17596" w:rsidRPr="009C3F1E" w:rsidRDefault="00F17596" w:rsidP="00F17596">
      <w:pPr>
        <w:jc w:val="both"/>
        <w:rPr>
          <w:rStyle w:val="Emphasis"/>
        </w:rPr>
      </w:pPr>
    </w:p>
    <w:p w14:paraId="40B4F609" w14:textId="77777777" w:rsidR="00F17596" w:rsidRPr="00383464" w:rsidRDefault="00F17596" w:rsidP="00F17596"/>
    <w:p w14:paraId="794F7C33" w14:textId="77777777" w:rsidR="00F17596" w:rsidRDefault="00F17596" w:rsidP="00F17596">
      <w:pPr>
        <w:rPr>
          <w:rFonts w:eastAsiaTheme="majorEastAsia" w:cstheme="majorBidi"/>
          <w:b/>
          <w:sz w:val="32"/>
          <w:szCs w:val="24"/>
          <w:u w:val="single"/>
        </w:rPr>
      </w:pPr>
      <w:r>
        <w:br w:type="page"/>
      </w:r>
    </w:p>
    <w:p w14:paraId="795CB4EC" w14:textId="77777777" w:rsidR="00F17596" w:rsidRDefault="00F17596" w:rsidP="00F17596">
      <w:pPr>
        <w:pStyle w:val="Heading2"/>
        <w:rPr>
          <w:rFonts w:eastAsia="Calibri"/>
        </w:rPr>
      </w:pPr>
      <w:r>
        <w:rPr>
          <w:rFonts w:eastAsia="Calibri"/>
        </w:rPr>
        <w:lastRenderedPageBreak/>
        <w:t>USPTO Good</w:t>
      </w:r>
    </w:p>
    <w:p w14:paraId="7495C06F" w14:textId="77777777" w:rsidR="00F17596" w:rsidRDefault="00F17596" w:rsidP="00F17596">
      <w:pPr>
        <w:rPr>
          <w:rFonts w:eastAsia="Calibri" w:cstheme="majorBidi"/>
          <w:b/>
          <w:sz w:val="44"/>
          <w:szCs w:val="26"/>
          <w:u w:val="double"/>
        </w:rPr>
      </w:pPr>
      <w:r>
        <w:rPr>
          <w:rFonts w:eastAsia="Calibri"/>
        </w:rPr>
        <w:br w:type="page"/>
      </w:r>
    </w:p>
    <w:p w14:paraId="30046886" w14:textId="77777777" w:rsidR="00F17596" w:rsidRPr="007E6F21" w:rsidRDefault="00F17596" w:rsidP="00F17596">
      <w:pPr>
        <w:pStyle w:val="Heading3"/>
        <w:rPr>
          <w:rFonts w:eastAsia="Calibri"/>
        </w:rPr>
      </w:pPr>
      <w:bookmarkStart w:id="2" w:name="_Hlk171434681"/>
      <w:r>
        <w:rPr>
          <w:rFonts w:eastAsia="Calibri"/>
        </w:rPr>
        <w:lastRenderedPageBreak/>
        <w:t>USPTO Good - PTAB Board/NHK-</w:t>
      </w:r>
      <w:proofErr w:type="spellStart"/>
      <w:r>
        <w:rPr>
          <w:rFonts w:eastAsia="Calibri"/>
        </w:rPr>
        <w:t>Fentiv</w:t>
      </w:r>
      <w:proofErr w:type="spellEnd"/>
    </w:p>
    <w:p w14:paraId="342A9C72" w14:textId="77777777" w:rsidR="00F17596" w:rsidRDefault="00F17596" w:rsidP="00F17596">
      <w:pPr>
        <w:pStyle w:val="Heading4"/>
      </w:pPr>
      <w:r>
        <w:t>NHK-</w:t>
      </w:r>
      <w:proofErr w:type="spellStart"/>
      <w:r>
        <w:t>Fintiv</w:t>
      </w:r>
      <w:proofErr w:type="spellEnd"/>
      <w:r>
        <w:t xml:space="preserve"> is a general policy but not a substantive rule. Guidance by the new director of the USPTO limited </w:t>
      </w:r>
      <w:proofErr w:type="gramStart"/>
      <w:r>
        <w:t>it’s</w:t>
      </w:r>
      <w:proofErr w:type="gramEnd"/>
      <w:r>
        <w:t xml:space="preserve"> impact. There are plenty of ways around it </w:t>
      </w:r>
    </w:p>
    <w:p w14:paraId="61C08AFE" w14:textId="77777777" w:rsidR="00F17596" w:rsidRDefault="00F17596" w:rsidP="00F17596">
      <w:r>
        <w:t>Baker</w:t>
      </w:r>
      <w:r w:rsidRPr="00540284">
        <w:rPr>
          <w:rStyle w:val="Style13ptBold"/>
        </w:rPr>
        <w:t xml:space="preserve"> </w:t>
      </w:r>
      <w:proofErr w:type="spellStart"/>
      <w:r w:rsidRPr="00540284">
        <w:rPr>
          <w:rStyle w:val="Style13ptBold"/>
        </w:rPr>
        <w:t>Holstetler</w:t>
      </w:r>
      <w:proofErr w:type="spellEnd"/>
      <w:r>
        <w:t xml:space="preserve"> “</w:t>
      </w:r>
      <w:r w:rsidRPr="00E85C04">
        <w:t xml:space="preserve">The End of the Fight Against </w:t>
      </w:r>
      <w:proofErr w:type="spellStart"/>
      <w:r w:rsidRPr="00E85C04">
        <w:t>Fintiv</w:t>
      </w:r>
      <w:proofErr w:type="spellEnd"/>
      <w:r>
        <w:t xml:space="preserve">” May 24, </w:t>
      </w:r>
      <w:r w:rsidRPr="00540284">
        <w:rPr>
          <w:rStyle w:val="Style13ptBold"/>
        </w:rPr>
        <w:t xml:space="preserve">2024 </w:t>
      </w:r>
      <w:r w:rsidRPr="00540284">
        <w:t>https://www.ipintelligencereport.com/blogs/the-end-of-the-fight-against-fintiv/</w:t>
      </w:r>
    </w:p>
    <w:p w14:paraId="32A11A5A" w14:textId="77777777" w:rsidR="00F17596" w:rsidRPr="00291033" w:rsidRDefault="00F17596" w:rsidP="00F17596">
      <w:r w:rsidRPr="00E85C04">
        <w:t xml:space="preserve">In January of this year, the Supreme Court denied a request for certiorari on the Federal Circuit’s decision regarding its first two challenges. And, on April 1, the Northern District of California again dismissed the remanded claims against the director, now Kathi Vidal. Judge Edward Davila stated that </w:t>
      </w:r>
      <w:proofErr w:type="spellStart"/>
      <w:r w:rsidRPr="00E85C04">
        <w:t>Fintiv</w:t>
      </w:r>
      <w:proofErr w:type="spellEnd"/>
      <w:r w:rsidRPr="00E85C04">
        <w:t xml:space="preserve"> was excluded from the APA’s notice-and-comment rulemaking requirements because </w:t>
      </w:r>
      <w:proofErr w:type="spellStart"/>
      <w:r w:rsidRPr="00F17596">
        <w:rPr>
          <w:rStyle w:val="StyleUnderline"/>
          <w:highlight w:val="darkGray"/>
        </w:rPr>
        <w:t>Fintiv</w:t>
      </w:r>
      <w:proofErr w:type="spellEnd"/>
      <w:r w:rsidRPr="00F17596">
        <w:rPr>
          <w:rStyle w:val="StyleUnderline"/>
          <w:highlight w:val="darkGray"/>
        </w:rPr>
        <w:t xml:space="preserve"> was a general statement of policy and not a substantive rule</w:t>
      </w:r>
      <w:r w:rsidRPr="00E85C04">
        <w:t xml:space="preserve">. Apple Inc. v. Vidal, No. 20-CV-06128-EJD, 2024 WL 1382465, at *13 (N.D. Cal. Mar. 31, 2024). A substantive rule requires notice-and-comment rulemaking under the APA. Davila found that </w:t>
      </w:r>
      <w:r w:rsidRPr="00F17596">
        <w:rPr>
          <w:rStyle w:val="StyleUnderline"/>
          <w:highlight w:val="darkGray"/>
        </w:rPr>
        <w:t>a substantive rule affects individual rights and obligations</w:t>
      </w:r>
      <w:r w:rsidRPr="00E85C04">
        <w:t xml:space="preserve"> and does not leave the PTAB free to exercise discretion and consider the individual facts before it </w:t>
      </w:r>
      <w:proofErr w:type="gramStart"/>
      <w:r w:rsidRPr="00E85C04">
        <w:t>in a given</w:t>
      </w:r>
      <w:proofErr w:type="gramEnd"/>
      <w:r w:rsidRPr="00E85C04">
        <w:t xml:space="preserve"> case, </w:t>
      </w:r>
      <w:r w:rsidRPr="00F17596">
        <w:rPr>
          <w:rStyle w:val="StyleUnderline"/>
          <w:highlight w:val="darkGray"/>
        </w:rPr>
        <w:t xml:space="preserve">and that a general statement of policy must be only prospective </w:t>
      </w:r>
      <w:r w:rsidRPr="00F17596">
        <w:rPr>
          <w:rStyle w:val="Emphasis"/>
          <w:highlight w:val="darkGray"/>
        </w:rPr>
        <w:t>and must not establish a binding norm</w:t>
      </w:r>
      <w:r w:rsidRPr="00F17596">
        <w:rPr>
          <w:rStyle w:val="StyleUnderline"/>
          <w:highlight w:val="darkGray"/>
        </w:rPr>
        <w:t xml:space="preserve"> </w:t>
      </w:r>
      <w:r w:rsidRPr="00F17596">
        <w:rPr>
          <w:rStyle w:val="Emphasis"/>
          <w:highlight w:val="darkGray"/>
        </w:rPr>
        <w:t>or be finally determinative</w:t>
      </w:r>
      <w:r w:rsidRPr="00F17596">
        <w:rPr>
          <w:rStyle w:val="StyleUnderline"/>
          <w:highlight w:val="darkGray"/>
        </w:rPr>
        <w:t xml:space="preserve"> of the issues or rights</w:t>
      </w:r>
      <w:r w:rsidRPr="00E85C04">
        <w:t xml:space="preserve">. Davila ruled that because IPR institution is never required (referencing § 314(a)), </w:t>
      </w:r>
      <w:r w:rsidRPr="00F17596">
        <w:rPr>
          <w:rStyle w:val="StyleUnderline"/>
          <w:highlight w:val="darkGray"/>
        </w:rPr>
        <w:t xml:space="preserve">the </w:t>
      </w:r>
      <w:proofErr w:type="spellStart"/>
      <w:r w:rsidRPr="00F17596">
        <w:rPr>
          <w:rStyle w:val="StyleUnderline"/>
          <w:highlight w:val="darkGray"/>
        </w:rPr>
        <w:t>Fintiv</w:t>
      </w:r>
      <w:proofErr w:type="spellEnd"/>
      <w:r w:rsidRPr="00F17596">
        <w:rPr>
          <w:rStyle w:val="StyleUnderline"/>
          <w:highlight w:val="darkGray"/>
        </w:rPr>
        <w:t xml:space="preserve"> factors do not affect individual rights</w:t>
      </w:r>
      <w:r w:rsidRPr="00E85C04">
        <w:t xml:space="preserve"> or obligations, and because the </w:t>
      </w:r>
      <w:proofErr w:type="spellStart"/>
      <w:r w:rsidRPr="00E85C04">
        <w:t>Fintiv</w:t>
      </w:r>
      <w:proofErr w:type="spellEnd"/>
      <w:r w:rsidRPr="00E85C04">
        <w:t xml:space="preserve"> factors are referred to as “nonexclusive,” they are not determinative and leave the PTAB free to exercise discretion. On April 19, the PTAB finally followed up on the ANPR and issued a notice of proposed rulemaking (NPR). Notably absent from the NPR was any mention of the </w:t>
      </w:r>
      <w:proofErr w:type="spellStart"/>
      <w:r w:rsidRPr="00E85C04">
        <w:t>Fintiv</w:t>
      </w:r>
      <w:proofErr w:type="spellEnd"/>
      <w:r w:rsidRPr="00E85C04">
        <w:t xml:space="preserve"> factors. It appears that, considering Davila’s order in the Northern District of California, Vidal and the PTAB are content leaving the </w:t>
      </w:r>
      <w:proofErr w:type="spellStart"/>
      <w:r w:rsidRPr="00E85C04">
        <w:t>Fintiv</w:t>
      </w:r>
      <w:proofErr w:type="spellEnd"/>
      <w:r w:rsidRPr="00E85C04">
        <w:t xml:space="preserve"> factors in their current state. Moreover, </w:t>
      </w:r>
      <w:r w:rsidRPr="00F17596">
        <w:rPr>
          <w:rStyle w:val="StyleUnderline"/>
          <w:highlight w:val="darkGray"/>
        </w:rPr>
        <w:t xml:space="preserve">the denial of institution under </w:t>
      </w:r>
      <w:proofErr w:type="spellStart"/>
      <w:r w:rsidRPr="00F17596">
        <w:rPr>
          <w:rStyle w:val="StyleUnderline"/>
          <w:highlight w:val="darkGray"/>
        </w:rPr>
        <w:t>Fintiv</w:t>
      </w:r>
      <w:proofErr w:type="spellEnd"/>
      <w:r w:rsidRPr="00F17596">
        <w:rPr>
          <w:rStyle w:val="StyleUnderline"/>
          <w:highlight w:val="darkGray"/>
        </w:rPr>
        <w:t xml:space="preserve"> has declined following the guidance issued by Vidal</w:t>
      </w:r>
      <w:r w:rsidRPr="00E85C04">
        <w:t xml:space="preserve">, </w:t>
      </w:r>
      <w:r w:rsidRPr="00F17596">
        <w:rPr>
          <w:rStyle w:val="StyleUnderline"/>
          <w:highlight w:val="darkGray"/>
        </w:rPr>
        <w:t xml:space="preserve">and </w:t>
      </w:r>
      <w:r w:rsidRPr="00F17596">
        <w:rPr>
          <w:rStyle w:val="Emphasis"/>
          <w:highlight w:val="darkGray"/>
        </w:rPr>
        <w:t>petitioners can now utilize Sotera stipulations to avoid denial</w:t>
      </w:r>
      <w:r w:rsidRPr="00E85C04">
        <w:t xml:space="preserve">. See Sotera Wireless, Inc. v. Masimo Corp., IPR2020-01019, Paper 12 (PTAB Dec. 1, 2020). As a result, </w:t>
      </w:r>
      <w:r w:rsidRPr="00F17596">
        <w:rPr>
          <w:rStyle w:val="StyleUnderline"/>
          <w:highlight w:val="darkGray"/>
        </w:rPr>
        <w:t xml:space="preserve">the criticism that </w:t>
      </w:r>
      <w:proofErr w:type="spellStart"/>
      <w:r w:rsidRPr="00F17596">
        <w:rPr>
          <w:rStyle w:val="StyleUnderline"/>
          <w:highlight w:val="darkGray"/>
        </w:rPr>
        <w:t>Fintiv</w:t>
      </w:r>
      <w:proofErr w:type="spellEnd"/>
      <w:r w:rsidRPr="00F17596">
        <w:rPr>
          <w:rStyle w:val="StyleUnderline"/>
          <w:highlight w:val="darkGray"/>
        </w:rPr>
        <w:t xml:space="preserve"> discretionary denials frustrate the purpose of IPRs</w:t>
      </w:r>
      <w:r w:rsidRPr="00E85C04">
        <w:t xml:space="preserve"> to provide a more efficient venue for patent issues </w:t>
      </w:r>
      <w:r w:rsidRPr="00F17596">
        <w:rPr>
          <w:rStyle w:val="StyleUnderline"/>
          <w:highlight w:val="darkGray"/>
        </w:rPr>
        <w:t>no longer packs the same punch</w:t>
      </w:r>
      <w:r w:rsidRPr="00E85C04">
        <w:t xml:space="preserve">. </w:t>
      </w:r>
      <w:r>
        <w:rPr>
          <w:rFonts w:eastAsia="Calibri"/>
        </w:rPr>
        <w:br w:type="page"/>
      </w:r>
    </w:p>
    <w:p w14:paraId="697CADA2" w14:textId="77777777" w:rsidR="00F17596" w:rsidRPr="009C3F1E" w:rsidRDefault="00F17596" w:rsidP="00F17596">
      <w:pPr>
        <w:pStyle w:val="Heading4"/>
      </w:pPr>
      <w:r w:rsidRPr="009C3F1E">
        <w:lastRenderedPageBreak/>
        <w:t xml:space="preserve">The Patent Trial Advisory Board (PTAB) is currently working to handle patent litigations. </w:t>
      </w:r>
    </w:p>
    <w:p w14:paraId="6F1E0FDE" w14:textId="77777777" w:rsidR="00F17596" w:rsidRPr="009C3F1E" w:rsidRDefault="00F17596" w:rsidP="00F17596">
      <w:r w:rsidRPr="009C3F1E">
        <w:t xml:space="preserve">Ann </w:t>
      </w:r>
      <w:r w:rsidRPr="009C3F1E">
        <w:rPr>
          <w:rStyle w:val="Style13ptBold"/>
        </w:rPr>
        <w:t>Phelan</w:t>
      </w:r>
      <w:r w:rsidRPr="009C3F1E">
        <w:t>. "Patent challenges can help lower drug prices and create new generic options". R Street Institute, September 21, 20</w:t>
      </w:r>
      <w:r w:rsidRPr="009C3F1E">
        <w:rPr>
          <w:rStyle w:val="Style13ptBold"/>
        </w:rPr>
        <w:t>22</w:t>
      </w:r>
      <w:r w:rsidRPr="009C3F1E">
        <w:t xml:space="preserve"> Wednesday. advance.lexis.com/api/document?collection=news&amp;id=</w:t>
      </w:r>
      <w:proofErr w:type="gramStart"/>
      <w:r w:rsidRPr="009C3F1E">
        <w:t>urn:contentItem</w:t>
      </w:r>
      <w:proofErr w:type="gramEnd"/>
      <w:r w:rsidRPr="009C3F1E">
        <w:t>:66FF-JVJ1-DYY9-00R9-00000-00&amp;context=1519360. (Accessed July 8, 2024.) CR</w:t>
      </w:r>
    </w:p>
    <w:p w14:paraId="6F53A6B1" w14:textId="77777777" w:rsidR="00F17596" w:rsidRPr="009C3F1E" w:rsidRDefault="00F17596" w:rsidP="00F17596">
      <w:pPr>
        <w:rPr>
          <w:sz w:val="16"/>
        </w:rPr>
      </w:pPr>
      <w:r w:rsidRPr="009C3F1E">
        <w:rPr>
          <w:sz w:val="16"/>
        </w:rPr>
        <w:t xml:space="preserve">Patents have long been a part of the conversation over skyrocketing drug prices and America's increasingly unaffordable healthcare system. </w:t>
      </w:r>
      <w:r w:rsidRPr="009C3F1E">
        <w:rPr>
          <w:rStyle w:val="StyleUnderline"/>
        </w:rPr>
        <w:t>Experts often blame patent "thickets"-dozens or hundreds of patents for one drug-for high drug prices and anticompetitive behavior</w:t>
      </w:r>
      <w:r w:rsidRPr="009C3F1E">
        <w:rPr>
          <w:sz w:val="16"/>
        </w:rPr>
        <w:t xml:space="preserve">. But </w:t>
      </w:r>
      <w:r w:rsidRPr="009C3F1E">
        <w:rPr>
          <w:rStyle w:val="StyleUnderline"/>
        </w:rPr>
        <w:t>a key reform enacted more than a decade ago</w:t>
      </w:r>
      <w:r w:rsidRPr="009C3F1E">
        <w:rPr>
          <w:sz w:val="16"/>
        </w:rPr>
        <w:t xml:space="preserve">, </w:t>
      </w:r>
      <w:r w:rsidRPr="009C3F1E">
        <w:rPr>
          <w:rStyle w:val="StyleUnderline"/>
        </w:rPr>
        <w:t>the</w:t>
      </w:r>
      <w:r w:rsidRPr="009C3F1E">
        <w:rPr>
          <w:sz w:val="16"/>
        </w:rPr>
        <w:t xml:space="preserve"> </w:t>
      </w:r>
      <w:r w:rsidRPr="009C3F1E">
        <w:rPr>
          <w:rStyle w:val="StyleUnderline"/>
        </w:rPr>
        <w:t>A</w:t>
      </w:r>
      <w:r w:rsidRPr="009C3F1E">
        <w:rPr>
          <w:sz w:val="16"/>
        </w:rPr>
        <w:t xml:space="preserve">merica </w:t>
      </w:r>
      <w:r w:rsidRPr="009C3F1E">
        <w:rPr>
          <w:rStyle w:val="StyleUnderline"/>
        </w:rPr>
        <w:t>I</w:t>
      </w:r>
      <w:r w:rsidRPr="009C3F1E">
        <w:rPr>
          <w:sz w:val="16"/>
        </w:rPr>
        <w:t xml:space="preserve">nvents </w:t>
      </w:r>
      <w:r w:rsidRPr="009C3F1E">
        <w:rPr>
          <w:rStyle w:val="StyleUnderline"/>
        </w:rPr>
        <w:t>A</w:t>
      </w:r>
      <w:r w:rsidRPr="009C3F1E">
        <w:rPr>
          <w:sz w:val="16"/>
        </w:rPr>
        <w:t xml:space="preserve">ct, </w:t>
      </w:r>
      <w:r w:rsidRPr="009C3F1E">
        <w:rPr>
          <w:rStyle w:val="StyleUnderline"/>
        </w:rPr>
        <w:t>established the PTAB as a pathway to administratively challenge the correctness of issued patents before panels of expert administrative patent judges</w:t>
      </w:r>
      <w:r w:rsidRPr="009C3F1E">
        <w:rPr>
          <w:sz w:val="16"/>
        </w:rPr>
        <w:t xml:space="preserve"> who sit on the PTAB within the U.S. Patent and Trademark Office (USPTO). The intent was to create an "efficient litigation alternative for addressing ongoing questions of patent quality," Duan notes. R Street's report </w:t>
      </w:r>
      <w:r w:rsidRPr="00F17596">
        <w:rPr>
          <w:rStyle w:val="StyleUnderline"/>
          <w:highlight w:val="darkGray"/>
        </w:rPr>
        <w:t>findings suggest a potential relationship between administrative PTAB patent challenges and the speedy entry of generic, low-cost drugs to the market</w:t>
      </w:r>
      <w:r w:rsidRPr="009C3F1E">
        <w:rPr>
          <w:sz w:val="16"/>
        </w:rPr>
        <w:t xml:space="preserve">. Using publicly available patent, drug approval and pricing data from the U.S. Patent and Trademark Office, the Food and Drug Administration and the Centers for Medicare and Medicaid Services (CMS), the report demonstrates several key findings: </w:t>
      </w:r>
      <w:r w:rsidRPr="009C3F1E">
        <w:rPr>
          <w:rStyle w:val="Emphasis"/>
        </w:rPr>
        <w:t>"</w:t>
      </w:r>
      <w:r w:rsidRPr="00F17596">
        <w:rPr>
          <w:rStyle w:val="Emphasis"/>
          <w:highlight w:val="darkGray"/>
        </w:rPr>
        <w:t>When a</w:t>
      </w:r>
      <w:r w:rsidRPr="009C3F1E">
        <w:rPr>
          <w:rStyle w:val="Emphasis"/>
        </w:rPr>
        <w:t xml:space="preserve"> successful </w:t>
      </w:r>
      <w:r w:rsidRPr="00F17596">
        <w:rPr>
          <w:rStyle w:val="Emphasis"/>
          <w:highlight w:val="darkGray"/>
        </w:rPr>
        <w:t>drug patent challenge is brought before the PTAB</w:t>
      </w:r>
      <w:r w:rsidRPr="009C3F1E">
        <w:rPr>
          <w:rStyle w:val="Emphasis"/>
        </w:rPr>
        <w:t xml:space="preserve">, </w:t>
      </w:r>
      <w:r w:rsidRPr="00F17596">
        <w:rPr>
          <w:rStyle w:val="Emphasis"/>
          <w:highlight w:val="darkGray"/>
        </w:rPr>
        <w:t>an average of seven additional products are approved within five years</w:t>
      </w:r>
      <w:r w:rsidRPr="009C3F1E">
        <w:rPr>
          <w:rStyle w:val="Emphasis"/>
        </w:rPr>
        <w:t xml:space="preserve"> and the </w:t>
      </w:r>
      <w:r w:rsidRPr="00F17596">
        <w:rPr>
          <w:rStyle w:val="Emphasis"/>
          <w:highlight w:val="darkGray"/>
        </w:rPr>
        <w:t>price drops by around 20 percent</w:t>
      </w:r>
      <w:r w:rsidRPr="009C3F1E">
        <w:rPr>
          <w:sz w:val="16"/>
        </w:rPr>
        <w:t xml:space="preserve">. </w:t>
      </w:r>
      <w:r w:rsidRPr="009C3F1E">
        <w:rPr>
          <w:rStyle w:val="Emphasis"/>
        </w:rPr>
        <w:t>Within three years of a successful challenge, 16 percent of drug formulations drop by 75 percent or more</w:t>
      </w:r>
      <w:r w:rsidRPr="009C3F1E">
        <w:rPr>
          <w:sz w:val="16"/>
        </w:rPr>
        <w:t xml:space="preserve">. Additionally, large price increases-of 25 percent or more-are </w:t>
      </w:r>
      <w:proofErr w:type="gramStart"/>
      <w:r w:rsidRPr="009C3F1E">
        <w:rPr>
          <w:sz w:val="16"/>
        </w:rPr>
        <w:t>fairly rare</w:t>
      </w:r>
      <w:proofErr w:type="gramEnd"/>
      <w:r w:rsidRPr="009C3F1E">
        <w:rPr>
          <w:sz w:val="16"/>
        </w:rPr>
        <w:t xml:space="preserve">," Duan explains. Importantly, this study also finds that PTAB drug patent challenges are not the only cause of these outcomes. These proceedings likely act as part of broader litigation strategies intended to enable generic entry. </w:t>
      </w:r>
      <w:r w:rsidRPr="009C3F1E">
        <w:rPr>
          <w:rStyle w:val="StyleUnderline"/>
        </w:rPr>
        <w:t>This suggests that PTAB drug patent challenges play an important role in the healthcare ecosystem. Duan concludes that, moving forward, any legislation that might limit the usability or availability of PTAB challenges must account for this vital role</w:t>
      </w:r>
      <w:r w:rsidRPr="009C3F1E">
        <w:rPr>
          <w:sz w:val="16"/>
        </w:rPr>
        <w:t>.</w:t>
      </w:r>
    </w:p>
    <w:p w14:paraId="772EB5A1" w14:textId="77777777" w:rsidR="00F17596" w:rsidRPr="00FC757C" w:rsidRDefault="00F17596" w:rsidP="00F17596"/>
    <w:p w14:paraId="55FADFE4" w14:textId="77777777" w:rsidR="00F17596" w:rsidRDefault="00F17596" w:rsidP="00F17596">
      <w:pPr>
        <w:rPr>
          <w:rFonts w:eastAsia="Calibri" w:cstheme="majorBidi"/>
          <w:b/>
          <w:sz w:val="32"/>
          <w:szCs w:val="24"/>
          <w:u w:val="single"/>
        </w:rPr>
      </w:pPr>
      <w:r>
        <w:rPr>
          <w:rFonts w:eastAsia="Calibri"/>
        </w:rPr>
        <w:br w:type="page"/>
      </w:r>
    </w:p>
    <w:p w14:paraId="146C1828" w14:textId="77777777" w:rsidR="00F17596" w:rsidRPr="004B2D96" w:rsidRDefault="00F17596" w:rsidP="00F17596">
      <w:pPr>
        <w:pStyle w:val="Heading3"/>
        <w:rPr>
          <w:rFonts w:eastAsia="Calibri"/>
        </w:rPr>
      </w:pPr>
      <w:r>
        <w:rPr>
          <w:rFonts w:eastAsia="Calibri"/>
        </w:rPr>
        <w:lastRenderedPageBreak/>
        <w:t>USPTO Good – Chevron Deference</w:t>
      </w:r>
    </w:p>
    <w:p w14:paraId="11E76058" w14:textId="77777777" w:rsidR="00F17596" w:rsidRDefault="00F17596" w:rsidP="00F17596">
      <w:pPr>
        <w:pStyle w:val="Heading4"/>
      </w:pPr>
      <w:r>
        <w:t xml:space="preserve">Chevron </w:t>
      </w:r>
      <w:proofErr w:type="gramStart"/>
      <w:r>
        <w:t>won’t</w:t>
      </w:r>
      <w:proofErr w:type="gramEnd"/>
      <w:r>
        <w:t xml:space="preserve"> affect the USPTO – no impact</w:t>
      </w:r>
    </w:p>
    <w:p w14:paraId="7467D114" w14:textId="77777777" w:rsidR="00F17596" w:rsidRDefault="00F17596" w:rsidP="00F17596">
      <w:r>
        <w:t xml:space="preserve">Dion </w:t>
      </w:r>
      <w:r w:rsidRPr="00787F0C">
        <w:rPr>
          <w:rStyle w:val="Style13ptBold"/>
        </w:rPr>
        <w:t>Bregman et al</w:t>
      </w:r>
      <w:r>
        <w:t xml:space="preserve"> “</w:t>
      </w:r>
      <w:r w:rsidRPr="00787F0C">
        <w:t>CHEVRON OVERRULED: IMPACT ON IP LAW IN THE WAKE OF US SUPREME COURT’S DECISION</w:t>
      </w:r>
      <w:r>
        <w:t xml:space="preserve">” July 04, </w:t>
      </w:r>
      <w:r w:rsidRPr="00787F0C">
        <w:rPr>
          <w:rStyle w:val="Style13ptBold"/>
        </w:rPr>
        <w:t>2024</w:t>
      </w:r>
      <w:r>
        <w:rPr>
          <w:rStyle w:val="Style13ptBold"/>
        </w:rPr>
        <w:t xml:space="preserve"> </w:t>
      </w:r>
      <w:r w:rsidRPr="00787F0C">
        <w:t>https://www.morganlewis.com/pubs/2024/07/chevron-overruled-impact-on-ip-law-in-the-wake-of-us-supreme-courts-decision#:~:text=The%20Chevron%20doctrine%20required%20courts,court%20read%20the%20statute%20differently</w:t>
      </w:r>
    </w:p>
    <w:p w14:paraId="4DCCE68C" w14:textId="77777777" w:rsidR="00F17596" w:rsidRDefault="00F17596" w:rsidP="00F17596">
      <w:r>
        <w:t xml:space="preserve">IMPLICATIONS FOR IP LAW IN THE UNITED STATES </w:t>
      </w:r>
      <w:r w:rsidRPr="00F17596">
        <w:rPr>
          <w:rStyle w:val="StyleUnderline"/>
          <w:highlight w:val="darkGray"/>
        </w:rPr>
        <w:t>The reversal of Chevron</w:t>
      </w:r>
      <w:r>
        <w:t xml:space="preserve"> deference </w:t>
      </w:r>
      <w:r w:rsidRPr="00F17596">
        <w:rPr>
          <w:rStyle w:val="StyleUnderline"/>
          <w:highlight w:val="darkGray"/>
        </w:rPr>
        <w:t>will impact</w:t>
      </w:r>
      <w:r>
        <w:t xml:space="preserve"> US IP law, and it is likely to have the most impact at </w:t>
      </w:r>
      <w:r w:rsidRPr="00F17596">
        <w:rPr>
          <w:rStyle w:val="StyleUnderline"/>
          <w:highlight w:val="darkGray"/>
        </w:rPr>
        <w:t>the ITC</w:t>
      </w:r>
      <w:r>
        <w:t xml:space="preserve">. While the reversal will also affect how courts review interpretations of statutes made by IP administrative bodies like the US Patent and Trademark Office (USPTO) and the US Copyright Office, we expect a lesser impact for those agencies. THE ITC The ITC hears IP cases pursuant to 19 USC § 1337, which authorizes the ITC to investigate alleged wrongdoing that involves importing an article into the United States that violates patent, trademark, copyright, trade secret, and other unfair competition laws. Drawing on this authority, the ITC has become a popular forum for IP cases given the speed of the </w:t>
      </w:r>
      <w:proofErr w:type="gramStart"/>
      <w:r>
        <w:t>cases[</w:t>
      </w:r>
      <w:proofErr w:type="gramEnd"/>
      <w:r>
        <w:t xml:space="preserve">1] and the remedies that are difficult to receive in district court: injunctive relief and cease-and-desist orders. The ITC’s authority has not gone unchallenged. For example, in Suprema v. ITC,[2] the US Court of Appeals for the Federal Circuit considered whether the ITC could ban the importation of articles that do not infringe as imported but would later infringe post-importation. The Federal Circuit concluded that the statutory language was ambiguous, and relying on Chevron, determined that the ITC’s broader interpretation of Section 337 to allow for jurisdiction of post-importation infringement was reasonable.[3] On June 24, in anticipation of the Supreme Court’s Loper Bright and Relentless decision, Google petitioned the Federal Circuit for an </w:t>
      </w:r>
      <w:proofErr w:type="spellStart"/>
      <w:r>
        <w:t>en</w:t>
      </w:r>
      <w:proofErr w:type="spellEnd"/>
      <w:r>
        <w:t xml:space="preserve"> banc rehearing,[4] asking the Federal Circuit to reconsider “[w]</w:t>
      </w:r>
      <w:proofErr w:type="spellStart"/>
      <w:r>
        <w:t>hether</w:t>
      </w:r>
      <w:proofErr w:type="spellEnd"/>
      <w:r>
        <w:t xml:space="preserve"> the International Trade Commission’s authority under 19 USC § 1337(a)(1)(B)(</w:t>
      </w:r>
      <w:proofErr w:type="spellStart"/>
      <w:r>
        <w:t>i</w:t>
      </w:r>
      <w:proofErr w:type="spellEnd"/>
      <w:r>
        <w:t xml:space="preserve">) is limited to articles that infringe a patent as imported, or instead extends to cases where infringement can occur only when additional features are added or additional steps are performed after importation.”[5] The Federal Circuit will have to consider this question and any future challenges to the ITC’s interpretation of its authority. This could lead to further limitations on what cases can be brought before and succeed at the ITC. </w:t>
      </w:r>
      <w:r w:rsidRPr="00F17596">
        <w:rPr>
          <w:rStyle w:val="StyleUnderline"/>
          <w:highlight w:val="darkGray"/>
        </w:rPr>
        <w:t>THE USPTO</w:t>
      </w:r>
      <w:r>
        <w:t xml:space="preserve"> Unlike with the ITC, </w:t>
      </w:r>
      <w:r w:rsidRPr="00F17596">
        <w:rPr>
          <w:rStyle w:val="Emphasis"/>
          <w:highlight w:val="darkGray"/>
        </w:rPr>
        <w:t>neither patent law in general nor practice before the USPTO is likely to be affected</w:t>
      </w:r>
      <w:r w:rsidRPr="00F17596">
        <w:rPr>
          <w:rStyle w:val="StyleUnderline"/>
          <w:highlight w:val="darkGray"/>
        </w:rPr>
        <w:t xml:space="preserve"> significantly </w:t>
      </w:r>
      <w:r w:rsidRPr="00F17596">
        <w:rPr>
          <w:rStyle w:val="Emphasis"/>
          <w:highlight w:val="darkGray"/>
        </w:rPr>
        <w:t>by Chevron</w:t>
      </w:r>
      <w:r w:rsidRPr="00F17596">
        <w:rPr>
          <w:rStyle w:val="StyleUnderline"/>
          <w:highlight w:val="darkGray"/>
        </w:rPr>
        <w:t xml:space="preserve"> being overruled</w:t>
      </w:r>
      <w:r>
        <w:t xml:space="preserve">. As the Federal Circuit has held, </w:t>
      </w:r>
      <w:r w:rsidRPr="00F17596">
        <w:rPr>
          <w:rStyle w:val="StyleUnderline"/>
          <w:highlight w:val="darkGray"/>
        </w:rPr>
        <w:t>the USPTO was never granted substantive rulemaking authority</w:t>
      </w:r>
      <w:r>
        <w:t xml:space="preserve"> by Congress and, </w:t>
      </w:r>
      <w:r w:rsidRPr="00F17596">
        <w:rPr>
          <w:rStyle w:val="StyleUnderline"/>
          <w:highlight w:val="darkGray"/>
        </w:rPr>
        <w:t xml:space="preserve">as a consequence, the agency’s interpretations of the substantive patent law have never received </w:t>
      </w:r>
      <w:proofErr w:type="gramStart"/>
      <w:r w:rsidRPr="00F17596">
        <w:rPr>
          <w:rStyle w:val="StyleUnderline"/>
          <w:highlight w:val="darkGray"/>
        </w:rPr>
        <w:t>deferenc</w:t>
      </w:r>
      <w:r>
        <w:t>e[</w:t>
      </w:r>
      <w:proofErr w:type="gramEnd"/>
      <w:r>
        <w:t xml:space="preserve">6] </w:t>
      </w:r>
      <w:r w:rsidRPr="00F17596">
        <w:rPr>
          <w:rStyle w:val="StyleUnderline"/>
          <w:highlight w:val="darkGray"/>
        </w:rPr>
        <w:t>and are reviewed de novo on appeal</w:t>
      </w:r>
      <w:r>
        <w:t xml:space="preserve">.[7] In contrast, overruling Chevron may impact how the Federal Circuit treats the USPTO’s interpretations of procedural statutes. Previously, the USPTO has enjoyed deference to its interpretations where the Federal Circuit has found ambiguity in the procedural statute,[8] although the Federal Circuit frequently holds there is no statutory ambiguity.[9] </w:t>
      </w:r>
      <w:r w:rsidRPr="00F17596">
        <w:rPr>
          <w:rStyle w:val="StyleUnderline"/>
          <w:highlight w:val="darkGray"/>
        </w:rPr>
        <w:t>The overruling of Chevron</w:t>
      </w:r>
      <w:r>
        <w:t xml:space="preserve"> </w:t>
      </w:r>
      <w:r w:rsidRPr="00F17596">
        <w:rPr>
          <w:rStyle w:val="StyleUnderline"/>
          <w:highlight w:val="darkGray"/>
        </w:rPr>
        <w:t>deference is not expected to impact the USPTO’s creation of procedural rules</w:t>
      </w:r>
      <w:r>
        <w:t xml:space="preserve"> that Congress has authorized the USPTO to promulgate in areas where statutes are silent. </w:t>
      </w:r>
      <w:r w:rsidRPr="00F17596">
        <w:rPr>
          <w:rStyle w:val="StyleUnderline"/>
          <w:highlight w:val="darkGray"/>
        </w:rPr>
        <w:t>We may</w:t>
      </w:r>
      <w:r>
        <w:t xml:space="preserve">, however, </w:t>
      </w:r>
      <w:r w:rsidRPr="00F17596">
        <w:rPr>
          <w:rStyle w:val="StyleUnderline"/>
          <w:highlight w:val="darkGray"/>
        </w:rPr>
        <w:t xml:space="preserve">see an increase in challenges at the Federal Circuit on how the USPTO implements its procedural requirements, but </w:t>
      </w:r>
      <w:r w:rsidRPr="00F17596">
        <w:rPr>
          <w:rStyle w:val="Emphasis"/>
          <w:highlight w:val="darkGray"/>
        </w:rPr>
        <w:t>we anticipate those challenges to be specific and narrow</w:t>
      </w:r>
      <w:r w:rsidRPr="00F17596">
        <w:rPr>
          <w:rStyle w:val="StyleUnderline"/>
          <w:highlight w:val="darkGray"/>
        </w:rPr>
        <w:t>.</w:t>
      </w:r>
      <w:r>
        <w:t xml:space="preserve"> </w:t>
      </w:r>
    </w:p>
    <w:p w14:paraId="48B5737B" w14:textId="77777777" w:rsidR="00F17596" w:rsidRDefault="00F17596" w:rsidP="00F17596"/>
    <w:p w14:paraId="741C21BA" w14:textId="77777777" w:rsidR="00F17596" w:rsidRDefault="00F17596" w:rsidP="00F17596">
      <w:pPr>
        <w:pStyle w:val="Heading4"/>
      </w:pPr>
      <w:r>
        <w:lastRenderedPageBreak/>
        <w:t xml:space="preserve">The burden is on the negative to prove how the Chevron ruling would impact this specific affirmative – changes </w:t>
      </w:r>
      <w:proofErr w:type="gramStart"/>
      <w:r>
        <w:t>have to</w:t>
      </w:r>
      <w:proofErr w:type="gramEnd"/>
      <w:r>
        <w:t xml:space="preserve"> be based in special justification</w:t>
      </w:r>
    </w:p>
    <w:p w14:paraId="7646D9EC" w14:textId="77777777" w:rsidR="00F17596" w:rsidRPr="00C12B7C" w:rsidRDefault="00F17596" w:rsidP="00F17596">
      <w:proofErr w:type="spellStart"/>
      <w:r w:rsidRPr="005B5D2E">
        <w:rPr>
          <w:rStyle w:val="Style13ptBold"/>
        </w:rPr>
        <w:t>Chaikovsky</w:t>
      </w:r>
      <w:proofErr w:type="spellEnd"/>
      <w:r w:rsidRPr="005B5D2E">
        <w:rPr>
          <w:rStyle w:val="Style13ptBold"/>
        </w:rPr>
        <w:t xml:space="preserve"> et al.</w:t>
      </w:r>
      <w:r>
        <w:t xml:space="preserve"> (Yar R. </w:t>
      </w:r>
      <w:proofErr w:type="spellStart"/>
      <w:r>
        <w:t>Chaikovsky</w:t>
      </w:r>
      <w:proofErr w:type="spellEnd"/>
      <w:r>
        <w:t xml:space="preserve">, Mark Davies, Ethan </w:t>
      </w:r>
      <w:proofErr w:type="spellStart"/>
      <w:r>
        <w:t>Plail</w:t>
      </w:r>
      <w:proofErr w:type="spellEnd"/>
      <w:r>
        <w:t>, Edred Richardson) “</w:t>
      </w:r>
      <w:r w:rsidRPr="005B5D2E">
        <w:t>Chevron is Done — What Does Loper mean for the PTAB and ITC?</w:t>
      </w:r>
      <w:r>
        <w:t xml:space="preserve">” July 01, </w:t>
      </w:r>
      <w:r w:rsidRPr="005B5D2E">
        <w:rPr>
          <w:rStyle w:val="Style13ptBold"/>
        </w:rPr>
        <w:t>2024</w:t>
      </w:r>
      <w:r>
        <w:t xml:space="preserve"> </w:t>
      </w:r>
      <w:r w:rsidRPr="005B5D2E">
        <w:t>https://www.whitecase.com/insight-alert/chevron-done-what-does-loper-mean-ptab-and-itc</w:t>
      </w:r>
    </w:p>
    <w:p w14:paraId="17232E98" w14:textId="77777777" w:rsidR="00F17596" w:rsidRDefault="00F17596" w:rsidP="00F17596">
      <w:pPr>
        <w:rPr>
          <w:rStyle w:val="Emphasis"/>
        </w:rPr>
      </w:pPr>
      <w:r>
        <w:t xml:space="preserve">The Supreme Court overturned 40-years of Chevron deference. Courts will now exercise independent judgment over agency statutory interpretation. </w:t>
      </w:r>
      <w:r w:rsidRPr="00F17596">
        <w:rPr>
          <w:rStyle w:val="StyleUnderline"/>
          <w:highlight w:val="darkGray"/>
        </w:rPr>
        <w:t>Courts can still defer to an agency's statutory interpretation</w:t>
      </w:r>
      <w:r>
        <w:t xml:space="preserve"> under Skidmore deference </w:t>
      </w:r>
      <w:r w:rsidRPr="00F17596">
        <w:rPr>
          <w:rStyle w:val="StyleUnderline"/>
          <w:highlight w:val="darkGray"/>
        </w:rPr>
        <w:t>based on "the thoroughness evident in [the agency's] consideration."</w:t>
      </w:r>
      <w:r w:rsidRPr="00985AD4">
        <w:rPr>
          <w:rStyle w:val="StyleUnderline"/>
        </w:rPr>
        <w:t xml:space="preserve"> </w:t>
      </w:r>
      <w:r w:rsidRPr="00F17596">
        <w:rPr>
          <w:rStyle w:val="Emphasis"/>
          <w:highlight w:val="darkGray"/>
        </w:rPr>
        <w:t>The decision expressly carves out "prior cases that relied on the Chevron framework. The holdings of those cases that specific agency actions are lawful… are still subject to statutory stare decisis</w:t>
      </w:r>
      <w:r>
        <w:t xml:space="preserve">." </w:t>
      </w:r>
      <w:r w:rsidRPr="00F17596">
        <w:rPr>
          <w:rStyle w:val="StyleUnderline"/>
          <w:highlight w:val="darkGray"/>
        </w:rPr>
        <w:t>A challenger must provide a "special justification" to overrule Chevron-era cases</w:t>
      </w:r>
      <w:r>
        <w:t>.</w:t>
      </w:r>
    </w:p>
    <w:p w14:paraId="3BBF3A70" w14:textId="77777777" w:rsidR="00F17596" w:rsidRDefault="00F17596" w:rsidP="00F17596">
      <w:pPr>
        <w:pStyle w:val="Heading4"/>
      </w:pPr>
      <w:r>
        <w:t>Chevron never applied to issues of economic and political significance. The aff will get resolved the same way as it would before. Also, most statutes would never be considered vague in the first place making the Chevron doctrine irrelevant</w:t>
      </w:r>
    </w:p>
    <w:p w14:paraId="32319D86" w14:textId="77777777" w:rsidR="00F17596" w:rsidRDefault="00F17596" w:rsidP="00F17596">
      <w:proofErr w:type="spellStart"/>
      <w:r w:rsidRPr="005B5D2E">
        <w:rPr>
          <w:rStyle w:val="Style13ptBold"/>
        </w:rPr>
        <w:t>Chaikovsky</w:t>
      </w:r>
      <w:proofErr w:type="spellEnd"/>
      <w:r w:rsidRPr="005B5D2E">
        <w:rPr>
          <w:rStyle w:val="Style13ptBold"/>
        </w:rPr>
        <w:t xml:space="preserve"> et al.</w:t>
      </w:r>
      <w:r>
        <w:t xml:space="preserve"> (Yar R. </w:t>
      </w:r>
      <w:proofErr w:type="spellStart"/>
      <w:r>
        <w:t>Chaikovsky</w:t>
      </w:r>
      <w:proofErr w:type="spellEnd"/>
      <w:r>
        <w:t xml:space="preserve">, Mark Davies, Ethan </w:t>
      </w:r>
      <w:proofErr w:type="spellStart"/>
      <w:r>
        <w:t>Plail</w:t>
      </w:r>
      <w:proofErr w:type="spellEnd"/>
      <w:r>
        <w:t>, Edred Richardson) “</w:t>
      </w:r>
      <w:r w:rsidRPr="005B5D2E">
        <w:t>Chevron is Done — What Does Loper mean for the PTAB and ITC?</w:t>
      </w:r>
      <w:r>
        <w:t xml:space="preserve">” July 01, </w:t>
      </w:r>
      <w:r w:rsidRPr="005B5D2E">
        <w:rPr>
          <w:rStyle w:val="Style13ptBold"/>
        </w:rPr>
        <w:t>2024</w:t>
      </w:r>
      <w:r>
        <w:t xml:space="preserve"> </w:t>
      </w:r>
      <w:r w:rsidRPr="005B5D2E">
        <w:t>https://www.whitecase.com/insight-alert/chevron-done-what-does-loper-mean-ptab-and-itc</w:t>
      </w:r>
    </w:p>
    <w:p w14:paraId="3474F86B" w14:textId="77777777" w:rsidR="00F17596" w:rsidRPr="00985AD4" w:rsidRDefault="00F17596" w:rsidP="00F17596">
      <w:pPr>
        <w:rPr>
          <w:rStyle w:val="StyleUnderline"/>
        </w:rPr>
      </w:pPr>
      <w:r w:rsidRPr="00985AD4">
        <w:t>Under Loper, judges "must exercise independent judgment in determining the meaning of statutory provisions." Loper, 603 US __ at *16. Loper states that "courts [should] use every tool at their disposal to determine the best reading of the statute and resolve the [statutory] ambiguity."</w:t>
      </w:r>
      <w:r>
        <w:t xml:space="preserve"> Id. at *23. However, </w:t>
      </w:r>
      <w:r w:rsidRPr="00F17596">
        <w:rPr>
          <w:rStyle w:val="StyleUnderline"/>
          <w:highlight w:val="darkGray"/>
        </w:rPr>
        <w:t xml:space="preserve">in many ways </w:t>
      </w:r>
      <w:r w:rsidRPr="00F17596">
        <w:rPr>
          <w:rStyle w:val="Emphasis"/>
          <w:highlight w:val="darkGray"/>
        </w:rPr>
        <w:t>the framework courts use to analyze statutes will not change</w:t>
      </w:r>
      <w:r>
        <w:t xml:space="preserve">. As explained above, under Chevron, </w:t>
      </w:r>
      <w:r w:rsidRPr="00F17596">
        <w:rPr>
          <w:rStyle w:val="StyleUnderline"/>
          <w:highlight w:val="darkGray"/>
        </w:rPr>
        <w:t>"</w:t>
      </w:r>
      <w:r w:rsidRPr="00985AD4">
        <w:t>step zero" requires the court to decide whether a statute is ambiguous.</w:t>
      </w:r>
      <w:r w:rsidRPr="00F17596">
        <w:rPr>
          <w:rStyle w:val="StyleUnderline"/>
          <w:highlight w:val="darkGray"/>
        </w:rPr>
        <w:t xml:space="preserve"> If the statute is not ambiguous, then the court should apply the plain meaning of the statute</w:t>
      </w:r>
      <w:r>
        <w:t xml:space="preserve">. Arguably when a statute is "clear and unambiguous" </w:t>
      </w:r>
      <w:r w:rsidRPr="00F17596">
        <w:rPr>
          <w:rStyle w:val="StyleUnderline"/>
          <w:highlight w:val="darkGray"/>
        </w:rPr>
        <w:t>a court</w:t>
      </w:r>
      <w:r>
        <w:t xml:space="preserve"> using "every tool at their disposal to determine the best reading of the statute" </w:t>
      </w:r>
      <w:r w:rsidRPr="00F17596">
        <w:rPr>
          <w:rStyle w:val="StyleUnderline"/>
          <w:highlight w:val="darkGray"/>
        </w:rPr>
        <w:t>should reach the same result under Loper as it did under Chevron, because</w:t>
      </w:r>
      <w:r>
        <w:t xml:space="preserve"> even under Chevron, </w:t>
      </w:r>
      <w:r w:rsidRPr="00F17596">
        <w:rPr>
          <w:rStyle w:val="StyleUnderline"/>
          <w:highlight w:val="darkGray"/>
        </w:rPr>
        <w:t>agency interpretations of an unambiguous statute get no deference</w:t>
      </w:r>
      <w:r>
        <w:t>. As one example, in Facebook, Inc. v. Windy City Innovations, LLC, the Federal Circuit considered the PTAB's interpretation of 35 USC. § 315(c). 973 F.3d 1321, 1338 (Fed. Cir. 2020). In Facebook, Petitioner Facebook filed a petition for IPR for each of four asserted patents. Id. at 1328. After Facebook's IPRs were on file, Patent Owner Windy City asserted additional claims in a parallel district court case. Id. Some of these new claims "were claims that Facebook had not challenged in its petitions for IPR." Id. Subsequently Facebook prepared two additional petitions for IPR challenging these additional asserted claims. Id. However, "[b]</w:t>
      </w:r>
      <w:proofErr w:type="spellStart"/>
      <w:r>
        <w:t>ecause</w:t>
      </w:r>
      <w:proofErr w:type="spellEnd"/>
      <w:r>
        <w:t xml:space="preserve"> the petitions would otherwise have been time-barred under 35 USC. § 315(b)," Facebook filed the new petitions along with motions asking the Board to join each new proceeding to the already-instituted IPR on the same patent under § 315(c). Id. The question therefore arose whether 315(c) allowed "same-party joinder"—i.e., whether Facebook could join an earlier Petition filed by Facebook under 315(c). Id. The Board instituted Facebook's new petitions and granted Facebook's motions for joinder. Id. In particular, the Board found that Facebook "ha[d] established good cause for joining this proceeding with the [existing] IPR." Id. In a concurring opinion, two Administrative Patent Judges ("APJs") stated that "§ 315(c), when properly interpreted, does not authorize same-party joinder" but that "the Director repeatedly has taken the position ... that such same-party joinder is permitted by § 315(c)" and the </w:t>
      </w:r>
      <w:r>
        <w:lastRenderedPageBreak/>
        <w:t>concurring APJs agreed to follow that position in this case, "[d]</w:t>
      </w:r>
      <w:proofErr w:type="spellStart"/>
      <w:r>
        <w:t>espite</w:t>
      </w:r>
      <w:proofErr w:type="spellEnd"/>
      <w:r>
        <w:t xml:space="preserve"> [their] disagreement with the Director's interpretation." Id. The Board's Precedential Opinion Panel also analyzed this issue in Proppant Express Investments, LLC v. Oren Technologies, LLC, No. IPR2018-00914, Paper 38, 2019 WL 1283948 (P.T.A.B. Mar. 13, 2019), and concluded that "315(c) permits a petitioner to be joined to a proceeding in which it is already a party." Id. at 1335. In Facebook, the USPTO director also argued that Chevron deference should apply to at least POP decisions. However, on appeal the Federal Circuit explained that "§ 315(c) does not authorize same-party joinder, and also does not authorize joinder of new issues." Id. at 1338. To reach this conclusion the Federal Circuit relied on "traditional tools of statutory interpretation." Id. In particular, the Court explained that "the clear and unambiguous language of § 315(c) does not authorize same-party joinder" and, therefore, "we need not defer to the PTO's interpretation of § 315(c)." Id. </w:t>
      </w:r>
      <w:r w:rsidRPr="00F17596">
        <w:rPr>
          <w:rStyle w:val="StyleUnderline"/>
          <w:highlight w:val="darkGray"/>
        </w:rPr>
        <w:t>The Facebook decision</w:t>
      </w:r>
      <w:r>
        <w:t>, therefore</w:t>
      </w:r>
      <w:r w:rsidRPr="00F17596">
        <w:rPr>
          <w:rStyle w:val="StyleUnderline"/>
          <w:highlight w:val="darkGray"/>
        </w:rPr>
        <w:t xml:space="preserve">, represents one way a Court's analysis of statutes will not change </w:t>
      </w:r>
      <w:proofErr w:type="gramStart"/>
      <w:r w:rsidRPr="00F17596">
        <w:rPr>
          <w:rStyle w:val="StyleUnderline"/>
          <w:highlight w:val="darkGray"/>
        </w:rPr>
        <w:t>in light of</w:t>
      </w:r>
      <w:proofErr w:type="gramEnd"/>
      <w:r w:rsidRPr="00F17596">
        <w:rPr>
          <w:rStyle w:val="StyleUnderline"/>
          <w:highlight w:val="darkGray"/>
        </w:rPr>
        <w:t xml:space="preserve"> the Loper decision</w:t>
      </w:r>
      <w:r>
        <w:t xml:space="preserve">. Where a statute was found to be "clear and unambiguous" Chevron did not afford any deference to the agency interpretation. This will arguably stay the same under Loper. </w:t>
      </w:r>
      <w:r w:rsidRPr="00F17596">
        <w:rPr>
          <w:rStyle w:val="StyleUnderline"/>
          <w:highlight w:val="darkGray"/>
        </w:rPr>
        <w:t>Likewise, as noted</w:t>
      </w:r>
      <w:r>
        <w:t xml:space="preserve"> in the Loper decision, "</w:t>
      </w:r>
      <w:r w:rsidRPr="00F17596">
        <w:rPr>
          <w:rStyle w:val="StyleUnderline"/>
          <w:highlight w:val="darkGray"/>
        </w:rPr>
        <w:t>Chevron does not apply if the question at issue is one of 'deep economic and political significance.'"</w:t>
      </w:r>
      <w:r>
        <w:t xml:space="preserve"> Loper, 603 US __ at *27. Therefore, </w:t>
      </w:r>
      <w:r w:rsidRPr="00F17596">
        <w:rPr>
          <w:rStyle w:val="StyleUnderline"/>
          <w:highlight w:val="darkGray"/>
        </w:rPr>
        <w:t>the Loper decision should have less of an impact on these questions of "deep economic and political significance."</w:t>
      </w:r>
    </w:p>
    <w:p w14:paraId="066AF971" w14:textId="77777777" w:rsidR="00F17596" w:rsidRDefault="00F17596" w:rsidP="00F17596">
      <w:pPr>
        <w:pStyle w:val="Heading4"/>
      </w:pPr>
      <w:r w:rsidRPr="009B27F1">
        <w:t xml:space="preserve">Chevron </w:t>
      </w:r>
      <w:proofErr w:type="gramStart"/>
      <w:r w:rsidRPr="009B27F1">
        <w:t>won’t</w:t>
      </w:r>
      <w:proofErr w:type="gramEnd"/>
      <w:r w:rsidRPr="009B27F1">
        <w:t xml:space="preserve"> affect </w:t>
      </w:r>
      <w:r>
        <w:t>copyright</w:t>
      </w:r>
      <w:r w:rsidRPr="009B27F1">
        <w:t xml:space="preserve"> – no impact</w:t>
      </w:r>
    </w:p>
    <w:p w14:paraId="50F00BFD" w14:textId="77777777" w:rsidR="00F17596" w:rsidRDefault="00F17596" w:rsidP="00F17596">
      <w:r>
        <w:t xml:space="preserve">Dion </w:t>
      </w:r>
      <w:r w:rsidRPr="00787F0C">
        <w:rPr>
          <w:rStyle w:val="Style13ptBold"/>
        </w:rPr>
        <w:t>Bregman et al</w:t>
      </w:r>
      <w:r>
        <w:t xml:space="preserve"> “</w:t>
      </w:r>
      <w:r w:rsidRPr="00787F0C">
        <w:t>CHEVRON OVERRULED: IMPACT ON IP LAW IN THE WAKE OF US SUPREME COURT’S DECISION</w:t>
      </w:r>
      <w:r>
        <w:t xml:space="preserve">” July 04, </w:t>
      </w:r>
      <w:r w:rsidRPr="00787F0C">
        <w:rPr>
          <w:rStyle w:val="Style13ptBold"/>
        </w:rPr>
        <w:t>2024</w:t>
      </w:r>
      <w:r>
        <w:rPr>
          <w:rStyle w:val="Style13ptBold"/>
        </w:rPr>
        <w:t xml:space="preserve"> </w:t>
      </w:r>
      <w:r w:rsidRPr="00787F0C">
        <w:t>https://www.morganlewis.com/pubs/2024/07/chevron-overruled-impact-on-ip-law-in-the-wake-of-us-supreme-courts-decision#:~:text=The%20Chevron%20doctrine%20required%20courts,court%20read%20the%20statute%20differently</w:t>
      </w:r>
    </w:p>
    <w:p w14:paraId="2408BBA2" w14:textId="77777777" w:rsidR="00F17596" w:rsidRDefault="00F17596" w:rsidP="00F17596">
      <w:r>
        <w:t xml:space="preserve">THE US COPYRIGHT OFFICE </w:t>
      </w:r>
      <w:r w:rsidRPr="00F17596">
        <w:rPr>
          <w:rStyle w:val="StyleUnderline"/>
          <w:highlight w:val="darkGray"/>
        </w:rPr>
        <w:t>We</w:t>
      </w:r>
      <w:r w:rsidRPr="009B27F1">
        <w:rPr>
          <w:rStyle w:val="StyleUnderline"/>
        </w:rPr>
        <w:t xml:space="preserve"> </w:t>
      </w:r>
      <w:r>
        <w:t xml:space="preserve">also </w:t>
      </w:r>
      <w:r w:rsidRPr="00F17596">
        <w:rPr>
          <w:rStyle w:val="StyleUnderline"/>
          <w:highlight w:val="darkGray"/>
        </w:rPr>
        <w:t xml:space="preserve">do not anticipate that </w:t>
      </w:r>
      <w:r w:rsidRPr="009B27F1">
        <w:t>the</w:t>
      </w:r>
      <w:r w:rsidRPr="00F17596">
        <w:rPr>
          <w:rStyle w:val="StyleUnderline"/>
          <w:highlight w:val="darkGray"/>
        </w:rPr>
        <w:t xml:space="preserve"> overruling</w:t>
      </w:r>
      <w:r>
        <w:t xml:space="preserve"> of </w:t>
      </w:r>
      <w:r w:rsidRPr="00F17596">
        <w:rPr>
          <w:rStyle w:val="StyleUnderline"/>
          <w:highlight w:val="darkGray"/>
        </w:rPr>
        <w:t>Chevron will have a significant impact on copyright law and the Copyright Office because judicial review of Copyright regulations has not regularly applied Chevron deference</w:t>
      </w:r>
      <w:r>
        <w:t xml:space="preserve">. Congress has expressly delegated authority to the </w:t>
      </w:r>
      <w:r w:rsidRPr="00F17596">
        <w:rPr>
          <w:rStyle w:val="StyleUnderline"/>
          <w:highlight w:val="darkGray"/>
        </w:rPr>
        <w:t>Copyright Office</w:t>
      </w:r>
      <w:r>
        <w:t xml:space="preserve"> to develop regulations regarding many facets of copyright law. This includes the music compulsory licensing rates set by the US Copyright Royalty Board, the formation and implementation of the Copyright Office’s Copyright Claims Board, and the registration of different types of copyrighted works. Every three years, the Copyright Office issues exemptions for Section 1201 of the Digital Millennium Copyright Act (DMCA), specifically to the prohibition on circumvention of technological measures that control access to copyrighted works. These exemptions cover issues including right to repair, unlocking cellphones, “jailbreaking,” and ripping DVDs for archival or educational purpose. These </w:t>
      </w:r>
      <w:r w:rsidRPr="00F17596">
        <w:rPr>
          <w:rStyle w:val="StyleUnderline"/>
          <w:highlight w:val="darkGray"/>
        </w:rPr>
        <w:t>regulations,</w:t>
      </w:r>
      <w:r>
        <w:t xml:space="preserve"> to the extent that they do not interpret statutes, </w:t>
      </w:r>
      <w:r w:rsidRPr="00F17596">
        <w:rPr>
          <w:rStyle w:val="StyleUnderline"/>
          <w:highlight w:val="darkGray"/>
        </w:rPr>
        <w:t>are unlikely to be affected.</w:t>
      </w:r>
      <w:r>
        <w:t xml:space="preserve"> Though the Copyright Office falls within the Library of Congress, which is part of the legislative branch and thus not an agency within the meaning of the Administrative Procedure Act (APA) judicial review provision, </w:t>
      </w:r>
      <w:r w:rsidRPr="00F17596">
        <w:rPr>
          <w:rStyle w:val="StyleUnderline"/>
          <w:highlight w:val="darkGray"/>
        </w:rPr>
        <w:t>the Copyright Act itself states that the actions of the Register of Copyrights are subject to APA review</w:t>
      </w:r>
      <w:r>
        <w:t>. In June 2024, the US Court of Appeals for the DC Circuit confirmed that “[</w:t>
      </w:r>
      <w:proofErr w:type="spellStart"/>
      <w:r>
        <w:t>i</w:t>
      </w:r>
      <w:proofErr w:type="spellEnd"/>
      <w:r>
        <w:t>]</w:t>
      </w:r>
      <w:proofErr w:type="spellStart"/>
      <w:r>
        <w:t>rrespective</w:t>
      </w:r>
      <w:proofErr w:type="spellEnd"/>
      <w:r>
        <w:t xml:space="preserve"> of whether the Library is an ‘agency,’ . . . Congress has specified that copyright regulations . . . are subject to the APA</w:t>
      </w:r>
      <w:proofErr w:type="gramStart"/>
      <w:r>
        <w:t>.”[</w:t>
      </w:r>
      <w:proofErr w:type="gramEnd"/>
      <w:r>
        <w:t xml:space="preserve">10] Further, the DC Circuit held that the Triennial DMCA rulemaking regarding the Section 1201 exemptions are subject to APA review.[11] Similarly, the actions of the Copyright Royalty Board are reviewed under the standards of the APA. Notably, these actions are typically reviewed under the APA’s “arbitrary and capricious” standard.[12] </w:t>
      </w:r>
      <w:r w:rsidRPr="00F17596">
        <w:rPr>
          <w:rStyle w:val="StyleUnderline"/>
          <w:highlight w:val="darkGray"/>
        </w:rPr>
        <w:t>Courts have applied Chevron</w:t>
      </w:r>
      <w:r>
        <w:t xml:space="preserve"> </w:t>
      </w:r>
      <w:r>
        <w:lastRenderedPageBreak/>
        <w:t xml:space="preserve">deference to Copyright Office regulations where they interpret ambiguous statutes via formal rulemaking,[13] a </w:t>
      </w:r>
      <w:r w:rsidRPr="00F17596">
        <w:rPr>
          <w:rStyle w:val="StyleUnderline"/>
          <w:highlight w:val="darkGray"/>
        </w:rPr>
        <w:t>relatively rare</w:t>
      </w:r>
      <w:r>
        <w:t xml:space="preserve"> occurrence. Many </w:t>
      </w:r>
      <w:r w:rsidRPr="00F17596">
        <w:rPr>
          <w:rStyle w:val="StyleUnderline"/>
          <w:highlight w:val="darkGray"/>
        </w:rPr>
        <w:t>Copyright Office decisions,</w:t>
      </w:r>
      <w:r>
        <w:t xml:space="preserve"> however, </w:t>
      </w:r>
      <w:r w:rsidRPr="00F17596">
        <w:rPr>
          <w:rStyle w:val="StyleUnderline"/>
          <w:highlight w:val="darkGray"/>
        </w:rPr>
        <w:t>do not involve formal rulemaking, and have not received Chevron deference</w:t>
      </w:r>
      <w:r>
        <w:t>.[14] For example, a court refused to apply Chevron to the Copyright Office Compendium’s construction of the meaning of “preexisting work” where no formal rulemaking occurred.[15] Another court determined that the Copyright Office’s “[</w:t>
      </w:r>
      <w:proofErr w:type="spellStart"/>
      <w:r>
        <w:t>i</w:t>
      </w:r>
      <w:proofErr w:type="spellEnd"/>
      <w:r>
        <w:t>]</w:t>
      </w:r>
      <w:proofErr w:type="spellStart"/>
      <w:r>
        <w:t>ndividual</w:t>
      </w:r>
      <w:proofErr w:type="spellEnd"/>
      <w:r>
        <w:t xml:space="preserve"> decisions about the copyrightability of works are not like ‘rules carrying the force of law,’ which command Chevron deference.”[16] In sum, </w:t>
      </w:r>
      <w:r w:rsidRPr="00F17596">
        <w:rPr>
          <w:rStyle w:val="StyleUnderline"/>
          <w:highlight w:val="darkGray"/>
        </w:rPr>
        <w:t>the Court’s decision is anticipated to impact few regulations or decisions set by the Copyright Office</w:t>
      </w:r>
      <w:r>
        <w:t>.</w:t>
      </w:r>
    </w:p>
    <w:p w14:paraId="7E12FDB4" w14:textId="77777777" w:rsidR="00F17596" w:rsidRDefault="00F17596" w:rsidP="00F17596"/>
    <w:p w14:paraId="399BEA03" w14:textId="77777777" w:rsidR="00F17596" w:rsidRDefault="00F17596" w:rsidP="00F17596"/>
    <w:bookmarkEnd w:id="2"/>
    <w:p w14:paraId="2D6D463D" w14:textId="77777777" w:rsidR="00F17596" w:rsidRDefault="00F17596" w:rsidP="00F17596">
      <w:pPr>
        <w:pStyle w:val="Heading3"/>
        <w:rPr>
          <w:rFonts w:eastAsia="Calibri"/>
        </w:rPr>
      </w:pPr>
      <w:r>
        <w:rPr>
          <w:rFonts w:eastAsia="Calibri"/>
        </w:rPr>
        <w:lastRenderedPageBreak/>
        <w:t>USPTO Good – Funding</w:t>
      </w:r>
    </w:p>
    <w:p w14:paraId="542C6122" w14:textId="77777777" w:rsidR="00F17596" w:rsidRDefault="00F17596" w:rsidP="00F17596">
      <w:pPr>
        <w:pStyle w:val="Heading4"/>
      </w:pPr>
      <w:r>
        <w:t>USPTO is the model government agency – they have so much money Congress borrows from them in times of trouble</w:t>
      </w:r>
    </w:p>
    <w:p w14:paraId="4597406D" w14:textId="77777777" w:rsidR="00F17596" w:rsidRPr="00C12B7C" w:rsidRDefault="00F17596" w:rsidP="00F17596">
      <w:r>
        <w:t xml:space="preserve">Annelise </w:t>
      </w:r>
      <w:r w:rsidRPr="00FD7492">
        <w:rPr>
          <w:rStyle w:val="Style13ptBold"/>
        </w:rPr>
        <w:t>Gilbert</w:t>
      </w:r>
      <w:r>
        <w:t xml:space="preserve"> “</w:t>
      </w:r>
      <w:r w:rsidRPr="00FD7492">
        <w:t>Patent Office Has Funds to Stay Open Three Months Amid Shutdown</w:t>
      </w:r>
      <w:r>
        <w:t xml:space="preserve">” September 27, 2023 </w:t>
      </w:r>
      <w:r w:rsidRPr="00FD7492">
        <w:t>https://news.bloomberglaw.com/ip-law/patent-office-has-funds-to-stay-open-three-months-amid-shutdown</w:t>
      </w:r>
    </w:p>
    <w:p w14:paraId="0692BAD3" w14:textId="5531EA33" w:rsidR="00F17596" w:rsidRDefault="00F17596" w:rsidP="00F17596">
      <w:r>
        <w:t xml:space="preserve">Trademark and patent reserve funds may last different lengths Stakeholders used to office’s ability to weather a shutdown </w:t>
      </w:r>
      <w:r w:rsidRPr="00F17596">
        <w:rPr>
          <w:rStyle w:val="StyleUnderline"/>
          <w:highlight w:val="darkGray"/>
        </w:rPr>
        <w:t>The US Patent and Trademark Office can continue operating for about three months if the government shuts down</w:t>
      </w:r>
      <w:r>
        <w:t xml:space="preserve"> because Congress fails to enact funding legislation by Saturday night’s deadline. </w:t>
      </w:r>
      <w:r w:rsidRPr="00F17596">
        <w:rPr>
          <w:rStyle w:val="StyleUnderline"/>
          <w:highlight w:val="darkGray"/>
        </w:rPr>
        <w:t>The agency would draw from its $1.04 billion operating reserves</w:t>
      </w:r>
      <w:r>
        <w:t xml:space="preserve">, which should cover about three months of patent operating expenses and slightly more than four months of trademark operating expenses, according to a submission it made to Congress in March. </w:t>
      </w:r>
      <w:r w:rsidRPr="00F17596">
        <w:rPr>
          <w:rStyle w:val="StyleUnderline"/>
          <w:highlight w:val="darkGray"/>
        </w:rPr>
        <w:t>That would allow for full staff and operations to continue</w:t>
      </w:r>
      <w:r>
        <w:t>—at least temporarily—</w:t>
      </w:r>
      <w:r w:rsidRPr="00F17596">
        <w:rPr>
          <w:rStyle w:val="StyleUnderline"/>
          <w:highlight w:val="darkGray"/>
        </w:rPr>
        <w:t>including at the administrative tribunals that hear challenges to patent validity and resolve trademark disputes</w:t>
      </w:r>
      <w:r>
        <w:t xml:space="preserve">. </w:t>
      </w:r>
      <w:r w:rsidRPr="00F17596">
        <w:rPr>
          <w:rStyle w:val="StyleUnderline"/>
          <w:highlight w:val="darkGray"/>
        </w:rPr>
        <w:t>The PTO is self-funded mostly</w:t>
      </w:r>
      <w:r>
        <w:t xml:space="preserve"> through patent and trademark filing fees, but it is still subject to the annual appropriations process. Congress allocates those collected fees to the office through the annual Commerce-Justice-Science spending bill. For fiscal 2023, the office received appropriations equaling its full fee collection estimate of $4.1 billion, which fully offset its spending and funded its reserve balance. The PTO stayed open during the most recent government shutdown, which lasted 35 days from December 2018 to January 2019. But some patent attorneys began to worry about the office’s ability to function as the appropriations lapse wore on. “At the very end of it we started to think, ‘Well if this goes on for much longer, maybe they will have to stop,’ said Jonathan Stroud, the general counsel of Unified Patents. “But it would have been a historic shutdown.” The expected stability through a short-term shutdown represents a change from the PTO’s past. Because the PTO’s fee revenue and other income have often exceeded its total estimated spending needs, Congress in past decades diverted part of the revenue to fund other government spending. Former PTO Acting Director Joseph Matal said there is “currently nothing in the law that would prevent appropriators from again diverting fees.” “While the America Invents Act originally included a provision that would take the USPTO out of the appropriations process and prevent fee diversion, that provision was stripped out of the bill,” he said. During the passage of the AIA in 2011, however, he said, </w:t>
      </w:r>
      <w:r w:rsidRPr="00F17596">
        <w:rPr>
          <w:rStyle w:val="StyleUnderline"/>
          <w:highlight w:val="darkGray"/>
        </w:rPr>
        <w:t>appropriators “made a commitment that they would not divert USPTO</w:t>
      </w:r>
      <w:r>
        <w:t xml:space="preserve"> </w:t>
      </w:r>
      <w:r w:rsidRPr="00F17596">
        <w:rPr>
          <w:rStyle w:val="StyleUnderline"/>
          <w:highlight w:val="darkGray"/>
        </w:rPr>
        <w:t>fees</w:t>
      </w:r>
      <w:r w:rsidRPr="00FD7492">
        <w:rPr>
          <w:rStyle w:val="StyleUnderline"/>
        </w:rPr>
        <w:t xml:space="preserve"> </w:t>
      </w:r>
      <w:r>
        <w:t xml:space="preserve">going forward, and they have stuck to that ever since.” “If that were to go away, then a shutdown would matter more because then the money is kind of technically going directly into the general” government funding, Stroud said. A PTO spokesperson </w:t>
      </w:r>
      <w:proofErr w:type="gramStart"/>
      <w:r>
        <w:t>didn’t</w:t>
      </w:r>
      <w:proofErr w:type="gramEnd"/>
      <w:r>
        <w:t xml:space="preserve"> respond to Bloomberg Law’s request for comment. Practitioners Unconcerned Matal, now a partner at Haynes &amp; Boone LLP, said none of his clients have asked how a shutdown might affect any work involving the patent office because “everyone’s used to the USPTO being able to weather any kind of shutdown.” The reserve fund and other PTO practices “have now been in place for over a decade, and it looks like the agency has found its way out of these past messes,” Matal added.</w:t>
      </w:r>
    </w:p>
    <w:p w14:paraId="453179A2" w14:textId="06DDD075" w:rsidR="005F027F" w:rsidRDefault="005F027F" w:rsidP="005F027F">
      <w:pPr>
        <w:pStyle w:val="Heading2"/>
      </w:pPr>
      <w:r>
        <w:lastRenderedPageBreak/>
        <w:t>IPR Bad – General</w:t>
      </w:r>
    </w:p>
    <w:p w14:paraId="16141758" w14:textId="77777777" w:rsidR="005F027F" w:rsidRDefault="005F027F" w:rsidP="005F027F">
      <w:pPr>
        <w:rPr>
          <w:rFonts w:eastAsiaTheme="majorEastAsia" w:cstheme="majorBidi"/>
          <w:b/>
          <w:sz w:val="44"/>
          <w:szCs w:val="26"/>
          <w:u w:val="double"/>
        </w:rPr>
      </w:pPr>
      <w:r>
        <w:br w:type="page"/>
      </w:r>
    </w:p>
    <w:p w14:paraId="1BD03621" w14:textId="77777777" w:rsidR="005F027F" w:rsidRDefault="005F027F" w:rsidP="005F027F">
      <w:pPr>
        <w:pStyle w:val="Heading3"/>
      </w:pPr>
      <w:r>
        <w:lastRenderedPageBreak/>
        <w:t>IPR Bad – Market Disruptions</w:t>
      </w:r>
    </w:p>
    <w:p w14:paraId="1DB95B72" w14:textId="77777777" w:rsidR="005F027F" w:rsidRPr="009C3F1E" w:rsidRDefault="005F027F" w:rsidP="005F027F">
      <w:pPr>
        <w:pStyle w:val="Heading4"/>
        <w:rPr>
          <w:rStyle w:val="StyleUnderline"/>
        </w:rPr>
      </w:pPr>
      <w:r w:rsidRPr="009C3F1E">
        <w:t>Assuming positive consequences with IP reform is a dangerous thought experiment – the only thing we know for certain is that disruption to the current marketplace scares innovators and investors away from the IP field</w:t>
      </w:r>
      <w:r w:rsidRPr="009C3F1E">
        <w:rPr>
          <w:rStyle w:val="StyleUnderline"/>
        </w:rPr>
        <w:t>.</w:t>
      </w:r>
    </w:p>
    <w:p w14:paraId="6AF5D484" w14:textId="77777777" w:rsidR="005F027F" w:rsidRPr="009C3F1E" w:rsidRDefault="005F027F" w:rsidP="005F027F">
      <w:r w:rsidRPr="009C3F1E">
        <w:rPr>
          <w:rStyle w:val="Style13ptBold"/>
        </w:rPr>
        <w:t>Benslimane</w:t>
      </w:r>
      <w:r w:rsidRPr="009C3F1E">
        <w:t xml:space="preserve">, Ismaël, </w:t>
      </w:r>
      <w:r w:rsidRPr="009C3F1E">
        <w:rPr>
          <w:rStyle w:val="Style13ptBold"/>
        </w:rPr>
        <w:t>et al</w:t>
      </w:r>
      <w:r w:rsidRPr="009C3F1E">
        <w:t>. "Intellectual property reform in the laboratory." Journal of Economic Behavior &amp; Organization 206 (20</w:t>
      </w:r>
      <w:r w:rsidRPr="009C3F1E">
        <w:rPr>
          <w:rStyle w:val="Style13ptBold"/>
        </w:rPr>
        <w:t>23</w:t>
      </w:r>
      <w:r w:rsidRPr="009C3F1E">
        <w:t xml:space="preserve">): 204-221. </w:t>
      </w:r>
      <w:hyperlink r:id="rId10" w:history="1">
        <w:r w:rsidRPr="009C3F1E">
          <w:rPr>
            <w:rStyle w:val="Hyperlink"/>
          </w:rPr>
          <w:t>https://doi.org/10.1016/j.jebo.2022.12.005</w:t>
        </w:r>
      </w:hyperlink>
      <w:r w:rsidRPr="009C3F1E">
        <w:t xml:space="preserve"> (Accessed July 5, 2024) CR</w:t>
      </w:r>
    </w:p>
    <w:p w14:paraId="73E6BD51" w14:textId="77777777" w:rsidR="005F027F" w:rsidRPr="009C3F1E" w:rsidRDefault="005F027F" w:rsidP="005F027F">
      <w:pPr>
        <w:rPr>
          <w:rStyle w:val="StyleUnderline"/>
        </w:rPr>
      </w:pPr>
      <w:r w:rsidRPr="009C3F1E">
        <w:rPr>
          <w:rStyle w:val="StyleUnderline"/>
        </w:rPr>
        <w:t>Institutional change is difficult</w:t>
      </w:r>
      <w:r w:rsidRPr="009C3F1E">
        <w:rPr>
          <w:sz w:val="16"/>
        </w:rPr>
        <w:t xml:space="preserve"> – even when the change is known to be beneficial. </w:t>
      </w:r>
      <w:r w:rsidRPr="00F17596">
        <w:rPr>
          <w:rStyle w:val="StyleUnderline"/>
          <w:highlight w:val="darkGray"/>
        </w:rPr>
        <w:t>Changing the institutions that govern the functioning of society is likely to generate short-term disruption, increase transaction costs, and cause errors and inefficiencies</w:t>
      </w:r>
      <w:r w:rsidRPr="009C3F1E">
        <w:rPr>
          <w:sz w:val="16"/>
        </w:rPr>
        <w:t xml:space="preserve">. Moreover, </w:t>
      </w:r>
      <w:r w:rsidRPr="009C3F1E">
        <w:rPr>
          <w:rStyle w:val="StyleUnderline"/>
        </w:rPr>
        <w:t xml:space="preserve">there might be losers – </w:t>
      </w:r>
      <w:r w:rsidRPr="00F17596">
        <w:rPr>
          <w:rStyle w:val="StyleUnderline"/>
          <w:highlight w:val="darkGray"/>
        </w:rPr>
        <w:t>people who do not benefit from the change</w:t>
      </w:r>
      <w:r w:rsidRPr="009C3F1E">
        <w:rPr>
          <w:rStyle w:val="StyleUnderline"/>
        </w:rPr>
        <w:t>, either at all or in the short run</w:t>
      </w:r>
      <w:r w:rsidRPr="009C3F1E">
        <w:rPr>
          <w:sz w:val="16"/>
        </w:rPr>
        <w:t xml:space="preserve">. </w:t>
      </w:r>
      <w:r w:rsidRPr="009C3F1E">
        <w:rPr>
          <w:rStyle w:val="StyleUnderline"/>
        </w:rPr>
        <w:t xml:space="preserve">These losers </w:t>
      </w:r>
      <w:r w:rsidRPr="00F17596">
        <w:rPr>
          <w:rStyle w:val="StyleUnderline"/>
          <w:highlight w:val="darkGray"/>
        </w:rPr>
        <w:t>could reduce their contributions to society because of their grievances against the winners and their feeling of</w:t>
      </w:r>
      <w:r w:rsidRPr="009C3F1E">
        <w:rPr>
          <w:rStyle w:val="StyleUnderline"/>
        </w:rPr>
        <w:t xml:space="preserve"> relative </w:t>
      </w:r>
      <w:r w:rsidRPr="00F17596">
        <w:rPr>
          <w:rStyle w:val="StyleUnderline"/>
          <w:highlight w:val="darkGray"/>
        </w:rPr>
        <w:t>deprivation to thus limit or erase the benefits of the</w:t>
      </w:r>
      <w:r w:rsidRPr="009C3F1E">
        <w:rPr>
          <w:rStyle w:val="StyleUnderline"/>
        </w:rPr>
        <w:t xml:space="preserve"> institutional </w:t>
      </w:r>
      <w:r w:rsidRPr="00F17596">
        <w:rPr>
          <w:rStyle w:val="StyleUnderline"/>
          <w:highlight w:val="darkGray"/>
        </w:rPr>
        <w:t>change</w:t>
      </w:r>
      <w:r w:rsidRPr="009C3F1E">
        <w:rPr>
          <w:sz w:val="16"/>
        </w:rPr>
        <w:t xml:space="preserve"> (Dannenberg and Gallier, 2019). </w:t>
      </w:r>
      <w:r w:rsidRPr="00F17596">
        <w:rPr>
          <w:rStyle w:val="Emphasis"/>
          <w:highlight w:val="darkGray"/>
        </w:rPr>
        <w:t>Reforms of intellectual property (IP) rights, particularly patents, are a case in point.</w:t>
      </w:r>
      <w:r w:rsidRPr="00F17596">
        <w:rPr>
          <w:sz w:val="16"/>
          <w:highlight w:val="darkGray"/>
        </w:rPr>
        <w:t xml:space="preserve"> </w:t>
      </w:r>
      <w:r w:rsidRPr="00F17596">
        <w:rPr>
          <w:rStyle w:val="Emphasis"/>
          <w:highlight w:val="darkGray"/>
        </w:rPr>
        <w:t>Despite a broad debate, the net effect of intellectual property on innovation and welfare is unclear</w:t>
      </w:r>
      <w:r w:rsidRPr="009C3F1E">
        <w:rPr>
          <w:sz w:val="16"/>
        </w:rPr>
        <w:t xml:space="preserve">. It is thus even more unclear whether a reform would be beneficial. Already </w:t>
      </w:r>
      <w:r w:rsidRPr="009C3F1E">
        <w:rPr>
          <w:u w:val="single"/>
        </w:rPr>
        <w:t>back in 1955</w:t>
      </w:r>
      <w:r w:rsidRPr="009C3F1E">
        <w:rPr>
          <w:sz w:val="16"/>
        </w:rPr>
        <w:t xml:space="preserve">, </w:t>
      </w:r>
      <w:r w:rsidRPr="009C3F1E">
        <w:rPr>
          <w:u w:val="single"/>
        </w:rPr>
        <w:t>the U.S. Senate Judiciary Committee commissioned</w:t>
      </w:r>
      <w:r w:rsidRPr="009C3F1E">
        <w:rPr>
          <w:sz w:val="16"/>
        </w:rPr>
        <w:t xml:space="preserve"> several </w:t>
      </w:r>
      <w:r w:rsidRPr="009C3F1E">
        <w:rPr>
          <w:u w:val="single"/>
        </w:rPr>
        <w:t>reports from experts</w:t>
      </w:r>
      <w:r w:rsidRPr="009C3F1E">
        <w:rPr>
          <w:sz w:val="16"/>
        </w:rPr>
        <w:t xml:space="preserve"> such as Vannevar </w:t>
      </w:r>
      <w:r w:rsidRPr="009C3F1E">
        <w:rPr>
          <w:u w:val="single"/>
        </w:rPr>
        <w:t>Bush</w:t>
      </w:r>
      <w:r w:rsidRPr="009C3F1E">
        <w:rPr>
          <w:sz w:val="16"/>
        </w:rPr>
        <w:t xml:space="preserve"> and Fritz </w:t>
      </w:r>
      <w:r w:rsidRPr="009C3F1E">
        <w:rPr>
          <w:u w:val="single"/>
        </w:rPr>
        <w:t>Machlup</w:t>
      </w:r>
      <w:r w:rsidRPr="009C3F1E">
        <w:rPr>
          <w:sz w:val="16"/>
        </w:rPr>
        <w:t xml:space="preserve"> </w:t>
      </w:r>
      <w:r w:rsidRPr="009C3F1E">
        <w:rPr>
          <w:u w:val="single"/>
        </w:rPr>
        <w:t>on the effects of the patent system and the need to reform it</w:t>
      </w:r>
      <w:r w:rsidRPr="009C3F1E">
        <w:rPr>
          <w:sz w:val="16"/>
        </w:rPr>
        <w:t xml:space="preserve">. After surveying 200 years of economic theory on the patent system, </w:t>
      </w:r>
      <w:r w:rsidRPr="00F17596">
        <w:rPr>
          <w:rStyle w:val="StyleUnderline"/>
          <w:highlight w:val="darkGray"/>
        </w:rPr>
        <w:t>Machlup</w:t>
      </w:r>
      <w:r w:rsidRPr="009C3F1E">
        <w:rPr>
          <w:sz w:val="16"/>
        </w:rPr>
        <w:t xml:space="preserve"> (1958) </w:t>
      </w:r>
      <w:r w:rsidRPr="00F17596">
        <w:rPr>
          <w:rStyle w:val="StyleUnderline"/>
          <w:highlight w:val="darkGray"/>
        </w:rPr>
        <w:t>concluded</w:t>
      </w:r>
      <w:r w:rsidRPr="009C3F1E">
        <w:rPr>
          <w:sz w:val="16"/>
        </w:rPr>
        <w:t xml:space="preserve"> the following: </w:t>
      </w:r>
      <w:r w:rsidRPr="00F17596">
        <w:rPr>
          <w:rStyle w:val="StyleUnderline"/>
          <w:highlight w:val="darkGray"/>
        </w:rPr>
        <w:t>No economist</w:t>
      </w:r>
      <w:r w:rsidRPr="009C3F1E">
        <w:rPr>
          <w:sz w:val="16"/>
        </w:rPr>
        <w:t xml:space="preserve">, </w:t>
      </w:r>
      <w:proofErr w:type="gramStart"/>
      <w:r w:rsidRPr="009C3F1E">
        <w:rPr>
          <w:sz w:val="16"/>
        </w:rPr>
        <w:t>on the basis of</w:t>
      </w:r>
      <w:proofErr w:type="gramEnd"/>
      <w:r w:rsidRPr="009C3F1E">
        <w:rPr>
          <w:sz w:val="16"/>
        </w:rPr>
        <w:t xml:space="preserve"> present knowledge, </w:t>
      </w:r>
      <w:r w:rsidRPr="00F17596">
        <w:rPr>
          <w:rStyle w:val="StyleUnderline"/>
          <w:highlight w:val="darkGray"/>
        </w:rPr>
        <w:t>could possibly state with certainty that the patent system</w:t>
      </w:r>
      <w:r w:rsidRPr="009C3F1E">
        <w:rPr>
          <w:sz w:val="16"/>
        </w:rPr>
        <w:t xml:space="preserve">, as it now operates, </w:t>
      </w:r>
      <w:r w:rsidRPr="00F17596">
        <w:rPr>
          <w:rStyle w:val="StyleUnderline"/>
          <w:highlight w:val="darkGray"/>
        </w:rPr>
        <w:t>confers a net benefit or a net loss upon society</w:t>
      </w:r>
      <w:r w:rsidRPr="009C3F1E">
        <w:rPr>
          <w:sz w:val="16"/>
        </w:rPr>
        <w:t>. [</w:t>
      </w:r>
      <w:proofErr w:type="gramStart"/>
      <w:r w:rsidRPr="009C3F1E">
        <w:rPr>
          <w:sz w:val="16"/>
        </w:rPr>
        <w:t>... ]</w:t>
      </w:r>
      <w:proofErr w:type="gramEnd"/>
      <w:r w:rsidRPr="009C3F1E">
        <w:rPr>
          <w:sz w:val="16"/>
        </w:rPr>
        <w:t xml:space="preserve"> If one does not know whether a system ‘as a whole’ [... ] is good or bad, the safest “policy conclusion” is to “muddle through” – either with it, if one has long lived with it, or without it, if one has lived without it. If we did not have a patent system, it would be irresponsible, </w:t>
      </w:r>
      <w:proofErr w:type="gramStart"/>
      <w:r w:rsidRPr="009C3F1E">
        <w:rPr>
          <w:sz w:val="16"/>
        </w:rPr>
        <w:t>on the basis of</w:t>
      </w:r>
      <w:proofErr w:type="gramEnd"/>
      <w:r w:rsidRPr="009C3F1E">
        <w:rPr>
          <w:sz w:val="16"/>
        </w:rPr>
        <w:t xml:space="preserve"> our present knowledge of its economic consequences, to recommend instituting one. But since we have had a patent system for a long time, it would be irresponsible, </w:t>
      </w:r>
      <w:proofErr w:type="gramStart"/>
      <w:r w:rsidRPr="009C3F1E">
        <w:rPr>
          <w:sz w:val="16"/>
        </w:rPr>
        <w:t>on the basis of</w:t>
      </w:r>
      <w:proofErr w:type="gramEnd"/>
      <w:r w:rsidRPr="009C3F1E">
        <w:rPr>
          <w:sz w:val="16"/>
        </w:rPr>
        <w:t xml:space="preserve"> our present knowledge, to recommend abolishing it. </w:t>
      </w:r>
      <w:r w:rsidRPr="009C3F1E">
        <w:rPr>
          <w:rStyle w:val="StyleUnderline"/>
        </w:rPr>
        <w:t>According to Machlup</w:t>
      </w:r>
      <w:r w:rsidRPr="009C3F1E">
        <w:rPr>
          <w:sz w:val="16"/>
        </w:rPr>
        <w:t xml:space="preserve">, in the 1950s, we did not know enough about the advantages and disadvantages of the patent system to take risks involved in its demise. Despite decades of research, Machlup’s conclusion still stands – </w:t>
      </w:r>
      <w:r w:rsidRPr="00F17596">
        <w:rPr>
          <w:rStyle w:val="StyleUnderline"/>
          <w:highlight w:val="darkGray"/>
        </w:rPr>
        <w:t>we do not know enough about the effects of the patent system to be able to suggest a clear reform path</w:t>
      </w:r>
      <w:r w:rsidRPr="009C3F1E">
        <w:rPr>
          <w:sz w:val="16"/>
        </w:rPr>
        <w:t xml:space="preserve">. In the meantime, </w:t>
      </w:r>
      <w:r w:rsidRPr="009C3F1E">
        <w:rPr>
          <w:rStyle w:val="StyleUnderline"/>
        </w:rPr>
        <w:t xml:space="preserve">the stakes involved in </w:t>
      </w:r>
      <w:proofErr w:type="gramStart"/>
      <w:r w:rsidRPr="009C3F1E">
        <w:rPr>
          <w:rStyle w:val="StyleUnderline"/>
        </w:rPr>
        <w:t>taking action</w:t>
      </w:r>
      <w:proofErr w:type="gramEnd"/>
      <w:r w:rsidRPr="009C3F1E">
        <w:rPr>
          <w:rStyle w:val="StyleUnderline"/>
        </w:rPr>
        <w:t xml:space="preserve"> have steadily increased</w:t>
      </w:r>
      <w:r w:rsidRPr="009C3F1E">
        <w:rPr>
          <w:sz w:val="16"/>
        </w:rPr>
        <w:t xml:space="preserve">. In Machlup’s time, less than 150,000 patents were filed worldwide </w:t>
      </w:r>
      <w:proofErr w:type="gramStart"/>
      <w:r w:rsidRPr="009C3F1E">
        <w:rPr>
          <w:sz w:val="16"/>
        </w:rPr>
        <w:t>in a given year</w:t>
      </w:r>
      <w:proofErr w:type="gramEnd"/>
      <w:r w:rsidRPr="009C3F1E">
        <w:rPr>
          <w:sz w:val="16"/>
        </w:rPr>
        <w:t xml:space="preserve">. This number increased 20-fold to over 3 million in 2018. Given the current size and impact of the IP system, </w:t>
      </w:r>
      <w:r w:rsidRPr="009C3F1E">
        <w:rPr>
          <w:u w:val="single"/>
        </w:rPr>
        <w:t xml:space="preserve">are </w:t>
      </w:r>
      <w:r w:rsidRPr="009C3F1E">
        <w:rPr>
          <w:rStyle w:val="StyleUnderline"/>
        </w:rPr>
        <w:t>IP abolitionists such as Boldrin and Levine</w:t>
      </w:r>
      <w:r w:rsidRPr="009C3F1E">
        <w:rPr>
          <w:sz w:val="16"/>
        </w:rPr>
        <w:t xml:space="preserve"> (2008a) </w:t>
      </w:r>
      <w:r w:rsidRPr="009C3F1E">
        <w:rPr>
          <w:rStyle w:val="StyleUnderline"/>
        </w:rPr>
        <w:t>or IP reformists</w:t>
      </w:r>
      <w:r w:rsidRPr="009C3F1E">
        <w:rPr>
          <w:sz w:val="16"/>
        </w:rPr>
        <w:t xml:space="preserve"> such as Bessen and Meurer (2008) and Stiglitz (2008) </w:t>
      </w:r>
      <w:r w:rsidRPr="009C3F1E">
        <w:rPr>
          <w:rStyle w:val="StyleUnderline"/>
        </w:rPr>
        <w:t>playing with fire by suggesting that we should abolish or strongly reform IP?</w:t>
      </w:r>
      <w:r w:rsidRPr="009C3F1E">
        <w:rPr>
          <w:sz w:val="16"/>
        </w:rPr>
        <w:t xml:space="preserve"> </w:t>
      </w:r>
      <w:r w:rsidRPr="00F17596">
        <w:rPr>
          <w:rStyle w:val="Emphasis"/>
          <w:highlight w:val="darkGray"/>
        </w:rPr>
        <w:t>IP is now long established and has attained global reach. The disruption risk is therefore greater.</w:t>
      </w:r>
      <w:r w:rsidRPr="00F17596">
        <w:rPr>
          <w:sz w:val="16"/>
          <w:highlight w:val="darkGray"/>
        </w:rPr>
        <w:t xml:space="preserve"> </w:t>
      </w:r>
      <w:r w:rsidRPr="00F17596">
        <w:rPr>
          <w:rStyle w:val="StyleUnderline"/>
          <w:highlight w:val="darkGray"/>
        </w:rPr>
        <w:t>Economic agents accustomed to the IP system could be destabilized, demotivated and,</w:t>
      </w:r>
      <w:r w:rsidRPr="009C3F1E">
        <w:rPr>
          <w:rStyle w:val="StyleUnderline"/>
        </w:rPr>
        <w:t xml:space="preserve"> in the worst case, </w:t>
      </w:r>
      <w:r w:rsidRPr="00F17596">
        <w:rPr>
          <w:rStyle w:val="StyleUnderline"/>
          <w:highlight w:val="darkGray"/>
        </w:rPr>
        <w:t>not compensated by the path opened by IP reforms</w:t>
      </w:r>
      <w:r w:rsidRPr="009C3F1E">
        <w:rPr>
          <w:rStyle w:val="StyleUnderline"/>
        </w:rPr>
        <w:t>.</w:t>
      </w:r>
    </w:p>
    <w:p w14:paraId="75F9C5E2" w14:textId="77777777" w:rsidR="005F027F" w:rsidRDefault="005F027F" w:rsidP="005F027F">
      <w:r>
        <w:br w:type="page"/>
      </w:r>
    </w:p>
    <w:p w14:paraId="0A2959E1" w14:textId="77777777" w:rsidR="005F027F" w:rsidRPr="00383464" w:rsidRDefault="005F027F" w:rsidP="005F027F">
      <w:pPr>
        <w:pStyle w:val="Heading3"/>
        <w:rPr>
          <w:rStyle w:val="Emphasis"/>
          <w:b/>
          <w:iCs w:val="0"/>
          <w:sz w:val="32"/>
        </w:rPr>
      </w:pPr>
      <w:r>
        <w:lastRenderedPageBreak/>
        <w:t xml:space="preserve">IPR Bad – Innovation </w:t>
      </w:r>
    </w:p>
    <w:p w14:paraId="6F69BA11" w14:textId="77777777" w:rsidR="005F027F" w:rsidRPr="00383464" w:rsidRDefault="005F027F" w:rsidP="005F027F">
      <w:pPr>
        <w:pStyle w:val="Heading4"/>
      </w:pPr>
      <w:r w:rsidRPr="00383464">
        <w:t>Stronger IP laws lead to a decrease in innovation</w:t>
      </w:r>
    </w:p>
    <w:p w14:paraId="46141A42" w14:textId="77777777" w:rsidR="005F027F" w:rsidRPr="00383464" w:rsidRDefault="005F027F" w:rsidP="005F027F">
      <w:r w:rsidRPr="00383464">
        <w:rPr>
          <w:rStyle w:val="Style13ptBold"/>
        </w:rPr>
        <w:t>Brüggemann,</w:t>
      </w:r>
      <w:r w:rsidRPr="00383464">
        <w:t xml:space="preserve"> Julia, </w:t>
      </w:r>
      <w:r w:rsidRPr="00383464">
        <w:rPr>
          <w:rStyle w:val="Style13ptBold"/>
        </w:rPr>
        <w:t>et al</w:t>
      </w:r>
      <w:r w:rsidRPr="00383464">
        <w:t xml:space="preserve">. "Intellectual property rights hinder sequential innovation. Experimental evidence." Research Policy 45.10 </w:t>
      </w:r>
      <w:r w:rsidRPr="00383464">
        <w:rPr>
          <w:rStyle w:val="Style13ptBold"/>
        </w:rPr>
        <w:t>(2016</w:t>
      </w:r>
      <w:r w:rsidRPr="00383464">
        <w:t xml:space="preserve">): 2054-2068. </w:t>
      </w:r>
      <w:hyperlink r:id="rId11" w:history="1">
        <w:r w:rsidRPr="00383464">
          <w:rPr>
            <w:rStyle w:val="Hyperlink"/>
          </w:rPr>
          <w:t>https://doi.org/10.1016/j.respol.2016.07.008</w:t>
        </w:r>
      </w:hyperlink>
      <w:r w:rsidRPr="00383464">
        <w:t xml:space="preserve"> (Accessed July 6, 2024) CR</w:t>
      </w:r>
    </w:p>
    <w:p w14:paraId="0C402807" w14:textId="77777777" w:rsidR="005F027F" w:rsidRDefault="005F027F" w:rsidP="005F027F">
      <w:pPr>
        <w:jc w:val="both"/>
        <w:rPr>
          <w:rStyle w:val="StyleUnderline"/>
        </w:rPr>
      </w:pPr>
      <w:r w:rsidRPr="0051313E">
        <w:rPr>
          <w:sz w:val="14"/>
        </w:rPr>
        <w:t xml:space="preserve">This paper contributes to the debate on the role of intellectual property rights by means of a laboratory experiment. We recreate in the laboratory a sequential innovation </w:t>
      </w:r>
      <w:proofErr w:type="gramStart"/>
      <w:r w:rsidRPr="0051313E">
        <w:rPr>
          <w:sz w:val="14"/>
        </w:rPr>
        <w:t>environment, and</w:t>
      </w:r>
      <w:proofErr w:type="gramEnd"/>
      <w:r w:rsidRPr="0051313E">
        <w:rPr>
          <w:sz w:val="14"/>
        </w:rPr>
        <w:t xml:space="preserve"> use a word-creation task that combines the central features of innovation, investment and creativity, in one experiment. We use this task to investigate the effects of the presence or absence of intellectual property rights on innovation activity and welfare. We further assess the effect of communication with and without IP. </w:t>
      </w:r>
      <w:r w:rsidRPr="009C3F1E">
        <w:rPr>
          <w:rStyle w:val="Emphasis"/>
        </w:rPr>
        <w:t>Results clearly show that the introduction of intellectual property hinders innovation.</w:t>
      </w:r>
      <w:r w:rsidRPr="0051313E">
        <w:rPr>
          <w:sz w:val="14"/>
        </w:rPr>
        <w:t xml:space="preserve"> </w:t>
      </w:r>
      <w:r w:rsidRPr="009C3F1E">
        <w:rPr>
          <w:rStyle w:val="Emphasis"/>
        </w:rPr>
        <w:t xml:space="preserve">In presence of IP the economy produces </w:t>
      </w:r>
      <w:proofErr w:type="gramStart"/>
      <w:r w:rsidRPr="009C3F1E">
        <w:rPr>
          <w:rStyle w:val="Emphasis"/>
        </w:rPr>
        <w:t>less</w:t>
      </w:r>
      <w:proofErr w:type="gramEnd"/>
      <w:r w:rsidRPr="009C3F1E">
        <w:rPr>
          <w:rStyle w:val="Emphasis"/>
        </w:rPr>
        <w:t xml:space="preserve"> valuable innovations, and welfare decreases. Introducing IP causes a shift towards more basic innovations</w:t>
      </w:r>
      <w:r w:rsidRPr="0051313E">
        <w:rPr>
          <w:sz w:val="14"/>
        </w:rPr>
        <w:t xml:space="preserve"> and a higher degree of autarky – i.e., relying on the self-produced prior innovations rather than building on the best available opportunity within the economy at large. Conversely, </w:t>
      </w:r>
      <w:r w:rsidRPr="009C3F1E">
        <w:rPr>
          <w:rStyle w:val="StyleUnderline"/>
        </w:rPr>
        <w:t xml:space="preserve">the absence of IP results in more sophisticated and more valuable innovations and provides incentives to stand on the shoulders of giants, </w:t>
      </w:r>
      <w:proofErr w:type="gramStart"/>
      <w:r w:rsidRPr="009C3F1E">
        <w:rPr>
          <w:rStyle w:val="StyleUnderline"/>
        </w:rPr>
        <w:t>opening up</w:t>
      </w:r>
      <w:proofErr w:type="gramEnd"/>
      <w:r w:rsidRPr="009C3F1E">
        <w:rPr>
          <w:rStyle w:val="StyleUnderline"/>
        </w:rPr>
        <w:t xml:space="preserve"> more profitable innovation paths. Moreover, the negative effects of IP are not a </w:t>
      </w:r>
      <w:proofErr w:type="gramStart"/>
      <w:r w:rsidRPr="009C3F1E">
        <w:rPr>
          <w:rStyle w:val="StyleUnderline"/>
        </w:rPr>
        <w:t>short term</w:t>
      </w:r>
      <w:proofErr w:type="gramEnd"/>
      <w:r w:rsidRPr="009C3F1E">
        <w:rPr>
          <w:rStyle w:val="StyleUnderline"/>
        </w:rPr>
        <w:t xml:space="preserve"> phenomenon, but rather worsen over time as license fees tend to increase, leading to the breakdown of cooperative efforts and the use of autarkic strategies.</w:t>
      </w:r>
    </w:p>
    <w:p w14:paraId="144C440D" w14:textId="77777777" w:rsidR="005F027F" w:rsidRDefault="005F027F" w:rsidP="005F027F">
      <w:pPr>
        <w:rPr>
          <w:rStyle w:val="StyleUnderline"/>
        </w:rPr>
      </w:pPr>
      <w:r>
        <w:rPr>
          <w:rStyle w:val="StyleUnderline"/>
        </w:rPr>
        <w:br w:type="page"/>
      </w:r>
    </w:p>
    <w:p w14:paraId="4CDB6058" w14:textId="77777777" w:rsidR="005F027F" w:rsidRPr="00383464" w:rsidRDefault="005F027F" w:rsidP="005F027F">
      <w:pPr>
        <w:pStyle w:val="Heading3"/>
      </w:pPr>
      <w:r w:rsidRPr="00383464">
        <w:lastRenderedPageBreak/>
        <w:t xml:space="preserve">Trade Secrets Good </w:t>
      </w:r>
    </w:p>
    <w:p w14:paraId="170BDD99" w14:textId="77777777" w:rsidR="005F027F" w:rsidRPr="00383464" w:rsidRDefault="005F027F" w:rsidP="005F027F"/>
    <w:p w14:paraId="3D40F0F4" w14:textId="77777777" w:rsidR="005F027F" w:rsidRPr="009C3F1E" w:rsidRDefault="005F027F" w:rsidP="005F027F">
      <w:pPr>
        <w:pStyle w:val="Heading4"/>
      </w:pPr>
      <w:r w:rsidRPr="009C3F1E">
        <w:t>Trade Secrets are key to protecting IPR – EV Market proves</w:t>
      </w:r>
    </w:p>
    <w:p w14:paraId="7F688738" w14:textId="77777777" w:rsidR="005F027F" w:rsidRPr="009C3F1E" w:rsidRDefault="005F027F" w:rsidP="005F027F">
      <w:r w:rsidRPr="009C3F1E">
        <w:rPr>
          <w:rStyle w:val="Style13ptBold"/>
        </w:rPr>
        <w:t>Proskauer Rose</w:t>
      </w:r>
      <w:r w:rsidRPr="009C3F1E">
        <w:t xml:space="preserve"> LLP. "The Critical Role of Trade Secrets in the Booming EV Industry". </w:t>
      </w:r>
      <w:proofErr w:type="spellStart"/>
      <w:r w:rsidRPr="009C3F1E">
        <w:t>Newstex</w:t>
      </w:r>
      <w:proofErr w:type="spellEnd"/>
      <w:r w:rsidRPr="009C3F1E">
        <w:t xml:space="preserve"> Blogs National Law Review, June 17, 20</w:t>
      </w:r>
      <w:r w:rsidRPr="009C3F1E">
        <w:rPr>
          <w:rStyle w:val="Style13ptBold"/>
        </w:rPr>
        <w:t>24</w:t>
      </w:r>
      <w:r w:rsidRPr="009C3F1E">
        <w:t xml:space="preserve"> Monday. advance.lexis.com/api/document?collection=news&amp;id=</w:t>
      </w:r>
      <w:proofErr w:type="gramStart"/>
      <w:r w:rsidRPr="009C3F1E">
        <w:t>urn:contentItem</w:t>
      </w:r>
      <w:proofErr w:type="gramEnd"/>
      <w:r w:rsidRPr="009C3F1E">
        <w:t>:6C8P-74K1-JCMN-Y0S1-00000-00&amp;context=1519360. (Accessed July 8, 2024.) CR</w:t>
      </w:r>
    </w:p>
    <w:p w14:paraId="68187397" w14:textId="77777777" w:rsidR="005F027F" w:rsidRDefault="005F027F" w:rsidP="005F027F">
      <w:pPr>
        <w:rPr>
          <w:rStyle w:val="Emphasis"/>
        </w:rPr>
      </w:pPr>
      <w:r w:rsidRPr="00F17596">
        <w:rPr>
          <w:rStyle w:val="StyleUnderline"/>
          <w:highlight w:val="darkGray"/>
        </w:rPr>
        <w:t>Trade secrets provide a valuable opportunity to protect important intellectual property</w:t>
      </w:r>
      <w:r w:rsidRPr="009C3F1E">
        <w:rPr>
          <w:sz w:val="16"/>
        </w:rPr>
        <w:t xml:space="preserve">, while also maintaining their confidentiality. </w:t>
      </w:r>
      <w:r w:rsidRPr="00F17596">
        <w:rPr>
          <w:rStyle w:val="StyleUnderline"/>
          <w:highlight w:val="darkGray"/>
        </w:rPr>
        <w:t>Car battery technology</w:t>
      </w:r>
      <w:r w:rsidRPr="009C3F1E">
        <w:rPr>
          <w:sz w:val="16"/>
        </w:rPr>
        <w:t xml:space="preserve">, proprietary software for vehicle management systems, </w:t>
      </w:r>
      <w:r w:rsidRPr="00F17596">
        <w:rPr>
          <w:rStyle w:val="StyleUnderline"/>
          <w:highlight w:val="darkGray"/>
        </w:rPr>
        <w:t>and EV production</w:t>
      </w:r>
      <w:r w:rsidRPr="009C3F1E">
        <w:rPr>
          <w:sz w:val="16"/>
        </w:rPr>
        <w:t xml:space="preserve"> techniques may all </w:t>
      </w:r>
      <w:r w:rsidRPr="00F17596">
        <w:rPr>
          <w:rStyle w:val="StyleUnderline"/>
          <w:highlight w:val="darkGray"/>
        </w:rPr>
        <w:t>incorporate trade secrets that a company would like to protect</w:t>
      </w:r>
      <w:r w:rsidRPr="009C3F1E">
        <w:rPr>
          <w:sz w:val="16"/>
        </w:rPr>
        <w:t xml:space="preserve">. </w:t>
      </w:r>
      <w:r w:rsidRPr="009C3F1E">
        <w:rPr>
          <w:rStyle w:val="StyleUnderline"/>
        </w:rPr>
        <w:t>By protecting these important</w:t>
      </w:r>
      <w:r w:rsidRPr="009C3F1E">
        <w:rPr>
          <w:sz w:val="16"/>
        </w:rPr>
        <w:t xml:space="preserve">, commercially valuable </w:t>
      </w:r>
      <w:r w:rsidRPr="009C3F1E">
        <w:rPr>
          <w:rStyle w:val="StyleUnderline"/>
        </w:rPr>
        <w:t>assets</w:t>
      </w:r>
      <w:r w:rsidRPr="009C3F1E">
        <w:rPr>
          <w:sz w:val="16"/>
        </w:rPr>
        <w:t xml:space="preserve">, </w:t>
      </w:r>
      <w:r w:rsidRPr="009C3F1E">
        <w:rPr>
          <w:rStyle w:val="StyleUnderline"/>
        </w:rPr>
        <w:t>companies</w:t>
      </w:r>
      <w:r w:rsidRPr="009C3F1E">
        <w:rPr>
          <w:sz w:val="16"/>
        </w:rPr>
        <w:t xml:space="preserve"> can </w:t>
      </w:r>
      <w:r w:rsidRPr="009C3F1E">
        <w:rPr>
          <w:rStyle w:val="StyleUnderline"/>
        </w:rPr>
        <w:t>maintain their competitive edge in this growing industry</w:t>
      </w:r>
      <w:r w:rsidRPr="009C3F1E">
        <w:rPr>
          <w:sz w:val="16"/>
        </w:rPr>
        <w:t xml:space="preserve">. </w:t>
      </w:r>
      <w:r w:rsidRPr="00F17596">
        <w:rPr>
          <w:rStyle w:val="StyleUnderline"/>
          <w:highlight w:val="darkGray"/>
        </w:rPr>
        <w:t>As the EV market continues to explode</w:t>
      </w:r>
      <w:r w:rsidRPr="00F17596">
        <w:rPr>
          <w:sz w:val="16"/>
          <w:highlight w:val="darkGray"/>
        </w:rPr>
        <w:t xml:space="preserve">, </w:t>
      </w:r>
      <w:r w:rsidRPr="00F17596">
        <w:rPr>
          <w:rStyle w:val="StyleUnderline"/>
          <w:highlight w:val="darkGray"/>
        </w:rPr>
        <w:t>this trend of trade secret litigation is likely to continue</w:t>
      </w:r>
      <w:r w:rsidRPr="009C3F1E">
        <w:rPr>
          <w:sz w:val="16"/>
        </w:rPr>
        <w:t xml:space="preserve">. Competitors in the EV industry are seeking trade secret protection for their commercially valuable, and confidential, business information. Companies already in this space, or those trying to break into the EV market, should be aware of the likelihood of trade secret litigation. Additionally, </w:t>
      </w:r>
      <w:r w:rsidRPr="00F17596">
        <w:rPr>
          <w:rStyle w:val="StyleUnderline"/>
          <w:highlight w:val="darkGray"/>
        </w:rPr>
        <w:t>companies should protect their</w:t>
      </w:r>
      <w:r w:rsidRPr="009C3F1E">
        <w:rPr>
          <w:rStyle w:val="StyleUnderline"/>
        </w:rPr>
        <w:t xml:space="preserve"> own </w:t>
      </w:r>
      <w:r w:rsidRPr="00F17596">
        <w:rPr>
          <w:rStyle w:val="StyleUnderline"/>
          <w:highlight w:val="darkGray"/>
        </w:rPr>
        <w:t>trade secrets</w:t>
      </w:r>
      <w:r w:rsidRPr="009C3F1E">
        <w:rPr>
          <w:rStyle w:val="StyleUnderline"/>
        </w:rPr>
        <w:t xml:space="preserve"> by identifying them</w:t>
      </w:r>
      <w:r w:rsidRPr="009C3F1E">
        <w:rPr>
          <w:sz w:val="16"/>
        </w:rPr>
        <w:t>, i</w:t>
      </w:r>
      <w:r w:rsidRPr="009C3F1E">
        <w:rPr>
          <w:rStyle w:val="StyleUnderline"/>
        </w:rPr>
        <w:t>mplementing policies</w:t>
      </w:r>
      <w:r w:rsidRPr="009C3F1E">
        <w:rPr>
          <w:sz w:val="16"/>
        </w:rPr>
        <w:t xml:space="preserve"> across the company to protect them, </w:t>
      </w:r>
      <w:r w:rsidRPr="009C3F1E">
        <w:rPr>
          <w:rStyle w:val="StyleUnderline"/>
        </w:rPr>
        <w:t>and ensuring compliance with those policies</w:t>
      </w:r>
      <w:r w:rsidRPr="009C3F1E">
        <w:rPr>
          <w:sz w:val="16"/>
        </w:rPr>
        <w:t xml:space="preserve">. This type of intellectual property protection can be done in conjunction with other intellectual property protections, such as obtaining patents on related technology. </w:t>
      </w:r>
      <w:r w:rsidRPr="00F17596">
        <w:rPr>
          <w:rStyle w:val="Emphasis"/>
          <w:highlight w:val="darkGray"/>
        </w:rPr>
        <w:t>Enforcing</w:t>
      </w:r>
      <w:r w:rsidRPr="009C3F1E">
        <w:rPr>
          <w:rStyle w:val="Emphasis"/>
        </w:rPr>
        <w:t xml:space="preserve"> </w:t>
      </w:r>
      <w:r w:rsidRPr="00F17596">
        <w:rPr>
          <w:rStyle w:val="Emphasis"/>
          <w:highlight w:val="darkGray"/>
        </w:rPr>
        <w:t>i</w:t>
      </w:r>
      <w:r w:rsidRPr="009C3F1E">
        <w:rPr>
          <w:rStyle w:val="Emphasis"/>
        </w:rPr>
        <w:t xml:space="preserve">ntellectual </w:t>
      </w:r>
      <w:r w:rsidRPr="00F17596">
        <w:rPr>
          <w:rStyle w:val="Emphasis"/>
          <w:highlight w:val="darkGray"/>
        </w:rPr>
        <w:t>p</w:t>
      </w:r>
      <w:r w:rsidRPr="009C3F1E">
        <w:rPr>
          <w:rStyle w:val="Emphasis"/>
        </w:rPr>
        <w:t xml:space="preserve">roperty </w:t>
      </w:r>
      <w:r w:rsidRPr="00F17596">
        <w:rPr>
          <w:rStyle w:val="Emphasis"/>
          <w:highlight w:val="darkGray"/>
        </w:rPr>
        <w:t>r</w:t>
      </w:r>
      <w:r w:rsidRPr="009C3F1E">
        <w:rPr>
          <w:rStyle w:val="Emphasis"/>
        </w:rPr>
        <w:t xml:space="preserve">ights </w:t>
      </w:r>
      <w:r w:rsidRPr="00F17596">
        <w:rPr>
          <w:rStyle w:val="Emphasis"/>
          <w:highlight w:val="darkGray"/>
        </w:rPr>
        <w:t>by protecting trade secrets is a strategic tool to protecting</w:t>
      </w:r>
      <w:r w:rsidRPr="009C3F1E">
        <w:rPr>
          <w:rStyle w:val="Emphasis"/>
        </w:rPr>
        <w:t xml:space="preserve"> highly </w:t>
      </w:r>
      <w:r w:rsidRPr="00F17596">
        <w:rPr>
          <w:rStyle w:val="Emphasis"/>
          <w:highlight w:val="darkGray"/>
        </w:rPr>
        <w:t>valuable business information and practices in the fast-paced EV industry</w:t>
      </w:r>
      <w:r w:rsidRPr="009C3F1E">
        <w:rPr>
          <w:rStyle w:val="Emphasis"/>
        </w:rPr>
        <w:t>.</w:t>
      </w:r>
    </w:p>
    <w:p w14:paraId="0D1758A0" w14:textId="77777777" w:rsidR="005F027F" w:rsidRDefault="005F027F" w:rsidP="005F027F">
      <w:pPr>
        <w:rPr>
          <w:rStyle w:val="Emphasis"/>
        </w:rPr>
      </w:pPr>
      <w:r>
        <w:rPr>
          <w:rStyle w:val="Emphasis"/>
        </w:rPr>
        <w:br w:type="page"/>
      </w:r>
    </w:p>
    <w:p w14:paraId="53AFB3C3" w14:textId="77777777" w:rsidR="005F027F" w:rsidRDefault="005F027F" w:rsidP="005F027F">
      <w:pPr>
        <w:pStyle w:val="Heading2"/>
      </w:pPr>
      <w:r>
        <w:lastRenderedPageBreak/>
        <w:t>Government Intervention Bad</w:t>
      </w:r>
    </w:p>
    <w:p w14:paraId="16901E2D" w14:textId="77777777" w:rsidR="005F027F" w:rsidRDefault="005F027F" w:rsidP="005F027F">
      <w:pPr>
        <w:rPr>
          <w:rFonts w:eastAsiaTheme="majorEastAsia" w:cstheme="majorBidi"/>
          <w:b/>
          <w:sz w:val="44"/>
          <w:szCs w:val="26"/>
          <w:u w:val="double"/>
        </w:rPr>
      </w:pPr>
      <w:r>
        <w:br w:type="page"/>
      </w:r>
    </w:p>
    <w:p w14:paraId="31E27220" w14:textId="77777777" w:rsidR="005F027F" w:rsidRDefault="005F027F" w:rsidP="005F027F">
      <w:pPr>
        <w:pStyle w:val="Heading3"/>
      </w:pPr>
      <w:r>
        <w:lastRenderedPageBreak/>
        <w:t>Intervention Fails – Trades off with markets</w:t>
      </w:r>
    </w:p>
    <w:p w14:paraId="5740FDEE" w14:textId="77777777" w:rsidR="005F027F" w:rsidRDefault="005F027F" w:rsidP="005F027F"/>
    <w:p w14:paraId="735A7829" w14:textId="77777777" w:rsidR="005F027F" w:rsidRDefault="005F027F" w:rsidP="005F027F">
      <w:pPr>
        <w:pStyle w:val="Heading4"/>
      </w:pPr>
      <w:r>
        <w:t>Government intervention fails and makes the harms of the affirmative worse</w:t>
      </w:r>
    </w:p>
    <w:p w14:paraId="70C0C1E4" w14:textId="77777777" w:rsidR="005F027F" w:rsidRPr="00383464" w:rsidRDefault="005F027F" w:rsidP="005F027F">
      <w:pPr>
        <w:rPr>
          <w:rFonts w:eastAsia="Calibri"/>
          <w:bCs/>
          <w:iCs/>
        </w:rPr>
      </w:pPr>
      <w:r w:rsidRPr="00383464">
        <w:rPr>
          <w:rFonts w:eastAsia="Calibri"/>
          <w:bCs/>
          <w:iCs/>
        </w:rPr>
        <w:t xml:space="preserve">“Should US Congress Reform Copyright Law for the Digital Age?” </w:t>
      </w:r>
      <w:r w:rsidRPr="00383464">
        <w:rPr>
          <w:rFonts w:eastAsia="Calibri"/>
          <w:b/>
          <w:bCs/>
          <w:sz w:val="26"/>
        </w:rPr>
        <w:t>Managing Intellectual Property</w:t>
      </w:r>
      <w:r w:rsidRPr="00383464">
        <w:rPr>
          <w:rFonts w:eastAsia="Calibri"/>
          <w:bCs/>
          <w:iCs/>
        </w:rPr>
        <w:t>, no. 239, Mar. 20</w:t>
      </w:r>
      <w:r w:rsidRPr="00383464">
        <w:rPr>
          <w:rFonts w:eastAsia="Calibri"/>
          <w:b/>
          <w:bCs/>
          <w:sz w:val="26"/>
        </w:rPr>
        <w:t>14</w:t>
      </w:r>
      <w:r w:rsidRPr="00383464">
        <w:rPr>
          <w:rFonts w:eastAsia="Calibri"/>
          <w:bCs/>
          <w:iCs/>
        </w:rPr>
        <w:t>, p. 73. EBSCOhost, search.ebscohost.com/login.aspx?direct=true&amp;AuthType=sso&amp;db=bth&amp;AN=95821846&amp;site=ehost-live&amp;scope=site (Accessed July 8, 2024) CR</w:t>
      </w:r>
    </w:p>
    <w:p w14:paraId="2DDB318E" w14:textId="77777777" w:rsidR="005F027F" w:rsidRDefault="005F027F" w:rsidP="005F027F">
      <w:pPr>
        <w:rPr>
          <w:rFonts w:eastAsia="Calibri"/>
          <w:u w:val="single"/>
        </w:rPr>
      </w:pPr>
      <w:r w:rsidRPr="00383464">
        <w:rPr>
          <w:rFonts w:eastAsia="Calibri"/>
          <w:bCs/>
          <w:iCs/>
        </w:rPr>
        <w:t xml:space="preserve">But </w:t>
      </w:r>
      <w:r w:rsidRPr="00F17596">
        <w:rPr>
          <w:rFonts w:eastAsia="Calibri"/>
          <w:highlight w:val="darkGray"/>
          <w:u w:val="single"/>
        </w:rPr>
        <w:t>lawmakers seemed hesitant to implement drastic legislation, with many suggesting they would prefer companies came to agreements among themselves</w:t>
      </w:r>
      <w:r w:rsidRPr="00F17596">
        <w:rPr>
          <w:rFonts w:eastAsia="Calibri"/>
          <w:bCs/>
          <w:iCs/>
          <w:highlight w:val="darkGray"/>
        </w:rPr>
        <w:t>.</w:t>
      </w:r>
      <w:r w:rsidRPr="00383464">
        <w:rPr>
          <w:rFonts w:eastAsia="Calibri"/>
          <w:bCs/>
          <w:iCs/>
        </w:rPr>
        <w:t xml:space="preserve"> "I think it's important that we </w:t>
      </w:r>
      <w:proofErr w:type="spellStart"/>
      <w:r w:rsidRPr="00383464">
        <w:rPr>
          <w:rFonts w:eastAsia="Calibri"/>
          <w:bCs/>
          <w:iCs/>
        </w:rPr>
        <w:t>recognise</w:t>
      </w:r>
      <w:proofErr w:type="spellEnd"/>
      <w:r w:rsidRPr="00383464">
        <w:rPr>
          <w:rFonts w:eastAsia="Calibri"/>
          <w:bCs/>
          <w:iCs/>
        </w:rPr>
        <w:t xml:space="preserve">, as with doctors, first do no harm," said Representative Zoe Lofgren. Representative Adam Smith seemed sympathetic to the issues faced by the internet companies. In their testimony, Oyama and Sieminski and others presented evidence of a growing issue of abusive takedown notices being used to censor critical commentary or interfere with "legitimate competition." </w:t>
      </w:r>
      <w:r w:rsidRPr="00F17596">
        <w:rPr>
          <w:rFonts w:eastAsia="Calibri"/>
          <w:highlight w:val="darkGray"/>
          <w:u w:val="single"/>
        </w:rPr>
        <w:t>Smith said there should be statutory damages for the abusive use of takedown notices, as there is for copyright infringement. "I hope you can all figure out a way to solve this problem without getting the government involved," said Representative Poe. Somewhat ironically for a Congressman, he added: "Because government makes it worse, not better."</w:t>
      </w:r>
    </w:p>
    <w:p w14:paraId="4D08D373" w14:textId="77777777" w:rsidR="005F027F" w:rsidRPr="00383464" w:rsidRDefault="005F027F" w:rsidP="005F027F">
      <w:pPr>
        <w:pStyle w:val="Heading4"/>
      </w:pPr>
      <w:r w:rsidRPr="00383464">
        <w:t>Government intervention trades off with more effective free market solutions – plan hinders innovation and creative problem solving</w:t>
      </w:r>
    </w:p>
    <w:p w14:paraId="66A4CBD3" w14:textId="77777777" w:rsidR="005F027F" w:rsidRPr="0051313E" w:rsidRDefault="005F027F" w:rsidP="005F027F">
      <w:r w:rsidRPr="0051313E">
        <w:rPr>
          <w:rStyle w:val="Style13ptBold"/>
        </w:rPr>
        <w:t>Seevers</w:t>
      </w:r>
      <w:r w:rsidRPr="0051313E">
        <w:t>, B. (20</w:t>
      </w:r>
      <w:r w:rsidRPr="0051313E">
        <w:rPr>
          <w:rStyle w:val="Style13ptBold"/>
        </w:rPr>
        <w:t>23</w:t>
      </w:r>
      <w:r w:rsidRPr="0051313E">
        <w:t xml:space="preserve">, June 15). The Unseen Costs of Intellectual Property - </w:t>
      </w:r>
      <w:proofErr w:type="spellStart"/>
      <w:r w:rsidRPr="0051313E">
        <w:t>Econlib</w:t>
      </w:r>
      <w:proofErr w:type="spellEnd"/>
      <w:r w:rsidRPr="0051313E">
        <w:t xml:space="preserve">. </w:t>
      </w:r>
      <w:proofErr w:type="spellStart"/>
      <w:r w:rsidRPr="0051313E">
        <w:t>Econlib</w:t>
      </w:r>
      <w:proofErr w:type="spellEnd"/>
      <w:r w:rsidRPr="0051313E">
        <w:t xml:space="preserve">. </w:t>
      </w:r>
      <w:hyperlink r:id="rId12" w:history="1">
        <w:r w:rsidRPr="00921EA4">
          <w:rPr>
            <w:rStyle w:val="Hyperlink"/>
          </w:rPr>
          <w:t>https://www.econlib.org/the-unseen-costs-of-intellectual-property/</w:t>
        </w:r>
      </w:hyperlink>
      <w:r>
        <w:t xml:space="preserve"> (Accessed July 8, 2024) CR</w:t>
      </w:r>
    </w:p>
    <w:p w14:paraId="4E2542BC" w14:textId="76F27E31" w:rsidR="005F027F" w:rsidRPr="00F17596" w:rsidRDefault="005F027F" w:rsidP="005F027F">
      <w:pPr>
        <w:rPr>
          <w:u w:val="single"/>
        </w:rPr>
      </w:pPr>
      <w:r w:rsidRPr="0051313E">
        <w:rPr>
          <w:sz w:val="14"/>
        </w:rPr>
        <w:t xml:space="preserve">Is all lost? Are we to give up innovation? No; </w:t>
      </w:r>
      <w:r w:rsidRPr="0051313E">
        <w:rPr>
          <w:rStyle w:val="StyleUnderline"/>
        </w:rPr>
        <w:t xml:space="preserve">there is plenty of literature explaining how </w:t>
      </w:r>
      <w:r w:rsidRPr="00F17596">
        <w:rPr>
          <w:rStyle w:val="StyleUnderline"/>
          <w:highlight w:val="darkGray"/>
        </w:rPr>
        <w:t>innovation occurs in the absence of IP protections</w:t>
      </w:r>
      <w:r w:rsidRPr="0051313E">
        <w:rPr>
          <w:sz w:val="14"/>
        </w:rPr>
        <w:t xml:space="preserve"> (Against Intellectual Property and Against Intellectual Monopoly). </w:t>
      </w:r>
      <w:r w:rsidRPr="0051313E">
        <w:rPr>
          <w:rStyle w:val="StyleUnderline"/>
        </w:rPr>
        <w:t>Non-profits can innovate, too</w:t>
      </w:r>
      <w:r w:rsidRPr="0051313E">
        <w:rPr>
          <w:sz w:val="14"/>
        </w:rPr>
        <w:t xml:space="preserve">. If a group of people observe that the private sector is innovating inefficiently according to their preferences, they can form or fund a non-profit corporation that engages in research regardless of IP protections. Furthermore, </w:t>
      </w:r>
      <w:r w:rsidRPr="0051313E">
        <w:rPr>
          <w:rStyle w:val="StyleUnderline"/>
        </w:rPr>
        <w:t xml:space="preserve">for-profit </w:t>
      </w:r>
      <w:r w:rsidRPr="00F17596">
        <w:rPr>
          <w:rStyle w:val="StyleUnderline"/>
          <w:highlight w:val="darkGray"/>
        </w:rPr>
        <w:t>companies can</w:t>
      </w:r>
      <w:r w:rsidRPr="0051313E">
        <w:rPr>
          <w:rStyle w:val="StyleUnderline"/>
        </w:rPr>
        <w:t xml:space="preserve"> take a lot of measures to </w:t>
      </w:r>
      <w:r w:rsidRPr="00F17596">
        <w:rPr>
          <w:rStyle w:val="StyleUnderline"/>
          <w:highlight w:val="darkGray"/>
        </w:rPr>
        <w:t>make sure that their formulas are not copies</w:t>
      </w:r>
      <w:r w:rsidRPr="0051313E">
        <w:rPr>
          <w:rStyle w:val="StyleUnderline"/>
        </w:rPr>
        <w:t>, such as built-in obsolescence, un-replicability, and non-disclosure agreements. These are only some ways that companies can protect their formulas</w:t>
      </w:r>
      <w:r w:rsidRPr="0051313E">
        <w:rPr>
          <w:sz w:val="14"/>
        </w:rPr>
        <w:t xml:space="preserve">. Who is to say that a company will not hire a team of scientists to innovate more </w:t>
      </w:r>
      <w:proofErr w:type="gramStart"/>
      <w:r w:rsidRPr="0051313E">
        <w:rPr>
          <w:sz w:val="14"/>
        </w:rPr>
        <w:t>in order to</w:t>
      </w:r>
      <w:proofErr w:type="gramEnd"/>
      <w:r w:rsidRPr="0051313E">
        <w:rPr>
          <w:sz w:val="14"/>
        </w:rPr>
        <w:t xml:space="preserve"> stay ahead of competitors? Are we to suspect that pharmaceutical companies will simply give up? Definitely </w:t>
      </w:r>
      <w:proofErr w:type="gramStart"/>
      <w:r w:rsidRPr="0051313E">
        <w:rPr>
          <w:sz w:val="14"/>
        </w:rPr>
        <w:t>not;</w:t>
      </w:r>
      <w:proofErr w:type="gramEnd"/>
      <w:r w:rsidRPr="0051313E">
        <w:rPr>
          <w:sz w:val="14"/>
        </w:rPr>
        <w:t xml:space="preserve"> they will just adopt a different business model. There is no way to determine a priori how a company will alter innovation in the absence of IP. Some will not be affected, some will decrease innovation, and some will innovate more. The choice of potential innovators is not always between innovating or not innovating, it is between innovating here, innovating there, or going into some non-innovative yet productive endeavor. To say that there is an underproduction of innovation at any point is to suggest that there is a better quantity of innovation that exceeds the quantity of innovation desired voluntarily by consumers. If consumers are willing and able to support a higher degree of innovation, someone will find a way to exploit that desire, thus, profiting. The claim states that there is an efficient level of innovation outside of what human actors have voluntarily demonstrated. Efficiency, determined by voluntary actions of human actors, is opposed to the IP. </w:t>
      </w:r>
      <w:r w:rsidRPr="0051313E">
        <w:rPr>
          <w:rStyle w:val="StyleUnderline"/>
        </w:rPr>
        <w:t xml:space="preserve">Ultimately, many, </w:t>
      </w:r>
      <w:r w:rsidRPr="00F17596">
        <w:rPr>
          <w:rStyle w:val="StyleUnderline"/>
          <w:highlight w:val="darkGray"/>
        </w:rPr>
        <w:t xml:space="preserve">many people are harmed </w:t>
      </w:r>
      <w:proofErr w:type="gramStart"/>
      <w:r w:rsidRPr="00F17596">
        <w:rPr>
          <w:rStyle w:val="StyleUnderline"/>
          <w:highlight w:val="darkGray"/>
        </w:rPr>
        <w:t>in order to</w:t>
      </w:r>
      <w:proofErr w:type="gramEnd"/>
      <w:r w:rsidRPr="00F17596">
        <w:rPr>
          <w:rStyle w:val="StyleUnderline"/>
          <w:highlight w:val="darkGray"/>
        </w:rPr>
        <w:t xml:space="preserve"> provide protection for someone else’s idea in excess of the free market quantity of protection.</w:t>
      </w:r>
      <w:r w:rsidRPr="00F17596">
        <w:rPr>
          <w:sz w:val="14"/>
          <w:highlight w:val="darkGray"/>
        </w:rPr>
        <w:t xml:space="preserve"> </w:t>
      </w:r>
      <w:r w:rsidRPr="00F17596">
        <w:rPr>
          <w:rStyle w:val="Emphasis"/>
          <w:highlight w:val="darkGray"/>
        </w:rPr>
        <w:t>Such a thing harms consumers generally instead of enhancing their welfare. That alone is enough to be against IP</w:t>
      </w:r>
      <w:r w:rsidRPr="0051313E">
        <w:rPr>
          <w:rStyle w:val="Emphasis"/>
        </w:rPr>
        <w:t>.</w:t>
      </w:r>
      <w:r w:rsidRPr="0051313E">
        <w:rPr>
          <w:sz w:val="14"/>
        </w:rPr>
        <w:t xml:space="preserve"> </w:t>
      </w:r>
      <w:r w:rsidRPr="0051313E">
        <w:rPr>
          <w:rStyle w:val="StyleUnderline"/>
        </w:rPr>
        <w:t xml:space="preserve">Prioritizing one innovation over another is nothing short of arrogance. It neglects the unseen effects of </w:t>
      </w:r>
      <w:r w:rsidRPr="00F17596">
        <w:rPr>
          <w:rStyle w:val="StyleUnderline"/>
          <w:highlight w:val="darkGray"/>
        </w:rPr>
        <w:t>government</w:t>
      </w:r>
      <w:r w:rsidRPr="0051313E">
        <w:rPr>
          <w:rStyle w:val="StyleUnderline"/>
        </w:rPr>
        <w:t xml:space="preserve"> intervention and </w:t>
      </w:r>
      <w:r w:rsidRPr="00F17596">
        <w:rPr>
          <w:rStyle w:val="StyleUnderline"/>
          <w:highlight w:val="darkGray"/>
        </w:rPr>
        <w:t>subverts the ability of the market to fulfill consumer desires</w:t>
      </w:r>
      <w:r w:rsidRPr="0051313E">
        <w:rPr>
          <w:rStyle w:val="StyleUnderline"/>
        </w:rPr>
        <w:t>. All action aims at the satisfaction of human affairs. Choosing not to innovate is a beneficial decision just like any other, and we should not make it a matter of public policy.</w:t>
      </w:r>
    </w:p>
    <w:p w14:paraId="067DF3DA" w14:textId="77777777" w:rsidR="005F027F" w:rsidRDefault="005F027F" w:rsidP="005F027F">
      <w:pPr>
        <w:rPr>
          <w:rFonts w:eastAsiaTheme="majorEastAsia" w:cstheme="majorBidi"/>
          <w:b/>
          <w:iCs/>
          <w:sz w:val="26"/>
        </w:rPr>
      </w:pPr>
      <w:r>
        <w:br w:type="page"/>
      </w:r>
    </w:p>
    <w:p w14:paraId="2900A599" w14:textId="77777777" w:rsidR="005F027F" w:rsidRDefault="005F027F" w:rsidP="005F027F">
      <w:pPr>
        <w:pStyle w:val="Heading3"/>
      </w:pPr>
      <w:r>
        <w:lastRenderedPageBreak/>
        <w:t>Intervention Fails – Causes global devaluation</w:t>
      </w:r>
    </w:p>
    <w:p w14:paraId="18DDA94A" w14:textId="77777777" w:rsidR="005F027F" w:rsidRPr="00383464" w:rsidRDefault="005F027F" w:rsidP="005F027F">
      <w:pPr>
        <w:pStyle w:val="Heading4"/>
      </w:pPr>
      <w:r w:rsidRPr="00383464">
        <w:t>Current industry standards are working – massive changes will devalue American IP and stifle innovation</w:t>
      </w:r>
    </w:p>
    <w:p w14:paraId="0AB43309" w14:textId="77777777" w:rsidR="005F027F" w:rsidRPr="009C3F1E" w:rsidRDefault="005F027F" w:rsidP="005F027F">
      <w:r w:rsidRPr="009C3F1E">
        <w:rPr>
          <w:rStyle w:val="Style13ptBold"/>
        </w:rPr>
        <w:t>Cullen et al, 23</w:t>
      </w:r>
      <w:r w:rsidRPr="009C3F1E">
        <w:t xml:space="preserve"> Cullen, F., Iancu, A., Kappos, D., Michel, P., &amp; O’Malley, K. (2023). A government agenda for intellectual property. Council for Innovation Promotion. </w:t>
      </w:r>
      <w:hyperlink r:id="rId13" w:history="1">
        <w:r w:rsidRPr="009C3F1E">
          <w:rPr>
            <w:rStyle w:val="Hyperlink"/>
          </w:rPr>
          <w:t>https://c4ip.org/wp-content/uploads/2023/07/Reaffirm-and-Refine-A-Government-Agenda-for-Intellectual-Property-July-2023.pdf</w:t>
        </w:r>
      </w:hyperlink>
      <w:r w:rsidRPr="009C3F1E">
        <w:t xml:space="preserve"> (Accessed July 6, 2024)</w:t>
      </w:r>
    </w:p>
    <w:p w14:paraId="3E1687C2" w14:textId="77777777" w:rsidR="005F027F" w:rsidRPr="009C3F1E" w:rsidRDefault="005F027F" w:rsidP="005F027F">
      <w:pPr>
        <w:jc w:val="both"/>
        <w:rPr>
          <w:rStyle w:val="Emphasis"/>
          <w:b w:val="0"/>
          <w:bCs/>
          <w:sz w:val="16"/>
        </w:rPr>
      </w:pPr>
      <w:r w:rsidRPr="009C3F1E">
        <w:rPr>
          <w:rStyle w:val="StyleUnderline"/>
        </w:rPr>
        <w:t>Standardization plays a fundamental role</w:t>
      </w:r>
      <w:r w:rsidRPr="009C3F1E">
        <w:rPr>
          <w:rStyle w:val="StyleUnderline"/>
          <w:sz w:val="16"/>
        </w:rPr>
        <w:t xml:space="preserve"> in developing and implementing the foundational technologies at the core of critical global infrastructure, such as 5G and Wi-Fi. </w:t>
      </w:r>
      <w:r w:rsidRPr="009C3F1E">
        <w:rPr>
          <w:rStyle w:val="StyleUnderline"/>
        </w:rPr>
        <w:t>The</w:t>
      </w:r>
      <w:r w:rsidRPr="009C3F1E">
        <w:rPr>
          <w:rStyle w:val="StyleUnderline"/>
          <w:sz w:val="16"/>
        </w:rPr>
        <w:t xml:space="preserve"> standard setting </w:t>
      </w:r>
      <w:r w:rsidRPr="009C3F1E">
        <w:rPr>
          <w:rStyle w:val="StyleUnderline"/>
        </w:rPr>
        <w:t>process generally includes a commitment from innovators</w:t>
      </w:r>
      <w:r w:rsidRPr="009C3F1E">
        <w:rPr>
          <w:rStyle w:val="StyleUnderline"/>
          <w:sz w:val="16"/>
        </w:rPr>
        <w:t xml:space="preserve"> whose new technology is included in the standard </w:t>
      </w:r>
      <w:r w:rsidRPr="009C3F1E">
        <w:rPr>
          <w:rStyle w:val="StyleUnderline"/>
        </w:rPr>
        <w:t>to license any applicable patents on fair, reasonable, and nondiscriminatory</w:t>
      </w:r>
      <w:r w:rsidRPr="009C3F1E">
        <w:rPr>
          <w:rStyle w:val="StyleUnderline"/>
          <w:sz w:val="16"/>
        </w:rPr>
        <w:t xml:space="preserve"> (FRAND) </w:t>
      </w:r>
      <w:r w:rsidRPr="009C3F1E">
        <w:rPr>
          <w:rStyle w:val="StyleUnderline"/>
        </w:rPr>
        <w:t>terms</w:t>
      </w:r>
      <w:r w:rsidRPr="009C3F1E">
        <w:rPr>
          <w:rStyle w:val="StyleUnderline"/>
          <w:sz w:val="16"/>
        </w:rPr>
        <w:t xml:space="preserve">.42 </w:t>
      </w:r>
      <w:r w:rsidRPr="009C3F1E">
        <w:rPr>
          <w:rStyle w:val="StyleUnderline"/>
        </w:rPr>
        <w:t>This process enables</w:t>
      </w:r>
      <w:r w:rsidRPr="009C3F1E">
        <w:rPr>
          <w:rStyle w:val="StyleUnderline"/>
          <w:sz w:val="16"/>
        </w:rPr>
        <w:t xml:space="preserve"> those </w:t>
      </w:r>
      <w:r w:rsidRPr="009C3F1E">
        <w:rPr>
          <w:rStyle w:val="StyleUnderline"/>
        </w:rPr>
        <w:t>innovators to collect royalties to invest in further research and development. It also rewards the innovators for the risk they take in creating new technologies without knowing whether it will be included in the standard.</w:t>
      </w:r>
      <w:r w:rsidRPr="009C3F1E">
        <w:rPr>
          <w:rStyle w:val="StyleUnderline"/>
          <w:sz w:val="16"/>
        </w:rPr>
        <w:t xml:space="preserve"> SEP licensing involves complex incentives, highly sophisticated markets, and worldwide portfolio considerations. Critics of the system suggest that it is not working, pointing to the few licensing disputes that end up in court. But </w:t>
      </w:r>
      <w:r w:rsidRPr="00F17596">
        <w:rPr>
          <w:rStyle w:val="StyleUnderline"/>
          <w:highlight w:val="darkGray"/>
        </w:rPr>
        <w:t>the fact that there is some litigation does not mean the system is broken</w:t>
      </w:r>
      <w:r w:rsidRPr="009C3F1E">
        <w:rPr>
          <w:rStyle w:val="Emphasis"/>
        </w:rPr>
        <w:t>.</w:t>
      </w:r>
      <w:r w:rsidRPr="009C3F1E">
        <w:rPr>
          <w:rStyle w:val="StyleUnderline"/>
          <w:sz w:val="16"/>
        </w:rPr>
        <w:t xml:space="preserve"> And </w:t>
      </w:r>
      <w:r w:rsidRPr="009C3F1E">
        <w:rPr>
          <w:rStyle w:val="StyleUnderline"/>
        </w:rPr>
        <w:t>in any case, data shows that</w:t>
      </w:r>
      <w:r w:rsidRPr="009C3F1E">
        <w:rPr>
          <w:rStyle w:val="StyleUnderline"/>
          <w:sz w:val="16"/>
        </w:rPr>
        <w:t xml:space="preserve"> SEP-related litigation </w:t>
      </w:r>
      <w:r w:rsidRPr="009C3F1E">
        <w:rPr>
          <w:rStyle w:val="StyleUnderline"/>
        </w:rPr>
        <w:t>has decreased when normalized to account for the growth of industries implementing SEPs</w:t>
      </w:r>
      <w:r w:rsidRPr="009C3F1E">
        <w:rPr>
          <w:rStyle w:val="StyleUnderline"/>
          <w:sz w:val="16"/>
        </w:rPr>
        <w:t xml:space="preserve">.43 Purported </w:t>
      </w:r>
      <w:r w:rsidRPr="009C3F1E">
        <w:rPr>
          <w:rStyle w:val="StyleUnderline"/>
        </w:rPr>
        <w:t>solutions to this non-existent problem</w:t>
      </w:r>
      <w:r w:rsidRPr="009C3F1E">
        <w:rPr>
          <w:rStyle w:val="StyleUnderline"/>
          <w:sz w:val="16"/>
        </w:rPr>
        <w:t xml:space="preserve">, such as the European Union’s recent release of a draft proposal to create a court to set a non-binding royalty rate44 or a similar proposal being informally circulated in the United States to have a single SEPs rate court, </w:t>
      </w:r>
      <w:r w:rsidRPr="009C3F1E">
        <w:rPr>
          <w:rStyle w:val="StyleUnderline"/>
        </w:rPr>
        <w:t>will most likely lead to the devaluation of innovator companies’ intellectual property</w:t>
      </w:r>
      <w:r w:rsidRPr="009C3F1E">
        <w:rPr>
          <w:rStyle w:val="StyleUnderline"/>
          <w:sz w:val="16"/>
        </w:rPr>
        <w:t xml:space="preserve">. </w:t>
      </w:r>
      <w:r w:rsidRPr="009C3F1E">
        <w:rPr>
          <w:rStyle w:val="StyleUnderline"/>
        </w:rPr>
        <w:t>It will</w:t>
      </w:r>
      <w:r w:rsidRPr="009C3F1E">
        <w:rPr>
          <w:rStyle w:val="StyleUnderline"/>
          <w:sz w:val="16"/>
        </w:rPr>
        <w:t xml:space="preserve"> also </w:t>
      </w:r>
      <w:r w:rsidRPr="009C3F1E">
        <w:rPr>
          <w:rStyle w:val="StyleUnderline"/>
        </w:rPr>
        <w:t>signal to countries whose domestic industry is dominated by implementors of technology (rather than innovators of it) to create their own system that is explicitly designed to depress royalty rates</w:t>
      </w:r>
      <w:r w:rsidRPr="009C3F1E">
        <w:rPr>
          <w:rStyle w:val="StyleUnderline"/>
          <w:sz w:val="16"/>
        </w:rPr>
        <w:t xml:space="preserve">. This is already occurring in a less systematic form in countries like </w:t>
      </w:r>
      <w:proofErr w:type="gramStart"/>
      <w:r w:rsidRPr="009C3F1E">
        <w:rPr>
          <w:rStyle w:val="StyleUnderline"/>
          <w:sz w:val="16"/>
        </w:rPr>
        <w:t>China, and</w:t>
      </w:r>
      <w:proofErr w:type="gramEnd"/>
      <w:r w:rsidRPr="009C3F1E">
        <w:rPr>
          <w:rStyle w:val="StyleUnderline"/>
          <w:sz w:val="16"/>
        </w:rPr>
        <w:t xml:space="preserve"> would predictably be accelerated if the United States signals that significant regulatory intervention in this space is needed.45 </w:t>
      </w:r>
      <w:r w:rsidRPr="009C3F1E">
        <w:rPr>
          <w:rStyle w:val="Emphasis"/>
        </w:rPr>
        <w:t xml:space="preserve">In other words, </w:t>
      </w:r>
      <w:r w:rsidRPr="00F17596">
        <w:rPr>
          <w:rStyle w:val="Emphasis"/>
          <w:highlight w:val="darkGray"/>
        </w:rPr>
        <w:t>attempting to regulate these markets at home will almost surely guarantee that American IP is devalued abroad</w:t>
      </w:r>
      <w:r w:rsidRPr="009C3F1E">
        <w:rPr>
          <w:rStyle w:val="StyleUnderline"/>
          <w:sz w:val="16"/>
        </w:rPr>
        <w:t xml:space="preserve">. </w:t>
      </w:r>
      <w:r w:rsidRPr="00F17596">
        <w:rPr>
          <w:rStyle w:val="Emphasis"/>
          <w:highlight w:val="darkGray"/>
        </w:rPr>
        <w:t>Congress should avoid</w:t>
      </w:r>
      <w:r w:rsidRPr="009C3F1E">
        <w:rPr>
          <w:rStyle w:val="Emphasis"/>
        </w:rPr>
        <w:t xml:space="preserve"> heavy</w:t>
      </w:r>
      <w:r>
        <w:rPr>
          <w:rStyle w:val="Emphasis"/>
        </w:rPr>
        <w:t xml:space="preserve"> </w:t>
      </w:r>
      <w:r w:rsidRPr="009C3F1E">
        <w:rPr>
          <w:rStyle w:val="Emphasis"/>
        </w:rPr>
        <w:t xml:space="preserve">handed </w:t>
      </w:r>
      <w:r w:rsidRPr="00F17596">
        <w:rPr>
          <w:rStyle w:val="Emphasis"/>
          <w:highlight w:val="darkGray"/>
        </w:rPr>
        <w:t>legislation targeting</w:t>
      </w:r>
      <w:r w:rsidRPr="009C3F1E">
        <w:rPr>
          <w:rStyle w:val="Emphasis"/>
        </w:rPr>
        <w:t xml:space="preserve"> standard essential </w:t>
      </w:r>
      <w:r w:rsidRPr="00F17596">
        <w:rPr>
          <w:rStyle w:val="Emphasis"/>
          <w:highlight w:val="darkGray"/>
        </w:rPr>
        <w:t>patents and their licensing environment. The industry is working well on its own, and efforts to undercut it will stifle innovation</w:t>
      </w:r>
      <w:r w:rsidRPr="009C3F1E">
        <w:rPr>
          <w:rStyle w:val="Emphasis"/>
        </w:rPr>
        <w:t>.</w:t>
      </w:r>
    </w:p>
    <w:p w14:paraId="0162ECC1" w14:textId="77777777" w:rsidR="005F027F" w:rsidRDefault="005F027F" w:rsidP="005F027F">
      <w:r>
        <w:br w:type="page"/>
      </w:r>
    </w:p>
    <w:p w14:paraId="4B216255" w14:textId="77777777" w:rsidR="005F027F" w:rsidRPr="00FC757C" w:rsidRDefault="005F027F" w:rsidP="005F027F">
      <w:pPr>
        <w:pStyle w:val="Heading3"/>
        <w:rPr>
          <w:rFonts w:eastAsia="Times New Roman"/>
        </w:rPr>
      </w:pPr>
      <w:r>
        <w:rPr>
          <w:rFonts w:eastAsia="Times New Roman"/>
        </w:rPr>
        <w:lastRenderedPageBreak/>
        <w:t>Intervention Fails – Implementation takes decades</w:t>
      </w:r>
    </w:p>
    <w:p w14:paraId="5AC635E3" w14:textId="77777777" w:rsidR="005F027F" w:rsidRPr="00383464" w:rsidRDefault="005F027F" w:rsidP="005F027F">
      <w:pPr>
        <w:keepNext/>
        <w:keepLines/>
        <w:spacing w:before="40" w:after="0"/>
        <w:outlineLvl w:val="3"/>
        <w:rPr>
          <w:rFonts w:eastAsia="Times New Roman" w:cs="Times New Roman"/>
          <w:b/>
          <w:iCs/>
          <w:sz w:val="26"/>
        </w:rPr>
      </w:pPr>
      <w:r w:rsidRPr="00383464">
        <w:rPr>
          <w:rFonts w:eastAsia="Times New Roman" w:cs="Times New Roman"/>
          <w:b/>
          <w:iCs/>
          <w:sz w:val="26"/>
        </w:rPr>
        <w:t xml:space="preserve">Legislative reforms </w:t>
      </w:r>
      <w:r>
        <w:rPr>
          <w:rFonts w:eastAsia="Times New Roman" w:cs="Times New Roman"/>
          <w:b/>
          <w:iCs/>
          <w:sz w:val="26"/>
        </w:rPr>
        <w:t>take forever – statutory changes take decades</w:t>
      </w:r>
    </w:p>
    <w:p w14:paraId="010E370F" w14:textId="77777777" w:rsidR="005F027F" w:rsidRPr="00383464" w:rsidRDefault="005F027F" w:rsidP="005F027F">
      <w:pPr>
        <w:rPr>
          <w:rFonts w:eastAsia="Calibri"/>
        </w:rPr>
      </w:pPr>
      <w:r w:rsidRPr="00383464">
        <w:rPr>
          <w:rFonts w:eastAsia="Calibri"/>
        </w:rPr>
        <w:t xml:space="preserve">Dan L. </w:t>
      </w:r>
      <w:r w:rsidRPr="00383464">
        <w:rPr>
          <w:rFonts w:eastAsia="Calibri"/>
          <w:b/>
          <w:bCs/>
          <w:sz w:val="26"/>
        </w:rPr>
        <w:t>Burk</w:t>
      </w:r>
      <w:r w:rsidRPr="00383464">
        <w:rPr>
          <w:rFonts w:eastAsia="Calibri"/>
        </w:rPr>
        <w:t>, 9-16-</w:t>
      </w:r>
      <w:r w:rsidRPr="00383464">
        <w:rPr>
          <w:rFonts w:eastAsia="Calibri"/>
          <w:b/>
          <w:bCs/>
          <w:sz w:val="26"/>
        </w:rPr>
        <w:t>2011</w:t>
      </w:r>
      <w:r w:rsidRPr="00383464">
        <w:rPr>
          <w:rFonts w:eastAsia="Calibri"/>
        </w:rPr>
        <w:t xml:space="preserve">, "Patent Reform in the United States: Lessons Learned", Cato Institute, </w:t>
      </w:r>
      <w:hyperlink r:id="rId14" w:history="1">
        <w:r w:rsidRPr="00383464">
          <w:rPr>
            <w:rFonts w:eastAsia="Calibri"/>
          </w:rPr>
          <w:t>https://www.cato.org/regulation/winter-2012-2013/patent-reform-united-states-lessons-learned</w:t>
        </w:r>
      </w:hyperlink>
      <w:r w:rsidRPr="00383464">
        <w:rPr>
          <w:rFonts w:eastAsia="Calibri"/>
        </w:rPr>
        <w:t xml:space="preserve"> (Accessed July 5, 2024) CR</w:t>
      </w:r>
    </w:p>
    <w:p w14:paraId="1962FC04" w14:textId="77777777" w:rsidR="005F027F" w:rsidRDefault="005F027F" w:rsidP="005F027F">
      <w:pPr>
        <w:jc w:val="both"/>
        <w:rPr>
          <w:rFonts w:eastAsia="Calibri"/>
          <w:sz w:val="16"/>
        </w:rPr>
      </w:pPr>
      <w:r w:rsidRPr="00F17596">
        <w:rPr>
          <w:rFonts w:eastAsia="Calibri"/>
          <w:b/>
          <w:iCs/>
          <w:highlight w:val="darkGray"/>
          <w:u w:val="single"/>
        </w:rPr>
        <w:t>Legislative patent reform can be</w:t>
      </w:r>
      <w:r w:rsidRPr="00383464">
        <w:rPr>
          <w:rFonts w:eastAsia="Calibri"/>
          <w:sz w:val="16"/>
        </w:rPr>
        <w:t xml:space="preserve"> a </w:t>
      </w:r>
      <w:r w:rsidRPr="00F17596">
        <w:rPr>
          <w:rFonts w:eastAsia="Calibri"/>
          <w:b/>
          <w:iCs/>
          <w:highlight w:val="darkGray"/>
          <w:u w:val="single"/>
        </w:rPr>
        <w:t>costly</w:t>
      </w:r>
      <w:r w:rsidRPr="00383464">
        <w:rPr>
          <w:rFonts w:eastAsia="Calibri"/>
          <w:sz w:val="16"/>
        </w:rPr>
        <w:t xml:space="preserve"> proposition. </w:t>
      </w:r>
      <w:r w:rsidRPr="00383464">
        <w:rPr>
          <w:rFonts w:eastAsia="Calibri"/>
          <w:u w:val="single"/>
        </w:rPr>
        <w:t>Aside from</w:t>
      </w:r>
      <w:r w:rsidRPr="00383464">
        <w:rPr>
          <w:rFonts w:eastAsia="Calibri"/>
          <w:sz w:val="16"/>
        </w:rPr>
        <w:t xml:space="preserve"> the problem of </w:t>
      </w:r>
      <w:r w:rsidRPr="00383464">
        <w:rPr>
          <w:rFonts w:eastAsia="Calibri"/>
          <w:u w:val="single"/>
        </w:rPr>
        <w:t xml:space="preserve">special interest </w:t>
      </w:r>
      <w:proofErr w:type="gramStart"/>
      <w:r w:rsidRPr="00383464">
        <w:rPr>
          <w:rFonts w:eastAsia="Calibri"/>
          <w:u w:val="single"/>
        </w:rPr>
        <w:t>rent-seeking</w:t>
      </w:r>
      <w:proofErr w:type="gramEnd"/>
      <w:r w:rsidRPr="00383464">
        <w:rPr>
          <w:rFonts w:eastAsia="Calibri"/>
          <w:sz w:val="16"/>
        </w:rPr>
        <w:t xml:space="preserve">, the </w:t>
      </w:r>
      <w:r w:rsidRPr="00F17596">
        <w:rPr>
          <w:rFonts w:eastAsia="Calibri"/>
          <w:highlight w:val="darkGray"/>
          <w:u w:val="single"/>
        </w:rPr>
        <w:t>switching costs of adapting common practice to new legislation can be</w:t>
      </w:r>
      <w:r w:rsidRPr="00383464">
        <w:rPr>
          <w:rFonts w:eastAsia="Calibri"/>
          <w:sz w:val="16"/>
        </w:rPr>
        <w:t xml:space="preserve"> extraordinarily </w:t>
      </w:r>
      <w:r w:rsidRPr="00F17596">
        <w:rPr>
          <w:rFonts w:eastAsia="Calibri"/>
          <w:highlight w:val="darkGray"/>
          <w:u w:val="single"/>
        </w:rPr>
        <w:t>high</w:t>
      </w:r>
      <w:r w:rsidRPr="00383464">
        <w:rPr>
          <w:rFonts w:eastAsia="Calibri"/>
          <w:sz w:val="16"/>
        </w:rPr>
        <w:t xml:space="preserve">. </w:t>
      </w:r>
      <w:r w:rsidRPr="00383464">
        <w:rPr>
          <w:rFonts w:eastAsia="Calibri"/>
          <w:u w:val="single"/>
        </w:rPr>
        <w:t>The A</w:t>
      </w:r>
      <w:r w:rsidRPr="00383464">
        <w:rPr>
          <w:rFonts w:eastAsia="Calibri"/>
          <w:sz w:val="16"/>
        </w:rPr>
        <w:t xml:space="preserve">merica </w:t>
      </w:r>
      <w:r w:rsidRPr="00383464">
        <w:rPr>
          <w:rFonts w:eastAsia="Calibri"/>
          <w:u w:val="single"/>
        </w:rPr>
        <w:t>I</w:t>
      </w:r>
      <w:r w:rsidRPr="00383464">
        <w:rPr>
          <w:rFonts w:eastAsia="Calibri"/>
          <w:sz w:val="16"/>
        </w:rPr>
        <w:t xml:space="preserve">nvents </w:t>
      </w:r>
      <w:r w:rsidRPr="00383464">
        <w:rPr>
          <w:rFonts w:eastAsia="Calibri"/>
          <w:u w:val="single"/>
        </w:rPr>
        <w:t>A</w:t>
      </w:r>
      <w:r w:rsidRPr="00383464">
        <w:rPr>
          <w:rFonts w:eastAsia="Calibri"/>
          <w:sz w:val="16"/>
        </w:rPr>
        <w:t xml:space="preserve">ct </w:t>
      </w:r>
      <w:r w:rsidRPr="00383464">
        <w:rPr>
          <w:rFonts w:eastAsia="Calibri"/>
          <w:u w:val="single"/>
        </w:rPr>
        <w:t>offers a prime example of such switching costs</w:t>
      </w:r>
      <w:r w:rsidRPr="00383464">
        <w:rPr>
          <w:rFonts w:eastAsia="Calibri"/>
          <w:sz w:val="16"/>
        </w:rPr>
        <w:t xml:space="preserve">. Although businesses will likely experience somewhat lowered costs in managing international patent filings, the legislation disrupts long settled law, creates new opportunities for gamesmanship, foments new litigation, and introduces new uncertainty into business </w:t>
      </w:r>
      <w:proofErr w:type="spellStart"/>
      <w:r w:rsidRPr="00383464">
        <w:rPr>
          <w:rFonts w:eastAsia="Calibri"/>
          <w:sz w:val="16"/>
        </w:rPr>
        <w:t>decisionmaking</w:t>
      </w:r>
      <w:proofErr w:type="spellEnd"/>
      <w:r w:rsidRPr="00383464">
        <w:rPr>
          <w:rFonts w:eastAsia="Calibri"/>
          <w:sz w:val="16"/>
        </w:rPr>
        <w:t xml:space="preserve">. Perhaps ironically, </w:t>
      </w:r>
      <w:r w:rsidRPr="00F17596">
        <w:rPr>
          <w:rFonts w:eastAsia="Calibri"/>
          <w:highlight w:val="darkGray"/>
          <w:u w:val="single"/>
        </w:rPr>
        <w:t>this means that the</w:t>
      </w:r>
      <w:r w:rsidRPr="00383464">
        <w:rPr>
          <w:rFonts w:eastAsia="Calibri"/>
          <w:sz w:val="16"/>
        </w:rPr>
        <w:t xml:space="preserve"> true </w:t>
      </w:r>
      <w:r w:rsidRPr="00F17596">
        <w:rPr>
          <w:rFonts w:eastAsia="Calibri"/>
          <w:highlight w:val="darkGray"/>
          <w:u w:val="single"/>
        </w:rPr>
        <w:t>business of patent reform is left to the U.S. Patent Office and the courts, where it may have been better to have placed it in the first instance</w:t>
      </w:r>
      <w:r w:rsidRPr="00F17596">
        <w:rPr>
          <w:rFonts w:eastAsia="Calibri"/>
          <w:sz w:val="16"/>
          <w:highlight w:val="darkGray"/>
        </w:rPr>
        <w:t xml:space="preserve">. </w:t>
      </w:r>
      <w:r w:rsidRPr="00F17596">
        <w:rPr>
          <w:rFonts w:eastAsia="Calibri"/>
          <w:highlight w:val="darkGray"/>
          <w:u w:val="single"/>
        </w:rPr>
        <w:t>The many ambiguities and inconsistencies will ultimately be given meaning by judicial interpretation</w:t>
      </w:r>
      <w:r w:rsidRPr="00F17596">
        <w:rPr>
          <w:rFonts w:eastAsia="Calibri"/>
          <w:b/>
          <w:iCs/>
          <w:highlight w:val="darkGray"/>
          <w:u w:val="single"/>
        </w:rPr>
        <w:t>. It will</w:t>
      </w:r>
      <w:r w:rsidRPr="00F17596">
        <w:rPr>
          <w:rFonts w:eastAsia="Calibri"/>
          <w:highlight w:val="darkGray"/>
          <w:u w:val="single"/>
        </w:rPr>
        <w:t xml:space="preserve"> unquestionably </w:t>
      </w:r>
      <w:r w:rsidRPr="00F17596">
        <w:rPr>
          <w:rFonts w:eastAsia="Calibri"/>
          <w:b/>
          <w:iCs/>
          <w:highlight w:val="darkGray"/>
          <w:u w:val="single"/>
        </w:rPr>
        <w:t>take decades</w:t>
      </w:r>
      <w:r w:rsidRPr="00F17596">
        <w:rPr>
          <w:rFonts w:eastAsia="Calibri"/>
          <w:highlight w:val="darkGray"/>
          <w:u w:val="single"/>
        </w:rPr>
        <w:t xml:space="preserve"> of litigation </w:t>
      </w:r>
      <w:r w:rsidRPr="00F17596">
        <w:rPr>
          <w:rFonts w:eastAsia="Calibri"/>
          <w:b/>
          <w:iCs/>
          <w:highlight w:val="darkGray"/>
          <w:u w:val="single"/>
        </w:rPr>
        <w:t xml:space="preserve">before we know what </w:t>
      </w:r>
      <w:r w:rsidRPr="00F17596">
        <w:rPr>
          <w:rFonts w:eastAsia="Calibri"/>
          <w:highlight w:val="darkGray"/>
          <w:u w:val="single"/>
        </w:rPr>
        <w:t xml:space="preserve">many of these </w:t>
      </w:r>
      <w:r w:rsidRPr="00F17596">
        <w:rPr>
          <w:rFonts w:eastAsia="Calibri"/>
          <w:b/>
          <w:iCs/>
          <w:highlight w:val="darkGray"/>
          <w:u w:val="single"/>
        </w:rPr>
        <w:t>statutory changes</w:t>
      </w:r>
      <w:r w:rsidRPr="00F17596">
        <w:rPr>
          <w:rFonts w:eastAsia="Calibri"/>
          <w:highlight w:val="darkGray"/>
          <w:u w:val="single"/>
        </w:rPr>
        <w:t xml:space="preserve"> introduced </w:t>
      </w:r>
      <w:r w:rsidRPr="00F17596">
        <w:rPr>
          <w:rFonts w:eastAsia="Calibri"/>
          <w:b/>
          <w:iCs/>
          <w:highlight w:val="darkGray"/>
          <w:u w:val="single"/>
        </w:rPr>
        <w:t>into patent law mean for innovation</w:t>
      </w:r>
      <w:r w:rsidRPr="00383464">
        <w:rPr>
          <w:rFonts w:eastAsia="Calibri"/>
          <w:sz w:val="16"/>
        </w:rPr>
        <w:t>. The political claim that the AIA will create 200,000 new jobs may well prove to be true, but they will be jobs for patent lawyers.</w:t>
      </w:r>
    </w:p>
    <w:p w14:paraId="056AD676" w14:textId="77777777" w:rsidR="005F027F" w:rsidRDefault="005F027F" w:rsidP="005F027F">
      <w:pPr>
        <w:rPr>
          <w:rFonts w:eastAsia="Calibri"/>
          <w:sz w:val="16"/>
        </w:rPr>
      </w:pPr>
      <w:r>
        <w:rPr>
          <w:rFonts w:eastAsia="Calibri"/>
          <w:sz w:val="16"/>
        </w:rPr>
        <w:br w:type="page"/>
      </w:r>
    </w:p>
    <w:p w14:paraId="6EB223E6" w14:textId="77777777" w:rsidR="005F027F" w:rsidRDefault="005F027F" w:rsidP="005F027F">
      <w:pPr>
        <w:pStyle w:val="Heading1"/>
      </w:pPr>
      <w:r>
        <w:lastRenderedPageBreak/>
        <w:t>Mechanism Specific Cards</w:t>
      </w:r>
    </w:p>
    <w:p w14:paraId="43182B7F" w14:textId="77777777" w:rsidR="005F027F" w:rsidRDefault="005F027F" w:rsidP="005F027F">
      <w:pPr>
        <w:rPr>
          <w:rFonts w:eastAsiaTheme="majorEastAsia" w:cstheme="majorBidi"/>
          <w:b/>
          <w:sz w:val="44"/>
          <w:szCs w:val="26"/>
          <w:u w:val="double"/>
        </w:rPr>
      </w:pPr>
      <w:r>
        <w:br w:type="page"/>
      </w:r>
    </w:p>
    <w:p w14:paraId="11498FD1" w14:textId="77777777" w:rsidR="005F027F" w:rsidRDefault="005F027F" w:rsidP="005F027F">
      <w:pPr>
        <w:pStyle w:val="Heading2"/>
      </w:pPr>
      <w:r>
        <w:lastRenderedPageBreak/>
        <w:t>Trademark</w:t>
      </w:r>
    </w:p>
    <w:p w14:paraId="4E1EEEE3" w14:textId="77777777" w:rsidR="005F027F" w:rsidRDefault="005F027F" w:rsidP="005F027F">
      <w:pPr>
        <w:rPr>
          <w:rFonts w:eastAsiaTheme="majorEastAsia" w:cstheme="majorBidi"/>
          <w:b/>
          <w:sz w:val="44"/>
          <w:szCs w:val="26"/>
          <w:u w:val="double"/>
        </w:rPr>
      </w:pPr>
      <w:r>
        <w:br w:type="page"/>
      </w:r>
    </w:p>
    <w:p w14:paraId="13BF4984" w14:textId="77777777" w:rsidR="005F027F" w:rsidRDefault="005F027F" w:rsidP="005F027F">
      <w:pPr>
        <w:pStyle w:val="Heading3"/>
      </w:pPr>
      <w:r>
        <w:lastRenderedPageBreak/>
        <w:t>Increasing Trademarks Bad</w:t>
      </w:r>
    </w:p>
    <w:p w14:paraId="2C7418A2" w14:textId="77777777" w:rsidR="005F027F" w:rsidRDefault="005F027F" w:rsidP="005F027F">
      <w:pPr>
        <w:pStyle w:val="Heading4"/>
      </w:pPr>
      <w:r>
        <w:t xml:space="preserve">Increasing protections of trademarks lowers product quality – the plan </w:t>
      </w:r>
      <w:proofErr w:type="gramStart"/>
      <w:r>
        <w:t>can’t</w:t>
      </w:r>
      <w:proofErr w:type="gramEnd"/>
      <w:r>
        <w:t xml:space="preserve"> innovate if the products suck.</w:t>
      </w:r>
    </w:p>
    <w:p w14:paraId="7CE1C3DB" w14:textId="77777777" w:rsidR="005F027F" w:rsidRPr="001D0C8B" w:rsidRDefault="005F027F" w:rsidP="005F027F">
      <w:r>
        <w:t xml:space="preserve">Davidson </w:t>
      </w:r>
      <w:r w:rsidRPr="00307AEF">
        <w:rPr>
          <w:rStyle w:val="Style13ptBold"/>
        </w:rPr>
        <w:t>Heath</w:t>
      </w:r>
      <w:r>
        <w:t xml:space="preserve"> </w:t>
      </w:r>
      <w:r w:rsidRPr="00307AEF">
        <w:rPr>
          <w:rStyle w:val="Style13ptBold"/>
        </w:rPr>
        <w:t>and</w:t>
      </w:r>
      <w:r>
        <w:t xml:space="preserve"> Christopher </w:t>
      </w:r>
      <w:r w:rsidRPr="00307AEF">
        <w:rPr>
          <w:rStyle w:val="Style13ptBold"/>
        </w:rPr>
        <w:t>Mace</w:t>
      </w:r>
      <w:r>
        <w:t>, 11-13-</w:t>
      </w:r>
      <w:r w:rsidRPr="00307AEF">
        <w:rPr>
          <w:rStyle w:val="Style13ptBold"/>
        </w:rPr>
        <w:t>2019</w:t>
      </w:r>
      <w:r>
        <w:t xml:space="preserve">, "The Strategic Effects of Trademark Protection", Cato Institute, https://www.cato.org/research-briefs-economic-policy/strategic-effects-trademark-protection, accessed 7-9-2024 | </w:t>
      </w:r>
      <w:proofErr w:type="spellStart"/>
      <w:r>
        <w:t>maubu</w:t>
      </w:r>
      <w:proofErr w:type="spellEnd"/>
    </w:p>
    <w:p w14:paraId="5E1B5A45" w14:textId="4FE00B92" w:rsidR="005F027F" w:rsidRPr="00F17596" w:rsidRDefault="005F027F" w:rsidP="005F027F">
      <w:pPr>
        <w:rPr>
          <w:b/>
          <w:iCs/>
          <w:u w:val="single"/>
        </w:rPr>
      </w:pPr>
      <w:r w:rsidRPr="00B968E5">
        <w:rPr>
          <w:sz w:val="14"/>
        </w:rPr>
        <w:t xml:space="preserve">As the U.S. economy shifts toward service- and technology-based industries, firm value is increasingly accounted for by intangible capital such as intellectual property. </w:t>
      </w:r>
      <w:r w:rsidRPr="00D02045">
        <w:rPr>
          <w:rStyle w:val="Emphasis"/>
        </w:rPr>
        <w:t xml:space="preserve">We examine a basic class of intellectual-property assets—trademarks—and present evidence on the effects of trademark protection on firm profits and strategy. </w:t>
      </w:r>
      <w:r w:rsidRPr="00F17596">
        <w:rPr>
          <w:rStyle w:val="Emphasis"/>
          <w:highlight w:val="darkGray"/>
        </w:rPr>
        <w:t>Trademarks grant the holder a monopoly over a particular brand</w:t>
      </w:r>
      <w:r w:rsidRPr="00D02045">
        <w:rPr>
          <w:rStyle w:val="Emphasis"/>
        </w:rPr>
        <w:t xml:space="preserve">. </w:t>
      </w:r>
      <w:r w:rsidRPr="00B968E5">
        <w:rPr>
          <w:sz w:val="14"/>
        </w:rPr>
        <w:t xml:space="preserve">The efficiency rationale for trademark protection is that it incentivizes firms to invest in product quality and development. On the other hand, stronger trademark protection inevitably insulates incumbents from competition. Whether the quality-incentive or monopoly-rent effect dominates is an empirical question with significant policy implications. To study the causal effects of varying trademark protection, we exploit the Federal Trademark Dilution Act (FTDA) of 1995, which granted additional legal protection to “famous” trademarks until its key provision was nullified in 2003 by a U.S. Supreme Court decision. We find that the act raised treated firms’ operating return on assets by an average of 1.7 percentage points, equal to 12 percent of their average pre-FTDA profits. The passage of the act was followed by a sharp increase in trademark lawsuits under the new provision and by reduced entry and turnover in affected goods and service classes, consistent with our hypothesis that the FTDA raised the expected cost of entry into affected product markets. We next examine the FTDA’s effects on product quality and innovation and product-market strategy. In theory, trademark protection incentivizes firms to produce high-quality products and prevents a race to the bottom. Alternatively, trademark protection insulates incumbents from competition, in which case stronger protection may lead to more exploitative behavior. </w:t>
      </w:r>
      <w:r w:rsidRPr="00D100A7">
        <w:rPr>
          <w:rStyle w:val="Emphasis"/>
        </w:rPr>
        <w:t xml:space="preserve">We find that </w:t>
      </w:r>
      <w:r w:rsidRPr="00F17596">
        <w:rPr>
          <w:rStyle w:val="Emphasis"/>
          <w:highlight w:val="darkGray"/>
        </w:rPr>
        <w:t>stronger trademark protection decreased product quality, as firms</w:t>
      </w:r>
      <w:r w:rsidRPr="00D100A7">
        <w:rPr>
          <w:rStyle w:val="Emphasis"/>
        </w:rPr>
        <w:t xml:space="preserve"> that were </w:t>
      </w:r>
      <w:r w:rsidRPr="00F17596">
        <w:rPr>
          <w:rStyle w:val="Emphasis"/>
          <w:highlight w:val="darkGray"/>
        </w:rPr>
        <w:t>granted additional trademark protection had increased</w:t>
      </w:r>
      <w:r w:rsidRPr="00D100A7">
        <w:rPr>
          <w:rStyle w:val="Emphasis"/>
        </w:rPr>
        <w:t xml:space="preserve"> frequency and dollar value of </w:t>
      </w:r>
      <w:r w:rsidRPr="00F17596">
        <w:rPr>
          <w:rStyle w:val="Emphasis"/>
          <w:highlight w:val="darkGray"/>
        </w:rPr>
        <w:t>recalls of unsafe products and were less likely to launch a recall voluntarily</w:t>
      </w:r>
      <w:r w:rsidRPr="00B968E5">
        <w:rPr>
          <w:sz w:val="14"/>
        </w:rPr>
        <w:t xml:space="preserve">. This theory also predicts that trademark protection affects innovation. First, some inventions cannot be patented or are better protected via secrecy instead of disclosure. Second, patents expire whereas trademarks do not: pharmaceutical firms often continue to sell the branded drug at a premium after their patent expires. Third, trademark protection is a determinant of market power, which is a primary incentive for innovation. </w:t>
      </w:r>
      <w:r w:rsidRPr="00CD7152">
        <w:rPr>
          <w:rStyle w:val="Emphasis"/>
        </w:rPr>
        <w:t xml:space="preserve">We find that treated </w:t>
      </w:r>
      <w:r w:rsidRPr="00F17596">
        <w:rPr>
          <w:rStyle w:val="Emphasis"/>
          <w:highlight w:val="darkGray"/>
        </w:rPr>
        <w:t>firms reduced</w:t>
      </w:r>
      <w:r w:rsidRPr="00CD7152">
        <w:rPr>
          <w:rStyle w:val="Emphasis"/>
        </w:rPr>
        <w:t xml:space="preserve"> research and development (</w:t>
      </w:r>
      <w:r w:rsidRPr="00F17596">
        <w:rPr>
          <w:rStyle w:val="Emphasis"/>
          <w:highlight w:val="darkGray"/>
        </w:rPr>
        <w:t>R&amp;D</w:t>
      </w:r>
      <w:r w:rsidRPr="00CD7152">
        <w:rPr>
          <w:rStyle w:val="Emphasis"/>
        </w:rPr>
        <w:t xml:space="preserve">) </w:t>
      </w:r>
      <w:r w:rsidRPr="00F17596">
        <w:rPr>
          <w:rStyle w:val="Emphasis"/>
          <w:highlight w:val="darkGray"/>
        </w:rPr>
        <w:t>spending, patenting activity, and new product introductions</w:t>
      </w:r>
      <w:r w:rsidRPr="00CD7152">
        <w:rPr>
          <w:rStyle w:val="Emphasis"/>
        </w:rPr>
        <w:t xml:space="preserve">—suggesting that </w:t>
      </w:r>
      <w:r w:rsidRPr="00F17596">
        <w:rPr>
          <w:rStyle w:val="Emphasis"/>
          <w:highlight w:val="darkGray"/>
        </w:rPr>
        <w:t>stronger trademark protection led to lower competition and less innovation</w:t>
      </w:r>
      <w:r w:rsidRPr="00B968E5">
        <w:rPr>
          <w:sz w:val="14"/>
        </w:rPr>
        <w:t xml:space="preserve">. We also find that treated firms altered their product-market strategy by introducing brand-extending products in new product categories. At the same time, these firms created fewer new products in their legacy-product categories. Taken together, our results suggest that </w:t>
      </w:r>
      <w:r w:rsidRPr="00F17596">
        <w:rPr>
          <w:rStyle w:val="Emphasis"/>
          <w:highlight w:val="darkGray"/>
        </w:rPr>
        <w:t>firms responded to stronger trademark protection by pursuing a more exploitative and less innovative product-market strategy</w:t>
      </w:r>
      <w:r w:rsidRPr="00B968E5">
        <w:rPr>
          <w:sz w:val="14"/>
        </w:rPr>
        <w:t xml:space="preserve">, at the same time extending their brands into all-new product markets. The main challenge for our research design is that the FTDA neglected to define the term “famous,” which has been previously decided in court on a case-by-case basis. Thus, there is no objective rule whether any given trademark qualifies as famous. There are two aspects of our research design that help mitigate this problem. First, the key question for the FTDA’s effects on firm behavior is whether the firm and its competitors believed a trademark would qualify. Guided by the legal literature, we explore three independent approaches to assigning treatment status as of 1995 and find similar results for all three. Second, in our research design, mistakes in assigning treatment status attenuate the estimates of the law’s impact toward zero. With this caveat, our results </w:t>
      </w:r>
      <w:proofErr w:type="gramStart"/>
      <w:r w:rsidRPr="00B968E5">
        <w:rPr>
          <w:sz w:val="14"/>
        </w:rPr>
        <w:t>can be seen as</w:t>
      </w:r>
      <w:proofErr w:type="gramEnd"/>
      <w:r w:rsidRPr="00B968E5">
        <w:rPr>
          <w:sz w:val="14"/>
        </w:rPr>
        <w:t xml:space="preserve"> a lower bound on the law’s true effects. Our analysis lets us identify the effects of the treatment on the treated—that is, the effects of granting additional antidilution protection to incumbent firms. Thus, our results do not speak directly to the effects of protection against infringement, which is the fundamental right associated with a trademark. However, our results are informative about changes to trademark policy at the margin in an environment (the United States) of strong intellectual-property enforcement. Interestingly, our results on product quality are consistent with those of economist Yi Qian in a very different setting: Qian finds that name-brand Chinese shoe companies responded to weaker protection against counterfeits by producing higher-quality products. Our findings that the FTDA was followed by lower product quality and innovation add to recent studies on the potential downside of intellectual-property protection and suggest that </w:t>
      </w:r>
      <w:r w:rsidRPr="00F17596">
        <w:rPr>
          <w:rStyle w:val="Emphasis"/>
          <w:highlight w:val="darkGray"/>
        </w:rPr>
        <w:t>strengthening trademark protection may not deliver what is promised on the label.</w:t>
      </w:r>
      <w:r>
        <w:br w:type="page"/>
      </w:r>
    </w:p>
    <w:p w14:paraId="5A62E2FB" w14:textId="77777777" w:rsidR="005F027F" w:rsidRDefault="005F027F" w:rsidP="005F027F">
      <w:pPr>
        <w:pStyle w:val="Heading4"/>
      </w:pPr>
      <w:r>
        <w:lastRenderedPageBreak/>
        <w:t>Increasing the protection of trademarks, over burdens an already near collapsed agency from fraudulent filings and protects their registration.</w:t>
      </w:r>
    </w:p>
    <w:p w14:paraId="1EAA8FD3" w14:textId="77777777" w:rsidR="005F027F" w:rsidRPr="0081655C" w:rsidRDefault="005F027F" w:rsidP="005F027F">
      <w:r w:rsidRPr="0079586E">
        <w:rPr>
          <w:rStyle w:val="Style13ptBold"/>
        </w:rPr>
        <w:t>Harvard Law Review</w:t>
      </w:r>
      <w:r>
        <w:t>, 03-xx-</w:t>
      </w:r>
      <w:r w:rsidRPr="0079586E">
        <w:rPr>
          <w:rStyle w:val="Style13ptBold"/>
        </w:rPr>
        <w:t>2021</w:t>
      </w:r>
      <w:r>
        <w:t xml:space="preserve">, "Fanciful Failures: Keeping Nonsense Marks off the Trademark Register", Harvard Law Review, https://harvardlawreview.org/print/vol-134/fanciful-failures-keeping-nonsense-marks-off-the-trademark-register/, accessed 7-7-2024 | </w:t>
      </w:r>
      <w:proofErr w:type="spellStart"/>
      <w:r>
        <w:t>maubu</w:t>
      </w:r>
      <w:proofErr w:type="spellEnd"/>
    </w:p>
    <w:p w14:paraId="105C66ED" w14:textId="77777777" w:rsidR="005F027F" w:rsidRPr="00617F43" w:rsidRDefault="005F027F" w:rsidP="005F027F">
      <w:pPr>
        <w:rPr>
          <w:sz w:val="14"/>
        </w:rPr>
      </w:pPr>
      <w:r w:rsidRPr="00617F43">
        <w:rPr>
          <w:sz w:val="14"/>
        </w:rPr>
        <w:t xml:space="preserve">Nonsense marks do not look like trademarks typically look or work the way the trademark system assumes they are supposed to. But because of that quality, rather than </w:t>
      </w:r>
      <w:proofErr w:type="gramStart"/>
      <w:r w:rsidRPr="00617F43">
        <w:rPr>
          <w:sz w:val="14"/>
        </w:rPr>
        <w:t>in spite of</w:t>
      </w:r>
      <w:proofErr w:type="gramEnd"/>
      <w:r w:rsidRPr="00617F43">
        <w:rPr>
          <w:sz w:val="14"/>
        </w:rPr>
        <w:t xml:space="preserve"> it, nonsense marks easily meet all of the formal requirements for trademark registration and may even receive stronger protections than do many more typical marks.60 Put another way, within the existing registration system, everything but common sense indicates that these words should be valid trademarks. II. The Harms of Nonsense Marks Though nonsense marks are at odds with the purposes of the trademark system, the ease with which they qualify for registration is not necessarily a problem in and of itself. Unlike marks that might confuse or deceive about a product’s source of origin, it does not seem that the presence of nonsense marks in the market will directly harm consumers or lead them to buy products they do not intend to. Since consumer protection has become the guiding normative justification for trademark law,61 the question for nonsense marks, as it is for other nontraditional proposed marks, is why not offer trademark protection?62 However, as scholars like Professors Rebecca </w:t>
      </w:r>
      <w:proofErr w:type="spellStart"/>
      <w:r w:rsidRPr="00617F43">
        <w:rPr>
          <w:sz w:val="14"/>
        </w:rPr>
        <w:t>Tushnet</w:t>
      </w:r>
      <w:proofErr w:type="spellEnd"/>
      <w:r w:rsidRPr="00617F43">
        <w:rPr>
          <w:sz w:val="14"/>
        </w:rPr>
        <w:t xml:space="preserve"> and Mark McKenna have noted, trademark law’s primary focus on consumer protection is both recent63 </w:t>
      </w:r>
      <w:r w:rsidRPr="0018266E">
        <w:rPr>
          <w:sz w:val="14"/>
          <w:szCs w:val="14"/>
        </w:rPr>
        <w:t>and</w:t>
      </w:r>
      <w:r w:rsidRPr="0018266E">
        <w:rPr>
          <w:sz w:val="6"/>
          <w:szCs w:val="14"/>
        </w:rPr>
        <w:t xml:space="preserve"> </w:t>
      </w:r>
      <w:r w:rsidRPr="00617F43">
        <w:rPr>
          <w:sz w:val="14"/>
        </w:rPr>
        <w:t xml:space="preserve">limited.64 </w:t>
      </w:r>
      <w:r w:rsidRPr="00F17596">
        <w:rPr>
          <w:rStyle w:val="Emphasis"/>
          <w:highlight w:val="darkGray"/>
        </w:rPr>
        <w:t>Any choice to expand trademark protection</w:t>
      </w:r>
      <w:r w:rsidRPr="0016575A">
        <w:rPr>
          <w:rStyle w:val="Emphasis"/>
        </w:rPr>
        <w:t xml:space="preserve"> in a new way can </w:t>
      </w:r>
      <w:r w:rsidRPr="00F17596">
        <w:rPr>
          <w:rStyle w:val="Emphasis"/>
          <w:highlight w:val="darkGray"/>
        </w:rPr>
        <w:t xml:space="preserve">impose burdens </w:t>
      </w:r>
      <w:r w:rsidRPr="0018266E">
        <w:rPr>
          <w:rStyle w:val="Emphasis"/>
        </w:rPr>
        <w:t xml:space="preserve">beyond those </w:t>
      </w:r>
      <w:r w:rsidRPr="00F17596">
        <w:rPr>
          <w:rStyle w:val="Emphasis"/>
          <w:highlight w:val="darkGray"/>
        </w:rPr>
        <w:t>for consumers</w:t>
      </w:r>
      <w:r w:rsidRPr="0016575A">
        <w:rPr>
          <w:rStyle w:val="Emphasis"/>
        </w:rPr>
        <w:t xml:space="preserve">, including burdens on </w:t>
      </w:r>
      <w:r w:rsidRPr="00F17596">
        <w:rPr>
          <w:rStyle w:val="Emphasis"/>
          <w:highlight w:val="darkGray"/>
        </w:rPr>
        <w:t>the USPTO</w:t>
      </w:r>
      <w:r w:rsidRPr="0016575A">
        <w:rPr>
          <w:rStyle w:val="Emphasis"/>
        </w:rPr>
        <w:t xml:space="preserve">, on </w:t>
      </w:r>
      <w:r w:rsidRPr="00F17596">
        <w:rPr>
          <w:rStyle w:val="Emphasis"/>
          <w:highlight w:val="darkGray"/>
        </w:rPr>
        <w:t>competitors, and</w:t>
      </w:r>
      <w:r w:rsidRPr="0016575A">
        <w:rPr>
          <w:rStyle w:val="Emphasis"/>
        </w:rPr>
        <w:t xml:space="preserve"> on </w:t>
      </w:r>
      <w:r w:rsidRPr="00F17596">
        <w:rPr>
          <w:rStyle w:val="Emphasis"/>
          <w:highlight w:val="darkGray"/>
        </w:rPr>
        <w:t>the</w:t>
      </w:r>
      <w:r w:rsidRPr="0016575A">
        <w:rPr>
          <w:rStyle w:val="Emphasis"/>
        </w:rPr>
        <w:t xml:space="preserve"> </w:t>
      </w:r>
      <w:r w:rsidRPr="00F17596">
        <w:rPr>
          <w:rStyle w:val="Emphasis"/>
          <w:highlight w:val="darkGray"/>
        </w:rPr>
        <w:t>trademark system</w:t>
      </w:r>
      <w:r w:rsidRPr="0016575A">
        <w:rPr>
          <w:rStyle w:val="Emphasis"/>
        </w:rPr>
        <w:t xml:space="preserve"> in general.</w:t>
      </w:r>
      <w:r w:rsidRPr="00617F43">
        <w:rPr>
          <w:sz w:val="14"/>
        </w:rPr>
        <w:t xml:space="preserve"> It is along these metrics that the existence of nonsense marks on the Register presents the potential for tangible harm.</w:t>
      </w:r>
    </w:p>
    <w:p w14:paraId="43E53A56" w14:textId="77777777" w:rsidR="005F027F" w:rsidRPr="00617F43" w:rsidRDefault="005F027F" w:rsidP="005F027F">
      <w:pPr>
        <w:rPr>
          <w:sz w:val="14"/>
        </w:rPr>
      </w:pPr>
      <w:r w:rsidRPr="00726C04">
        <w:rPr>
          <w:rStyle w:val="Emphasis"/>
        </w:rPr>
        <w:t xml:space="preserve">First, </w:t>
      </w:r>
      <w:r w:rsidRPr="00F17596">
        <w:rPr>
          <w:rStyle w:val="Emphasis"/>
          <w:highlight w:val="darkGray"/>
        </w:rPr>
        <w:t>and</w:t>
      </w:r>
      <w:r w:rsidRPr="00726C04">
        <w:rPr>
          <w:rStyle w:val="Emphasis"/>
        </w:rPr>
        <w:t xml:space="preserve"> most basically, </w:t>
      </w:r>
      <w:r w:rsidRPr="00F17596">
        <w:rPr>
          <w:rStyle w:val="Emphasis"/>
          <w:highlight w:val="darkGray"/>
        </w:rPr>
        <w:t>applications for nonsense marks place further stress on an already-strained USPTO</w:t>
      </w:r>
      <w:r w:rsidRPr="00617F43">
        <w:rPr>
          <w:sz w:val="14"/>
        </w:rPr>
        <w:t xml:space="preserve">. </w:t>
      </w:r>
      <w:r w:rsidRPr="00F17596">
        <w:rPr>
          <w:rStyle w:val="Emphasis"/>
          <w:highlight w:val="darkGray"/>
        </w:rPr>
        <w:t>Trademark applications have increased</w:t>
      </w:r>
      <w:r w:rsidRPr="00C00F7C">
        <w:rPr>
          <w:rStyle w:val="Emphasis"/>
        </w:rPr>
        <w:t xml:space="preserve"> continually </w:t>
      </w:r>
      <w:r w:rsidRPr="00F17596">
        <w:rPr>
          <w:rStyle w:val="Emphasis"/>
          <w:highlight w:val="darkGray"/>
        </w:rPr>
        <w:t>in recent years.</w:t>
      </w:r>
      <w:r w:rsidRPr="00617F43">
        <w:rPr>
          <w:sz w:val="14"/>
        </w:rPr>
        <w:t xml:space="preserve"> In 2019, the USPTO received 485,444 applications, the tenth year in a row in which the number of applications broke the previous record.65 This means that USPTO examiners are receiving thousands of applications a day and are tasked with assessing whether they should procee</w:t>
      </w:r>
      <w:r w:rsidRPr="00F17596">
        <w:rPr>
          <w:rStyle w:val="Emphasis"/>
          <w:sz w:val="40"/>
          <w:szCs w:val="40"/>
          <w:highlight w:val="darkGray"/>
        </w:rPr>
        <w:t>d</w:t>
      </w:r>
      <w:r w:rsidRPr="00617F43">
        <w:rPr>
          <w:sz w:val="14"/>
        </w:rPr>
        <w:t xml:space="preserve"> </w:t>
      </w:r>
      <w:r w:rsidRPr="00617F43">
        <w:rPr>
          <w:sz w:val="14"/>
          <w:szCs w:val="10"/>
        </w:rPr>
        <w:t xml:space="preserve">to the Register. Even </w:t>
      </w:r>
      <w:r w:rsidRPr="00F17596">
        <w:rPr>
          <w:rStyle w:val="Emphasis"/>
          <w:sz w:val="40"/>
          <w:szCs w:val="40"/>
          <w:highlight w:val="darkGray"/>
        </w:rPr>
        <w:t>u</w:t>
      </w:r>
      <w:r w:rsidRPr="00617F43">
        <w:rPr>
          <w:sz w:val="14"/>
          <w:szCs w:val="18"/>
        </w:rPr>
        <w:t>nd</w:t>
      </w:r>
      <w:r w:rsidRPr="00F17596">
        <w:rPr>
          <w:rStyle w:val="Emphasis"/>
          <w:sz w:val="40"/>
          <w:szCs w:val="40"/>
          <w:highlight w:val="darkGray"/>
        </w:rPr>
        <w:t>e</w:t>
      </w:r>
      <w:r w:rsidRPr="00617F43">
        <w:rPr>
          <w:sz w:val="14"/>
        </w:rPr>
        <w:t>r normal circumstances, “maintaining the registration system requires the investment of substan</w:t>
      </w:r>
      <w:r w:rsidRPr="00F17596">
        <w:rPr>
          <w:rStyle w:val="Emphasis"/>
          <w:sz w:val="44"/>
          <w:szCs w:val="44"/>
          <w:highlight w:val="darkGray"/>
        </w:rPr>
        <w:t>t</w:t>
      </w:r>
      <w:r w:rsidRPr="00617F43">
        <w:rPr>
          <w:sz w:val="14"/>
          <w:szCs w:val="12"/>
        </w:rPr>
        <w:t xml:space="preserve">ial </w:t>
      </w:r>
      <w:r w:rsidRPr="00617F43">
        <w:rPr>
          <w:sz w:val="14"/>
          <w:szCs w:val="18"/>
        </w:rPr>
        <w:t>g</w:t>
      </w:r>
      <w:r w:rsidRPr="00F17596">
        <w:rPr>
          <w:rStyle w:val="Emphasis"/>
          <w:sz w:val="40"/>
          <w:szCs w:val="40"/>
          <w:highlight w:val="darkGray"/>
        </w:rPr>
        <w:t>o</w:t>
      </w:r>
      <w:r w:rsidRPr="00617F43">
        <w:rPr>
          <w:sz w:val="14"/>
        </w:rPr>
        <w:t xml:space="preserve">vernment and private resources.”66 </w:t>
      </w:r>
      <w:r w:rsidRPr="00B47186">
        <w:rPr>
          <w:rStyle w:val="Emphasis"/>
        </w:rPr>
        <w:t xml:space="preserve">But faced with the </w:t>
      </w:r>
      <w:r w:rsidRPr="00771C3C">
        <w:rPr>
          <w:rStyle w:val="Emphasis"/>
        </w:rPr>
        <w:t xml:space="preserve">twin </w:t>
      </w:r>
      <w:r w:rsidRPr="00F17596">
        <w:rPr>
          <w:rStyle w:val="Emphasis"/>
          <w:highlight w:val="darkGray"/>
        </w:rPr>
        <w:t>problems of fraudulent filings and unused marks</w:t>
      </w:r>
      <w:r w:rsidRPr="00B47186">
        <w:rPr>
          <w:rStyle w:val="Emphasis"/>
        </w:rPr>
        <w:t xml:space="preserve"> that remain on the Register</w:t>
      </w:r>
      <w:r w:rsidRPr="00617F43">
        <w:rPr>
          <w:sz w:val="14"/>
        </w:rPr>
        <w:t xml:space="preserve">, the USPTO has instituted reforms aimed at ensuring that the Register consists only of marks that are currently, </w:t>
      </w:r>
      <w:proofErr w:type="gramStart"/>
      <w:r w:rsidRPr="00617F43">
        <w:rPr>
          <w:sz w:val="14"/>
        </w:rPr>
        <w:t>actually being</w:t>
      </w:r>
      <w:proofErr w:type="gramEnd"/>
      <w:r w:rsidRPr="00617F43">
        <w:rPr>
          <w:sz w:val="14"/>
        </w:rPr>
        <w:t xml:space="preserve"> used in commerce.67 While these are welcome changes, they consume additional time and resources of the USPTO. </w:t>
      </w:r>
      <w:r w:rsidRPr="00945443">
        <w:rPr>
          <w:rStyle w:val="Emphasis"/>
        </w:rPr>
        <w:t xml:space="preserve">Against this backdrop, when the owners of nonsense marks, many of whom are not seeking the traditional benefits of trademark registration, file applications with the USPTO, </w:t>
      </w:r>
      <w:r w:rsidRPr="00F17596">
        <w:rPr>
          <w:rStyle w:val="Emphasis"/>
          <w:highlight w:val="darkGray"/>
        </w:rPr>
        <w:t>they</w:t>
      </w:r>
      <w:r w:rsidRPr="00945443">
        <w:rPr>
          <w:rStyle w:val="Emphasis"/>
        </w:rPr>
        <w:t xml:space="preserve"> impose a </w:t>
      </w:r>
      <w:r w:rsidRPr="00F17596">
        <w:rPr>
          <w:rStyle w:val="Emphasis"/>
          <w:highlight w:val="darkGray"/>
        </w:rPr>
        <w:t>further burden</w:t>
      </w:r>
      <w:r w:rsidRPr="00945443">
        <w:rPr>
          <w:rStyle w:val="Emphasis"/>
        </w:rPr>
        <w:t xml:space="preserve"> on </w:t>
      </w:r>
      <w:r w:rsidRPr="00F17596">
        <w:rPr>
          <w:rStyle w:val="Emphasis"/>
          <w:highlight w:val="darkGray"/>
        </w:rPr>
        <w:t>the agency</w:t>
      </w:r>
      <w:r w:rsidRPr="00617F43">
        <w:rPr>
          <w:sz w:val="14"/>
        </w:rPr>
        <w:t>. Indeed, examiners, wary of fraudulent marks from China in general, may spend even more time than usual reviewing nonsense marks from Chinese companies.</w:t>
      </w:r>
      <w:r w:rsidRPr="00397DE7">
        <w:rPr>
          <w:rStyle w:val="Emphasis"/>
        </w:rPr>
        <w:t xml:space="preserve">68 By </w:t>
      </w:r>
      <w:r w:rsidRPr="00F17596">
        <w:rPr>
          <w:rStyle w:val="Emphasis"/>
          <w:highlight w:val="darkGray"/>
        </w:rPr>
        <w:t>calling on the resources of the USPTO</w:t>
      </w:r>
      <w:r w:rsidRPr="00397DE7">
        <w:rPr>
          <w:rStyle w:val="Emphasis"/>
        </w:rPr>
        <w:t xml:space="preserve"> to achieve their owners’ Amazon-related objectives, nonsense-mark applications themselves </w:t>
      </w:r>
      <w:r w:rsidRPr="00F17596">
        <w:rPr>
          <w:rStyle w:val="Emphasis"/>
          <w:highlight w:val="darkGray"/>
        </w:rPr>
        <w:t>impose costs</w:t>
      </w:r>
      <w:r w:rsidRPr="00397DE7">
        <w:rPr>
          <w:rStyle w:val="Emphasis"/>
        </w:rPr>
        <w:t xml:space="preserve"> on the USPTO</w:t>
      </w:r>
      <w:r w:rsidRPr="009B42C0">
        <w:rPr>
          <w:rStyle w:val="Emphasis"/>
        </w:rPr>
        <w:t>, as well as</w:t>
      </w:r>
      <w:r w:rsidRPr="00397DE7">
        <w:rPr>
          <w:rStyle w:val="Emphasis"/>
        </w:rPr>
        <w:t xml:space="preserve"> on other applicants </w:t>
      </w:r>
      <w:r w:rsidRPr="00F17596">
        <w:rPr>
          <w:rStyle w:val="Emphasis"/>
          <w:highlight w:val="darkGray"/>
        </w:rPr>
        <w:t>affect</w:t>
      </w:r>
      <w:r w:rsidRPr="003933E4">
        <w:rPr>
          <w:rStyle w:val="Emphasis"/>
        </w:rPr>
        <w:t>ed</w:t>
      </w:r>
      <w:r w:rsidRPr="00397DE7">
        <w:rPr>
          <w:rStyle w:val="Emphasis"/>
        </w:rPr>
        <w:t xml:space="preserve"> by examiners’ greater </w:t>
      </w:r>
      <w:r w:rsidRPr="00F17596">
        <w:rPr>
          <w:rStyle w:val="Emphasis"/>
          <w:highlight w:val="darkGray"/>
        </w:rPr>
        <w:t>caseloads</w:t>
      </w:r>
      <w:r w:rsidRPr="00397DE7">
        <w:rPr>
          <w:rStyle w:val="Emphasis"/>
        </w:rPr>
        <w:t xml:space="preserve"> </w:t>
      </w:r>
      <w:r w:rsidRPr="00F17596">
        <w:rPr>
          <w:rStyle w:val="Emphasis"/>
          <w:highlight w:val="darkGray"/>
        </w:rPr>
        <w:t>and</w:t>
      </w:r>
      <w:r w:rsidRPr="00397DE7">
        <w:rPr>
          <w:rStyle w:val="Emphasis"/>
        </w:rPr>
        <w:t xml:space="preserve"> </w:t>
      </w:r>
      <w:r w:rsidRPr="00F17596">
        <w:rPr>
          <w:rStyle w:val="Emphasis"/>
          <w:highlight w:val="darkGray"/>
        </w:rPr>
        <w:t>slow</w:t>
      </w:r>
      <w:r w:rsidRPr="00397DE7">
        <w:rPr>
          <w:rStyle w:val="Emphasis"/>
        </w:rPr>
        <w:t xml:space="preserve">er </w:t>
      </w:r>
      <w:r w:rsidRPr="00F17596">
        <w:rPr>
          <w:rStyle w:val="Emphasis"/>
          <w:highlight w:val="darkGray"/>
        </w:rPr>
        <w:t>review processes</w:t>
      </w:r>
      <w:r w:rsidRPr="00617F43">
        <w:rPr>
          <w:sz w:val="14"/>
        </w:rPr>
        <w:t>.69</w:t>
      </w:r>
    </w:p>
    <w:p w14:paraId="4BFBBD79" w14:textId="77777777" w:rsidR="005F027F" w:rsidRPr="007A33E0" w:rsidRDefault="005F027F" w:rsidP="005F027F">
      <w:pPr>
        <w:rPr>
          <w:b/>
          <w:iCs/>
          <w:u w:val="single"/>
        </w:rPr>
      </w:pPr>
      <w:r w:rsidRPr="00617F43">
        <w:rPr>
          <w:sz w:val="14"/>
        </w:rPr>
        <w:t xml:space="preserve">Once nonsense marks make it onto the Register, they have the potential to inflict further harm, particularly on traditional mark owners. While trademark registration imparts many benefits to mark owners, its primary public benefit is “in the value of the trademark register as a source of information,” allowing businesses to “discover quickly and cheaply which signs third parties already have claimed.”70 To avoid opposition from the USPTO or other mark owners, those seeking to register new marks must avoid words that might be seen as confusingly similar to existing marks.71 This is where the anticompetitive potential of registered nonsense marks begins. While traditional mark owners probably will not be interested in nonsense marks, at least some of these marks are just a couple of letters off from “working” in English. For example, MAJCF is quite close to MAJI, while JANRSTIC is not far from the more viable JANSTICK. If JANSTICK were already on the Register, the mark owner might be compelled to invest time and resources arguing that the similar but nonsensical mark presents a likelihood of confusion. </w:t>
      </w:r>
      <w:r w:rsidRPr="003479B3">
        <w:rPr>
          <w:rStyle w:val="Emphasis"/>
        </w:rPr>
        <w:t xml:space="preserve">Worse, </w:t>
      </w:r>
      <w:r w:rsidRPr="00F17596">
        <w:rPr>
          <w:rStyle w:val="Emphasis"/>
          <w:highlight w:val="darkGray"/>
        </w:rPr>
        <w:t>if nonsense marks make it</w:t>
      </w:r>
      <w:r w:rsidRPr="003479B3">
        <w:rPr>
          <w:rStyle w:val="Emphasis"/>
        </w:rPr>
        <w:t xml:space="preserve"> on</w:t>
      </w:r>
      <w:r w:rsidRPr="00F17596">
        <w:rPr>
          <w:rStyle w:val="Emphasis"/>
          <w:highlight w:val="darkGray"/>
        </w:rPr>
        <w:t>to</w:t>
      </w:r>
      <w:r w:rsidRPr="003479B3">
        <w:rPr>
          <w:rStyle w:val="Emphasis"/>
        </w:rPr>
        <w:t xml:space="preserve"> </w:t>
      </w:r>
      <w:r w:rsidRPr="00F17596">
        <w:rPr>
          <w:rStyle w:val="Emphasis"/>
          <w:highlight w:val="darkGray"/>
        </w:rPr>
        <w:t>the Register first</w:t>
      </w:r>
      <w:r w:rsidRPr="003479B3">
        <w:rPr>
          <w:rStyle w:val="Emphasis"/>
        </w:rPr>
        <w:t xml:space="preserve">, </w:t>
      </w:r>
      <w:r w:rsidRPr="00F17596">
        <w:rPr>
          <w:rStyle w:val="Emphasis"/>
          <w:highlight w:val="darkGray"/>
        </w:rPr>
        <w:t>potential registrants</w:t>
      </w:r>
      <w:r w:rsidRPr="003479B3">
        <w:rPr>
          <w:rStyle w:val="Emphasis"/>
        </w:rPr>
        <w:t xml:space="preserve">, </w:t>
      </w:r>
      <w:r w:rsidRPr="00F17596">
        <w:rPr>
          <w:rStyle w:val="Emphasis"/>
          <w:highlight w:val="darkGray"/>
        </w:rPr>
        <w:t>already facing a diminishing number of</w:t>
      </w:r>
      <w:r w:rsidRPr="003479B3">
        <w:rPr>
          <w:rStyle w:val="Emphasis"/>
        </w:rPr>
        <w:t xml:space="preserve"> “good,” </w:t>
      </w:r>
      <w:r w:rsidRPr="00F17596">
        <w:rPr>
          <w:rStyle w:val="Emphasis"/>
          <w:highlight w:val="darkGray"/>
        </w:rPr>
        <w:t>available trademarks</w:t>
      </w:r>
      <w:r w:rsidRPr="003479B3">
        <w:rPr>
          <w:rStyle w:val="Emphasis"/>
        </w:rPr>
        <w:t>,</w:t>
      </w:r>
      <w:r w:rsidRPr="00617F43">
        <w:rPr>
          <w:sz w:val="14"/>
        </w:rPr>
        <w:t>72</w:t>
      </w:r>
      <w:r w:rsidRPr="003479B3">
        <w:rPr>
          <w:rStyle w:val="Emphasis"/>
        </w:rPr>
        <w:t xml:space="preserve"> </w:t>
      </w:r>
      <w:r w:rsidRPr="00F17596">
        <w:rPr>
          <w:rStyle w:val="Emphasis"/>
          <w:highlight w:val="darkGray"/>
        </w:rPr>
        <w:t>might be hesitant to apply</w:t>
      </w:r>
      <w:r w:rsidRPr="003479B3">
        <w:rPr>
          <w:rStyle w:val="Emphasis"/>
        </w:rPr>
        <w:t xml:space="preserve"> with their marks out of fear of </w:t>
      </w:r>
      <w:r w:rsidRPr="00F17596">
        <w:rPr>
          <w:rStyle w:val="Emphasis"/>
          <w:highlight w:val="darkGray"/>
        </w:rPr>
        <w:t>a</w:t>
      </w:r>
      <w:r w:rsidRPr="003479B3">
        <w:rPr>
          <w:rStyle w:val="Emphasis"/>
        </w:rPr>
        <w:t xml:space="preserve"> likelihood-of-confusion rejection.</w:t>
      </w:r>
      <w:r w:rsidRPr="00617F43">
        <w:rPr>
          <w:sz w:val="14"/>
        </w:rPr>
        <w:t>73</w:t>
      </w:r>
      <w:r w:rsidRPr="003479B3">
        <w:rPr>
          <w:rStyle w:val="Emphasis"/>
        </w:rPr>
        <w:t xml:space="preserve"> This </w:t>
      </w:r>
      <w:r w:rsidRPr="00F17596">
        <w:rPr>
          <w:rStyle w:val="Emphasis"/>
          <w:highlight w:val="darkGray"/>
        </w:rPr>
        <w:t>chilling effect</w:t>
      </w:r>
      <w:r w:rsidRPr="003479B3">
        <w:rPr>
          <w:rStyle w:val="Emphasis"/>
        </w:rPr>
        <w:t xml:space="preserve"> would be particularly acute </w:t>
      </w:r>
      <w:r w:rsidRPr="00F17596">
        <w:rPr>
          <w:rStyle w:val="Emphasis"/>
          <w:highlight w:val="darkGray"/>
        </w:rPr>
        <w:t>for</w:t>
      </w:r>
      <w:r w:rsidRPr="003479B3">
        <w:rPr>
          <w:rStyle w:val="Emphasis"/>
        </w:rPr>
        <w:t xml:space="preserve"> </w:t>
      </w:r>
      <w:r w:rsidRPr="00F17596">
        <w:rPr>
          <w:rStyle w:val="Emphasis"/>
          <w:highlight w:val="darkGray"/>
        </w:rPr>
        <w:t>small</w:t>
      </w:r>
      <w:r w:rsidRPr="003479B3">
        <w:rPr>
          <w:rStyle w:val="Emphasis"/>
        </w:rPr>
        <w:t xml:space="preserve">er </w:t>
      </w:r>
      <w:r w:rsidRPr="00F17596">
        <w:rPr>
          <w:rStyle w:val="Emphasis"/>
          <w:highlight w:val="darkGray"/>
        </w:rPr>
        <w:t>businesses</w:t>
      </w:r>
      <w:r w:rsidRPr="003479B3">
        <w:rPr>
          <w:rStyle w:val="Emphasis"/>
        </w:rPr>
        <w:t xml:space="preserve">, </w:t>
      </w:r>
      <w:r w:rsidRPr="00F17596">
        <w:rPr>
          <w:rStyle w:val="Emphasis"/>
          <w:highlight w:val="darkGray"/>
        </w:rPr>
        <w:t>which may not be able to afford a</w:t>
      </w:r>
      <w:r w:rsidRPr="003479B3">
        <w:rPr>
          <w:rStyle w:val="Emphasis"/>
        </w:rPr>
        <w:t xml:space="preserve"> potentially </w:t>
      </w:r>
      <w:r w:rsidRPr="00F17596">
        <w:rPr>
          <w:rStyle w:val="Emphasis"/>
          <w:highlight w:val="darkGray"/>
        </w:rPr>
        <w:t>lengthy and expensive registration battle</w:t>
      </w:r>
      <w:r w:rsidRPr="003479B3">
        <w:rPr>
          <w:rStyle w:val="Emphasis"/>
        </w:rPr>
        <w:t>.</w:t>
      </w:r>
      <w:r w:rsidRPr="00617F43">
        <w:rPr>
          <w:sz w:val="14"/>
        </w:rPr>
        <w:t>74</w:t>
      </w:r>
    </w:p>
    <w:p w14:paraId="13A0A8B2" w14:textId="77777777" w:rsidR="005F027F" w:rsidRPr="00617F43" w:rsidRDefault="005F027F" w:rsidP="005F027F">
      <w:pPr>
        <w:rPr>
          <w:sz w:val="14"/>
        </w:rPr>
      </w:pPr>
      <w:r w:rsidRPr="00617F43">
        <w:rPr>
          <w:sz w:val="14"/>
        </w:rPr>
        <w:t xml:space="preserve">Compounding the problem, trademarks that appear on the Register are afforded a “robust presumption of rights that is incredibly difficult to unravel,”75 including a presumption of validity.76 </w:t>
      </w:r>
      <w:r w:rsidRPr="00000216">
        <w:rPr>
          <w:rStyle w:val="Emphasis"/>
        </w:rPr>
        <w:t xml:space="preserve">These </w:t>
      </w:r>
      <w:r w:rsidRPr="00F17596">
        <w:rPr>
          <w:rStyle w:val="Emphasis"/>
          <w:highlight w:val="darkGray"/>
        </w:rPr>
        <w:t>protections</w:t>
      </w:r>
      <w:r w:rsidRPr="00000216">
        <w:rPr>
          <w:rStyle w:val="Emphasis"/>
        </w:rPr>
        <w:t xml:space="preserve"> would </w:t>
      </w:r>
      <w:r w:rsidRPr="00F17596">
        <w:rPr>
          <w:rStyle w:val="Emphasis"/>
          <w:highlight w:val="darkGray"/>
        </w:rPr>
        <w:t>make it more difficult</w:t>
      </w:r>
      <w:r w:rsidRPr="00000216">
        <w:rPr>
          <w:rStyle w:val="Emphasis"/>
        </w:rPr>
        <w:t xml:space="preserve"> </w:t>
      </w:r>
      <w:r w:rsidRPr="00F17596">
        <w:rPr>
          <w:rStyle w:val="Emphasis"/>
          <w:highlight w:val="darkGray"/>
        </w:rPr>
        <w:t>for</w:t>
      </w:r>
      <w:r w:rsidRPr="00000216">
        <w:rPr>
          <w:rStyle w:val="Emphasis"/>
        </w:rPr>
        <w:t xml:space="preserve"> would-be </w:t>
      </w:r>
      <w:r w:rsidRPr="00F17596">
        <w:rPr>
          <w:rStyle w:val="Emphasis"/>
          <w:highlight w:val="darkGray"/>
        </w:rPr>
        <w:t>users of similar marks to challenge</w:t>
      </w:r>
      <w:r w:rsidRPr="00000216">
        <w:rPr>
          <w:rStyle w:val="Emphasis"/>
        </w:rPr>
        <w:t xml:space="preserve"> the </w:t>
      </w:r>
      <w:r w:rsidRPr="00F17596">
        <w:rPr>
          <w:rStyle w:val="Emphasis"/>
          <w:highlight w:val="darkGray"/>
        </w:rPr>
        <w:t>nonsense marks</w:t>
      </w:r>
      <w:r w:rsidRPr="00000216">
        <w:rPr>
          <w:rStyle w:val="Emphasis"/>
        </w:rPr>
        <w:t>’ position on the Register or prevail in a lawsuit</w:t>
      </w:r>
      <w:r w:rsidRPr="00617F43">
        <w:rPr>
          <w:sz w:val="14"/>
        </w:rPr>
        <w:t xml:space="preserve">. And, most cynically, owners of nonsense marks might use their registrations in overtly anticompetitive ways, bringing lawsuits against or sending cease-and-desist letters to users of arguably </w:t>
      </w:r>
      <w:r w:rsidRPr="00617F43">
        <w:rPr>
          <w:sz w:val="14"/>
        </w:rPr>
        <w:lastRenderedPageBreak/>
        <w:t>similar marks in bad faith, in order to extort money from those users.77 Thus, in spite of their relative uselessness as traditional source signifiers, nonsense marks on the Register have the potential to chill producers seeking to develop marks in an increasingly crowded field, to prompt costly litigation, and even to be weaponized by bad faith actors taking advantage of the trademark system. These anticompetitive possibilities can and should be the concern of trademark law.78</w:t>
      </w:r>
    </w:p>
    <w:p w14:paraId="1574710F" w14:textId="77777777" w:rsidR="005F027F" w:rsidRDefault="005F027F" w:rsidP="005F027F">
      <w:pPr>
        <w:rPr>
          <w:sz w:val="14"/>
        </w:rPr>
      </w:pPr>
      <w:r w:rsidRPr="00617F43">
        <w:rPr>
          <w:sz w:val="14"/>
        </w:rPr>
        <w:t xml:space="preserve">Finally, </w:t>
      </w:r>
      <w:r w:rsidRPr="00F17596">
        <w:rPr>
          <w:rStyle w:val="Emphasis"/>
          <w:highlight w:val="darkGray"/>
        </w:rPr>
        <w:t>nonsense marks place</w:t>
      </w:r>
      <w:r w:rsidRPr="0048735A">
        <w:rPr>
          <w:rStyle w:val="Emphasis"/>
        </w:rPr>
        <w:t xml:space="preserve"> considerable </w:t>
      </w:r>
      <w:r w:rsidRPr="00F17596">
        <w:rPr>
          <w:rStyle w:val="Emphasis"/>
          <w:highlight w:val="darkGray"/>
        </w:rPr>
        <w:t>strain on the metrics</w:t>
      </w:r>
      <w:r w:rsidRPr="0048735A">
        <w:rPr>
          <w:rStyle w:val="Emphasis"/>
        </w:rPr>
        <w:t xml:space="preserve"> that </w:t>
      </w:r>
      <w:r w:rsidRPr="00F17596">
        <w:rPr>
          <w:rStyle w:val="Emphasis"/>
          <w:highlight w:val="darkGray"/>
        </w:rPr>
        <w:t>trademark law relies on to function</w:t>
      </w:r>
      <w:r w:rsidRPr="00617F43">
        <w:rPr>
          <w:sz w:val="14"/>
        </w:rPr>
        <w:t>. As an initial matter, and as suggested above, nonsense marks challenge the ability of the Abercrombie spectrum — thought of as “the most black-letter of all the black-letter trademark law”79 — to identify the value of and consumer reaction to different categories of marks. Though Abercrombie may be an imperfect standard to begin with,80 it remains a foundation of trademark law, frequently relied on by courts and USPTO examiners.81 Nonsense marks on the Register deepen the cracks in the foundation of one of trademark law’s major sorting mechanisms, calling into question Abercrombie’s legitimacy as an indicator of what makes a “strong” mark and leaving it less stable for those who look to it for guidance.</w:t>
      </w:r>
    </w:p>
    <w:p w14:paraId="2F220F5D" w14:textId="77777777" w:rsidR="005F027F" w:rsidRDefault="005F027F" w:rsidP="005F027F">
      <w:pPr>
        <w:rPr>
          <w:sz w:val="14"/>
        </w:rPr>
      </w:pPr>
      <w:r>
        <w:rPr>
          <w:sz w:val="14"/>
        </w:rPr>
        <w:br w:type="page"/>
      </w:r>
    </w:p>
    <w:p w14:paraId="48B41E21" w14:textId="77777777" w:rsidR="005F027F" w:rsidRDefault="005F027F" w:rsidP="005F027F">
      <w:pPr>
        <w:pStyle w:val="Heading3"/>
      </w:pPr>
      <w:r>
        <w:lastRenderedPageBreak/>
        <w:t xml:space="preserve">Increasing Trademarks Good </w:t>
      </w:r>
    </w:p>
    <w:p w14:paraId="40F4AC6F" w14:textId="77777777" w:rsidR="005F027F" w:rsidRPr="008A49D6" w:rsidRDefault="005F027F" w:rsidP="005F027F">
      <w:pPr>
        <w:pStyle w:val="Heading4"/>
      </w:pPr>
      <w:r>
        <w:t xml:space="preserve">The trademark office is already solving fraudulent fillings in the status quo </w:t>
      </w:r>
    </w:p>
    <w:p w14:paraId="0587ED01" w14:textId="77777777" w:rsidR="005F027F" w:rsidRPr="008A49D6" w:rsidRDefault="005F027F" w:rsidP="005F027F">
      <w:r>
        <w:t xml:space="preserve">Belinda </w:t>
      </w:r>
      <w:r w:rsidRPr="00A67539">
        <w:rPr>
          <w:rStyle w:val="Style13ptBold"/>
        </w:rPr>
        <w:t>Scrimenti</w:t>
      </w:r>
      <w:r>
        <w:t>, 7-13-</w:t>
      </w:r>
      <w:r w:rsidRPr="00A67539">
        <w:rPr>
          <w:rStyle w:val="Style13ptBold"/>
        </w:rPr>
        <w:t>2022</w:t>
      </w:r>
      <w:r>
        <w:t xml:space="preserve">, "USPTO Continues Efforts to Battle Fraud and Improve Trademark Register Integrity", International Trademark Association, https://www.inta.org/perspectives/industry-updates/uspto-continues-efforts-to-battle-fraud-and-improve-trademark-register-integrity/, accessed 7-7-2024 | </w:t>
      </w:r>
      <w:proofErr w:type="spellStart"/>
      <w:r>
        <w:t>maubu</w:t>
      </w:r>
      <w:proofErr w:type="spellEnd"/>
    </w:p>
    <w:p w14:paraId="4A9BE833" w14:textId="77777777" w:rsidR="005F027F" w:rsidRDefault="005F027F" w:rsidP="005F027F">
      <w:pPr>
        <w:rPr>
          <w:sz w:val="14"/>
        </w:rPr>
      </w:pPr>
      <w:r w:rsidRPr="00840145">
        <w:rPr>
          <w:sz w:val="14"/>
        </w:rPr>
        <w:t xml:space="preserve">Amid a 40-percent surge in U.S. trademark applications during the pandemic, </w:t>
      </w:r>
      <w:r w:rsidRPr="00F17596">
        <w:rPr>
          <w:rStyle w:val="Emphasis"/>
          <w:highlight w:val="darkGray"/>
        </w:rPr>
        <w:t>the</w:t>
      </w:r>
      <w:r w:rsidRPr="00837958">
        <w:rPr>
          <w:rStyle w:val="Emphasis"/>
        </w:rPr>
        <w:t xml:space="preserve"> U.S. Patent and Trademark Office (</w:t>
      </w:r>
      <w:r w:rsidRPr="00F17596">
        <w:rPr>
          <w:rStyle w:val="Emphasis"/>
          <w:highlight w:val="darkGray"/>
        </w:rPr>
        <w:t>USPTO</w:t>
      </w:r>
      <w:r w:rsidRPr="00837958">
        <w:rPr>
          <w:rStyle w:val="Emphasis"/>
        </w:rPr>
        <w:t xml:space="preserve">) </w:t>
      </w:r>
      <w:r w:rsidRPr="00F17596">
        <w:rPr>
          <w:rStyle w:val="Emphasis"/>
          <w:highlight w:val="darkGray"/>
        </w:rPr>
        <w:t>has been working</w:t>
      </w:r>
      <w:r w:rsidRPr="00837958">
        <w:rPr>
          <w:rStyle w:val="Emphasis"/>
        </w:rPr>
        <w:t xml:space="preserve"> on several fronts </w:t>
      </w:r>
      <w:r w:rsidRPr="00F17596">
        <w:rPr>
          <w:rStyle w:val="Emphasis"/>
          <w:highlight w:val="darkGray"/>
        </w:rPr>
        <w:t>to improve the security of the trademark filing system and protect</w:t>
      </w:r>
      <w:r w:rsidRPr="00837958">
        <w:rPr>
          <w:rStyle w:val="Emphasis"/>
        </w:rPr>
        <w:t xml:space="preserve"> trademark </w:t>
      </w:r>
      <w:r w:rsidRPr="00F17596">
        <w:rPr>
          <w:rStyle w:val="Emphasis"/>
          <w:highlight w:val="darkGray"/>
        </w:rPr>
        <w:t>owners from fraud, theft, and abuse</w:t>
      </w:r>
      <w:r w:rsidRPr="00837958">
        <w:rPr>
          <w:rStyle w:val="Emphasis"/>
        </w:rPr>
        <w:t>.</w:t>
      </w:r>
      <w:r>
        <w:rPr>
          <w:b/>
          <w:iCs/>
          <w:u w:val="single"/>
        </w:rPr>
        <w:t xml:space="preserve"> </w:t>
      </w:r>
      <w:r w:rsidRPr="00840145">
        <w:rPr>
          <w:sz w:val="14"/>
        </w:rPr>
        <w:t xml:space="preserve">While applicants previously enjoyed an examination process in which a first Office Action or approval for publication was issued in less than three months, the historic rise in the number of applications has increased average wait times to seven to eight months during the USPTO’s fiscal quarter ending March 2022. (See the USPTO’s data dashboard). In addition, the mounting number of applications has caused delays in other areas, such as renewals and overall pending application inventory, as well as an increase in fraudulent applications. The volume of fraudulent applications has raised a range of issues. One significant focus is on fake specimens and allegations of actual “use in commerce” found in applications and post-registration renewals. Other concerns include invalid attorney and applicant signatures, false addresses, and false, hijacked, or “rented” U.S. attorney credentials on applications and affidavits of use. The U.S. Department of Commerce, Office of Inspector General (OIG) audited the USPTO’s trademark fraud risk framework (looking at applications filed between October 2, 2019, and April 30, 2020) and in August 2021 reported that new controls were needed to combat this increase in suspicious filings. At the time, </w:t>
      </w:r>
      <w:r w:rsidRPr="00F17596">
        <w:rPr>
          <w:rStyle w:val="Emphasis"/>
          <w:highlight w:val="darkGray"/>
        </w:rPr>
        <w:t>USPTO leadership stated that it had</w:t>
      </w:r>
      <w:r w:rsidRPr="00F93353">
        <w:rPr>
          <w:rStyle w:val="Emphasis"/>
        </w:rPr>
        <w:t xml:space="preserve"> earlier </w:t>
      </w:r>
      <w:r w:rsidRPr="00F17596">
        <w:rPr>
          <w:rStyle w:val="Emphasis"/>
          <w:highlight w:val="darkGray"/>
        </w:rPr>
        <w:t>recognized this trend</w:t>
      </w:r>
      <w:r w:rsidRPr="00F93353">
        <w:rPr>
          <w:rStyle w:val="Emphasis"/>
        </w:rPr>
        <w:t xml:space="preserve"> </w:t>
      </w:r>
      <w:r w:rsidRPr="00F17596">
        <w:rPr>
          <w:rStyle w:val="Emphasis"/>
          <w:highlight w:val="darkGray"/>
        </w:rPr>
        <w:t>and</w:t>
      </w:r>
      <w:r w:rsidRPr="00F93353">
        <w:rPr>
          <w:rStyle w:val="Emphasis"/>
        </w:rPr>
        <w:t xml:space="preserve"> that </w:t>
      </w:r>
      <w:r w:rsidRPr="00F17596">
        <w:rPr>
          <w:rStyle w:val="Emphasis"/>
          <w:highlight w:val="darkGray"/>
        </w:rPr>
        <w:t>it initiated steps to deal with suspicious filings</w:t>
      </w:r>
      <w:r w:rsidRPr="00F93353">
        <w:rPr>
          <w:rStyle w:val="Emphasis"/>
        </w:rPr>
        <w:t xml:space="preserve"> beginning several years</w:t>
      </w:r>
      <w:r w:rsidRPr="00840145">
        <w:rPr>
          <w:sz w:val="14"/>
        </w:rPr>
        <w:t xml:space="preserve"> before the OIG’s report. In 2019, the USPTO created—and now has stated it is expanding—a special fraud task force comprised of attorneys, analysts, cyber investigators, and IT personnel to investigate suspected violations of U.S. filing rules. To improve trademark register integrity, the USPTO implemented a rule in 2019 requiring foreign domiciled applicants to be represented by U.S.-licensed attorneys for the purpose of increasing compliance with U.S. trademark law and USPTO regulations. Further, identity verification for all U.S. trademark filers—a step the USPTO has said is intended to safeguard the trademark registry—will become mandatory on August 6, 2022.</w:t>
      </w:r>
      <w:r>
        <w:rPr>
          <w:b/>
          <w:iCs/>
          <w:u w:val="single"/>
        </w:rPr>
        <w:t xml:space="preserve"> </w:t>
      </w:r>
      <w:r w:rsidRPr="00F17596">
        <w:rPr>
          <w:rStyle w:val="Emphasis"/>
          <w:highlight w:val="darkGray"/>
        </w:rPr>
        <w:t>The Trademark Modernization Act</w:t>
      </w:r>
      <w:r w:rsidRPr="00F93353">
        <w:rPr>
          <w:rStyle w:val="Emphasis"/>
        </w:rPr>
        <w:t xml:space="preserve"> of 2020 (TMA) is </w:t>
      </w:r>
      <w:r w:rsidRPr="00F17596">
        <w:rPr>
          <w:rStyle w:val="Emphasis"/>
          <w:highlight w:val="darkGray"/>
        </w:rPr>
        <w:t>also</w:t>
      </w:r>
      <w:r w:rsidRPr="00F93353">
        <w:rPr>
          <w:rStyle w:val="Emphasis"/>
        </w:rPr>
        <w:t xml:space="preserve"> beginning to </w:t>
      </w:r>
      <w:r w:rsidRPr="00F17596">
        <w:rPr>
          <w:rStyle w:val="Emphasis"/>
          <w:highlight w:val="darkGray"/>
        </w:rPr>
        <w:t>assist the USPTO in its efforts to battle fraud</w:t>
      </w:r>
      <w:r w:rsidRPr="00840145">
        <w:rPr>
          <w:sz w:val="14"/>
        </w:rPr>
        <w:t>. As required under the TMA, and implemented on December 27, 2021, the USPTO has begun receiving petitions from third parties to cancel registrations believed to never have been validly used, through new non-use expungement and reexamination proceedings.</w:t>
      </w:r>
      <w:r>
        <w:rPr>
          <w:b/>
          <w:iCs/>
          <w:u w:val="single"/>
        </w:rPr>
        <w:t xml:space="preserve"> </w:t>
      </w:r>
      <w:r w:rsidRPr="00840145">
        <w:rPr>
          <w:sz w:val="14"/>
        </w:rPr>
        <w:t xml:space="preserve">At INTA’s 2022 Annual Meeting Live+, on May 1, 2022, USPTO officials reported on the status of the new non-use proceedings to members of INTA’s Trademark Office Practices Committee, USPTO Subcommittee. </w:t>
      </w:r>
      <w:r w:rsidRPr="00B56125">
        <w:rPr>
          <w:rStyle w:val="Emphasis"/>
        </w:rPr>
        <w:t xml:space="preserve">They noted that the proceedings have direct links to the USPTO’s anti-fraud efforts, </w:t>
      </w:r>
      <w:r w:rsidRPr="00D56245">
        <w:rPr>
          <w:rStyle w:val="Emphasis"/>
        </w:rPr>
        <w:t xml:space="preserve">including </w:t>
      </w:r>
      <w:r w:rsidRPr="00F17596">
        <w:rPr>
          <w:rStyle w:val="Emphasis"/>
          <w:highlight w:val="darkGray"/>
        </w:rPr>
        <w:t xml:space="preserve">petitions </w:t>
      </w:r>
      <w:r w:rsidRPr="00D56245">
        <w:rPr>
          <w:rStyle w:val="Emphasis"/>
        </w:rPr>
        <w:t xml:space="preserve">that </w:t>
      </w:r>
      <w:r w:rsidRPr="00F17596">
        <w:rPr>
          <w:rStyle w:val="Emphasis"/>
          <w:highlight w:val="darkGray"/>
        </w:rPr>
        <w:t xml:space="preserve">provide </w:t>
      </w:r>
      <w:r w:rsidRPr="00B308AF">
        <w:rPr>
          <w:rStyle w:val="Emphasis"/>
        </w:rPr>
        <w:t xml:space="preserve">valuable </w:t>
      </w:r>
      <w:r w:rsidRPr="00F17596">
        <w:rPr>
          <w:rStyle w:val="Emphasis"/>
          <w:highlight w:val="darkGray"/>
        </w:rPr>
        <w:t>information to the USPTO fraud task force on patterns and sources of fraudulent filings for referral to the USPTO’s Office of Enrollment and Discipline</w:t>
      </w:r>
      <w:r w:rsidRPr="00840145">
        <w:rPr>
          <w:sz w:val="14"/>
        </w:rPr>
        <w:t xml:space="preserve"> (OED), which handles U.S. attorney disciplinary matters, as well as evidence for USPTO Director-initiated non-use and sanctions proceedings. Further, </w:t>
      </w:r>
      <w:r w:rsidRPr="00F17596">
        <w:rPr>
          <w:rStyle w:val="Emphasis"/>
          <w:highlight w:val="darkGray"/>
        </w:rPr>
        <w:t>both</w:t>
      </w:r>
      <w:r w:rsidRPr="00840145">
        <w:rPr>
          <w:rStyle w:val="Emphasis"/>
        </w:rPr>
        <w:t xml:space="preserve"> t</w:t>
      </w:r>
      <w:r w:rsidRPr="00ED5866">
        <w:rPr>
          <w:rStyle w:val="Emphasis"/>
        </w:rPr>
        <w:t xml:space="preserve">he USPTO and the OED </w:t>
      </w:r>
      <w:r w:rsidRPr="00F17596">
        <w:rPr>
          <w:rStyle w:val="Emphasis"/>
          <w:highlight w:val="darkGray"/>
        </w:rPr>
        <w:t>have deepened anti-fraud efforts</w:t>
      </w:r>
      <w:r w:rsidRPr="00ED5866">
        <w:rPr>
          <w:rStyle w:val="Emphasis"/>
        </w:rPr>
        <w:t xml:space="preserve">. </w:t>
      </w:r>
      <w:r w:rsidRPr="00840145">
        <w:rPr>
          <w:sz w:val="14"/>
        </w:rPr>
        <w:t xml:space="preserve">The USPTO has issued numerous show-cause orders in recent years for suspected violations and final orders for sanctions if responses are inadequate. These orders have terminated tainted applications and blocked </w:t>
      </w:r>
      <w:r w:rsidRPr="00F17596">
        <w:rPr>
          <w:rStyle w:val="Emphasis"/>
          <w:highlight w:val="darkGray"/>
        </w:rPr>
        <w:t>fraudulent filers’</w:t>
      </w:r>
      <w:r w:rsidRPr="00840145">
        <w:rPr>
          <w:sz w:val="14"/>
        </w:rPr>
        <w:t xml:space="preserve"> access to the U.S. trademark filing system. In one notable recent order on January 25, 2022, </w:t>
      </w:r>
      <w:proofErr w:type="gramStart"/>
      <w:r w:rsidRPr="00840145">
        <w:rPr>
          <w:sz w:val="14"/>
        </w:rPr>
        <w:t>In</w:t>
      </w:r>
      <w:proofErr w:type="gramEnd"/>
      <w:r w:rsidRPr="00840145">
        <w:rPr>
          <w:sz w:val="14"/>
        </w:rPr>
        <w:t xml:space="preserve"> re </w:t>
      </w:r>
      <w:proofErr w:type="spellStart"/>
      <w:r w:rsidRPr="00840145">
        <w:rPr>
          <w:sz w:val="14"/>
        </w:rPr>
        <w:t>Abtach</w:t>
      </w:r>
      <w:proofErr w:type="spellEnd"/>
      <w:r w:rsidRPr="00840145">
        <w:rPr>
          <w:sz w:val="14"/>
        </w:rPr>
        <w:t xml:space="preserve">, Ltd., the USPTO barred several entities and their parent companies from further communication with the USPTO. </w:t>
      </w:r>
      <w:r w:rsidRPr="00AB6A58">
        <w:rPr>
          <w:rStyle w:val="Emphasis"/>
        </w:rPr>
        <w:t xml:space="preserve">Their </w:t>
      </w:r>
      <w:r w:rsidRPr="00F17596">
        <w:rPr>
          <w:rStyle w:val="Emphasis"/>
          <w:highlight w:val="darkGray"/>
        </w:rPr>
        <w:t xml:space="preserve">accounts were permanently </w:t>
      </w:r>
      <w:proofErr w:type="gramStart"/>
      <w:r w:rsidRPr="00F17596">
        <w:rPr>
          <w:rStyle w:val="Emphasis"/>
          <w:highlight w:val="darkGray"/>
        </w:rPr>
        <w:t>deactivated</w:t>
      </w:r>
      <w:proofErr w:type="gramEnd"/>
      <w:r w:rsidRPr="00F17596">
        <w:rPr>
          <w:rStyle w:val="Emphasis"/>
          <w:highlight w:val="darkGray"/>
        </w:rPr>
        <w:t xml:space="preserve"> and thousands of pending trademark applications</w:t>
      </w:r>
      <w:r w:rsidRPr="00AB6A58">
        <w:rPr>
          <w:rStyle w:val="Emphasis"/>
        </w:rPr>
        <w:t xml:space="preserve"> handled by the respondents </w:t>
      </w:r>
      <w:r w:rsidRPr="00F17596">
        <w:rPr>
          <w:rStyle w:val="Emphasis"/>
          <w:highlight w:val="darkGray"/>
        </w:rPr>
        <w:t>were terminated</w:t>
      </w:r>
      <w:r w:rsidRPr="00840145">
        <w:rPr>
          <w:sz w:val="14"/>
        </w:rPr>
        <w:t>. In another show-</w:t>
      </w:r>
      <w:proofErr w:type="gramStart"/>
      <w:r w:rsidRPr="00840145">
        <w:rPr>
          <w:sz w:val="14"/>
        </w:rPr>
        <w:t>cause</w:t>
      </w:r>
      <w:proofErr w:type="gramEnd"/>
      <w:r w:rsidRPr="00840145">
        <w:rPr>
          <w:sz w:val="14"/>
        </w:rPr>
        <w:t xml:space="preserve"> order issued on June 30, 2022, the USPTO alleged that respondents Yanhua Chen and Huang Yuchen falsely designated certain U.S. licensed attorneys for more than 350 applications. The USPTO discusses its efforts and lists show-cause and sanctions orders here.</w:t>
      </w:r>
    </w:p>
    <w:p w14:paraId="5A27C624" w14:textId="77777777" w:rsidR="005F027F" w:rsidRDefault="005F027F" w:rsidP="005F027F">
      <w:pPr>
        <w:pStyle w:val="Heading4"/>
      </w:pPr>
      <w:r>
        <w:t xml:space="preserve">The general consensus is that on balance, strong protections create innovation and </w:t>
      </w:r>
      <w:proofErr w:type="gramStart"/>
      <w:r>
        <w:t>high quality</w:t>
      </w:r>
      <w:proofErr w:type="gramEnd"/>
      <w:r>
        <w:t xml:space="preserve"> products. </w:t>
      </w:r>
    </w:p>
    <w:p w14:paraId="42E93635" w14:textId="77777777" w:rsidR="005F027F" w:rsidRPr="00AB0BF8" w:rsidRDefault="005F027F" w:rsidP="005F027F">
      <w:r>
        <w:t xml:space="preserve">Nicola </w:t>
      </w:r>
      <w:proofErr w:type="spellStart"/>
      <w:r w:rsidRPr="00C70F65">
        <w:rPr>
          <w:rStyle w:val="Style13ptBold"/>
        </w:rPr>
        <w:t>Bottero</w:t>
      </w:r>
      <w:proofErr w:type="spellEnd"/>
      <w:r>
        <w:t xml:space="preserve">, </w:t>
      </w:r>
      <w:r w:rsidRPr="00C70F65">
        <w:rPr>
          <w:rStyle w:val="Style13ptBold"/>
        </w:rPr>
        <w:t>et. al</w:t>
      </w:r>
      <w:r>
        <w:t>., xx-xx-</w:t>
      </w:r>
      <w:r w:rsidRPr="00C70F65">
        <w:rPr>
          <w:rStyle w:val="Style13ptBold"/>
        </w:rPr>
        <w:t>2007</w:t>
      </w:r>
      <w:r>
        <w:t xml:space="preserve">, "The Extended Protection of "Strong" Trademarks", Marquette Intellectual Property Law Review, vol. 11, no. 2, pp. 274-275., https://willamette.edu/law/resources/journals/review/pdf/volume-51/51-3-belonozhko.pdf, accessed 7-9-2024 | </w:t>
      </w:r>
      <w:proofErr w:type="spellStart"/>
      <w:r>
        <w:t>maubu</w:t>
      </w:r>
      <w:proofErr w:type="spellEnd"/>
    </w:p>
    <w:p w14:paraId="07D17503" w14:textId="77777777" w:rsidR="005F027F" w:rsidRPr="008A5882" w:rsidRDefault="005F027F" w:rsidP="005F027F">
      <w:pPr>
        <w:rPr>
          <w:sz w:val="16"/>
        </w:rPr>
      </w:pPr>
      <w:r w:rsidRPr="00F17596">
        <w:rPr>
          <w:rStyle w:val="Emphasis"/>
          <w:highlight w:val="darkGray"/>
        </w:rPr>
        <w:t>Economists</w:t>
      </w:r>
      <w:r w:rsidRPr="00C70F65">
        <w:rPr>
          <w:rStyle w:val="Emphasis"/>
        </w:rPr>
        <w:t xml:space="preserve"> generally </w:t>
      </w:r>
      <w:r w:rsidRPr="00F17596">
        <w:rPr>
          <w:rStyle w:val="Emphasis"/>
          <w:highlight w:val="darkGray"/>
        </w:rPr>
        <w:t>agree</w:t>
      </w:r>
      <w:r w:rsidRPr="00C70F65">
        <w:rPr>
          <w:rStyle w:val="Emphasis"/>
        </w:rPr>
        <w:t xml:space="preserve"> on the fact </w:t>
      </w:r>
      <w:r w:rsidRPr="00F17596">
        <w:rPr>
          <w:rStyle w:val="Emphasis"/>
          <w:highlight w:val="darkGray"/>
        </w:rPr>
        <w:t xml:space="preserve">that trademark protection creates an incentive </w:t>
      </w:r>
      <w:proofErr w:type="gramStart"/>
      <w:r w:rsidRPr="00F17596">
        <w:rPr>
          <w:rStyle w:val="Emphasis"/>
          <w:highlight w:val="darkGray"/>
        </w:rPr>
        <w:t>for the production of</w:t>
      </w:r>
      <w:proofErr w:type="gramEnd"/>
      <w:r w:rsidRPr="00F17596">
        <w:rPr>
          <w:rStyle w:val="Emphasis"/>
          <w:highlight w:val="darkGray"/>
        </w:rPr>
        <w:t xml:space="preserve"> quality goods</w:t>
      </w:r>
      <w:r w:rsidRPr="00C70F65">
        <w:rPr>
          <w:rStyle w:val="Emphasis"/>
        </w:rPr>
        <w:t>.</w:t>
      </w:r>
      <w:r w:rsidRPr="008A5882">
        <w:rPr>
          <w:sz w:val="16"/>
        </w:rPr>
        <w:t xml:space="preserve">46 However, this function is presented by economists in two different versions. Some authors claim that </w:t>
      </w:r>
      <w:r w:rsidRPr="00F17596">
        <w:rPr>
          <w:rStyle w:val="Emphasis"/>
          <w:highlight w:val="darkGray"/>
        </w:rPr>
        <w:t>trademark protection induces firms to offer goods with a precisely defined and constant quality</w:t>
      </w:r>
      <w:r w:rsidRPr="008A5882">
        <w:rPr>
          <w:sz w:val="16"/>
        </w:rPr>
        <w:t xml:space="preserve">.47 For others, </w:t>
      </w:r>
      <w:r w:rsidRPr="00F17596">
        <w:rPr>
          <w:rStyle w:val="Emphasis"/>
          <w:highlight w:val="darkGray"/>
        </w:rPr>
        <w:t>trademark protection makes firms produce high quality goods, and the</w:t>
      </w:r>
      <w:r w:rsidRPr="0093629D">
        <w:rPr>
          <w:rStyle w:val="Emphasis"/>
        </w:rPr>
        <w:t xml:space="preserve"> aggregate </w:t>
      </w:r>
      <w:r w:rsidRPr="00F17596">
        <w:rPr>
          <w:rStyle w:val="Emphasis"/>
          <w:highlight w:val="darkGray"/>
        </w:rPr>
        <w:t xml:space="preserve">effect is to </w:t>
      </w:r>
      <w:r w:rsidRPr="00F17596">
        <w:rPr>
          <w:rStyle w:val="Emphasis"/>
          <w:highlight w:val="darkGray"/>
        </w:rPr>
        <w:lastRenderedPageBreak/>
        <w:t>increase the average quality of goods throughout the whole market</w:t>
      </w:r>
      <w:r w:rsidRPr="008A5882">
        <w:rPr>
          <w:sz w:val="16"/>
        </w:rPr>
        <w:t xml:space="preserve">.48 The adoption of the latter approach may be crucial to providing a rationale for the extended protection of “strong” and famous trademarks. Take, for instance, the primary finding of Landes and Posner: the higher the quality of products, the greater the incentive to invest </w:t>
      </w:r>
      <w:proofErr w:type="gramStart"/>
      <w:r w:rsidRPr="008A5882">
        <w:rPr>
          <w:sz w:val="16"/>
        </w:rPr>
        <w:t>in order to</w:t>
      </w:r>
      <w:proofErr w:type="gramEnd"/>
      <w:r w:rsidRPr="008A5882">
        <w:rPr>
          <w:sz w:val="16"/>
        </w:rPr>
        <w:t xml:space="preserve"> create a “strong” trademark.49 Although Landes and Posner put forth a seminal contribution in the economic literature on trademarks, their findings are affected by several limitations as related to the aims of our research. First, Landes and Posner tacitly assume that the activities that create a </w:t>
      </w:r>
      <w:r w:rsidRPr="008A5882">
        <w:rPr>
          <w:rStyle w:val="StyleUnderline"/>
        </w:rPr>
        <w:t xml:space="preserve">“strong” trademark, such as the production of </w:t>
      </w:r>
      <w:proofErr w:type="gramStart"/>
      <w:r w:rsidRPr="008A5882">
        <w:rPr>
          <w:rStyle w:val="StyleUnderline"/>
        </w:rPr>
        <w:t>high quality</w:t>
      </w:r>
      <w:proofErr w:type="gramEnd"/>
      <w:r w:rsidRPr="008A5882">
        <w:rPr>
          <w:rStyle w:val="StyleUnderline"/>
        </w:rPr>
        <w:t xml:space="preserve"> products and advertising</w:t>
      </w:r>
      <w:r w:rsidRPr="008A5882">
        <w:rPr>
          <w:sz w:val="16"/>
        </w:rPr>
        <w:t xml:space="preserve">, are perfect signals to consumers regarding the characteristics of products.50 Second, their model mainly concerns firms that are attempting to </w:t>
      </w:r>
      <w:r w:rsidRPr="008A5882">
        <w:rPr>
          <w:rStyle w:val="StyleUnderline"/>
        </w:rPr>
        <w:t>build a “strong” trademark</w:t>
      </w:r>
      <w:r w:rsidRPr="008A5882">
        <w:rPr>
          <w:sz w:val="16"/>
        </w:rPr>
        <w:t>;51 what really is at stake in real markets, though, is the extended protection of brands that are already “strong.” And third, their model deals with the use of trademarks within a product class; the possibility of non-homogeneous goods is included, but the phenomenon of brand extension is not considered.52 This same limitation characterizes the work of others as well.53</w:t>
      </w:r>
    </w:p>
    <w:p w14:paraId="09829AD5" w14:textId="77777777" w:rsidR="005F027F" w:rsidRDefault="005F027F" w:rsidP="005F027F">
      <w:pPr>
        <w:rPr>
          <w:rFonts w:eastAsiaTheme="majorEastAsia" w:cstheme="majorBidi"/>
          <w:b/>
          <w:sz w:val="32"/>
          <w:szCs w:val="24"/>
          <w:u w:val="single"/>
        </w:rPr>
      </w:pPr>
      <w:r>
        <w:br w:type="page"/>
      </w:r>
    </w:p>
    <w:p w14:paraId="727A8D55" w14:textId="77777777" w:rsidR="005F027F" w:rsidRDefault="005F027F" w:rsidP="005F027F">
      <w:pPr>
        <w:pStyle w:val="Heading3"/>
      </w:pPr>
      <w:r>
        <w:lastRenderedPageBreak/>
        <w:t>International Trolls</w:t>
      </w:r>
    </w:p>
    <w:p w14:paraId="628CD94F" w14:textId="77777777" w:rsidR="005F027F" w:rsidRPr="00FC757C" w:rsidRDefault="005F027F" w:rsidP="005F027F"/>
    <w:p w14:paraId="50798709" w14:textId="77777777" w:rsidR="005F027F" w:rsidRPr="009C3F1E" w:rsidRDefault="005F027F" w:rsidP="005F027F">
      <w:pPr>
        <w:pStyle w:val="Heading4"/>
        <w:rPr>
          <w:color w:val="000000" w:themeColor="text1"/>
        </w:rPr>
      </w:pPr>
      <w:r w:rsidRPr="009C3F1E">
        <w:rPr>
          <w:color w:val="000000" w:themeColor="text1"/>
        </w:rPr>
        <w:t>Different countries trademark systems allow trademark trolls to harm US companies</w:t>
      </w:r>
    </w:p>
    <w:p w14:paraId="613E4E37" w14:textId="77777777" w:rsidR="005F027F" w:rsidRPr="009C3F1E" w:rsidRDefault="005F027F" w:rsidP="005F027F">
      <w:pPr>
        <w:pStyle w:val="NormalWeb"/>
        <w:shd w:val="clear" w:color="auto" w:fill="FFFFFF"/>
        <w:spacing w:before="0" w:beforeAutospacing="0" w:after="360" w:afterAutospacing="0"/>
        <w:rPr>
          <w:rFonts w:asciiTheme="minorHAnsi" w:eastAsiaTheme="minorHAnsi" w:hAnsiTheme="minorHAnsi" w:cstheme="minorHAnsi"/>
          <w:color w:val="000000" w:themeColor="text1"/>
          <w:sz w:val="22"/>
          <w:szCs w:val="22"/>
          <w:shd w:val="clear" w:color="auto" w:fill="FFFFFF"/>
        </w:rPr>
      </w:pPr>
      <w:proofErr w:type="spellStart"/>
      <w:r w:rsidRPr="009C3F1E">
        <w:rPr>
          <w:rStyle w:val="Style13ptBold"/>
          <w:rFonts w:asciiTheme="minorHAnsi" w:hAnsiTheme="minorHAnsi" w:cstheme="minorHAnsi"/>
          <w:color w:val="000000" w:themeColor="text1"/>
        </w:rPr>
        <w:t>Cmandm</w:t>
      </w:r>
      <w:proofErr w:type="spellEnd"/>
      <w:r w:rsidRPr="009C3F1E">
        <w:rPr>
          <w:rFonts w:asciiTheme="minorHAnsi" w:eastAsiaTheme="minorHAnsi" w:hAnsiTheme="minorHAnsi" w:cstheme="minorHAnsi"/>
          <w:color w:val="000000" w:themeColor="text1"/>
          <w:sz w:val="22"/>
          <w:szCs w:val="22"/>
          <w:shd w:val="clear" w:color="auto" w:fill="FFFFFF"/>
        </w:rPr>
        <w:t xml:space="preserve"> (20</w:t>
      </w:r>
      <w:r w:rsidRPr="009C3F1E">
        <w:rPr>
          <w:rStyle w:val="Style13ptBold"/>
          <w:rFonts w:asciiTheme="minorHAnsi" w:hAnsiTheme="minorHAnsi" w:cstheme="minorHAnsi"/>
          <w:color w:val="000000" w:themeColor="text1"/>
        </w:rPr>
        <w:t>19</w:t>
      </w:r>
      <w:r w:rsidRPr="009C3F1E">
        <w:rPr>
          <w:rFonts w:asciiTheme="minorHAnsi" w:eastAsiaTheme="minorHAnsi" w:hAnsiTheme="minorHAnsi" w:cstheme="minorHAnsi"/>
          <w:color w:val="000000" w:themeColor="text1"/>
          <w:sz w:val="22"/>
          <w:szCs w:val="22"/>
          <w:shd w:val="clear" w:color="auto" w:fill="FFFFFF"/>
        </w:rPr>
        <w:t>) Trademark trolls overseas, Campolo, Middleton &amp; McCormick, LLP. Available at: https://cmmllp.com/trademark-trolls-overseas/ (Accessed: 08 July 2024). SS</w:t>
      </w:r>
    </w:p>
    <w:p w14:paraId="2E4B8E0A" w14:textId="77777777" w:rsidR="005F027F" w:rsidRPr="009C3F1E" w:rsidRDefault="005F027F" w:rsidP="005F027F">
      <w:pPr>
        <w:pStyle w:val="NormalWeb"/>
        <w:shd w:val="clear" w:color="auto" w:fill="FFFFFF"/>
        <w:spacing w:before="0" w:beforeAutospacing="0" w:after="360" w:afterAutospacing="0"/>
        <w:rPr>
          <w:rFonts w:asciiTheme="minorHAnsi" w:hAnsiTheme="minorHAnsi" w:cstheme="minorHAnsi"/>
          <w:color w:val="000000" w:themeColor="text1"/>
          <w:sz w:val="22"/>
          <w:szCs w:val="22"/>
          <w:u w:val="single"/>
        </w:rPr>
      </w:pPr>
      <w:r w:rsidRPr="009C3F1E">
        <w:rPr>
          <w:rFonts w:asciiTheme="minorHAnsi" w:hAnsiTheme="minorHAnsi" w:cstheme="minorHAnsi"/>
          <w:color w:val="000000" w:themeColor="text1"/>
          <w:sz w:val="16"/>
          <w:szCs w:val="22"/>
        </w:rPr>
        <w:t xml:space="preserve">A U.S. trademark registration allows companies to leverage their brand and prevent others from using their name or a confusingly similar name in the U.S. However, even </w:t>
      </w:r>
      <w:r w:rsidRPr="00F17596">
        <w:rPr>
          <w:rFonts w:asciiTheme="minorHAnsi" w:hAnsiTheme="minorHAnsi" w:cstheme="minorHAnsi"/>
          <w:color w:val="000000" w:themeColor="text1"/>
          <w:sz w:val="22"/>
          <w:szCs w:val="22"/>
          <w:highlight w:val="darkGray"/>
          <w:u w:val="single"/>
        </w:rPr>
        <w:t>if a trademark is protected in the U.S., it is vulnerable to</w:t>
      </w:r>
      <w:r w:rsidRPr="009C3F1E">
        <w:rPr>
          <w:rFonts w:asciiTheme="minorHAnsi" w:hAnsiTheme="minorHAnsi" w:cstheme="minorHAnsi"/>
          <w:color w:val="000000" w:themeColor="text1"/>
          <w:sz w:val="22"/>
          <w:szCs w:val="22"/>
          <w:u w:val="single"/>
        </w:rPr>
        <w:t xml:space="preserve"> squatters or “</w:t>
      </w:r>
      <w:r w:rsidRPr="00F17596">
        <w:rPr>
          <w:rFonts w:asciiTheme="minorHAnsi" w:hAnsiTheme="minorHAnsi" w:cstheme="minorHAnsi"/>
          <w:color w:val="000000" w:themeColor="text1"/>
          <w:sz w:val="22"/>
          <w:szCs w:val="22"/>
          <w:highlight w:val="darkGray"/>
          <w:u w:val="single"/>
        </w:rPr>
        <w:t>trademark trolls” overseas</w:t>
      </w:r>
      <w:r w:rsidRPr="009C3F1E">
        <w:rPr>
          <w:rFonts w:asciiTheme="minorHAnsi" w:hAnsiTheme="minorHAnsi" w:cstheme="minorHAnsi"/>
          <w:color w:val="000000" w:themeColor="text1"/>
          <w:sz w:val="22"/>
          <w:szCs w:val="22"/>
          <w:u w:val="single"/>
        </w:rPr>
        <w:t xml:space="preserve">. </w:t>
      </w:r>
      <w:r w:rsidRPr="009C3F1E">
        <w:rPr>
          <w:rFonts w:asciiTheme="minorHAnsi" w:hAnsiTheme="minorHAnsi" w:cstheme="minorHAnsi"/>
          <w:color w:val="000000" w:themeColor="text1"/>
          <w:sz w:val="16"/>
          <w:szCs w:val="22"/>
        </w:rPr>
        <w:t xml:space="preserve">Because of the global nature of business today, especially with online commerce and social media, </w:t>
      </w:r>
      <w:r w:rsidRPr="009C3F1E">
        <w:rPr>
          <w:rFonts w:asciiTheme="minorHAnsi" w:hAnsiTheme="minorHAnsi" w:cstheme="minorHAnsi"/>
          <w:color w:val="000000" w:themeColor="text1"/>
          <w:sz w:val="22"/>
          <w:szCs w:val="22"/>
          <w:u w:val="single"/>
        </w:rPr>
        <w:t>it is important for companies looking to expand internationally to control their trademarks globally and prevent others from squatting on their rights</w:t>
      </w:r>
      <w:r w:rsidRPr="009C3F1E">
        <w:rPr>
          <w:rFonts w:asciiTheme="minorHAnsi" w:hAnsiTheme="minorHAnsi" w:cstheme="minorHAnsi"/>
          <w:color w:val="000000" w:themeColor="text1"/>
          <w:sz w:val="16"/>
          <w:szCs w:val="22"/>
        </w:rPr>
        <w:t xml:space="preserve">. The last thing a company wants to find out is that it </w:t>
      </w:r>
      <w:r w:rsidRPr="009C3F1E">
        <w:rPr>
          <w:rFonts w:asciiTheme="minorHAnsi" w:hAnsiTheme="minorHAnsi" w:cstheme="minorHAnsi"/>
          <w:color w:val="000000" w:themeColor="text1"/>
          <w:sz w:val="22"/>
          <w:szCs w:val="22"/>
          <w:u w:val="single"/>
        </w:rPr>
        <w:t>is prevented from expanding its business overseas because it did not fully protect its trademark.</w:t>
      </w:r>
      <w:r w:rsidRPr="009C3F1E">
        <w:rPr>
          <w:rFonts w:asciiTheme="minorHAnsi" w:hAnsiTheme="minorHAnsi" w:cstheme="minorHAnsi"/>
          <w:color w:val="000000" w:themeColor="text1"/>
          <w:sz w:val="16"/>
          <w:szCs w:val="22"/>
        </w:rPr>
        <w:t xml:space="preserve"> While brands are increasingly global, managing and protecting brands globally can be complex. In the </w:t>
      </w:r>
      <w:r w:rsidRPr="009C3F1E">
        <w:rPr>
          <w:rFonts w:asciiTheme="minorHAnsi" w:hAnsiTheme="minorHAnsi" w:cstheme="minorHAnsi"/>
          <w:color w:val="000000" w:themeColor="text1"/>
          <w:sz w:val="22"/>
          <w:szCs w:val="22"/>
          <w:u w:val="single"/>
        </w:rPr>
        <w:t>U.S., trademark rights are based on actual use</w:t>
      </w:r>
      <w:r w:rsidRPr="009C3F1E">
        <w:rPr>
          <w:rFonts w:asciiTheme="minorHAnsi" w:hAnsiTheme="minorHAnsi" w:cstheme="minorHAnsi"/>
          <w:color w:val="000000" w:themeColor="text1"/>
          <w:sz w:val="16"/>
          <w:szCs w:val="22"/>
        </w:rPr>
        <w:t xml:space="preserve">. By comparison, </w:t>
      </w:r>
      <w:r w:rsidRPr="00F17596">
        <w:rPr>
          <w:rFonts w:asciiTheme="minorHAnsi" w:hAnsiTheme="minorHAnsi" w:cstheme="minorHAnsi"/>
          <w:color w:val="000000" w:themeColor="text1"/>
          <w:sz w:val="22"/>
          <w:szCs w:val="22"/>
          <w:highlight w:val="darkGray"/>
          <w:u w:val="single"/>
        </w:rPr>
        <w:t>trademark rights in many other countries are based on filing</w:t>
      </w:r>
      <w:r w:rsidRPr="009C3F1E">
        <w:rPr>
          <w:rFonts w:asciiTheme="minorHAnsi" w:hAnsiTheme="minorHAnsi" w:cstheme="minorHAnsi"/>
          <w:color w:val="000000" w:themeColor="text1"/>
          <w:sz w:val="16"/>
          <w:szCs w:val="22"/>
        </w:rPr>
        <w:t xml:space="preserve">. The “first-to-file” system has allowed for a growing trend of “trademark trolls” – companies or individuals who strategically </w:t>
      </w:r>
      <w:r w:rsidRPr="009C3F1E">
        <w:rPr>
          <w:rFonts w:asciiTheme="minorHAnsi" w:hAnsiTheme="minorHAnsi" w:cstheme="minorHAnsi"/>
          <w:color w:val="000000" w:themeColor="text1"/>
          <w:sz w:val="22"/>
          <w:szCs w:val="22"/>
          <w:u w:val="single"/>
        </w:rPr>
        <w:t>register trademarks belonging to others and then demand large sums of money to sell the trademark back to the original owne</w:t>
      </w:r>
      <w:r w:rsidRPr="009C3F1E">
        <w:rPr>
          <w:rFonts w:asciiTheme="minorHAnsi" w:hAnsiTheme="minorHAnsi" w:cstheme="minorHAnsi"/>
          <w:color w:val="000000" w:themeColor="text1"/>
          <w:sz w:val="16"/>
          <w:szCs w:val="22"/>
        </w:rPr>
        <w:t>r or bring an infringement action to enforce their rights as the lawful owner against the original owner. This is exactly what happened to Tesla, Apple, and many others when they sought to expand into China. Therefore</w:t>
      </w:r>
      <w:r w:rsidRPr="009C3F1E">
        <w:rPr>
          <w:rFonts w:asciiTheme="minorHAnsi" w:hAnsiTheme="minorHAnsi" w:cstheme="minorHAnsi"/>
          <w:color w:val="000000" w:themeColor="text1"/>
          <w:sz w:val="22"/>
          <w:szCs w:val="22"/>
          <w:u w:val="single"/>
        </w:rPr>
        <w:t xml:space="preserve">, </w:t>
      </w:r>
      <w:r w:rsidRPr="00F17596">
        <w:rPr>
          <w:rFonts w:asciiTheme="minorHAnsi" w:hAnsiTheme="minorHAnsi" w:cstheme="minorHAnsi"/>
          <w:color w:val="000000" w:themeColor="text1"/>
          <w:sz w:val="22"/>
          <w:szCs w:val="22"/>
          <w:highlight w:val="darkGray"/>
          <w:u w:val="single"/>
        </w:rPr>
        <w:t>companies planning to expand overseas should</w:t>
      </w:r>
      <w:r w:rsidRPr="009C3F1E">
        <w:rPr>
          <w:rFonts w:asciiTheme="minorHAnsi" w:hAnsiTheme="minorHAnsi" w:cstheme="minorHAnsi"/>
          <w:color w:val="000000" w:themeColor="text1"/>
          <w:sz w:val="22"/>
          <w:szCs w:val="22"/>
          <w:u w:val="single"/>
        </w:rPr>
        <w:t xml:space="preserve"> consider </w:t>
      </w:r>
      <w:r w:rsidRPr="00F17596">
        <w:rPr>
          <w:rFonts w:asciiTheme="minorHAnsi" w:hAnsiTheme="minorHAnsi" w:cstheme="minorHAnsi"/>
          <w:color w:val="000000" w:themeColor="text1"/>
          <w:sz w:val="22"/>
          <w:szCs w:val="22"/>
          <w:highlight w:val="darkGray"/>
          <w:u w:val="single"/>
        </w:rPr>
        <w:t>fil</w:t>
      </w:r>
      <w:r w:rsidRPr="009C3F1E">
        <w:rPr>
          <w:rFonts w:asciiTheme="minorHAnsi" w:hAnsiTheme="minorHAnsi" w:cstheme="minorHAnsi"/>
          <w:color w:val="000000" w:themeColor="text1"/>
          <w:sz w:val="22"/>
          <w:szCs w:val="22"/>
          <w:u w:val="single"/>
        </w:rPr>
        <w:t xml:space="preserve">ing </w:t>
      </w:r>
      <w:r w:rsidRPr="00F17596">
        <w:rPr>
          <w:rFonts w:asciiTheme="minorHAnsi" w:hAnsiTheme="minorHAnsi" w:cstheme="minorHAnsi"/>
          <w:color w:val="000000" w:themeColor="text1"/>
          <w:sz w:val="22"/>
          <w:szCs w:val="22"/>
          <w:highlight w:val="darkGray"/>
          <w:u w:val="single"/>
        </w:rPr>
        <w:t>registrations in other countries</w:t>
      </w:r>
      <w:r w:rsidRPr="009C3F1E">
        <w:rPr>
          <w:rFonts w:asciiTheme="minorHAnsi" w:hAnsiTheme="minorHAnsi" w:cstheme="minorHAnsi"/>
          <w:color w:val="000000" w:themeColor="text1"/>
          <w:sz w:val="16"/>
          <w:szCs w:val="22"/>
        </w:rPr>
        <w:t xml:space="preserve"> before someone else does. Specifically, </w:t>
      </w:r>
      <w:r w:rsidRPr="009C3F1E">
        <w:rPr>
          <w:rFonts w:asciiTheme="minorHAnsi" w:hAnsiTheme="minorHAnsi" w:cstheme="minorHAnsi"/>
          <w:color w:val="000000" w:themeColor="text1"/>
          <w:sz w:val="22"/>
          <w:szCs w:val="22"/>
          <w:u w:val="single"/>
        </w:rPr>
        <w:t>companies seeking further opportunities overseas and are looking to remain in the market long-term should ensure that their brand is protected internationally</w:t>
      </w:r>
      <w:r w:rsidRPr="009C3F1E">
        <w:rPr>
          <w:rFonts w:asciiTheme="minorHAnsi" w:hAnsiTheme="minorHAnsi" w:cstheme="minorHAnsi"/>
          <w:color w:val="000000" w:themeColor="text1"/>
          <w:sz w:val="16"/>
          <w:szCs w:val="22"/>
        </w:rPr>
        <w:t>. Ideally, promptly registering trademarks in a country should be undertaken before any products are sold or manufactured there. However, this is not without complications. Many “first-to-</w:t>
      </w:r>
      <w:proofErr w:type="gramStart"/>
      <w:r w:rsidRPr="009C3F1E">
        <w:rPr>
          <w:rFonts w:asciiTheme="minorHAnsi" w:hAnsiTheme="minorHAnsi" w:cstheme="minorHAnsi"/>
          <w:color w:val="000000" w:themeColor="text1"/>
          <w:sz w:val="16"/>
          <w:szCs w:val="22"/>
        </w:rPr>
        <w:t>file</w:t>
      </w:r>
      <w:proofErr w:type="gramEnd"/>
      <w:r w:rsidRPr="009C3F1E">
        <w:rPr>
          <w:rFonts w:asciiTheme="minorHAnsi" w:hAnsiTheme="minorHAnsi" w:cstheme="minorHAnsi"/>
          <w:color w:val="000000" w:themeColor="text1"/>
          <w:sz w:val="16"/>
          <w:szCs w:val="22"/>
        </w:rPr>
        <w:t xml:space="preserve">” jurisdictions allow for the trademark registration to be canceled if not subsequently used in commerce within a certain time frame. Therefore, it is important to identify and prioritize the key markets and understand the jurisdiction’s trademark laws. Although it does take time and resources to register a trademark in different countries, the alternative of </w:t>
      </w:r>
      <w:r w:rsidRPr="00F17596">
        <w:rPr>
          <w:rFonts w:asciiTheme="minorHAnsi" w:hAnsiTheme="minorHAnsi" w:cstheme="minorHAnsi"/>
          <w:color w:val="000000" w:themeColor="text1"/>
          <w:sz w:val="22"/>
          <w:szCs w:val="22"/>
          <w:highlight w:val="darkGray"/>
          <w:u w:val="single"/>
        </w:rPr>
        <w:t>exporting goods to another country without a registered trademark leaves the brand unprotected and open to considerable risk.</w:t>
      </w:r>
    </w:p>
    <w:p w14:paraId="2394EB5A" w14:textId="77777777" w:rsidR="005F027F" w:rsidRPr="00FC757C" w:rsidRDefault="005F027F" w:rsidP="005F027F"/>
    <w:p w14:paraId="2315ADBE" w14:textId="77777777" w:rsidR="005F027F" w:rsidRDefault="005F027F" w:rsidP="005F027F">
      <w:pPr>
        <w:pStyle w:val="Heading2"/>
      </w:pPr>
      <w:r>
        <w:lastRenderedPageBreak/>
        <w:t>Patents</w:t>
      </w:r>
    </w:p>
    <w:p w14:paraId="11B727E5" w14:textId="77777777" w:rsidR="005F027F" w:rsidRDefault="005F027F" w:rsidP="005F027F">
      <w:pPr>
        <w:rPr>
          <w:rFonts w:eastAsiaTheme="majorEastAsia" w:cstheme="majorBidi"/>
          <w:b/>
          <w:sz w:val="44"/>
          <w:szCs w:val="26"/>
          <w:u w:val="double"/>
        </w:rPr>
      </w:pPr>
      <w:r>
        <w:br w:type="page"/>
      </w:r>
    </w:p>
    <w:p w14:paraId="3A8235D0" w14:textId="77777777" w:rsidR="005F027F" w:rsidRDefault="005F027F" w:rsidP="005F027F">
      <w:pPr>
        <w:pStyle w:val="Heading3"/>
      </w:pPr>
      <w:r>
        <w:lastRenderedPageBreak/>
        <w:t>Trolls Bad</w:t>
      </w:r>
    </w:p>
    <w:p w14:paraId="30573A31" w14:textId="77777777" w:rsidR="005F027F" w:rsidRDefault="005F027F" w:rsidP="005F027F">
      <w:pPr>
        <w:pStyle w:val="Heading4"/>
      </w:pPr>
      <w:r>
        <w:t>Patent trolls bad and undermine innovation</w:t>
      </w:r>
    </w:p>
    <w:p w14:paraId="1D60242C" w14:textId="77777777" w:rsidR="005F027F" w:rsidRDefault="005F027F" w:rsidP="005F027F">
      <w:r w:rsidRPr="00C12B7C">
        <w:t xml:space="preserve">Max </w:t>
      </w:r>
      <w:r w:rsidRPr="00C12B7C">
        <w:rPr>
          <w:rStyle w:val="Style13ptBold"/>
        </w:rPr>
        <w:t>Baucus</w:t>
      </w:r>
      <w:r w:rsidRPr="00C12B7C">
        <w:t xml:space="preserve"> </w:t>
      </w:r>
      <w:r>
        <w:t>(</w:t>
      </w:r>
      <w:r w:rsidRPr="00C12B7C">
        <w:t>He served as Chairman of the U.S. Senate Committee on Finance from 2001 until 2003, and again from 2007 until 2014</w:t>
      </w:r>
      <w:r>
        <w:t>) “</w:t>
      </w:r>
      <w:r w:rsidRPr="00C12B7C">
        <w:t>It’s Time for the U.S. to Tackle Patent Trolls</w:t>
      </w:r>
      <w:r>
        <w:t xml:space="preserve">” September 16, </w:t>
      </w:r>
      <w:r w:rsidRPr="00C12B7C">
        <w:rPr>
          <w:rStyle w:val="Style13ptBold"/>
        </w:rPr>
        <w:t>2022</w:t>
      </w:r>
      <w:r>
        <w:t xml:space="preserve"> </w:t>
      </w:r>
      <w:r w:rsidRPr="00C12B7C">
        <w:t>https://hbr.org/2022/09/its-time-for-the-u-s-to-tackle-patent-trolls</w:t>
      </w:r>
    </w:p>
    <w:p w14:paraId="0C587292" w14:textId="77777777" w:rsidR="005F027F" w:rsidRDefault="005F027F" w:rsidP="005F027F">
      <w:r>
        <w:t xml:space="preserve">The Biden administration and Congress have recently made a series of commitments to support industries that are of high strategic importance. The Inflation Reduction Act and Chips and Science Act provide much-needed resources to bolster advances in green energy and increase our domestic supply of semiconductors – two critical long-term priorities. Yet, </w:t>
      </w:r>
      <w:proofErr w:type="gramStart"/>
      <w:r w:rsidRPr="00F17596">
        <w:rPr>
          <w:rStyle w:val="StyleUnderline"/>
          <w:highlight w:val="darkGray"/>
        </w:rPr>
        <w:t>there’s</w:t>
      </w:r>
      <w:proofErr w:type="gramEnd"/>
      <w:r w:rsidRPr="00F17596">
        <w:rPr>
          <w:rStyle w:val="StyleUnderline"/>
          <w:highlight w:val="darkGray"/>
        </w:rPr>
        <w:t xml:space="preserve"> another significant challenge facing our innovation economy</w:t>
      </w:r>
      <w:r>
        <w:t xml:space="preserve">, one that often goes under reported. </w:t>
      </w:r>
      <w:r w:rsidRPr="00F17596">
        <w:rPr>
          <w:rStyle w:val="StyleUnderline"/>
          <w:highlight w:val="darkGray"/>
        </w:rPr>
        <w:t>Abusive patent lawsuits</w:t>
      </w:r>
      <w:r>
        <w:t xml:space="preserve"> against some of our most innovative companies </w:t>
      </w:r>
      <w:r w:rsidRPr="00F17596">
        <w:rPr>
          <w:rStyle w:val="StyleUnderline"/>
          <w:highlight w:val="darkGray"/>
        </w:rPr>
        <w:t>are on the rise</w:t>
      </w:r>
      <w:r>
        <w:t xml:space="preserve">, </w:t>
      </w:r>
      <w:r w:rsidRPr="00F17596">
        <w:rPr>
          <w:rStyle w:val="StyleUnderline"/>
          <w:highlight w:val="darkGray"/>
        </w:rPr>
        <w:t xml:space="preserve">forcing more and more successful businesses to delay hiring new workers, raising wages, and </w:t>
      </w:r>
      <w:r w:rsidRPr="00F17596">
        <w:rPr>
          <w:rStyle w:val="Emphasis"/>
          <w:highlight w:val="darkGray"/>
        </w:rPr>
        <w:t>developing new products</w:t>
      </w:r>
      <w:r>
        <w:t xml:space="preserve">. Instead, </w:t>
      </w:r>
      <w:proofErr w:type="gramStart"/>
      <w:r>
        <w:t>they’re</w:t>
      </w:r>
      <w:proofErr w:type="gramEnd"/>
      <w:r>
        <w:t xml:space="preserve"> forced to spend money defending themselves against meritless accusations. The wealthy investors who file these abusive lawsuits, and are often referred to </w:t>
      </w:r>
      <w:r w:rsidRPr="00826781">
        <w:t>as “patent trolls,”</w:t>
      </w:r>
      <w:r>
        <w:t xml:space="preserve"> buy up portfolios of broad, unused patents that, in many cases, the U.S. Patent &amp; Trademark Office (USPTO) never should have issued in the first place. They then assert the low-quality patents in lawsuits to accuse others of patent infringement – all this even though the patents being asserted will continue to go unused. The impact on American innovation is devastating. According to one study, each year, </w:t>
      </w:r>
      <w:r w:rsidRPr="00F17596">
        <w:rPr>
          <w:rStyle w:val="StyleUnderline"/>
          <w:highlight w:val="darkGray"/>
        </w:rPr>
        <w:t>patent trolls create $29 billion in direct, out-of-pocket costs from the companies they go after</w:t>
      </w:r>
      <w:r>
        <w:t xml:space="preserve">. Another study found that the </w:t>
      </w:r>
      <w:r w:rsidRPr="00F17596">
        <w:rPr>
          <w:rStyle w:val="StyleUnderline"/>
          <w:highlight w:val="darkGray"/>
        </w:rPr>
        <w:t xml:space="preserve">companies that settle with patent trolls, or lose to them in court, wind up reducing investments in research and development </w:t>
      </w:r>
      <w:r w:rsidRPr="00F17596">
        <w:rPr>
          <w:rStyle w:val="Emphasis"/>
          <w:highlight w:val="darkGray"/>
        </w:rPr>
        <w:t>by an average of more than $160 million</w:t>
      </w:r>
      <w:r w:rsidRPr="00F17596">
        <w:rPr>
          <w:rStyle w:val="StyleUnderline"/>
          <w:highlight w:val="darkGray"/>
        </w:rPr>
        <w:t xml:space="preserve"> over the next two years</w:t>
      </w:r>
      <w:r>
        <w:t xml:space="preserve">. Massive amounts of money are being drained from the hardworking people who are driving our economy forward to instead line the pockets of wealthy investors who are offering no goods or services of their own. </w:t>
      </w:r>
      <w:r w:rsidRPr="00F17596">
        <w:rPr>
          <w:rStyle w:val="StyleUnderline"/>
          <w:highlight w:val="darkGray"/>
        </w:rPr>
        <w:t>The problem is especially threatening for progress in areas like the renewable energy sector</w:t>
      </w:r>
      <w:r>
        <w:t xml:space="preserve">, an industry where products often rely on hundreds or even thousands of underlying patents. U.S. leadership in green technology is critical both to curb emissions and because renewable energy has the potential to be a hub of innovation and strategic advantage for decades to come. </w:t>
      </w:r>
      <w:r w:rsidRPr="00F17596">
        <w:rPr>
          <w:rStyle w:val="StyleUnderline"/>
          <w:highlight w:val="darkGray"/>
        </w:rPr>
        <w:t>The USPTO recognizes the sector’s importance, and its climate change mitigation program will foster research and development</w:t>
      </w:r>
      <w:r>
        <w:t xml:space="preserve"> in this area. </w:t>
      </w:r>
      <w:r w:rsidRPr="00F17596">
        <w:rPr>
          <w:rStyle w:val="StyleUnderline"/>
          <w:highlight w:val="darkGray"/>
        </w:rPr>
        <w:t>Yet</w:t>
      </w:r>
      <w:r>
        <w:t xml:space="preserve">, automakers and other </w:t>
      </w:r>
      <w:r w:rsidRPr="00F17596">
        <w:rPr>
          <w:rStyle w:val="StyleUnderline"/>
          <w:highlight w:val="darkGray"/>
        </w:rPr>
        <w:t>companies generating cutting-edge technology</w:t>
      </w:r>
      <w:r>
        <w:t xml:space="preserve"> in this sector </w:t>
      </w:r>
      <w:r w:rsidRPr="00F17596">
        <w:rPr>
          <w:rStyle w:val="StyleUnderline"/>
          <w:highlight w:val="darkGray"/>
        </w:rPr>
        <w:t>are constantly forced into battles with patent trolls that drain resources and delay innovation.</w:t>
      </w:r>
      <w:r>
        <w:t xml:space="preserve"> Letting patent trolls slow down green-energy advancements would be a colossal mistake. Critics say that the problem of patent trolling is an invention of large corporations, and that cracking down on patent trolls will mean hurting “the little guy.” These assertions are not backed up by the data: Analysis has shown that almost 60% of the companies sued by patent trolls are small or medium-sized; patent-troll litigation costs smaller companies more relative to their revenue; and when infringement claims are settled out of court, smaller companies again pay patent trolls more relative to their revenue. It is past time for Washington to fix this broken part of our patent system and ensure innovators and entrepreneurs have the tools they need not just to get by, but to get ahead.  </w:t>
      </w:r>
    </w:p>
    <w:p w14:paraId="38300290" w14:textId="77777777" w:rsidR="005F027F" w:rsidRDefault="005F027F" w:rsidP="005F027F">
      <w:pPr>
        <w:rPr>
          <w:rFonts w:eastAsiaTheme="majorEastAsia" w:cstheme="majorBidi"/>
          <w:b/>
          <w:sz w:val="32"/>
          <w:szCs w:val="24"/>
          <w:u w:val="single"/>
        </w:rPr>
      </w:pPr>
      <w:r>
        <w:br w:type="page"/>
      </w:r>
    </w:p>
    <w:p w14:paraId="24DF18A5" w14:textId="77777777" w:rsidR="005F027F" w:rsidRDefault="005F027F" w:rsidP="005F027F">
      <w:pPr>
        <w:pStyle w:val="Heading3"/>
      </w:pPr>
      <w:r>
        <w:lastRenderedPageBreak/>
        <w:t xml:space="preserve">Trolls Good </w:t>
      </w:r>
    </w:p>
    <w:p w14:paraId="1DC12C9D" w14:textId="77777777" w:rsidR="005F027F" w:rsidRPr="009C3F1E" w:rsidRDefault="005F027F" w:rsidP="005F027F">
      <w:pPr>
        <w:pStyle w:val="Heading4"/>
      </w:pPr>
      <w:r w:rsidRPr="009C3F1E">
        <w:t xml:space="preserve">Increase in patent litigation due to trolls is nothing new, but it shows a healthy and dynamic economy. </w:t>
      </w:r>
    </w:p>
    <w:p w14:paraId="16D93F21" w14:textId="77777777" w:rsidR="005F027F" w:rsidRPr="009C3F1E" w:rsidRDefault="005F027F" w:rsidP="005F027F">
      <w:r w:rsidRPr="009C3F1E">
        <w:t xml:space="preserve">Stephen </w:t>
      </w:r>
      <w:proofErr w:type="gramStart"/>
      <w:r w:rsidRPr="009C3F1E">
        <w:rPr>
          <w:rStyle w:val="Style13ptBold"/>
        </w:rPr>
        <w:t>Haber  and</w:t>
      </w:r>
      <w:proofErr w:type="gramEnd"/>
      <w:r w:rsidRPr="009C3F1E">
        <w:t xml:space="preserve"> Ross </w:t>
      </w:r>
      <w:r w:rsidRPr="009C3F1E">
        <w:rPr>
          <w:rStyle w:val="Style13ptBold"/>
        </w:rPr>
        <w:t>Levine [Mr. Haber is a professor of political science and senior fellow of the Hoover Institution, where he directs the Task Force on Intellectual Property, Innovation and Prosperity. Mr. Levine is a professor of business at the University of California, Berkeley, and a senior fellow at the Milken Institute.]</w:t>
      </w:r>
      <w:r w:rsidRPr="009C3F1E">
        <w:t>, 6-29-20</w:t>
      </w:r>
      <w:r w:rsidRPr="009C3F1E">
        <w:rPr>
          <w:rStyle w:val="Style13ptBold"/>
        </w:rPr>
        <w:t>14</w:t>
      </w:r>
      <w:r w:rsidRPr="009C3F1E">
        <w:t xml:space="preserve">, "Stephen Haber and Ross Levine: The Myth Of the Wicked Patent Troll", WSJ, </w:t>
      </w:r>
      <w:hyperlink r:id="rId15" w:history="1">
        <w:r w:rsidRPr="009C3F1E">
          <w:rPr>
            <w:rStyle w:val="Hyperlink"/>
          </w:rPr>
          <w:t>https://www.wsj.com/articles/stephen-haber-and-ross-levine-the-myth-of-the-wicked-patent-troll-1404085391</w:t>
        </w:r>
      </w:hyperlink>
      <w:r w:rsidRPr="009C3F1E">
        <w:t xml:space="preserve"> (Accessed July 7, 2024) CR</w:t>
      </w:r>
    </w:p>
    <w:p w14:paraId="2757A264" w14:textId="77777777" w:rsidR="005F027F" w:rsidRPr="009C3F1E" w:rsidRDefault="005F027F" w:rsidP="005F027F">
      <w:pPr>
        <w:rPr>
          <w:sz w:val="16"/>
        </w:rPr>
      </w:pPr>
      <w:r w:rsidRPr="009C3F1E">
        <w:rPr>
          <w:sz w:val="16"/>
        </w:rPr>
        <w:t xml:space="preserve">Patent-reform activists point out that the number of patent lawsuits has increased by about 60% since 2000, which they cite as evidence that there is a serious problem with the patent system. But </w:t>
      </w:r>
      <w:r w:rsidRPr="00F17596">
        <w:rPr>
          <w:rStyle w:val="StyleUnderline"/>
          <w:highlight w:val="darkGray"/>
        </w:rPr>
        <w:t xml:space="preserve">does the uptick in lawsuits </w:t>
      </w:r>
      <w:proofErr w:type="gramStart"/>
      <w:r w:rsidRPr="00F17596">
        <w:rPr>
          <w:rStyle w:val="StyleUnderline"/>
          <w:highlight w:val="darkGray"/>
        </w:rPr>
        <w:t>actually indicate</w:t>
      </w:r>
      <w:proofErr w:type="gramEnd"/>
      <w:r w:rsidRPr="009C3F1E">
        <w:rPr>
          <w:sz w:val="16"/>
        </w:rPr>
        <w:t xml:space="preserve"> such </w:t>
      </w:r>
      <w:r w:rsidRPr="00F17596">
        <w:rPr>
          <w:rStyle w:val="StyleUnderline"/>
          <w:highlight w:val="darkGray"/>
        </w:rPr>
        <w:t>a problem</w:t>
      </w:r>
      <w:r w:rsidRPr="009C3F1E">
        <w:rPr>
          <w:sz w:val="16"/>
        </w:rPr>
        <w:t xml:space="preserve">? In short, </w:t>
      </w:r>
      <w:r w:rsidRPr="00F17596">
        <w:rPr>
          <w:rStyle w:val="StyleUnderline"/>
          <w:highlight w:val="darkGray"/>
        </w:rPr>
        <w:t>no</w:t>
      </w:r>
      <w:r w:rsidRPr="009C3F1E">
        <w:rPr>
          <w:sz w:val="16"/>
        </w:rPr>
        <w:t xml:space="preserve">. </w:t>
      </w:r>
      <w:r w:rsidRPr="00F17596">
        <w:rPr>
          <w:rStyle w:val="StyleUnderline"/>
          <w:highlight w:val="darkGray"/>
        </w:rPr>
        <w:t>It might</w:t>
      </w:r>
      <w:r w:rsidRPr="009C3F1E">
        <w:rPr>
          <w:sz w:val="16"/>
        </w:rPr>
        <w:t xml:space="preserve"> instead </w:t>
      </w:r>
      <w:r w:rsidRPr="009C3F1E">
        <w:rPr>
          <w:rStyle w:val="StyleUnderline"/>
        </w:rPr>
        <w:t>r</w:t>
      </w:r>
      <w:r w:rsidRPr="00F17596">
        <w:rPr>
          <w:rStyle w:val="StyleUnderline"/>
          <w:highlight w:val="darkGray"/>
        </w:rPr>
        <w:t>eflect a healthy, dynamic economy</w:t>
      </w:r>
      <w:r w:rsidRPr="009C3F1E">
        <w:rPr>
          <w:sz w:val="16"/>
        </w:rPr>
        <w:t xml:space="preserve">. </w:t>
      </w:r>
      <w:r w:rsidRPr="00F17596">
        <w:rPr>
          <w:rStyle w:val="StyleUnderline"/>
          <w:highlight w:val="darkGray"/>
        </w:rPr>
        <w:t>Rapid</w:t>
      </w:r>
      <w:r w:rsidRPr="009C3F1E">
        <w:rPr>
          <w:rStyle w:val="StyleUnderline"/>
        </w:rPr>
        <w:t xml:space="preserve"> technological </w:t>
      </w:r>
      <w:r w:rsidRPr="00F17596">
        <w:rPr>
          <w:rStyle w:val="StyleUnderline"/>
          <w:highlight w:val="darkGray"/>
        </w:rPr>
        <w:t>advances have spurred more innovation and patents</w:t>
      </w:r>
      <w:r w:rsidRPr="009C3F1E">
        <w:rPr>
          <w:rStyle w:val="StyleUnderline"/>
        </w:rPr>
        <w:t>, and courts are now clarifying the nature and boundaries of intellectual property and contract rights</w:t>
      </w:r>
      <w:r w:rsidRPr="009C3F1E">
        <w:rPr>
          <w:sz w:val="16"/>
        </w:rPr>
        <w:t xml:space="preserve">. As our colleague Zorina Khan of Bowdoin College showed in a September working paper, </w:t>
      </w:r>
      <w:r w:rsidRPr="00F17596">
        <w:rPr>
          <w:rStyle w:val="Emphasis"/>
          <w:highlight w:val="darkGray"/>
        </w:rPr>
        <w:t xml:space="preserve">the spike in litigation is </w:t>
      </w:r>
      <w:proofErr w:type="gramStart"/>
      <w:r w:rsidRPr="00F17596">
        <w:rPr>
          <w:rStyle w:val="Emphasis"/>
          <w:highlight w:val="darkGray"/>
        </w:rPr>
        <w:t>similar to</w:t>
      </w:r>
      <w:proofErr w:type="gramEnd"/>
      <w:r w:rsidRPr="00F17596">
        <w:rPr>
          <w:rStyle w:val="Emphasis"/>
          <w:highlight w:val="darkGray"/>
        </w:rPr>
        <w:t xml:space="preserve"> what happened in the 19th century when the telegraph, telephone and automobile were introduced</w:t>
      </w:r>
      <w:r w:rsidRPr="009C3F1E">
        <w:rPr>
          <w:sz w:val="16"/>
        </w:rPr>
        <w:t xml:space="preserve">. Conflict among firms, some of which will naturally spill over into the courts, happens any time disruptive technologies appear. </w:t>
      </w:r>
      <w:r w:rsidRPr="009C3F1E">
        <w:rPr>
          <w:rStyle w:val="StyleUnderline"/>
        </w:rPr>
        <w:t xml:space="preserve">The truth is that </w:t>
      </w:r>
      <w:r w:rsidRPr="00F17596">
        <w:rPr>
          <w:rStyle w:val="StyleUnderline"/>
          <w:highlight w:val="darkGray"/>
        </w:rPr>
        <w:t>patent reform activists have not provided any evidence that the current patent system or</w:t>
      </w:r>
      <w:r w:rsidRPr="009C3F1E">
        <w:rPr>
          <w:sz w:val="16"/>
        </w:rPr>
        <w:t xml:space="preserve"> Patent Monetization Entities—</w:t>
      </w:r>
      <w:r w:rsidRPr="00F17596">
        <w:rPr>
          <w:rStyle w:val="StyleUnderline"/>
          <w:highlight w:val="darkGray"/>
        </w:rPr>
        <w:t>PME's</w:t>
      </w:r>
      <w:r w:rsidRPr="009C3F1E">
        <w:rPr>
          <w:sz w:val="16"/>
        </w:rPr>
        <w:t>, the technical, non-pejorative term for a "patent troll"—</w:t>
      </w:r>
      <w:r w:rsidRPr="00F17596">
        <w:rPr>
          <w:rStyle w:val="StyleUnderline"/>
          <w:highlight w:val="darkGray"/>
        </w:rPr>
        <w:t>have hindered innovation and entrepreneurship</w:t>
      </w:r>
      <w:r w:rsidRPr="009C3F1E">
        <w:rPr>
          <w:sz w:val="16"/>
        </w:rPr>
        <w:t xml:space="preserve">. To make a convincing case for reform, they would have to prove that the current system is hurting what the public cares about: the quality of the products we buy and the prices we pay for them. Research we conducted with Alexander </w:t>
      </w:r>
      <w:proofErr w:type="spellStart"/>
      <w:r w:rsidRPr="009C3F1E">
        <w:rPr>
          <w:sz w:val="16"/>
        </w:rPr>
        <w:t>Galetovic</w:t>
      </w:r>
      <w:proofErr w:type="spellEnd"/>
      <w:r w:rsidRPr="009C3F1E">
        <w:rPr>
          <w:sz w:val="16"/>
        </w:rPr>
        <w:t xml:space="preserve"> of the Universidad de Los Andes found that </w:t>
      </w:r>
      <w:r w:rsidRPr="00F17596">
        <w:rPr>
          <w:rStyle w:val="StyleUnderline"/>
          <w:highlight w:val="darkGray"/>
        </w:rPr>
        <w:t>innovation rates have been strongest in exactly the industries that patent-reform advocates claim are suffering from "trolls" and a broken patent system.</w:t>
      </w:r>
      <w:r w:rsidRPr="009C3F1E">
        <w:rPr>
          <w:rStyle w:val="StyleUnderline"/>
        </w:rPr>
        <w:t xml:space="preserve"> The innovation in these industries is matched with a rapid decline in prices</w:t>
      </w:r>
      <w:r w:rsidRPr="009C3F1E">
        <w:rPr>
          <w:sz w:val="16"/>
        </w:rPr>
        <w:t xml:space="preserve">. For example, since 1992, the quality-and-inflation-adjusted price of telephone equipment has fallen by 6.7%, televisions by 14.4% and portable computers by 26.7% a year. Patent-reform activists typically respond to this record with some variation of "yes, but price declines could have been even faster were it not for wasteful litigation." Well, maybe, but </w:t>
      </w:r>
      <w:r w:rsidRPr="00F17596">
        <w:rPr>
          <w:rStyle w:val="Emphasis"/>
          <w:highlight w:val="darkGray"/>
        </w:rPr>
        <w:t>thanks in large part to the patent system we have, the current rate of invention in the U.S. might be the fastest in human history</w:t>
      </w:r>
      <w:r w:rsidRPr="009C3F1E">
        <w:rPr>
          <w:sz w:val="16"/>
        </w:rPr>
        <w:t xml:space="preserve">. Where is the evidence that society would benefit from undertaking the risky process of reforming a patenting system that has been the envy of the world for more than two centuries? </w:t>
      </w:r>
      <w:r w:rsidRPr="009C3F1E">
        <w:rPr>
          <w:rStyle w:val="StyleUnderline"/>
        </w:rPr>
        <w:t>There is one basic reason behind the attacks on trolls: Big Money</w:t>
      </w:r>
      <w:r w:rsidRPr="009C3F1E">
        <w:rPr>
          <w:sz w:val="16"/>
        </w:rPr>
        <w:t xml:space="preserve">. </w:t>
      </w:r>
      <w:r w:rsidRPr="009C3F1E">
        <w:rPr>
          <w:rStyle w:val="StyleUnderline"/>
        </w:rPr>
        <w:t>Many patent-intensive products</w:t>
      </w:r>
      <w:r w:rsidRPr="009C3F1E">
        <w:rPr>
          <w:sz w:val="16"/>
        </w:rPr>
        <w:t>—the smartphone in your pocket, the laptop computer in your briefcase—</w:t>
      </w:r>
      <w:r w:rsidRPr="009C3F1E">
        <w:rPr>
          <w:rStyle w:val="StyleUnderline"/>
        </w:rPr>
        <w:t>are produced by big corporations that license many patents</w:t>
      </w:r>
      <w:r w:rsidRPr="009C3F1E">
        <w:rPr>
          <w:sz w:val="16"/>
        </w:rPr>
        <w:t xml:space="preserve">. The iPhone is a classic example: It contains thousands of patented components, but Apple does not own many of the key ones. It must negotiate for the right to use them. </w:t>
      </w:r>
      <w:r w:rsidRPr="009C3F1E">
        <w:rPr>
          <w:rStyle w:val="StyleUnderline"/>
        </w:rPr>
        <w:t>These corporations can make higher profits the less they pay to use patented technology they do not own, and higher profits still by paying nothing at all</w:t>
      </w:r>
      <w:r w:rsidRPr="009C3F1E">
        <w:rPr>
          <w:sz w:val="16"/>
        </w:rPr>
        <w:t xml:space="preserve">. The battle over the "right price" for patented technologies takes many forms, one of which is political. Indeed, some corporations are looking to gain a competitive edge by changing the rules of the game. The strategy is to pass patent-reform legislation that weakens the negotiating position of patent holders. Corporations that pay large sums for patented technologies will point to lawsuits, </w:t>
      </w:r>
      <w:proofErr w:type="gramStart"/>
      <w:r w:rsidRPr="009C3F1E">
        <w:rPr>
          <w:sz w:val="16"/>
        </w:rPr>
        <w:t>trolls</w:t>
      </w:r>
      <w:proofErr w:type="gramEnd"/>
      <w:r w:rsidRPr="009C3F1E">
        <w:rPr>
          <w:sz w:val="16"/>
        </w:rPr>
        <w:t xml:space="preserve"> and anything else that will encourage lawmakers to pass such reforms. But </w:t>
      </w:r>
      <w:r w:rsidRPr="00F17596">
        <w:rPr>
          <w:rStyle w:val="StyleUnderline"/>
          <w:highlight w:val="darkGray"/>
        </w:rPr>
        <w:t>when policy makers consider reforming the patent system, they should not rely on often repeated</w:t>
      </w:r>
      <w:r w:rsidRPr="009C3F1E">
        <w:rPr>
          <w:rStyle w:val="StyleUnderline"/>
        </w:rPr>
        <w:t xml:space="preserve">, but never substantiated, </w:t>
      </w:r>
      <w:r w:rsidRPr="00F17596">
        <w:rPr>
          <w:rStyle w:val="StyleUnderline"/>
          <w:highlight w:val="darkGray"/>
        </w:rPr>
        <w:t>claims that patent trolls and lawsuits stymie innovation and the commercialization of complex technologies</w:t>
      </w:r>
      <w:r w:rsidRPr="009C3F1E">
        <w:rPr>
          <w:rStyle w:val="StyleUnderline"/>
        </w:rPr>
        <w:t xml:space="preserve">. </w:t>
      </w:r>
      <w:r w:rsidRPr="00F17596">
        <w:rPr>
          <w:rStyle w:val="StyleUnderline"/>
          <w:highlight w:val="darkGray"/>
        </w:rPr>
        <w:t>They should demand robust evidence that the current system is slowing down innovation</w:t>
      </w:r>
      <w:r w:rsidRPr="009C3F1E">
        <w:rPr>
          <w:sz w:val="16"/>
        </w:rPr>
        <w:t>. That evidence does not exist.</w:t>
      </w:r>
    </w:p>
    <w:p w14:paraId="67FDA227" w14:textId="77777777" w:rsidR="005F027F" w:rsidRPr="00FC757C" w:rsidRDefault="005F027F" w:rsidP="005F027F"/>
    <w:p w14:paraId="0842AB7B" w14:textId="77777777" w:rsidR="005F027F" w:rsidRDefault="005F027F" w:rsidP="005F027F">
      <w:pPr>
        <w:rPr>
          <w:rFonts w:eastAsiaTheme="majorEastAsia" w:cstheme="majorBidi"/>
          <w:b/>
          <w:sz w:val="32"/>
          <w:szCs w:val="24"/>
          <w:u w:val="single"/>
        </w:rPr>
      </w:pPr>
    </w:p>
    <w:p w14:paraId="00B94416" w14:textId="77777777" w:rsidR="005F027F" w:rsidRDefault="005F027F" w:rsidP="005F027F">
      <w:pPr>
        <w:pStyle w:val="Heading1"/>
      </w:pPr>
      <w:r>
        <w:lastRenderedPageBreak/>
        <w:t>Random</w:t>
      </w:r>
    </w:p>
    <w:p w14:paraId="5E75AE85" w14:textId="77777777" w:rsidR="005F027F" w:rsidRDefault="005F027F" w:rsidP="005F027F">
      <w:pPr>
        <w:rPr>
          <w:rFonts w:eastAsiaTheme="majorEastAsia" w:cstheme="majorBidi"/>
          <w:b/>
          <w:sz w:val="44"/>
          <w:szCs w:val="26"/>
          <w:u w:val="double"/>
        </w:rPr>
      </w:pPr>
      <w:r>
        <w:br w:type="page"/>
      </w:r>
    </w:p>
    <w:p w14:paraId="63B51CCD" w14:textId="77777777" w:rsidR="005F027F" w:rsidRDefault="005F027F" w:rsidP="005F027F">
      <w:pPr>
        <w:pStyle w:val="Heading3"/>
      </w:pPr>
      <w:r>
        <w:lastRenderedPageBreak/>
        <w:t>Innovation – Alt Cause</w:t>
      </w:r>
    </w:p>
    <w:p w14:paraId="361ECCC6" w14:textId="77777777" w:rsidR="005F027F" w:rsidRDefault="005F027F" w:rsidP="005F027F">
      <w:pPr>
        <w:pStyle w:val="Heading4"/>
        <w:rPr>
          <w:rFonts w:ascii="Times New Roman" w:hAnsi="Times New Roman" w:cs="Times New Roman"/>
        </w:rPr>
      </w:pPr>
      <w:r>
        <w:rPr>
          <w:rFonts w:cs="Calibri"/>
          <w:color w:val="000000"/>
          <w:szCs w:val="26"/>
        </w:rPr>
        <w:t>Over Publication of research articles is the true cause of the loss of innovation in the United States. Four Factors.</w:t>
      </w:r>
    </w:p>
    <w:p w14:paraId="56A29BC6" w14:textId="77777777" w:rsidR="005F027F" w:rsidRDefault="005F027F" w:rsidP="005F027F">
      <w:pPr>
        <w:pStyle w:val="NormalWeb"/>
        <w:spacing w:before="0" w:beforeAutospacing="0" w:after="160" w:afterAutospacing="0"/>
      </w:pPr>
      <w:proofErr w:type="spellStart"/>
      <w:r>
        <w:rPr>
          <w:rFonts w:ascii="Calibri" w:hAnsi="Calibri" w:cs="Calibri"/>
          <w:b/>
          <w:bCs/>
          <w:color w:val="000000"/>
          <w:sz w:val="26"/>
          <w:szCs w:val="26"/>
        </w:rPr>
        <w:t>Besanceno</w:t>
      </w:r>
      <w:proofErr w:type="spellEnd"/>
      <w:r>
        <w:rPr>
          <w:rFonts w:ascii="Calibri" w:hAnsi="Calibri" w:cs="Calibri"/>
          <w:b/>
          <w:bCs/>
          <w:color w:val="000000"/>
          <w:sz w:val="26"/>
          <w:szCs w:val="26"/>
        </w:rPr>
        <w:t xml:space="preserve"> </w:t>
      </w:r>
      <w:r>
        <w:rPr>
          <w:rFonts w:ascii="Calibri" w:hAnsi="Calibri" w:cs="Calibri"/>
          <w:color w:val="000000"/>
          <w:sz w:val="26"/>
          <w:szCs w:val="26"/>
        </w:rPr>
        <w:t>5/1/ 20</w:t>
      </w:r>
      <w:r>
        <w:rPr>
          <w:rFonts w:ascii="Calibri" w:hAnsi="Calibri" w:cs="Calibri"/>
          <w:b/>
          <w:bCs/>
          <w:color w:val="000000"/>
          <w:sz w:val="26"/>
          <w:szCs w:val="26"/>
        </w:rPr>
        <w:t>24</w:t>
      </w:r>
      <w:r>
        <w:rPr>
          <w:rFonts w:ascii="Calibri" w:hAnsi="Calibri" w:cs="Calibri"/>
          <w:color w:val="000000"/>
          <w:sz w:val="22"/>
          <w:szCs w:val="22"/>
        </w:rPr>
        <w:t xml:space="preserve"> [Professor of Economics at the Department of Economics and Management Sciences of the Panthéon - </w:t>
      </w:r>
      <w:proofErr w:type="spellStart"/>
      <w:r>
        <w:rPr>
          <w:rFonts w:ascii="Calibri" w:hAnsi="Calibri" w:cs="Calibri"/>
          <w:color w:val="000000"/>
          <w:sz w:val="22"/>
          <w:szCs w:val="22"/>
        </w:rPr>
        <w:t>Assas</w:t>
      </w:r>
      <w:proofErr w:type="spellEnd"/>
      <w:r>
        <w:rPr>
          <w:rFonts w:ascii="Calibri" w:hAnsi="Calibri" w:cs="Calibri"/>
          <w:color w:val="000000"/>
          <w:sz w:val="22"/>
          <w:szCs w:val="22"/>
        </w:rPr>
        <w:t xml:space="preserve"> University Reluctance to pursue breakthrough research: A signaling explanation </w:t>
      </w:r>
      <w:hyperlink r:id="rId16" w:history="1">
        <w:r>
          <w:rPr>
            <w:rStyle w:val="Hyperlink"/>
            <w:rFonts w:eastAsiaTheme="majorEastAsia" w:cs="Calibri"/>
            <w:color w:val="1155CC"/>
            <w:sz w:val="22"/>
            <w:szCs w:val="22"/>
          </w:rPr>
          <w:t>https://www.sciencedirect.com/science/article/pii/S0048733324000234</w:t>
        </w:r>
      </w:hyperlink>
      <w:r>
        <w:rPr>
          <w:rFonts w:ascii="Calibri" w:hAnsi="Calibri" w:cs="Calibri"/>
          <w:color w:val="000000"/>
          <w:sz w:val="22"/>
          <w:szCs w:val="22"/>
        </w:rPr>
        <w:t xml:space="preserve"> Accessed: 7/7/2024 LMJ</w:t>
      </w:r>
    </w:p>
    <w:p w14:paraId="373EDE96" w14:textId="77777777" w:rsidR="005F027F" w:rsidRDefault="005F027F" w:rsidP="005F027F">
      <w:pPr>
        <w:pStyle w:val="NormalWeb"/>
        <w:spacing w:before="0" w:beforeAutospacing="0" w:after="360" w:afterAutospacing="0"/>
      </w:pPr>
      <w:r>
        <w:rPr>
          <w:rFonts w:ascii="Calibri" w:hAnsi="Calibri" w:cs="Calibri"/>
          <w:color w:val="1F1F1F"/>
          <w:sz w:val="16"/>
          <w:szCs w:val="16"/>
        </w:rPr>
        <w:t>In our imperfect information model,</w:t>
      </w:r>
      <w:r>
        <w:rPr>
          <w:rFonts w:ascii="Calibri" w:hAnsi="Calibri" w:cs="Calibri"/>
          <w:color w:val="1F1F1F"/>
          <w:sz w:val="22"/>
          <w:szCs w:val="22"/>
          <w:u w:val="single"/>
        </w:rPr>
        <w:t xml:space="preserve"> </w:t>
      </w:r>
      <w:r>
        <w:rPr>
          <w:rFonts w:ascii="Calibri" w:hAnsi="Calibri" w:cs="Calibri"/>
          <w:color w:val="1F1F1F"/>
          <w:sz w:val="22"/>
          <w:szCs w:val="22"/>
          <w:u w:val="single"/>
          <w:shd w:val="clear" w:color="auto" w:fill="00FFFF"/>
        </w:rPr>
        <w:t>the presence of</w:t>
      </w:r>
      <w:r>
        <w:rPr>
          <w:rFonts w:ascii="Calibri" w:hAnsi="Calibri" w:cs="Calibri"/>
          <w:color w:val="1F1F1F"/>
          <w:sz w:val="22"/>
          <w:szCs w:val="22"/>
          <w:u w:val="single"/>
        </w:rPr>
        <w:t xml:space="preserve"> a potentially </w:t>
      </w:r>
      <w:r>
        <w:rPr>
          <w:rFonts w:ascii="Calibri" w:hAnsi="Calibri" w:cs="Calibri"/>
          <w:color w:val="1F1F1F"/>
          <w:sz w:val="22"/>
          <w:szCs w:val="22"/>
          <w:u w:val="single"/>
          <w:shd w:val="clear" w:color="auto" w:fill="00FFFF"/>
        </w:rPr>
        <w:t>small number of low-skilled researchers imposes a negative externality on high-skilled scholars,</w:t>
      </w:r>
      <w:r>
        <w:rPr>
          <w:rFonts w:ascii="Calibri" w:hAnsi="Calibri" w:cs="Calibri"/>
          <w:color w:val="1F1F1F"/>
          <w:sz w:val="22"/>
          <w:szCs w:val="22"/>
          <w:u w:val="single"/>
        </w:rPr>
        <w:t xml:space="preserve"> </w:t>
      </w:r>
      <w:r>
        <w:rPr>
          <w:rFonts w:ascii="Calibri" w:hAnsi="Calibri" w:cs="Calibri"/>
          <w:color w:val="1F1F1F"/>
          <w:sz w:val="22"/>
          <w:szCs w:val="22"/>
          <w:u w:val="single"/>
          <w:shd w:val="clear" w:color="auto" w:fill="00FFFF"/>
        </w:rPr>
        <w:t xml:space="preserve">which imposes </w:t>
      </w:r>
      <w:proofErr w:type="spellStart"/>
      <w:r>
        <w:rPr>
          <w:rFonts w:ascii="Calibri" w:hAnsi="Calibri" w:cs="Calibri"/>
          <w:color w:val="1F1F1F"/>
          <w:sz w:val="22"/>
          <w:szCs w:val="22"/>
          <w:u w:val="single"/>
          <w:shd w:val="clear" w:color="auto" w:fill="00FFFF"/>
        </w:rPr>
        <w:t>overpublication</w:t>
      </w:r>
      <w:proofErr w:type="spellEnd"/>
      <w:r>
        <w:rPr>
          <w:rFonts w:ascii="Calibri" w:hAnsi="Calibri" w:cs="Calibri"/>
          <w:color w:val="1F1F1F"/>
          <w:sz w:val="22"/>
          <w:szCs w:val="22"/>
          <w:u w:val="single"/>
          <w:shd w:val="clear" w:color="auto" w:fill="00FFFF"/>
        </w:rPr>
        <w:t xml:space="preserve"> as a costly signaling strategy for the latter.</w:t>
      </w:r>
      <w:r>
        <w:rPr>
          <w:rFonts w:ascii="Calibri" w:hAnsi="Calibri" w:cs="Calibri"/>
          <w:color w:val="1F1F1F"/>
          <w:sz w:val="22"/>
          <w:szCs w:val="22"/>
        </w:rPr>
        <w:t xml:space="preserve"> In equilibrium,</w:t>
      </w:r>
      <w:r>
        <w:rPr>
          <w:rFonts w:ascii="Calibri" w:hAnsi="Calibri" w:cs="Calibri"/>
          <w:color w:val="1F1F1F"/>
          <w:sz w:val="22"/>
          <w:szCs w:val="22"/>
          <w:u w:val="single"/>
        </w:rPr>
        <w:t xml:space="preserve"> the </w:t>
      </w:r>
      <w:r>
        <w:rPr>
          <w:rFonts w:ascii="Calibri" w:hAnsi="Calibri" w:cs="Calibri"/>
          <w:color w:val="1F1F1F"/>
          <w:sz w:val="22"/>
          <w:szCs w:val="22"/>
          <w:u w:val="single"/>
          <w:shd w:val="clear" w:color="auto" w:fill="00FFFF"/>
        </w:rPr>
        <w:t xml:space="preserve">analysis reveals (1) systematic underinvestment in exploratory research by high-skilled scholars </w:t>
      </w:r>
      <w:r>
        <w:rPr>
          <w:rFonts w:ascii="Calibri" w:hAnsi="Calibri" w:cs="Calibri"/>
          <w:color w:val="1F1F1F"/>
          <w:sz w:val="16"/>
          <w:szCs w:val="16"/>
        </w:rPr>
        <w:t xml:space="preserve">(compared to the first-best </w:t>
      </w:r>
      <w:r>
        <w:rPr>
          <w:rFonts w:ascii="Calibri" w:hAnsi="Calibri" w:cs="Calibri"/>
          <w:color w:val="1F1F1F"/>
          <w:sz w:val="22"/>
          <w:szCs w:val="22"/>
        </w:rPr>
        <w:t xml:space="preserve">perfect information setting), </w:t>
      </w:r>
      <w:r>
        <w:rPr>
          <w:rFonts w:ascii="Calibri" w:hAnsi="Calibri" w:cs="Calibri"/>
          <w:color w:val="1F1F1F"/>
          <w:sz w:val="22"/>
          <w:szCs w:val="22"/>
          <w:u w:val="single"/>
          <w:shd w:val="clear" w:color="auto" w:fill="00FFFF"/>
        </w:rPr>
        <w:t>(2) systematic overinvestment in publishing papers</w:t>
      </w:r>
      <w:r>
        <w:rPr>
          <w:rFonts w:ascii="Calibri" w:hAnsi="Calibri" w:cs="Calibri"/>
          <w:color w:val="1F1F1F"/>
          <w:sz w:val="16"/>
          <w:szCs w:val="16"/>
          <w:u w:val="single"/>
        </w:rPr>
        <w:t xml:space="preserve"> </w:t>
      </w:r>
      <w:r>
        <w:rPr>
          <w:rFonts w:ascii="Calibri" w:hAnsi="Calibri" w:cs="Calibri"/>
          <w:color w:val="1F1F1F"/>
          <w:sz w:val="16"/>
          <w:szCs w:val="16"/>
        </w:rPr>
        <w:t>(incremental advances),</w:t>
      </w:r>
      <w:r>
        <w:rPr>
          <w:rFonts w:ascii="Calibri" w:hAnsi="Calibri" w:cs="Calibri"/>
          <w:color w:val="1F1F1F"/>
          <w:sz w:val="22"/>
          <w:szCs w:val="22"/>
          <w:u w:val="single"/>
        </w:rPr>
        <w:t xml:space="preserve"> </w:t>
      </w:r>
      <w:r>
        <w:rPr>
          <w:rFonts w:ascii="Calibri" w:hAnsi="Calibri" w:cs="Calibri"/>
          <w:color w:val="1F1F1F"/>
          <w:sz w:val="22"/>
          <w:szCs w:val="22"/>
          <w:u w:val="single"/>
          <w:shd w:val="clear" w:color="auto" w:fill="00FFFF"/>
        </w:rPr>
        <w:t>(3) decreased efficiency of resource-based incentives for research</w:t>
      </w:r>
      <w:r>
        <w:rPr>
          <w:rFonts w:ascii="Calibri" w:hAnsi="Calibri" w:cs="Calibri"/>
          <w:color w:val="1F1F1F"/>
          <w:sz w:val="22"/>
          <w:szCs w:val="22"/>
          <w:u w:val="single"/>
        </w:rPr>
        <w:t xml:space="preserve">, </w:t>
      </w:r>
      <w:r>
        <w:rPr>
          <w:rFonts w:ascii="Calibri" w:hAnsi="Calibri" w:cs="Calibri"/>
          <w:color w:val="1F1F1F"/>
          <w:sz w:val="22"/>
          <w:szCs w:val="22"/>
          <w:u w:val="single"/>
          <w:shd w:val="clear" w:color="auto" w:fill="00FFFF"/>
        </w:rPr>
        <w:t>as</w:t>
      </w:r>
      <w:r>
        <w:rPr>
          <w:rFonts w:ascii="Calibri" w:hAnsi="Calibri" w:cs="Calibri"/>
          <w:color w:val="1F1F1F"/>
          <w:sz w:val="16"/>
          <w:szCs w:val="16"/>
          <w:u w:val="single"/>
        </w:rPr>
        <w:t xml:space="preserve"> some of</w:t>
      </w:r>
      <w:r>
        <w:rPr>
          <w:rFonts w:ascii="Calibri" w:hAnsi="Calibri" w:cs="Calibri"/>
          <w:color w:val="1F1F1F"/>
          <w:sz w:val="22"/>
          <w:szCs w:val="22"/>
          <w:u w:val="single"/>
        </w:rPr>
        <w:t xml:space="preserve"> </w:t>
      </w:r>
      <w:r>
        <w:rPr>
          <w:rFonts w:ascii="Calibri" w:hAnsi="Calibri" w:cs="Calibri"/>
          <w:color w:val="1F1F1F"/>
          <w:sz w:val="22"/>
          <w:szCs w:val="22"/>
          <w:u w:val="single"/>
          <w:shd w:val="clear" w:color="auto" w:fill="00FFFF"/>
        </w:rPr>
        <w:t>these incentives result in increased publishing</w:t>
      </w:r>
      <w:r>
        <w:rPr>
          <w:rFonts w:ascii="Calibri" w:hAnsi="Calibri" w:cs="Calibri"/>
          <w:color w:val="1F1F1F"/>
          <w:sz w:val="22"/>
          <w:szCs w:val="22"/>
          <w:u w:val="single"/>
        </w:rPr>
        <w:t>,</w:t>
      </w:r>
      <w:r>
        <w:rPr>
          <w:rFonts w:ascii="Calibri" w:hAnsi="Calibri" w:cs="Calibri"/>
          <w:color w:val="1F1F1F"/>
          <w:sz w:val="22"/>
          <w:szCs w:val="22"/>
          <w:shd w:val="clear" w:color="auto" w:fill="00FFFF"/>
        </w:rPr>
        <w:t xml:space="preserve"> </w:t>
      </w:r>
      <w:r>
        <w:rPr>
          <w:rFonts w:ascii="Calibri" w:hAnsi="Calibri" w:cs="Calibri"/>
          <w:color w:val="1F1F1F"/>
          <w:sz w:val="22"/>
          <w:szCs w:val="22"/>
          <w:u w:val="single"/>
          <w:shd w:val="clear" w:color="auto" w:fill="00FFFF"/>
        </w:rPr>
        <w:t>(4) decreased efficiency of reward-based incentives for research,</w:t>
      </w:r>
      <w:r>
        <w:rPr>
          <w:rFonts w:ascii="Calibri" w:hAnsi="Calibri" w:cs="Calibri"/>
          <w:color w:val="1F1F1F"/>
          <w:sz w:val="22"/>
          <w:szCs w:val="22"/>
          <w:u w:val="single"/>
        </w:rPr>
        <w:t xml:space="preserve"> since in the separating equilibrium with output limit, how much time high-skilled scholars dedicate to writing papers depends on the maximum publication output of the low-skilled scholars, and not on the relative reward associated to the two intellectual productions.</w:t>
      </w:r>
    </w:p>
    <w:p w14:paraId="01EDEA4D" w14:textId="77777777" w:rsidR="005F027F" w:rsidRDefault="005F027F" w:rsidP="005F027F">
      <w:r>
        <w:br w:type="page"/>
      </w:r>
    </w:p>
    <w:p w14:paraId="1F423C3B" w14:textId="77777777" w:rsidR="005F027F" w:rsidRDefault="005F027F" w:rsidP="005F027F">
      <w:pPr>
        <w:pStyle w:val="Heading3"/>
      </w:pPr>
      <w:r>
        <w:lastRenderedPageBreak/>
        <w:t>AI Restrictions Fail</w:t>
      </w:r>
    </w:p>
    <w:p w14:paraId="4B0D5603" w14:textId="77777777" w:rsidR="005F027F" w:rsidRDefault="005F027F" w:rsidP="005F027F">
      <w:pPr>
        <w:pStyle w:val="Heading4"/>
      </w:pPr>
      <w:r>
        <w:t>Other proposals to limit AI have been issued, but proposals meant to restrict AI are deeply flawed</w:t>
      </w:r>
    </w:p>
    <w:p w14:paraId="59A992DF" w14:textId="77777777" w:rsidR="005F027F" w:rsidRPr="00C21130" w:rsidRDefault="005F027F" w:rsidP="005F027F">
      <w:r w:rsidRPr="00C21130">
        <w:rPr>
          <w:rStyle w:val="Style13ptBold"/>
        </w:rPr>
        <w:t>Huddleston</w:t>
      </w:r>
      <w:r w:rsidRPr="00C21130">
        <w:t>, J. (20</w:t>
      </w:r>
      <w:r w:rsidRPr="00C21130">
        <w:rPr>
          <w:rStyle w:val="Style13ptBold"/>
        </w:rPr>
        <w:t>24</w:t>
      </w:r>
      <w:r w:rsidRPr="00C21130">
        <w:t xml:space="preserve">, January 24). The Rush to Regulate AI Could Be the Death of Parody. Cato Institute. Retrieved July 8, 2024, from </w:t>
      </w:r>
      <w:hyperlink r:id="rId17" w:history="1">
        <w:r w:rsidRPr="00921EA4">
          <w:rPr>
            <w:rStyle w:val="Hyperlink"/>
          </w:rPr>
          <w:t>https://www.cato.org/commentary/rush-regulate-ai-could-be-death-parody</w:t>
        </w:r>
      </w:hyperlink>
      <w:r>
        <w:t xml:space="preserve"> [CR]</w:t>
      </w:r>
    </w:p>
    <w:p w14:paraId="5974506C" w14:textId="77777777" w:rsidR="005F027F" w:rsidRPr="00C21130" w:rsidRDefault="005F027F" w:rsidP="005F027F">
      <w:r w:rsidRPr="00C21130">
        <w:rPr>
          <w:rStyle w:val="StyleUnderline"/>
        </w:rPr>
        <w:t>The problem with regulations that purport to limit the malicious use of AI is that many of them would also take away the beneficial and benign uses of AI that we see in the creative arts.</w:t>
      </w:r>
      <w:r w:rsidRPr="00C21130">
        <w:t xml:space="preserve"> AI is used in many elements of the creative process already — for instance, </w:t>
      </w:r>
      <w:r w:rsidRPr="00C21130">
        <w:rPr>
          <w:rStyle w:val="StyleUnderline"/>
        </w:rPr>
        <w:t>the bill’s broad terms could make it difficult to develop AI tools in film editing or make it harder to use existing tools that can lower post-production costs</w:t>
      </w:r>
      <w:r w:rsidRPr="00C21130">
        <w:t xml:space="preserve"> by not having to bring back an individual to re-record lines. </w:t>
      </w:r>
      <w:r>
        <w:t xml:space="preserve">Beyond that, </w:t>
      </w:r>
      <w:r w:rsidRPr="00C21130">
        <w:rPr>
          <w:rStyle w:val="StyleUnderline"/>
        </w:rPr>
        <w:t>the proposal could take away the ability to engage in certain types of content, like parody or sampling.</w:t>
      </w:r>
      <w:r>
        <w:t xml:space="preserve"> </w:t>
      </w:r>
      <w:r w:rsidRPr="00C21130">
        <w:rPr>
          <w:rStyle w:val="Emphasis"/>
        </w:rPr>
        <w:t xml:space="preserve">This type of speech has been previously protected by the courts as “fair use,” so a ban on it likely violates the First Amendment. </w:t>
      </w:r>
      <w:r w:rsidRPr="00C21130">
        <w:rPr>
          <w:rStyle w:val="StyleUnderline"/>
        </w:rPr>
        <w:t>One of the key problems with trying to regulate AI is trying to define it.</w:t>
      </w:r>
      <w:r>
        <w:t xml:space="preserve"> The definition of artificial intelligence, at its most basic, is the use of programming or machines rather than a living being to solve problems. As a result, the average consumer has been using AI much more frequently and more often than they realize. </w:t>
      </w:r>
      <w:r w:rsidRPr="00C21130">
        <w:rPr>
          <w:rStyle w:val="StyleUnderline"/>
        </w:rPr>
        <w:t>AI is already in our online searches</w:t>
      </w:r>
      <w:r>
        <w:t xml:space="preserve">, the chatbots with which we interact, and the mapping algorithms that help us find the fastest route in traffic. The bill recognizes that there are potential First Amendment concerns, so the text establishes a “First Amendment defense” (something that highlights the proposal’s many problems). </w:t>
      </w:r>
      <w:r w:rsidRPr="00C21130">
        <w:rPr>
          <w:rStyle w:val="StyleUnderline"/>
        </w:rPr>
        <w:t xml:space="preserve">An abundance of caution to ensure compliance could result in a chilling effect on existing things like parody </w:t>
      </w:r>
      <w:proofErr w:type="spellStart"/>
      <w:r w:rsidRPr="00C21130">
        <w:rPr>
          <w:rStyle w:val="StyleUnderline"/>
        </w:rPr>
        <w:t>TikTok</w:t>
      </w:r>
      <w:proofErr w:type="spellEnd"/>
      <w:r w:rsidRPr="00C21130">
        <w:rPr>
          <w:rStyle w:val="StyleUnderline"/>
        </w:rPr>
        <w:t xml:space="preserve"> videos, AI-generated political cartoons, or even translating a message to another language if it </w:t>
      </w:r>
      <w:proofErr w:type="gramStart"/>
      <w:r w:rsidRPr="00C21130">
        <w:rPr>
          <w:rStyle w:val="StyleUnderline"/>
        </w:rPr>
        <w:t>was</w:t>
      </w:r>
      <w:proofErr w:type="gramEnd"/>
      <w:r w:rsidRPr="00C21130">
        <w:rPr>
          <w:rStyle w:val="StyleUnderline"/>
        </w:rPr>
        <w:t xml:space="preserve"> in the original speaker or singer’s voice</w:t>
      </w:r>
      <w:r>
        <w:t xml:space="preserve">. Reason’s Elizabeth Nolan Brown noted that if this measure becomes law, she expects to see “a lot more takedowns of anything that might come close to being a violation, be it a clip of a Saturday Night Live skit lampooning Trump, a comedic impression of Taylor Swift, or a weird </w:t>
      </w:r>
      <w:proofErr w:type="spellStart"/>
      <w:r>
        <w:t>ChatGPT</w:t>
      </w:r>
      <w:proofErr w:type="spellEnd"/>
      <w:r>
        <w:t>-generated image of Ayn Rand.” “I would also expect to see more platforms institute blanket bans on parody accounts and the like,” Brown added.</w:t>
      </w:r>
    </w:p>
    <w:p w14:paraId="5E3E3026" w14:textId="77777777" w:rsidR="005F027F" w:rsidRPr="00FC757C" w:rsidRDefault="005F027F" w:rsidP="005F027F"/>
    <w:p w14:paraId="12CA17BF" w14:textId="77777777" w:rsidR="005F027F" w:rsidRDefault="005F027F" w:rsidP="005F027F">
      <w:pPr>
        <w:jc w:val="both"/>
        <w:rPr>
          <w:rStyle w:val="StyleUnderline"/>
        </w:rPr>
      </w:pPr>
    </w:p>
    <w:p w14:paraId="6DFDAA1D" w14:textId="77777777" w:rsidR="005F027F" w:rsidRDefault="005F027F" w:rsidP="005F027F">
      <w:pPr>
        <w:pStyle w:val="Heading3"/>
      </w:pPr>
      <w:r>
        <w:lastRenderedPageBreak/>
        <w:t>Trademark Solvency Advocate - Immoral and X Provision – Obscenity</w:t>
      </w:r>
    </w:p>
    <w:p w14:paraId="37740F6D" w14:textId="77777777" w:rsidR="005F027F" w:rsidRPr="00FC757C" w:rsidRDefault="005F027F" w:rsidP="005F027F"/>
    <w:p w14:paraId="7A8089DB" w14:textId="77777777" w:rsidR="005F027F" w:rsidRPr="003077C4" w:rsidRDefault="005F027F" w:rsidP="005F027F">
      <w:pPr>
        <w:pStyle w:val="Heading4"/>
        <w:rPr>
          <w:rFonts w:eastAsia="Times New Roman"/>
        </w:rPr>
      </w:pPr>
      <w:proofErr w:type="gramStart"/>
      <w:r>
        <w:rPr>
          <w:rFonts w:eastAsia="Times New Roman"/>
        </w:rPr>
        <w:t>In order to</w:t>
      </w:r>
      <w:proofErr w:type="gramEnd"/>
      <w:r>
        <w:rPr>
          <w:rFonts w:eastAsia="Times New Roman"/>
        </w:rPr>
        <w:t xml:space="preserve"> protect the first amendment, the Lanham act needs to be interpreted as limiting the immoral or scandalous provision to obscenity</w:t>
      </w:r>
    </w:p>
    <w:p w14:paraId="30359EC8" w14:textId="77777777" w:rsidR="005F027F" w:rsidRPr="003077C4" w:rsidRDefault="005F027F" w:rsidP="005F027F">
      <w:pPr>
        <w:spacing w:after="0" w:line="240" w:lineRule="auto"/>
        <w:rPr>
          <w:rFonts w:asciiTheme="minorHAnsi" w:eastAsia="Times New Roman" w:hAnsiTheme="minorHAnsi" w:cstheme="minorHAnsi"/>
          <w:sz w:val="24"/>
          <w:szCs w:val="24"/>
        </w:rPr>
      </w:pPr>
      <w:r w:rsidRPr="003077C4">
        <w:rPr>
          <w:rFonts w:asciiTheme="minorHAnsi" w:eastAsia="Times New Roman" w:hAnsiTheme="minorHAnsi" w:cstheme="minorHAnsi"/>
          <w:color w:val="000000"/>
        </w:rPr>
        <w:t xml:space="preserve">CHRIS </w:t>
      </w:r>
      <w:r w:rsidRPr="003077C4">
        <w:rPr>
          <w:rFonts w:asciiTheme="minorHAnsi" w:eastAsia="Times New Roman" w:hAnsiTheme="minorHAnsi" w:cstheme="minorHAnsi"/>
          <w:b/>
          <w:bCs/>
          <w:color w:val="000000"/>
          <w:sz w:val="24"/>
          <w:szCs w:val="24"/>
        </w:rPr>
        <w:t xml:space="preserve">COCHRAN 2019 </w:t>
      </w:r>
      <w:r w:rsidRPr="003077C4">
        <w:rPr>
          <w:rFonts w:asciiTheme="minorHAnsi" w:eastAsia="Times New Roman" w:hAnsiTheme="minorHAnsi" w:cstheme="minorHAnsi"/>
          <w:color w:val="000000"/>
        </w:rPr>
        <w:t xml:space="preserve">1 The author is a May 2018 graduate of </w:t>
      </w:r>
      <w:proofErr w:type="spellStart"/>
      <w:r w:rsidRPr="003077C4">
        <w:rPr>
          <w:rFonts w:asciiTheme="minorHAnsi" w:eastAsia="Times New Roman" w:hAnsiTheme="minorHAnsi" w:cstheme="minorHAnsi"/>
          <w:color w:val="000000"/>
        </w:rPr>
        <w:t>theSMU</w:t>
      </w:r>
      <w:proofErr w:type="spellEnd"/>
      <w:r w:rsidRPr="003077C4">
        <w:rPr>
          <w:rFonts w:asciiTheme="minorHAnsi" w:eastAsia="Times New Roman" w:hAnsiTheme="minorHAnsi" w:cstheme="minorHAnsi"/>
          <w:color w:val="000000"/>
        </w:rPr>
        <w:t xml:space="preserve"> </w:t>
      </w:r>
      <w:proofErr w:type="spellStart"/>
      <w:r w:rsidRPr="003077C4">
        <w:rPr>
          <w:rFonts w:asciiTheme="minorHAnsi" w:eastAsia="Times New Roman" w:hAnsiTheme="minorHAnsi" w:cstheme="minorHAnsi"/>
          <w:color w:val="000000"/>
        </w:rPr>
        <w:t>DedmanSchool</w:t>
      </w:r>
      <w:proofErr w:type="spellEnd"/>
      <w:r w:rsidRPr="003077C4">
        <w:rPr>
          <w:rFonts w:asciiTheme="minorHAnsi" w:eastAsia="Times New Roman" w:hAnsiTheme="minorHAnsi" w:cstheme="minorHAnsi"/>
          <w:color w:val="000000"/>
        </w:rPr>
        <w:t xml:space="preserve"> of Law. He would like to thank everyone who assisted him in the preparation of this </w:t>
      </w:r>
      <w:proofErr w:type="spellStart"/>
      <w:r w:rsidRPr="003077C4">
        <w:rPr>
          <w:rFonts w:asciiTheme="minorHAnsi" w:eastAsia="Times New Roman" w:hAnsiTheme="minorHAnsi" w:cstheme="minorHAnsi"/>
          <w:color w:val="000000"/>
        </w:rPr>
        <w:t>article.IT’S</w:t>
      </w:r>
      <w:proofErr w:type="spellEnd"/>
      <w:r w:rsidRPr="003077C4">
        <w:rPr>
          <w:rFonts w:asciiTheme="minorHAnsi" w:eastAsia="Times New Roman" w:hAnsiTheme="minorHAnsi" w:cstheme="minorHAnsi"/>
          <w:color w:val="000000"/>
        </w:rPr>
        <w:t xml:space="preserve"> “FUCT”: THE DEMISE OF THE LANHAM ACT https://law.unh.edu/sites/default/files/media/2019/03/cochran_its_fuct-_the_demise_of_the_lanham_act.pdf</w:t>
      </w:r>
    </w:p>
    <w:p w14:paraId="14191AD4" w14:textId="77777777" w:rsidR="005F027F" w:rsidRPr="003077C4" w:rsidRDefault="005F027F" w:rsidP="005F027F">
      <w:pPr>
        <w:spacing w:after="0" w:line="240" w:lineRule="auto"/>
        <w:rPr>
          <w:rFonts w:asciiTheme="minorHAnsi" w:eastAsia="Times New Roman" w:hAnsiTheme="minorHAnsi" w:cstheme="minorHAnsi"/>
          <w:sz w:val="24"/>
          <w:szCs w:val="24"/>
        </w:rPr>
      </w:pPr>
    </w:p>
    <w:p w14:paraId="2226E506" w14:textId="77777777" w:rsidR="005F027F" w:rsidRPr="003077C4" w:rsidRDefault="005F027F" w:rsidP="005F027F">
      <w:pPr>
        <w:spacing w:after="0" w:line="240" w:lineRule="auto"/>
        <w:rPr>
          <w:rFonts w:asciiTheme="minorHAnsi" w:eastAsia="Times New Roman" w:hAnsiTheme="minorHAnsi" w:cstheme="minorHAnsi"/>
          <w:sz w:val="24"/>
          <w:szCs w:val="24"/>
        </w:rPr>
      </w:pPr>
      <w:r w:rsidRPr="003077C4">
        <w:rPr>
          <w:rFonts w:asciiTheme="minorHAnsi" w:eastAsia="Times New Roman" w:hAnsiTheme="minorHAnsi" w:cstheme="minorHAnsi"/>
          <w:color w:val="000000"/>
          <w:sz w:val="16"/>
          <w:szCs w:val="16"/>
        </w:rPr>
        <w:t> Aiding the Fight the</w:t>
      </w:r>
      <w:r w:rsidRPr="003077C4">
        <w:rPr>
          <w:rFonts w:asciiTheme="minorHAnsi" w:eastAsia="Times New Roman" w:hAnsiTheme="minorHAnsi" w:cstheme="minorHAnsi"/>
          <w:color w:val="000000"/>
          <w:u w:val="single"/>
        </w:rPr>
        <w:t xml:space="preserve"> </w:t>
      </w:r>
      <w:r w:rsidRPr="003077C4">
        <w:rPr>
          <w:rFonts w:asciiTheme="minorHAnsi" w:eastAsia="Times New Roman" w:hAnsiTheme="minorHAnsi" w:cstheme="minorHAnsi"/>
          <w:color w:val="000000"/>
          <w:u w:val="single"/>
          <w:shd w:val="clear" w:color="auto" w:fill="00FFFF"/>
        </w:rPr>
        <w:t>judicially accepted definition of</w:t>
      </w:r>
      <w:r w:rsidRPr="003077C4">
        <w:rPr>
          <w:rFonts w:asciiTheme="minorHAnsi" w:eastAsia="Times New Roman" w:hAnsiTheme="minorHAnsi" w:cstheme="minorHAnsi"/>
          <w:color w:val="000000"/>
          <w:u w:val="single"/>
        </w:rPr>
        <w:t xml:space="preserve"> the phrase, </w:t>
      </w:r>
      <w:r w:rsidRPr="003077C4">
        <w:rPr>
          <w:rFonts w:asciiTheme="minorHAnsi" w:eastAsia="Times New Roman" w:hAnsiTheme="minorHAnsi" w:cstheme="minorHAnsi"/>
          <w:color w:val="000000"/>
          <w:u w:val="single"/>
          <w:shd w:val="clear" w:color="auto" w:fill="00FFFF"/>
        </w:rPr>
        <w:t xml:space="preserve">marks depicting obscene material </w:t>
      </w:r>
      <w:r w:rsidRPr="003077C4">
        <w:rPr>
          <w:rFonts w:asciiTheme="minorHAnsi" w:eastAsia="Times New Roman" w:hAnsiTheme="minorHAnsi" w:cstheme="minorHAnsi"/>
          <w:color w:val="000000"/>
          <w:sz w:val="16"/>
          <w:szCs w:val="16"/>
        </w:rPr>
        <w:t>naturally fit the bill</w:t>
      </w:r>
      <w:r w:rsidRPr="003077C4">
        <w:rPr>
          <w:rFonts w:asciiTheme="minorHAnsi" w:eastAsia="Times New Roman" w:hAnsiTheme="minorHAnsi" w:cstheme="minorHAnsi"/>
          <w:color w:val="000000"/>
        </w:rPr>
        <w:t xml:space="preserve">. </w:t>
      </w:r>
      <w:r w:rsidRPr="003077C4">
        <w:rPr>
          <w:rFonts w:asciiTheme="minorHAnsi" w:eastAsia="Times New Roman" w:hAnsiTheme="minorHAnsi" w:cstheme="minorHAnsi"/>
          <w:color w:val="000000"/>
          <w:sz w:val="16"/>
          <w:szCs w:val="16"/>
        </w:rPr>
        <w:t>By</w:t>
      </w:r>
      <w:r w:rsidRPr="003077C4">
        <w:rPr>
          <w:rFonts w:asciiTheme="minorHAnsi" w:eastAsia="Times New Roman" w:hAnsiTheme="minorHAnsi" w:cstheme="minorHAnsi"/>
          <w:color w:val="000000"/>
          <w:sz w:val="16"/>
          <w:szCs w:val="16"/>
          <w:u w:val="single"/>
          <w:shd w:val="clear" w:color="auto" w:fill="00FFFF"/>
        </w:rPr>
        <w:t xml:space="preserve"> </w:t>
      </w:r>
      <w:r w:rsidRPr="003077C4">
        <w:rPr>
          <w:rFonts w:asciiTheme="minorHAnsi" w:eastAsia="Times New Roman" w:hAnsiTheme="minorHAnsi" w:cstheme="minorHAnsi"/>
          <w:color w:val="000000"/>
          <w:u w:val="single"/>
          <w:shd w:val="clear" w:color="auto" w:fill="00FFFF"/>
        </w:rPr>
        <w:t>declaring the immoral or scandalous provision unconstitutional</w:t>
      </w:r>
      <w:r w:rsidRPr="003077C4">
        <w:rPr>
          <w:rFonts w:asciiTheme="minorHAnsi" w:eastAsia="Times New Roman" w:hAnsiTheme="minorHAnsi" w:cstheme="minorHAnsi"/>
          <w:color w:val="000000"/>
          <w:u w:val="single"/>
        </w:rPr>
        <w:t>, and</w:t>
      </w:r>
      <w:r w:rsidRPr="003077C4">
        <w:rPr>
          <w:rFonts w:asciiTheme="minorHAnsi" w:eastAsia="Times New Roman" w:hAnsiTheme="minorHAnsi" w:cstheme="minorHAnsi"/>
          <w:color w:val="000000"/>
          <w:u w:val="single"/>
          <w:shd w:val="clear" w:color="auto" w:fill="00FFFF"/>
        </w:rPr>
        <w:t xml:space="preserve"> refusing to limit it to obscenit</w:t>
      </w:r>
      <w:r w:rsidRPr="003077C4">
        <w:rPr>
          <w:rFonts w:asciiTheme="minorHAnsi" w:eastAsia="Times New Roman" w:hAnsiTheme="minorHAnsi" w:cstheme="minorHAnsi"/>
          <w:color w:val="000000"/>
          <w:u w:val="single"/>
        </w:rPr>
        <w:t>y,</w:t>
      </w:r>
      <w:r w:rsidRPr="003077C4">
        <w:rPr>
          <w:rFonts w:asciiTheme="minorHAnsi" w:eastAsia="Times New Roman" w:hAnsiTheme="minorHAnsi" w:cstheme="minorHAnsi"/>
          <w:color w:val="000000"/>
        </w:rPr>
        <w:t xml:space="preserve"> </w:t>
      </w:r>
      <w:r w:rsidRPr="003077C4">
        <w:rPr>
          <w:rFonts w:asciiTheme="minorHAnsi" w:eastAsia="Times New Roman" w:hAnsiTheme="minorHAnsi" w:cstheme="minorHAnsi"/>
          <w:color w:val="000000"/>
          <w:sz w:val="16"/>
          <w:szCs w:val="16"/>
        </w:rPr>
        <w:t xml:space="preserve">the </w:t>
      </w:r>
      <w:r w:rsidRPr="003077C4">
        <w:rPr>
          <w:rFonts w:asciiTheme="minorHAnsi" w:eastAsia="Times New Roman" w:hAnsiTheme="minorHAnsi" w:cstheme="minorHAnsi"/>
          <w:color w:val="000000"/>
          <w:u w:val="single"/>
        </w:rPr>
        <w:t xml:space="preserve">majority </w:t>
      </w:r>
      <w:r w:rsidRPr="003077C4">
        <w:rPr>
          <w:rFonts w:asciiTheme="minorHAnsi" w:eastAsia="Times New Roman" w:hAnsiTheme="minorHAnsi" w:cstheme="minorHAnsi"/>
          <w:color w:val="000000"/>
          <w:u w:val="single"/>
          <w:shd w:val="clear" w:color="auto" w:fill="00FFFF"/>
        </w:rPr>
        <w:t>blatantly ignored the definitional match</w:t>
      </w:r>
      <w:r w:rsidRPr="003077C4">
        <w:rPr>
          <w:rFonts w:asciiTheme="minorHAnsi" w:eastAsia="Times New Roman" w:hAnsiTheme="minorHAnsi" w:cstheme="minorHAnsi"/>
          <w:color w:val="000000"/>
          <w:u w:val="single"/>
        </w:rPr>
        <w:t xml:space="preserve"> and</w:t>
      </w:r>
      <w:r w:rsidRPr="003077C4">
        <w:rPr>
          <w:rFonts w:asciiTheme="minorHAnsi" w:eastAsia="Times New Roman" w:hAnsiTheme="minorHAnsi" w:cstheme="minorHAnsi"/>
          <w:color w:val="000000"/>
          <w:u w:val="single"/>
          <w:shd w:val="clear" w:color="auto" w:fill="00FFFF"/>
        </w:rPr>
        <w:t xml:space="preserve"> instead opened the door for the proliferation of discomforting marks</w:t>
      </w:r>
      <w:r w:rsidRPr="003077C4">
        <w:rPr>
          <w:rFonts w:asciiTheme="minorHAnsi" w:eastAsia="Times New Roman" w:hAnsiTheme="minorHAnsi" w:cstheme="minorHAnsi"/>
          <w:color w:val="000000"/>
        </w:rPr>
        <w:t xml:space="preserve">. </w:t>
      </w:r>
      <w:r w:rsidRPr="003077C4">
        <w:rPr>
          <w:rFonts w:asciiTheme="minorHAnsi" w:eastAsia="Times New Roman" w:hAnsiTheme="minorHAnsi" w:cstheme="minorHAnsi"/>
          <w:color w:val="000000"/>
          <w:sz w:val="16"/>
          <w:szCs w:val="16"/>
        </w:rPr>
        <w:t>As</w:t>
      </w:r>
      <w:r w:rsidRPr="003077C4">
        <w:rPr>
          <w:rFonts w:asciiTheme="minorHAnsi" w:eastAsia="Times New Roman" w:hAnsiTheme="minorHAnsi" w:cstheme="minorHAnsi"/>
          <w:color w:val="000000"/>
          <w:sz w:val="16"/>
          <w:szCs w:val="16"/>
          <w:u w:val="single"/>
        </w:rPr>
        <w:t xml:space="preserve"> </w:t>
      </w:r>
      <w:r w:rsidRPr="003077C4">
        <w:rPr>
          <w:rFonts w:asciiTheme="minorHAnsi" w:eastAsia="Times New Roman" w:hAnsiTheme="minorHAnsi" w:cstheme="minorHAnsi"/>
          <w:color w:val="000000"/>
          <w:u w:val="single"/>
        </w:rPr>
        <w:t xml:space="preserve">referenced in Part IV.A supra, </w:t>
      </w:r>
      <w:r w:rsidRPr="003077C4">
        <w:rPr>
          <w:rFonts w:asciiTheme="minorHAnsi" w:eastAsia="Times New Roman" w:hAnsiTheme="minorHAnsi" w:cstheme="minorHAnsi"/>
          <w:color w:val="000000"/>
          <w:sz w:val="16"/>
          <w:szCs w:val="16"/>
        </w:rPr>
        <w:t xml:space="preserve">though not a point Brunetti presupposes proper application of the immoral or scandalous provision by the </w:t>
      </w:r>
      <w:r w:rsidRPr="003077C4">
        <w:rPr>
          <w:rFonts w:asciiTheme="minorHAnsi" w:eastAsia="Times New Roman" w:hAnsiTheme="minorHAnsi" w:cstheme="minorHAnsi"/>
          <w:color w:val="000000"/>
          <w:u w:val="single"/>
          <w:shd w:val="clear" w:color="auto" w:fill="00FFFF"/>
        </w:rPr>
        <w:t>USPTO historically</w:t>
      </w:r>
      <w:r w:rsidRPr="003077C4">
        <w:rPr>
          <w:rFonts w:asciiTheme="minorHAnsi" w:eastAsia="Times New Roman" w:hAnsiTheme="minorHAnsi" w:cstheme="minorHAnsi"/>
          <w:color w:val="000000"/>
          <w:u w:val="single"/>
        </w:rPr>
        <w:t>.</w:t>
      </w:r>
      <w:r w:rsidRPr="003077C4">
        <w:rPr>
          <w:rFonts w:asciiTheme="minorHAnsi" w:eastAsia="Times New Roman" w:hAnsiTheme="minorHAnsi" w:cstheme="minorHAnsi"/>
          <w:color w:val="000000"/>
        </w:rPr>
        <w:t xml:space="preserve"> </w:t>
      </w:r>
      <w:r w:rsidRPr="003077C4">
        <w:rPr>
          <w:rFonts w:asciiTheme="minorHAnsi" w:eastAsia="Times New Roman" w:hAnsiTheme="minorHAnsi" w:cstheme="minorHAnsi"/>
          <w:color w:val="000000"/>
          <w:sz w:val="16"/>
          <w:szCs w:val="16"/>
        </w:rPr>
        <w:t>In</w:t>
      </w:r>
      <w:r w:rsidRPr="003077C4">
        <w:rPr>
          <w:rFonts w:asciiTheme="minorHAnsi" w:eastAsia="Times New Roman" w:hAnsiTheme="minorHAnsi" w:cstheme="minorHAnsi"/>
          <w:color w:val="000000"/>
          <w:sz w:val="16"/>
          <w:szCs w:val="16"/>
          <w:shd w:val="clear" w:color="auto" w:fill="00FFFF"/>
        </w:rPr>
        <w:t xml:space="preserve"> </w:t>
      </w:r>
      <w:r w:rsidRPr="003077C4">
        <w:rPr>
          <w:rFonts w:asciiTheme="minorHAnsi" w:eastAsia="Times New Roman" w:hAnsiTheme="minorHAnsi" w:cstheme="minorHAnsi"/>
          <w:color w:val="000000"/>
          <w:u w:val="single"/>
          <w:shd w:val="clear" w:color="auto" w:fill="00FFFF"/>
        </w:rPr>
        <w:t>rejecting the obscenity limitation</w:t>
      </w:r>
      <w:r w:rsidRPr="003077C4">
        <w:rPr>
          <w:rFonts w:asciiTheme="minorHAnsi" w:eastAsia="Times New Roman" w:hAnsiTheme="minorHAnsi" w:cstheme="minorHAnsi"/>
          <w:color w:val="000000"/>
        </w:rPr>
        <w:t xml:space="preserve">, </w:t>
      </w:r>
      <w:r w:rsidRPr="003077C4">
        <w:rPr>
          <w:rFonts w:asciiTheme="minorHAnsi" w:eastAsia="Times New Roman" w:hAnsiTheme="minorHAnsi" w:cstheme="minorHAnsi"/>
          <w:color w:val="000000"/>
          <w:sz w:val="16"/>
          <w:szCs w:val="16"/>
        </w:rPr>
        <w:t>the</w:t>
      </w:r>
      <w:r w:rsidRPr="003077C4">
        <w:rPr>
          <w:rFonts w:asciiTheme="minorHAnsi" w:eastAsia="Times New Roman" w:hAnsiTheme="minorHAnsi" w:cstheme="minorHAnsi"/>
          <w:color w:val="000000"/>
          <w:sz w:val="16"/>
          <w:szCs w:val="16"/>
          <w:u w:val="single"/>
        </w:rPr>
        <w:t xml:space="preserve"> </w:t>
      </w:r>
      <w:r w:rsidRPr="003077C4">
        <w:rPr>
          <w:rFonts w:asciiTheme="minorHAnsi" w:eastAsia="Times New Roman" w:hAnsiTheme="minorHAnsi" w:cstheme="minorHAnsi"/>
          <w:color w:val="000000"/>
          <w:u w:val="single"/>
        </w:rPr>
        <w:t xml:space="preserve">majority </w:t>
      </w:r>
      <w:r w:rsidRPr="003077C4">
        <w:rPr>
          <w:rFonts w:asciiTheme="minorHAnsi" w:eastAsia="Times New Roman" w:hAnsiTheme="minorHAnsi" w:cstheme="minorHAnsi"/>
          <w:color w:val="000000"/>
          <w:u w:val="single"/>
          <w:shd w:val="clear" w:color="auto" w:fill="00FFFF"/>
        </w:rPr>
        <w:t>relied on the fact that provision involved blasphemous marks touching on religion, which were not obscene</w:t>
      </w:r>
      <w:r w:rsidRPr="003077C4">
        <w:rPr>
          <w:rFonts w:asciiTheme="minorHAnsi" w:eastAsia="Times New Roman" w:hAnsiTheme="minorHAnsi" w:cstheme="minorHAnsi"/>
          <w:color w:val="000000"/>
          <w:u w:val="single"/>
        </w:rPr>
        <w:t xml:space="preserve"> At the same time,</w:t>
      </w:r>
      <w:r w:rsidRPr="003077C4">
        <w:rPr>
          <w:rFonts w:asciiTheme="minorHAnsi" w:eastAsia="Times New Roman" w:hAnsiTheme="minorHAnsi" w:cstheme="minorHAnsi"/>
          <w:color w:val="000000"/>
        </w:rPr>
        <w:t xml:space="preserve"> the </w:t>
      </w:r>
      <w:proofErr w:type="gramStart"/>
      <w:r w:rsidRPr="003077C4">
        <w:rPr>
          <w:rFonts w:asciiTheme="minorHAnsi" w:eastAsia="Times New Roman" w:hAnsiTheme="minorHAnsi" w:cstheme="minorHAnsi"/>
          <w:color w:val="000000"/>
        </w:rPr>
        <w:t>majority .</w:t>
      </w:r>
      <w:proofErr w:type="gramEnd"/>
      <w:r w:rsidRPr="003077C4">
        <w:rPr>
          <w:rFonts w:asciiTheme="minorHAnsi" w:eastAsia="Times New Roman" w:hAnsiTheme="minorHAnsi" w:cstheme="minorHAnsi"/>
          <w:color w:val="000000"/>
          <w:u w:val="single"/>
        </w:rPr>
        <w:t xml:space="preserve"> </w:t>
      </w:r>
      <w:r w:rsidRPr="003077C4">
        <w:rPr>
          <w:rFonts w:asciiTheme="minorHAnsi" w:eastAsia="Times New Roman" w:hAnsiTheme="minorHAnsi" w:cstheme="minorHAnsi"/>
          <w:color w:val="000000"/>
          <w:u w:val="single"/>
          <w:shd w:val="clear" w:color="auto" w:fill="00FFFF"/>
        </w:rPr>
        <w:t>determination is made in the context of contemporary attitudes</w:t>
      </w:r>
      <w:r w:rsidRPr="003077C4">
        <w:rPr>
          <w:rFonts w:asciiTheme="minorHAnsi" w:eastAsia="Times New Roman" w:hAnsiTheme="minorHAnsi" w:cstheme="minorHAnsi"/>
          <w:color w:val="000000"/>
          <w:u w:val="single"/>
        </w:rPr>
        <w:t xml:space="preserve">, the concept </w:t>
      </w:r>
      <w:r w:rsidRPr="003077C4">
        <w:rPr>
          <w:rFonts w:asciiTheme="minorHAnsi" w:eastAsia="Times New Roman" w:hAnsiTheme="minorHAnsi" w:cstheme="minorHAnsi"/>
          <w:color w:val="000000"/>
          <w:u w:val="single"/>
          <w:shd w:val="clear" w:color="auto" w:fill="00FFFF"/>
        </w:rPr>
        <w:t xml:space="preserve">of what is actually immoral </w:t>
      </w:r>
      <w:r w:rsidRPr="003077C4">
        <w:rPr>
          <w:rFonts w:asciiTheme="minorHAnsi" w:eastAsia="Times New Roman" w:hAnsiTheme="minorHAnsi" w:cstheme="minorHAnsi"/>
          <w:color w:val="000000"/>
          <w:sz w:val="16"/>
          <w:szCs w:val="16"/>
        </w:rPr>
        <w:t xml:space="preserve">or </w:t>
      </w:r>
      <w:proofErr w:type="gramStart"/>
      <w:r w:rsidRPr="003077C4">
        <w:rPr>
          <w:rFonts w:asciiTheme="minorHAnsi" w:eastAsia="Times New Roman" w:hAnsiTheme="minorHAnsi" w:cstheme="minorHAnsi"/>
          <w:color w:val="000000"/>
          <w:sz w:val="16"/>
          <w:szCs w:val="16"/>
        </w:rPr>
        <w:t>The</w:t>
      </w:r>
      <w:proofErr w:type="gramEnd"/>
      <w:r w:rsidRPr="003077C4">
        <w:rPr>
          <w:rFonts w:asciiTheme="minorHAnsi" w:eastAsia="Times New Roman" w:hAnsiTheme="minorHAnsi" w:cstheme="minorHAnsi"/>
          <w:color w:val="000000"/>
          <w:sz w:val="16"/>
          <w:szCs w:val="16"/>
        </w:rPr>
        <w:t xml:space="preserve"> fact that examiners used the provision to strike down religious words or symbols during the 1930s</w:t>
      </w:r>
      <w:r w:rsidRPr="003077C4">
        <w:rPr>
          <w:rFonts w:asciiTheme="minorHAnsi" w:eastAsia="Times New Roman" w:hAnsiTheme="minorHAnsi" w:cstheme="minorHAnsi"/>
          <w:color w:val="000000"/>
          <w:u w:val="single"/>
        </w:rPr>
        <w:t>,</w:t>
      </w:r>
      <w:r w:rsidRPr="003077C4">
        <w:rPr>
          <w:rFonts w:asciiTheme="minorHAnsi" w:eastAsia="Times New Roman" w:hAnsiTheme="minorHAnsi" w:cstheme="minorHAnsi"/>
          <w:color w:val="000000"/>
          <w:sz w:val="16"/>
          <w:szCs w:val="16"/>
        </w:rPr>
        <w:t>164</w:t>
      </w:r>
      <w:r w:rsidRPr="003077C4">
        <w:rPr>
          <w:rFonts w:asciiTheme="minorHAnsi" w:eastAsia="Times New Roman" w:hAnsiTheme="minorHAnsi" w:cstheme="minorHAnsi"/>
          <w:color w:val="000000"/>
          <w:u w:val="single"/>
          <w:shd w:val="clear" w:color="auto" w:fill="00FFFF"/>
        </w:rPr>
        <w:t xml:space="preserve"> a period of religious involvement</w:t>
      </w:r>
      <w:r w:rsidRPr="003077C4">
        <w:rPr>
          <w:rFonts w:asciiTheme="minorHAnsi" w:eastAsia="Times New Roman" w:hAnsiTheme="minorHAnsi" w:cstheme="minorHAnsi"/>
          <w:color w:val="000000"/>
          <w:u w:val="single"/>
        </w:rPr>
        <w:t xml:space="preserve"> in the lives of those affected by the Great Depression,</w:t>
      </w:r>
      <w:r w:rsidRPr="003077C4">
        <w:rPr>
          <w:rFonts w:asciiTheme="minorHAnsi" w:eastAsia="Times New Roman" w:hAnsiTheme="minorHAnsi" w:cstheme="minorHAnsi"/>
          <w:color w:val="000000"/>
          <w:sz w:val="16"/>
          <w:szCs w:val="16"/>
        </w:rPr>
        <w:t>165</w:t>
      </w:r>
      <w:r w:rsidRPr="003077C4">
        <w:rPr>
          <w:rFonts w:asciiTheme="minorHAnsi" w:eastAsia="Times New Roman" w:hAnsiTheme="minorHAnsi" w:cstheme="minorHAnsi"/>
          <w:color w:val="000000"/>
          <w:u w:val="single"/>
        </w:rPr>
        <w:t xml:space="preserve"> </w:t>
      </w:r>
      <w:r w:rsidRPr="003077C4">
        <w:rPr>
          <w:rFonts w:asciiTheme="minorHAnsi" w:eastAsia="Times New Roman" w:hAnsiTheme="minorHAnsi" w:cstheme="minorHAnsi"/>
          <w:color w:val="000000"/>
          <w:u w:val="single"/>
          <w:shd w:val="clear" w:color="auto" w:fill="00FFFF"/>
        </w:rPr>
        <w:t>does not mean this application was proper in and of itself at the time</w:t>
      </w:r>
      <w:r w:rsidRPr="003077C4">
        <w:rPr>
          <w:rFonts w:asciiTheme="minorHAnsi" w:eastAsia="Times New Roman" w:hAnsiTheme="minorHAnsi" w:cstheme="minorHAnsi"/>
          <w:color w:val="000000"/>
          <w:sz w:val="16"/>
          <w:szCs w:val="16"/>
        </w:rPr>
        <w:t xml:space="preserve"> and </w:t>
      </w:r>
      <w:proofErr w:type="spellStart"/>
      <w:r w:rsidRPr="003077C4">
        <w:rPr>
          <w:rFonts w:asciiTheme="minorHAnsi" w:eastAsia="Times New Roman" w:hAnsiTheme="minorHAnsi" w:cstheme="minorHAnsi"/>
          <w:color w:val="000000"/>
          <w:sz w:val="16"/>
          <w:szCs w:val="16"/>
        </w:rPr>
        <w:t>shouldnt</w:t>
      </w:r>
      <w:proofErr w:type="spellEnd"/>
      <w:r w:rsidRPr="003077C4">
        <w:rPr>
          <w:rFonts w:asciiTheme="minorHAnsi" w:eastAsia="Times New Roman" w:hAnsiTheme="minorHAnsi" w:cstheme="minorHAnsi"/>
          <w:color w:val="000000"/>
          <w:sz w:val="16"/>
          <w:szCs w:val="16"/>
        </w:rPr>
        <w:t xml:space="preserve"> control today</w:t>
      </w:r>
      <w:r w:rsidRPr="003077C4">
        <w:rPr>
          <w:rFonts w:asciiTheme="minorHAnsi" w:eastAsia="Times New Roman" w:hAnsiTheme="minorHAnsi" w:cstheme="minorHAnsi"/>
          <w:color w:val="000000"/>
          <w:sz w:val="16"/>
          <w:szCs w:val="16"/>
          <w:u w:val="single"/>
        </w:rPr>
        <w:t>.</w:t>
      </w:r>
      <w:r w:rsidRPr="003077C4">
        <w:rPr>
          <w:rFonts w:asciiTheme="minorHAnsi" w:eastAsia="Times New Roman" w:hAnsiTheme="minorHAnsi" w:cstheme="minorHAnsi"/>
          <w:color w:val="000000"/>
          <w:sz w:val="16"/>
          <w:szCs w:val="16"/>
        </w:rPr>
        <w:t xml:space="preserve"> Indeed, in In re Riverbank Canning Co., the first case dealing with the immoral or scandalous provision for rejecting anything, the fact that the USPTO, after rejecting the mark twice, 2008 signals this </w:t>
      </w:r>
      <w:proofErr w:type="spellStart"/>
      <w:proofErr w:type="gramStart"/>
      <w:r w:rsidRPr="003077C4">
        <w:rPr>
          <w:rFonts w:asciiTheme="minorHAnsi" w:eastAsia="Times New Roman" w:hAnsiTheme="minorHAnsi" w:cstheme="minorHAnsi"/>
          <w:color w:val="000000"/>
          <w:sz w:val="16"/>
          <w:szCs w:val="16"/>
        </w:rPr>
        <w:t>change.Of</w:t>
      </w:r>
      <w:proofErr w:type="spellEnd"/>
      <w:proofErr w:type="gramEnd"/>
      <w:r w:rsidRPr="003077C4">
        <w:rPr>
          <w:rFonts w:asciiTheme="minorHAnsi" w:eastAsia="Times New Roman" w:hAnsiTheme="minorHAnsi" w:cstheme="minorHAnsi"/>
          <w:color w:val="000000"/>
          <w:sz w:val="16"/>
          <w:szCs w:val="16"/>
        </w:rPr>
        <w:t xml:space="preserve"> course, the movement away from barring registration of religious words or symbols coincides with a shift in contemporary attitudes</w:t>
      </w:r>
      <w:r w:rsidRPr="003077C4">
        <w:rPr>
          <w:rFonts w:asciiTheme="minorHAnsi" w:eastAsia="Times New Roman" w:hAnsiTheme="minorHAnsi" w:cstheme="minorHAnsi"/>
          <w:color w:val="000000"/>
          <w:sz w:val="16"/>
          <w:szCs w:val="16"/>
          <w:u w:val="single"/>
        </w:rPr>
        <w:t>.</w:t>
      </w:r>
      <w:r w:rsidRPr="003077C4">
        <w:rPr>
          <w:rFonts w:asciiTheme="minorHAnsi" w:eastAsia="Times New Roman" w:hAnsiTheme="minorHAnsi" w:cstheme="minorHAnsi"/>
          <w:color w:val="000000"/>
          <w:u w:val="single"/>
          <w:shd w:val="clear" w:color="auto" w:fill="00FFFF"/>
        </w:rPr>
        <w:t xml:space="preserve"> majority of [US]PTO rejections under the immoral Similarly, the focus of the cases which the Federal Circuit has reviewed under the immoral or scandalous provision is</w:t>
      </w:r>
      <w:r w:rsidRPr="003077C4">
        <w:rPr>
          <w:rFonts w:asciiTheme="minorHAnsi" w:eastAsia="Times New Roman" w:hAnsiTheme="minorHAnsi" w:cstheme="minorHAnsi"/>
          <w:color w:val="000000"/>
          <w:sz w:val="16"/>
          <w:szCs w:val="16"/>
        </w:rPr>
        <w:t xml:space="preserve"> the same— sex.172 It is</w:t>
      </w:r>
      <w:r w:rsidRPr="003077C4">
        <w:rPr>
          <w:rFonts w:asciiTheme="minorHAnsi" w:eastAsia="Times New Roman" w:hAnsiTheme="minorHAnsi" w:cstheme="minorHAnsi"/>
          <w:color w:val="000000"/>
        </w:rPr>
        <w:t xml:space="preserve"> </w:t>
      </w:r>
      <w:r w:rsidRPr="003077C4">
        <w:rPr>
          <w:rFonts w:asciiTheme="minorHAnsi" w:eastAsia="Times New Roman" w:hAnsiTheme="minorHAnsi" w:cstheme="minorHAnsi"/>
          <w:color w:val="000000"/>
          <w:u w:val="single"/>
          <w:shd w:val="clear" w:color="auto" w:fill="00FFFF"/>
        </w:rPr>
        <w:t xml:space="preserve">difficult to comprehend </w:t>
      </w:r>
      <w:r w:rsidRPr="003077C4">
        <w:rPr>
          <w:rFonts w:asciiTheme="minorHAnsi" w:eastAsia="Times New Roman" w:hAnsiTheme="minorHAnsi" w:cstheme="minorHAnsi"/>
          <w:color w:val="000000"/>
          <w:u w:val="single"/>
        </w:rPr>
        <w:t xml:space="preserve">the provision </w:t>
      </w:r>
      <w:r w:rsidRPr="003077C4">
        <w:rPr>
          <w:rFonts w:asciiTheme="minorHAnsi" w:eastAsia="Times New Roman" w:hAnsiTheme="minorHAnsi" w:cstheme="minorHAnsi"/>
          <w:color w:val="000000"/>
          <w:u w:val="single"/>
          <w:shd w:val="clear" w:color="auto" w:fill="00FFFF"/>
        </w:rPr>
        <w:t xml:space="preserve">to obscenity when </w:t>
      </w:r>
      <w:r w:rsidRPr="003077C4">
        <w:rPr>
          <w:rFonts w:asciiTheme="minorHAnsi" w:eastAsia="Times New Roman" w:hAnsiTheme="minorHAnsi" w:cstheme="minorHAnsi"/>
          <w:color w:val="000000"/>
          <w:u w:val="single"/>
        </w:rPr>
        <w:t xml:space="preserve">USPTO examining attorneys, claiming to act on contemporary attitudes, primarily reject marks related to sex. </w:t>
      </w:r>
      <w:r w:rsidRPr="003077C4">
        <w:rPr>
          <w:rFonts w:asciiTheme="minorHAnsi" w:eastAsia="Times New Roman" w:hAnsiTheme="minorHAnsi" w:cstheme="minorHAnsi"/>
          <w:color w:val="000000"/>
          <w:sz w:val="16"/>
          <w:szCs w:val="16"/>
          <w:u w:val="single"/>
        </w:rPr>
        <w:t xml:space="preserve">to </w:t>
      </w:r>
      <w:r w:rsidRPr="003077C4">
        <w:rPr>
          <w:rFonts w:asciiTheme="minorHAnsi" w:eastAsia="Times New Roman" w:hAnsiTheme="minorHAnsi" w:cstheme="minorHAnsi"/>
          <w:color w:val="000000"/>
          <w:u w:val="single"/>
        </w:rPr>
        <w:t>prevent the registration of even the most patently obscene</w:t>
      </w:r>
      <w:r w:rsidRPr="003077C4">
        <w:rPr>
          <w:rFonts w:asciiTheme="minorHAnsi" w:eastAsia="Times New Roman" w:hAnsiTheme="minorHAnsi" w:cstheme="minorHAnsi"/>
          <w:color w:val="000000"/>
          <w:sz w:val="16"/>
          <w:szCs w:val="16"/>
        </w:rPr>
        <w:t xml:space="preserve"> Such a conclusion </w:t>
      </w:r>
      <w:r w:rsidRPr="003077C4">
        <w:rPr>
          <w:rFonts w:asciiTheme="minorHAnsi" w:eastAsia="Times New Roman" w:hAnsiTheme="minorHAnsi" w:cstheme="minorHAnsi"/>
          <w:color w:val="000000"/>
          <w:u w:val="single"/>
        </w:rPr>
        <w:t xml:space="preserve">is inconsistent with the </w:t>
      </w:r>
      <w:r w:rsidRPr="003077C4">
        <w:rPr>
          <w:rFonts w:asciiTheme="minorHAnsi" w:eastAsia="Times New Roman" w:hAnsiTheme="minorHAnsi" w:cstheme="minorHAnsi"/>
          <w:color w:val="000000"/>
          <w:sz w:val="16"/>
          <w:szCs w:val="16"/>
        </w:rPr>
        <w:t xml:space="preserve">accepted </w:t>
      </w:r>
      <w:r w:rsidRPr="003077C4">
        <w:rPr>
          <w:rFonts w:asciiTheme="minorHAnsi" w:eastAsia="Times New Roman" w:hAnsiTheme="minorHAnsi" w:cstheme="minorHAnsi"/>
          <w:color w:val="000000"/>
          <w:u w:val="single"/>
        </w:rPr>
        <w:t>purpose of the immoral or scandalous provision</w:t>
      </w:r>
      <w:r w:rsidRPr="003077C4">
        <w:rPr>
          <w:rFonts w:asciiTheme="minorHAnsi" w:eastAsia="Times New Roman" w:hAnsiTheme="minorHAnsi" w:cstheme="minorHAnsi"/>
          <w:color w:val="000000"/>
        </w:rPr>
        <w:t>.</w:t>
      </w:r>
      <w:r w:rsidRPr="003077C4">
        <w:rPr>
          <w:rFonts w:asciiTheme="minorHAnsi" w:eastAsia="Times New Roman" w:hAnsiTheme="minorHAnsi" w:cstheme="minorHAnsi"/>
          <w:color w:val="000000"/>
          <w:sz w:val="16"/>
          <w:szCs w:val="16"/>
        </w:rPr>
        <w:t xml:space="preserve"> As previously mentioned, no legislative history exists to discern the Congressional intent in passing the immoral or scandalous provision.175 Still, however, </w:t>
      </w:r>
      <w:r w:rsidRPr="003077C4">
        <w:rPr>
          <w:rFonts w:asciiTheme="minorHAnsi" w:eastAsia="Times New Roman" w:hAnsiTheme="minorHAnsi" w:cstheme="minorHAnsi"/>
          <w:color w:val="000000"/>
          <w:u w:val="single"/>
        </w:rPr>
        <w:t>the principal of legislative inaction suggests Congress consented to the propriety; disgraceful; offensive; disreputable</w:t>
      </w:r>
      <w:r w:rsidRPr="003077C4">
        <w:rPr>
          <w:rFonts w:asciiTheme="minorHAnsi" w:eastAsia="Times New Roman" w:hAnsiTheme="minorHAnsi" w:cstheme="minorHAnsi"/>
          <w:color w:val="000000"/>
          <w:sz w:val="16"/>
          <w:szCs w:val="16"/>
          <w:u w:val="single"/>
        </w:rPr>
        <w:t>;</w:t>
      </w:r>
      <w:r w:rsidRPr="003077C4">
        <w:rPr>
          <w:rFonts w:asciiTheme="minorHAnsi" w:eastAsia="Times New Roman" w:hAnsiTheme="minorHAnsi" w:cstheme="minorHAnsi"/>
          <w:color w:val="000000"/>
          <w:sz w:val="16"/>
          <w:szCs w:val="16"/>
        </w:rPr>
        <w:t xml:space="preserve"> . . . giving offense to the conscience or moral feelings; . . . or calling out</w:t>
      </w:r>
      <w:r w:rsidRPr="003077C4">
        <w:rPr>
          <w:rFonts w:asciiTheme="minorHAnsi" w:eastAsia="Times New Roman" w:hAnsiTheme="minorHAnsi" w:cstheme="minorHAnsi"/>
          <w:color w:val="000000"/>
          <w:u w:val="single"/>
        </w:rPr>
        <w:t xml:space="preserve"> If anything falls within this definition, it is obscene material. </w:t>
      </w:r>
      <w:r w:rsidRPr="00F17596">
        <w:rPr>
          <w:rFonts w:asciiTheme="minorHAnsi" w:eastAsia="Times New Roman" w:hAnsiTheme="minorHAnsi" w:cstheme="minorHAnsi"/>
          <w:color w:val="000000"/>
          <w:highlight w:val="darkGray"/>
          <w:u w:val="single"/>
        </w:rPr>
        <w:t>By refusing to limit the immoral or scandalous provision to obscenity</w:t>
      </w:r>
      <w:r w:rsidRPr="003077C4">
        <w:rPr>
          <w:rFonts w:asciiTheme="minorHAnsi" w:eastAsia="Times New Roman" w:hAnsiTheme="minorHAnsi" w:cstheme="minorHAnsi"/>
          <w:color w:val="000000"/>
          <w:u w:val="single"/>
        </w:rPr>
        <w:t>, the Federal Circuit has exposed the public to potential marks much worse than anything anticipated by the framers of the immoral or scandalous provision. </w:t>
      </w:r>
    </w:p>
    <w:p w14:paraId="492CDEE3" w14:textId="77777777" w:rsidR="005F027F" w:rsidRPr="003077C4" w:rsidRDefault="005F027F" w:rsidP="005F027F">
      <w:pPr>
        <w:spacing w:after="240" w:line="240" w:lineRule="auto"/>
        <w:rPr>
          <w:rFonts w:asciiTheme="minorHAnsi" w:eastAsia="Times New Roman" w:hAnsiTheme="minorHAnsi" w:cstheme="minorHAnsi"/>
          <w:sz w:val="24"/>
          <w:szCs w:val="24"/>
        </w:rPr>
      </w:pPr>
    </w:p>
    <w:p w14:paraId="596F7DC9" w14:textId="77777777" w:rsidR="005F027F" w:rsidRPr="003077C4" w:rsidRDefault="005F027F" w:rsidP="005F027F">
      <w:pPr>
        <w:spacing w:after="0" w:line="240" w:lineRule="auto"/>
        <w:rPr>
          <w:rFonts w:asciiTheme="minorHAnsi" w:eastAsia="Times New Roman" w:hAnsiTheme="minorHAnsi" w:cstheme="minorHAnsi"/>
          <w:sz w:val="24"/>
          <w:szCs w:val="24"/>
        </w:rPr>
      </w:pPr>
      <w:r w:rsidRPr="003077C4">
        <w:rPr>
          <w:rFonts w:asciiTheme="minorHAnsi" w:eastAsia="Times New Roman" w:hAnsiTheme="minorHAnsi" w:cstheme="minorHAnsi"/>
          <w:b/>
          <w:bCs/>
          <w:color w:val="000000"/>
          <w:sz w:val="24"/>
          <w:szCs w:val="24"/>
        </w:rPr>
        <w:t xml:space="preserve">Edit </w:t>
      </w:r>
      <w:proofErr w:type="spellStart"/>
      <w:r w:rsidRPr="003077C4">
        <w:rPr>
          <w:rFonts w:asciiTheme="minorHAnsi" w:eastAsia="Times New Roman" w:hAnsiTheme="minorHAnsi" w:cstheme="minorHAnsi"/>
          <w:b/>
          <w:bCs/>
          <w:color w:val="000000"/>
          <w:sz w:val="24"/>
          <w:szCs w:val="24"/>
        </w:rPr>
        <w:t>lanham</w:t>
      </w:r>
      <w:proofErr w:type="spellEnd"/>
      <w:r w:rsidRPr="003077C4">
        <w:rPr>
          <w:rFonts w:asciiTheme="minorHAnsi" w:eastAsia="Times New Roman" w:hAnsiTheme="minorHAnsi" w:cstheme="minorHAnsi"/>
          <w:b/>
          <w:bCs/>
          <w:color w:val="000000"/>
          <w:sz w:val="24"/>
          <w:szCs w:val="24"/>
        </w:rPr>
        <w:t xml:space="preserve"> act</w:t>
      </w:r>
    </w:p>
    <w:p w14:paraId="25396143" w14:textId="77777777" w:rsidR="005F027F" w:rsidRPr="003077C4" w:rsidRDefault="005F027F" w:rsidP="005F027F">
      <w:pPr>
        <w:spacing w:after="0" w:line="240" w:lineRule="auto"/>
        <w:rPr>
          <w:rFonts w:asciiTheme="minorHAnsi" w:eastAsia="Times New Roman" w:hAnsiTheme="minorHAnsi" w:cstheme="minorHAnsi"/>
          <w:sz w:val="24"/>
          <w:szCs w:val="24"/>
        </w:rPr>
      </w:pPr>
      <w:r w:rsidRPr="003077C4">
        <w:rPr>
          <w:rFonts w:asciiTheme="minorHAnsi" w:eastAsia="Times New Roman" w:hAnsiTheme="minorHAnsi" w:cstheme="minorHAnsi"/>
          <w:color w:val="000000"/>
        </w:rPr>
        <w:t xml:space="preserve">CHRIS </w:t>
      </w:r>
      <w:r w:rsidRPr="003077C4">
        <w:rPr>
          <w:rFonts w:asciiTheme="minorHAnsi" w:eastAsia="Times New Roman" w:hAnsiTheme="minorHAnsi" w:cstheme="minorHAnsi"/>
          <w:b/>
          <w:bCs/>
          <w:color w:val="000000"/>
          <w:sz w:val="24"/>
          <w:szCs w:val="24"/>
        </w:rPr>
        <w:t xml:space="preserve">COCHRAN 2019 </w:t>
      </w:r>
      <w:r w:rsidRPr="003077C4">
        <w:rPr>
          <w:rFonts w:asciiTheme="minorHAnsi" w:eastAsia="Times New Roman" w:hAnsiTheme="minorHAnsi" w:cstheme="minorHAnsi"/>
          <w:color w:val="000000"/>
        </w:rPr>
        <w:t xml:space="preserve">1 The author is a May 2018 graduate of </w:t>
      </w:r>
      <w:proofErr w:type="spellStart"/>
      <w:r w:rsidRPr="003077C4">
        <w:rPr>
          <w:rFonts w:asciiTheme="minorHAnsi" w:eastAsia="Times New Roman" w:hAnsiTheme="minorHAnsi" w:cstheme="minorHAnsi"/>
          <w:color w:val="000000"/>
        </w:rPr>
        <w:t>theSMU</w:t>
      </w:r>
      <w:proofErr w:type="spellEnd"/>
      <w:r w:rsidRPr="003077C4">
        <w:rPr>
          <w:rFonts w:asciiTheme="minorHAnsi" w:eastAsia="Times New Roman" w:hAnsiTheme="minorHAnsi" w:cstheme="minorHAnsi"/>
          <w:color w:val="000000"/>
        </w:rPr>
        <w:t xml:space="preserve"> </w:t>
      </w:r>
      <w:proofErr w:type="spellStart"/>
      <w:r w:rsidRPr="003077C4">
        <w:rPr>
          <w:rFonts w:asciiTheme="minorHAnsi" w:eastAsia="Times New Roman" w:hAnsiTheme="minorHAnsi" w:cstheme="minorHAnsi"/>
          <w:color w:val="000000"/>
        </w:rPr>
        <w:t>DedmanSchool</w:t>
      </w:r>
      <w:proofErr w:type="spellEnd"/>
      <w:r w:rsidRPr="003077C4">
        <w:rPr>
          <w:rFonts w:asciiTheme="minorHAnsi" w:eastAsia="Times New Roman" w:hAnsiTheme="minorHAnsi" w:cstheme="minorHAnsi"/>
          <w:color w:val="000000"/>
        </w:rPr>
        <w:t xml:space="preserve"> of Law. He would like to thank everyone who assisted him in the preparation of this </w:t>
      </w:r>
      <w:proofErr w:type="spellStart"/>
      <w:r w:rsidRPr="003077C4">
        <w:rPr>
          <w:rFonts w:asciiTheme="minorHAnsi" w:eastAsia="Times New Roman" w:hAnsiTheme="minorHAnsi" w:cstheme="minorHAnsi"/>
          <w:color w:val="000000"/>
        </w:rPr>
        <w:t>article.IT’S</w:t>
      </w:r>
      <w:proofErr w:type="spellEnd"/>
      <w:r w:rsidRPr="003077C4">
        <w:rPr>
          <w:rFonts w:asciiTheme="minorHAnsi" w:eastAsia="Times New Roman" w:hAnsiTheme="minorHAnsi" w:cstheme="minorHAnsi"/>
          <w:color w:val="000000"/>
        </w:rPr>
        <w:t xml:space="preserve"> “FUCT”: THE DEMISE OF THE LANHAM ACT https://law.unh.edu/sites/default/files/media/2019/03/cochran_its_fuct-_the_demise_of_the_lanham_act.pdf</w:t>
      </w:r>
    </w:p>
    <w:p w14:paraId="255507A1" w14:textId="77777777" w:rsidR="005F027F" w:rsidRPr="003077C4" w:rsidRDefault="005F027F" w:rsidP="005F027F">
      <w:pPr>
        <w:spacing w:after="0" w:line="240" w:lineRule="auto"/>
        <w:rPr>
          <w:rFonts w:asciiTheme="minorHAnsi" w:eastAsia="Times New Roman" w:hAnsiTheme="minorHAnsi" w:cstheme="minorHAnsi"/>
          <w:sz w:val="24"/>
          <w:szCs w:val="24"/>
        </w:rPr>
      </w:pPr>
    </w:p>
    <w:p w14:paraId="4A127F7C" w14:textId="77777777" w:rsidR="005F027F" w:rsidRPr="003077C4" w:rsidRDefault="005F027F" w:rsidP="005F027F">
      <w:pPr>
        <w:spacing w:after="0" w:line="240" w:lineRule="auto"/>
        <w:rPr>
          <w:rFonts w:asciiTheme="minorHAnsi" w:eastAsia="Times New Roman" w:hAnsiTheme="minorHAnsi" w:cstheme="minorHAnsi"/>
          <w:sz w:val="24"/>
          <w:szCs w:val="24"/>
        </w:rPr>
      </w:pPr>
      <w:r w:rsidRPr="003077C4">
        <w:rPr>
          <w:rFonts w:asciiTheme="minorHAnsi" w:eastAsia="Times New Roman" w:hAnsiTheme="minorHAnsi" w:cstheme="minorHAnsi"/>
          <w:color w:val="000000"/>
          <w:u w:val="single"/>
          <w:shd w:val="clear" w:color="auto" w:fill="00FFFF"/>
        </w:rPr>
        <w:t xml:space="preserve">The </w:t>
      </w:r>
      <w:proofErr w:type="spellStart"/>
      <w:r w:rsidRPr="003077C4">
        <w:rPr>
          <w:rFonts w:asciiTheme="minorHAnsi" w:eastAsia="Times New Roman" w:hAnsiTheme="minorHAnsi" w:cstheme="minorHAnsi"/>
          <w:color w:val="000000"/>
          <w:u w:val="single"/>
          <w:shd w:val="clear" w:color="auto" w:fill="00FFFF"/>
        </w:rPr>
        <w:t>lanham</w:t>
      </w:r>
      <w:proofErr w:type="spellEnd"/>
      <w:r w:rsidRPr="003077C4">
        <w:rPr>
          <w:rFonts w:asciiTheme="minorHAnsi" w:eastAsia="Times New Roman" w:hAnsiTheme="minorHAnsi" w:cstheme="minorHAnsi"/>
          <w:color w:val="000000"/>
          <w:u w:val="single"/>
          <w:shd w:val="clear" w:color="auto" w:fill="00FFFF"/>
        </w:rPr>
        <w:t xml:space="preserve"> acts purpose is to guard trademark owner against trademark infringement</w:t>
      </w:r>
      <w:r w:rsidRPr="003077C4">
        <w:rPr>
          <w:rFonts w:asciiTheme="minorHAnsi" w:eastAsia="Times New Roman" w:hAnsiTheme="minorHAnsi" w:cstheme="minorHAnsi"/>
          <w:color w:val="000000"/>
        </w:rPr>
        <w:t xml:space="preserve"> </w:t>
      </w:r>
      <w:r w:rsidRPr="003077C4">
        <w:rPr>
          <w:rFonts w:asciiTheme="minorHAnsi" w:eastAsia="Times New Roman" w:hAnsiTheme="minorHAnsi" w:cstheme="minorHAnsi"/>
          <w:color w:val="000000"/>
          <w:sz w:val="16"/>
          <w:szCs w:val="16"/>
        </w:rPr>
        <w:t>and unfair competition, and the public against confusion and inaccurate While</w:t>
      </w:r>
      <w:r w:rsidRPr="003077C4">
        <w:rPr>
          <w:rFonts w:asciiTheme="minorHAnsi" w:eastAsia="Times New Roman" w:hAnsiTheme="minorHAnsi" w:cstheme="minorHAnsi"/>
          <w:color w:val="000000"/>
          <w:u w:val="single"/>
        </w:rPr>
        <w:t xml:space="preserve"> the</w:t>
      </w:r>
      <w:r w:rsidRPr="003077C4">
        <w:rPr>
          <w:rFonts w:asciiTheme="minorHAnsi" w:eastAsia="Times New Roman" w:hAnsiTheme="minorHAnsi" w:cstheme="minorHAnsi"/>
          <w:color w:val="000000"/>
          <w:u w:val="single"/>
          <w:shd w:val="clear" w:color="auto" w:fill="00FFFF"/>
        </w:rPr>
        <w:t xml:space="preserve"> unconstitutionality of the disparagement </w:t>
      </w:r>
      <w:r w:rsidRPr="003077C4">
        <w:rPr>
          <w:rFonts w:asciiTheme="minorHAnsi" w:eastAsia="Times New Roman" w:hAnsiTheme="minorHAnsi" w:cstheme="minorHAnsi"/>
          <w:color w:val="000000"/>
          <w:u w:val="single"/>
        </w:rPr>
        <w:t>and</w:t>
      </w:r>
      <w:r w:rsidRPr="003077C4">
        <w:rPr>
          <w:rFonts w:asciiTheme="minorHAnsi" w:eastAsia="Times New Roman" w:hAnsiTheme="minorHAnsi" w:cstheme="minorHAnsi"/>
          <w:color w:val="000000"/>
          <w:u w:val="single"/>
          <w:shd w:val="clear" w:color="auto" w:fill="00FFFF"/>
        </w:rPr>
        <w:t xml:space="preserve"> immoral or scandalous provisions does not affect this purpose</w:t>
      </w:r>
      <w:r w:rsidRPr="003077C4">
        <w:rPr>
          <w:rFonts w:asciiTheme="minorHAnsi" w:eastAsia="Times New Roman" w:hAnsiTheme="minorHAnsi" w:cstheme="minorHAnsi"/>
          <w:color w:val="000000"/>
          <w:shd w:val="clear" w:color="auto" w:fill="00FFFF"/>
        </w:rPr>
        <w:t>,</w:t>
      </w:r>
      <w:r w:rsidRPr="003077C4">
        <w:rPr>
          <w:rFonts w:asciiTheme="minorHAnsi" w:eastAsia="Times New Roman" w:hAnsiTheme="minorHAnsi" w:cstheme="minorHAnsi"/>
          <w:color w:val="000000"/>
        </w:rPr>
        <w:t xml:space="preserve"> </w:t>
      </w:r>
      <w:r w:rsidRPr="003077C4">
        <w:rPr>
          <w:rFonts w:asciiTheme="minorHAnsi" w:eastAsia="Times New Roman" w:hAnsiTheme="minorHAnsi" w:cstheme="minorHAnsi"/>
          <w:color w:val="000000"/>
          <w:sz w:val="16"/>
          <w:szCs w:val="16"/>
        </w:rPr>
        <w:t>the</w:t>
      </w:r>
      <w:r w:rsidRPr="003077C4">
        <w:rPr>
          <w:rFonts w:asciiTheme="minorHAnsi" w:eastAsia="Times New Roman" w:hAnsiTheme="minorHAnsi" w:cstheme="minorHAnsi"/>
          <w:color w:val="000000"/>
          <w:sz w:val="16"/>
          <w:szCs w:val="16"/>
          <w:shd w:val="clear" w:color="auto" w:fill="00FFFF"/>
        </w:rPr>
        <w:t xml:space="preserve"> </w:t>
      </w:r>
      <w:r w:rsidRPr="003077C4">
        <w:rPr>
          <w:rFonts w:asciiTheme="minorHAnsi" w:eastAsia="Times New Roman" w:hAnsiTheme="minorHAnsi" w:cstheme="minorHAnsi"/>
          <w:color w:val="000000"/>
          <w:u w:val="single"/>
          <w:shd w:val="clear" w:color="auto" w:fill="00FFFF"/>
        </w:rPr>
        <w:t>analyses invoked by the Supreme</w:t>
      </w:r>
    </w:p>
    <w:p w14:paraId="42B18346" w14:textId="77777777" w:rsidR="005F027F" w:rsidRPr="003077C4" w:rsidRDefault="005F027F" w:rsidP="005F027F">
      <w:pPr>
        <w:spacing w:after="0" w:line="240" w:lineRule="auto"/>
        <w:rPr>
          <w:rFonts w:asciiTheme="minorHAnsi" w:eastAsia="Times New Roman" w:hAnsiTheme="minorHAnsi" w:cstheme="minorHAnsi"/>
          <w:sz w:val="24"/>
          <w:szCs w:val="24"/>
        </w:rPr>
      </w:pPr>
      <w:r w:rsidRPr="003077C4">
        <w:rPr>
          <w:rFonts w:asciiTheme="minorHAnsi" w:eastAsia="Times New Roman" w:hAnsiTheme="minorHAnsi" w:cstheme="minorHAnsi"/>
          <w:color w:val="000000"/>
          <w:u w:val="single"/>
          <w:shd w:val="clear" w:color="auto" w:fill="00FFFF"/>
        </w:rPr>
        <w:t xml:space="preserve">Court and U.S. Court of Appeals </w:t>
      </w:r>
      <w:r w:rsidRPr="003077C4">
        <w:rPr>
          <w:rFonts w:asciiTheme="minorHAnsi" w:eastAsia="Times New Roman" w:hAnsiTheme="minorHAnsi" w:cstheme="minorHAnsi"/>
          <w:color w:val="000000"/>
          <w:u w:val="single"/>
        </w:rPr>
        <w:t xml:space="preserve">for the Federal Circuit </w:t>
      </w:r>
      <w:r w:rsidRPr="003077C4">
        <w:rPr>
          <w:rFonts w:asciiTheme="minorHAnsi" w:eastAsia="Times New Roman" w:hAnsiTheme="minorHAnsi" w:cstheme="minorHAnsi"/>
          <w:color w:val="000000"/>
          <w:u w:val="single"/>
          <w:shd w:val="clear" w:color="auto" w:fill="00FFFF"/>
        </w:rPr>
        <w:t>may</w:t>
      </w:r>
      <w:r w:rsidRPr="003077C4">
        <w:rPr>
          <w:rFonts w:asciiTheme="minorHAnsi" w:eastAsia="Times New Roman" w:hAnsiTheme="minorHAnsi" w:cstheme="minorHAnsi"/>
          <w:color w:val="000000"/>
        </w:rPr>
        <w:t>.</w:t>
      </w:r>
      <w:r w:rsidRPr="003077C4">
        <w:rPr>
          <w:rFonts w:asciiTheme="minorHAnsi" w:eastAsia="Times New Roman" w:hAnsiTheme="minorHAnsi" w:cstheme="minorHAnsi"/>
          <w:color w:val="000000"/>
          <w:sz w:val="16"/>
          <w:szCs w:val="16"/>
        </w:rPr>
        <w:t xml:space="preserve"> As this article demonstrates</w:t>
      </w:r>
      <w:r w:rsidRPr="003077C4">
        <w:rPr>
          <w:rFonts w:asciiTheme="minorHAnsi" w:eastAsia="Times New Roman" w:hAnsiTheme="minorHAnsi" w:cstheme="minorHAnsi"/>
          <w:color w:val="000000"/>
        </w:rPr>
        <w:t>,</w:t>
      </w:r>
      <w:r w:rsidRPr="003077C4">
        <w:rPr>
          <w:rFonts w:asciiTheme="minorHAnsi" w:eastAsia="Times New Roman" w:hAnsiTheme="minorHAnsi" w:cstheme="minorHAnsi"/>
          <w:color w:val="000000"/>
          <w:u w:val="single"/>
        </w:rPr>
        <w:t xml:space="preserve"> these </w:t>
      </w:r>
      <w:r w:rsidRPr="003077C4">
        <w:rPr>
          <w:rFonts w:asciiTheme="minorHAnsi" w:eastAsia="Times New Roman" w:hAnsiTheme="minorHAnsi" w:cstheme="minorHAnsi"/>
          <w:color w:val="000000"/>
          <w:sz w:val="16"/>
          <w:szCs w:val="16"/>
        </w:rPr>
        <w:t xml:space="preserve">analyses also apply to several other provisions of the Lanham Act. If challenged, courts may find these </w:t>
      </w:r>
      <w:r w:rsidRPr="003077C4">
        <w:rPr>
          <w:rFonts w:asciiTheme="minorHAnsi" w:eastAsia="Times New Roman" w:hAnsiTheme="minorHAnsi" w:cstheme="minorHAnsi"/>
          <w:color w:val="000000"/>
          <w:u w:val="single"/>
          <w:shd w:val="clear" w:color="auto" w:fill="00FFFF"/>
        </w:rPr>
        <w:t xml:space="preserve">other provisions </w:t>
      </w:r>
      <w:r w:rsidRPr="003077C4">
        <w:rPr>
          <w:rFonts w:asciiTheme="minorHAnsi" w:eastAsia="Times New Roman" w:hAnsiTheme="minorHAnsi" w:cstheme="minorHAnsi"/>
          <w:color w:val="000000"/>
          <w:u w:val="single"/>
        </w:rPr>
        <w:t xml:space="preserve">also </w:t>
      </w:r>
      <w:r w:rsidRPr="003077C4">
        <w:rPr>
          <w:rFonts w:asciiTheme="minorHAnsi" w:eastAsia="Times New Roman" w:hAnsiTheme="minorHAnsi" w:cstheme="minorHAnsi"/>
          <w:color w:val="000000"/>
          <w:u w:val="single"/>
          <w:shd w:val="clear" w:color="auto" w:fill="00FFFF"/>
        </w:rPr>
        <w:t>unconstitutionally violate First Amendment freedom of speech principles</w:t>
      </w:r>
      <w:r w:rsidRPr="003077C4">
        <w:rPr>
          <w:rFonts w:asciiTheme="minorHAnsi" w:eastAsia="Times New Roman" w:hAnsiTheme="minorHAnsi" w:cstheme="minorHAnsi"/>
          <w:color w:val="000000"/>
          <w:sz w:val="16"/>
          <w:szCs w:val="16"/>
        </w:rPr>
        <w:t>. If that occurs, marks capable of infringing or causing</w:t>
      </w:r>
      <w:r w:rsidRPr="003077C4">
        <w:rPr>
          <w:rFonts w:asciiTheme="minorHAnsi" w:eastAsia="Times New Roman" w:hAnsiTheme="minorHAnsi" w:cstheme="minorHAnsi"/>
          <w:color w:val="000000"/>
          <w:u w:val="single"/>
          <w:shd w:val="clear" w:color="auto" w:fill="00FFFF"/>
        </w:rPr>
        <w:t xml:space="preserve"> confusion </w:t>
      </w:r>
      <w:r w:rsidRPr="003077C4">
        <w:rPr>
          <w:rFonts w:asciiTheme="minorHAnsi" w:eastAsia="Times New Roman" w:hAnsiTheme="minorHAnsi" w:cstheme="minorHAnsi"/>
          <w:color w:val="000000"/>
          <w:u w:val="single"/>
          <w:shd w:val="clear" w:color="auto" w:fill="00FFFF"/>
        </w:rPr>
        <w:lastRenderedPageBreak/>
        <w:t xml:space="preserve">will flood the market, </w:t>
      </w:r>
      <w:r w:rsidRPr="003077C4">
        <w:rPr>
          <w:rFonts w:asciiTheme="minorHAnsi" w:eastAsia="Times New Roman" w:hAnsiTheme="minorHAnsi" w:cstheme="minorHAnsi"/>
          <w:color w:val="000000"/>
          <w:u w:val="single"/>
        </w:rPr>
        <w:t xml:space="preserve">severely </w:t>
      </w:r>
      <w:r w:rsidRPr="003077C4">
        <w:rPr>
          <w:rFonts w:asciiTheme="minorHAnsi" w:eastAsia="Times New Roman" w:hAnsiTheme="minorHAnsi" w:cstheme="minorHAnsi"/>
          <w:color w:val="000000"/>
          <w:u w:val="single"/>
          <w:shd w:val="clear" w:color="auto" w:fill="00FFFF"/>
        </w:rPr>
        <w:t xml:space="preserve">undermining </w:t>
      </w:r>
      <w:r w:rsidRPr="003077C4">
        <w:rPr>
          <w:rFonts w:asciiTheme="minorHAnsi" w:eastAsia="Times New Roman" w:hAnsiTheme="minorHAnsi" w:cstheme="minorHAnsi"/>
          <w:color w:val="000000"/>
          <w:u w:val="single"/>
        </w:rPr>
        <w:t xml:space="preserve">the stated </w:t>
      </w:r>
      <w:r w:rsidRPr="003077C4">
        <w:rPr>
          <w:rFonts w:asciiTheme="minorHAnsi" w:eastAsia="Times New Roman" w:hAnsiTheme="minorHAnsi" w:cstheme="minorHAnsi"/>
          <w:color w:val="000000"/>
          <w:u w:val="single"/>
          <w:shd w:val="clear" w:color="auto" w:fill="00FFFF"/>
        </w:rPr>
        <w:t>purpose of the Lanham Act. Courts need to construe statutes narrowly to preserve their constitutionality</w:t>
      </w:r>
      <w:r w:rsidRPr="003077C4">
        <w:rPr>
          <w:rFonts w:asciiTheme="minorHAnsi" w:eastAsia="Times New Roman" w:hAnsiTheme="minorHAnsi" w:cstheme="minorHAnsi"/>
          <w:color w:val="000000"/>
          <w:u w:val="single"/>
        </w:rPr>
        <w:t xml:space="preserve"> and, </w:t>
      </w:r>
      <w:r w:rsidRPr="003077C4">
        <w:rPr>
          <w:rFonts w:asciiTheme="minorHAnsi" w:eastAsia="Times New Roman" w:hAnsiTheme="minorHAnsi" w:cstheme="minorHAnsi"/>
          <w:color w:val="000000"/>
          <w:u w:val="single"/>
          <w:shd w:val="clear" w:color="auto" w:fill="00FFFF"/>
        </w:rPr>
        <w:t>where possible</w:t>
      </w:r>
      <w:r w:rsidRPr="003077C4">
        <w:rPr>
          <w:rFonts w:asciiTheme="minorHAnsi" w:eastAsia="Times New Roman" w:hAnsiTheme="minorHAnsi" w:cstheme="minorHAnsi"/>
          <w:color w:val="000000"/>
          <w:u w:val="single"/>
        </w:rPr>
        <w:t xml:space="preserve">, adopt a </w:t>
      </w:r>
      <w:r w:rsidRPr="003077C4">
        <w:rPr>
          <w:rFonts w:asciiTheme="minorHAnsi" w:eastAsia="Times New Roman" w:hAnsiTheme="minorHAnsi" w:cstheme="minorHAnsi"/>
          <w:color w:val="000000"/>
          <w:u w:val="single"/>
          <w:shd w:val="clear" w:color="auto" w:fill="00FFFF"/>
        </w:rPr>
        <w:t xml:space="preserve">saving construction </w:t>
      </w:r>
      <w:r w:rsidRPr="003077C4">
        <w:rPr>
          <w:rFonts w:asciiTheme="minorHAnsi" w:eastAsia="Times New Roman" w:hAnsiTheme="minorHAnsi" w:cstheme="minorHAnsi"/>
          <w:color w:val="000000"/>
          <w:u w:val="single"/>
        </w:rPr>
        <w:t>of the</w:t>
      </w:r>
      <w:r w:rsidRPr="003077C4">
        <w:rPr>
          <w:rFonts w:asciiTheme="minorHAnsi" w:eastAsia="Times New Roman" w:hAnsiTheme="minorHAnsi" w:cstheme="minorHAnsi"/>
          <w:color w:val="000000"/>
          <w:u w:val="single"/>
          <w:shd w:val="clear" w:color="auto" w:fill="00FFFF"/>
        </w:rPr>
        <w:t xml:space="preserve"> provisions of the Lanham Act to prevent this result</w:t>
      </w:r>
      <w:r w:rsidRPr="003077C4">
        <w:rPr>
          <w:rFonts w:asciiTheme="minorHAnsi" w:eastAsia="Times New Roman" w:hAnsiTheme="minorHAnsi" w:cstheme="minorHAnsi"/>
          <w:color w:val="000000"/>
          <w:sz w:val="16"/>
          <w:szCs w:val="16"/>
        </w:rPr>
        <w:t xml:space="preserve">. Although the Federal Circuit refused to find a saving construction of the immoral or scandalous provision in </w:t>
      </w:r>
      <w:proofErr w:type="spellStart"/>
      <w:r w:rsidRPr="003077C4">
        <w:rPr>
          <w:rFonts w:asciiTheme="minorHAnsi" w:eastAsia="Times New Roman" w:hAnsiTheme="minorHAnsi" w:cstheme="minorHAnsi"/>
          <w:color w:val="000000"/>
          <w:sz w:val="16"/>
          <w:szCs w:val="16"/>
        </w:rPr>
        <w:t>Brunettia</w:t>
      </w:r>
      <w:proofErr w:type="spellEnd"/>
      <w:r w:rsidRPr="003077C4">
        <w:rPr>
          <w:rFonts w:asciiTheme="minorHAnsi" w:eastAsia="Times New Roman" w:hAnsiTheme="minorHAnsi" w:cstheme="minorHAnsi"/>
          <w:color w:val="000000"/>
          <w:sz w:val="16"/>
          <w:szCs w:val="16"/>
        </w:rPr>
        <w:t xml:space="preserve"> Where possible,</w:t>
      </w:r>
      <w:r w:rsidRPr="003077C4">
        <w:rPr>
          <w:rFonts w:asciiTheme="minorHAnsi" w:eastAsia="Times New Roman" w:hAnsiTheme="minorHAnsi" w:cstheme="minorHAnsi"/>
          <w:color w:val="000000"/>
        </w:rPr>
        <w:t xml:space="preserve"> </w:t>
      </w:r>
      <w:r w:rsidRPr="003077C4">
        <w:rPr>
          <w:rFonts w:asciiTheme="minorHAnsi" w:eastAsia="Times New Roman" w:hAnsiTheme="minorHAnsi" w:cstheme="minorHAnsi"/>
          <w:color w:val="000000"/>
          <w:u w:val="single"/>
        </w:rPr>
        <w:t>courts should</w:t>
      </w:r>
      <w:r w:rsidRPr="003077C4">
        <w:rPr>
          <w:rFonts w:asciiTheme="minorHAnsi" w:eastAsia="Times New Roman" w:hAnsiTheme="minorHAnsi" w:cstheme="minorHAnsi"/>
          <w:color w:val="000000"/>
          <w:sz w:val="16"/>
          <w:szCs w:val="16"/>
        </w:rPr>
        <w:t xml:space="preserve"> in provisions to</w:t>
      </w:r>
      <w:r w:rsidRPr="003077C4">
        <w:rPr>
          <w:rFonts w:asciiTheme="minorHAnsi" w:eastAsia="Times New Roman" w:hAnsiTheme="minorHAnsi" w:cstheme="minorHAnsi"/>
          <w:color w:val="000000"/>
          <w:sz w:val="16"/>
          <w:szCs w:val="16"/>
          <w:shd w:val="clear" w:color="auto" w:fill="00FFFF"/>
        </w:rPr>
        <w:t xml:space="preserve"> </w:t>
      </w:r>
      <w:r w:rsidRPr="003077C4">
        <w:rPr>
          <w:rFonts w:asciiTheme="minorHAnsi" w:eastAsia="Times New Roman" w:hAnsiTheme="minorHAnsi" w:cstheme="minorHAnsi"/>
          <w:color w:val="000000"/>
          <w:u w:val="single"/>
          <w:shd w:val="clear" w:color="auto" w:fill="00FFFF"/>
        </w:rPr>
        <w:t>match already existing judicial analyses</w:t>
      </w:r>
      <w:r w:rsidRPr="003077C4">
        <w:rPr>
          <w:rFonts w:asciiTheme="minorHAnsi" w:eastAsia="Times New Roman" w:hAnsiTheme="minorHAnsi" w:cstheme="minorHAnsi"/>
          <w:color w:val="000000"/>
          <w:shd w:val="clear" w:color="auto" w:fill="00FFFF"/>
        </w:rPr>
        <w:t>.</w:t>
      </w:r>
      <w:r w:rsidRPr="003077C4">
        <w:rPr>
          <w:rFonts w:asciiTheme="minorHAnsi" w:eastAsia="Times New Roman" w:hAnsiTheme="minorHAnsi" w:cstheme="minorHAnsi"/>
          <w:color w:val="000000"/>
        </w:rPr>
        <w:t xml:space="preserve"> </w:t>
      </w:r>
      <w:r w:rsidRPr="003077C4">
        <w:rPr>
          <w:rFonts w:asciiTheme="minorHAnsi" w:eastAsia="Times New Roman" w:hAnsiTheme="minorHAnsi" w:cstheme="minorHAnsi"/>
          <w:color w:val="000000"/>
          <w:sz w:val="16"/>
          <w:szCs w:val="16"/>
        </w:rPr>
        <w:t>Since</w:t>
      </w:r>
      <w:r w:rsidRPr="003077C4">
        <w:rPr>
          <w:rFonts w:asciiTheme="minorHAnsi" w:eastAsia="Times New Roman" w:hAnsiTheme="minorHAnsi" w:cstheme="minorHAnsi"/>
          <w:color w:val="000000"/>
          <w:sz w:val="16"/>
          <w:szCs w:val="16"/>
          <w:shd w:val="clear" w:color="auto" w:fill="00FFFF"/>
        </w:rPr>
        <w:t xml:space="preserve"> </w:t>
      </w:r>
      <w:r w:rsidRPr="003077C4">
        <w:rPr>
          <w:rFonts w:asciiTheme="minorHAnsi" w:eastAsia="Times New Roman" w:hAnsiTheme="minorHAnsi" w:cstheme="minorHAnsi"/>
          <w:color w:val="000000"/>
          <w:u w:val="single"/>
          <w:shd w:val="clear" w:color="auto" w:fill="00FFFF"/>
        </w:rPr>
        <w:t xml:space="preserve">application of the obscenity limitation to the immoral or scandalous provision is </w:t>
      </w:r>
      <w:proofErr w:type="gramStart"/>
      <w:r w:rsidRPr="003077C4">
        <w:rPr>
          <w:rFonts w:asciiTheme="minorHAnsi" w:eastAsia="Times New Roman" w:hAnsiTheme="minorHAnsi" w:cstheme="minorHAnsi"/>
          <w:color w:val="000000"/>
          <w:u w:val="single"/>
          <w:shd w:val="clear" w:color="auto" w:fill="00FFFF"/>
        </w:rPr>
        <w:t>reasonable</w:t>
      </w:r>
      <w:r w:rsidRPr="003077C4">
        <w:rPr>
          <w:rFonts w:asciiTheme="minorHAnsi" w:eastAsia="Times New Roman" w:hAnsiTheme="minorHAnsi" w:cstheme="minorHAnsi"/>
          <w:color w:val="000000"/>
          <w:u w:val="single"/>
        </w:rPr>
        <w:t>,</w:t>
      </w:r>
      <w:r w:rsidRPr="003077C4">
        <w:rPr>
          <w:rFonts w:asciiTheme="minorHAnsi" w:eastAsia="Times New Roman" w:hAnsiTheme="minorHAnsi" w:cstheme="minorHAnsi"/>
          <w:color w:val="000000"/>
          <w:sz w:val="16"/>
          <w:szCs w:val="16"/>
        </w:rPr>
        <w:t xml:space="preserve"> if</w:t>
      </w:r>
      <w:proofErr w:type="gramEnd"/>
      <w:r w:rsidRPr="003077C4">
        <w:rPr>
          <w:rFonts w:asciiTheme="minorHAnsi" w:eastAsia="Times New Roman" w:hAnsiTheme="minorHAnsi" w:cstheme="minorHAnsi"/>
          <w:color w:val="000000"/>
          <w:sz w:val="16"/>
          <w:szCs w:val="16"/>
        </w:rPr>
        <w:t xml:space="preserve"> the government correct.</w:t>
      </w:r>
      <w:r w:rsidRPr="003077C4">
        <w:rPr>
          <w:rFonts w:asciiTheme="minorHAnsi" w:eastAsia="Times New Roman" w:hAnsiTheme="minorHAnsi" w:cstheme="minorHAnsi"/>
          <w:color w:val="000000"/>
          <w:u w:val="single"/>
        </w:rPr>
        <w:t xml:space="preserve"> This </w:t>
      </w:r>
      <w:r w:rsidRPr="003077C4">
        <w:rPr>
          <w:rFonts w:asciiTheme="minorHAnsi" w:eastAsia="Times New Roman" w:hAnsiTheme="minorHAnsi" w:cstheme="minorHAnsi"/>
          <w:color w:val="000000"/>
          <w:u w:val="single"/>
          <w:shd w:val="clear" w:color="auto" w:fill="00FFFF"/>
        </w:rPr>
        <w:t>limitation is necessary</w:t>
      </w:r>
      <w:r w:rsidRPr="003077C4">
        <w:rPr>
          <w:rFonts w:asciiTheme="minorHAnsi" w:eastAsia="Times New Roman" w:hAnsiTheme="minorHAnsi" w:cstheme="minorHAnsi"/>
          <w:color w:val="000000"/>
          <w:u w:val="single"/>
        </w:rPr>
        <w:t xml:space="preserve"> not only </w:t>
      </w:r>
      <w:r w:rsidRPr="003077C4">
        <w:rPr>
          <w:rFonts w:asciiTheme="minorHAnsi" w:eastAsia="Times New Roman" w:hAnsiTheme="minorHAnsi" w:cstheme="minorHAnsi"/>
          <w:color w:val="000000"/>
          <w:u w:val="single"/>
          <w:shd w:val="clear" w:color="auto" w:fill="00FFFF"/>
        </w:rPr>
        <w:t xml:space="preserve">to </w:t>
      </w:r>
      <w:r w:rsidRPr="003077C4">
        <w:rPr>
          <w:rFonts w:asciiTheme="minorHAnsi" w:eastAsia="Times New Roman" w:hAnsiTheme="minorHAnsi" w:cstheme="minorHAnsi"/>
          <w:color w:val="000000"/>
          <w:u w:val="single"/>
        </w:rPr>
        <w:t>protect the marketplace from the proliferation of offensive marks but also to set the tone to</w:t>
      </w:r>
      <w:r w:rsidRPr="003077C4">
        <w:rPr>
          <w:rFonts w:asciiTheme="minorHAnsi" w:eastAsia="Times New Roman" w:hAnsiTheme="minorHAnsi" w:cstheme="minorHAnsi"/>
          <w:color w:val="000000"/>
          <w:u w:val="single"/>
          <w:shd w:val="clear" w:color="auto" w:fill="00FFFF"/>
        </w:rPr>
        <w:t xml:space="preserve"> save the Lanham Act from an apocalyptic meltdown.</w:t>
      </w:r>
    </w:p>
    <w:p w14:paraId="2F05FC5B" w14:textId="77777777" w:rsidR="005F027F" w:rsidRDefault="005F027F" w:rsidP="005F027F">
      <w:pPr>
        <w:rPr>
          <w:rFonts w:eastAsiaTheme="majorEastAsia" w:cstheme="majorBidi"/>
          <w:b/>
          <w:sz w:val="44"/>
          <w:szCs w:val="26"/>
          <w:u w:val="double"/>
        </w:rPr>
      </w:pPr>
    </w:p>
    <w:p w14:paraId="6D4CC14E"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F027F"/>
    <w:rsid w:val="000139A3"/>
    <w:rsid w:val="00100833"/>
    <w:rsid w:val="00104529"/>
    <w:rsid w:val="00105942"/>
    <w:rsid w:val="00107396"/>
    <w:rsid w:val="00144A4C"/>
    <w:rsid w:val="00176AB0"/>
    <w:rsid w:val="00177B7D"/>
    <w:rsid w:val="0018322D"/>
    <w:rsid w:val="001B5776"/>
    <w:rsid w:val="001D2EF3"/>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5F027F"/>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5439"/>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596"/>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2C621"/>
  <w15:chartTrackingRefBased/>
  <w15:docId w15:val="{445B88BC-DC6D-4E6C-BD05-18B4A6098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17596"/>
    <w:rPr>
      <w:rFonts w:ascii="Calibri" w:hAnsi="Calibri"/>
    </w:rPr>
  </w:style>
  <w:style w:type="paragraph" w:styleId="Heading1">
    <w:name w:val="heading 1"/>
    <w:aliases w:val="Pocket"/>
    <w:basedOn w:val="Normal"/>
    <w:next w:val="Normal"/>
    <w:link w:val="Heading1Char"/>
    <w:qFormat/>
    <w:rsid w:val="00F175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175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175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1759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175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7596"/>
  </w:style>
  <w:style w:type="character" w:customStyle="1" w:styleId="Heading1Char">
    <w:name w:val="Heading 1 Char"/>
    <w:aliases w:val="Pocket Char"/>
    <w:basedOn w:val="DefaultParagraphFont"/>
    <w:link w:val="Heading1"/>
    <w:rsid w:val="00F1759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759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759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17596"/>
    <w:rPr>
      <w:rFonts w:ascii="Calibri" w:eastAsiaTheme="majorEastAsia" w:hAnsi="Calibri" w:cstheme="majorBidi"/>
      <w:b/>
      <w:iCs/>
      <w:sz w:val="26"/>
    </w:rPr>
  </w:style>
  <w:style w:type="character" w:styleId="Emphasis">
    <w:name w:val="Emphasis"/>
    <w:basedOn w:val="DefaultParagraphFont"/>
    <w:uiPriority w:val="7"/>
    <w:qFormat/>
    <w:rsid w:val="00F17596"/>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F1759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F17596"/>
    <w:rPr>
      <w:b w:val="0"/>
      <w:sz w:val="22"/>
      <w:u w:val="single"/>
    </w:rPr>
  </w:style>
  <w:style w:type="character" w:styleId="Hyperlink">
    <w:name w:val="Hyperlink"/>
    <w:basedOn w:val="DefaultParagraphFont"/>
    <w:uiPriority w:val="99"/>
    <w:unhideWhenUsed/>
    <w:rsid w:val="00F17596"/>
    <w:rPr>
      <w:color w:val="auto"/>
      <w:u w:val="none"/>
    </w:rPr>
  </w:style>
  <w:style w:type="character" w:styleId="FollowedHyperlink">
    <w:name w:val="FollowedHyperlink"/>
    <w:basedOn w:val="DefaultParagraphFont"/>
    <w:uiPriority w:val="99"/>
    <w:semiHidden/>
    <w:unhideWhenUsed/>
    <w:rsid w:val="00F17596"/>
    <w:rPr>
      <w:color w:val="auto"/>
      <w:u w:val="none"/>
    </w:rPr>
  </w:style>
  <w:style w:type="paragraph" w:styleId="NormalWeb">
    <w:name w:val="Normal (Web)"/>
    <w:basedOn w:val="Normal"/>
    <w:uiPriority w:val="99"/>
    <w:semiHidden/>
    <w:unhideWhenUsed/>
    <w:rsid w:val="005F02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link w:val="StyleUnderline"/>
    <w:autoRedefine/>
    <w:uiPriority w:val="6"/>
    <w:qFormat/>
    <w:rsid w:val="005F027F"/>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skushman.com/insights/from-patents-to-policy-the-potential-ripple-effects-of-revising-the-chevron-doctrine/" TargetMode="External"/><Relationship Id="rId13" Type="http://schemas.openxmlformats.org/officeDocument/2006/relationships/hyperlink" Target="https://c4ip.org/wp-content/uploads/2023/07/Reaffirm-and-Refine-A-Government-Agenda-for-Intellectual-Property-July-2023.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brookskushman.com/insights/from-patents-to-policy-the-potential-ripple-effects-of-revising-the-chevron-doctrine/" TargetMode="External"/><Relationship Id="rId12" Type="http://schemas.openxmlformats.org/officeDocument/2006/relationships/hyperlink" Target="https://www.econlib.org/the-unseen-costs-of-intellectual-property/" TargetMode="External"/><Relationship Id="rId17" Type="http://schemas.openxmlformats.org/officeDocument/2006/relationships/hyperlink" Target="https://www.cato.org/commentary/rush-regulate-ai-could-be-death-parody" TargetMode="External"/><Relationship Id="rId2" Type="http://schemas.openxmlformats.org/officeDocument/2006/relationships/numbering" Target="numbering.xml"/><Relationship Id="rId16" Type="http://schemas.openxmlformats.org/officeDocument/2006/relationships/hyperlink" Target="https://www.sciencedirect.com/science/article/pii/S004873332400023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16/j.respol.2016.07.008" TargetMode="External"/><Relationship Id="rId5" Type="http://schemas.openxmlformats.org/officeDocument/2006/relationships/webSettings" Target="webSettings.xml"/><Relationship Id="rId15" Type="http://schemas.openxmlformats.org/officeDocument/2006/relationships/hyperlink" Target="https://www.wsj.com/articles/stephen-haber-and-ross-levine-the-myth-of-the-wicked-patent-troll-1404085391" TargetMode="External"/><Relationship Id="rId10" Type="http://schemas.openxmlformats.org/officeDocument/2006/relationships/hyperlink" Target="https://doi.org/10.1016/j.jebo.2022.12.00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pwatchdog.com/2024/07/04/really-improve-us-patent-system-support-uspto-employees/id=178594/" TargetMode="External"/><Relationship Id="rId14" Type="http://schemas.openxmlformats.org/officeDocument/2006/relationships/hyperlink" Target="https://www.cato.org/regulation/winter-2012-2013/patent-reform-united-states-lessons-learn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43</Pages>
  <Words>15871</Words>
  <Characters>90471</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Heather Walters</cp:lastModifiedBy>
  <cp:revision>3</cp:revision>
  <dcterms:created xsi:type="dcterms:W3CDTF">2024-07-18T18:47:00Z</dcterms:created>
  <dcterms:modified xsi:type="dcterms:W3CDTF">2024-07-18T18:47:00Z</dcterms:modified>
</cp:coreProperties>
</file>