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63B0D" w14:textId="77777777" w:rsidR="00AF4480" w:rsidRDefault="00AF4480"/>
    <w:p w14:paraId="7ACF4A7B" w14:textId="4AA7795A" w:rsidR="009E3DAF" w:rsidRDefault="009E3DAF"/>
    <w:p w14:paraId="65B113C9" w14:textId="77777777" w:rsidR="009E3DAF" w:rsidRDefault="009E3DAF"/>
    <w:p w14:paraId="1B5B0494" w14:textId="77777777" w:rsidR="009E3DAF" w:rsidRDefault="009E3DAF"/>
    <w:p w14:paraId="4E74E778" w14:textId="77777777" w:rsidR="009E3DAF" w:rsidRDefault="009E3DAF"/>
    <w:p w14:paraId="49ECF7E0" w14:textId="77777777" w:rsidR="009E3DAF" w:rsidRDefault="009E3DAF"/>
    <w:p w14:paraId="26734FB0" w14:textId="5B907BBB" w:rsidR="009E3DAF" w:rsidRDefault="00B50C41" w:rsidP="00B50C41">
      <w:pPr>
        <w:pStyle w:val="Heading2"/>
      </w:pPr>
      <w:r>
        <w:lastRenderedPageBreak/>
        <w:t xml:space="preserve">Neg- ASPEC </w:t>
      </w:r>
    </w:p>
    <w:p w14:paraId="5FEF817F" w14:textId="77777777" w:rsidR="00B50C41" w:rsidRDefault="00B50C41" w:rsidP="00B50C41"/>
    <w:p w14:paraId="43875002" w14:textId="69D35B44" w:rsidR="00B50C41" w:rsidRDefault="00B50C41" w:rsidP="00B50C41">
      <w:pPr>
        <w:pStyle w:val="Heading3"/>
      </w:pPr>
      <w:r>
        <w:t xml:space="preserve">ASPEC IP Cards  </w:t>
      </w:r>
    </w:p>
    <w:p w14:paraId="39153837" w14:textId="77777777" w:rsidR="00B50C41" w:rsidRDefault="00B50C41" w:rsidP="00B50C41">
      <w:pPr>
        <w:pStyle w:val="Heading4"/>
      </w:pPr>
      <w:r>
        <w:t xml:space="preserve">The actor is the </w:t>
      </w:r>
      <w:r>
        <w:rPr>
          <w:u w:val="single"/>
        </w:rPr>
        <w:t xml:space="preserve">most </w:t>
      </w:r>
      <w:r w:rsidRPr="00B53387">
        <w:rPr>
          <w:u w:val="single"/>
        </w:rPr>
        <w:t>important question</w:t>
      </w:r>
      <w:r>
        <w:t xml:space="preserve"> </w:t>
      </w:r>
      <w:r w:rsidRPr="00B53387">
        <w:t>in</w:t>
      </w:r>
      <w:r>
        <w:t xml:space="preserve"> IPR policy and implicates </w:t>
      </w:r>
      <w:r w:rsidRPr="000878FE">
        <w:rPr>
          <w:u w:val="single"/>
        </w:rPr>
        <w:t>all of solvency</w:t>
      </w:r>
      <w:r>
        <w:t>.</w:t>
      </w:r>
    </w:p>
    <w:p w14:paraId="7E1A6780" w14:textId="77777777" w:rsidR="00B50C41" w:rsidRDefault="00B50C41" w:rsidP="00B50C41">
      <w:r w:rsidRPr="00695462">
        <w:rPr>
          <w:rStyle w:val="Style13ptBold"/>
        </w:rPr>
        <w:t>Mandel</w:t>
      </w:r>
      <w:r>
        <w:t xml:space="preserve"> 20</w:t>
      </w:r>
      <w:r w:rsidRPr="00695462">
        <w:rPr>
          <w:rStyle w:val="Style13ptBold"/>
        </w:rPr>
        <w:t>17</w:t>
      </w:r>
      <w:r>
        <w:t xml:space="preserve">. [Gregory N, Dean &amp; Peter J. Liacouras Professor of Law, Temple University; “Institutional Fracture in Intellectual Property Law: The Supreme Court Versus Congress,” 102 Minn. L. Rev. 803, </w:t>
      </w:r>
      <w:hyperlink r:id="rId5" w:history="1">
        <w:r w:rsidRPr="00C357CC">
          <w:rPr>
            <w:rStyle w:val="Hyperlink"/>
          </w:rPr>
          <w:t>https://scholarship.law.umn.edu/mlr/95</w:t>
        </w:r>
        <w:r w:rsidRPr="00E27817">
          <w:rPr>
            <w:rStyle w:val="Hyperlink"/>
            <w:u w:val="none"/>
          </w:rPr>
          <w:t>,</w:t>
        </w:r>
      </w:hyperlink>
      <w:r>
        <w:t xml:space="preserve"> Available on ProQuest //cpsw-ay]</w:t>
      </w:r>
    </w:p>
    <w:p w14:paraId="56018B51" w14:textId="77777777" w:rsidR="00B50C41" w:rsidRPr="00230154" w:rsidRDefault="00B50C41" w:rsidP="00B50C41">
      <w:pPr>
        <w:rPr>
          <w:sz w:val="16"/>
        </w:rPr>
      </w:pPr>
      <w:r w:rsidRPr="00E937FB">
        <w:rPr>
          <w:rStyle w:val="StyleUnderline"/>
        </w:rPr>
        <w:t xml:space="preserve">The </w:t>
      </w:r>
      <w:r w:rsidRPr="00E937FB">
        <w:rPr>
          <w:rStyle w:val="Emphasis"/>
        </w:rPr>
        <w:t>core question</w:t>
      </w:r>
      <w:r w:rsidRPr="00E937FB">
        <w:rPr>
          <w:rStyle w:val="StyleUnderline"/>
        </w:rPr>
        <w:t xml:space="preserve"> for </w:t>
      </w:r>
      <w:r w:rsidRPr="00C76856">
        <w:rPr>
          <w:rStyle w:val="Emphasis"/>
        </w:rPr>
        <w:t>i</w:t>
      </w:r>
      <w:r w:rsidRPr="00230154">
        <w:rPr>
          <w:sz w:val="16"/>
        </w:rPr>
        <w:t xml:space="preserve">ntellectual </w:t>
      </w:r>
      <w:r w:rsidRPr="00C76856">
        <w:rPr>
          <w:rStyle w:val="Emphasis"/>
        </w:rPr>
        <w:t>p</w:t>
      </w:r>
      <w:r w:rsidRPr="00230154">
        <w:rPr>
          <w:sz w:val="16"/>
        </w:rPr>
        <w:t>roperty</w:t>
      </w:r>
      <w:r w:rsidRPr="00E937FB">
        <w:rPr>
          <w:rStyle w:val="StyleUnderline"/>
        </w:rPr>
        <w:t xml:space="preserve"> law is identifying </w:t>
      </w:r>
      <w:r w:rsidRPr="00C877C5">
        <w:rPr>
          <w:rStyle w:val="Emphasis"/>
        </w:rPr>
        <w:t>which branch of government</w:t>
      </w:r>
      <w:r w:rsidRPr="00230154">
        <w:rPr>
          <w:sz w:val="16"/>
        </w:rPr>
        <w:t xml:space="preserve">, Congress or the Supreme Court, </w:t>
      </w:r>
      <w:r w:rsidRPr="00E937FB">
        <w:rPr>
          <w:rStyle w:val="StyleUnderline"/>
        </w:rPr>
        <w:t xml:space="preserve">is more likely to effect intellectual property laws that achieve socially desirable </w:t>
      </w:r>
      <w:r w:rsidRPr="00C877C5">
        <w:rPr>
          <w:rStyle w:val="StyleUnderline"/>
        </w:rPr>
        <w:t xml:space="preserve">objectives. The answer to this question turns somewhat on whether one takes an </w:t>
      </w:r>
      <w:r w:rsidRPr="00C877C5">
        <w:rPr>
          <w:rStyle w:val="Emphasis"/>
        </w:rPr>
        <w:t>instrumentalist or deontological view</w:t>
      </w:r>
      <w:r w:rsidRPr="00C877C5">
        <w:rPr>
          <w:rStyle w:val="StyleUnderline"/>
        </w:rPr>
        <w:t xml:space="preserve"> of the goals of intellectual property law</w:t>
      </w:r>
      <w:r w:rsidRPr="00230154">
        <w:rPr>
          <w:sz w:val="16"/>
        </w:rPr>
        <w:t>.</w:t>
      </w:r>
    </w:p>
    <w:p w14:paraId="144A78F9" w14:textId="77777777" w:rsidR="00B50C41" w:rsidRPr="00230154" w:rsidRDefault="00B50C41" w:rsidP="00B50C41">
      <w:pPr>
        <w:rPr>
          <w:sz w:val="16"/>
        </w:rPr>
      </w:pPr>
      <w:r w:rsidRPr="00230154">
        <w:rPr>
          <w:sz w:val="16"/>
        </w:rPr>
        <w:t>The Intellectual Property Clause of the Constitution grants Congress the power "to promote the Progress of Science and useful Arts" by enacting copyright and patent laws. 326 Consistent with this consequentialist preamble, the dominant view of intellectual property law and policy in the United States has often been that intellectual property law exists in order to incentivize creative and innovative activity. 327 The incentive theory of intellectual property law is based on the rationale that providing authors and inventors with the potential for intellectual property rights will induce them to engage in greater innovative activity than they would otherwise, from the creation to the production to the commercialization of intellectual works. 328</w:t>
      </w:r>
    </w:p>
    <w:p w14:paraId="080F9412" w14:textId="77777777" w:rsidR="00B50C41" w:rsidRPr="00230154" w:rsidRDefault="00B50C41" w:rsidP="00B50C41">
      <w:pPr>
        <w:rPr>
          <w:sz w:val="16"/>
        </w:rPr>
      </w:pPr>
      <w:r w:rsidRPr="00230154">
        <w:rPr>
          <w:sz w:val="16"/>
        </w:rPr>
        <w:t>[*869] Other scholars and experts rely on John Locke's labor theory of property rights and similar concepts to argue that intellectual property law exists to protect authors' and inventors' natural rights in their creative works. 329 This deontological perspective views individuals as automatically entitled to the fruits of their efforts. 330 Natural rights theory supports intellectual property protection on the basis that a creator is morally entitled to control the copying and distribution of inventions or artistic creations produced as a result of the creator's own labor and effort. 331</w:t>
      </w:r>
    </w:p>
    <w:p w14:paraId="58B01F13" w14:textId="77777777" w:rsidR="00B50C41" w:rsidRPr="00230154" w:rsidRDefault="00B50C41" w:rsidP="00B50C41">
      <w:pPr>
        <w:rPr>
          <w:sz w:val="16"/>
        </w:rPr>
      </w:pPr>
      <w:r w:rsidRPr="00230154">
        <w:rPr>
          <w:sz w:val="16"/>
        </w:rPr>
        <w:t>Under the traditional, romantic view of the branches of government enshrined in the Constitution,</w:t>
      </w:r>
      <w:r w:rsidRPr="00E937FB">
        <w:rPr>
          <w:rStyle w:val="StyleUnderline"/>
        </w:rPr>
        <w:t xml:space="preserve"> those who believe in a </w:t>
      </w:r>
      <w:r w:rsidRPr="00604656">
        <w:rPr>
          <w:rStyle w:val="Emphasis"/>
        </w:rPr>
        <w:t>deontological basis</w:t>
      </w:r>
      <w:r w:rsidRPr="00E937FB">
        <w:rPr>
          <w:rStyle w:val="StyleUnderline"/>
        </w:rPr>
        <w:t xml:space="preserve"> might tend to </w:t>
      </w:r>
      <w:r w:rsidRPr="00604656">
        <w:rPr>
          <w:rStyle w:val="Emphasis"/>
        </w:rPr>
        <w:t xml:space="preserve">favor Congress </w:t>
      </w:r>
      <w:r w:rsidRPr="00E937FB">
        <w:rPr>
          <w:rStyle w:val="StyleUnderline"/>
        </w:rPr>
        <w:t xml:space="preserve">as the </w:t>
      </w:r>
      <w:r w:rsidRPr="00604656">
        <w:rPr>
          <w:rStyle w:val="Emphasis"/>
        </w:rPr>
        <w:t>i</w:t>
      </w:r>
      <w:r w:rsidRPr="00230154">
        <w:rPr>
          <w:sz w:val="16"/>
        </w:rPr>
        <w:t xml:space="preserve">ntellectual </w:t>
      </w:r>
      <w:r w:rsidRPr="00604656">
        <w:rPr>
          <w:rStyle w:val="Emphasis"/>
        </w:rPr>
        <w:t>p</w:t>
      </w:r>
      <w:r w:rsidRPr="00230154">
        <w:rPr>
          <w:sz w:val="16"/>
        </w:rPr>
        <w:t>roperty</w:t>
      </w:r>
      <w:r w:rsidRPr="00E937FB">
        <w:rPr>
          <w:rStyle w:val="StyleUnderline"/>
        </w:rPr>
        <w:t xml:space="preserve"> law decision-maker and be wary of Supreme Court interference. Natural rights in </w:t>
      </w:r>
      <w:r w:rsidRPr="00E937FB">
        <w:rPr>
          <w:rStyle w:val="Emphasis"/>
        </w:rPr>
        <w:t>i</w:t>
      </w:r>
      <w:r w:rsidRPr="00230154">
        <w:rPr>
          <w:sz w:val="16"/>
        </w:rPr>
        <w:t xml:space="preserve">ntellectual </w:t>
      </w:r>
      <w:r w:rsidRPr="00E937FB">
        <w:rPr>
          <w:rStyle w:val="Emphasis"/>
        </w:rPr>
        <w:t>p</w:t>
      </w:r>
      <w:r w:rsidRPr="00230154">
        <w:rPr>
          <w:sz w:val="16"/>
        </w:rPr>
        <w:t>roperty</w:t>
      </w:r>
      <w:r w:rsidRPr="00E937FB">
        <w:rPr>
          <w:rStyle w:val="StyleUnderline"/>
        </w:rPr>
        <w:t xml:space="preserve"> law are an ill-defined concept, and </w:t>
      </w:r>
      <w:r w:rsidRPr="00604656">
        <w:rPr>
          <w:rStyle w:val="Emphasis"/>
        </w:rPr>
        <w:t>majoritarian preferences</w:t>
      </w:r>
      <w:r w:rsidRPr="00E937FB">
        <w:rPr>
          <w:rStyle w:val="StyleUnderline"/>
        </w:rPr>
        <w:t xml:space="preserve"> could be an appropriate way to define such rights</w:t>
      </w:r>
      <w:r w:rsidRPr="00230154">
        <w:rPr>
          <w:sz w:val="16"/>
        </w:rPr>
        <w:t>. 332 In fact, experts who support natural rights concepts in intellectual property law often [*870] point to popular opinion and perceptions as evidence corroborating their views about what intellectual property rights should be. 333</w:t>
      </w:r>
    </w:p>
    <w:p w14:paraId="77A50001" w14:textId="77777777" w:rsidR="00B50C41" w:rsidRPr="00230154" w:rsidRDefault="00B50C41" w:rsidP="00B50C41">
      <w:pPr>
        <w:rPr>
          <w:sz w:val="16"/>
        </w:rPr>
      </w:pPr>
      <w:r w:rsidRPr="00E937FB">
        <w:rPr>
          <w:rStyle w:val="StyleUnderline"/>
        </w:rPr>
        <w:t>The Supreme Court</w:t>
      </w:r>
      <w:r w:rsidRPr="00230154">
        <w:rPr>
          <w:sz w:val="16"/>
        </w:rPr>
        <w:t xml:space="preserve">, on the other hand, </w:t>
      </w:r>
      <w:r w:rsidRPr="00E937FB">
        <w:rPr>
          <w:rStyle w:val="StyleUnderline"/>
        </w:rPr>
        <w:t xml:space="preserve">may appear more attractive to </w:t>
      </w:r>
      <w:r w:rsidRPr="00604656">
        <w:rPr>
          <w:rStyle w:val="Emphasis"/>
        </w:rPr>
        <w:t>consequentialist</w:t>
      </w:r>
      <w:r w:rsidRPr="00E937FB">
        <w:rPr>
          <w:rStyle w:val="StyleUnderline"/>
        </w:rPr>
        <w:t xml:space="preserve"> proponents. </w:t>
      </w:r>
      <w:r w:rsidRPr="00230154">
        <w:rPr>
          <w:sz w:val="16"/>
        </w:rPr>
        <w:t xml:space="preserve">Rather than deciding intellectual property rights based on popular vote, </w:t>
      </w:r>
      <w:r w:rsidRPr="00E937FB">
        <w:rPr>
          <w:rStyle w:val="StyleUnderline"/>
        </w:rPr>
        <w:t xml:space="preserve">achieving optimal incentives requires </w:t>
      </w:r>
      <w:r w:rsidRPr="00604656">
        <w:rPr>
          <w:rStyle w:val="Emphasis"/>
        </w:rPr>
        <w:t>balancing the incentive benefits</w:t>
      </w:r>
      <w:r w:rsidRPr="00E937FB">
        <w:rPr>
          <w:rStyle w:val="StyleUnderline"/>
        </w:rPr>
        <w:t xml:space="preserve"> that </w:t>
      </w:r>
      <w:r w:rsidRPr="00604656">
        <w:rPr>
          <w:rStyle w:val="Emphasis"/>
        </w:rPr>
        <w:t>i</w:t>
      </w:r>
      <w:r w:rsidRPr="00230154">
        <w:rPr>
          <w:sz w:val="16"/>
        </w:rPr>
        <w:t xml:space="preserve">ntellectual </w:t>
      </w:r>
      <w:r w:rsidRPr="00604656">
        <w:rPr>
          <w:rStyle w:val="Emphasis"/>
        </w:rPr>
        <w:t>p</w:t>
      </w:r>
      <w:r w:rsidRPr="00230154">
        <w:rPr>
          <w:sz w:val="16"/>
        </w:rPr>
        <w:t xml:space="preserve">roperty </w:t>
      </w:r>
      <w:r w:rsidRPr="00E937FB">
        <w:rPr>
          <w:rStyle w:val="StyleUnderline"/>
        </w:rPr>
        <w:t xml:space="preserve">protection provides against the exclusionary costs that it creates. 334 The Supreme Court, not Congress, may be better able to engage in this </w:t>
      </w:r>
      <w:r w:rsidRPr="00604656">
        <w:rPr>
          <w:rStyle w:val="Emphasis"/>
        </w:rPr>
        <w:t>calculated weighing</w:t>
      </w:r>
      <w:r w:rsidRPr="00230154">
        <w:rPr>
          <w:sz w:val="16"/>
        </w:rPr>
        <w:t>. In support of this perspective, the Supreme Court has affirmed the incentive objectives of intellectual property law in numerous opinions, recognizing the need to balance the incentives of protection against intellectual property rights "not inhibiting further discovery." 335</w:t>
      </w:r>
    </w:p>
    <w:p w14:paraId="0FFE19FB" w14:textId="77777777" w:rsidR="00B50C41" w:rsidRDefault="00B50C41" w:rsidP="00B50C41"/>
    <w:p w14:paraId="22377027" w14:textId="77777777" w:rsidR="00B50C41" w:rsidRDefault="00B50C41" w:rsidP="00B50C41">
      <w:pPr>
        <w:pStyle w:val="Heading4"/>
      </w:pPr>
      <w:r>
        <w:t>The agent of the plan determines solvency --- otherwise “doctrine creep”  causes inconsistent.</w:t>
      </w:r>
    </w:p>
    <w:p w14:paraId="43D643F6" w14:textId="77777777" w:rsidR="00B50C41" w:rsidRPr="00A92289" w:rsidRDefault="00B50C41" w:rsidP="00B50C41">
      <w:r>
        <w:t xml:space="preserve">Sherry </w:t>
      </w:r>
      <w:r w:rsidRPr="00A92289">
        <w:rPr>
          <w:rStyle w:val="Style13ptBold"/>
        </w:rPr>
        <w:t>Knowles</w:t>
      </w:r>
      <w:r>
        <w:t xml:space="preserve"> 8-27-20</w:t>
      </w:r>
      <w:r w:rsidRPr="00A92289">
        <w:rPr>
          <w:rStyle w:val="Style13ptBold"/>
        </w:rPr>
        <w:t>19</w:t>
      </w:r>
      <w:r>
        <w:t xml:space="preserve">, Sherry M. Knowles is an intellectual property attorney with 30 years of experience in global corporate and private practice, and is a member of the inaugural class of the IPWatchdog Masters™ Hall of Fame. Currently the Principal of Knowles Intellectual Property Strategies, Ms. Knowles was the Senior Vice President and Chief Patent Counsel at GlaxoSmithKline from 2006-2010, where she served as the worldwide head of patents for all litigation and transactional matters, and managed a global department of over 200 people in 12 offices. Ms. Knowles was Chair of the IP Subcommittee of PhRMA in 2008, and Chair Emeritus of the PhRMA IP Subcommittees in 2009 and 2010. “Damage to Our Patent System by Failure to Honor the U.S. Legal Framework: Double Patenting” [IP Watchdog] </w:t>
      </w:r>
      <w:hyperlink r:id="rId6" w:history="1">
        <w:r w:rsidRPr="00830C59">
          <w:rPr>
            <w:rStyle w:val="Hyperlink"/>
          </w:rPr>
          <w:t>https://ipwatchdog.com/2019/08/27/damage-patent-system-failure-honor-u-s-legal-framework-double-patenting/id=112629/</w:t>
        </w:r>
      </w:hyperlink>
      <w:r>
        <w:t xml:space="preserve"> /MDC</w:t>
      </w:r>
    </w:p>
    <w:p w14:paraId="0DFA0C43" w14:textId="77777777" w:rsidR="00B50C41" w:rsidRPr="00A92289" w:rsidRDefault="00B50C41" w:rsidP="00B50C41">
      <w:pPr>
        <w:rPr>
          <w:sz w:val="16"/>
        </w:rPr>
      </w:pPr>
      <w:r w:rsidRPr="00A92289">
        <w:rPr>
          <w:sz w:val="16"/>
        </w:rPr>
        <w:t>Harm to Inventors, Damage to the System</w:t>
      </w:r>
    </w:p>
    <w:p w14:paraId="4CB51C4A" w14:textId="77777777" w:rsidR="00B50C41" w:rsidRPr="00A92289" w:rsidRDefault="00B50C41" w:rsidP="00B50C41">
      <w:pPr>
        <w:rPr>
          <w:sz w:val="16"/>
        </w:rPr>
      </w:pPr>
      <w:r w:rsidRPr="00A92289">
        <w:rPr>
          <w:rStyle w:val="StyleUnderline"/>
        </w:rPr>
        <w:t>Where the U.S. Constitution grants sole authority to Congress to create law in an area, the U.S. Supreme Court is limited to statutory construction</w:t>
      </w:r>
      <w:r w:rsidRPr="00A92289">
        <w:rPr>
          <w:sz w:val="16"/>
        </w:rPr>
        <w:t>. “Judicially-created” obviousness-type double patenting by definition cannot be a reasonable interpretation of a statute because there is no statute on which it is based—hence the name “non-statutory”.</w:t>
      </w:r>
    </w:p>
    <w:p w14:paraId="5B0B1454" w14:textId="77777777" w:rsidR="00B50C41" w:rsidRPr="00A92289" w:rsidRDefault="00B50C41" w:rsidP="00B50C41">
      <w:pPr>
        <w:rPr>
          <w:sz w:val="16"/>
        </w:rPr>
      </w:pPr>
      <w:r w:rsidRPr="00A92289">
        <w:rPr>
          <w:sz w:val="16"/>
        </w:rPr>
        <w:t>The application of the “judicially created doctrine” on “non-statutory” obviousness-type double patenting harms innovators because to overcome the rejection, innovators must submit a Terminal Disclaimer that substantively affects patent ownership and any agreement to the Terminal Disclaimer runs with the patent and is binding on the grantee, its successors and assigns.</w:t>
      </w:r>
    </w:p>
    <w:p w14:paraId="5317C55D" w14:textId="77777777" w:rsidR="00B50C41" w:rsidRPr="00A92289" w:rsidRDefault="00B50C41" w:rsidP="00B50C41">
      <w:pPr>
        <w:rPr>
          <w:rStyle w:val="StyleUnderline"/>
        </w:rPr>
      </w:pPr>
      <w:r w:rsidRPr="00A92289">
        <w:rPr>
          <w:sz w:val="16"/>
        </w:rPr>
        <w:t xml:space="preserve">This post does not take any position on what the correct law of double patenting should be. This post is meant to highlight </w:t>
      </w:r>
      <w:r w:rsidRPr="00A92289">
        <w:rPr>
          <w:rStyle w:val="StyleUnderline"/>
        </w:rPr>
        <w:t>the damage caused to the system itself when the strict rules for the responsibility to create and enforce our laws as set out in the Constitution are not honored.</w:t>
      </w:r>
    </w:p>
    <w:p w14:paraId="51FB5B5F" w14:textId="77777777" w:rsidR="00B50C41" w:rsidRPr="00A92289" w:rsidRDefault="00B50C41" w:rsidP="00B50C41">
      <w:pPr>
        <w:rPr>
          <w:rStyle w:val="Emphasis"/>
        </w:rPr>
      </w:pPr>
      <w:r w:rsidRPr="00A92289">
        <w:rPr>
          <w:sz w:val="16"/>
        </w:rPr>
        <w:t xml:space="preserve">One of the biggest problems caused by </w:t>
      </w:r>
      <w:r w:rsidRPr="00A92289">
        <w:rPr>
          <w:rStyle w:val="StyleUnderline"/>
        </w:rPr>
        <w:t>the failure to honor the basic structure of our government is that we can’t put the toothpaste back in the tube</w:t>
      </w:r>
      <w:r w:rsidRPr="00A92289">
        <w:rPr>
          <w:sz w:val="16"/>
        </w:rPr>
        <w:t xml:space="preserve">. It has historically been the case that when courts change the law, it applies retroactively (often because the courts use the ruse that they are interpreting what the law always was, even when we know that isn’t the case and the new law causes a draconian change in how business is carried out). On the contrary, Congress cannot pass a statute (for example, a double-patenting statute) that retroactively enacts or ratifies a law or retroactively delegates past authority to the USPTO that didn’t previously exist. So, how can the lack of Constitutional and Congressional authority to create the double-patenting laws be fixed if the fix cannot apply retroactively to ratify years of application of unauthorized law? </w:t>
      </w:r>
      <w:r w:rsidRPr="00A92289">
        <w:rPr>
          <w:rStyle w:val="Emphasis"/>
        </w:rPr>
        <w:t>What a mess.</w:t>
      </w:r>
    </w:p>
    <w:p w14:paraId="32ED3C81" w14:textId="77777777" w:rsidR="00B50C41" w:rsidRPr="00A92289" w:rsidRDefault="00B50C41" w:rsidP="00B50C41">
      <w:pPr>
        <w:rPr>
          <w:sz w:val="16"/>
        </w:rPr>
      </w:pPr>
      <w:r w:rsidRPr="00A92289">
        <w:rPr>
          <w:sz w:val="16"/>
        </w:rPr>
        <w:t xml:space="preserve">The </w:t>
      </w:r>
      <w:r w:rsidRPr="00A92289">
        <w:rPr>
          <w:rStyle w:val="StyleUnderline"/>
        </w:rPr>
        <w:t xml:space="preserve">failure to honor the basic structure of our government in the area of patent law results in </w:t>
      </w:r>
      <w:r w:rsidRPr="00A92289">
        <w:rPr>
          <w:rStyle w:val="Emphasis"/>
        </w:rPr>
        <w:t>doctrine creep</w:t>
      </w:r>
      <w:r w:rsidRPr="00A92289">
        <w:rPr>
          <w:sz w:val="16"/>
        </w:rPr>
        <w:t xml:space="preserve">. In the 101 area, innovators are victims of doctrine creep whereby the Supreme Court has instructed federal courts to read into Section 101 judicially created exceptions and an inventive concept requirement, which, as Judge O’Malley points out, is a baffling standard that Congress removed when it amended the Patent Act in 1952. In the double patenting area, </w:t>
      </w:r>
      <w:r w:rsidRPr="00A92289">
        <w:rPr>
          <w:rStyle w:val="StyleUnderline"/>
        </w:rPr>
        <w:t>we find doctrine creep as the requirement slides from application only to directly overlapping claims</w:t>
      </w:r>
      <w:r w:rsidRPr="00A92289">
        <w:rPr>
          <w:sz w:val="16"/>
        </w:rPr>
        <w:t>, to application to claims that are held obvious over those in related patents, to claims rejected over claims in a related patent in combination with a third-party reference, and on it goes.</w:t>
      </w:r>
    </w:p>
    <w:p w14:paraId="5236F768" w14:textId="77777777" w:rsidR="00B50C41" w:rsidRPr="00A92289" w:rsidRDefault="00B50C41" w:rsidP="00B50C41">
      <w:pPr>
        <w:rPr>
          <w:sz w:val="16"/>
        </w:rPr>
      </w:pPr>
      <w:r w:rsidRPr="00A92289">
        <w:rPr>
          <w:sz w:val="16"/>
        </w:rPr>
        <w:t>We Must Get Back to the Blueprint</w:t>
      </w:r>
    </w:p>
    <w:p w14:paraId="21BE22C1" w14:textId="77777777" w:rsidR="00B50C41" w:rsidRPr="00A92289" w:rsidRDefault="00B50C41" w:rsidP="00B50C41">
      <w:pPr>
        <w:rPr>
          <w:sz w:val="16"/>
        </w:rPr>
      </w:pPr>
      <w:r w:rsidRPr="00A92289">
        <w:rPr>
          <w:rStyle w:val="StyleUnderline"/>
        </w:rPr>
        <w:t>When building a house, the construction team constantly refers to the blueprints</w:t>
      </w:r>
      <w:r w:rsidRPr="00A92289">
        <w:rPr>
          <w:sz w:val="16"/>
        </w:rPr>
        <w:t xml:space="preserve">. When deciding how to spend money at a company, the Board repeatedly refers back to the approved business plan to see if the spend is consistent. When manufacturing products, companies repeatedly check the specifications and design. So </w:t>
      </w:r>
      <w:r w:rsidRPr="00A92289">
        <w:rPr>
          <w:rStyle w:val="StyleUnderline"/>
        </w:rPr>
        <w:t>why is it verboten to strictly refer to the nation’s blueprint, the U.S. Constitution</w:t>
      </w:r>
      <w:r w:rsidRPr="00A92289">
        <w:rPr>
          <w:sz w:val="16"/>
        </w:rPr>
        <w:t xml:space="preserve">, to check to make sure the government is conducting itself according to the </w:t>
      </w:r>
      <w:r w:rsidRPr="00A92289">
        <w:rPr>
          <w:rStyle w:val="StyleUnderline"/>
        </w:rPr>
        <w:t>established balance of powers between the branches of government</w:t>
      </w:r>
      <w:r w:rsidRPr="00A92289">
        <w:rPr>
          <w:sz w:val="16"/>
        </w:rPr>
        <w:t xml:space="preserve"> when carrying out the country’s business? And why, for example, are the courts so comfortable applying tax code as written by Congress but not the patent code?</w:t>
      </w:r>
    </w:p>
    <w:p w14:paraId="16481504" w14:textId="77777777" w:rsidR="00B50C41" w:rsidRPr="00A92289" w:rsidRDefault="00B50C41" w:rsidP="00B50C41">
      <w:pPr>
        <w:rPr>
          <w:sz w:val="16"/>
        </w:rPr>
      </w:pPr>
      <w:r w:rsidRPr="00A92289">
        <w:rPr>
          <w:sz w:val="16"/>
        </w:rPr>
        <w:t>There are a range of views on the Constitution, from “originalist” to “living”. However, these range of views pertain to subtleties such as interpretation of wording when ratified versus today. Regardless of your proclivities on how to interpret words of the Constitution, these differences cannot rise to the very structure of government itself, or else we would have no framework. If the Constitutional structure of the government unambiguously grants power to only one branch of government to create law, that is neither subtle nor interpretable in different ways.</w:t>
      </w:r>
    </w:p>
    <w:p w14:paraId="152B91DC" w14:textId="77777777" w:rsidR="00B50C41" w:rsidRPr="00B50C41" w:rsidRDefault="00B50C41" w:rsidP="00B50C41"/>
    <w:p w14:paraId="0A35C894" w14:textId="77777777" w:rsidR="009E3DAF" w:rsidRDefault="009E3DAF"/>
    <w:p w14:paraId="7856C8E2" w14:textId="77777777" w:rsidR="009E3DAF" w:rsidRPr="009E3DAF" w:rsidRDefault="009E3DAF" w:rsidP="009E3DAF">
      <w:pPr>
        <w:pStyle w:val="Heading2"/>
      </w:pPr>
      <w:r w:rsidRPr="009E3DAF">
        <w:t>Neg---PTAB</w:t>
      </w:r>
    </w:p>
    <w:p w14:paraId="346573DF" w14:textId="77777777" w:rsidR="009E3DAF" w:rsidRPr="009E3DAF" w:rsidRDefault="009E3DAF" w:rsidP="009E3DAF">
      <w:pPr>
        <w:pStyle w:val="Heading3"/>
      </w:pPr>
      <w:r w:rsidRPr="009E3DAF">
        <w:t>Cant solve pharma</w:t>
      </w:r>
    </w:p>
    <w:p w14:paraId="331B0FE6" w14:textId="77777777" w:rsidR="009E3DAF" w:rsidRPr="009E3DAF" w:rsidRDefault="009E3DAF" w:rsidP="009E3DAF">
      <w:pPr>
        <w:pStyle w:val="Heading4"/>
      </w:pPr>
      <w:r w:rsidRPr="009E3DAF">
        <w:t>More patents don’t solve – Disease treatment is too risky for private companies to invest in</w:t>
      </w:r>
    </w:p>
    <w:p w14:paraId="303DB4E3" w14:textId="77777777" w:rsidR="009E3DAF" w:rsidRPr="009E3DAF" w:rsidRDefault="009E3DAF" w:rsidP="009E3DAF">
      <w:r w:rsidRPr="009E3DAF">
        <w:rPr>
          <w:b/>
        </w:rPr>
        <w:t>Readel 13,</w:t>
      </w:r>
      <w:r w:rsidRPr="009E3DAF">
        <w:t xml:space="preserve"> Anne Readel is a Patent Litigation Associate, Perkins Coie LLP; J.D., University of Wisconsin Law School 2012; Ph.D., University of Illinois, 2009; Knauss Marine Policy Fellow, 2007; B.S., University of Illinois, 2003, “FINDING A CURE: INCENTIVIZING PARTNERSHIPS BETWEEN DISEASE ADVOCACY GROUPS AND ACADEMIC AND COMMERCIAL RESEARCHERS,” x/x/2013, https://engagedscholarship.csuohio.edu/cgi/viewcontent.cgi?article=1342&amp;context=jlh</w:t>
      </w:r>
    </w:p>
    <w:p w14:paraId="4A512322" w14:textId="77777777" w:rsidR="009E3DAF" w:rsidRPr="009E3DAF" w:rsidRDefault="009E3DAF" w:rsidP="009E3DAF">
      <w:r w:rsidRPr="009E3DAF">
        <w:t>"</w:t>
      </w:r>
      <w:r w:rsidRPr="009E3DAF">
        <w:rPr>
          <w:u w:val="single"/>
        </w:rPr>
        <w:t>The unique and mutually beneficial partnership that led to</w:t>
      </w:r>
      <w:r w:rsidRPr="009E3DAF">
        <w:t xml:space="preserve"> the approval of </w:t>
      </w:r>
      <w:r w:rsidRPr="009E3DAF">
        <w:rPr>
          <w:u w:val="single"/>
        </w:rPr>
        <w:t>Kalydeco serves as a great model for what companies and patient groups can achieve if they collaborate on drug development</w:t>
      </w:r>
      <w:r w:rsidRPr="009E3DAF">
        <w:t xml:space="preserve">." 1 </w:t>
      </w:r>
      <w:r w:rsidRPr="009E3DAF">
        <w:rPr>
          <w:u w:val="single"/>
        </w:rPr>
        <w:t>In</w:t>
      </w:r>
      <w:r w:rsidRPr="009E3DAF">
        <w:t xml:space="preserve"> January </w:t>
      </w:r>
      <w:r w:rsidRPr="009E3DAF">
        <w:rPr>
          <w:u w:val="single"/>
        </w:rPr>
        <w:t>2012, the FDA approved a</w:t>
      </w:r>
      <w:r w:rsidRPr="009E3DAF">
        <w:t xml:space="preserve"> new </w:t>
      </w:r>
      <w:r w:rsidRPr="009E3DAF">
        <w:rPr>
          <w:u w:val="single"/>
        </w:rPr>
        <w:t>breakthrough drug for cystic fibrosis: Kalydeco</w:t>
      </w:r>
      <w:r w:rsidRPr="009E3DAF">
        <w:t xml:space="preserve"> (ivacaftor), </w:t>
      </w:r>
      <w:r w:rsidRPr="009E3DAF">
        <w:rPr>
          <w:u w:val="single"/>
        </w:rPr>
        <w:t>the first available drug that treats the cause</w:t>
      </w:r>
      <w:r w:rsidRPr="009E3DAF">
        <w:t xml:space="preserve"> and not just the symptoms </w:t>
      </w:r>
      <w:r w:rsidRPr="009E3DAF">
        <w:rPr>
          <w:u w:val="single"/>
        </w:rPr>
        <w:t>of cystic fibrosis</w:t>
      </w:r>
      <w:r w:rsidRPr="009E3DAF">
        <w:t xml:space="preserve">. 2 Cystic fibrosis is the most common fatal genetic disease among Caucasians, affecting approximately 30,000 people in the United States. 3 The average life expectancy for people with the disease is thirty-eight years. 4 [*287] While the gene that causes cystic fibrosis was discovered in 1989, 5 </w:t>
      </w:r>
      <w:r w:rsidRPr="009E3DAF">
        <w:rPr>
          <w:u w:val="single"/>
        </w:rPr>
        <w:t>it has taken over two decades and a unique collaboration to find a cure</w:t>
      </w:r>
      <w:r w:rsidRPr="009E3DAF">
        <w:t xml:space="preserve">. 6 </w:t>
      </w:r>
      <w:r w:rsidRPr="009E3DAF">
        <w:rPr>
          <w:u w:val="single"/>
        </w:rPr>
        <w:t>The collaboration that gave rise to this</w:t>
      </w:r>
      <w:r w:rsidRPr="009E3DAF">
        <w:t xml:space="preserve"> drug </w:t>
      </w:r>
      <w:r w:rsidRPr="009E3DAF">
        <w:rPr>
          <w:u w:val="single"/>
        </w:rPr>
        <w:t>discovery involved a partnership between a for-profit bioscience company</w:t>
      </w:r>
      <w:r w:rsidRPr="009E3DAF">
        <w:t xml:space="preserve">, Vertex Pharmaceuticals, </w:t>
      </w:r>
      <w:r w:rsidRPr="009E3DAF">
        <w:rPr>
          <w:u w:val="single"/>
        </w:rPr>
        <w:t>and a national nonprofit organization</w:t>
      </w:r>
      <w:r w:rsidRPr="009E3DAF">
        <w:t xml:space="preserve">, the Cystic Fibrosis Foundation. 7 </w:t>
      </w:r>
      <w:r w:rsidRPr="009E3DAF">
        <w:rPr>
          <w:u w:val="single"/>
        </w:rPr>
        <w:t>The impetus for this collaboration was simple: "the disease is prevalent enough to cause widespread pain, but too small for profit-minded bioscience companies to risk massive resources in pursuit of a cure</w:t>
      </w:r>
      <w:r w:rsidRPr="009E3DAF">
        <w:t xml:space="preserve">." 8 Thus, </w:t>
      </w:r>
      <w:r w:rsidRPr="009E3DAF">
        <w:rPr>
          <w:u w:val="single"/>
        </w:rPr>
        <w:t>the Foundation invested over $ 45 million</w:t>
      </w:r>
      <w:r w:rsidRPr="009E3DAF">
        <w:t xml:space="preserve"> into Vertex in 2000 </w:t>
      </w:r>
      <w:r w:rsidRPr="009E3DAF">
        <w:rPr>
          <w:u w:val="single"/>
        </w:rPr>
        <w:t>for research and development of a drug for the disease.</w:t>
      </w:r>
      <w:r w:rsidRPr="009E3DAF">
        <w:t xml:space="preserve"> 9 </w:t>
      </w:r>
      <w:r w:rsidRPr="009E3DAF">
        <w:rPr>
          <w:u w:val="single"/>
        </w:rPr>
        <w:t>This was "the largest grant of its kind by a nonprofit disease group</w:t>
      </w:r>
      <w:r w:rsidRPr="009E3DAF">
        <w:t xml:space="preserve">." 10 </w:t>
      </w:r>
      <w:r w:rsidRPr="009E3DAF">
        <w:rPr>
          <w:u w:val="single"/>
        </w:rPr>
        <w:t>By 2012, the Foundation</w:t>
      </w:r>
      <w:r w:rsidRPr="009E3DAF">
        <w:t xml:space="preserve"> had </w:t>
      </w:r>
      <w:r w:rsidRPr="009E3DAF">
        <w:rPr>
          <w:u w:val="single"/>
        </w:rPr>
        <w:t>awarded</w:t>
      </w:r>
      <w:r w:rsidRPr="009E3DAF">
        <w:t xml:space="preserve"> Vertex </w:t>
      </w:r>
      <w:r w:rsidRPr="009E3DAF">
        <w:rPr>
          <w:u w:val="single"/>
        </w:rPr>
        <w:t>over $ 75 million in funding</w:t>
      </w:r>
      <w:r w:rsidRPr="009E3DAF">
        <w:t xml:space="preserve"> 11 </w:t>
      </w:r>
      <w:r w:rsidRPr="009E3DAF">
        <w:rPr>
          <w:u w:val="single"/>
        </w:rPr>
        <w:t>and has invested $ 260 million in drug development since the mid-1990s.</w:t>
      </w:r>
      <w:r w:rsidRPr="009E3DAF">
        <w:t xml:space="preserve"> 12 </w:t>
      </w:r>
      <w:r w:rsidRPr="009E3DAF">
        <w:rPr>
          <w:u w:val="single"/>
        </w:rPr>
        <w:t>When the</w:t>
      </w:r>
      <w:r w:rsidRPr="009E3DAF">
        <w:t xml:space="preserve"> Cystic Fibrosis </w:t>
      </w:r>
      <w:r w:rsidRPr="009E3DAF">
        <w:rPr>
          <w:u w:val="single"/>
        </w:rPr>
        <w:t xml:space="preserve">Foundation made its initial investment, </w:t>
      </w:r>
      <w:r w:rsidRPr="009E3DAF">
        <w:t>such</w:t>
      </w:r>
      <w:r w:rsidRPr="009E3DAF">
        <w:rPr>
          <w:u w:val="single"/>
        </w:rPr>
        <w:t xml:space="preserve"> "venture philanthropy" was uncommon</w:t>
      </w:r>
      <w:r w:rsidRPr="009E3DAF">
        <w:t xml:space="preserve">. 13 As the chief executive, Robert Beall, told one reporter, it was "the biggest gamble I ever made." 14 </w:t>
      </w:r>
      <w:r w:rsidRPr="009E3DAF">
        <w:rPr>
          <w:u w:val="single"/>
        </w:rPr>
        <w:t>Today</w:t>
      </w:r>
      <w:r w:rsidRPr="009E3DAF">
        <w:t xml:space="preserve">, however, </w:t>
      </w:r>
      <w:r w:rsidRPr="009E3DAF">
        <w:rPr>
          <w:u w:val="single"/>
        </w:rPr>
        <w:t xml:space="preserve">such partnerships are becoming more common. </w:t>
      </w:r>
      <w:r w:rsidRPr="009E3DAF">
        <w:t>15 In 2008, U.S. disease foundations [*288] invested approximately $ 90 million into for-profit companies for drug development. 16 This was thirteen times more than was invested in 2000. 17</w:t>
      </w:r>
    </w:p>
    <w:p w14:paraId="25BDB1CF" w14:textId="77777777" w:rsidR="009E3DAF" w:rsidRPr="009E3DAF" w:rsidRDefault="009E3DAF" w:rsidP="009E3DAF"/>
    <w:p w14:paraId="795B1F99" w14:textId="77777777" w:rsidR="009E3DAF" w:rsidRPr="009E3DAF" w:rsidRDefault="009E3DAF" w:rsidP="009E3DAF">
      <w:pPr>
        <w:pStyle w:val="Heading4"/>
      </w:pPr>
      <w:r w:rsidRPr="009E3DAF">
        <w:t>Big Pharma – they don’t innovate – more big pharma patents means LESS medical innovation, turns case</w:t>
      </w:r>
    </w:p>
    <w:p w14:paraId="37D822C6" w14:textId="77777777" w:rsidR="009E3DAF" w:rsidRPr="009E3DAF" w:rsidRDefault="009E3DAF" w:rsidP="009E3DAF">
      <w:r w:rsidRPr="009E3DAF">
        <w:rPr>
          <w:b/>
        </w:rPr>
        <w:t>Jung et al 19,</w:t>
      </w:r>
      <w:r w:rsidRPr="009E3DAF">
        <w:t xml:space="preserve"> Emily H. Jung is a medical student at Emory School of Medicine and a former research assistant at the PORTAL in the Division of Pharmacoepidemiology and Pharmacoeconomics at Brigham and Women’s Hospital. Alfred Engelberg, J.D., is a retired pharmaceutical intellectual property attorney and philanthropist. Aaron S. Kesselheim, M.D., is a professor of medicine at Harvard Medical School and director of PORTAL, “Do large pharma companies provide drug development innovation? Our analysis says no,” 12/10/2019, https://www.statnews.com/2019/12/10/large-pharma-companies-provide-little-new-drug-development-innovation/</w:t>
      </w:r>
    </w:p>
    <w:p w14:paraId="79BAD8DF" w14:textId="77777777" w:rsidR="009E3DAF" w:rsidRPr="009E3DAF" w:rsidRDefault="009E3DAF" w:rsidP="009E3DAF">
      <w:r w:rsidRPr="009E3DAF">
        <w:rPr>
          <w:u w:val="single"/>
        </w:rPr>
        <w:t>Large pharma</w:t>
      </w:r>
      <w:r w:rsidRPr="009E3DAF">
        <w:t xml:space="preserve">ceutical </w:t>
      </w:r>
      <w:r w:rsidRPr="009E3DAF">
        <w:rPr>
          <w:u w:val="single"/>
        </w:rPr>
        <w:t>companies oppose legislation</w:t>
      </w:r>
      <w:r w:rsidRPr="009E3DAF">
        <w:t xml:space="preserve"> being considered by Congress </w:t>
      </w:r>
      <w:r w:rsidRPr="009E3DAF">
        <w:rPr>
          <w:u w:val="single"/>
        </w:rPr>
        <w:t>to lower the prices of prescription drugs. Reducing their revenues, they contend, will reduce their investment in drug development and the discovery of new medicines, and thus lead to a decline in drug innovation. If that</w:t>
      </w:r>
      <w:r w:rsidRPr="009E3DAF">
        <w:t xml:space="preserve"> argument </w:t>
      </w:r>
      <w:r w:rsidRPr="009E3DAF">
        <w:rPr>
          <w:u w:val="single"/>
        </w:rPr>
        <w:t>is credible, there should be evidence</w:t>
      </w:r>
      <w:r w:rsidRPr="009E3DAF">
        <w:t xml:space="preserve"> to show that the </w:t>
      </w:r>
      <w:r w:rsidRPr="009E3DAF">
        <w:rPr>
          <w:u w:val="single"/>
        </w:rPr>
        <w:t xml:space="preserve">large pharmaceutical companies are responsible for discovering innovative new drugs. </w:t>
      </w:r>
      <w:r w:rsidRPr="009E3DAF">
        <w:t xml:space="preserve">To test that claim, </w:t>
      </w:r>
      <w:r w:rsidRPr="009E3DAF">
        <w:rPr>
          <w:u w:val="single"/>
        </w:rPr>
        <w:t>we examined the provenance of the highest-selling prescription medicines of Pfizer and Johnson &amp; Johnson</w:t>
      </w:r>
      <w:r w:rsidRPr="009E3DAF">
        <w:t xml:space="preserve">, the two largest pharmaceutical and biotechnology companies in 2018. We found that </w:t>
      </w:r>
      <w:r w:rsidRPr="009E3DAF">
        <w:rPr>
          <w:u w:val="single"/>
        </w:rPr>
        <w:t>these large pharmaceutical companies did not actually invent most of the drugs they sell.</w:t>
      </w:r>
      <w:r w:rsidRPr="009E3DAF">
        <w:t xml:space="preserve"> Indeed, </w:t>
      </w:r>
      <w:r w:rsidRPr="009E3DAF">
        <w:rPr>
          <w:u w:val="single"/>
        </w:rPr>
        <w:t xml:space="preserve">it appears they have already reduced their investment in the discovery of new medicines to the point where the threat of additional reductions rings hollow and is no longer a persuasive reason for opposing legislation to lower drug prices. Pfizer’s and J&amp;J’s </w:t>
      </w:r>
      <w:r w:rsidRPr="009E3DAF">
        <w:t>annual</w:t>
      </w:r>
      <w:r w:rsidRPr="009E3DAF">
        <w:rPr>
          <w:u w:val="single"/>
        </w:rPr>
        <w:t xml:space="preserve"> reports identify the medications that account for most of each company’s sales of prescription drugs.</w:t>
      </w:r>
      <w:r w:rsidRPr="009E3DAF">
        <w:t xml:space="preserve"> We gathered information on the discovery and early development of these products from peer-reviewed publications, media reports, and company press releases. We scoured the companies’ 2017 annual reports. A total of 62 products — 44 from Pfizer and 18 from J&amp;J — were listed in them. </w:t>
      </w:r>
      <w:r w:rsidRPr="009E3DAF">
        <w:rPr>
          <w:u w:val="single"/>
        </w:rPr>
        <w:t>The discovery and early development work were conducted in house for just 10 of Pfizer’s 44 products (23%),</w:t>
      </w:r>
      <w:r w:rsidRPr="009E3DAF">
        <w:t xml:space="preserve"> as listed in Table 1. </w:t>
      </w:r>
      <w:r w:rsidRPr="009E3DAF">
        <w:rPr>
          <w:u w:val="single"/>
        </w:rPr>
        <w:t>Only two of J&amp;J’s 18 leading products (11%) were discovered in house</w:t>
      </w:r>
      <w:r w:rsidRPr="009E3DAF">
        <w:t xml:space="preserve">, as shown in Table 2. For example, sildenafil, the phosphodiesterase inhibitor that is the active compound in the erectile dysfunction drug Viagra and the pulmonary hypertension drug Revatio, was synthesized at Pfizer in the 1980s, originally as a cardiovascular medicine. Research leading to the development of risperidone (Risperdal), one of several newer-generation atypical antipsychotic drugs, began at J&amp;J in the 1980s. </w:t>
      </w:r>
      <w:r w:rsidRPr="009E3DAF">
        <w:rPr>
          <w:u w:val="single"/>
        </w:rPr>
        <w:t>The majority (81%) of other products were discovered and initially developed by third parties.</w:t>
      </w:r>
      <w:r w:rsidRPr="009E3DAF">
        <w:t xml:space="preserve"> Some of them came to Pfizer and J&amp;J from the acquisition of other pharmaceutical companies. For example, Pfizer’s highest-selling product, Prevnar 13, a vaccine for pneumococcal disease, was developed at Wyeth, which Pfizer acquired in 2009. Pfizer’s palbociclib (Ibrance), used to treat breast cancer, had its origins at Warner-Lambert and Onyx Pharmaceuticals. J&amp;J’s rivaroxaban (Xarelto), an anticoagulant, originated at Bayer. Research leading to the discovery and development of other Pfizer and J&amp;J drugs originated in universities and academic centers. J</w:t>
      </w:r>
      <w:r w:rsidRPr="009E3DAF">
        <w:rPr>
          <w:u w:val="single"/>
        </w:rPr>
        <w:t>&amp;J’s highest-selling product</w:t>
      </w:r>
      <w:r w:rsidRPr="009E3DAF">
        <w:t xml:space="preserve">, infliximab (Remicade), </w:t>
      </w:r>
      <w:r w:rsidRPr="009E3DAF">
        <w:rPr>
          <w:u w:val="single"/>
        </w:rPr>
        <w:t>is a monoclonal antibody that was synthesized by researchers at New York University in 1989</w:t>
      </w:r>
      <w:r w:rsidRPr="009E3DAF">
        <w:t xml:space="preserve"> in collaboration with the biotechnology company Centocor. The original work showing its efficacy in rheumatoid arthritis was led by Marc Feldmann and Ravinder Maini at Imperial College London.</w:t>
      </w:r>
    </w:p>
    <w:p w14:paraId="101EE624" w14:textId="77777777" w:rsidR="009E3DAF" w:rsidRPr="009E3DAF" w:rsidRDefault="009E3DAF" w:rsidP="009E3DAF">
      <w:pPr>
        <w:rPr>
          <w:u w:val="single"/>
        </w:rPr>
      </w:pPr>
    </w:p>
    <w:p w14:paraId="0C6FA1C3" w14:textId="77777777" w:rsidR="009E3DAF" w:rsidRPr="009E3DAF" w:rsidRDefault="009E3DAF" w:rsidP="009E3DAF">
      <w:pPr>
        <w:pStyle w:val="Heading4"/>
      </w:pPr>
      <w:r w:rsidRPr="009E3DAF">
        <w:t>Most drug funding comes from the government</w:t>
      </w:r>
    </w:p>
    <w:p w14:paraId="319D6F89" w14:textId="77777777" w:rsidR="009E3DAF" w:rsidRPr="009E3DAF" w:rsidRDefault="009E3DAF" w:rsidP="009E3DAF">
      <w:r w:rsidRPr="009E3DAF">
        <w:rPr>
          <w:b/>
        </w:rPr>
        <w:t>Sampat 21,</w:t>
      </w:r>
      <w:r w:rsidRPr="009E3DAF">
        <w:t xml:space="preserve"> Bhaven N. Sampat, Ph.D., M.Phil., M.A., is an Associate Professor at Columbia University and Research Associate, National Bureau of Economic Research, “The Government and Pharmaceutical Innovation: Looking Back and Looking Ahead,” Spring 2021, DOI: 10.1017/jme.2021.3</w:t>
      </w:r>
    </w:p>
    <w:p w14:paraId="7FCCAF5C" w14:textId="77777777" w:rsidR="009E3DAF" w:rsidRPr="009E3DAF" w:rsidRDefault="009E3DAF" w:rsidP="009E3DAF">
      <w:r w:rsidRPr="009E3DAF">
        <w:t xml:space="preserve">. </w:t>
      </w:r>
      <w:r w:rsidRPr="009E3DAF">
        <w:rPr>
          <w:u w:val="single"/>
        </w:rPr>
        <w:t>One strand of research examines who funds what</w:t>
      </w:r>
      <w:r w:rsidRPr="009E3DAF">
        <w:t xml:space="preserve">. The most comprehensive research on funding suggests that </w:t>
      </w:r>
      <w:r w:rsidRPr="009E3DAF">
        <w:rPr>
          <w:u w:val="single"/>
        </w:rPr>
        <w:t>the U.S. government</w:t>
      </w:r>
      <w:r w:rsidRPr="009E3DAF">
        <w:t xml:space="preserve">, primarily through the National Institutes of Health (NIH), </w:t>
      </w:r>
      <w:r w:rsidRPr="009E3DAF">
        <w:rPr>
          <w:u w:val="single"/>
        </w:rPr>
        <w:t>provides about one-third of total U.S. biomedical research funding, pharmaceutical and biotechnology companies about 50 percent, with the medical device industry, state and local governments, and foundations accounting for the rest</w:t>
      </w:r>
      <w:r w:rsidRPr="009E3DAF">
        <w:t xml:space="preserve">. 18 However, there is a rough division of labor, with the vast majority of pharmaceutical R&amp;D focused on clinical research, and the majority of NIH funding focused on "basic" research. . Cross-industry firm surveys consistently suggest stronger linkages between public sector and private sector research activities in pharmaceuticals than in other sectors. 19 In the largest such survey, Cohen and colleagues suggest that in the drug industry </w:t>
      </w:r>
      <w:r w:rsidRPr="009E3DAF">
        <w:rPr>
          <w:u w:val="single"/>
        </w:rPr>
        <w:t>41 percent of R&amp;D projects used research findings from the public sector, 35 percent instruments and techniques from public science, and 12 percent were based on prototypes from public sector research</w:t>
      </w:r>
      <w:r w:rsidRPr="009E3DAF">
        <w:t xml:space="preserve">. 20 Overall, the </w:t>
      </w:r>
      <w:r w:rsidRPr="009E3DAF">
        <w:rPr>
          <w:u w:val="single"/>
        </w:rPr>
        <w:t>surveys suggest a larger enabling role for the public sector in drugs than other industries</w:t>
      </w:r>
      <w:r w:rsidRPr="009E3DAF">
        <w:t xml:space="preserve">, though only 10-15 percent of projects are based directly on public sector research, or build on public sector prototypes. . Another approach uses detailed case studies of important drugs to assess, through histories and/ or interviews, the role of the public sector. 21 Each of these studies suggests </w:t>
      </w:r>
      <w:r w:rsidRPr="009E3DAF">
        <w:rPr>
          <w:u w:val="single"/>
        </w:rPr>
        <w:t>the public sector has a role in the vast majority of important drugs</w:t>
      </w:r>
      <w:r w:rsidRPr="009E3DAF">
        <w:t xml:space="preserve">. However, very rarely is the public or private sector solely responsible. . </w:t>
      </w:r>
      <w:r w:rsidRPr="009E3DAF">
        <w:rPr>
          <w:u w:val="single"/>
        </w:rPr>
        <w:t>Analyses of drugs' key patents suggest that the public sector did enough work to obtain a patent associated with the final product</w:t>
      </w:r>
      <w:r w:rsidRPr="009E3DAF">
        <w:t xml:space="preserve"> (listed on the FDA's Orange Book, see below) </w:t>
      </w:r>
      <w:r w:rsidRPr="009E3DAF">
        <w:rPr>
          <w:u w:val="single"/>
        </w:rPr>
        <w:t>for about 20 percent of "important" drugs</w:t>
      </w:r>
      <w:r w:rsidRPr="009E3DAF">
        <w:t xml:space="preserve">. 22 This "direct" role of the public sector in principle can be traced through government interest statements which must list any government grants or contracts directly supporting the research on the invention. 23 . Bibliometric analyses tracing publication inputs for FDA approved drugs 24 and publications cited in the patents on FDA approved drugs 25 suggest that </w:t>
      </w:r>
      <w:r w:rsidRPr="009E3DAF">
        <w:rPr>
          <w:u w:val="single"/>
        </w:rPr>
        <w:t xml:space="preserve">nearly all important drugs have publication links to NIH or other government funded research. </w:t>
      </w:r>
      <w:r w:rsidRPr="009E3DAF">
        <w:t xml:space="preserve">. Econometric </w:t>
      </w:r>
      <w:r w:rsidRPr="009E3DAF">
        <w:rPr>
          <w:u w:val="single"/>
        </w:rPr>
        <w:t>analyses relating variation in NIH funding to drug development suggest a statistically significant increase in drugs in trials</w:t>
      </w:r>
      <w:r w:rsidRPr="009E3DAF">
        <w:t xml:space="preserve"> 26 </w:t>
      </w:r>
      <w:r w:rsidRPr="009E3DAF">
        <w:rPr>
          <w:u w:val="single"/>
        </w:rPr>
        <w:t>and approved drugs</w:t>
      </w:r>
      <w:r w:rsidRPr="009E3DAF">
        <w:t xml:space="preserve"> 27 following increases in NIH funding in the relevant area.</w:t>
      </w:r>
    </w:p>
    <w:p w14:paraId="6A705F65" w14:textId="77777777" w:rsidR="009E3DAF" w:rsidRPr="009E3DAF" w:rsidRDefault="009E3DAF" w:rsidP="009E3DAF">
      <w:pPr>
        <w:pStyle w:val="Heading2"/>
      </w:pPr>
      <w:r w:rsidRPr="009E3DAF">
        <w:t>Neg---Green Patents</w:t>
      </w:r>
    </w:p>
    <w:p w14:paraId="74089302" w14:textId="77777777" w:rsidR="009E3DAF" w:rsidRPr="009E3DAF" w:rsidRDefault="009E3DAF" w:rsidP="009E3DAF">
      <w:pPr>
        <w:pStyle w:val="Heading3"/>
      </w:pPr>
      <w:r w:rsidRPr="009E3DAF">
        <w:t>Innovation can’t solve</w:t>
      </w:r>
    </w:p>
    <w:p w14:paraId="07FCB475" w14:textId="77777777" w:rsidR="009E3DAF" w:rsidRPr="009E3DAF" w:rsidRDefault="009E3DAF" w:rsidP="009E3DAF">
      <w:pPr>
        <w:pStyle w:val="Heading4"/>
      </w:pPr>
      <w:r w:rsidRPr="009E3DAF">
        <w:t>Innovation is too slow and unreliable to solve climate change</w:t>
      </w:r>
    </w:p>
    <w:p w14:paraId="04A3A262" w14:textId="77777777" w:rsidR="009E3DAF" w:rsidRPr="009E3DAF" w:rsidRDefault="009E3DAF" w:rsidP="009E3DAF">
      <w:r w:rsidRPr="009E3DAF">
        <w:rPr>
          <w:b/>
        </w:rPr>
        <w:t>Foley 24,</w:t>
      </w:r>
      <w:r w:rsidRPr="009E3DAF">
        <w:t xml:space="preserve"> Jonathan Foley is a renowned environmental scientist, sustainability expert and the director of Project Drawdown, the world’s leading resource for climate solutions, “New tech won’t save us from climate change. Here’s what will,” 3/30/2024, https://www.sciencefocus.com/nature/climate-change-tech-solution</w:t>
      </w:r>
    </w:p>
    <w:p w14:paraId="14992DB8" w14:textId="77777777" w:rsidR="009E3DAF" w:rsidRDefault="009E3DAF" w:rsidP="009E3DAF">
      <w:r w:rsidRPr="009E3DAF">
        <w:rPr>
          <w:u w:val="single"/>
        </w:rPr>
        <w:t>The fundamental reason high-tech solutions won’t save us from climate change is simple: time. Time is by far the most important variable</w:t>
      </w:r>
      <w:r w:rsidRPr="009E3DAF">
        <w:t xml:space="preserve"> – and </w:t>
      </w:r>
      <w:r w:rsidRPr="009E3DAF">
        <w:rPr>
          <w:u w:val="single"/>
        </w:rPr>
        <w:t>the one thing technology can’t give us more of. Climate change is a cumulative problem. The warming we see now is caused by the year-by-year</w:t>
      </w:r>
      <w:r w:rsidRPr="009E3DAF">
        <w:t xml:space="preserve">, decade-by-decade </w:t>
      </w:r>
      <w:r w:rsidRPr="009E3DAF">
        <w:rPr>
          <w:u w:val="single"/>
        </w:rPr>
        <w:t>build-up of greenhouse gas pollution in Earth’s atmosphere. The severe climate disruptions of 2023</w:t>
      </w:r>
      <w:r w:rsidRPr="009E3DAF">
        <w:t xml:space="preserve"> – the </w:t>
      </w:r>
      <w:r w:rsidRPr="009E3DAF">
        <w:rPr>
          <w:u w:val="single"/>
        </w:rPr>
        <w:t xml:space="preserve">record temperatures, storms, fires and other disasters – weren’t caused by 2023’s emissions alone. Nor were they caused by those of 2022. They were caused by our long-term, cumulative emissions, building up over many, many years. </w:t>
      </w:r>
      <w:r w:rsidRPr="009E3DAF">
        <w:t xml:space="preserve">Over the past several decades </w:t>
      </w:r>
      <w:r w:rsidRPr="009E3DAF">
        <w:rPr>
          <w:u w:val="single"/>
        </w:rPr>
        <w:t>we’ve been emitting a lot of greenhouse gases</w:t>
      </w:r>
      <w:r w:rsidRPr="009E3DAF">
        <w:t xml:space="preserve"> – tens of billions of tonnes each year, adding up to a staggering amount of pollution dumped into the atmosphere. </w:t>
      </w:r>
      <w:r w:rsidRPr="009E3DAF">
        <w:rPr>
          <w:u w:val="single"/>
        </w:rPr>
        <w:t>The cumulative impact of that pollution has fundamentally changed our atmosphere and climate system. The longer we keep emitting greenhouse gases, the more this pollution builds up in the atmosphere, and the more climate heating it causes. It’s a process that effectively locks in warmer temperatures on our planet for thousands of years to come. The only solution is to stop polluting as quickly (and as safely and equitably) as possible. To avoid the</w:t>
      </w:r>
      <w:r w:rsidRPr="009E3DAF">
        <w:t xml:space="preserve"> worst </w:t>
      </w:r>
      <w:r w:rsidRPr="009E3DAF">
        <w:rPr>
          <w:u w:val="single"/>
        </w:rPr>
        <w:t>outcomes of climate change, we need to start lowering our emissions immediately. By cutting emissions now</w:t>
      </w:r>
      <w:r w:rsidRPr="009E3DAF">
        <w:t xml:space="preserve">, and continuing to cut them in each consecutive year, </w:t>
      </w:r>
      <w:r w:rsidRPr="009E3DAF">
        <w:rPr>
          <w:u w:val="single"/>
        </w:rPr>
        <w:t>we can reduce the future impacts of climate change. Every tonne of greenhouse gases we don’t emit, starting today, will help reduce the amount of warming we’ll see. Every tonne matters</w:t>
      </w:r>
      <w:r w:rsidRPr="009E3DAF">
        <w:t xml:space="preserve">. Every year matters. Solutions today for saving tomorrow That’s why we need to focus on the solutions we already have. Despite what some think, climate solutions are already here. In fact, today’s climate solutions are abundant, whether they’re achieving huge gains in efficiency, reducing food waste, deforestation, and other destructive processes, electrifying our homes and vehicles, plugging methane leaks in oil and gas, or switching to zero-carbon energy sources. My organisation, Drawdown, is the world’s leading resource for learning more. Better yet, we should focus more attention on the fastest ‘emergency break’ climate solutions that have an immediate impact on the atmosphere, quickly helping drive down emissions. The top such measures include stopping deforestation (which accounts for about 11 per cent of global emissions – more than the entire US economy), curbing methane emissions (which have a disproportionately fast impact on climate), and cutting energy, food and industrial waste as rapidly as possible. These fast-acting climate solutions can buy us time for other tactics – building new power-generation systems, transmission lines, energy-efficient buildings and transportation infrastructure – to kick in. The worst possible thing we can do is wait, hoping that a new, ‘better’ solution will arrive to solve the problem. Waiting means we continue to spew pollution into the atmosphere, locking in more warming. Waiting is the enemy of climate action. At the COP28 conference in November, Bill Gates once again told the world that we can’t solve the worst of the climate crisis with the technologies we have now. But that’s not really true. We can – it’s just that some of </w:t>
      </w:r>
      <w:r w:rsidRPr="009E3DAF">
        <w:rPr>
          <w:u w:val="single"/>
        </w:rPr>
        <w:t xml:space="preserve">these solutions are inconvenient or expensive. </w:t>
      </w:r>
      <w:r w:rsidRPr="009E3DAF">
        <w:t>For the most part</w:t>
      </w:r>
      <w:r w:rsidRPr="009E3DAF">
        <w:rPr>
          <w:u w:val="single"/>
        </w:rPr>
        <w:t xml:space="preserve">, we have the tools we need. What we don’t have, is time. That’s why we shouldn’t wait for new technologies. </w:t>
      </w:r>
      <w:r w:rsidRPr="009E3DAF">
        <w:t xml:space="preserve">Fusion's for the future </w:t>
      </w:r>
      <w:r w:rsidRPr="009E3DAF">
        <w:rPr>
          <w:u w:val="single"/>
        </w:rPr>
        <w:t>We shouldn’t wait for fusion</w:t>
      </w:r>
      <w:r w:rsidRPr="009E3DAF">
        <w:t xml:space="preserve">. Government research into fusion energy has been going on since the 1950s, with little of substance to show for it. </w:t>
      </w:r>
      <w:r w:rsidRPr="009E3DAF">
        <w:rPr>
          <w:u w:val="single"/>
        </w:rPr>
        <w:t>Despite</w:t>
      </w:r>
      <w:r w:rsidRPr="009E3DAF">
        <w:t xml:space="preserve"> rosy hype, </w:t>
      </w:r>
      <w:r w:rsidRPr="009E3DAF">
        <w:rPr>
          <w:u w:val="single"/>
        </w:rPr>
        <w:t>decades of effort and billions spent, we’re still many years away from a commercial energy source.</w:t>
      </w:r>
      <w:r w:rsidRPr="009E3DAF">
        <w:t xml:space="preserve"> As the wry saying goes: fusion energy is 20 years away… and it always will be. </w:t>
      </w:r>
      <w:r w:rsidRPr="009E3DAF">
        <w:rPr>
          <w:u w:val="single"/>
        </w:rPr>
        <w:t>We shouldn’t wait for advanced nuclear power</w:t>
      </w:r>
      <w:r w:rsidRPr="009E3DAF">
        <w:t xml:space="preserve">, either. </w:t>
      </w:r>
      <w:r w:rsidRPr="009E3DAF">
        <w:rPr>
          <w:u w:val="single"/>
        </w:rPr>
        <w:t>Nuclear energy generation is stagnating across much of the world, hit by lengthy delays and cost overruns</w:t>
      </w:r>
      <w:r w:rsidRPr="009E3DAF">
        <w:t xml:space="preserve">. Promises of better, cheaper, faster, safer nuclear power plants, repeated over decades, have never been met. The last hyped-up technology, the Small Modular Reactor, has recently faced embarrassing delays and failures, casting doubt on the commercial rollout of this technology. And we shouldn’t wait for industrial carbon capture techniques. </w:t>
      </w:r>
      <w:r w:rsidRPr="009E3DAF">
        <w:rPr>
          <w:u w:val="single"/>
        </w:rPr>
        <w:t>After decades of work and tens of billions of dollars spent, such technology is still incredibly ineffective at removing carbon dioxide from the atmosphere. Projects are still laughably small, wildly expensive and consume massive amounts of energy that would be better used elsewhere. It’s unlikely that these technologies will make any real dent in the atmosphere for decades to come, if ever. Their only use</w:t>
      </w:r>
      <w:r w:rsidRPr="009E3DAF">
        <w:t xml:space="preserve">, so far, </w:t>
      </w:r>
      <w:r w:rsidRPr="009E3DAF">
        <w:rPr>
          <w:u w:val="single"/>
        </w:rPr>
        <w:t xml:space="preserve">is as a PR fig leaf for fossil fuel companies. </w:t>
      </w:r>
      <w:r w:rsidRPr="009E3DAF">
        <w:t xml:space="preserve">In the race against climate change, it’s quite simple: </w:t>
      </w:r>
      <w:r w:rsidRPr="009E3DAF">
        <w:rPr>
          <w:u w:val="single"/>
        </w:rPr>
        <w:t>time is more important than tech. Wishing and waiting for solutions that may never come is exactly the wrong thing to do</w:t>
      </w:r>
      <w:r w:rsidRPr="009E3DAF">
        <w:t>. So, for now, we must stop dreaming about being Captain Kirk or Doctor Who, and start deploying the tools that are available now.</w:t>
      </w:r>
    </w:p>
    <w:p w14:paraId="038ACB37" w14:textId="77777777" w:rsidR="0023799E" w:rsidRDefault="0023799E" w:rsidP="009E3DAF"/>
    <w:p w14:paraId="28159285" w14:textId="77777777" w:rsidR="0023799E" w:rsidRDefault="0023799E" w:rsidP="0023799E">
      <w:pPr>
        <w:pStyle w:val="Heading3"/>
      </w:pPr>
      <w:r>
        <w:t>1NC --- L --- Cap</w:t>
      </w:r>
    </w:p>
    <w:p w14:paraId="5EA2C63E" w14:textId="77777777" w:rsidR="0023799E" w:rsidRPr="003C724B" w:rsidRDefault="0023799E" w:rsidP="0023799E">
      <w:pPr>
        <w:pStyle w:val="Heading4"/>
      </w:pPr>
      <w:r>
        <w:t>Fascism is accelerating – only coordinated, communist movements solve</w:t>
      </w:r>
    </w:p>
    <w:p w14:paraId="259C0EC5" w14:textId="77777777" w:rsidR="0023799E" w:rsidRPr="003C724B" w:rsidRDefault="0023799E" w:rsidP="0023799E">
      <w:pPr>
        <w:rPr>
          <w:rStyle w:val="Style13ptBold"/>
        </w:rPr>
      </w:pPr>
      <w:r>
        <w:rPr>
          <w:rStyle w:val="Style13ptBold"/>
        </w:rPr>
        <w:t xml:space="preserve">Escalante 19 </w:t>
      </w:r>
      <w:r w:rsidRPr="00D760BF">
        <w:t>Escalante is a Marxist-Leninist, Materialist Feminist and Anti-Imperialist activist.</w:t>
      </w:r>
      <w:r>
        <w:t xml:space="preserve"> (Alyson, “Truth and Practice: The Marxist Theory of Knowledge”, </w:t>
      </w:r>
      <w:r>
        <w:rPr>
          <w:i/>
          <w:iCs/>
        </w:rPr>
        <w:t xml:space="preserve">Failing That, Invent, </w:t>
      </w:r>
      <w:r>
        <w:t xml:space="preserve">09-10-2019, </w:t>
      </w:r>
      <w:hyperlink r:id="rId7" w:history="1">
        <w:r w:rsidRPr="009D354F">
          <w:rPr>
            <w:rStyle w:val="Hyperlink"/>
          </w:rPr>
          <w:t>https://web.archive.org/web/20190910040756/https://failingthatinvent.home.blog/2019/09/08/truth-and-practic-the-marxist-theory-of-knowledge/</w:t>
        </w:r>
      </w:hyperlink>
      <w:r>
        <w:t xml:space="preserve">, DOA: 7/16/24)//LFS – LMH </w:t>
      </w:r>
    </w:p>
    <w:p w14:paraId="6EEF51A9" w14:textId="77777777" w:rsidR="0023799E" w:rsidRPr="003C724B" w:rsidRDefault="0023799E" w:rsidP="0023799E">
      <w:pPr>
        <w:rPr>
          <w:rFonts w:cs="Times New Roman"/>
          <w:u w:val="single"/>
        </w:rPr>
      </w:pPr>
      <w:r w:rsidRPr="003C724B">
        <w:rPr>
          <w:u w:val="single"/>
        </w:rPr>
        <w:t>The world we live in today is in a dire state. Climate destruction continues at a fast pace, and every with every passing day, capitalism proves itself to be incapable of addressing this. Capitalist production and its endless drive for resources to match artificial market demands has created a climate crisis that leaves us on the brink of potential extinction.</w:t>
      </w:r>
      <w:r w:rsidRPr="003C724B">
        <w:rPr>
          <w:rFonts w:cs="Times New Roman"/>
          <w:u w:val="single"/>
        </w:rPr>
        <w:t xml:space="preserve"> </w:t>
      </w:r>
      <w:r w:rsidRPr="003C724B">
        <w:rPr>
          <w:u w:val="single"/>
        </w:rPr>
        <w:t>Governments around the world are turning to far right and fascist leaders to assuage their fears of an uncertain future, and the most marginalized and oppressed suffer because of it. Fascism is on the rise, and history tells us very clearly what that can result in without opposition.</w:t>
      </w:r>
      <w:r w:rsidRPr="003C724B">
        <w:rPr>
          <w:rFonts w:cs="Times New Roman"/>
          <w:u w:val="single"/>
        </w:rPr>
        <w:t xml:space="preserve"> </w:t>
      </w:r>
      <w:r w:rsidRPr="003C724B">
        <w:rPr>
          <w:u w:val="single"/>
        </w:rPr>
        <w:t>The decaying US empire continues to lash out in violence across the globe in a desperate attempt to re-assert its power and hegemony. Whole countries are destroyed in its desperate bids for more fossil fuels. The world burns from America’s white phosphorus weaponry</w:t>
      </w:r>
      <w:r>
        <w:t>.</w:t>
      </w:r>
      <w:r>
        <w:rPr>
          <w:rFonts w:cs="Times New Roman"/>
        </w:rPr>
        <w:t xml:space="preserve"> </w:t>
      </w:r>
      <w:r>
        <w:t>The need for a revolutionary movement capable of replacing capitalism with something better has never been so clear. The choice between socialism or barbarism has never been so stark. More and more people are starting to realize that reform cannot save us, that capitalism and imperialism themselves are the problem, and that we must unite and band together to fight for a better world.</w:t>
      </w:r>
      <w:r>
        <w:rPr>
          <w:rFonts w:cs="Times New Roman"/>
        </w:rPr>
        <w:t xml:space="preserve"> </w:t>
      </w:r>
      <w:r>
        <w:t xml:space="preserve">The question then is: how will we know what strategies, what tactics, and what ideas to unite around? </w:t>
      </w:r>
      <w:r w:rsidRPr="003C724B">
        <w:rPr>
          <w:u w:val="single"/>
        </w:rPr>
        <w:t>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r w:rsidRPr="003C724B">
        <w:rPr>
          <w:rFonts w:cs="Times New Roman"/>
          <w:u w:val="single"/>
        </w:rPr>
        <w:t xml:space="preserve"> </w:t>
      </w:r>
      <w:r w:rsidRPr="003C724B">
        <w:rPr>
          <w:u w:val="single"/>
        </w:rPr>
        <w:t>The masses do not want to embrace defeat, they want to know how to fight back. Marxism can provide the tools necessary to engage in that fight.</w:t>
      </w:r>
      <w:r w:rsidRPr="003C724B">
        <w:rPr>
          <w:rFonts w:cs="Times New Roman"/>
          <w:u w:val="single"/>
        </w:rPr>
        <w:t xml:space="preserve"> </w:t>
      </w:r>
      <w:r w:rsidRPr="003C724B">
        <w:rPr>
          <w:u w:val="single"/>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r w:rsidRPr="003C724B">
        <w:rPr>
          <w:rFonts w:cs="Times New Roman"/>
          <w:u w:val="single"/>
        </w:rPr>
        <w:t xml:space="preserve"> </w:t>
      </w:r>
      <w:r w:rsidRPr="003C724B">
        <w:rPr>
          <w:u w:val="single"/>
        </w:rPr>
        <w:t xml:space="preserve">There will be no victory for the workers of the world without the ability to wield a revolutionary science. </w:t>
      </w:r>
      <w:r>
        <w:t xml:space="preserve">What is at stake in questions of Marxist epistemology is the very possibility of creating a philosophical and scientific basis for revolution. We must defend this possibility. </w:t>
      </w:r>
      <w:r w:rsidRPr="003C724B">
        <w:rPr>
          <w:u w:val="single"/>
        </w:rPr>
        <w:t>We must defend the scientific status of Marxism, and must insist on the possibility of victory.</w:t>
      </w:r>
    </w:p>
    <w:p w14:paraId="6E1CC624" w14:textId="77777777" w:rsidR="0023799E" w:rsidRPr="00402941" w:rsidRDefault="0023799E" w:rsidP="0023799E"/>
    <w:p w14:paraId="60EA35C2" w14:textId="77777777" w:rsidR="0023799E" w:rsidRDefault="0023799E" w:rsidP="0023799E">
      <w:pPr>
        <w:pStyle w:val="Heading3"/>
      </w:pPr>
      <w:r>
        <w:t>1NC --- Alt --- Cap</w:t>
      </w:r>
    </w:p>
    <w:p w14:paraId="141D35DC" w14:textId="77777777" w:rsidR="0023799E" w:rsidRPr="00D760BF" w:rsidRDefault="0023799E" w:rsidP="0023799E">
      <w:pPr>
        <w:pStyle w:val="Heading4"/>
      </w:pPr>
      <w:r>
        <w:t xml:space="preserve">The alternative is a </w:t>
      </w:r>
      <w:r w:rsidRPr="00D760BF">
        <w:rPr>
          <w:u w:val="single"/>
        </w:rPr>
        <w:t>dual-power strategy</w:t>
      </w:r>
      <w:r>
        <w:t xml:space="preserve"> of base building that affirms a model of the communist party!</w:t>
      </w:r>
    </w:p>
    <w:p w14:paraId="3FA7FF5B" w14:textId="77777777" w:rsidR="0023799E" w:rsidRPr="00D760BF" w:rsidRDefault="0023799E" w:rsidP="0023799E">
      <w:r>
        <w:rPr>
          <w:rStyle w:val="Style13ptBold"/>
        </w:rPr>
        <w:t xml:space="preserve">Escalante 18 </w:t>
      </w:r>
      <w:r w:rsidRPr="00D760BF">
        <w:t>Escalante is a Marxist-Leninist, Materialist Feminist and Anti-Imperialist activist.</w:t>
      </w:r>
      <w:r>
        <w:t xml:space="preserve"> (Alyson, “Party Organizing in the 21t Century”, </w:t>
      </w:r>
      <w:r>
        <w:rPr>
          <w:i/>
          <w:iCs/>
        </w:rPr>
        <w:t xml:space="preserve">The Forge News, </w:t>
      </w:r>
      <w:r>
        <w:t xml:space="preserve">10-21-2018, </w:t>
      </w:r>
      <w:hyperlink r:id="rId8" w:history="1">
        <w:r w:rsidRPr="009D354F">
          <w:rPr>
            <w:rStyle w:val="Hyperlink"/>
          </w:rPr>
          <w:t>https://theforgenews.org/2018/09/21/party-organizing-in-the-21st-century/</w:t>
        </w:r>
      </w:hyperlink>
      <w:r>
        <w:t xml:space="preserve">, DOA: 7/15/24)//LFS – LMH </w:t>
      </w:r>
    </w:p>
    <w:p w14:paraId="2AFC1602" w14:textId="77777777" w:rsidR="0023799E" w:rsidRPr="00D760BF" w:rsidRDefault="0023799E" w:rsidP="0023799E">
      <w:r w:rsidRPr="00D760BF">
        <w:rPr>
          <w:u w:val="single"/>
        </w:rPr>
        <w:t>The Need For A</w:t>
      </w:r>
      <w:r w:rsidRPr="004508AF">
        <w:rPr>
          <w:u w:val="single"/>
        </w:rPr>
        <w:t xml:space="preserve"> </w:t>
      </w:r>
      <w:r w:rsidRPr="00D760BF">
        <w:rPr>
          <w:u w:val="single"/>
        </w:rPr>
        <w:t>Party:</w:t>
      </w:r>
      <w:r w:rsidRPr="004508AF">
        <w:rPr>
          <w:u w:val="single"/>
        </w:rPr>
        <w:t xml:space="preserve"> </w:t>
      </w:r>
      <w:r w:rsidRPr="00D760BF">
        <w:rPr>
          <w:u w:val="single"/>
        </w:rPr>
        <w:t>I would argue that within the base building movement, there is a move towards party organizing, but this trend has not always been explicitly theorized or forwarded within the movement.</w:t>
      </w:r>
      <w:r w:rsidRPr="004508AF">
        <w:rPr>
          <w:u w:val="single"/>
        </w:rPr>
        <w:t xml:space="preserve"> </w:t>
      </w:r>
      <w:r w:rsidRPr="00D760BF">
        <w:rPr>
          <w:u w:val="single"/>
        </w:rPr>
        <w:t>My goal in this essay is to argue that base building and dual power strategy can be best forwarded through party organizing, and that party organizing can allow this emerging movement to solidify into a powerful revolutionary socialist tendency in the United Stat</w:t>
      </w:r>
      <w:r w:rsidRPr="00D760BF">
        <w:t>es.</w:t>
      </w:r>
      <w:r>
        <w:t xml:space="preserve"> </w:t>
      </w:r>
      <w:r w:rsidRPr="00D760BF">
        <w:t xml:space="preserve">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A century of anticommunist propaganda has been extremely effective in convincing even the most oppressed and marginalized that communism has nothing to offer them.</w:t>
      </w:r>
      <w:r w:rsidRPr="004508AF">
        <w:rPr>
          <w:u w:val="single"/>
        </w:rPr>
        <w:t xml:space="preserve"> </w:t>
      </w:r>
      <w:r w:rsidRPr="00D760BF">
        <w:rPr>
          <w:u w:val="single"/>
        </w:rPr>
        <w:t>The base building emphasis on dual power responds directly to this insight. By building institutions which can meet people’s needs, we are able to concretely demonstrate that communists can offer the oppressed relief from the horrific conditions of capitalism.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D760BF">
        <w:t>.</w:t>
      </w:r>
      <w:r>
        <w:t xml:space="preserve"> </w:t>
      </w:r>
      <w:r w:rsidRPr="00D760BF">
        <w:t>The question, of course, remains: once we have built a base of popular support, what do we do next? If it turns out that establishing socialist institutions to meet people’s needs does in fact create sympathy towards the cause of communism, how can we mobilize that base?</w:t>
      </w:r>
      <w:r>
        <w:t xml:space="preserve"> </w:t>
      </w:r>
      <w:r w:rsidRPr="00D760BF">
        <w:rPr>
          <w:u w:val="single"/>
        </w:rPr>
        <w:t>Put simply: in order to mobilize the base which base builders hope to create, we need to have already done the work of building a communist party. It is not enough to simply meet peoples needs.</w:t>
      </w:r>
      <w:r w:rsidRPr="00D760BF">
        <w:t xml:space="preserve"> </w:t>
      </w:r>
      <w:r w:rsidRPr="00D760BF">
        <w:rPr>
          <w:u w:val="single"/>
        </w:rPr>
        <w:t>Rather, we must build the institutions of dual power in the name of communism. We must refuse covert front organizing and instead have a public face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in order to make this clear we must adopt party organizing.</w:t>
      </w:r>
      <w:r w:rsidRPr="004508AF">
        <w:rPr>
          <w:u w:val="single"/>
        </w:rPr>
        <w:t xml:space="preserve"> </w:t>
      </w:r>
      <w:r w:rsidRPr="00D760BF">
        <w:rPr>
          <w:u w:val="single"/>
        </w:rPr>
        <w:t>By “party organizing” I mean an organizational strategy which adopts the party model.</w:t>
      </w:r>
      <w:r w:rsidRPr="00D760BF">
        <w:t xml:space="preserve"> Such organizing focuses on building a party whose membership is formally unified around a party line determined by democratic centralist decision making. </w:t>
      </w:r>
      <w:r w:rsidRPr="00D760BF">
        <w:rPr>
          <w:u w:val="single"/>
        </w:rPr>
        <w:t>The party model creates internal methods for holding party members accountable, unifying party member action around democratically determined goals, and for educating party members in communist theory and praxis.</w:t>
      </w:r>
      <w:r w:rsidRPr="00D760BF">
        <w:t xml:space="preserve"> </w:t>
      </w:r>
      <w:r w:rsidRPr="00D760BF">
        <w:rPr>
          <w:u w:val="single"/>
        </w:rPr>
        <w:t>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w:t>
      </w:r>
      <w:r w:rsidRPr="004508AF">
        <w:rPr>
          <w:u w:val="single"/>
        </w:rPr>
        <w:t xml:space="preserve"> </w:t>
      </w:r>
      <w:r w:rsidRPr="00D760BF">
        <w:rPr>
          <w:u w:val="single"/>
        </w:rPr>
        <w:t>Party organizing has much to offer the base building movement. By working in a unified party, base builders can ensure that local struggles are tied to and informed by a unified national and international strategy.</w:t>
      </w:r>
      <w:r w:rsidRPr="00D760BF">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w:t>
      </w:r>
      <w:r>
        <w:t xml:space="preserve"> </w:t>
      </w:r>
      <w:r w:rsidRPr="00D760BF">
        <w:rPr>
          <w:u w:val="single"/>
        </w:rPr>
        <w:t>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each others strategies and to help correct chauvinist ideas and actions. In the context of the socialist movement within the United States, such accountability is crucial</w:t>
      </w:r>
      <w:r w:rsidRPr="00D760BF">
        <w:t xml:space="preserve">. As a movement which operates within a settler colonial society, imperialist and colonial ideal frequently infect leftist organizing. </w:t>
      </w:r>
      <w:r w:rsidRPr="00D760BF">
        <w:rPr>
          <w:u w:val="single"/>
        </w:rPr>
        <w:t>Creating formal unity and party procedure for dealing with and correcting these ideas allows us to address these consistent problems within American socialist organizing.</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D760BF">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It ensures that there are formal processes for educating communities in communist theory and praxis, and also enables them to act and organize in accordance with their own local conditions.</w:t>
      </w:r>
      <w:r w:rsidRPr="004508AF">
        <w:rPr>
          <w:u w:val="single"/>
        </w:rPr>
        <w:t xml:space="preserve"> </w:t>
      </w:r>
      <w:r w:rsidRPr="00D760BF">
        <w:rPr>
          <w:u w:val="single"/>
        </w:rPr>
        <w:t>We also must recognize that the current state of the base building movement precludes the possibility of such a national unified party in the present moment.</w:t>
      </w:r>
      <w:r w:rsidRPr="00D760BF">
        <w:t xml:space="preserve">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w:t>
      </w:r>
      <w:r>
        <w:t xml:space="preserve"> </w:t>
      </w:r>
      <w:r w:rsidRPr="00D760BF">
        <w:t xml:space="preserve">What is important for base builders to focus on in the current moment is building dual power on a local level alongside building a national movement. </w:t>
      </w:r>
      <w:r w:rsidRPr="00D760BF">
        <w:rPr>
          <w:u w:val="single"/>
        </w:rPr>
        <w:t xml:space="preserve">This means aspiring towards the possibility of a unified party, while pursuing continued local growth. </w:t>
      </w:r>
      <w:r w:rsidRPr="00D760BF">
        <w:t xml:space="preserve">The movement within the Marxist Center network towards some form of unification is positive step in the right direction. The independent party emphasis within the Refoundation caucus should also be recognized as a positive approach. </w:t>
      </w:r>
      <w:r w:rsidRPr="00D760BF">
        <w:rPr>
          <w:u w:val="single"/>
        </w:rPr>
        <w:t>It is important for base builders to continue to explore the possibility of unification, and to maintain unification through a party model as a long term goal.</w:t>
      </w:r>
      <w:r w:rsidRPr="004508AF">
        <w:rPr>
          <w:u w:val="single"/>
        </w:rPr>
        <w:t xml:space="preserve"> </w:t>
      </w:r>
      <w:r w:rsidRPr="00D760BF">
        <w:rPr>
          <w:u w:val="single"/>
        </w:rPr>
        <w:t>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w:t>
      </w:r>
      <w:r w:rsidRPr="00D760BF">
        <w:t xml:space="preserve">. </w:t>
      </w:r>
      <w:r w:rsidRPr="00D760BF">
        <w:rPr>
          <w:u w:val="single"/>
        </w:rPr>
        <w:t>The party model remains the most useful method for achieving these ends.</w:t>
      </w:r>
      <w:r w:rsidRPr="008628E8">
        <w:rPr>
          <w:u w:val="single"/>
        </w:rPr>
        <w:t xml:space="preserve"> </w:t>
      </w:r>
      <w:r w:rsidRPr="00D760BF">
        <w:rPr>
          <w:u w:val="single"/>
        </w:rPr>
        <w:t>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w:t>
      </w:r>
      <w:r w:rsidRPr="008628E8">
        <w:rPr>
          <w:u w:val="single"/>
        </w:rPr>
        <w:t xml:space="preserve"> </w:t>
      </w:r>
      <w:r w:rsidRPr="00D760BF">
        <w:rPr>
          <w:u w:val="single"/>
        </w:rPr>
        <w:t>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w:t>
      </w:r>
      <w:r w:rsidRPr="00D760BF">
        <w:t>.</w:t>
      </w:r>
      <w:r>
        <w:t xml:space="preserve"> </w:t>
      </w:r>
      <w:r w:rsidRPr="00D760BF">
        <w:t xml:space="preserve">Many of the already existing organizations within the base building movement already operate according to these principles. I do not mean to suggest otherwise. Rather, </w:t>
      </w:r>
      <w:r w:rsidRPr="00D760BF">
        <w:rPr>
          <w:u w:val="single"/>
        </w:rPr>
        <w:t>my hope is to suggest that we ought to be explicit about the need for party organizing and emphasize the relationship between dual power and the party model.</w:t>
      </w:r>
      <w:r w:rsidRPr="00D760BF">
        <w:t xml:space="preserve"> </w:t>
      </w:r>
      <w:r w:rsidRPr="00D760BF">
        <w:rPr>
          <w:u w:val="single"/>
        </w:rPr>
        <w:t>Doing so will make it clear that the base building movement is not pursuing a cooperative economy alongside capitalism, but is pursuing a revolutionary socialist strategy capable of fighting capitalism</w:t>
      </w:r>
      <w:r w:rsidRPr="00D760BF">
        <w:t>.</w:t>
      </w:r>
      <w:r>
        <w:t xml:space="preserve"> </w:t>
      </w:r>
      <w:r w:rsidRPr="00D760BF">
        <w:t>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The finer details of revolutionary strategy will be worked out over time and are not a good subject for public discussion.</w:t>
      </w:r>
      <w:r>
        <w:t xml:space="preserve"> </w:t>
      </w:r>
      <w:r w:rsidRPr="00D760BF">
        <w:t xml:space="preserve">I strongly believe party organizing offers the best path for ensuring that such strategy will succeed. My goal here is not to dictate the only possible path forward but to open a conversation about how </w:t>
      </w:r>
      <w:r w:rsidRPr="00D760BF">
        <w:rPr>
          <w:u w:val="single"/>
        </w:rPr>
        <w:t>the base building movement will organize as it transitions from a loose network of individual organizations into a unified socialist tendency.</w:t>
      </w:r>
      <w:r w:rsidRPr="00D760BF">
        <w:t xml:space="preserve"> These discussions and debates will be crucial to ensuring that this rapidly growing movement can succeed.</w:t>
      </w:r>
    </w:p>
    <w:p w14:paraId="23E51D4D" w14:textId="77777777" w:rsidR="0023799E" w:rsidRPr="00D760BF" w:rsidRDefault="0023799E" w:rsidP="0023799E"/>
    <w:p w14:paraId="27A1CCE5" w14:textId="77777777" w:rsidR="0023799E" w:rsidRPr="00413138" w:rsidRDefault="0023799E" w:rsidP="0023799E"/>
    <w:p w14:paraId="3DD0D6C4" w14:textId="77777777" w:rsidR="0023799E" w:rsidRDefault="0023799E" w:rsidP="0023799E">
      <w:pPr>
        <w:pStyle w:val="Heading3"/>
      </w:pPr>
      <w:r>
        <w:t>1NC --- L --- SetCol</w:t>
      </w:r>
    </w:p>
    <w:p w14:paraId="0FCBE54A" w14:textId="77777777" w:rsidR="0023799E" w:rsidRPr="009D3E07" w:rsidRDefault="0023799E" w:rsidP="0023799E">
      <w:pPr>
        <w:pStyle w:val="Heading4"/>
      </w:pPr>
      <w:r>
        <w:t>Youth resistance against methods of coloniality is key to bringing attention to issues – specifically the performance aspect – and the methods of ‘green’ coloniality harm indigenous people most – the alternative is place-based land pedagogy to teach people where the land came from and the relationship between that and the case</w:t>
      </w:r>
    </w:p>
    <w:p w14:paraId="1C27F152" w14:textId="77777777" w:rsidR="0023799E" w:rsidRPr="009D3E07" w:rsidRDefault="0023799E" w:rsidP="0023799E">
      <w:r>
        <w:rPr>
          <w:rStyle w:val="Style13ptBold"/>
        </w:rPr>
        <w:t xml:space="preserve">Yang 14 </w:t>
      </w:r>
      <w:r w:rsidRPr="009D3E07">
        <w:t>Yang is a professor and scholar of community organizing, critical pedagogy, and Indigenous and decolonizing studies. He is a professor of ethnic studies at the University of California, San Diego and Provost of John Muir College.</w:t>
      </w:r>
      <w:r>
        <w:t xml:space="preserve"> (K. Wayne, “A ghetto land pedagogy: an antidote for settler environmentalism”, </w:t>
      </w:r>
      <w:r>
        <w:rPr>
          <w:i/>
          <w:iCs/>
        </w:rPr>
        <w:t xml:space="preserve">Environmental Education Research, </w:t>
      </w:r>
      <w:r>
        <w:t xml:space="preserve">02-05-2014, accessed via University of Michigan Library System, DOA: 7/15/24)//LFS – LMH </w:t>
      </w:r>
    </w:p>
    <w:p w14:paraId="43619B6C" w14:textId="77777777" w:rsidR="0023799E" w:rsidRPr="004C568E" w:rsidRDefault="0023799E" w:rsidP="0023799E">
      <w:pPr>
        <w:rPr>
          <w:u w:val="single"/>
        </w:rPr>
      </w:pPr>
      <w:r>
        <w:t xml:space="preserve">However, they drew from their own experiences with the poor service provided to the poorer communities of color, away from downtown, by AC Transit. Some excerpted talk follows below: Zola: </w:t>
      </w:r>
      <w:r w:rsidRPr="008628E8">
        <w:rPr>
          <w:u w:val="single"/>
        </w:rPr>
        <w:t>The bus takes hell of fucking long. You are stuck on this bus that smells like shit and … They make us pay hella money everyday and walk on, get on their bus. …</w:t>
      </w:r>
      <w:r>
        <w:t xml:space="preserve"> Marcus: By where I live … the 64, the 64 doesn’t run on the weekend. … Zola: I don’t like County Transit. Why do they want to increase the thing to San Francisco? … We already got BART!5 </w:t>
      </w:r>
      <w:r w:rsidRPr="008628E8">
        <w:rPr>
          <w:u w:val="single"/>
        </w:rPr>
        <w:t>As they deliberated, they grew increasingly angry about the narrowly conceived options before them, and the obvious directive to vote in favor of the host of alternative transportation reforms</w:t>
      </w:r>
      <w:r>
        <w:t>. They shifted their performance into a satire of how government policy meets the needs of people with privilege and in power. Amber</w:t>
      </w:r>
      <w:r w:rsidRPr="008628E8">
        <w:rPr>
          <w:u w:val="single"/>
        </w:rPr>
        <w:t xml:space="preserve">: I’m gonna say sorry, but we all need new offices downtown so screw you guys. </w:t>
      </w:r>
      <w:r>
        <w:t xml:space="preserve">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w:t>
      </w:r>
      <w:r w:rsidRPr="008628E8">
        <w:rPr>
          <w:u w:val="single"/>
        </w:rPr>
        <w:t>So we never really cared about your situation, it’s nothing personal</w:t>
      </w:r>
      <w:r>
        <w:t xml:space="preserve"> … Paul (a student not on the board, representing AC Transit): You’re ugly Marcus: </w:t>
      </w:r>
      <w:r w:rsidRPr="008628E8">
        <w:rPr>
          <w:u w:val="single"/>
        </w:rPr>
        <w:t xml:space="preserve">We’re all Republicans, Paul. We don’t really care about your issues </w:t>
      </w:r>
      <w:r>
        <w:t>so – Hanifa: So we chose what was best for us and Freeway Corp is what’s most beneficial. Paul and other students: New board! New board! Instructor: That’s the first time that’s happened. Board: [laugh</w:t>
      </w:r>
      <w:r w:rsidRPr="008628E8">
        <w:rPr>
          <w:u w:val="single"/>
        </w:rPr>
        <w:t>] Learning from youth resistance moves us away from individualizing the critique to the guest instructors’ teaching ability and cultural competency. Rather, youth resistance reveals key differences between what Keeling (2007) terms a ‘ghettocentric commonsense’ and commonsense environmentalism.</w:t>
      </w:r>
      <w:r>
        <w:t xml:space="preserve"> The youth did not dispute the ecological advantages of bike lanes and public transportation. Environmental Education Research 119 However, </w:t>
      </w:r>
      <w:r w:rsidRPr="008628E8">
        <w:rPr>
          <w:u w:val="single"/>
        </w:rPr>
        <w:t>they understood ghetto colonialism from a lived perspective, specifically how city planning has always disposed of poor communities of color.</w:t>
      </w:r>
      <w:r>
        <w:t xml:space="preserve"> Bike lanes and buses, not to mention BART,6 falsely promised a ‘public’ transportation system because they worked differently for white7 cosmopolitans than for ghettoized peoples. Further, the youth detected the metanarrative within the lesson’s cartography of Oakland’s places and peoples. Downtown matters. Commuters count. Indeed, this urban ecology unit invited students to participate in their own disappearance: lend your voice to fixing the ghetto wasteland by paving bikeways and funding rapid commuter lines for the cosmopolitan citizen. By contrast, </w:t>
      </w:r>
      <w:r w:rsidRPr="004C568E">
        <w:rPr>
          <w:u w:val="single"/>
        </w:rPr>
        <w:t>the students’ comments reflected everyday tales of dispossession within the very solutions of public infrastructure meant to ‘repair’ the ghetto wasteland. Youth rejected the settler environmentalist moral through a parody of power. They pulled out the meat ax, and pointed at it with glee</w:t>
      </w:r>
      <w:r>
        <w:t>. We never really cared about your situation. You are just people in the way</w:t>
      </w:r>
      <w:r w:rsidRPr="004C568E">
        <w:rPr>
          <w:u w:val="single"/>
        </w:rPr>
        <w:t>. Their performance foreshadowed a future reality.</w:t>
      </w:r>
      <w:r>
        <w:t xml:space="preserve"> A few years later, then-</w:t>
      </w:r>
      <w:r w:rsidRPr="004C568E">
        <w:rPr>
          <w:u w:val="single"/>
        </w:rPr>
        <w:t xml:space="preserve">Mayor Jerry Brown would successfully redevelop downtown Oakland into expensive lofts and condos. When pressed on the costs of gentrification, he replied that Oakland had ‘discriminated’ far too long against middle and upper middle class people. </w:t>
      </w:r>
      <w:r>
        <w:t xml:space="preserve">The commuter bus would be extended to SF, and bike lanes put in place. </w:t>
      </w:r>
      <w:r w:rsidRPr="004C568E">
        <w:rPr>
          <w:u w:val="single"/>
        </w:rPr>
        <w:t>Youth indeed began to disappear – from over 50,000 to fewer than 40,000 school-age youth in five years</w:t>
      </w:r>
      <w:r>
        <w:t xml:space="preserve">. Despite developments toward a greener city, urban youth and their communities would not fare any better. </w:t>
      </w:r>
      <w:r w:rsidRPr="004C568E">
        <w:rPr>
          <w:u w:val="single"/>
        </w:rPr>
        <w:t>Urban educators have few tools for engaging settler colonialism because terra sacer often under-girds environmental education in urban schools.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w:t>
      </w:r>
      <w:r>
        <w:t xml:space="preserve">. Despite their social justice intentions, and their ecological truths, when strung together, </w:t>
      </w:r>
      <w:r w:rsidRPr="004C568E">
        <w:rPr>
          <w:u w:val="single"/>
        </w:rPr>
        <w:t>such pedagogies concerning US ghettos contain a settler colonial teleology.</w:t>
      </w:r>
      <w:r>
        <w:t xml:space="preserve"> Pain curriculum8 highlights, legitimately, the disproportionate toxification of air, soil and water in poor, urban, communities of color. </w:t>
      </w:r>
      <w:r w:rsidRPr="004C568E">
        <w:rPr>
          <w:u w:val="single"/>
        </w:rPr>
        <w:t xml:space="preserve">However, reducing ghettos to pain-filled sites of environmental toxicity in need of salvation, echo the settler colonial logics of terra sacer – wasteland whose inhabitants lack the liberal capitalist insights and technological know-how to properly occupy a city. Rescue curriculum follows logically from pain curriculum. It presents green solutions in the form of urban gardens, recycling, clean fuels, etc. It leans explicitly on green technologies and implicitly on the technologies of government. </w:t>
      </w:r>
      <w:r>
        <w:t xml:space="preserve">The hidden curriculum of rescue naturalizes city planning, urban redevelopment, and deghetto-fication as inevitable remedies for pain. </w:t>
      </w:r>
      <w:r w:rsidRPr="004C568E">
        <w:rPr>
          <w:u w:val="single"/>
        </w:rPr>
        <w:t>It positions ghettoized communities as wards under settler colonial sovereignty. Rescue curriculum promotes green cities, a wealth of green consumption through which the multicultural cosmopolitan citizen earns his/her/our right to be the nouveau settler.</w:t>
      </w:r>
      <w:r>
        <w:t xml:space="preserve"> Enter place-based curriculum. </w:t>
      </w:r>
      <w:r w:rsidRPr="004C568E">
        <w:rPr>
          <w:u w:val="single"/>
        </w:rPr>
        <w:t>Place-based curriculum helps write the master narrative of future, green, metropolitan neo-colonies. Often inclusive, multicultural, and celebratory, such curriculum highlights the urban as a place of diversity, flavored by communities of color. (And wouldn’t you like to live here too?) Claiming the urban as a contact zone or multicultural home – whether by people of color, or by white 120 L. Paperson people – violently erases Indigenous understandings of that land and place. If Native people are mentioned at all, they are almost always only as a premodern population who were pleasantly ‘one with nature,’ or ecological Indians so few in number that the ecological settler becomes a ‘good neighbor’ or benevolent reinhabitant.</w:t>
      </w:r>
      <w:r>
        <w:t xml:space="preserve"> Such a representation inscribes settler colonialism as a done deal, renders urban Native youth as inauthentic Indians, and denies contemporary Native relationships to urban land and place (Friedel 2011). </w:t>
      </w:r>
      <w:r w:rsidRPr="004C568E">
        <w:rPr>
          <w:u w:val="single"/>
        </w:rPr>
        <w:t>The hidden curriculum of place-based pedagogy lies in its teleology. Native people used to live here. White people settled here; they fled. People of color replaced white people; they suffer. Coming up, the multicultural cosmopolitan citizen will replace people of color. When the Great American City is finally built, all the white people will be colorful, and all the colored people will be gone.</w:t>
      </w:r>
    </w:p>
    <w:p w14:paraId="129466C3" w14:textId="77777777" w:rsidR="0023799E" w:rsidRPr="009D3E07" w:rsidRDefault="0023799E" w:rsidP="0023799E">
      <w:pPr>
        <w:pStyle w:val="Heading4"/>
      </w:pPr>
      <w:r>
        <w:t>‘decolonize oakland’ is a good method of comparison towards decolonial movements – decolonization forces self-interrogation of thought and recognition that land is more than a place to occupy</w:t>
      </w:r>
    </w:p>
    <w:p w14:paraId="62370939" w14:textId="77777777" w:rsidR="0023799E" w:rsidRDefault="0023799E" w:rsidP="0023799E">
      <w:r>
        <w:rPr>
          <w:rStyle w:val="Style13ptBold"/>
        </w:rPr>
        <w:t xml:space="preserve">Yang 14 </w:t>
      </w:r>
      <w:r w:rsidRPr="009D3E07">
        <w:t>Yang is a professor and scholar of community organizing, critical pedagogy, and Indigenous and decolonizing studies. He is a professor of ethnic studies at the University of California, San Diego and Provost of John Muir College.</w:t>
      </w:r>
      <w:r>
        <w:t xml:space="preserve"> (K. Wayne, “A ghetto land pedagogy: an antidote for settler environmentalism”, </w:t>
      </w:r>
      <w:r>
        <w:rPr>
          <w:i/>
          <w:iCs/>
        </w:rPr>
        <w:t xml:space="preserve">Environmental Education Research, </w:t>
      </w:r>
      <w:r>
        <w:t xml:space="preserve">02-05-2014, accessed via University of Michigan Library System, DOA: 7/15/24)//LFS – LMH </w:t>
      </w:r>
    </w:p>
    <w:p w14:paraId="7469CD5C" w14:textId="77777777" w:rsidR="0023799E" w:rsidRDefault="0023799E" w:rsidP="0023799E">
      <w:r>
        <w:t xml:space="preserve">Occupy, no there there what was the use of my having come from Oakland it was not natural to have come from there yes write about it if I like or anything if I like but not there, there is no there. (Stein 1993, 298) </w:t>
      </w:r>
      <w:r w:rsidRPr="004C568E">
        <w:rPr>
          <w:u w:val="single"/>
        </w:rPr>
        <w:t>There was an occupation</w:t>
      </w:r>
      <w:r>
        <w:t xml:space="preserve">. (Stein 1997, 32) </w:t>
      </w:r>
      <w:r w:rsidRPr="004C568E">
        <w:rPr>
          <w:u w:val="single"/>
        </w:rPr>
        <w:t>Settler environmentalism describes efforts to redeem the settler as ecological, often focusing on settler identity and belonging through tropes of Indigenous appropriations – returning to the wildman or demigoddess, claiming of one’s natural or ‘native’ self and thus the land, again.</w:t>
      </w:r>
      <w:r>
        <w:t xml:space="preserve"> For example, ‘off the grid’ does not describe a place, but a set of redemptive behaviors – it is a terra nullius imaginary of a somewhere, nowhere, neverplace where one is no longer a settler. </w:t>
      </w:r>
      <w:r w:rsidRPr="004C568E">
        <w:rPr>
          <w:u w:val="single"/>
        </w:rPr>
        <w:t>In using the term settler environmentalism, I am deliberately ambiguous about critical environmentalisms, such as movements in eco-feminism, deep ecology, and antiracist environmental justice.</w:t>
      </w:r>
      <w:r>
        <w:t xml:space="preserve"> These are important trajectories in critical scholarship and activism around environmental justice, and ought to inform any decolonizing framework. However, </w:t>
      </w:r>
      <w:r w:rsidRPr="004C568E">
        <w:rPr>
          <w:u w:val="single"/>
        </w:rPr>
        <w:t>antiracist, feminist, and environmental justice work are not automatically the opposite of settler colonialism. Decolonization might be incommensurable with projects more generally thought as social justice</w:t>
      </w:r>
      <w:r>
        <w:t xml:space="preserve"> (see Tuck and Yang 2012). In the previous ethnographic example, greening the ghetto can mask a neoliberal curriculum of whitening9 the ghetto with ‘better-educated,’ ecologically ‘responsible,’ global citizens. </w:t>
      </w:r>
      <w:r w:rsidRPr="004C568E">
        <w:rPr>
          <w:u w:val="single"/>
        </w:rPr>
        <w:t>More radical environmentalisms can also uphold the settler fantasy of sacred ‘wilderness’ – another form of unpeopled land – that must be restored or preserved. Even the progressive concept of land as Commons to be occupied, collectively shared and stewarded, may require the negation of Indigenous sovereignty.</w:t>
      </w:r>
      <w:r>
        <w:t xml:space="preserve"> ‘The people still speak of the sacredness of places now claimed by the parks services for instance’ (Goeman 2008, 32). </w:t>
      </w:r>
      <w:r w:rsidRPr="004C568E">
        <w:rPr>
          <w:u w:val="single"/>
        </w:rPr>
        <w:t>Occupying land for the Commons assumes that all prior, indeed current as well as future relations between people and land are null and void</w:t>
      </w:r>
      <w:r>
        <w:t xml:space="preserve">. ‘In other words,’ writes Sandy Grande, </w:t>
      </w:r>
      <w:r w:rsidRPr="004C568E">
        <w:rPr>
          <w:u w:val="single"/>
        </w:rPr>
        <w:t>‘both Marxists and capitalists view land and natural resources as commodities to be exploited, in the first instance, by capitalists for personal gain, and in the second by Marxists for the good of all’</w:t>
      </w:r>
      <w:r>
        <w:t xml:space="preserve"> (2004, 27). Social justice endeavors all take place on Native land. In this vein, I now turn to the Occupy movement. Environmental Education Research 121 Behind every great American city is a great crime. </w:t>
      </w:r>
      <w:r w:rsidRPr="004C568E">
        <w:rPr>
          <w:u w:val="single"/>
        </w:rPr>
        <w:t>Oakland was founded on occupation and land theft</w:t>
      </w:r>
      <w:r>
        <w:t xml:space="preserve">.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w:t>
      </w:r>
      <w:r w:rsidRPr="00362899">
        <w:rPr>
          <w:u w:val="single"/>
        </w:rPr>
        <w:t>it was too late to reverse</w:t>
      </w:r>
      <w:r>
        <w:t xml:space="preserve"> – as deeds and titles had exchanged hands so many times that there was no undoing – and </w:t>
      </w:r>
      <w:r w:rsidRPr="00362899">
        <w:rPr>
          <w:u w:val="single"/>
        </w:rPr>
        <w:t>because Oakland was now occupied</w:t>
      </w:r>
      <w:r>
        <w:t xml:space="preserve">. </w:t>
      </w:r>
      <w:r w:rsidRPr="00362899">
        <w:rPr>
          <w:u w:val="single"/>
        </w:rPr>
        <w:t xml:space="preserve">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On 28 October 2011, a group of Indigenous and non-Native intellectuals/activists introduced ‘The Memorandum of Solidarity with Indigenous Peoples’ at the General Assembly of Occupy Oakland. </w:t>
      </w:r>
      <w:r>
        <w:t xml:space="preserve">WHEREAS, those participating in ‘Occupy Oakland’ acknowledge that Oakland is already occupied land; Oakland being the historical territory of the Chochenyo Ohlone people; and … </w:t>
      </w:r>
      <w:r w:rsidRPr="00362899">
        <w:rPr>
          <w:u w:val="single"/>
        </w:rPr>
        <w:t>RESOLVED, that those participating in ‘Occupy Oakland’ seek the genuine and respectful involvement of indigenous peoples in the rebuilding of a new society on their ancestral lands; and As a signal to the national ‘Occupy Wall Street’ movement and the indigenous peoples here and there who have felt excluded by the colonialist language of occupation used to name this movement, it shall be declared that ‘Occupy Oakland’ aspires to ‘Decolonize Oakland’</w:t>
      </w:r>
      <w:r>
        <w:t xml:space="preserve"> – to ‘Decolonize Wall Street’ – with the guidance and participation of indigenous peoples; The memorandum points to difference as a modality of organizing, a source of strength and political possibility rather than as simply a curtailment of common struggle. Most importantly</w:t>
      </w:r>
      <w:r w:rsidRPr="00362899">
        <w:rPr>
          <w:u w:val="single"/>
        </w:rPr>
        <w:t xml:space="preserve">, the memorandum makes explicit the moral and political leadership of Indigenous peoples in any decolonial effort in North America. </w:t>
      </w:r>
      <w:r>
        <w:t xml:space="preserve">Significantly, the first signature of memorandum is by Chochenyo Ohlone educator Corrina Gould. The memorandum was passed, but not without controversy. One of the signers, Joanne Barker (Lenape) posted in her blog, Tequila Sovereign, that several people approached the group with serious anxieties about decolonization. Ultimately, what they were asking is whether or not we were asking them, as nonindigenous people, the impossible? Would their solidarity with us require them to give up their lands, their resources, their ways of life, so that we – who numbered so few, after all – could have more? Could have it all? 122 L. Paperson </w:t>
      </w:r>
      <w:r w:rsidRPr="00362899">
        <w:rPr>
          <w:u w:val="single"/>
        </w:rPr>
        <w:t>And this is the rub about decolonization: it forces people to confront their complicity in settler colonialism and the ongoing violence of empire. It immediately unsettles the utopian vision of wealth redistribution and collectively owned Commons</w:t>
      </w:r>
      <w:r>
        <w:t xml:space="preserve">. It exposes how numerical the conceptualization of social justice remains – the 99% is a ‘deserving’ supermajority that renders Indigenous peoples (a super-minority) completely illegible. Barker goes on to write, </w:t>
      </w:r>
      <w:r w:rsidRPr="00362899">
        <w:rPr>
          <w:u w:val="single"/>
        </w:rPr>
        <w:t>I have a dream that the people of ‘Occupy Oakland’ will not see the affirmation of indigenous peoples’ rights to self-government, territorial restoration, and cultural autonomy as a threat to their own; that they will see solidarity with indigenous peoples as an affirmation of their humanity and justice.</w:t>
      </w:r>
      <w:r>
        <w:t xml:space="preserve"> Barker’s assertion reflects how ‘sovereignty’ as an Indigenous word is spoken with a different inflection than its cousin in the settler nation’s lexicon. It echoes the questions posed by Watson, writing from an aboriginal Australian perspective: Is aboriginal sovereignty to be feared by Australia in the same way as Aboriginal people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w:t>
      </w:r>
      <w:r w:rsidRPr="00362899">
        <w:rPr>
          <w:u w:val="single"/>
        </w:rPr>
        <w:t>Decolonize is divisive.’ To which she responded, ‘Occupy is divisive already and not including whole swaths of people. Decolonize and liberate are TRANSFORMATIVE. Difference, diversity, and change aren’t divisive.’ Occupy Oakland means to Occupy Ohlone. Because Ohlone is both people and land/place simultaneously, you cannot occupy Oakland without also trespassing on the bodies and spirits of those who live/d there. Land is ‘more than a site upon which humans make history or as a location that accumulates history’</w:t>
      </w:r>
      <w:r>
        <w:t xml:space="preserve"> (Goeman 2008, 24),</w:t>
      </w:r>
      <w:r w:rsidRPr="00362899">
        <w:rPr>
          <w:u w:val="single"/>
        </w:rPr>
        <w:t xml:space="preserve"> more than a site to occupy.</w:t>
      </w:r>
    </w:p>
    <w:p w14:paraId="19F833B7" w14:textId="77777777" w:rsidR="0023799E" w:rsidRDefault="0023799E" w:rsidP="0023799E">
      <w:pPr>
        <w:pStyle w:val="Heading4"/>
      </w:pPr>
      <w:r>
        <w:t>Racialized subject formation proves that white identity is affirmed throughout society – white culture often employs strategies that push down native people – how we frame relations through culture is important to subject formation</w:t>
      </w:r>
    </w:p>
    <w:p w14:paraId="61E4BF88" w14:textId="77777777" w:rsidR="0023799E" w:rsidRPr="00B502D1" w:rsidRDefault="0023799E" w:rsidP="0023799E">
      <w:pPr>
        <w:rPr>
          <w:rStyle w:val="Style13ptBold"/>
        </w:rPr>
      </w:pPr>
      <w:r>
        <w:rPr>
          <w:rStyle w:val="Style13ptBold"/>
        </w:rPr>
        <w:t xml:space="preserve">Rotz 17 </w:t>
      </w:r>
      <w:r w:rsidRPr="00B502D1">
        <w:t>Department of Geography, University of Guelph, Guelph, Canada</w:t>
      </w:r>
      <w:r>
        <w:t xml:space="preserve"> (Sarah, “’They took our beads, it was a fair trade, get over it’: Settler colonial logics, racial hierarchies and material dominance in Canadian agriculture”, </w:t>
      </w:r>
      <w:r>
        <w:rPr>
          <w:i/>
          <w:iCs/>
        </w:rPr>
        <w:t xml:space="preserve">Geoforum, </w:t>
      </w:r>
      <w:r>
        <w:t xml:space="preserve">4-10-2017, </w:t>
      </w:r>
      <w:hyperlink r:id="rId9" w:anchor="s0070" w:history="1">
        <w:r w:rsidRPr="009D354F">
          <w:rPr>
            <w:rStyle w:val="Hyperlink"/>
          </w:rPr>
          <w:t>https://www.sciencedirect.com/science/article/pii/S0016718517300970#s0070</w:t>
        </w:r>
      </w:hyperlink>
      <w:r>
        <w:t xml:space="preserve">, DOA: 7/15/24)//LFS – LMH </w:t>
      </w:r>
    </w:p>
    <w:p w14:paraId="1F94AC42" w14:textId="77777777" w:rsidR="0023799E" w:rsidRPr="00362899" w:rsidRDefault="0023799E" w:rsidP="0023799E">
      <w:r w:rsidRPr="00362899">
        <w:t>3. </w:t>
      </w:r>
      <w:r w:rsidRPr="00362899">
        <w:rPr>
          <w:u w:val="single"/>
        </w:rPr>
        <w:t>Racialized subject formation</w:t>
      </w:r>
      <w:r w:rsidRPr="00362899">
        <w:t xml:space="preserve"> and othering: a conceptual approach</w:t>
      </w:r>
      <w:r>
        <w:t xml:space="preserve"> </w:t>
      </w:r>
      <w:r w:rsidRPr="00B913FF">
        <w:rPr>
          <w:u w:val="single"/>
        </w:rPr>
        <w:t>For white settlers, our stories are echoed</w:t>
      </w:r>
      <w:r w:rsidRPr="00362899">
        <w:t>—</w:t>
      </w:r>
      <w:r w:rsidRPr="00B913FF">
        <w:rPr>
          <w:u w:val="single"/>
        </w:rPr>
        <w:t>and hence our ‘selves’ affirmed</w:t>
      </w:r>
      <w:r w:rsidRPr="00362899">
        <w:t xml:space="preserve">—in ‘our’ schools, courts, parliaments, public spaces, books, films, and families. </w:t>
      </w:r>
      <w:r w:rsidRPr="00B913FF">
        <w:rPr>
          <w:u w:val="single"/>
        </w:rPr>
        <w:t>White identity and interest is shared and celebrated in the people, through a ‘state as formed by “the people”, who see their best interests reflected in its workings’</w:t>
      </w:r>
      <w:r w:rsidRPr="00362899">
        <w:t xml:space="preserve"> (</w:t>
      </w:r>
      <w:bookmarkStart w:id="0" w:name="bb0330"/>
      <w:r w:rsidRPr="00362899">
        <w:fldChar w:fldCharType="begin"/>
      </w:r>
      <w:r w:rsidRPr="00362899">
        <w:instrText>HYPERLINK "https://www.sciencedirect.com/science/article/pii/S0016718517300970" \l "b0330"</w:instrText>
      </w:r>
      <w:r w:rsidRPr="00362899">
        <w:fldChar w:fldCharType="separate"/>
      </w:r>
      <w:r w:rsidRPr="00362899">
        <w:rPr>
          <w:rStyle w:val="Hyperlink"/>
        </w:rPr>
        <w:t>Thobani, 2007, 53:19</w:t>
      </w:r>
      <w:r w:rsidRPr="00362899">
        <w:fldChar w:fldCharType="end"/>
      </w:r>
      <w:r w:rsidRPr="00362899">
        <w:t xml:space="preserve">). Taken together under a structure of patriarchy and hegemonic masculinity, </w:t>
      </w:r>
      <w:r w:rsidRPr="00B913FF">
        <w:rPr>
          <w:u w:val="single"/>
        </w:rPr>
        <w:t>these conditions produce significant constraints to critical self-reflexivity for white settler culture</w:t>
      </w:r>
      <w:r w:rsidRPr="00362899">
        <w:t xml:space="preserve"> (</w:t>
      </w:r>
      <w:bookmarkStart w:id="1" w:name="bb0090"/>
      <w:r w:rsidRPr="00362899">
        <w:fldChar w:fldCharType="begin"/>
      </w:r>
      <w:r w:rsidRPr="00362899">
        <w:instrText>HYPERLINK "https://www.sciencedirect.com/science/article/pii/S0016718517300970" \l "b0090"</w:instrText>
      </w:r>
      <w:r w:rsidRPr="00362899">
        <w:fldChar w:fldCharType="separate"/>
      </w:r>
      <w:r w:rsidRPr="00362899">
        <w:rPr>
          <w:rStyle w:val="Hyperlink"/>
        </w:rPr>
        <w:t>Connell, 2001</w:t>
      </w:r>
      <w:r w:rsidRPr="00362899">
        <w:fldChar w:fldCharType="end"/>
      </w:r>
      <w:bookmarkEnd w:id="1"/>
      <w:r w:rsidRPr="00362899">
        <w:t>, </w:t>
      </w:r>
      <w:bookmarkStart w:id="2" w:name="bb0120"/>
      <w:r w:rsidRPr="00362899">
        <w:fldChar w:fldCharType="begin"/>
      </w:r>
      <w:r w:rsidRPr="00362899">
        <w:instrText>HYPERLINK "https://www.sciencedirect.com/science/article/pii/S0016718517300970" \l "b0120"</w:instrText>
      </w:r>
      <w:r w:rsidRPr="00362899">
        <w:fldChar w:fldCharType="separate"/>
      </w:r>
      <w:r w:rsidRPr="00362899">
        <w:rPr>
          <w:rStyle w:val="Hyperlink"/>
        </w:rPr>
        <w:t>DiAngelo, 2011</w:t>
      </w:r>
      <w:r w:rsidRPr="00362899">
        <w:fldChar w:fldCharType="end"/>
      </w:r>
      <w:bookmarkEnd w:id="2"/>
      <w:r w:rsidRPr="00362899">
        <w:t>, </w:t>
      </w:r>
      <w:bookmarkStart w:id="3" w:name="bb0340"/>
      <w:r w:rsidRPr="00362899">
        <w:fldChar w:fldCharType="begin"/>
      </w:r>
      <w:r w:rsidRPr="00362899">
        <w:instrText>HYPERLINK "https://www.sciencedirect.com/science/article/pii/S0016718517300970" \l "b0340"</w:instrText>
      </w:r>
      <w:r w:rsidRPr="00362899">
        <w:fldChar w:fldCharType="separate"/>
      </w:r>
      <w:r w:rsidRPr="00362899">
        <w:rPr>
          <w:rStyle w:val="Hyperlink"/>
        </w:rPr>
        <w:t>Tuck and Yang, 2012</w:t>
      </w:r>
      <w:r w:rsidRPr="00362899">
        <w:fldChar w:fldCharType="end"/>
      </w:r>
      <w:bookmarkEnd w:id="3"/>
      <w:r w:rsidRPr="00362899">
        <w:t xml:space="preserve">). Through the national narrative, </w:t>
      </w:r>
      <w:r w:rsidRPr="00B913FF">
        <w:rPr>
          <w:u w:val="single"/>
        </w:rPr>
        <w:t>colonial and imperial violence is seen as ‘in the national interest’</w:t>
      </w:r>
      <w:r w:rsidRPr="00362899">
        <w:t xml:space="preserve">, in turn undergoing erasure, </w:t>
      </w:r>
      <w:r w:rsidRPr="00B913FF">
        <w:rPr>
          <w:u w:val="single"/>
        </w:rPr>
        <w:t>while being implicitly celebrated through national rites, rituals and stories</w:t>
      </w:r>
      <w:r w:rsidRPr="00362899">
        <w:t>. </w:t>
      </w:r>
      <w:hyperlink r:id="rId10" w:anchor="b0330" w:history="1">
        <w:r w:rsidRPr="00362899">
          <w:rPr>
            <w:rStyle w:val="Hyperlink"/>
          </w:rPr>
          <w:t>Thobani (2007)</w:t>
        </w:r>
      </w:hyperlink>
      <w:bookmarkEnd w:id="0"/>
      <w:r w:rsidRPr="00362899">
        <w:t> describes the white national subject as being at the centre of a triangulated racial structure of subject formation in Canada, while the immigrant subject occupies a space of conditional inclusion,</w:t>
      </w:r>
      <w:bookmarkStart w:id="4" w:name="bfn5"/>
      <w:r w:rsidRPr="00362899">
        <w:fldChar w:fldCharType="begin"/>
      </w:r>
      <w:r w:rsidRPr="00362899">
        <w:instrText>HYPERLINK "https://www.sciencedirect.com/science/article/pii/S0016718517300970" \l "fn5"</w:instrText>
      </w:r>
      <w:r w:rsidRPr="00362899">
        <w:fldChar w:fldCharType="separate"/>
      </w:r>
      <w:r w:rsidRPr="00362899">
        <w:rPr>
          <w:rStyle w:val="Hyperlink"/>
        </w:rPr>
        <w:t>5</w:t>
      </w:r>
      <w:r w:rsidRPr="00362899">
        <w:fldChar w:fldCharType="end"/>
      </w:r>
      <w:bookmarkEnd w:id="4"/>
      <w:r w:rsidRPr="00362899">
        <w:t> and the Indigenous subject remains marked by dispossession and extermination.</w:t>
      </w:r>
      <w:r>
        <w:t xml:space="preserve"> </w:t>
      </w:r>
      <w:r w:rsidRPr="00B913FF">
        <w:rPr>
          <w:u w:val="single"/>
        </w:rPr>
        <w:t>As scholars have elucidated</w:t>
      </w:r>
      <w:r w:rsidRPr="00362899">
        <w:t xml:space="preserve"> (</w:t>
      </w:r>
      <w:bookmarkStart w:id="5" w:name="bb0365"/>
      <w:r w:rsidRPr="00362899">
        <w:fldChar w:fldCharType="begin"/>
      </w:r>
      <w:r w:rsidRPr="00362899">
        <w:instrText>HYPERLINK "https://www.sciencedirect.com/science/article/pii/S0016718517300970" \l "b0365"</w:instrText>
      </w:r>
      <w:r w:rsidRPr="00362899">
        <w:fldChar w:fldCharType="separate"/>
      </w:r>
      <w:r w:rsidRPr="00362899">
        <w:rPr>
          <w:rStyle w:val="Hyperlink"/>
        </w:rPr>
        <w:t>Wolfe, 2001</w:t>
      </w:r>
      <w:r w:rsidRPr="00362899">
        <w:fldChar w:fldCharType="end"/>
      </w:r>
      <w:bookmarkEnd w:id="5"/>
      <w:r w:rsidRPr="00362899">
        <w:t>, </w:t>
      </w:r>
      <w:bookmarkStart w:id="6" w:name="bb0370"/>
      <w:r w:rsidRPr="00362899">
        <w:fldChar w:fldCharType="begin"/>
      </w:r>
      <w:r w:rsidRPr="00362899">
        <w:instrText>HYPERLINK "https://www.sciencedirect.com/science/article/pii/S0016718517300970" \l "b0370"</w:instrText>
      </w:r>
      <w:r w:rsidRPr="00362899">
        <w:fldChar w:fldCharType="separate"/>
      </w:r>
      <w:r w:rsidRPr="00362899">
        <w:rPr>
          <w:rStyle w:val="Hyperlink"/>
        </w:rPr>
        <w:t>Wolfe, 2006</w:t>
      </w:r>
      <w:r w:rsidRPr="00362899">
        <w:fldChar w:fldCharType="end"/>
      </w:r>
      <w:bookmarkEnd w:id="6"/>
      <w:r w:rsidRPr="00362899">
        <w:t>, </w:t>
      </w:r>
      <w:bookmarkStart w:id="7" w:name="bb0010"/>
      <w:r w:rsidRPr="00362899">
        <w:fldChar w:fldCharType="begin"/>
      </w:r>
      <w:r w:rsidRPr="00362899">
        <w:instrText>HYPERLINK "https://www.sciencedirect.com/science/article/pii/S0016718517300970" \l "b0010"</w:instrText>
      </w:r>
      <w:r w:rsidRPr="00362899">
        <w:fldChar w:fldCharType="separate"/>
      </w:r>
      <w:r w:rsidRPr="00362899">
        <w:rPr>
          <w:rStyle w:val="Hyperlink"/>
        </w:rPr>
        <w:t>Ahmed, 2000</w:t>
      </w:r>
      <w:r w:rsidRPr="00362899">
        <w:fldChar w:fldCharType="end"/>
      </w:r>
      <w:bookmarkEnd w:id="7"/>
      <w:r w:rsidRPr="00362899">
        <w:t>, </w:t>
      </w:r>
      <w:bookmarkStart w:id="8" w:name="bb0350"/>
      <w:r w:rsidRPr="00362899">
        <w:fldChar w:fldCharType="begin"/>
      </w:r>
      <w:r w:rsidRPr="00362899">
        <w:instrText>HYPERLINK "https://www.sciencedirect.com/science/article/pii/S0016718517300970" \l "b0350"</w:instrText>
      </w:r>
      <w:r w:rsidRPr="00362899">
        <w:fldChar w:fldCharType="separate"/>
      </w:r>
      <w:r w:rsidRPr="00362899">
        <w:rPr>
          <w:rStyle w:val="Hyperlink"/>
        </w:rPr>
        <w:t>Veracini, 2011</w:t>
      </w:r>
      <w:r w:rsidRPr="00362899">
        <w:fldChar w:fldCharType="end"/>
      </w:r>
      <w:bookmarkEnd w:id="8"/>
      <w:r w:rsidRPr="00362899">
        <w:t>, </w:t>
      </w:r>
      <w:bookmarkStart w:id="9" w:name="bb0190"/>
      <w:r w:rsidRPr="00362899">
        <w:fldChar w:fldCharType="begin"/>
      </w:r>
      <w:r w:rsidRPr="00362899">
        <w:instrText>HYPERLINK "https://www.sciencedirect.com/science/article/pii/S0016718517300970" \l "b0190"</w:instrText>
      </w:r>
      <w:r w:rsidRPr="00362899">
        <w:fldChar w:fldCharType="separate"/>
      </w:r>
      <w:r w:rsidRPr="00362899">
        <w:rPr>
          <w:rStyle w:val="Hyperlink"/>
        </w:rPr>
        <w:t>Lawrence and Dua, 2005</w:t>
      </w:r>
      <w:r w:rsidRPr="00362899">
        <w:fldChar w:fldCharType="end"/>
      </w:r>
      <w:bookmarkEnd w:id="9"/>
      <w:r w:rsidRPr="00362899">
        <w:t xml:space="preserve">), </w:t>
      </w:r>
      <w:r w:rsidRPr="00B913FF">
        <w:rPr>
          <w:u w:val="single"/>
        </w:rPr>
        <w:t xml:space="preserve">the colonial state has intervened in the lives of Indigenous peoples and racialized immigrants in different ways </w:t>
      </w:r>
      <w:r w:rsidRPr="00362899">
        <w:t xml:space="preserve">(consider the Immigration Act’s focus on credentials and economic exploitability versus the Indian Act’s focus on spatial and resource control), </w:t>
      </w:r>
      <w:r w:rsidRPr="00B913FF">
        <w:rPr>
          <w:u w:val="single"/>
        </w:rPr>
        <w:t>for rather different ends (the exploitation of labour versus the appropriation of land/resources)</w:t>
      </w:r>
      <w:r w:rsidRPr="00362899">
        <w:t xml:space="preserve">. Thus, how we identify and narrativize others is not static or in direct and equal opposition to national selves, but contingent on history, proximity and relations to land and resources, as well as more specific and unstable relations (conditioned through variegated intersectionalities) between interactants. </w:t>
      </w:r>
      <w:r w:rsidRPr="00B913FF">
        <w:rPr>
          <w:u w:val="single"/>
        </w:rPr>
        <w:t>Put simply, how we see/frame an immigrant, refugee, or Indigenous other is conditioned by systemic hierarchies and is brought to life in the spaces between actants.</w:t>
      </w:r>
      <w:r w:rsidRPr="00362899">
        <w:t xml:space="preserve"> Specifically, the strangeness of the ‘other’ is a function of their relative distance to our self (as a bundle of narratives, ideologies, and characteristics). </w:t>
      </w:r>
      <w:r w:rsidRPr="00B913FF">
        <w:rPr>
          <w:u w:val="single"/>
        </w:rPr>
        <w:t>Extending </w:t>
      </w:r>
      <w:bookmarkStart w:id="10" w:name="bb0280"/>
      <w:r w:rsidRPr="00B913FF">
        <w:rPr>
          <w:u w:val="single"/>
        </w:rPr>
        <w:fldChar w:fldCharType="begin"/>
      </w:r>
      <w:r w:rsidRPr="00B913FF">
        <w:rPr>
          <w:u w:val="single"/>
        </w:rPr>
        <w:instrText>HYPERLINK "https://www.sciencedirect.com/science/article/pii/S0016718517300970" \l "b0280"</w:instrText>
      </w:r>
      <w:r w:rsidRPr="00B913FF">
        <w:rPr>
          <w:u w:val="single"/>
        </w:rPr>
      </w:r>
      <w:r w:rsidRPr="00B913FF">
        <w:rPr>
          <w:u w:val="single"/>
        </w:rPr>
        <w:fldChar w:fldCharType="separate"/>
      </w:r>
      <w:r w:rsidRPr="00B913FF">
        <w:rPr>
          <w:rStyle w:val="Hyperlink"/>
        </w:rPr>
        <w:t>Said’s (1979)</w:t>
      </w:r>
      <w:r w:rsidRPr="00B913FF">
        <w:rPr>
          <w:u w:val="single"/>
        </w:rPr>
        <w:fldChar w:fldCharType="end"/>
      </w:r>
      <w:bookmarkEnd w:id="10"/>
      <w:r w:rsidRPr="00B913FF">
        <w:rPr>
          <w:u w:val="single"/>
        </w:rPr>
        <w:t> analysis of Orientalizing discourses: the other is made to exist as we know it, and our ‘knowing it’ is conditioned by intersecting forces of white supremacy and colonialism. Ideally, this framework emphasizes structures and relations beyond our own agency, while still acknowledging the capacity to resist these structures.</w:t>
      </w:r>
      <w:r>
        <w:t xml:space="preserve"> </w:t>
      </w:r>
      <w:r w:rsidRPr="00B913FF">
        <w:rPr>
          <w:u w:val="single"/>
        </w:rPr>
        <w:t>Drawing from Thobani’s triangulation of racial subject formation within a settler colonial lens, three emergent identity relations are distinguished in the research: the white farmer self, the Indigenous other, and the migrant other.</w:t>
      </w:r>
      <w:r w:rsidRPr="00362899">
        <w:t xml:space="preserve"> To analyze the data, the interactions between three elements are considered: socio-symbolic distance, proximity, and self-motivations,</w:t>
      </w:r>
      <w:bookmarkStart w:id="11" w:name="bfn6"/>
      <w:r w:rsidRPr="00362899">
        <w:fldChar w:fldCharType="begin"/>
      </w:r>
      <w:r w:rsidRPr="00362899">
        <w:instrText>HYPERLINK "https://www.sciencedirect.com/science/article/pii/S0016718517300970" \l "fn6"</w:instrText>
      </w:r>
      <w:r w:rsidRPr="00362899">
        <w:fldChar w:fldCharType="separate"/>
      </w:r>
      <w:r w:rsidRPr="00362899">
        <w:rPr>
          <w:rStyle w:val="Hyperlink"/>
        </w:rPr>
        <w:t>6</w:t>
      </w:r>
      <w:r w:rsidRPr="00362899">
        <w:fldChar w:fldCharType="end"/>
      </w:r>
      <w:bookmarkEnd w:id="11"/>
      <w:r w:rsidRPr="00362899">
        <w:t xml:space="preserve"> as these elements determine how one recognizes an ‘other’. </w:t>
      </w:r>
      <w:r w:rsidRPr="00B913FF">
        <w:rPr>
          <w:u w:val="single"/>
        </w:rPr>
        <w:t>Socio-symbolic distance involves the perceived socio-symbolic distance/difference between the self and other by reference to identity, ideologies, customs, rituals, rites, etc. As </w:t>
      </w:r>
      <w:bookmarkStart w:id="12" w:name="bb0025"/>
      <w:r w:rsidRPr="00B913FF">
        <w:rPr>
          <w:u w:val="single"/>
        </w:rPr>
        <w:fldChar w:fldCharType="begin"/>
      </w:r>
      <w:r w:rsidRPr="00B913FF">
        <w:rPr>
          <w:u w:val="single"/>
        </w:rPr>
        <w:instrText>HYPERLINK "https://www.sciencedirect.com/science/article/pii/S0016718517300970" \l "b0025"</w:instrText>
      </w:r>
      <w:r w:rsidRPr="00B913FF">
        <w:rPr>
          <w:u w:val="single"/>
        </w:rPr>
      </w:r>
      <w:r w:rsidRPr="00B913FF">
        <w:rPr>
          <w:u w:val="single"/>
        </w:rPr>
        <w:fldChar w:fldCharType="separate"/>
      </w:r>
      <w:r w:rsidRPr="00B913FF">
        <w:rPr>
          <w:rStyle w:val="Hyperlink"/>
        </w:rPr>
        <w:t>Alexander (1992)</w:t>
      </w:r>
      <w:r w:rsidRPr="00B913FF">
        <w:rPr>
          <w:u w:val="single"/>
        </w:rPr>
        <w:fldChar w:fldCharType="end"/>
      </w:r>
      <w:r w:rsidRPr="00B913FF">
        <w:rPr>
          <w:u w:val="single"/>
        </w:rPr>
        <w:t> argues, such codes and symbols help supply structured categories into each member of civil society, such as ‘pure’ and ‘impure’. This socio-symbolic space provides meaning and justification for inclusion and exclusion from ‘civil society’. Of course, ‘this distinction is not “real.”</w:t>
      </w:r>
      <w:r w:rsidRPr="00362899">
        <w:t xml:space="preserve"> Actors are not intrinsically either worthy or moral: they are determined to be so by being placed in certain positions on the grid of civil culture’, drawn from ‘a systematic, highly elaborated symbolic code’ (</w:t>
      </w:r>
      <w:hyperlink r:id="rId11" w:anchor="b0025" w:history="1">
        <w:r w:rsidRPr="00362899">
          <w:rPr>
            <w:rStyle w:val="Hyperlink"/>
          </w:rPr>
          <w:t>Alexander, 1992</w:t>
        </w:r>
      </w:hyperlink>
      <w:bookmarkEnd w:id="12"/>
      <w:r w:rsidRPr="00362899">
        <w:t>, 291). Identification of others is further conditioned through proximity between selves and others over space and time. Proximity underpins the materiality of social relations, extending identity beyond mere constructivism</w:t>
      </w:r>
      <w:r w:rsidRPr="00B913FF">
        <w:rPr>
          <w:u w:val="single"/>
        </w:rPr>
        <w:t>. Considering race specifically, its construction is tethered to material causes and effects, producing what Saldanha describes as a ‘viscosity’, revealed through ‘the stickiness of racial segregation</w:t>
      </w:r>
      <w:r w:rsidRPr="00362899">
        <w:t>’ (</w:t>
      </w:r>
      <w:bookmarkStart w:id="13" w:name="bb0285"/>
      <w:r w:rsidRPr="00362899">
        <w:fldChar w:fldCharType="begin"/>
      </w:r>
      <w:r w:rsidRPr="00362899">
        <w:instrText>HYPERLINK "https://www.sciencedirect.com/science/article/pii/S0016718517300970" \l "b0285"</w:instrText>
      </w:r>
      <w:r w:rsidRPr="00362899">
        <w:fldChar w:fldCharType="separate"/>
      </w:r>
      <w:r w:rsidRPr="00362899">
        <w:rPr>
          <w:rStyle w:val="Hyperlink"/>
        </w:rPr>
        <w:t>Saldanha, 2006, 10</w:t>
      </w:r>
      <w:r w:rsidRPr="00362899">
        <w:fldChar w:fldCharType="end"/>
      </w:r>
      <w:bookmarkEnd w:id="13"/>
      <w:r w:rsidRPr="00362899">
        <w:t>). Indeed, the effects of proximity are variegated, and cannot be essentialized as they depend on interacting modes of (class, gender and racial) oppression alongside the spatial dimensions of its reproduction and resistance.</w:t>
      </w:r>
      <w:bookmarkStart w:id="14" w:name="bfn7"/>
      <w:r w:rsidRPr="00362899">
        <w:fldChar w:fldCharType="begin"/>
      </w:r>
      <w:r w:rsidRPr="00362899">
        <w:instrText>HYPERLINK "https://www.sciencedirect.com/science/article/pii/S0016718517300970" \l "fn7"</w:instrText>
      </w:r>
      <w:r w:rsidRPr="00362899">
        <w:fldChar w:fldCharType="separate"/>
      </w:r>
      <w:r w:rsidRPr="00362899">
        <w:rPr>
          <w:rStyle w:val="Hyperlink"/>
        </w:rPr>
        <w:t>7</w:t>
      </w:r>
      <w:r w:rsidRPr="00362899">
        <w:fldChar w:fldCharType="end"/>
      </w:r>
      <w:bookmarkEnd w:id="14"/>
      <w:r w:rsidRPr="00362899">
        <w:t> </w:t>
      </w:r>
      <w:r w:rsidRPr="00B913FF">
        <w:rPr>
          <w:u w:val="single"/>
        </w:rPr>
        <w:t>Finally, where selves fix others will depend on their own motivations and interests. Of course, othering often serves to justify the self’s privilege (whether consciously or not). Hence, identification varies depending on the self’s interests in land, capital, and employment, and how the other might impact those interests. The remaining analysis explores how, to what degree, and to what effect, white settler culture employs these strategies.</w:t>
      </w:r>
    </w:p>
    <w:p w14:paraId="25A13060" w14:textId="77777777" w:rsidR="0023799E" w:rsidRDefault="0023799E" w:rsidP="0023799E">
      <w:pPr>
        <w:pStyle w:val="Heading4"/>
      </w:pPr>
      <w:r>
        <w:t>Settler colonialism is founded on a method of biophysical control – the 1ac investment in ‘green tech’ furthers this logic</w:t>
      </w:r>
    </w:p>
    <w:p w14:paraId="33C9A8E5" w14:textId="77777777" w:rsidR="0023799E" w:rsidRPr="002C5C3E" w:rsidRDefault="0023799E" w:rsidP="0023799E">
      <w:pPr>
        <w:rPr>
          <w:rStyle w:val="Style13ptBold"/>
        </w:rPr>
      </w:pPr>
      <w:r>
        <w:rPr>
          <w:rStyle w:val="Style13ptBold"/>
        </w:rPr>
        <w:t xml:space="preserve">Oxford 22 </w:t>
      </w:r>
      <w:r w:rsidRPr="002C5C3E">
        <w:t>Oxford is a doctoral student and instructor within the CJ department. She earned her BA in Environmental Justice and Citizenship from Beloit College in 2020 before receiving her MA in Communication from UNM in 2022. Her research focuses on settler colonialism, climate change discourses, environmental rhetoric, and spatial/place-based perspectives within the areas of critical intercultural communication and media studies. Through her research, Hannah explores settler colonialism as a cultural formation that instructs, reproduces, and maintains orientations towards settlement within mainstream environmental communication. Her most recent research looked at settler colonial formations within the climate narratives of U.S. green billionaires with the goal of elaborating on anti-colonial climate mitigation efforts.</w:t>
      </w:r>
      <w:r>
        <w:t xml:space="preserve"> (Hannah, “Un-Earthing popular climate narratives: maintenance and prophecy In Settler World”, </w:t>
      </w:r>
      <w:r>
        <w:rPr>
          <w:i/>
          <w:iCs/>
        </w:rPr>
        <w:t xml:space="preserve">UNM Digital Repository, </w:t>
      </w:r>
      <w:r>
        <w:t xml:space="preserve">7-15-2022, </w:t>
      </w:r>
      <w:hyperlink r:id="rId12" w:history="1">
        <w:r w:rsidRPr="009D354F">
          <w:rPr>
            <w:rStyle w:val="Hyperlink"/>
          </w:rPr>
          <w:t>https://digitalrepository.unm.edu/cgi/viewcontent.cgi?article=1157&amp;context=cj_etds</w:t>
        </w:r>
      </w:hyperlink>
      <w:r>
        <w:t xml:space="preserve">, DOA: 7/15/24)//LFS – LMH </w:t>
      </w:r>
    </w:p>
    <w:p w14:paraId="5A6120BF" w14:textId="77777777" w:rsidR="0023799E" w:rsidRPr="00A561AE" w:rsidRDefault="0023799E" w:rsidP="0023799E">
      <w:pPr>
        <w:rPr>
          <w:u w:val="single"/>
        </w:rPr>
      </w:pPr>
      <w:r w:rsidRPr="00B913FF">
        <w:rPr>
          <w:u w:val="single"/>
        </w:rPr>
        <w:t xml:space="preserve">If settler colonialism is understood narrowly as the occupation of stolen land decolonization must be deoccupation. </w:t>
      </w:r>
      <w:r>
        <w:t>The complexities of decolonization and its colloquial use within liberal education has been powerfully laid out in Tuck and Yang’s (2012) essay, “</w:t>
      </w:r>
      <w:r w:rsidRPr="00A561AE">
        <w:rPr>
          <w:u w:val="single"/>
        </w:rPr>
        <w:t>Decolonization is not a metaphor.” They argue that anything other than decolonization as deoccupation reduces decolonization to a metaphor taken up by settlers to disguise continued settlement or to avoid imagining the possibilities of actual deoccupation.</w:t>
      </w:r>
      <w:r>
        <w:t xml:space="preserve"> This also leaves the question of whether it is possible to decolonize a 28 society that is still actively colonizing. As such, in an effort to give credence to Tuck and Yang’s argument</w:t>
      </w:r>
      <w:r w:rsidRPr="00A561AE">
        <w:rPr>
          <w:u w:val="single"/>
        </w:rPr>
        <w:t>, this essay</w:t>
      </w:r>
      <w:r>
        <w:t xml:space="preserve"> does not claim a decolonial stance but rather </w:t>
      </w:r>
      <w:r w:rsidRPr="00A561AE">
        <w:rPr>
          <w:u w:val="single"/>
        </w:rPr>
        <w:t>attempts to take on the anti-colonial task of capturing settler colonialism in motion, in the present, and as it is disguising itself within what appears to be something else</w:t>
      </w:r>
      <w:r>
        <w:t xml:space="preserve">. Within this study, that something else is climate mitigation. Settler colonialism as a mode of domination premised on ongoing, rather than a legacy of, occupation foregrounds the need to first imagine the possibility of ceasing the progression and transformation of settler control before decolonization can be resuscitated from its metaphorical usage. </w:t>
      </w:r>
      <w:r w:rsidRPr="00A561AE">
        <w:rPr>
          <w:u w:val="single"/>
        </w:rPr>
        <w:t>Settler colonialism is a landed cultural politic in that settlers are always defined in relation to its genesis within a particular location as a fundamentally temporal orientation</w:t>
      </w:r>
      <w:r>
        <w:t xml:space="preserve">. Veracini claims that “settler colonialism is immediately premised on a foundational and historical situated movement (settlers move in from elsewhere at a particular point in time)” (p. 96). </w:t>
      </w:r>
      <w:r w:rsidRPr="00A561AE">
        <w:rPr>
          <w:u w:val="single"/>
        </w:rPr>
        <w:t>Settler narratives construct time as a palindrome within a particular locale as settler society is imagined through “a perception of a constant struggle is juxtaposed against an ideal of ‘peace’ that can never be reached, settler projects embrace and reject violence at the same time”(</w:t>
      </w:r>
      <w:r>
        <w:t xml:space="preserve">p. 77). Settler time is characterized by the resemblance between past and future, either as a progressive or degenerative tendency. Further, settler time is established within the settler narrative form and is leveraged in the creation of subjectivities. </w:t>
      </w:r>
      <w:r w:rsidRPr="00A561AE">
        <w:rPr>
          <w:u w:val="single"/>
        </w:rPr>
        <w:t>Based on this sense of time, settler subjectivity is defined by a sense of self characterized through an individual, rather than imperial, sovereign capacity. This sovereign capacity, the capacity to govern oneself and others, is carried by individuals who think of themselves as ‘founders of political orders’ (p. 53) establishing a truer 29 society and an “uncorrupted version of the original social body’ (p. 77). Further, because ‘settler citizenship is seen as conditioned on property of and residency on the land’ (p. 80), settlers are also characterized by anxieties over ‘the need to biopolitically manage their respective domestic domains’ (p. 16). The capacity to manage the population, or inclusion into the settler class, is a crucial marker of settler sovereignty. Finally, Veracini sees settler colonialism as a defensive project, which reproduces itself through an inherent disavowal within the settler through the “fantasy of communities devoid of disturbances or dislocations, and a situation where the transplanted settler collective would get back a jouissance that was historically taken away’ (p. 77).</w:t>
      </w:r>
    </w:p>
    <w:p w14:paraId="5B322B22" w14:textId="77777777" w:rsidR="0023799E" w:rsidRDefault="0023799E" w:rsidP="0023799E">
      <w:pPr>
        <w:pStyle w:val="Heading4"/>
      </w:pPr>
      <w:r>
        <w:t>Sovereingty is the solution --- allowing decol against capitalist settlements is key to solvency</w:t>
      </w:r>
    </w:p>
    <w:p w14:paraId="2EAD98D6" w14:textId="77777777" w:rsidR="0023799E" w:rsidRPr="002C5C3E" w:rsidRDefault="0023799E" w:rsidP="0023799E">
      <w:pPr>
        <w:rPr>
          <w:b/>
          <w:bCs/>
          <w:sz w:val="26"/>
        </w:rPr>
      </w:pPr>
      <w:r>
        <w:rPr>
          <w:rStyle w:val="Style13ptBold"/>
        </w:rPr>
        <w:t xml:space="preserve">Oxford 22 </w:t>
      </w:r>
      <w:r w:rsidRPr="002C5C3E">
        <w:t>Oxford is a doctoral student and instructor within the CJ department. She earned her BA in Environmental Justice and Citizenship from Beloit College in 2020 before receiving her MA in Communication from UNM in 2022. Her research focuses on settler colonialism, climate change discourses, environmental rhetoric, and spatial/place-based perspectives within the areas of critical intercultural communication and media studies. Through her research, Hannah explores settler colonialism as a cultural formation that instructs, reproduces, and maintains orientations towards settlement within mainstream environmental communication. Her most recent research looked at settler colonial formations within the climate narratives of U.S. green billionaires with the goal of elaborating on anti-colonial climate mitigation efforts.</w:t>
      </w:r>
      <w:r>
        <w:t xml:space="preserve"> (Hannah, “Un-Earthing popular climate narratives: maintenance and prophecy In Settler World”, </w:t>
      </w:r>
      <w:r>
        <w:rPr>
          <w:i/>
          <w:iCs/>
        </w:rPr>
        <w:t xml:space="preserve">UNM Digital Repository, </w:t>
      </w:r>
      <w:r>
        <w:t xml:space="preserve">7-15-2022, </w:t>
      </w:r>
      <w:hyperlink r:id="rId13" w:history="1">
        <w:r w:rsidRPr="009D354F">
          <w:rPr>
            <w:rStyle w:val="Hyperlink"/>
          </w:rPr>
          <w:t>https://digitalrepository.unm.edu/cgi/viewcontent.cgi?article=1157&amp;context=cj_etds</w:t>
        </w:r>
      </w:hyperlink>
      <w:r>
        <w:t xml:space="preserve">, DOA: 7/15/24)//LFS – LMH </w:t>
      </w:r>
    </w:p>
    <w:p w14:paraId="54CD0948" w14:textId="77777777" w:rsidR="0023799E" w:rsidRPr="00037F86" w:rsidRDefault="0023799E" w:rsidP="0023799E">
      <w:pPr>
        <w:rPr>
          <w:u w:val="single"/>
        </w:rPr>
      </w:pPr>
      <w:r w:rsidRPr="00037F86">
        <w:rPr>
          <w:u w:val="single"/>
        </w:rPr>
        <w:t>Additionally, settler colonialism isn’t a kind of passive hegemonic force that remains central through as a flawed best practice for global society. Rather, settler colonialism is active and activated through “communicable methods” of ongoing capitalist settlement.</w:t>
      </w:r>
      <w:r>
        <w:t xml:space="preserve"> Lechuga argues that “</w:t>
      </w:r>
      <w:r w:rsidRPr="00037F86">
        <w:rPr>
          <w:u w:val="single"/>
        </w:rPr>
        <w:t>Patrick Wolfe suggests WSG organizes and 31 endures through material mechanisms of ideological replacement, those that eliminate native peoples from lands and then occupy those lands indefinitely: “settler colonizers come to stay: invasion is a structure not an event … elimination is an organizing principal of settler-colonial society rather than a one-off (and superseded) occurrence … . Settler colonialism destroys to replace</w:t>
      </w:r>
      <w:r>
        <w:t xml:space="preserve">” (Lechuga, 2020, p. 380). The settler colonialism arranges power through communicable methods in which subjectivities and spatiotemporal logics are produced. </w:t>
      </w:r>
      <w:r w:rsidRPr="00037F86">
        <w:rPr>
          <w:u w:val="single"/>
        </w:rPr>
        <w:t>Settler colonialism creates and recreates the conditions necessary for settler situations to exist by invoking capitalist innovation to materialize settler mythologies. Additionally, it is essential to recognize the ways in which settler colonialism is foundationally a mechanism of cultural production based on relations with the land. The building of capital through land as the motivational force makes “the accumulation of land is the objective of settler colonialism (unlike labor-driven objectives of other forms of colonialism)</w:t>
      </w:r>
      <w:r>
        <w:t xml:space="preserve">” (Rowe &amp; Tuck, p. 6). </w:t>
      </w:r>
      <w:r w:rsidRPr="00037F86">
        <w:rPr>
          <w:u w:val="single"/>
        </w:rPr>
        <w:t>Using climate technology as a communicable method of settler colonialism means that climate discourse is used as a means of reproducing settler colonial situations</w:t>
      </w:r>
      <w:r>
        <w:t xml:space="preserve"> (the production of subjectifies rooted in individual sovereignty and the production of mythologies anchored in settler spacetime). As stated by Lechuga (2020), “</w:t>
      </w:r>
      <w:r w:rsidRPr="00037F86">
        <w:rPr>
          <w:u w:val="single"/>
        </w:rPr>
        <w:t>settler colonialism leverages rhetoric to facilitate the material arrangement of ideological power on lands and bodies. This orientation illuminates the role rhetoric has had in mobilizing settler power through invoking subjectivities, devising sovereignty claims, and circulating narratives of settler logic”</w:t>
      </w:r>
      <w:r>
        <w:t xml:space="preserve"> (p. 378). Sovereignty, typically discussed as the ultimate dominion of power within a particular space, is manifested within the individual settler through a particular 32 relationship between people and the space they occupy. </w:t>
      </w:r>
      <w:r w:rsidRPr="00037F86">
        <w:rPr>
          <w:u w:val="single"/>
        </w:rPr>
        <w:t>Veracini argues that for the settler, individual sovereignty “is not the feudal nature of the relationships between local European settlers and a distant sovereign that should be emphasized, but, on the contrary, the specific nature of a self-governing capacity that is acquired via a voluntary movement to a separate location” (p. 58)</w:t>
      </w:r>
      <w:r>
        <w:t xml:space="preserve">. In other words, it is a kind of entitlement necessary to claim belonging to stolen (home)lands. While authority (of knowledge) in other colonial settings is found in notions of state sovereignty, the settler situation places authority within the individual. Veracini’s development of settler consciousness is developed through Lacan’s notions of the imaginary, the symbolic, and the real in which a subject orient itself through material and symbolic perceptions with the external world. For Veracini, </w:t>
      </w:r>
      <w:r w:rsidRPr="00037F86">
        <w:rPr>
          <w:u w:val="single"/>
        </w:rPr>
        <w:t>“‘settler society’ is in itself a fantasy emanating from a painful perception of growing contradictions and social strife, where the prospect of settler migration literally operates as a displacement of tension and where the longing for a classless, stationary, and settled body politics can find expression”</w:t>
      </w:r>
      <w:r>
        <w:t xml:space="preserve"> (Veracini, p. 75). </w:t>
      </w:r>
      <w:r w:rsidRPr="00037F86">
        <w:rPr>
          <w:u w:val="single"/>
        </w:rPr>
        <w:t>This tension between the imaginary notion of an innocent and settled body politic and the violent reality of continued settlement produces a number of pathologies inherent to the settler, one of which is disavowal, the denial of responsibility.</w:t>
      </w:r>
    </w:p>
    <w:p w14:paraId="58E9EA31" w14:textId="77777777" w:rsidR="0023799E" w:rsidRDefault="0023799E" w:rsidP="0023799E">
      <w:pPr>
        <w:pStyle w:val="Heading4"/>
      </w:pPr>
      <w:r>
        <w:t>Green billionaires participate in ‘world building’ – an ultimately harmful method that entrenches settler logic</w:t>
      </w:r>
    </w:p>
    <w:p w14:paraId="20CA4E3E" w14:textId="77777777" w:rsidR="0023799E" w:rsidRPr="002C5C3E" w:rsidRDefault="0023799E" w:rsidP="0023799E">
      <w:pPr>
        <w:rPr>
          <w:b/>
          <w:bCs/>
          <w:sz w:val="26"/>
        </w:rPr>
      </w:pPr>
      <w:r>
        <w:rPr>
          <w:rStyle w:val="Style13ptBold"/>
        </w:rPr>
        <w:t xml:space="preserve">Oxford 22 </w:t>
      </w:r>
      <w:r w:rsidRPr="002C5C3E">
        <w:t>Oxford is a doctoral student and instructor within the CJ department. She earned her BA in Environmental Justice and Citizenship from Beloit College in 2020 before receiving her MA in Communication from UNM in 2022. Her research focuses on settler colonialism, climate change discourses, environmental rhetoric, and spatial/place-based perspectives within the areas of critical intercultural communication and media studies. Through her research, Hannah explores settler colonialism as a cultural formation that instructs, reproduces, and maintains orientations towards settlement within mainstream environmental communication. Her most recent research looked at settler colonial formations within the climate narratives of U.S. green billionaires with the goal of elaborating on anti-colonial climate mitigation efforts.</w:t>
      </w:r>
      <w:r>
        <w:t xml:space="preserve"> (Hannah, “Un-Earthing popular climate narratives: maintenance and prophecy In Settler World”, </w:t>
      </w:r>
      <w:r>
        <w:rPr>
          <w:i/>
          <w:iCs/>
        </w:rPr>
        <w:t xml:space="preserve">UNM Digital Repository, </w:t>
      </w:r>
      <w:r>
        <w:t xml:space="preserve">7-15-2022, </w:t>
      </w:r>
      <w:hyperlink r:id="rId14" w:history="1">
        <w:r w:rsidRPr="009D354F">
          <w:rPr>
            <w:rStyle w:val="Hyperlink"/>
          </w:rPr>
          <w:t>https://digitalrepository.unm.edu/cgi/viewcontent.cgi?article=1157&amp;context=cj_etds</w:t>
        </w:r>
      </w:hyperlink>
      <w:r>
        <w:t xml:space="preserve">, DOA: 7/15/24)//LFS – LMH </w:t>
      </w:r>
    </w:p>
    <w:p w14:paraId="0C285E58" w14:textId="77777777" w:rsidR="0023799E" w:rsidRPr="00037F86" w:rsidRDefault="0023799E" w:rsidP="0023799E">
      <w:pPr>
        <w:rPr>
          <w:u w:val="single"/>
        </w:rPr>
      </w:pPr>
      <w:r w:rsidRPr="00037F86">
        <w:rPr>
          <w:u w:val="single"/>
        </w:rPr>
        <w:t>These green billionaires participate in settler worlding as they narrate the future in relation to dominant climate change discourses. In each piece of media, it is clear that these billionaire’s vision for the future are all framed around notions that climate change is something of concern and that changes to society need to be made in order to move 52 away from an apocalyptic future and towards a utopic one. Looking at these narratives from the lens of settler colonialism, each piece of media indicated that these billionaire’s narratives were not self-contained projects but rather were all oriented around maintaining and reproducing a settler world</w:t>
      </w:r>
      <w:r>
        <w:t>. An essential idea that united each piece of media into an archive is expressed in the following quote by Veracini: “</w:t>
      </w:r>
      <w:r w:rsidRPr="00037F86">
        <w:rPr>
          <w:u w:val="single"/>
        </w:rPr>
        <w:t>whether they envisage a progressive movement or identify a degenerative tendency, settler narratives structures remain powerful, reproducible, and mobilizable whether in relation to reconstructions of the past or imaginings of the future</w:t>
      </w:r>
      <w:r>
        <w:t xml:space="preserve">” (Veracini, p. 102). Starting with this idea that </w:t>
      </w:r>
      <w:r w:rsidRPr="00037F86">
        <w:rPr>
          <w:u w:val="single"/>
        </w:rPr>
        <w:t>settler narratives are world building projects (physically and imagined) each of the six artifacts were analyzed for the ways in which settlers develop a sense of place that orient the individual towards and justifies the mission of the settler collective.</w:t>
      </w:r>
      <w:r>
        <w:t xml:space="preserve"> My notion of settler colonialism is that the various mechanisms of </w:t>
      </w:r>
      <w:r w:rsidRPr="00037F86">
        <w:rPr>
          <w:u w:val="single"/>
        </w:rPr>
        <w:t>settler worlding (from the development of media to the development of landscapes) occur via the creation of a spatiotemporal schema (a kind of mental terraforming) coupled with an inherent sense of individual sovereignty that tethers the settler to the schema.</w:t>
      </w:r>
    </w:p>
    <w:p w14:paraId="03B803D4" w14:textId="77777777" w:rsidR="0023799E" w:rsidRDefault="0023799E" w:rsidP="0023799E">
      <w:pPr>
        <w:pStyle w:val="Heading4"/>
      </w:pPr>
      <w:r>
        <w:t>Pro-environmentalist settler colonial logic is harming communities as climate change worsens – settlers must be more aware of their role in the harms they have created – by ignoring this, we face existential risk</w:t>
      </w:r>
    </w:p>
    <w:p w14:paraId="457795C9" w14:textId="77777777" w:rsidR="0023799E" w:rsidRPr="002C5C3E" w:rsidRDefault="0023799E" w:rsidP="0023799E">
      <w:pPr>
        <w:rPr>
          <w:b/>
          <w:bCs/>
          <w:sz w:val="26"/>
        </w:rPr>
      </w:pPr>
      <w:r>
        <w:rPr>
          <w:rStyle w:val="Style13ptBold"/>
        </w:rPr>
        <w:t xml:space="preserve">Oxford 22 </w:t>
      </w:r>
      <w:r w:rsidRPr="002C5C3E">
        <w:t>Oxford is a doctoral student and instructor within the CJ department. She earned her BA in Environmental Justice and Citizenship from Beloit College in 2020 before receiving her MA in Communication from UNM in 2022. Her research focuses on settler colonialism, climate change discourses, environmental rhetoric, and spatial/place-based perspectives within the areas of critical intercultural communication and media studies. Through her research, Hannah explores settler colonialism as a cultural formation that instructs, reproduces, and maintains orientations towards settlement within mainstream environmental communication. Her most recent research looked at settler colonial formations within the climate narratives of U.S. green billionaires with the goal of elaborating on anti-colonial climate mitigation efforts.</w:t>
      </w:r>
      <w:r>
        <w:t xml:space="preserve"> (Hannah, “Un-Earthing popular climate narratives: maintenance and prophecy In Settler World”, </w:t>
      </w:r>
      <w:r>
        <w:rPr>
          <w:i/>
          <w:iCs/>
        </w:rPr>
        <w:t xml:space="preserve">UNM Digital Repository, </w:t>
      </w:r>
      <w:r>
        <w:t xml:space="preserve">7-15-2022, </w:t>
      </w:r>
      <w:hyperlink r:id="rId15" w:history="1">
        <w:r w:rsidRPr="009D354F">
          <w:rPr>
            <w:rStyle w:val="Hyperlink"/>
          </w:rPr>
          <w:t>https://digitalrepository.unm.edu/cgi/viewcontent.cgi?article=1157&amp;context=cj_etds</w:t>
        </w:r>
      </w:hyperlink>
      <w:r>
        <w:t xml:space="preserve">, DOA: 7/15/24)//LFS – LMH </w:t>
      </w:r>
    </w:p>
    <w:p w14:paraId="17BA1B96" w14:textId="77777777" w:rsidR="0023799E" w:rsidRPr="009948F6" w:rsidRDefault="0023799E" w:rsidP="0023799E">
      <w:pPr>
        <w:rPr>
          <w:u w:val="single"/>
        </w:rPr>
      </w:pPr>
      <w:r>
        <w:t xml:space="preserve">In readdressing my research questions, </w:t>
      </w:r>
      <w:r w:rsidRPr="00037F86">
        <w:rPr>
          <w:u w:val="single"/>
        </w:rPr>
        <w:t>How do colonial projects function as uninterrogated centers of global environmental injustice? and, How do the climate narrations of U.S. green billionaires obscure or illuminate the conditions of coloniality and settler colonialism?,</w:t>
      </w:r>
      <w:r>
        <w:t xml:space="preserve"> my research has led me to understand that </w:t>
      </w:r>
      <w:r w:rsidRPr="00037F86">
        <w:rPr>
          <w:u w:val="single"/>
        </w:rPr>
        <w:t>major players in climate change discourse, such as green billionaires, obscure coloniality as they narrate</w:t>
      </w:r>
      <w:r>
        <w:t xml:space="preserve"> </w:t>
      </w:r>
      <w:r w:rsidRPr="00037F86">
        <w:rPr>
          <w:u w:val="single"/>
        </w:rPr>
        <w:t>their plans for the future. They obscure reality by doing what settlers do best— convincing themselves that they are detached, unbiased, rational, objective, apolitical fountains of knowledge. Settlers speak for themselves on behalf of everyone else and produce climate narratives that instruct us to forget our presence in settler world.</w:t>
      </w:r>
      <w:r>
        <w:t xml:space="preserve"> One of the greatest things we can learn from green billionaires’ climate narratives is that popular climate discourse, such as innovation towards a sustainable end, is a language of power that reinforces the status quo. I would go one step further to call it a language of domination and colonization. While it is so necessary that climate change be discussed and that plans be made ranging from hyper-local to truly global in scope, we should be careful that this dialogue not be a way of reproducing the same power relations that shape the world today. As Klein (2014) stated, </w:t>
      </w:r>
      <w:r w:rsidRPr="00037F86">
        <w:rPr>
          <w:u w:val="single"/>
        </w:rPr>
        <w:t>“climate change represents a historic… we once again have the chance to advance policies that dramatically improve lives, close the gap between rich and poor, create huge numbers of good jobs, and reinvigorate democracy from the ground up… It can disperse power into the hands of the many rather than consolidating it in the hands of the few, and radically expand the commons, rather than auctioning it off in pieces” (</w:t>
      </w:r>
      <w:r>
        <w:t xml:space="preserve">p. 10). 77 I have long thought that understanding the nuances of climate change are far more complex and difficult to grasp than what I have begun to see as the true heart of climate mitigation. </w:t>
      </w:r>
      <w:r w:rsidRPr="00037F86">
        <w:rPr>
          <w:u w:val="single"/>
        </w:rPr>
        <w:t xml:space="preserve">By making room for and truly sharing in dialogue with those whose voices have been quieted—Third world and indigenous communities and scholars. By investing in community and building relations through place. Yet, although I would call this approach “simple”—I would not call it easy. In studying settler colonialism theoretically, through the elite language of the academy, and knowing settler colonialism intimately, through my own embodiment of it and my awareness of forces of resistance against it, I would say that settler colonialism is nefarious, deceptive, and delusion inducing. One of the most difficult things I can imagine is the constant decoupling that is required to remove one’s sense of self and one’s daily activities from the collective settler colonial mission. One of the easiest ways to see this is in dealing with the incommensurability of decolonization as referred to by Tuck and Yang (2012). One of the best ways I believe we can approach climate change from an anticolonial stance is by abandoning words like “environment,” “nature,” “natural,” and “wild.” </w:t>
      </w:r>
      <w:r>
        <w:t xml:space="preserve">As odd as this may seem, this research has led me to see these words as inherently colonial inventions that, even when used with the best intensions, traps us in the contradictions that the U.S. environmental movement has long been beholden to. This is not to be mistaken for reinforcing human exceptionalism or for disregarding nonhuman life, spaces, and processes. </w:t>
      </w:r>
      <w:r w:rsidRPr="009948F6">
        <w:rPr>
          <w:u w:val="single"/>
        </w:rPr>
        <w:t>To me, abandoning these words is the ultimate reverence to the fact that humans are never at any point in time separate from non-human existence. We are of the Earth just as much as we imagine the Earth as being of us. Words like natural and wild carry an implicit bias that forces us to imagine human life as 78 separate from the rest of life on Earth</w:t>
      </w:r>
      <w:r>
        <w:t xml:space="preserve">. And once we are used to seeing climate action framed around the environment it because incredibly difficult to see climate change as anything but a particular set of concerns. I believe we need to find ways of pivoting from “environment” to non-human or living and non-living beings in order to talk about the spatial relations that humans share with the non-human world rather than the natural spaces we feel inclined to protect. </w:t>
      </w:r>
      <w:r w:rsidRPr="009948F6">
        <w:rPr>
          <w:u w:val="single"/>
        </w:rPr>
        <w:t>And this is not my own idea but is based in many indigenous epistemologies which are not only positioned in resistance to settler colonialism but also towards an understanding of ecological balance that includes humans at the same status as the non-human world. But anyone who studies the climate—however formally or informally—knows that to engage climate change is to think through plurality and to question common notions of justice to mean not just inclusion and equity but also mutual respect as manifested in shared space. One of the most important things we can do is decenter settler perspectives on climate change. And this is coming from a settler studying climate change.</w:t>
      </w:r>
      <w:r>
        <w:t xml:space="preserve"> I truly believe that people in positions of power from the local to the global need to step aside and listen more than they talk and we need to use our positions of power and resources to create space for alternative ways of being to enter public climate discourse. Rather than invest in technological innovation so that settlers can continue to settle and to live their lifestyles based on that settlement—</w:t>
      </w:r>
      <w:r w:rsidRPr="009948F6">
        <w:rPr>
          <w:u w:val="single"/>
        </w:rPr>
        <w:t>we need to invest in spaces, both physically and digitally, that bring people together for the simple purpose of talking about the complexities of life at this particular moment. I think it is difficult for settlers to see their own settler colonial mindset because I think even settlers get sucked into collective settlement.</w:t>
      </w:r>
      <w:r>
        <w:t xml:space="preserve"> From my own experience of 79 being a settler in the U.S., I have found that one becomes initiated into settlement twice— when you’re born or get put in a place in which you physically occupy stolen land and again when as you slowly accept and adopt settler practices that make you believe that you are removed from everyone else and exempt from collective accountability. </w:t>
      </w:r>
      <w:r w:rsidRPr="009948F6">
        <w:rPr>
          <w:u w:val="single"/>
        </w:rPr>
        <w:t>We are instructed, again and again and again, to forget our very presence in settler world. Settlers need to start talking about being settlers and we need to continue to call settlement out as it is being activated and mobilized. Otherwise, I don’t believe we can even get to a space in which we can talk about decolonial possibilities as anything other than metaphorical because we are still actively settling.</w:t>
      </w:r>
    </w:p>
    <w:p w14:paraId="59C0FB9E" w14:textId="77777777" w:rsidR="0023799E" w:rsidRDefault="0023799E" w:rsidP="0023799E">
      <w:pPr>
        <w:pStyle w:val="Heading4"/>
      </w:pPr>
      <w:r>
        <w:t>Settler logics are ripe in environmentalist literature and debate – mainstream environmental logic ignores people of color and indigenous communities!</w:t>
      </w:r>
    </w:p>
    <w:p w14:paraId="5B81CA18" w14:textId="77777777" w:rsidR="0023799E" w:rsidRPr="005B5773" w:rsidRDefault="0023799E" w:rsidP="0023799E">
      <w:r>
        <w:rPr>
          <w:rStyle w:val="Style13ptBold"/>
        </w:rPr>
        <w:t xml:space="preserve">Curnow and Helferty 18 </w:t>
      </w:r>
      <w:r w:rsidRPr="005B5773">
        <w:t>Curnow is Assistant Professor at the University of Manitoba’s Faculty of Education. Her work focuses on learning, antiracism, and decolonization in social movements, including the fossil fuel divestment campaign and the fair trade campaign. She previously served as the National Coordinator for United Students for Fair Trade and worked as an antioppression educator for international student campaigns. Her doctoral work was supported the Vanier Canada Graduate Scholarship. HELFERTY is a PhD candidate in Adult Education and Community Development at the Ontario Institute for Studies in Education, University of Toronto. She worked in a variety of leadership positions in the youth climate change movement in the United States and Canada. Her doctoral work is supported by a Social Sciences and Humanities Research Council Canada Graduate Scholarship.</w:t>
      </w:r>
      <w:r>
        <w:t xml:space="preserve"> (Joe and Anjali, “Contradictions of Solidarity”, </w:t>
      </w:r>
      <w:r w:rsidRPr="005B5773">
        <w:rPr>
          <w:i/>
          <w:iCs/>
        </w:rPr>
        <w:t>Environment and Society</w:t>
      </w:r>
      <w:r>
        <w:t xml:space="preserve"> , 2018, Vol. 9, Indigenous Resurgence, Decolonization, and Movements for Environmental Justice (2018), pp. 145-163, </w:t>
      </w:r>
      <w:hyperlink r:id="rId16" w:history="1">
        <w:r w:rsidRPr="009D354F">
          <w:rPr>
            <w:rStyle w:val="Hyperlink"/>
          </w:rPr>
          <w:t>https://www.jstor.org/stable/pdf/26879583.pdf?casa_token=OLMav-Rj3ikAAAAA:ovonhxevvXXKjdL-LmaWhR66myoIUzrnEALfRRkT8UY404BxlXE7m78knhBaagJGxpxalAc2z_JFSjaFiuQ3INDg8fccrj9Z_w7T0EX3ZvE7DttAZr4</w:t>
        </w:r>
      </w:hyperlink>
      <w:r>
        <w:t xml:space="preserve">, DOA: 7/15/24)//LFS – LMH </w:t>
      </w:r>
    </w:p>
    <w:p w14:paraId="1D32D190" w14:textId="77777777" w:rsidR="0023799E" w:rsidRPr="009948F6" w:rsidRDefault="0023799E" w:rsidP="0023799E">
      <w:pPr>
        <w:rPr>
          <w:u w:val="single"/>
        </w:rPr>
      </w:pPr>
      <w:r w:rsidRPr="009948F6">
        <w:rPr>
          <w:u w:val="single"/>
        </w:rPr>
        <w:t xml:space="preserve">Mainstream environmentalism has historically been a white, settler space. The term settler “denaturalizes and politicizes the presence of non-Indigenous people on Indigenous lands, but also can disrupt the comfort of non-Indigenous people by bringing ongoing colonial power relations into their consciousness” (Flowers 2015: 33). The term recognizes different people’s responsibilities and culpability/complicity in the colonial project. </w:t>
      </w:r>
      <w:r>
        <w:t xml:space="preserve">There is debate over the use of “settler,” as it can collapse the different histories and responsibilities that differently positioned non-Indigenous people carry (Byrd 2011; Lawrence and Dua 2005; Sharma and Wright 2008). </w:t>
      </w:r>
      <w:r w:rsidRPr="009948F6">
        <w:rPr>
          <w:u w:val="single"/>
        </w:rPr>
        <w:t>We agree that specificity is critical to communicating about the different responsibilities and differential access to power and privilege settlers have</w:t>
      </w:r>
      <w:r>
        <w:t xml:space="preserve">. At the same time, like Sherene Razack (2015) and Jaskiran Dhillon (2015), </w:t>
      </w:r>
      <w:r w:rsidRPr="009948F6">
        <w:rPr>
          <w:u w:val="single"/>
        </w:rPr>
        <w:t>we stress that any move to account for that complexity must not eclipse “what it means to live in a settler colonial state, [where] people of color and white settlers alike must confront our collective illegitimacy and determine how to live without participating in and sustaining the disappearance of Indigenous peoples</w:t>
      </w:r>
      <w:r>
        <w:t xml:space="preserve">” (Razack 2015: 27). </w:t>
      </w:r>
      <w:r w:rsidRPr="009948F6">
        <w:rPr>
          <w:u w:val="single"/>
        </w:rPr>
        <w:t xml:space="preserve">In this article, we theorize the complexity of how settler environmentalists might navigate racialization and colonialism in order to do solidarity, especially in a movement that has been so thoroughly marked by (and critiqued for) whiteness. Mainstream environmentalism, which in itself encompasses work ranging from raising awareness about ocean acidification to participating in a tree sit, includes settlers of color, and they/we are implicated in the settler colonial project as well, though differently. However, the existence of diversity does not preclude the domination of white culture </w:t>
      </w:r>
      <w:r>
        <w:t xml:space="preserve">(Ward 2008). Our goal in using particular terminology is to stress the role that whiteness plays in the mainstream environmental movement, understood through the logics of racialization and settler colonialism simultaneously. We are not trying to erase or collapse social relations or experiences. </w:t>
      </w:r>
      <w:r w:rsidRPr="009948F6">
        <w:rPr>
          <w:u w:val="single"/>
        </w:rPr>
        <w:t>Throughout this article, we are thinking about the ways in which racialization is enacted and resisted—and enacted through resistance—within a white, colonial movement. So how do settlers do environmentalism differently? How might we engage in decolonial, antiracist solidarity? Coming out of our long history of a racist and racializing movement and immersed in dominant social relations, how might mainstream environmentalists rethink our movement and our participation in solidarity? We arrive at this work as activists who worked in the environmental and global justice movements for more than a decade before coming to academic research.</w:t>
      </w:r>
      <w:r>
        <w:t xml:space="preserve"> As scholars, we have been surprised at the lack of literature that acknowledges the whiteness of the mainstream environmental movement head-on, since this is a widely understood critique in the movement. </w:t>
      </w:r>
      <w:r w:rsidRPr="009948F6">
        <w:rPr>
          <w:u w:val="single"/>
        </w:rPr>
        <w:t>As settler activists,3 our experience in movements drives our questions, as we seek to understand how activists, and environmentalists in particular, can learn to do solidarity in the context of racialized, colonial social relations. We take up this work not to be unsympathetically critical but to contribute to greater awareness of the ways in which solidarity frameworks can reinscribe racialized and colonial dynamics even as they seek to overcome them.</w:t>
      </w:r>
    </w:p>
    <w:p w14:paraId="419E48CB" w14:textId="77777777" w:rsidR="0023799E" w:rsidRDefault="0023799E" w:rsidP="0023799E">
      <w:pPr>
        <w:pStyle w:val="Heading4"/>
      </w:pPr>
      <w:r>
        <w:t>Environmental work on Turtle Island uses indigenous people as props, forwarding anti-indigenous scholarship – the investment of the 1ac forwards this rhetoric</w:t>
      </w:r>
    </w:p>
    <w:p w14:paraId="705B7886" w14:textId="77777777" w:rsidR="0023799E" w:rsidRDefault="0023799E" w:rsidP="0023799E">
      <w:r>
        <w:rPr>
          <w:rStyle w:val="Style13ptBold"/>
        </w:rPr>
        <w:t xml:space="preserve">Curnow and Helferty 18 </w:t>
      </w:r>
      <w:r w:rsidRPr="005B5773">
        <w:t>Curnow is Assistant Professor at the University of Manitoba’s Faculty of Education. Her work focuses on learning, antiracism, and decolonization in social movements, including the fossil fuel divestment campaign and the fair trade campaign. She previously served as the National Coordinator for United Students for Fair Trade and worked as an antioppression educator for international student campaigns. Her doctoral work was supported the Vanier Canada Graduate Scholarship. HELFERTY is a PhD candidate in Adult Education and Community Development at the Ontario Institute for Studies in Education, University of Toronto. She worked in a variety of leadership positions in the youth climate change movement in the United States and Canada. Her doctoral work is supported by a Social Sciences and Humanities Research Council Canada Graduate Scholarship.</w:t>
      </w:r>
      <w:r>
        <w:t xml:space="preserve"> (Joe and Anjali, “Contradictions of Solidarity”, </w:t>
      </w:r>
      <w:r w:rsidRPr="005B5773">
        <w:rPr>
          <w:i/>
          <w:iCs/>
        </w:rPr>
        <w:t>Environment and Society</w:t>
      </w:r>
      <w:r>
        <w:t xml:space="preserve"> , 2018, Vol. 9, Indigenous Resurgence, Decolonization, and Movements for Environmental Justice (2018), pp. 145-163, </w:t>
      </w:r>
      <w:hyperlink r:id="rId17" w:history="1">
        <w:r w:rsidRPr="009D354F">
          <w:rPr>
            <w:rStyle w:val="Hyperlink"/>
          </w:rPr>
          <w:t>https://www.jstor.org/stable/pdf/26879583.pdf?casa_token=OLMav-Rj3ikAAAAA:ovonhxevvXXKjdL-LmaWhR66myoIUzrnEALfRRkT8UY404BxlXE7m78knhBaagJGxpxalAc2z_JFSjaFiuQ3INDg8fccrj9Z_w7T0EX3ZvE7DttAZr4</w:t>
        </w:r>
      </w:hyperlink>
      <w:r>
        <w:t xml:space="preserve">, DOA: 7/15/24)//LFS – LMH </w:t>
      </w:r>
    </w:p>
    <w:p w14:paraId="002B9249" w14:textId="77777777" w:rsidR="0023799E" w:rsidRPr="00911A31" w:rsidRDefault="0023799E" w:rsidP="0023799E">
      <w:pPr>
        <w:rPr>
          <w:u w:val="single"/>
        </w:rPr>
      </w:pPr>
      <w:r w:rsidRPr="00911A31">
        <w:rPr>
          <w:u w:val="single"/>
        </w:rPr>
        <w:t>Environmentalism and Indigenous Peoples Attention to relationship between peoples and lands is one of the coordinating worldviews common to many Indigenous peoples (Little Bear 2000). Th ese worldviews are nation and place specific, and Indigenous scholars continue to document theories, teachings, and land/water-based practices</w:t>
      </w:r>
      <w:r>
        <w:t xml:space="preserve"> (Atleo 2010; Basso 1996; Borrows 1997; Fermentez 2013; Hill 2017; LaDuke 1999; McGregor 2004; Simpson 2014; Todd 2014; Whetung 2016) in ways that center sovereignty and relationships to land and water but that are not typically considered within the environmentalist canon. Tsimshian and Nuu-chah-nulth scholar Clifford Atleo argues that </w:t>
      </w:r>
      <w:r w:rsidRPr="00911A31">
        <w:rPr>
          <w:u w:val="single"/>
        </w:rPr>
        <w:t>environmentalist ideas of preservation and conservation are incongruous with an Indigenous worldview (2010), as the logic of needing to protect the land from humans/oneself is nonsensical within Indigenous teachings and practice</w:t>
      </w:r>
      <w:r>
        <w:t>. Rather than highlight the differences in worldview, however, we want to stress that these are not ideas about the land existing in parallel. Nishnaabe scholar Madeline Whetung argues that “</w:t>
      </w:r>
      <w:r w:rsidRPr="00911A31">
        <w:rPr>
          <w:u w:val="single"/>
        </w:rPr>
        <w:t>colonial land relations have settled over top of Indigenous landbased relations, not beside them” (2016: 11). These are layered ideas, with colonial ideas about land, place, and environment emerging on top with the effect of disappearing Indigenous intelligences. Environmentalism contributes to Indigenous erasure and dispossession by perpetuating colonial relationships to land. The mainstream environmental movement has also often used Indigenous people as props rather than engaging as partners. As early as the 1970s, mainstream environmentalist organizations aired ads featuring “the crying Indian” to promote antipollution campaigns (Krech 1999), deploying racialized images of Indigenous people as noble yet powerless victims of environmental degradation. This image of the “ecological Indian,” which simultaneously creates an equivalency of Indigenous peoples with nature and asserts Indigenous nonuse of it (Harkin and Lewis 2007), has been strategically taken up by environmentalists in providing an argument against contemporary Western industrial society and a romanticized view of the past</w:t>
      </w:r>
      <w:r>
        <w:t xml:space="preserve"> (Nadasdy 2005; Willow 2009). It is within this same trope, however, that colonialism is made invisible and settlers can become the rightful stewards of the land. </w:t>
      </w:r>
      <w:r w:rsidRPr="00911A31">
        <w:rPr>
          <w:u w:val="single"/>
        </w:rPr>
        <w:t>The “ecological Indian” can only exist in the absence of modern Indigenous people, since it harkens back to a time before the present, implying that Indigenous people and nature are both currently disappearing/disappeared (Ray 2013). Mainstream campaigns have also clashed directly with Indigenous people’s livelihoods, most notably in Canada in the case of the campaign against the seal hunt (Arnaquq-Baril 2016; Kitossa 2000). Understandably, Indigenous peoples have not taken up the frame environmentalism offered. Instead, Indigenous environmental work in Turtle Island has often taken place within sovereignty movements, where returning the land or managing extraction fits within a larger decolonial frame</w:t>
      </w:r>
      <w:r>
        <w:t xml:space="preserve"> (LaDuke 1999; McGregor 2004; Varese 1996; Whetung 2016). Recent examples of this work include the mobilization around Standing Rock, an ongoing blockade at Unist’ot’en against oil exploration, and opposition to fracking at Elsipogtog First Nation. </w:t>
      </w:r>
      <w:r w:rsidRPr="00911A31">
        <w:rPr>
          <w:u w:val="single"/>
        </w:rPr>
        <w:t>Indigenous communities are claiming their rights to refuse and rejecting bids for recognition by the settler colonial state. Instead, they are drawing on arguments rooted in sovereignty.</w:t>
      </w:r>
    </w:p>
    <w:p w14:paraId="2297B9B0" w14:textId="77777777" w:rsidR="0023799E" w:rsidRDefault="0023799E" w:rsidP="0023799E">
      <w:pPr>
        <w:pStyle w:val="Heading4"/>
      </w:pPr>
      <w:r>
        <w:t>Movements that acknowledge solidarity are necessary – although to the untrained eye, it is hard to witness it is needed to have movements that stand in solidarity</w:t>
      </w:r>
    </w:p>
    <w:p w14:paraId="31BB4D23" w14:textId="77777777" w:rsidR="0023799E" w:rsidRDefault="0023799E" w:rsidP="0023799E">
      <w:r>
        <w:rPr>
          <w:rStyle w:val="Style13ptBold"/>
        </w:rPr>
        <w:t xml:space="preserve">Curnow and Helferty 18 </w:t>
      </w:r>
      <w:r w:rsidRPr="005B5773">
        <w:t>Curnow is Assistant Professor at the University of Manitoba’s Faculty of Education. Her work focuses on learning, antiracism, and decolonization in social movements, including the fossil fuel divestment campaign and the fair trade campaign. She previously served as the National Coordinator for United Students for Fair Trade and worked as an antioppression educator for international student campaigns. Her doctoral work was supported the Vanier Canada Graduate Scholarship. HELFERTY is a PhD candidate in Adult Education and Community Development at the Ontario Institute for Studies in Education, University of Toronto. She worked in a variety of leadership positions in the youth climate change movement in the United States and Canada. Her doctoral work is supported by a Social Sciences and Humanities Research Council Canada Graduate Scholarship.</w:t>
      </w:r>
      <w:r>
        <w:t xml:space="preserve"> (Joe and Anjali, “Contradictions of Solidarity”, </w:t>
      </w:r>
      <w:r w:rsidRPr="005B5773">
        <w:rPr>
          <w:i/>
          <w:iCs/>
        </w:rPr>
        <w:t>Environment and Society</w:t>
      </w:r>
      <w:r>
        <w:t xml:space="preserve"> , 2018, Vol. 9, Indigenous Resurgence, Decolonization, and Movements for Environmental Justice (2018), pp. 145-163, </w:t>
      </w:r>
      <w:hyperlink r:id="rId18" w:history="1">
        <w:r w:rsidRPr="009D354F">
          <w:rPr>
            <w:rStyle w:val="Hyperlink"/>
          </w:rPr>
          <w:t>https://www.jstor.org/stable/pdf/26879583.pdf?casa_token=OLMav-Rj3ikAAAAA:ovonhxevvXXKjdL-LmaWhR66myoIUzrnEALfRRkT8UY404BxlXE7m78knhBaagJGxpxalAc2z_JFSjaFiuQ3INDg8fccrj9Z_w7T0EX3ZvE7DttAZr4</w:t>
        </w:r>
      </w:hyperlink>
      <w:r>
        <w:t xml:space="preserve">, DOA: 7/15/24)//LFS – LMH </w:t>
      </w:r>
    </w:p>
    <w:p w14:paraId="798B026A" w14:textId="77777777" w:rsidR="0023799E" w:rsidRPr="00911A31" w:rsidRDefault="0023799E" w:rsidP="0023799E">
      <w:pPr>
        <w:rPr>
          <w:u w:val="single"/>
        </w:rPr>
      </w:pPr>
      <w:r w:rsidRPr="00911A31">
        <w:rPr>
          <w:u w:val="single"/>
        </w:rPr>
        <w:t xml:space="preserve">On Solidarity Given the racialized and colonial history of the mainstream environmental movement, it is particularly interesting that academic discussions of solidarity in the environmental movement rarely engage the politics of racialization and colonialism. Nowhere in the literature do we fi nd a substantial exploration of how race and colonialism shape the context of environmental solidarity, either making solidarity all the more necessary in response, or refl ecting on the ways in which solidarity itself may remap racial and colonial logics </w:t>
      </w:r>
      <w:r>
        <w:t xml:space="preserve">(Gaztambide-Fernández 2012). Because this is largely overlooked in the writing on environmental coalitions, we look to other social movements that were founded explicitly to do solidarity work. </w:t>
      </w:r>
      <w:r w:rsidRPr="00911A31">
        <w:rPr>
          <w:u w:val="single"/>
        </w:rPr>
        <w:t>We take this up with the goal of off ering participants in the mainstream environmental movement an expanded language with which to think about how we disrupt the whiteness and settler coloniality of environmentalism</w:t>
      </w:r>
      <w:r>
        <w:t xml:space="preserve">. </w:t>
      </w:r>
      <w:r w:rsidRPr="00911A31">
        <w:rPr>
          <w:u w:val="single"/>
        </w:rPr>
        <w:t>Th e idea of solidarity is taken up in vastly diff erent ways across literatures, from philosophy and political theory (Bayertz 1999; Hooker 2009; Scholz 2008), to feminist theory (Dean 1996; Mohanty 2003), to curriculum studies (Swalwell 2013; Gaztambide-Fernández 2012; Lissovoy and Brown 2013), and beyond. Th e most common thread connecting these ideas is the shared belief that “solidarity” is used inconsistently and is in need of more systematic theorization</w:t>
      </w:r>
      <w:r>
        <w:t xml:space="preserve"> (Bayertz 1999; Gaztambide-Fernández 2012; Power and Charlip 2009; Sundberg 2007; Wilde 2007). We can see that diversity across articles on solidarity rooted in movement contexts, many of which are written by scholar activists embedded in solidarity campaigns</w:t>
      </w:r>
      <w:r w:rsidRPr="00911A31">
        <w:rPr>
          <w:u w:val="single"/>
        </w:rPr>
        <w:t>. Th ese articles explore movements including Latin America solidarity (Finley-Brook and Hoy 2009; Olesen 2004; Power 2009; Sundberg 2007), accompaniment (Coy 1997; Koopman 2012; Mahrouse 2014; Weber 2006), anti-sweatshop (Armbuster-Sandoval 2005; Cravey 2004; L. Featherstone 2002; Traub-Werner and Cravey 2002), fair trade (Hussey and Curnow 2016; Polynczuk-Alenius and Pantti 2016; Wilson and Curnow 2013), Palestine (Bakan and Abu-Laban 2009; Gale 2014; Pollock 2008; Stamatopoulou-Robbins 2008; Tabar 2017), HIV/AIDS (Klug 2005), and other movements. In this article, we focus on solidarities that bridge place and power—there is extensive writing about solidarity in the labor movement, recent histories of South-South solidarities, especially those sustaining anticolonial revolutions (Tabar 2017), as well as what Nishnaabe scholar Leanne Betasamosake Simpson (2017) labels “co-resistors,” including Black-Brown solidarity (Tuck et al. 2014)</w:t>
      </w:r>
      <w:r>
        <w:t xml:space="preserve">. While these solidarity praxes may prove quite instructive to environmentalists, they operate from distinctive sets of politics. Th ese examples foreground shared experiences of exploitation across impacted groups, whereas the ideas of solidarity we take up here are predicated on disparate social locations, as we will interrogate in subsequent sections. </w:t>
      </w:r>
      <w:r w:rsidRPr="00911A31">
        <w:rPr>
          <w:u w:val="single"/>
        </w:rPr>
        <w:t xml:space="preserve">Works taking up solidarity rooted in movement usage rarely make their defi nition explicit. In most of these discussions, solidarity is understood to be activism in one place—geographical, socioeconomic, political—that works to defend the rights of people in a diff erent place (Passy 2001; Olesen 2005; Sundberg 2007). Various authors outline the core philosophies of solidarity work, suggesting that solidarity is defi ned by its attention to work on behalf of others </w:t>
      </w:r>
      <w:r>
        <w:t xml:space="preserve">(Finley Brook and Hoyt 2009; Gould 2007; Power and Charlip 2009; Sundberg 2007), though they also stress that solidarity should be diff erentiated from charitable work on behalf of others (Kraemer 2007). </w:t>
      </w:r>
      <w:r w:rsidRPr="00911A31">
        <w:rPr>
          <w:u w:val="single"/>
        </w:rPr>
        <w:t>Sara Koopman (2012) recognizes that the diff erence is foundational to solidarity activists, though arguably diffi cult for the untrained eye to recognize. Th ese articles suggest that while charity makes no eff ort to disrupt oppressive systems or imbalances of power but rather helps people within existing systems, solidarity is constructed as a process of amplifi cation (Hechter 1988, Koopman 2012) or standing alongside (Brown and Yaff e 2014, Shohat 2001). Th ese campaigns are understood as being based in shared political vision (Finley-Brook and Hoyt 2009; Gale 2014; Gill 2009; Hussey and Curnow 2016; Mahrouse 2014; Power and Charlip 2009; Rippe 1998; Tabar 2017), though this is not without complication. Solidarity thereby avoids reinforcing power imbalances through mechanisms of empowerment or help, but instead recognizes that the work undertaken is a shared goal of all participants in the solidarity eff ort (Pickerill 2009). With this understanding, North-South solidarity work is not solely for the benefit of Southern activists: it is in service of a more just and livable planet for all, or shared liberation (Routledge 2003).</w:t>
      </w:r>
    </w:p>
    <w:p w14:paraId="64E8A061" w14:textId="77777777" w:rsidR="0023799E" w:rsidRDefault="0023799E" w:rsidP="0023799E">
      <w:pPr>
        <w:pStyle w:val="Heading4"/>
      </w:pPr>
      <w:r>
        <w:t>Solidarity is paradoxical – the form of acknowledgement is damaging to movements because it slows down methods of resistance</w:t>
      </w:r>
    </w:p>
    <w:p w14:paraId="4B5D9D74" w14:textId="77777777" w:rsidR="0023799E" w:rsidRDefault="0023799E" w:rsidP="0023799E">
      <w:r>
        <w:rPr>
          <w:rStyle w:val="Style13ptBold"/>
        </w:rPr>
        <w:t xml:space="preserve">Curnow and Helferty 18 </w:t>
      </w:r>
      <w:r w:rsidRPr="005B5773">
        <w:t>Curnow is Assistant Professor at the University of Manitoba’s Faculty of Education. Her work focuses on learning, antiracism, and decolonization in social movements, including the fossil fuel divestment campaign and the fair trade campaign. She previously served as the National Coordinator for United Students for Fair Trade and worked as an antioppression educator for international student campaigns. Her doctoral work was supported the Vanier Canada Graduate Scholarship. HELFERTY is a PhD candidate in Adult Education and Community Development at the Ontario Institute for Studies in Education, University of Toronto. She worked in a variety of leadership positions in the youth climate change movement in the United States and Canada. Her doctoral work is supported by a Social Sciences and Humanities Research Council Canada Graduate Scholarship.</w:t>
      </w:r>
      <w:r>
        <w:t xml:space="preserve"> (Joe and Anjali, “Contradictions of Solidarity”, </w:t>
      </w:r>
      <w:r w:rsidRPr="005B5773">
        <w:rPr>
          <w:i/>
          <w:iCs/>
        </w:rPr>
        <w:t>Environment and Society</w:t>
      </w:r>
      <w:r>
        <w:t xml:space="preserve"> , 2018, Vol. 9, Indigenous Resurgence, Decolonization, and Movements for Environmental Justice (2018), pp. 145-163, </w:t>
      </w:r>
      <w:hyperlink r:id="rId19" w:history="1">
        <w:r w:rsidRPr="009D354F">
          <w:rPr>
            <w:rStyle w:val="Hyperlink"/>
          </w:rPr>
          <w:t>https://www.jstor.org/stable/pdf/26879583.pdf?casa_token=OLMav-Rj3ikAAAAA:ovonhxevvXXKjdL-LmaWhR66myoIUzrnEALfRRkT8UY404BxlXE7m78knhBaagJGxpxalAc2z_JFSjaFiuQ3INDg8fccrj9Z_w7T0EX3ZvE7DttAZr4</w:t>
        </w:r>
      </w:hyperlink>
      <w:r>
        <w:t xml:space="preserve">, DOA: 7/15/24)//LFS – LMH </w:t>
      </w:r>
    </w:p>
    <w:p w14:paraId="616E3A6A" w14:textId="77777777" w:rsidR="0023799E" w:rsidRPr="003C724B" w:rsidRDefault="0023799E" w:rsidP="0023799E">
      <w:pPr>
        <w:rPr>
          <w:u w:val="single"/>
        </w:rPr>
      </w:pPr>
      <w:r w:rsidRPr="00911A31">
        <w:rPr>
          <w:u w:val="single"/>
        </w:rPr>
        <w:t>Paradoxes of Racialized Solidarity</w:t>
      </w:r>
      <w:r>
        <w:t xml:space="preserve"> Th ough environmental activists may turn to discourses of solidarity as a way of addressing the racializing and colonial practices of the environmental movement, the philosophy of solidarity is still deeply embedded in the dominant relations of racialization and colonialism. Indeed, as Rubén Gaztambide-Fernández (2012) argues, </w:t>
      </w:r>
      <w:r w:rsidRPr="00911A31">
        <w:rPr>
          <w:u w:val="single"/>
        </w:rPr>
        <w:t xml:space="preserve">solidarity strategies oft en reinscribe colonial logics and obscure complicity in colonization. </w:t>
      </w:r>
      <w:r>
        <w:t>Gada Mahrouse argues that whiteness is intrinsic to solidarity activism: solidarity is “</w:t>
      </w:r>
      <w:r w:rsidRPr="00911A31">
        <w:rPr>
          <w:u w:val="single"/>
        </w:rPr>
        <w:t>a strategy built around the notion that people in positions of power are more likely to take notice of the brutality and injustice going on in various places if white and/or First World citizens become involved</w:t>
      </w:r>
      <w:r>
        <w:t xml:space="preserve">” (2014: 4). For the scholars who attend to the racialized logics of solidarity, </w:t>
      </w:r>
      <w:r w:rsidRPr="00911A31">
        <w:rPr>
          <w:u w:val="single"/>
        </w:rPr>
        <w:t>critiques circulate around the idea of solidarity as a type of “jiujitsu” (Mahony and Eguren 1997) that simultaneously recognizes asymmetrical power relations and attempts to use power to transform these very relations</w:t>
      </w:r>
      <w:r>
        <w:t xml:space="preserve"> (Coy 1997; Koopman 2012; Weber 2006). </w:t>
      </w:r>
      <w:r w:rsidRPr="00911A31">
        <w:rPr>
          <w:u w:val="single"/>
        </w:rPr>
        <w:t>Th ese scholars gesture toward several paradoxes embedded within this logic, tracing how solidarity frames rely on and reinscribe racial and colonial ideas. While solidarity tactics tend to be framed as antiracist, they also recenter white/settler/ privileged people</w:t>
      </w:r>
      <w:r>
        <w:t>. Problematically, those purporting to act in solidarity are not always aware</w:t>
      </w:r>
      <w:r w:rsidRPr="005B5773">
        <w:t xml:space="preserve"> </w:t>
      </w:r>
      <w:r>
        <w:t>of this centering. T</w:t>
      </w:r>
      <w:r w:rsidRPr="00911A31">
        <w:rPr>
          <w:u w:val="single"/>
        </w:rPr>
        <w:t>he logics of solidarity require the presence of a privileged person in order for the work to proceed. At the same time, paradoxically, the privileged presence is framed as peripheral and in support</w:t>
      </w:r>
      <w:r>
        <w:t xml:space="preserve"> (Koopman 2012; Mahrouse 2014). In this way, the whole repertoire of action hinges on privileged people’s participation, making them the linchpin of such strategies. </w:t>
      </w:r>
      <w:r w:rsidRPr="00911A31">
        <w:rPr>
          <w:u w:val="single"/>
        </w:rPr>
        <w:t xml:space="preserve">Solidarity is predicated on the fact that in a white supremacist society, white bodies and white voices matter more. </w:t>
      </w:r>
      <w:r>
        <w:t xml:space="preserve">While seeking to leverage this logic, activists leave it uncontested and, in fact, trade on the logic (Mahrouse 2014; Tabar 2017). Leey’qsun scholar Rachel Flowers argues that the logics of settler privilege are particularly visible in settler-Indigenous solidarity work. She argues that in deploying their privilege to support Indigenous peoples’ resistance, settlers oft en fail to recognize their ability to choose when to support decolonial struggles. </w:t>
      </w:r>
      <w:r w:rsidRPr="00911A31">
        <w:rPr>
          <w:u w:val="single"/>
        </w:rPr>
        <w:t>Th rough this mobilization of privilege, Flowers argues, “Indigenous sites of resistance also become sites where our domination is sustained rather than interrupted”</w:t>
      </w:r>
      <w:r>
        <w:t xml:space="preserve"> (2015: 35). </w:t>
      </w:r>
      <w:r w:rsidRPr="00911A31">
        <w:rPr>
          <w:u w:val="single"/>
        </w:rPr>
        <w:t>Th e critiques of race, white privilege, and solidarity also point to how this makes doing whiteness—a position that many solidarity activists reject as a political stance—central to the performance of doing solidarity, because in order to reap the benefi ts of privileged people’s positions, they must be legible as white, so they must play up aspects of whiteness that are valued under white supremacy</w:t>
      </w:r>
      <w:r>
        <w:t xml:space="preserve"> (Koopman 2012; Mahrouse 2014; Weber 2006). Th is is particularly complicated for those involved in solidarity action who are mixed or people of color. In order for them to participate in these strategies, they oft en must explicitly try to perform whiteness (Mahrouse 2014) in order to access the benefi ts of privilege and thus mobilize the strategic interventions. </w:t>
      </w:r>
      <w:r w:rsidRPr="003C724B">
        <w:rPr>
          <w:u w:val="single"/>
        </w:rPr>
        <w:t xml:space="preserve">Th is dynamic places people of color in situations where they are unable to engage the same tactics as their white colleagues because they cannot or will not pass as white. We also see instances in which settler activists of color must position themselves as similarly responsible for settler violence as white settlers, which can erase the colonial violence that is and has been enacted on non-Indigenous racialized people </w:t>
      </w:r>
      <w:r>
        <w:t>(Byrd 2011; Lawrence and Dua 2005; Morgensen 2015).</w:t>
      </w:r>
      <w:r w:rsidRPr="005B5773">
        <w:t xml:space="preserve"> </w:t>
      </w:r>
      <w:r w:rsidRPr="003C724B">
        <w:rPr>
          <w:u w:val="single"/>
        </w:rPr>
        <w:t>For solidarity strategies predicated on the idea of amplifying the voices of impacted communities, a whole other set of contradictions arises.</w:t>
      </w:r>
      <w:r>
        <w:t xml:space="preserve"> While privileged activists claim that more people will listen to their voices based on their social locations—oft en correctly—they then speak for others, a practice that they argue against (Mahrouse 2014). And when they do receive disproportionate press coverage or attention, they then have to stress that the stories of the directly impacted are, in fact, most important. Th e very presence of privileged solidarity activists belies that point: if the stories of impacted communities are more important and are the ones that should be heeded, why are solidarity activists in front of the cameras? Other scholars have also worked to negotiate and articulate this contradiction, arguing that there is a diff erence between speaking for and speaking alongside (Shohat 2001), or that these strategies draw on problematic ideas of conquest, exploration, and objectivity (Tilley and Cokley 2008). Sara Ahmed (2007) </w:t>
      </w:r>
      <w:r w:rsidRPr="003C724B">
        <w:rPr>
          <w:u w:val="single"/>
        </w:rPr>
        <w:t>criticizes the move, suggesting that only the privileged have access to others’ narratives in this way and that the privilege to document others’ lives reinforces rather than undermines the logic of white supremacy. Along similar lines, Mahrouse (2014) argues that the “speaking alongside” approach to solidarity is a racialized privilege that is obscured through the logics of neutrality and exceptionalism, both of which become reifi ed as white or privileged people step in and speak for. In doing so, they suggest to other similarly situated people that the political struggle matters because of the privileged person’s exposure to risk and that reports can now be trusted because the situation is being documented “objectively” by a privileged person. Th ese ideas actively reinforce supremacist notions of who is credible and valuable. Solidarity strategies that use these approaches are implicated in reinforcing deeply problematic societal structures</w:t>
      </w:r>
      <w:r>
        <w:t>. Unangaxˆ scholar Eve Tuck and K. Wayne Yang (2012) have stressed the need to recognize incommensurability in solidarity or coalition-based collaboration. They suggest that while there</w:t>
      </w:r>
      <w:r w:rsidRPr="005B5773">
        <w:t xml:space="preserve"> </w:t>
      </w:r>
      <w:r>
        <w:t xml:space="preserve">may be some desired common outcome that overlaps across movements, the foundational reasons for the movements’ existences are fundamentally different. Without recognizing this, attempts to collaborate closely can replicate colonial practices by subsuming Indigenous sovereignty, or the rights of other impacted communities, under a more powerful or privileged movement. Sally Scholz (2008) makes a related, though separate, argument about the significance of epistemological privilege. This points to what Geonpul scholar Aileen Moreton-Robinson (2004) labels epistemologies of whiteness, where we can trace how dominant Eurowestern ways of knowing are mobilized in solidarity relationships despite the intentions of privileged activists, and that these undermine opportunities for decolonial solidarity. </w:t>
      </w:r>
      <w:r w:rsidRPr="003C724B">
        <w:rPr>
          <w:u w:val="single"/>
        </w:rPr>
        <w:t>Dhillon argues “that without an explicit and deep anti-colonial analysis we run the risk of reinscribing the narrative of white settler benevolence . . . and a colonial subjectivity that keeps white settler power intact”</w:t>
      </w:r>
      <w:r>
        <w:t xml:space="preserve"> (2015: 6). The scholarship in this area notes that solidarity activists are often aware of these contradictions and their complicity in reinscribing racial hierarchy, yet they continue taking up strategies that place them in these paradoxes (Mahrouse 2014; Weber 2006). Mahrouse (2014) demonstrates that the existence of privileged people wanting to work in solidarity, follow the leadership of impacted communities, and not be in a position of asymmetric power does not change the power relations but instead makes them more visible and more uncomfortable. </w:t>
      </w:r>
      <w:r w:rsidRPr="003C724B">
        <w:rPr>
          <w:u w:val="single"/>
        </w:rPr>
        <w:t>For example, activists on the ground know that the rejection of a charity model as condescending can also contradict requests for philanthropic support. In these instances, solidarity activists are caught in a paradox of not wanting to mobilize their economic power over impacted communities while also intending to follow the direction of the community (Weber 2006). Th ey know that they are participating in struggles that are not their own, and that this is a potentially problematic position, yet they participate, arguing that the invitation of communities soothes some of the contradictions inherent to their participation. Th ese contradictions do not resolve themselves and persistently pose problems for antiracist and anticolonial allies to try to navigate.</w:t>
      </w:r>
    </w:p>
    <w:p w14:paraId="433E3FD4" w14:textId="5D83E5D9" w:rsidR="0023799E" w:rsidRPr="009E3DAF" w:rsidRDefault="0023799E" w:rsidP="009E3DAF"/>
    <w:p w14:paraId="537BB473" w14:textId="77777777" w:rsidR="009E3DAF" w:rsidRPr="009E3DAF" w:rsidRDefault="009E3DAF" w:rsidP="009E3DAF">
      <w:pPr>
        <w:pStyle w:val="Heading2"/>
      </w:pPr>
      <w:r w:rsidRPr="009E3DAF">
        <w:t>Neg---E-Commerce</w:t>
      </w:r>
    </w:p>
    <w:p w14:paraId="4BC679FE" w14:textId="77777777" w:rsidR="009E3DAF" w:rsidRPr="009E3DAF" w:rsidRDefault="009E3DAF" w:rsidP="009E3DAF">
      <w:pPr>
        <w:pStyle w:val="Heading3"/>
      </w:pPr>
      <w:r w:rsidRPr="009E3DAF">
        <w:t>Can’t solve counterfeiting</w:t>
      </w:r>
    </w:p>
    <w:p w14:paraId="1842D36D" w14:textId="77777777" w:rsidR="009E3DAF" w:rsidRPr="009E3DAF" w:rsidRDefault="009E3DAF" w:rsidP="009E3DAF">
      <w:pPr>
        <w:pStyle w:val="Heading4"/>
      </w:pPr>
      <w:r w:rsidRPr="009E3DAF">
        <w:t>Counterfeiters find a way around vetting</w:t>
      </w:r>
    </w:p>
    <w:p w14:paraId="56B5C161" w14:textId="77777777" w:rsidR="009E3DAF" w:rsidRPr="009E3DAF" w:rsidRDefault="009E3DAF" w:rsidP="009E3DAF">
      <w:r w:rsidRPr="009E3DAF">
        <w:rPr>
          <w:b/>
        </w:rPr>
        <w:t>El-Azzi 23</w:t>
      </w:r>
      <w:r w:rsidRPr="009E3DAF">
        <w:t>, J.D. 2023, University of Houston Law Center. Chelsea K. El-Azzi is Texas bar licensed and currently practicing law in Houston, “VERIFICATION OF THIRD-PARTY ONLINE MARKETPLACE SELLERS: PROTECTING CONSUMERS AGAINST COUNTERFEITS,” 2023, Nexis UNI, Accessed: 6/29/2024 //BVN C</w:t>
      </w:r>
    </w:p>
    <w:p w14:paraId="15C89CB4" w14:textId="77777777" w:rsidR="009E3DAF" w:rsidRPr="009E3DAF" w:rsidRDefault="009E3DAF" w:rsidP="009E3DAF">
      <w:r w:rsidRPr="009E3DAF">
        <w:t xml:space="preserve">Some believe that holding marketplaces liable for harm stemming from listings on their sites is appropriate because the marketplaces are the "guardians" of their sites and are in the best position to verify and police sellers and listings.138 </w:t>
      </w:r>
      <w:r w:rsidRPr="009E3DAF">
        <w:rPr>
          <w:u w:val="single"/>
        </w:rPr>
        <w:t>One of the ways that marketplaces can guard their platform against bad actors is to thoroughly verify seller identity, location, and address using more than a governmental ID</w:t>
      </w:r>
      <w:r w:rsidRPr="009E3DAF">
        <w:t xml:space="preserve">.139 </w:t>
      </w:r>
      <w:r w:rsidRPr="009E3DAF">
        <w:rPr>
          <w:u w:val="single"/>
        </w:rPr>
        <w:t>Parties</w:t>
      </w:r>
      <w:r w:rsidRPr="009E3DAF">
        <w:t xml:space="preserve"> on both sides </w:t>
      </w:r>
      <w:r w:rsidRPr="009E3DAF">
        <w:rPr>
          <w:u w:val="single"/>
        </w:rPr>
        <w:t xml:space="preserve">show concern with seller identification requirements, noting that it is </w:t>
      </w:r>
      <w:r w:rsidRPr="009E3DAF">
        <w:t xml:space="preserve">[*231] </w:t>
      </w:r>
      <w:r w:rsidRPr="009E3DAF">
        <w:rPr>
          <w:u w:val="single"/>
        </w:rPr>
        <w:t>still relatively easy to use false or stolen identification</w:t>
      </w:r>
      <w:r w:rsidRPr="009E3DAF">
        <w:t xml:space="preserve">.140 </w:t>
      </w:r>
      <w:r w:rsidRPr="009E3DAF">
        <w:rPr>
          <w:u w:val="single"/>
        </w:rPr>
        <w:t>Moreover, the global participation model used by marketplaces means that platforms often have no way to physically inspect identification documents to verify legitimacy</w:t>
      </w:r>
      <w:r w:rsidRPr="009E3DAF">
        <w:t xml:space="preserve">.141 Yet, despite the imperfections of current vetting processes, requiring marketplaces to increase their scrutiny of seller-provided documentation is seen by many as a step in the right direction.142 Some </w:t>
      </w:r>
      <w:r w:rsidRPr="009E3DAF">
        <w:rPr>
          <w:u w:val="single"/>
        </w:rPr>
        <w:t>small, individual business owners working out of their homes fear that requiring disclosure of seller names and addresses will endanger their personal lives.</w:t>
      </w:r>
      <w:r w:rsidRPr="009E3DAF">
        <w:t xml:space="preserve">143 Acknowledging privacy and personal safety concerns, the INFORM Act allows sellers who do not have a non-residential business address to display only their country or state of residence.144 Personal contact information collected for the purposes of verifying seller identification, including residential addresses, is not to be displayed to consumers on the seller's listing and is required to be protected in a secured data bank.145 Legitimate business operators support consumer disclosure requirements and the obligation to provide a business address, claiming that more transparency will deter bad actors who hide behind anonymity.146 </w:t>
      </w:r>
      <w:r w:rsidRPr="009E3DAF">
        <w:rPr>
          <w:u w:val="single"/>
        </w:rPr>
        <w:t>Information disclosure can only go so far to deter sellers of counterfeit goods. Even when online marketplaces verify seller identity and audit the products before they are offered for sale on the platform, sellers still have the opportunity to deal in fake goods after the initial marketplace entry requirements. It is</w:t>
      </w:r>
      <w:r w:rsidRPr="009E3DAF">
        <w:t xml:space="preserve"> [*232] </w:t>
      </w:r>
      <w:r w:rsidRPr="009E3DAF">
        <w:rPr>
          <w:u w:val="single"/>
        </w:rPr>
        <w:t xml:space="preserve">possible for a seller to send authentic products to the marketplace to pass </w:t>
      </w:r>
      <w:r w:rsidRPr="009E3DAF">
        <w:t xml:space="preserve">audits and </w:t>
      </w:r>
      <w:r w:rsidRPr="009E3DAF">
        <w:rPr>
          <w:u w:val="single"/>
        </w:rPr>
        <w:t>inspections, only to turn around and sell counterfeit products</w:t>
      </w:r>
      <w:r w:rsidRPr="009E3DAF">
        <w:t xml:space="preserve"> directly to the consumer.147 To ensure that product standards and contractual agreements are met, marketplaces must continually audit sellers and their products.148</w:t>
      </w:r>
    </w:p>
    <w:p w14:paraId="4C305F89" w14:textId="77777777" w:rsidR="009E3DAF" w:rsidRPr="009E3DAF" w:rsidRDefault="009E3DAF" w:rsidP="009E3DAF"/>
    <w:p w14:paraId="76CDE2CF" w14:textId="77777777" w:rsidR="009E3DAF" w:rsidRPr="009E3DAF" w:rsidRDefault="009E3DAF" w:rsidP="009E3DAF">
      <w:pPr>
        <w:pStyle w:val="Heading4"/>
      </w:pPr>
      <w:r w:rsidRPr="009E3DAF">
        <w:t>E-Commerce companies would tank the fines and not enforce the plan</w:t>
      </w:r>
    </w:p>
    <w:p w14:paraId="53830972" w14:textId="77777777" w:rsidR="009E3DAF" w:rsidRPr="009E3DAF" w:rsidRDefault="009E3DAF" w:rsidP="009E3DAF">
      <w:r w:rsidRPr="009E3DAF">
        <w:rPr>
          <w:b/>
        </w:rPr>
        <w:t>Niermeyer 21,</w:t>
      </w:r>
      <w:r w:rsidRPr="009E3DAF">
        <w:t xml:space="preserve"> Eric Niermeyer is a Content Marketing Specialist at OneDigital, “Would the SHOP SAFE Act really fix e-commerce?,” 8/4/2021, https://www.c2sense.com/post/would-the-shop-safe-act-really-fix-e-commerce //BVN C</w:t>
      </w:r>
    </w:p>
    <w:p w14:paraId="650E4A21" w14:textId="77777777" w:rsidR="009E3DAF" w:rsidRPr="009E3DAF" w:rsidRDefault="009E3DAF" w:rsidP="009E3DAF">
      <w:r w:rsidRPr="009E3DAF">
        <w:t xml:space="preserve">It's encouraging to see that the authors of the SHOP SAFE Act understand this core issue, but </w:t>
      </w:r>
      <w:r w:rsidRPr="009E3DAF">
        <w:rPr>
          <w:u w:val="single"/>
        </w:rPr>
        <w:t xml:space="preserve">there are some obvious disadvantages to their proposed policy solution. Outsourcing IP enforcement to the private sector on such a large scale is </w:t>
      </w:r>
      <w:r w:rsidRPr="009E3DAF">
        <w:t xml:space="preserve">a </w:t>
      </w:r>
      <w:r w:rsidRPr="009E3DAF">
        <w:rPr>
          <w:u w:val="single"/>
        </w:rPr>
        <w:t>risky</w:t>
      </w:r>
      <w:r w:rsidRPr="009E3DAF">
        <w:t xml:space="preserve"> proposition, </w:t>
      </w:r>
      <w:r w:rsidRPr="009E3DAF">
        <w:rPr>
          <w:u w:val="single"/>
        </w:rPr>
        <w:t>and could create a spate of new and unforeseen consequences</w:t>
      </w:r>
      <w:r w:rsidRPr="009E3DAF">
        <w:t xml:space="preserve">. While there’s a case to be made that severe levels of counterfeiting pose a threat to the underlying business model of e-commerce companies, </w:t>
      </w:r>
      <w:r w:rsidRPr="009E3DAF">
        <w:rPr>
          <w:u w:val="single"/>
        </w:rPr>
        <w:t xml:space="preserve">it must be noted that a certain amount of counterfeiting is actually good for their bottom line. Sales are sales, and platform owners receive a cut regardless of </w:t>
      </w:r>
      <w:r w:rsidRPr="009E3DAF">
        <w:rPr>
          <w:u w:val="single"/>
        </w:rPr>
        <w:tab/>
        <w:t xml:space="preserve">whether the products </w:t>
      </w:r>
      <w:r w:rsidRPr="009E3DAF">
        <w:t>changing hands</w:t>
      </w:r>
      <w:r w:rsidRPr="009E3DAF">
        <w:rPr>
          <w:u w:val="single"/>
        </w:rPr>
        <w:t xml:space="preserve"> are authentic. </w:t>
      </w:r>
      <w:r w:rsidRPr="009E3DAF">
        <w:t xml:space="preserve">It doesn’t take a particularly brilliant mind to understand why </w:t>
      </w:r>
      <w:r w:rsidRPr="009E3DAF">
        <w:rPr>
          <w:u w:val="single"/>
        </w:rPr>
        <w:t>it may be unwise to deputize these corporations to solve the problem of counterfeiting when they have such a clear conflict of interest. If e-commerce companies were unable or unwilling to fully execute the Herculean task assigned to them by Congress, would the federal government really be able to force them to change course? One can envision a scenario where</w:t>
      </w:r>
      <w:r w:rsidRPr="009E3DAF">
        <w:t xml:space="preserve"> ambivalent </w:t>
      </w:r>
      <w:r w:rsidRPr="009E3DAF">
        <w:rPr>
          <w:u w:val="single"/>
        </w:rPr>
        <w:t>e-commerce corporations pay lip service to the goals of the SHOP SAFE Act while doing little to enforce it in practice. These companies could resign themselves to paying a modest fine every so often knowing that they will easily make that money back</w:t>
      </w:r>
      <w:r w:rsidRPr="009E3DAF">
        <w:t xml:space="preserve">, Congress could congratulate itself for “solving” the problem of online counterfeiting, </w:t>
      </w:r>
      <w:r w:rsidRPr="009E3DAF">
        <w:rPr>
          <w:u w:val="single"/>
        </w:rPr>
        <w:t>and very little would change on the ground</w:t>
      </w:r>
      <w:r w:rsidRPr="009E3DAF">
        <w:t>.</w:t>
      </w:r>
    </w:p>
    <w:p w14:paraId="703ECD85" w14:textId="77777777" w:rsidR="009E3DAF" w:rsidRPr="009E3DAF" w:rsidRDefault="009E3DAF" w:rsidP="009E3DAF"/>
    <w:p w14:paraId="345F58FC" w14:textId="77777777" w:rsidR="009E3DAF" w:rsidRPr="009E3DAF" w:rsidRDefault="009E3DAF" w:rsidP="009E3DAF">
      <w:pPr>
        <w:pStyle w:val="Heading4"/>
      </w:pPr>
      <w:r w:rsidRPr="009E3DAF">
        <w:t>Scanning tech fails and marketplaces don’t know how to accurately detect a counterfeit</w:t>
      </w:r>
    </w:p>
    <w:p w14:paraId="48E58427" w14:textId="77777777" w:rsidR="009E3DAF" w:rsidRPr="009E3DAF" w:rsidRDefault="009E3DAF" w:rsidP="009E3DAF">
      <w:r w:rsidRPr="009E3DAF">
        <w:rPr>
          <w:b/>
        </w:rPr>
        <w:t>Bannigan et al 24,</w:t>
      </w:r>
      <w:r w:rsidRPr="009E3DAF">
        <w:t xml:space="preserve"> Megan K. Bannigan is a partner in the Litigation and Intellectual Property &amp; Media Groups, Christopher S. Ford is a counsel in the Litigation Department who is a member of the firm’s Intellectual Property Litigation Group and Data Strategy &amp; Security practice, Kate Saba is an associate in the Litigation Department who is a member of the firm’s Intellectual Property Litigation Group and Data Strategy &amp; Security practice, “World Trademark Review: Does the U.S. SHOP SAFE Act Go Too Far in Shifting Liability?,” May 2024, https://www.debevoise.com/insights/publications/2024/05/world-trademark-review-does-the-us-shop-safe-act#:~:text=The%20SHOP%20SAFE%20Act%2C%20as,in%20the%20problem%20of%20counterfeiting. //BVN C</w:t>
      </w:r>
    </w:p>
    <w:p w14:paraId="280BA662" w14:textId="77777777" w:rsidR="009E3DAF" w:rsidRPr="009E3DAF" w:rsidRDefault="009E3DAF" w:rsidP="009E3DAF">
      <w:r w:rsidRPr="009E3DAF">
        <w:t xml:space="preserve">Shifting the Burden of Detecting Counterfeits The SHOP SAFE Act’s safe harbour provisions provide some reasonable requirements of marketplaces: for example, encouraging programmes to quickly remove suspected counterfeit listings and terminating sellers who repeatedly list counterfeit products. But the overall scheme creates a new and untested landscape by shifting the burden for policing for counterfeits from brand owners onto marketplaces. </w:t>
      </w:r>
      <w:r w:rsidRPr="009E3DAF">
        <w:rPr>
          <w:u w:val="single"/>
        </w:rPr>
        <w:t>There are substantial technological limitations to screening technology, and platforms are often not well positioned to know every product a brand has made and how to identify every counterfeit that might be out there.</w:t>
      </w:r>
      <w:r w:rsidRPr="009E3DAF">
        <w:t xml:space="preserve"> To combat counterfeiting, platforms need to implement policies for screening and terminating listings and sellers and brand owners need to provide platforms with the information to effectively do so. In its current form, the act requires that </w:t>
      </w:r>
      <w:r w:rsidRPr="009E3DAF">
        <w:rPr>
          <w:u w:val="single"/>
        </w:rPr>
        <w:t>marketplaces ensure sellers use images that accurately depict the goods sold and use “identifying characteristics” of listings and sellers to determine if goods are counterfeit, but it does not require trademark owners to provide a way for marketplaces to know what authentic goods should look like</w:t>
      </w:r>
      <w:r w:rsidRPr="009E3DAF">
        <w:t xml:space="preserve">. Instead, the act only requires the trademark owner to provide the notice of its mark and a point of contact. It expressly prohibits requiring that trademark owners “participate in any program specific to the electronic commerce platform” such as an information-sharing programme. </w:t>
      </w:r>
      <w:r w:rsidRPr="009E3DAF">
        <w:rPr>
          <w:u w:val="single"/>
        </w:rPr>
        <w:t xml:space="preserve">Without reliable information about brands’ products and trademarks, platforms cannot possibly implement successful screening measures and may be forced to remove non-infringing listings for fear of liability. Though AI tools are being developed that may have the </w:t>
      </w:r>
      <w:r w:rsidRPr="009E3DAF">
        <w:t xml:space="preserve">future </w:t>
      </w:r>
      <w:r w:rsidRPr="009E3DAF">
        <w:rPr>
          <w:u w:val="single"/>
        </w:rPr>
        <w:t>ability to compare logos and trademarks used in listings to</w:t>
      </w:r>
      <w:r w:rsidRPr="009E3DAF">
        <w:t xml:space="preserve"> those provided by </w:t>
      </w:r>
      <w:r w:rsidRPr="009E3DAF">
        <w:rPr>
          <w:u w:val="single"/>
        </w:rPr>
        <w:t>brands, those tools may yield false positives and false negatives and will lack the context and judgement to identify legitimate activity that is protected by doctrines like fair use.</w:t>
      </w:r>
      <w:r w:rsidRPr="009E3DAF">
        <w:t xml:space="preserve"> To avoid engaging in costly inquiries, </w:t>
      </w:r>
      <w:r w:rsidRPr="009E3DAF">
        <w:rPr>
          <w:u w:val="single"/>
        </w:rPr>
        <w:t>marketplaces may simply overcorrect by removing any suspect listings, sweeping in authentic products as well.</w:t>
      </w:r>
      <w:r w:rsidRPr="009E3DAF">
        <w:t xml:space="preserve"> While all parties should be engaged in the fight against counterfeits, shifting the burden entirely onto marketplaces in this way will harm all parties—the marketplaces, trademark owners, sellers and consumers.</w:t>
      </w:r>
    </w:p>
    <w:p w14:paraId="61FACBC0" w14:textId="77777777" w:rsidR="009E3DAF" w:rsidRPr="009E3DAF" w:rsidRDefault="009E3DAF" w:rsidP="009E3DAF"/>
    <w:p w14:paraId="6D676FE5" w14:textId="77777777" w:rsidR="009E3DAF" w:rsidRPr="009E3DAF" w:rsidRDefault="009E3DAF" w:rsidP="009E3DAF">
      <w:pPr>
        <w:pStyle w:val="Heading4"/>
      </w:pPr>
      <w:r w:rsidRPr="009E3DAF">
        <w:t>Marketplaces can’t cooperate with EVERY brand to identify legit products and counterfeits – there are 9.8 million brands that sell on e-commerce</w:t>
      </w:r>
    </w:p>
    <w:p w14:paraId="343C9AA7" w14:textId="77777777" w:rsidR="009E3DAF" w:rsidRPr="009E3DAF" w:rsidRDefault="009E3DAF" w:rsidP="009E3DAF">
      <w:r w:rsidRPr="009E3DAF">
        <w:rPr>
          <w:b/>
        </w:rPr>
        <w:t>Etail insights 24,</w:t>
      </w:r>
      <w:r w:rsidRPr="009E3DAF">
        <w:t xml:space="preserve"> Etail Insights is an industry leader in procuring eCommerce Leads and information about Etailers, “HOW MANY ETAILERS ARE IN THE US?,” x/x/2024, https://www.etailinsights.com/online-retailer-market-size#:~:text=In%20summary%2C%20there%20are%20currently,located%20in%20the%20United%20States. Accessed: 7/1/2024 //CPSW MC</w:t>
      </w:r>
    </w:p>
    <w:p w14:paraId="1405D941" w14:textId="77777777" w:rsidR="009E3DAF" w:rsidRPr="009E3DAF" w:rsidRDefault="009E3DAF" w:rsidP="009E3DAF">
      <w:r w:rsidRPr="009E3DAF">
        <w:t xml:space="preserve">Have you ever wondered how many online retailers (“etailers”) there in the United States? How about the entire world? If you work for an eCommerce solution provider this is a question that is top of mind for you at all times. It’s essential to know the comprehensive number of online retailers globally or in the US to better understand your total addressable market. </w:t>
      </w:r>
      <w:r w:rsidRPr="009E3DAF">
        <w:rPr>
          <w:u w:val="single"/>
        </w:rPr>
        <w:t>In summary, there are currently 9.8 Million Online Retailers in the world and 2.8 Million of them located in the United States.</w:t>
      </w:r>
      <w:r w:rsidRPr="009E3DAF">
        <w:t xml:space="preserve"> </w:t>
      </w:r>
      <w:r w:rsidRPr="009E3DAF">
        <w:rPr>
          <w:u w:val="single"/>
        </w:rPr>
        <w:t>These etailers can be</w:t>
      </w:r>
      <w:r w:rsidRPr="009E3DAF">
        <w:t xml:space="preserve"> broken down into three categories (see below) commonly known as </w:t>
      </w:r>
      <w:r w:rsidRPr="009E3DAF">
        <w:rPr>
          <w:u w:val="single"/>
        </w:rPr>
        <w:t>Branded etailers, Traditional etailers, and Virtual Goods etailers.</w:t>
      </w:r>
      <w:r w:rsidRPr="009E3DAF">
        <w:t xml:space="preserve"> The infographic below provides helpful insight into how many global and US etailers focus solely on their eCommerce site business or have an approach that is fully Marketplaces oriented or a hybrid between an eCommerce platform and Marketplaces. These are all key eCommerce metrics to understand when you are in the business of targeting these etailers with a solution you know can help improve their business.</w:t>
      </w:r>
    </w:p>
    <w:p w14:paraId="3F6C4B42" w14:textId="77777777" w:rsidR="009E3DAF" w:rsidRPr="009E3DAF" w:rsidRDefault="009E3DAF" w:rsidP="009E3DAF"/>
    <w:p w14:paraId="136BF3D2" w14:textId="77777777" w:rsidR="009E3DAF" w:rsidRDefault="009E3DAF"/>
    <w:p w14:paraId="4A613C9D" w14:textId="77777777" w:rsidR="009E3DAF" w:rsidRDefault="009E3DAF"/>
    <w:p w14:paraId="506EE8E0" w14:textId="77777777" w:rsidR="009E3DAF" w:rsidRDefault="009E3DAF"/>
    <w:p w14:paraId="00104C92" w14:textId="77777777" w:rsidR="009E3DAF" w:rsidRDefault="009E3DAF"/>
    <w:p w14:paraId="5F51237D" w14:textId="5CFDADA4" w:rsidR="009E3DAF" w:rsidRDefault="009E3DAF" w:rsidP="009E3DAF">
      <w:pPr>
        <w:pStyle w:val="Heading1"/>
      </w:pPr>
      <w:r>
        <w:t>Neg – K Updates</w:t>
      </w:r>
    </w:p>
    <w:p w14:paraId="693E7533" w14:textId="77777777" w:rsidR="009E3DAF" w:rsidRDefault="009E3DAF" w:rsidP="009E3DAF"/>
    <w:p w14:paraId="07A29431" w14:textId="2058D605" w:rsidR="009E3DAF" w:rsidRDefault="009E3DAF" w:rsidP="009E3DAF">
      <w:pPr>
        <w:pStyle w:val="Heading2"/>
      </w:pPr>
      <w:r>
        <w:t xml:space="preserve">IR </w:t>
      </w:r>
    </w:p>
    <w:p w14:paraId="15322BC1" w14:textId="77777777" w:rsidR="009E3DAF" w:rsidRDefault="009E3DAF" w:rsidP="009E3DAF"/>
    <w:p w14:paraId="1681E30E" w14:textId="77777777" w:rsidR="009E3DAF" w:rsidRPr="00E36C5D" w:rsidRDefault="009E3DAF" w:rsidP="009E3DAF">
      <w:pPr>
        <w:pStyle w:val="Heading4"/>
        <w:rPr>
          <w:rFonts w:asciiTheme="minorHAnsi" w:hAnsiTheme="minorHAnsi" w:cstheme="minorHAnsi"/>
          <w:iCs w:val="0"/>
        </w:rPr>
      </w:pPr>
      <w:r w:rsidRPr="00E36C5D">
        <w:rPr>
          <w:rFonts w:asciiTheme="minorHAnsi" w:hAnsiTheme="minorHAnsi" w:cstheme="minorHAnsi"/>
          <w:iCs w:val="0"/>
        </w:rPr>
        <w:t xml:space="preserve">Mainstream IR is both wrong and racist – the language of realism, idealism, and positivism white out colonial violence and are cloaked in language that actively obscures atrocities </w:t>
      </w:r>
    </w:p>
    <w:p w14:paraId="0FF056BF" w14:textId="77777777" w:rsidR="009E3DAF" w:rsidRPr="00E36C5D" w:rsidRDefault="009E3DAF" w:rsidP="009E3DAF">
      <w:pPr>
        <w:rPr>
          <w:rFonts w:asciiTheme="minorHAnsi" w:hAnsiTheme="minorHAnsi" w:cstheme="minorHAnsi"/>
        </w:rPr>
      </w:pPr>
      <w:r w:rsidRPr="00E36C5D">
        <w:rPr>
          <w:rStyle w:val="Style13ptBold"/>
          <w:rFonts w:asciiTheme="minorHAnsi" w:hAnsiTheme="minorHAnsi" w:cstheme="minorHAnsi"/>
        </w:rPr>
        <w:t>Harper-Shipman and Gordon 20</w:t>
      </w:r>
      <w:r w:rsidRPr="00E36C5D">
        <w:rPr>
          <w:rFonts w:asciiTheme="minorHAnsi" w:hAnsiTheme="minorHAnsi" w:cstheme="minorHAnsi"/>
        </w:rPr>
        <w:t xml:space="preserve"> </w:t>
      </w:r>
      <w:r w:rsidRPr="00E36C5D">
        <w:rPr>
          <w:rFonts w:asciiTheme="minorHAnsi" w:hAnsiTheme="minorHAnsi" w:cstheme="minorHAnsi"/>
          <w:sz w:val="16"/>
          <w:szCs w:val="16"/>
        </w:rPr>
        <w:t>– *Assistant Professor of Africana Studies at Davidson, PhD in Political Science at University of Connecticut **Professor of Philosophy and Department Chair at University of Connecticut, PhD in Philosophy at Yale, founder of the Center for Afro-Jewish Studies [T.D., “Race and Ethics in International Relations” Chapter 5 in The Routledge Handbook to Rethinking Ethics in International Relations. Routledge,]</w:t>
      </w:r>
    </w:p>
    <w:p w14:paraId="123C9BE1" w14:textId="77777777" w:rsidR="009E3DAF" w:rsidRPr="00E36C5D" w:rsidRDefault="009E3DAF" w:rsidP="009E3DAF">
      <w:pPr>
        <w:rPr>
          <w:rFonts w:asciiTheme="minorHAnsi" w:hAnsiTheme="minorHAnsi" w:cstheme="minorHAnsi"/>
        </w:rPr>
      </w:pPr>
      <w:r w:rsidRPr="00E36C5D">
        <w:rPr>
          <w:rFonts w:asciiTheme="minorHAnsi" w:hAnsiTheme="minorHAnsi" w:cstheme="minorHAnsi"/>
        </w:rPr>
        <w:t>Locating race in IR</w:t>
      </w:r>
    </w:p>
    <w:p w14:paraId="3A34CCF2" w14:textId="77777777" w:rsidR="009E3DAF" w:rsidRPr="00E36C5D" w:rsidRDefault="009E3DAF" w:rsidP="009E3DAF">
      <w:pPr>
        <w:contextualSpacing/>
        <w:rPr>
          <w:rFonts w:asciiTheme="minorHAnsi" w:hAnsiTheme="minorHAnsi" w:cstheme="minorHAnsi"/>
          <w:sz w:val="16"/>
        </w:rPr>
      </w:pPr>
      <w:r w:rsidRPr="00E36C5D">
        <w:rPr>
          <w:rFonts w:asciiTheme="minorHAnsi" w:hAnsiTheme="minorHAnsi" w:cstheme="minorHAnsi"/>
          <w:sz w:val="16"/>
        </w:rPr>
        <w:t xml:space="preserve">Recall that the goal of </w:t>
      </w:r>
      <w:r w:rsidRPr="00E36C5D">
        <w:rPr>
          <w:rStyle w:val="StyleUnderline"/>
          <w:rFonts w:asciiTheme="minorHAnsi" w:hAnsiTheme="minorHAnsi" w:cstheme="minorHAnsi"/>
        </w:rPr>
        <w:t>global white supremacy was premised on the</w:t>
      </w:r>
      <w:r w:rsidRPr="00E36C5D">
        <w:rPr>
          <w:rFonts w:asciiTheme="minorHAnsi" w:hAnsiTheme="minorHAnsi" w:cstheme="minorHAnsi"/>
          <w:sz w:val="16"/>
        </w:rPr>
        <w:t xml:space="preserve"> understanding of the </w:t>
      </w:r>
      <w:r w:rsidRPr="00E36C5D">
        <w:rPr>
          <w:rStyle w:val="StyleUnderline"/>
          <w:rFonts w:asciiTheme="minorHAnsi" w:hAnsiTheme="minorHAnsi" w:cstheme="minorHAnsi"/>
        </w:rPr>
        <w:t>U</w:t>
      </w:r>
      <w:r w:rsidRPr="00E36C5D">
        <w:rPr>
          <w:rFonts w:asciiTheme="minorHAnsi" w:hAnsiTheme="minorHAnsi" w:cstheme="minorHAnsi"/>
          <w:sz w:val="16"/>
        </w:rPr>
        <w:t xml:space="preserve">nited </w:t>
      </w:r>
      <w:r w:rsidRPr="00E36C5D">
        <w:rPr>
          <w:rStyle w:val="StyleUnderline"/>
          <w:rFonts w:asciiTheme="minorHAnsi" w:hAnsiTheme="minorHAnsi" w:cstheme="minorHAnsi"/>
        </w:rPr>
        <w:t>S</w:t>
      </w:r>
      <w:r w:rsidRPr="00E36C5D">
        <w:rPr>
          <w:rFonts w:asciiTheme="minorHAnsi" w:hAnsiTheme="minorHAnsi" w:cstheme="minorHAnsi"/>
          <w:sz w:val="16"/>
        </w:rPr>
        <w:t xml:space="preserve">tates, from whose </w:t>
      </w:r>
      <w:r w:rsidRPr="00E36C5D">
        <w:rPr>
          <w:rStyle w:val="StyleUnderline"/>
          <w:rFonts w:asciiTheme="minorHAnsi" w:hAnsiTheme="minorHAnsi" w:cstheme="minorHAnsi"/>
        </w:rPr>
        <w:t xml:space="preserve">academy </w:t>
      </w:r>
      <w:r w:rsidRPr="00E36C5D">
        <w:rPr>
          <w:rFonts w:asciiTheme="minorHAnsi" w:hAnsiTheme="minorHAnsi" w:cstheme="minorHAnsi"/>
          <w:sz w:val="16"/>
        </w:rPr>
        <w:t xml:space="preserve">and foreign policies much </w:t>
      </w:r>
      <w:r w:rsidRPr="00E36C5D">
        <w:rPr>
          <w:rStyle w:val="StyleUnderline"/>
          <w:rFonts w:asciiTheme="minorHAnsi" w:hAnsiTheme="minorHAnsi" w:cstheme="minorHAnsi"/>
        </w:rPr>
        <w:t>of IR</w:t>
      </w:r>
      <w:r w:rsidRPr="00E36C5D">
        <w:rPr>
          <w:rFonts w:asciiTheme="minorHAnsi" w:hAnsiTheme="minorHAnsi" w:cstheme="minorHAnsi"/>
          <w:sz w:val="16"/>
        </w:rPr>
        <w:t xml:space="preserve"> evolved, </w:t>
      </w:r>
      <w:r w:rsidRPr="00E36C5D">
        <w:rPr>
          <w:rStyle w:val="StyleUnderline"/>
          <w:rFonts w:asciiTheme="minorHAnsi" w:hAnsiTheme="minorHAnsi" w:cstheme="minorHAnsi"/>
        </w:rPr>
        <w:t>as the exemplar of</w:t>
      </w:r>
      <w:r w:rsidRPr="00E36C5D">
        <w:rPr>
          <w:rFonts w:asciiTheme="minorHAnsi" w:hAnsiTheme="minorHAnsi" w:cstheme="minorHAnsi"/>
          <w:sz w:val="16"/>
        </w:rPr>
        <w:t xml:space="preserve"> a </w:t>
      </w:r>
      <w:r w:rsidRPr="00E36C5D">
        <w:rPr>
          <w:rStyle w:val="StyleUnderline"/>
          <w:rFonts w:asciiTheme="minorHAnsi" w:hAnsiTheme="minorHAnsi" w:cstheme="minorHAnsi"/>
        </w:rPr>
        <w:t>manifest destiny</w:t>
      </w:r>
      <w:r w:rsidRPr="00E36C5D">
        <w:rPr>
          <w:rFonts w:asciiTheme="minorHAnsi" w:hAnsiTheme="minorHAnsi" w:cstheme="minorHAnsi"/>
          <w:sz w:val="16"/>
        </w:rPr>
        <w:t xml:space="preserve"> of whites</w:t>
      </w:r>
      <w:r w:rsidRPr="00E36C5D">
        <w:rPr>
          <w:rStyle w:val="StyleUnderline"/>
          <w:rFonts w:asciiTheme="minorHAnsi" w:hAnsiTheme="minorHAnsi" w:cstheme="minorHAnsi"/>
        </w:rPr>
        <w:t xml:space="preserve"> ruling</w:t>
      </w:r>
      <w:r w:rsidRPr="00E36C5D">
        <w:rPr>
          <w:rFonts w:asciiTheme="minorHAnsi" w:hAnsiTheme="minorHAnsi" w:cstheme="minorHAnsi"/>
          <w:sz w:val="16"/>
        </w:rPr>
        <w:t xml:space="preserve"> and setting</w:t>
      </w:r>
      <w:r w:rsidRPr="00E36C5D">
        <w:rPr>
          <w:rStyle w:val="StyleUnderline"/>
          <w:rFonts w:asciiTheme="minorHAnsi" w:hAnsiTheme="minorHAnsi" w:cstheme="minorHAnsi"/>
        </w:rPr>
        <w:t xml:space="preserve"> the</w:t>
      </w:r>
      <w:r w:rsidRPr="00E36C5D">
        <w:rPr>
          <w:rFonts w:asciiTheme="minorHAnsi" w:hAnsiTheme="minorHAnsi" w:cstheme="minorHAnsi"/>
          <w:sz w:val="16"/>
        </w:rPr>
        <w:t xml:space="preserve"> course for </w:t>
      </w:r>
      <w:r w:rsidRPr="00E36C5D">
        <w:rPr>
          <w:rStyle w:val="StyleUnderline"/>
          <w:rFonts w:asciiTheme="minorHAnsi" w:hAnsiTheme="minorHAnsi" w:cstheme="minorHAnsi"/>
        </w:rPr>
        <w:t>future</w:t>
      </w:r>
      <w:r w:rsidRPr="00E36C5D">
        <w:rPr>
          <w:rFonts w:asciiTheme="minorHAnsi" w:hAnsiTheme="minorHAnsi" w:cstheme="minorHAnsi"/>
          <w:sz w:val="16"/>
        </w:rPr>
        <w:t xml:space="preserve"> direction </w:t>
      </w:r>
      <w:r w:rsidRPr="00E36C5D">
        <w:rPr>
          <w:rStyle w:val="StyleUnderline"/>
          <w:rFonts w:asciiTheme="minorHAnsi" w:hAnsiTheme="minorHAnsi" w:cstheme="minorHAnsi"/>
        </w:rPr>
        <w:t xml:space="preserve">of the human species. </w:t>
      </w:r>
      <w:r w:rsidRPr="00E36C5D">
        <w:rPr>
          <w:rStyle w:val="Emphasis"/>
          <w:rFonts w:asciiTheme="minorHAnsi" w:hAnsiTheme="minorHAnsi" w:cstheme="minorHAnsi"/>
          <w:highlight w:val="cyan"/>
        </w:rPr>
        <w:t>Race</w:t>
      </w:r>
      <w:r w:rsidRPr="00E36C5D">
        <w:rPr>
          <w:rFonts w:asciiTheme="minorHAnsi" w:hAnsiTheme="minorHAnsi" w:cstheme="minorHAnsi"/>
          <w:sz w:val="16"/>
        </w:rPr>
        <w:t xml:space="preserve">, however, </w:t>
      </w:r>
      <w:r w:rsidRPr="00E36C5D">
        <w:rPr>
          <w:rStyle w:val="Emphasis"/>
          <w:rFonts w:asciiTheme="minorHAnsi" w:hAnsiTheme="minorHAnsi" w:cstheme="minorHAnsi"/>
          <w:highlight w:val="cyan"/>
        </w:rPr>
        <w:t>does not figure into</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the putative re-telling of the discipline’s genealogy. </w:t>
      </w:r>
      <w:r w:rsidRPr="00E36C5D">
        <w:rPr>
          <w:rStyle w:val="Emphasis"/>
          <w:rFonts w:asciiTheme="minorHAnsi" w:hAnsiTheme="minorHAnsi" w:cstheme="minorHAnsi"/>
          <w:highlight w:val="cyan"/>
        </w:rPr>
        <w:t>Mainstream IR</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actively engages in what Schmidt (1994) calls ‘presentism’ or the </w:t>
      </w:r>
      <w:r w:rsidRPr="00E36C5D">
        <w:rPr>
          <w:rStyle w:val="Emphasis"/>
          <w:rFonts w:asciiTheme="minorHAnsi" w:hAnsiTheme="minorHAnsi" w:cstheme="minorHAnsi"/>
        </w:rPr>
        <w:t xml:space="preserve">use of </w:t>
      </w:r>
      <w:r w:rsidRPr="00E36C5D">
        <w:rPr>
          <w:rFonts w:asciiTheme="minorHAnsi" w:hAnsiTheme="minorHAnsi" w:cstheme="minorHAnsi"/>
          <w:sz w:val="16"/>
        </w:rPr>
        <w:t xml:space="preserve">anachronism, </w:t>
      </w:r>
      <w:r w:rsidRPr="00E36C5D">
        <w:rPr>
          <w:rStyle w:val="Emphasis"/>
          <w:rFonts w:asciiTheme="minorHAnsi" w:hAnsiTheme="minorHAnsi" w:cstheme="minorHAnsi"/>
        </w:rPr>
        <w:t>distortion</w:t>
      </w:r>
      <w:r w:rsidRPr="00E36C5D">
        <w:rPr>
          <w:rFonts w:asciiTheme="minorHAnsi" w:hAnsiTheme="minorHAnsi" w:cstheme="minorHAnsi"/>
          <w:sz w:val="16"/>
        </w:rPr>
        <w:t xml:space="preserve">, misinterpretation, </w:t>
      </w:r>
      <w:r w:rsidRPr="00E36C5D">
        <w:rPr>
          <w:rStyle w:val="Emphasis"/>
          <w:rFonts w:asciiTheme="minorHAnsi" w:hAnsiTheme="minorHAnsi" w:cstheme="minorHAnsi"/>
        </w:rPr>
        <w:t xml:space="preserve">and neglect </w:t>
      </w:r>
      <w:r w:rsidRPr="00E36C5D">
        <w:rPr>
          <w:rFonts w:asciiTheme="minorHAnsi" w:hAnsiTheme="minorHAnsi" w:cstheme="minorHAnsi"/>
          <w:sz w:val="16"/>
        </w:rPr>
        <w:t xml:space="preserve">of </w:t>
      </w:r>
      <w:r w:rsidRPr="00E36C5D">
        <w:rPr>
          <w:rStyle w:val="Emphasis"/>
          <w:rFonts w:asciiTheme="minorHAnsi" w:hAnsiTheme="minorHAnsi" w:cstheme="minorHAnsi"/>
        </w:rPr>
        <w:t xml:space="preserve">context </w:t>
      </w:r>
      <w:r w:rsidRPr="00E36C5D">
        <w:rPr>
          <w:rFonts w:asciiTheme="minorHAnsi" w:hAnsiTheme="minorHAnsi" w:cstheme="minorHAnsi"/>
          <w:sz w:val="16"/>
        </w:rPr>
        <w:t>when recounting a particular disciplinary or paradigmatic history. Drawing upon the thought of Rawls, Charles Mills (2005) would characterize this as IR ‘ideal theory’ (purely formal) as opposed to ‘non-ideal theory’ (informal and dealing with the real world). Lewis Gordon (1995, 2017a) describes it as bad faith; it facilitates IR’s evasion of reality.</w:t>
      </w:r>
    </w:p>
    <w:p w14:paraId="16A74153" w14:textId="77777777" w:rsidR="009E3DAF" w:rsidRPr="00E36C5D" w:rsidRDefault="009E3DAF" w:rsidP="009E3DAF">
      <w:pPr>
        <w:contextualSpacing/>
        <w:rPr>
          <w:rStyle w:val="Emphasis"/>
          <w:rFonts w:asciiTheme="minorHAnsi" w:hAnsiTheme="minorHAnsi" w:cstheme="minorHAnsi"/>
          <w:iCs w:val="0"/>
        </w:rPr>
      </w:pPr>
      <w:r w:rsidRPr="00E36C5D">
        <w:rPr>
          <w:rStyle w:val="StyleUnderline"/>
          <w:rFonts w:asciiTheme="minorHAnsi" w:hAnsiTheme="minorHAnsi" w:cstheme="minorHAnsi"/>
        </w:rPr>
        <w:t>IR is often guilty of presentism with respect to its racialized origins.</w:t>
      </w:r>
      <w:r w:rsidRPr="00E36C5D">
        <w:rPr>
          <w:rFonts w:asciiTheme="minorHAnsi" w:hAnsiTheme="minorHAnsi" w:cstheme="minorHAnsi"/>
          <w:sz w:val="16"/>
        </w:rPr>
        <w:t xml:space="preserve"> This is </w:t>
      </w:r>
      <w:r w:rsidRPr="00E36C5D">
        <w:rPr>
          <w:rStyle w:val="StyleUnderline"/>
          <w:rFonts w:asciiTheme="minorHAnsi" w:hAnsiTheme="minorHAnsi" w:cstheme="minorHAnsi"/>
        </w:rPr>
        <w:t xml:space="preserve">manifest in the teaching of IR </w:t>
      </w:r>
      <w:r w:rsidRPr="00E36C5D">
        <w:rPr>
          <w:rFonts w:asciiTheme="minorHAnsi" w:hAnsiTheme="minorHAnsi" w:cstheme="minorHAnsi"/>
          <w:sz w:val="16"/>
        </w:rPr>
        <w:t xml:space="preserve">through the three Great Debates of IR: </w:t>
      </w:r>
      <w:r w:rsidRPr="00E36C5D">
        <w:rPr>
          <w:rStyle w:val="StyleUnderline"/>
          <w:rFonts w:asciiTheme="minorHAnsi" w:hAnsiTheme="minorHAnsi" w:cstheme="minorHAnsi"/>
        </w:rPr>
        <w:t>(1) realism versus idealism; (2) realism versus behavioralism; and (3) positivism versus post-positivism.</w:t>
      </w:r>
      <w:r w:rsidRPr="00E36C5D">
        <w:rPr>
          <w:rFonts w:asciiTheme="minorHAnsi" w:hAnsiTheme="minorHAnsi" w:cstheme="minorHAnsi"/>
          <w:sz w:val="16"/>
        </w:rPr>
        <w:t xml:space="preserve"> Realism is the putative genesis for the sub-field, often ensconced in the constant re-telling of Thucydides’ ‘Melian Dialogue,’ where the strong do what they can and the weak do what they must. According to this retelling of the disciplinary history, realism was responding to the idealism that characterized the post–World War I era, instantiated through, for example, the League of Nations. World War II, then, codified realism’s place as the most adroit theoretical lens through which policy makers and scholars alike should engage the global arena. Surviving the behaviouralist movement that dominated political science in the 1950s and 1960s, realism and its derivatives (e.g. neo-realism, offensive/defensive realism) remained successfully unchallenged until the end of the Cold War. </w:t>
      </w:r>
      <w:r w:rsidRPr="00E36C5D">
        <w:rPr>
          <w:rStyle w:val="StyleUnderline"/>
          <w:rFonts w:asciiTheme="minorHAnsi" w:hAnsiTheme="minorHAnsi" w:cstheme="minorHAnsi"/>
          <w:highlight w:val="cyan"/>
        </w:rPr>
        <w:t>Unable to explain</w:t>
      </w:r>
      <w:r w:rsidRPr="00E36C5D">
        <w:rPr>
          <w:rFonts w:asciiTheme="minorHAnsi" w:hAnsiTheme="minorHAnsi" w:cstheme="minorHAnsi"/>
          <w:sz w:val="16"/>
        </w:rPr>
        <w:t xml:space="preserve"> the uneventful end of </w:t>
      </w:r>
      <w:r w:rsidRPr="00E36C5D">
        <w:rPr>
          <w:rStyle w:val="StyleUnderline"/>
          <w:rFonts w:asciiTheme="minorHAnsi" w:hAnsiTheme="minorHAnsi" w:cstheme="minorHAnsi"/>
          <w:highlight w:val="cyan"/>
        </w:rPr>
        <w:t>the Cold War, realists conceded disciplinary hegemony</w:t>
      </w:r>
      <w:r w:rsidRPr="00E36C5D">
        <w:rPr>
          <w:rStyle w:val="StyleUnderline"/>
          <w:rFonts w:asciiTheme="minorHAnsi" w:hAnsiTheme="minorHAnsi" w:cstheme="minorHAnsi"/>
        </w:rPr>
        <w:t xml:space="preserve"> to constructivism</w:t>
      </w:r>
      <w:r w:rsidRPr="00E36C5D">
        <w:rPr>
          <w:rFonts w:asciiTheme="minorHAnsi" w:hAnsiTheme="minorHAnsi" w:cstheme="minorHAnsi"/>
          <w:sz w:val="16"/>
        </w:rPr>
        <w:t xml:space="preserve"> (post-positivism) in the 1990s. The hegemonic stability of realism and the re-telling of this particular genealogy of the field construct and then reify the paradigmatic boundaries of IR. Most notably</w:t>
      </w:r>
      <w:r w:rsidRPr="00E36C5D">
        <w:rPr>
          <w:rStyle w:val="StyleUnderline"/>
          <w:rFonts w:asciiTheme="minorHAnsi" w:hAnsiTheme="minorHAnsi" w:cstheme="minorHAnsi"/>
        </w:rPr>
        <w:t xml:space="preserve">, anarchy, economics, power, and security become the signposts for any scholar seeking to remain within the disciplinary boundaries. </w:t>
      </w:r>
      <w:r w:rsidRPr="00E36C5D">
        <w:rPr>
          <w:rFonts w:asciiTheme="minorHAnsi" w:hAnsiTheme="minorHAnsi" w:cstheme="minorHAnsi"/>
          <w:sz w:val="16"/>
        </w:rPr>
        <w:t xml:space="preserve">This suggests a non-ideal theoretical preference, which should most certainly offer salient discussions of race within the putative limits of IR. </w:t>
      </w:r>
      <w:r w:rsidRPr="00E36C5D">
        <w:rPr>
          <w:rStyle w:val="StyleUnderline"/>
          <w:rFonts w:asciiTheme="minorHAnsi" w:hAnsiTheme="minorHAnsi" w:cstheme="minorHAnsi"/>
        </w:rPr>
        <w:t xml:space="preserve">Yet, this </w:t>
      </w:r>
      <w:r w:rsidRPr="00E36C5D">
        <w:rPr>
          <w:rFonts w:asciiTheme="minorHAnsi" w:hAnsiTheme="minorHAnsi" w:cstheme="minorHAnsi"/>
          <w:sz w:val="16"/>
        </w:rPr>
        <w:t xml:space="preserve">particular re-telling of the field’s origin </w:t>
      </w:r>
      <w:r w:rsidRPr="00E36C5D">
        <w:rPr>
          <w:rStyle w:val="StyleUnderline"/>
          <w:rFonts w:asciiTheme="minorHAnsi" w:hAnsiTheme="minorHAnsi" w:cstheme="minorHAnsi"/>
        </w:rPr>
        <w:t>makes no overt mention of race. Though its origins were explicitly about racial domination, the subsequent</w:t>
      </w:r>
      <w:r w:rsidRPr="00E36C5D">
        <w:rPr>
          <w:rFonts w:asciiTheme="minorHAnsi" w:hAnsiTheme="minorHAnsi" w:cstheme="minorHAnsi"/>
          <w:sz w:val="16"/>
        </w:rPr>
        <w:t xml:space="preserve">, supposedly non-racialized </w:t>
      </w:r>
      <w:r w:rsidRPr="00E36C5D">
        <w:rPr>
          <w:rStyle w:val="StyleUnderline"/>
          <w:rFonts w:asciiTheme="minorHAnsi" w:hAnsiTheme="minorHAnsi" w:cstheme="minorHAnsi"/>
        </w:rPr>
        <w:t>aims of</w:t>
      </w:r>
      <w:r w:rsidRPr="00E36C5D">
        <w:rPr>
          <w:rFonts w:asciiTheme="minorHAnsi" w:hAnsiTheme="minorHAnsi" w:cstheme="minorHAnsi"/>
          <w:sz w:val="16"/>
        </w:rPr>
        <w:t xml:space="preserve"> conventional </w:t>
      </w:r>
      <w:r w:rsidRPr="00E36C5D">
        <w:rPr>
          <w:rStyle w:val="StyleUnderline"/>
          <w:rFonts w:asciiTheme="minorHAnsi" w:hAnsiTheme="minorHAnsi" w:cstheme="minorHAnsi"/>
          <w:highlight w:val="cyan"/>
        </w:rPr>
        <w:t>IR</w:t>
      </w:r>
      <w:r w:rsidRPr="00E36C5D">
        <w:rPr>
          <w:rStyle w:val="StyleUnderline"/>
          <w:rFonts w:asciiTheme="minorHAnsi" w:hAnsiTheme="minorHAnsi" w:cstheme="minorHAnsi"/>
        </w:rPr>
        <w:t xml:space="preserve"> </w:t>
      </w:r>
      <w:r w:rsidRPr="00E36C5D">
        <w:rPr>
          <w:rFonts w:asciiTheme="minorHAnsi" w:hAnsiTheme="minorHAnsi" w:cstheme="minorHAnsi"/>
          <w:sz w:val="16"/>
        </w:rPr>
        <w:t xml:space="preserve">followed the path of many avowedly post-racialist agendas—namely, </w:t>
      </w:r>
      <w:r w:rsidRPr="00E36C5D">
        <w:rPr>
          <w:rStyle w:val="StyleUnderline"/>
          <w:rFonts w:asciiTheme="minorHAnsi" w:hAnsiTheme="minorHAnsi" w:cstheme="minorHAnsi"/>
          <w:highlight w:val="cyan"/>
        </w:rPr>
        <w:t>refer</w:t>
      </w:r>
      <w:r w:rsidRPr="00E36C5D">
        <w:rPr>
          <w:rFonts w:asciiTheme="minorHAnsi" w:hAnsiTheme="minorHAnsi" w:cstheme="minorHAnsi"/>
          <w:sz w:val="16"/>
        </w:rPr>
        <w:t>r</w:t>
      </w:r>
      <w:r w:rsidRPr="00E36C5D">
        <w:rPr>
          <w:rFonts w:asciiTheme="minorHAnsi" w:hAnsiTheme="minorHAnsi" w:cstheme="minorHAnsi"/>
          <w:sz w:val="16"/>
          <w:szCs w:val="16"/>
        </w:rPr>
        <w:t>i</w:t>
      </w:r>
      <w:r w:rsidRPr="00E36C5D">
        <w:rPr>
          <w:rFonts w:asciiTheme="minorHAnsi" w:hAnsiTheme="minorHAnsi" w:cstheme="minorHAnsi"/>
          <w:sz w:val="16"/>
        </w:rPr>
        <w:t xml:space="preserve">ng </w:t>
      </w:r>
      <w:r w:rsidRPr="00E36C5D">
        <w:rPr>
          <w:rStyle w:val="StyleUnderline"/>
          <w:rFonts w:asciiTheme="minorHAnsi" w:hAnsiTheme="minorHAnsi" w:cstheme="minorHAnsi"/>
          <w:highlight w:val="cyan"/>
        </w:rPr>
        <w:t>to race only through</w:t>
      </w:r>
      <w:r w:rsidRPr="00E36C5D">
        <w:rPr>
          <w:rStyle w:val="StyleUnderline"/>
          <w:rFonts w:asciiTheme="minorHAnsi" w:hAnsiTheme="minorHAnsi" w:cstheme="minorHAnsi"/>
        </w:rPr>
        <w:t xml:space="preserve"> </w:t>
      </w:r>
      <w:r w:rsidRPr="00E36C5D">
        <w:rPr>
          <w:rFonts w:asciiTheme="minorHAnsi" w:hAnsiTheme="minorHAnsi" w:cstheme="minorHAnsi"/>
          <w:sz w:val="16"/>
        </w:rPr>
        <w:t xml:space="preserve">coded and, at times, </w:t>
      </w:r>
      <w:r w:rsidRPr="00E36C5D">
        <w:rPr>
          <w:rStyle w:val="Emphasis"/>
          <w:rFonts w:asciiTheme="minorHAnsi" w:hAnsiTheme="minorHAnsi" w:cstheme="minorHAnsi"/>
          <w:highlight w:val="cyan"/>
        </w:rPr>
        <w:t>colonizing language.</w:t>
      </w:r>
    </w:p>
    <w:p w14:paraId="2981C5BA" w14:textId="77777777" w:rsidR="009E3DAF" w:rsidRPr="00E36C5D" w:rsidRDefault="009E3DAF" w:rsidP="009E3DAF">
      <w:pPr>
        <w:contextualSpacing/>
        <w:rPr>
          <w:rStyle w:val="StyleUnderline"/>
          <w:rFonts w:asciiTheme="minorHAnsi" w:hAnsiTheme="minorHAnsi" w:cstheme="minorHAnsi"/>
        </w:rPr>
      </w:pPr>
      <w:r w:rsidRPr="00E36C5D">
        <w:rPr>
          <w:rStyle w:val="Emphasis"/>
          <w:rFonts w:asciiTheme="minorHAnsi" w:hAnsiTheme="minorHAnsi" w:cstheme="minorHAnsi"/>
          <w:highlight w:val="cyan"/>
        </w:rPr>
        <w:t>Racial coding</w:t>
      </w:r>
      <w:r w:rsidRPr="00E36C5D">
        <w:rPr>
          <w:rFonts w:asciiTheme="minorHAnsi" w:hAnsiTheme="minorHAnsi" w:cstheme="minorHAnsi"/>
          <w:sz w:val="16"/>
        </w:rPr>
        <w:t xml:space="preserve"> often took and </w:t>
      </w:r>
      <w:r w:rsidRPr="00E36C5D">
        <w:rPr>
          <w:rStyle w:val="Emphasis"/>
          <w:rFonts w:asciiTheme="minorHAnsi" w:hAnsiTheme="minorHAnsi" w:cstheme="minorHAnsi"/>
          <w:highlight w:val="cyan"/>
        </w:rPr>
        <w:t>continues to</w:t>
      </w:r>
      <w:r w:rsidRPr="00E36C5D">
        <w:rPr>
          <w:rStyle w:val="Emphasis"/>
          <w:rFonts w:asciiTheme="minorHAnsi" w:hAnsiTheme="minorHAnsi" w:cstheme="minorHAnsi"/>
        </w:rPr>
        <w:t xml:space="preserve"> take the discursive reimagining of spatial and temporal margins that </w:t>
      </w:r>
      <w:r w:rsidRPr="00E36C5D">
        <w:rPr>
          <w:rStyle w:val="Emphasis"/>
          <w:rFonts w:asciiTheme="minorHAnsi" w:hAnsiTheme="minorHAnsi" w:cstheme="minorHAnsi"/>
          <w:highlight w:val="cyan"/>
        </w:rPr>
        <w:t>demarcate whites versus non-whites</w:t>
      </w:r>
      <w:r w:rsidRPr="00E36C5D">
        <w:rPr>
          <w:rStyle w:val="Emphasis"/>
          <w:rFonts w:asciiTheme="minorHAnsi" w:hAnsiTheme="minorHAnsi" w:cstheme="minorHAnsi"/>
        </w:rPr>
        <w:t xml:space="preserve"> in I</w:t>
      </w:r>
      <w:r w:rsidRPr="00E36C5D">
        <w:rPr>
          <w:rFonts w:asciiTheme="minorHAnsi" w:hAnsiTheme="minorHAnsi" w:cstheme="minorHAnsi"/>
          <w:sz w:val="16"/>
        </w:rPr>
        <w:t xml:space="preserve">nternational </w:t>
      </w:r>
      <w:r w:rsidRPr="00E36C5D">
        <w:rPr>
          <w:rStyle w:val="Emphasis"/>
          <w:rFonts w:asciiTheme="minorHAnsi" w:hAnsiTheme="minorHAnsi" w:cstheme="minorHAnsi"/>
        </w:rPr>
        <w:t>R</w:t>
      </w:r>
      <w:r w:rsidRPr="00E36C5D">
        <w:rPr>
          <w:rFonts w:asciiTheme="minorHAnsi" w:hAnsiTheme="minorHAnsi" w:cstheme="minorHAnsi"/>
          <w:sz w:val="16"/>
        </w:rPr>
        <w:t xml:space="preserve">elations (Anievas, Manchanda and Shilliam 2015; Barkawi 2010; Crawford 2002; Vitalis 2000, 2015; cf. also Huntington 1996, 2004, 2005). Complicating matters, as we saw in our discussion of race and human science, is that race is always part of a nexus of other factors such as class, gender, and sexual orientation. Though this connection is made throughout African diasporic thought (Cooper 1892/1988; Davis 1983; Fanon 1952; Firmin 1885), this relational understanding of human science and race achieved renewed attention in the formulation of ‘intersectionality’ (Crenshaw 1991; Simien and Hancock 2011).Yet, the tendency persists to resist these multiple layers of consideration. In some cases, at least two dimensions of human manifestations come to the fore, but they do so often through the coded suppression of race with the consequence of presumed white normativity. For instance, class and gender have figured prominently into the theories of IR (Cox 1981; Enloe 1990; Sylvester 2002). Elements of race in IR are evident, however, in the regional break-up to which scholars subscribe. </w:t>
      </w:r>
      <w:r w:rsidRPr="00E36C5D">
        <w:rPr>
          <w:rStyle w:val="StyleUnderline"/>
          <w:rFonts w:asciiTheme="minorHAnsi" w:hAnsiTheme="minorHAnsi" w:cstheme="minorHAnsi"/>
        </w:rPr>
        <w:t>Countries of Northern Africa and the Maghreb are considered the Middle East, while those such as Israel</w:t>
      </w:r>
      <w:r w:rsidRPr="00E36C5D">
        <w:rPr>
          <w:rFonts w:asciiTheme="minorHAnsi" w:hAnsiTheme="minorHAnsi" w:cstheme="minorHAnsi"/>
          <w:sz w:val="16"/>
        </w:rPr>
        <w:t xml:space="preserve">, like </w:t>
      </w:r>
      <w:r w:rsidRPr="00E36C5D">
        <w:rPr>
          <w:rStyle w:val="StyleUnderline"/>
          <w:rFonts w:asciiTheme="minorHAnsi" w:hAnsiTheme="minorHAnsi" w:cstheme="minorHAnsi"/>
        </w:rPr>
        <w:t xml:space="preserve">Australia </w:t>
      </w:r>
      <w:r w:rsidRPr="00E36C5D">
        <w:rPr>
          <w:rFonts w:asciiTheme="minorHAnsi" w:hAnsiTheme="minorHAnsi" w:cstheme="minorHAnsi"/>
          <w:sz w:val="16"/>
        </w:rPr>
        <w:t xml:space="preserve">and </w:t>
      </w:r>
      <w:r w:rsidRPr="00E36C5D">
        <w:rPr>
          <w:rStyle w:val="StyleUnderline"/>
          <w:rFonts w:asciiTheme="minorHAnsi" w:hAnsiTheme="minorHAnsi" w:cstheme="minorHAnsi"/>
        </w:rPr>
        <w:t>New Zealand, are part of the imagined North</w:t>
      </w:r>
      <w:r w:rsidRPr="00E36C5D">
        <w:rPr>
          <w:rFonts w:asciiTheme="minorHAnsi" w:hAnsiTheme="minorHAnsi" w:cstheme="minorHAnsi"/>
          <w:sz w:val="16"/>
        </w:rPr>
        <w:t xml:space="preserve">, despite their actual physical locations in the geographical south. Take for example how </w:t>
      </w:r>
      <w:r w:rsidRPr="00E36C5D">
        <w:rPr>
          <w:rStyle w:val="StyleUnderline"/>
          <w:rFonts w:asciiTheme="minorHAnsi" w:hAnsiTheme="minorHAnsi" w:cstheme="minorHAnsi"/>
        </w:rPr>
        <w:t xml:space="preserve">the notion of a Third World </w:t>
      </w:r>
      <w:r w:rsidRPr="00E36C5D">
        <w:rPr>
          <w:rFonts w:asciiTheme="minorHAnsi" w:hAnsiTheme="minorHAnsi" w:cstheme="minorHAnsi"/>
          <w:sz w:val="16"/>
        </w:rPr>
        <w:t xml:space="preserve">(Sauvy 1952) </w:t>
      </w:r>
      <w:r w:rsidRPr="00E36C5D">
        <w:rPr>
          <w:rStyle w:val="StyleUnderline"/>
          <w:rFonts w:asciiTheme="minorHAnsi" w:hAnsiTheme="minorHAnsi" w:cstheme="minorHAnsi"/>
        </w:rPr>
        <w:t>came from</w:t>
      </w:r>
      <w:r w:rsidRPr="00E36C5D">
        <w:rPr>
          <w:rFonts w:asciiTheme="minorHAnsi" w:hAnsiTheme="minorHAnsi" w:cstheme="minorHAnsi"/>
          <w:sz w:val="16"/>
        </w:rPr>
        <w:t xml:space="preserve"> the nonaligned and </w:t>
      </w:r>
      <w:r w:rsidRPr="00E36C5D">
        <w:rPr>
          <w:rStyle w:val="StyleUnderline"/>
          <w:rFonts w:asciiTheme="minorHAnsi" w:hAnsiTheme="minorHAnsi" w:cstheme="minorHAnsi"/>
        </w:rPr>
        <w:t>anti-colonial movements of people of colour</w:t>
      </w:r>
      <w:r w:rsidRPr="00E36C5D">
        <w:rPr>
          <w:rFonts w:asciiTheme="minorHAnsi" w:hAnsiTheme="minorHAnsi" w:cstheme="minorHAnsi"/>
          <w:sz w:val="16"/>
        </w:rPr>
        <w:t xml:space="preserve"> during the Cold War but the term, today, </w:t>
      </w:r>
      <w:r w:rsidRPr="00E36C5D">
        <w:rPr>
          <w:rStyle w:val="StyleUnderline"/>
          <w:rFonts w:asciiTheme="minorHAnsi" w:hAnsiTheme="minorHAnsi" w:cstheme="minorHAnsi"/>
        </w:rPr>
        <w:t>is mobilized around impoverished conditions in these same, predominantly non-white countries.</w:t>
      </w:r>
    </w:p>
    <w:p w14:paraId="728B295D" w14:textId="77777777" w:rsidR="009E3DAF" w:rsidRPr="00E36C5D" w:rsidRDefault="009E3DAF" w:rsidP="009E3DAF">
      <w:pPr>
        <w:contextualSpacing/>
        <w:rPr>
          <w:rStyle w:val="Emphasis"/>
          <w:rFonts w:asciiTheme="minorHAnsi" w:hAnsiTheme="minorHAnsi" w:cstheme="minorHAnsi"/>
          <w:iCs w:val="0"/>
        </w:rPr>
      </w:pPr>
      <w:r w:rsidRPr="00E36C5D">
        <w:rPr>
          <w:rStyle w:val="StyleUnderline"/>
          <w:rFonts w:asciiTheme="minorHAnsi" w:hAnsiTheme="minorHAnsi" w:cstheme="minorHAnsi"/>
          <w:highlight w:val="cyan"/>
        </w:rPr>
        <w:t>Race is also embedded in the coded language of ‘</w:t>
      </w:r>
      <w:r w:rsidRPr="00E36C5D">
        <w:rPr>
          <w:rStyle w:val="StyleUnderline"/>
          <w:rFonts w:asciiTheme="minorHAnsi" w:hAnsiTheme="minorHAnsi" w:cstheme="minorHAnsi"/>
        </w:rPr>
        <w:t>developed’</w:t>
      </w:r>
      <w:r w:rsidRPr="00E36C5D">
        <w:rPr>
          <w:rFonts w:asciiTheme="minorHAnsi" w:hAnsiTheme="minorHAnsi" w:cstheme="minorHAnsi"/>
          <w:sz w:val="16"/>
        </w:rPr>
        <w:t xml:space="preserve"> and ‘underdeveloped’ (or developing) </w:t>
      </w:r>
      <w:r w:rsidRPr="00E36C5D">
        <w:rPr>
          <w:rStyle w:val="StyleUnderline"/>
          <w:rFonts w:asciiTheme="minorHAnsi" w:hAnsiTheme="minorHAnsi" w:cstheme="minorHAnsi"/>
        </w:rPr>
        <w:t>that partitions the world into regions worthy of exploring</w:t>
      </w:r>
      <w:r w:rsidRPr="00E36C5D">
        <w:rPr>
          <w:rFonts w:asciiTheme="minorHAnsi" w:hAnsiTheme="minorHAnsi" w:cstheme="minorHAnsi"/>
          <w:sz w:val="16"/>
        </w:rPr>
        <w:t xml:space="preserve"> certain </w:t>
      </w:r>
      <w:r w:rsidRPr="00E36C5D">
        <w:rPr>
          <w:rStyle w:val="StyleUnderline"/>
          <w:rFonts w:asciiTheme="minorHAnsi" w:hAnsiTheme="minorHAnsi" w:cstheme="minorHAnsi"/>
        </w:rPr>
        <w:t>topics such as</w:t>
      </w:r>
      <w:r w:rsidRPr="00E36C5D">
        <w:rPr>
          <w:rFonts w:asciiTheme="minorHAnsi" w:hAnsiTheme="minorHAnsi" w:cstheme="minorHAnsi"/>
          <w:sz w:val="16"/>
        </w:rPr>
        <w:t xml:space="preserve"> endemic </w:t>
      </w:r>
      <w:r w:rsidRPr="00E36C5D">
        <w:rPr>
          <w:rStyle w:val="StyleUnderline"/>
          <w:rFonts w:asciiTheme="minorHAnsi" w:hAnsiTheme="minorHAnsi" w:cstheme="minorHAnsi"/>
          <w:highlight w:val="cyan"/>
        </w:rPr>
        <w:t>poverty and</w:t>
      </w:r>
      <w:r w:rsidRPr="00E36C5D">
        <w:rPr>
          <w:rFonts w:asciiTheme="minorHAnsi" w:hAnsiTheme="minorHAnsi" w:cstheme="minorHAnsi"/>
          <w:sz w:val="16"/>
        </w:rPr>
        <w:t xml:space="preserve"> infrastructural </w:t>
      </w:r>
      <w:r w:rsidRPr="00E36C5D">
        <w:rPr>
          <w:rStyle w:val="StyleUnderline"/>
          <w:rFonts w:asciiTheme="minorHAnsi" w:hAnsiTheme="minorHAnsi" w:cstheme="minorHAnsi"/>
          <w:highlight w:val="cyan"/>
        </w:rPr>
        <w:t>political instability.</w:t>
      </w:r>
      <w:r w:rsidRPr="00E36C5D">
        <w:rPr>
          <w:rStyle w:val="StyleUnderline"/>
          <w:rFonts w:asciiTheme="minorHAnsi" w:hAnsiTheme="minorHAnsi" w:cstheme="minorHAnsi"/>
        </w:rPr>
        <w:t xml:space="preserve"> Yet</w:t>
      </w:r>
      <w:r w:rsidRPr="00E36C5D">
        <w:rPr>
          <w:rFonts w:asciiTheme="minorHAnsi" w:hAnsiTheme="minorHAnsi" w:cstheme="minorHAnsi"/>
          <w:sz w:val="16"/>
        </w:rPr>
        <w:t xml:space="preserve">, as theorists from the Global South (Fanon 1961; Henry 2016) have shown, </w:t>
      </w:r>
      <w:r w:rsidRPr="00E36C5D">
        <w:rPr>
          <w:rStyle w:val="Emphasis"/>
          <w:rFonts w:asciiTheme="minorHAnsi" w:hAnsiTheme="minorHAnsi" w:cstheme="minorHAnsi"/>
          <w:highlight w:val="cyan"/>
        </w:rPr>
        <w:t>a proper excavation of power</w:t>
      </w:r>
      <w:r w:rsidRPr="00E36C5D">
        <w:rPr>
          <w:rFonts w:asciiTheme="minorHAnsi" w:hAnsiTheme="minorHAnsi" w:cstheme="minorHAnsi"/>
          <w:sz w:val="16"/>
        </w:rPr>
        <w:t xml:space="preserve"> in the global sphere </w:t>
      </w:r>
      <w:r w:rsidRPr="00E36C5D">
        <w:rPr>
          <w:rStyle w:val="Emphasis"/>
          <w:rFonts w:asciiTheme="minorHAnsi" w:hAnsiTheme="minorHAnsi" w:cstheme="minorHAnsi"/>
          <w:highlight w:val="cyan"/>
        </w:rPr>
        <w:t>cannot exclude</w:t>
      </w:r>
      <w:r w:rsidRPr="00E36C5D">
        <w:rPr>
          <w:rFonts w:asciiTheme="minorHAnsi" w:hAnsiTheme="minorHAnsi" w:cstheme="minorHAnsi"/>
          <w:sz w:val="16"/>
        </w:rPr>
        <w:t xml:space="preserve"> the very processes that have led to the contemporary relationship between international actors—namely</w:t>
      </w:r>
      <w:r w:rsidRPr="00E36C5D">
        <w:rPr>
          <w:rStyle w:val="Emphasis"/>
          <w:rFonts w:asciiTheme="minorHAnsi" w:hAnsiTheme="minorHAnsi" w:cstheme="minorHAnsi"/>
        </w:rPr>
        <w:t xml:space="preserve">, </w:t>
      </w:r>
      <w:r w:rsidRPr="00E36C5D">
        <w:rPr>
          <w:rStyle w:val="Emphasis"/>
          <w:rFonts w:asciiTheme="minorHAnsi" w:hAnsiTheme="minorHAnsi" w:cstheme="minorHAnsi"/>
          <w:highlight w:val="cyan"/>
        </w:rPr>
        <w:t>colonialism and imperialism.</w:t>
      </w:r>
    </w:p>
    <w:p w14:paraId="5FBEC8D9" w14:textId="77777777" w:rsidR="009E3DAF" w:rsidRPr="00E36C5D" w:rsidRDefault="009E3DAF" w:rsidP="009E3DAF">
      <w:pPr>
        <w:contextualSpacing/>
        <w:rPr>
          <w:rFonts w:asciiTheme="minorHAnsi" w:hAnsiTheme="minorHAnsi" w:cstheme="minorHAnsi"/>
          <w:sz w:val="16"/>
        </w:rPr>
      </w:pPr>
      <w:r w:rsidRPr="00E36C5D">
        <w:rPr>
          <w:rStyle w:val="StyleUnderline"/>
          <w:rFonts w:asciiTheme="minorHAnsi" w:hAnsiTheme="minorHAnsi" w:cstheme="minorHAnsi"/>
          <w:highlight w:val="cyan"/>
        </w:rPr>
        <w:t>States are</w:t>
      </w:r>
      <w:r w:rsidRPr="00E36C5D">
        <w:rPr>
          <w:rStyle w:val="StyleUnderline"/>
          <w:rFonts w:asciiTheme="minorHAnsi" w:hAnsiTheme="minorHAnsi" w:cstheme="minorHAnsi"/>
        </w:rPr>
        <w:t xml:space="preserve"> inexorable </w:t>
      </w:r>
      <w:r w:rsidRPr="00E36C5D">
        <w:rPr>
          <w:rStyle w:val="StyleUnderline"/>
          <w:rFonts w:asciiTheme="minorHAnsi" w:hAnsiTheme="minorHAnsi" w:cstheme="minorHAnsi"/>
          <w:highlight w:val="cyan"/>
        </w:rPr>
        <w:t>foci</w:t>
      </w:r>
      <w:r w:rsidRPr="00E36C5D">
        <w:rPr>
          <w:rStyle w:val="StyleUnderline"/>
          <w:rFonts w:asciiTheme="minorHAnsi" w:hAnsiTheme="minorHAnsi" w:cstheme="minorHAnsi"/>
        </w:rPr>
        <w:t xml:space="preserve"> in</w:t>
      </w:r>
      <w:r w:rsidRPr="00E36C5D">
        <w:rPr>
          <w:rFonts w:asciiTheme="minorHAnsi" w:hAnsiTheme="minorHAnsi" w:cstheme="minorHAnsi"/>
          <w:sz w:val="16"/>
        </w:rPr>
        <w:t xml:space="preserve"> the study of </w:t>
      </w:r>
      <w:r w:rsidRPr="00E36C5D">
        <w:rPr>
          <w:rStyle w:val="StyleUnderline"/>
          <w:rFonts w:asciiTheme="minorHAnsi" w:hAnsiTheme="minorHAnsi" w:cstheme="minorHAnsi"/>
        </w:rPr>
        <w:t>I</w:t>
      </w:r>
      <w:r w:rsidRPr="00E36C5D">
        <w:rPr>
          <w:rFonts w:asciiTheme="minorHAnsi" w:hAnsiTheme="minorHAnsi" w:cstheme="minorHAnsi"/>
          <w:sz w:val="16"/>
        </w:rPr>
        <w:t xml:space="preserve">nternational </w:t>
      </w:r>
      <w:r w:rsidRPr="00E36C5D">
        <w:rPr>
          <w:rStyle w:val="StyleUnderline"/>
          <w:rFonts w:asciiTheme="minorHAnsi" w:hAnsiTheme="minorHAnsi" w:cstheme="minorHAnsi"/>
        </w:rPr>
        <w:t>R</w:t>
      </w:r>
      <w:r w:rsidRPr="00E36C5D">
        <w:rPr>
          <w:rFonts w:asciiTheme="minorHAnsi" w:hAnsiTheme="minorHAnsi" w:cstheme="minorHAnsi"/>
          <w:sz w:val="16"/>
        </w:rPr>
        <w:t xml:space="preserve">elations. </w:t>
      </w:r>
      <w:r w:rsidRPr="00E36C5D">
        <w:rPr>
          <w:rStyle w:val="StyleUnderline"/>
          <w:rFonts w:asciiTheme="minorHAnsi" w:hAnsiTheme="minorHAnsi" w:cstheme="minorHAnsi"/>
        </w:rPr>
        <w:t xml:space="preserve">The formation of </w:t>
      </w:r>
      <w:r w:rsidRPr="00E36C5D">
        <w:rPr>
          <w:rStyle w:val="StyleUnderline"/>
          <w:rFonts w:asciiTheme="minorHAnsi" w:hAnsiTheme="minorHAnsi" w:cstheme="minorHAnsi"/>
          <w:highlight w:val="cyan"/>
        </w:rPr>
        <w:t>Euromodern states is</w:t>
      </w:r>
      <w:r w:rsidRPr="00E36C5D">
        <w:rPr>
          <w:rStyle w:val="StyleUnderline"/>
          <w:rFonts w:asciiTheme="minorHAnsi" w:hAnsiTheme="minorHAnsi" w:cstheme="minorHAnsi"/>
        </w:rPr>
        <w:t xml:space="preserve"> </w:t>
      </w:r>
      <w:r w:rsidRPr="00E36C5D">
        <w:rPr>
          <w:rFonts w:asciiTheme="minorHAnsi" w:hAnsiTheme="minorHAnsi" w:cstheme="minorHAnsi"/>
          <w:sz w:val="16"/>
        </w:rPr>
        <w:t xml:space="preserve">also a part </w:t>
      </w:r>
      <w:r w:rsidRPr="00E36C5D">
        <w:rPr>
          <w:rStyle w:val="StyleUnderline"/>
          <w:rFonts w:asciiTheme="minorHAnsi" w:hAnsiTheme="minorHAnsi" w:cstheme="minorHAnsi"/>
        </w:rPr>
        <w:t xml:space="preserve">of the </w:t>
      </w:r>
      <w:r w:rsidRPr="00E36C5D">
        <w:rPr>
          <w:rStyle w:val="StyleUnderline"/>
          <w:rFonts w:asciiTheme="minorHAnsi" w:hAnsiTheme="minorHAnsi" w:cstheme="minorHAnsi"/>
          <w:highlight w:val="cyan"/>
        </w:rPr>
        <w:t>mythical reinterpreting</w:t>
      </w:r>
      <w:r w:rsidRPr="00E36C5D">
        <w:rPr>
          <w:rStyle w:val="StyleUnderline"/>
          <w:rFonts w:asciiTheme="minorHAnsi" w:hAnsiTheme="minorHAnsi" w:cstheme="minorHAnsi"/>
        </w:rPr>
        <w:t xml:space="preserve"> of I</w:t>
      </w:r>
      <w:r w:rsidRPr="00E36C5D">
        <w:rPr>
          <w:rFonts w:asciiTheme="minorHAnsi" w:hAnsiTheme="minorHAnsi" w:cstheme="minorHAnsi"/>
          <w:sz w:val="16"/>
        </w:rPr>
        <w:t xml:space="preserve">nternational </w:t>
      </w:r>
      <w:r w:rsidRPr="00E36C5D">
        <w:rPr>
          <w:rStyle w:val="StyleUnderline"/>
          <w:rFonts w:asciiTheme="minorHAnsi" w:hAnsiTheme="minorHAnsi" w:cstheme="minorHAnsi"/>
        </w:rPr>
        <w:t>R</w:t>
      </w:r>
      <w:r w:rsidRPr="00E36C5D">
        <w:rPr>
          <w:rFonts w:asciiTheme="minorHAnsi" w:hAnsiTheme="minorHAnsi" w:cstheme="minorHAnsi"/>
          <w:sz w:val="16"/>
        </w:rPr>
        <w:t xml:space="preserve">elations as a discipline. </w:t>
      </w:r>
      <w:r w:rsidRPr="00E36C5D">
        <w:rPr>
          <w:rStyle w:val="StyleUnderline"/>
          <w:rFonts w:asciiTheme="minorHAnsi" w:hAnsiTheme="minorHAnsi" w:cstheme="minorHAnsi"/>
        </w:rPr>
        <w:t>The myth is that the modern formulation of sovereignty grows out of the Treaty of Westphalia</w:t>
      </w:r>
      <w:r w:rsidRPr="00E36C5D">
        <w:rPr>
          <w:rFonts w:asciiTheme="minorHAnsi" w:hAnsiTheme="minorHAnsi" w:cstheme="minorHAnsi"/>
          <w:sz w:val="16"/>
        </w:rPr>
        <w:t xml:space="preserve"> (1648), which European states elaborated in efforts to establish sovereignty and independence from the Habsburg Dynasty (1278/1282–1918). </w:t>
      </w:r>
      <w:r w:rsidRPr="00E36C5D">
        <w:rPr>
          <w:rStyle w:val="StyleUnderline"/>
          <w:rFonts w:asciiTheme="minorHAnsi" w:hAnsiTheme="minorHAnsi" w:cstheme="minorHAnsi"/>
        </w:rPr>
        <w:t>However</w:t>
      </w:r>
      <w:r w:rsidRPr="00E36C5D">
        <w:rPr>
          <w:rFonts w:asciiTheme="minorHAnsi" w:hAnsiTheme="minorHAnsi" w:cstheme="minorHAnsi"/>
          <w:sz w:val="16"/>
        </w:rPr>
        <w:t xml:space="preserve">, as Osiander (2001) demonstrates, </w:t>
      </w:r>
      <w:r w:rsidRPr="00E36C5D">
        <w:rPr>
          <w:rStyle w:val="StyleUnderline"/>
          <w:rFonts w:asciiTheme="minorHAnsi" w:hAnsiTheme="minorHAnsi" w:cstheme="minorHAnsi"/>
        </w:rPr>
        <w:t>there was no mention of sovereignty or independence</w:t>
      </w:r>
      <w:r w:rsidRPr="00E36C5D">
        <w:rPr>
          <w:rFonts w:asciiTheme="minorHAnsi" w:hAnsiTheme="minorHAnsi" w:cstheme="minorHAnsi"/>
          <w:sz w:val="16"/>
        </w:rPr>
        <w:t xml:space="preserve"> in the Peace of Westphalia. Moreover, the process toward state sovereignty in Europe was more gradual with the most signifcant changes coming from the French Revolution (1789–1799) and industrialization (Osiander 2001). </w:t>
      </w:r>
      <w:r w:rsidRPr="00E36C5D">
        <w:rPr>
          <w:rStyle w:val="StyleUnderline"/>
          <w:rFonts w:asciiTheme="minorHAnsi" w:hAnsiTheme="minorHAnsi" w:cstheme="minorHAnsi"/>
        </w:rPr>
        <w:t xml:space="preserve">Exposing the false origins of sovereignty </w:t>
      </w:r>
      <w:r w:rsidRPr="00E36C5D">
        <w:rPr>
          <w:rFonts w:asciiTheme="minorHAnsi" w:hAnsiTheme="minorHAnsi" w:cstheme="minorHAnsi"/>
          <w:sz w:val="16"/>
        </w:rPr>
        <w:t xml:space="preserve">in Europe </w:t>
      </w:r>
      <w:r w:rsidRPr="00E36C5D">
        <w:rPr>
          <w:rStyle w:val="StyleUnderline"/>
          <w:rFonts w:asciiTheme="minorHAnsi" w:hAnsiTheme="minorHAnsi" w:cstheme="minorHAnsi"/>
        </w:rPr>
        <w:t xml:space="preserve">opens up the potential to examine </w:t>
      </w:r>
      <w:r w:rsidRPr="00E36C5D">
        <w:rPr>
          <w:rStyle w:val="StyleUnderline"/>
          <w:rFonts w:asciiTheme="minorHAnsi" w:hAnsiTheme="minorHAnsi" w:cstheme="minorHAnsi"/>
          <w:highlight w:val="cyan"/>
        </w:rPr>
        <w:t>other factors</w:t>
      </w:r>
      <w:r w:rsidRPr="00E36C5D">
        <w:rPr>
          <w:rStyle w:val="StyleUnderline"/>
          <w:rFonts w:asciiTheme="minorHAnsi" w:hAnsiTheme="minorHAnsi" w:cstheme="minorHAnsi"/>
        </w:rPr>
        <w:t xml:space="preserve"> that </w:t>
      </w:r>
      <w:r w:rsidRPr="00E36C5D">
        <w:rPr>
          <w:rStyle w:val="StyleUnderline"/>
          <w:rFonts w:asciiTheme="minorHAnsi" w:hAnsiTheme="minorHAnsi" w:cstheme="minorHAnsi"/>
          <w:highlight w:val="cyan"/>
        </w:rPr>
        <w:t>facilitated the</w:t>
      </w:r>
      <w:r w:rsidRPr="00E36C5D">
        <w:rPr>
          <w:rStyle w:val="StyleUnderline"/>
          <w:rFonts w:asciiTheme="minorHAnsi" w:hAnsiTheme="minorHAnsi" w:cstheme="minorHAnsi"/>
        </w:rPr>
        <w:t xml:space="preserve"> creation of the Euromodern </w:t>
      </w:r>
      <w:r w:rsidRPr="00E36C5D">
        <w:rPr>
          <w:rStyle w:val="StyleUnderline"/>
          <w:rFonts w:asciiTheme="minorHAnsi" w:hAnsiTheme="minorHAnsi" w:cstheme="minorHAnsi"/>
          <w:highlight w:val="cyan"/>
        </w:rPr>
        <w:t>nation-state—</w:t>
      </w:r>
      <w:r w:rsidRPr="00E36C5D">
        <w:rPr>
          <w:rStyle w:val="StyleUnderline"/>
          <w:rFonts w:asciiTheme="minorHAnsi" w:hAnsiTheme="minorHAnsi" w:cstheme="minorHAnsi"/>
        </w:rPr>
        <w:t xml:space="preserve">for example, </w:t>
      </w:r>
      <w:r w:rsidRPr="00E36C5D">
        <w:rPr>
          <w:rStyle w:val="Emphasis"/>
          <w:rFonts w:asciiTheme="minorHAnsi" w:hAnsiTheme="minorHAnsi" w:cstheme="minorHAnsi"/>
          <w:highlight w:val="cyan"/>
        </w:rPr>
        <w:t>colonialism, racism,</w:t>
      </w:r>
      <w:r w:rsidRPr="00E36C5D">
        <w:rPr>
          <w:rStyle w:val="StyleUnderline"/>
          <w:rFonts w:asciiTheme="minorHAnsi" w:hAnsiTheme="minorHAnsi" w:cstheme="minorHAnsi"/>
          <w:highlight w:val="cyan"/>
        </w:rPr>
        <w:t xml:space="preserve"> and </w:t>
      </w:r>
      <w:r w:rsidRPr="00E36C5D">
        <w:rPr>
          <w:rStyle w:val="Emphasis"/>
          <w:rFonts w:asciiTheme="minorHAnsi" w:hAnsiTheme="minorHAnsi" w:cstheme="minorHAnsi"/>
          <w:highlight w:val="cyan"/>
        </w:rPr>
        <w:t>xenophobia.</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Scholars have long demonstrated the ways in which </w:t>
      </w:r>
      <w:r w:rsidRPr="00E36C5D">
        <w:rPr>
          <w:rStyle w:val="Emphasis"/>
          <w:rFonts w:asciiTheme="minorHAnsi" w:hAnsiTheme="minorHAnsi" w:cstheme="minorHAnsi"/>
          <w:highlight w:val="cyan"/>
        </w:rPr>
        <w:t>governments mobilized race</w:t>
      </w:r>
      <w:r w:rsidRPr="00E36C5D">
        <w:rPr>
          <w:rStyle w:val="Emphasis"/>
          <w:rFonts w:asciiTheme="minorHAnsi" w:hAnsiTheme="minorHAnsi" w:cstheme="minorHAnsi"/>
        </w:rPr>
        <w:t xml:space="preserve"> in order </w:t>
      </w:r>
      <w:r w:rsidRPr="00E36C5D">
        <w:rPr>
          <w:rStyle w:val="Emphasis"/>
          <w:rFonts w:asciiTheme="minorHAnsi" w:hAnsiTheme="minorHAnsi" w:cstheme="minorHAnsi"/>
          <w:highlight w:val="cyan"/>
        </w:rPr>
        <w:t>to foster</w:t>
      </w:r>
      <w:r w:rsidRPr="00E36C5D">
        <w:rPr>
          <w:rStyle w:val="Emphasis"/>
          <w:rFonts w:asciiTheme="minorHAnsi" w:hAnsiTheme="minorHAnsi" w:cstheme="minorHAnsi"/>
        </w:rPr>
        <w:t xml:space="preserve"> a sense </w:t>
      </w:r>
      <w:r w:rsidRPr="00E36C5D">
        <w:rPr>
          <w:rStyle w:val="Emphasis"/>
          <w:rFonts w:asciiTheme="minorHAnsi" w:hAnsiTheme="minorHAnsi" w:cstheme="minorHAnsi"/>
          <w:highlight w:val="cyan"/>
        </w:rPr>
        <w:t>of nationality</w:t>
      </w:r>
      <w:r w:rsidRPr="00E36C5D">
        <w:rPr>
          <w:rFonts w:asciiTheme="minorHAnsi" w:hAnsiTheme="minorHAnsi" w:cstheme="minorHAnsi"/>
          <w:sz w:val="16"/>
        </w:rPr>
        <w:t xml:space="preserve"> in countries such as Brazil, France, South Africa, and the United States (Dzidzienyo 2001; Marx 1998; Omi and Winant 2014). Furthermore, in many postcolonies, </w:t>
      </w:r>
      <w:r w:rsidRPr="00E36C5D">
        <w:rPr>
          <w:rStyle w:val="Emphasis"/>
          <w:rFonts w:asciiTheme="minorHAnsi" w:hAnsiTheme="minorHAnsi" w:cstheme="minorHAnsi"/>
          <w:highlight w:val="cyan"/>
        </w:rPr>
        <w:t>the nation-state is a</w:t>
      </w:r>
      <w:r w:rsidRPr="00E36C5D">
        <w:rPr>
          <w:rStyle w:val="Emphasis"/>
          <w:rFonts w:asciiTheme="minorHAnsi" w:hAnsiTheme="minorHAnsi" w:cstheme="minorHAnsi"/>
        </w:rPr>
        <w:t xml:space="preserve"> direct </w:t>
      </w:r>
      <w:r w:rsidRPr="00E36C5D">
        <w:rPr>
          <w:rStyle w:val="Emphasis"/>
          <w:rFonts w:asciiTheme="minorHAnsi" w:hAnsiTheme="minorHAnsi" w:cstheme="minorHAnsi"/>
          <w:highlight w:val="cyan"/>
        </w:rPr>
        <w:t>consequence o</w:t>
      </w:r>
      <w:r w:rsidRPr="00E36C5D">
        <w:rPr>
          <w:rStyle w:val="Emphasis"/>
          <w:rFonts w:asciiTheme="minorHAnsi" w:hAnsiTheme="minorHAnsi" w:cstheme="minorHAnsi"/>
        </w:rPr>
        <w:t xml:space="preserve">f European </w:t>
      </w:r>
      <w:r w:rsidRPr="00E36C5D">
        <w:rPr>
          <w:rStyle w:val="Emphasis"/>
          <w:rFonts w:asciiTheme="minorHAnsi" w:hAnsiTheme="minorHAnsi" w:cstheme="minorHAnsi"/>
          <w:highlight w:val="cyan"/>
        </w:rPr>
        <w:t>imperialism</w:t>
      </w:r>
      <w:r w:rsidRPr="00E36C5D">
        <w:rPr>
          <w:rFonts w:asciiTheme="minorHAnsi" w:hAnsiTheme="minorHAnsi" w:cstheme="minorHAnsi"/>
          <w:sz w:val="16"/>
        </w:rPr>
        <w:t xml:space="preserve"> and expansion, wherein the now determined lines demarcating nation-states in the Global South were created </w:t>
      </w:r>
      <w:r w:rsidRPr="00E36C5D">
        <w:rPr>
          <w:rStyle w:val="Emphasis"/>
          <w:rFonts w:asciiTheme="minorHAnsi" w:hAnsiTheme="minorHAnsi" w:cstheme="minorHAnsi"/>
        </w:rPr>
        <w:t>with the intentions of servicing the economic interests of Western Europe</w:t>
      </w:r>
      <w:r w:rsidRPr="00E36C5D">
        <w:rPr>
          <w:rFonts w:asciiTheme="minorHAnsi" w:hAnsiTheme="minorHAnsi" w:cstheme="minorHAnsi"/>
          <w:sz w:val="16"/>
        </w:rPr>
        <w:t xml:space="preserve"> (Fanon 1961; J.A. Gordon 2010; Gyekye 1997; Harper-Shipman 2017; Neocosmos 2016; Prieto-Rios 2017; Rodney 1982). In essence, </w:t>
      </w:r>
      <w:r w:rsidRPr="00E36C5D">
        <w:rPr>
          <w:rStyle w:val="Emphasis"/>
          <w:rFonts w:asciiTheme="minorHAnsi" w:hAnsiTheme="minorHAnsi" w:cstheme="minorHAnsi"/>
        </w:rPr>
        <w:t xml:space="preserve">most, if not all, </w:t>
      </w:r>
      <w:r w:rsidRPr="00E36C5D">
        <w:rPr>
          <w:rStyle w:val="Emphasis"/>
          <w:rFonts w:asciiTheme="minorHAnsi" w:hAnsiTheme="minorHAnsi" w:cstheme="minorHAnsi"/>
          <w:highlight w:val="cyan"/>
        </w:rPr>
        <w:t>attempts to prognosticate the actions of the nation-state are woefully inadequate without excavating</w:t>
      </w:r>
      <w:r w:rsidRPr="00E36C5D">
        <w:rPr>
          <w:rStyle w:val="Emphasis"/>
          <w:rFonts w:asciiTheme="minorHAnsi" w:hAnsiTheme="minorHAnsi" w:cstheme="minorHAnsi"/>
        </w:rPr>
        <w:t xml:space="preserve"> the </w:t>
      </w:r>
      <w:r w:rsidRPr="00E36C5D">
        <w:rPr>
          <w:rStyle w:val="Emphasis"/>
          <w:rFonts w:asciiTheme="minorHAnsi" w:hAnsiTheme="minorHAnsi" w:cstheme="minorHAnsi"/>
          <w:highlight w:val="cyan"/>
        </w:rPr>
        <w:t>racialized policies</w:t>
      </w:r>
      <w:r w:rsidRPr="00E36C5D">
        <w:rPr>
          <w:rStyle w:val="Emphasis"/>
          <w:rFonts w:asciiTheme="minorHAnsi" w:hAnsiTheme="minorHAnsi" w:cstheme="minorHAnsi"/>
        </w:rPr>
        <w:t xml:space="preserve"> that inform such kinds of state.</w:t>
      </w:r>
      <w:r w:rsidRPr="00E36C5D">
        <w:rPr>
          <w:rFonts w:asciiTheme="minorHAnsi" w:hAnsiTheme="minorHAnsi" w:cstheme="minorHAnsi"/>
          <w:sz w:val="16"/>
        </w:rPr>
        <w:t xml:space="preserve"> </w:t>
      </w:r>
      <w:r w:rsidRPr="00E36C5D">
        <w:rPr>
          <w:rStyle w:val="Emphasis"/>
          <w:rFonts w:asciiTheme="minorHAnsi" w:hAnsiTheme="minorHAnsi" w:cstheme="minorHAnsi"/>
        </w:rPr>
        <w:t>By focusing only on the</w:t>
      </w:r>
      <w:r w:rsidRPr="00E36C5D">
        <w:rPr>
          <w:rFonts w:asciiTheme="minorHAnsi" w:hAnsiTheme="minorHAnsi" w:cstheme="minorHAnsi"/>
          <w:sz w:val="16"/>
        </w:rPr>
        <w:t xml:space="preserve"> often-colonial </w:t>
      </w:r>
      <w:r w:rsidRPr="00E36C5D">
        <w:rPr>
          <w:rStyle w:val="Emphasis"/>
          <w:rFonts w:asciiTheme="minorHAnsi" w:hAnsiTheme="minorHAnsi" w:cstheme="minorHAnsi"/>
        </w:rPr>
        <w:t xml:space="preserve">sovereign state, </w:t>
      </w:r>
      <w:r w:rsidRPr="00E36C5D">
        <w:rPr>
          <w:rStyle w:val="Emphasis"/>
          <w:rFonts w:asciiTheme="minorHAnsi" w:hAnsiTheme="minorHAnsi" w:cstheme="minorHAnsi"/>
          <w:highlight w:val="cyan"/>
        </w:rPr>
        <w:t>the discipline intentionally overlooks the colonies</w:t>
      </w:r>
      <w:r w:rsidRPr="00E36C5D">
        <w:rPr>
          <w:rFonts w:asciiTheme="minorHAnsi" w:hAnsiTheme="minorHAnsi" w:cstheme="minorHAnsi"/>
          <w:sz w:val="16"/>
        </w:rPr>
        <w:t xml:space="preserve">, protectorates, and trusteeships that existed during critical historical moments such as World War I, World War II, the Cold War, post–Cold War, post-9/11, </w:t>
      </w:r>
      <w:r w:rsidRPr="00E36C5D">
        <w:rPr>
          <w:rStyle w:val="Emphasis"/>
          <w:rFonts w:asciiTheme="minorHAnsi" w:hAnsiTheme="minorHAnsi" w:cstheme="minorHAnsi"/>
          <w:highlight w:val="cyan"/>
        </w:rPr>
        <w:t>and</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the twenty-first-century rise of </w:t>
      </w:r>
      <w:r w:rsidRPr="00E36C5D">
        <w:rPr>
          <w:rStyle w:val="Emphasis"/>
          <w:rFonts w:asciiTheme="minorHAnsi" w:hAnsiTheme="minorHAnsi" w:cstheme="minorHAnsi"/>
        </w:rPr>
        <w:t xml:space="preserve">new forms of </w:t>
      </w:r>
      <w:r w:rsidRPr="00E36C5D">
        <w:rPr>
          <w:rStyle w:val="Emphasis"/>
          <w:rFonts w:asciiTheme="minorHAnsi" w:hAnsiTheme="minorHAnsi" w:cstheme="minorHAnsi"/>
          <w:highlight w:val="cyan"/>
        </w:rPr>
        <w:t>fascism</w:t>
      </w:r>
      <w:r w:rsidRPr="00E36C5D">
        <w:rPr>
          <w:rStyle w:val="Emphasis"/>
          <w:rFonts w:asciiTheme="minorHAnsi" w:hAnsiTheme="minorHAnsi" w:cstheme="minorHAnsi"/>
        </w:rPr>
        <w:t xml:space="preserve"> under the ambit of the ‘alt-right.’ </w:t>
      </w:r>
      <w:r w:rsidRPr="00E36C5D">
        <w:rPr>
          <w:rStyle w:val="Emphasis"/>
          <w:rFonts w:asciiTheme="minorHAnsi" w:hAnsiTheme="minorHAnsi" w:cstheme="minorHAnsi"/>
          <w:highlight w:val="cyan"/>
        </w:rPr>
        <w:t>Factoring race</w:t>
      </w:r>
      <w:r w:rsidRPr="00E36C5D">
        <w:rPr>
          <w:rFonts w:asciiTheme="minorHAnsi" w:hAnsiTheme="minorHAnsi" w:cstheme="minorHAnsi"/>
          <w:sz w:val="16"/>
          <w:highlight w:val="cyan"/>
        </w:rPr>
        <w:t xml:space="preserve"> i</w:t>
      </w:r>
      <w:r w:rsidRPr="00E36C5D">
        <w:rPr>
          <w:rFonts w:asciiTheme="minorHAnsi" w:hAnsiTheme="minorHAnsi" w:cstheme="minorHAnsi"/>
          <w:sz w:val="16"/>
        </w:rPr>
        <w:t>nto these moments would open and expand the critical junctures that preoccupy IR scholars</w:t>
      </w:r>
      <w:r w:rsidRPr="00E36C5D">
        <w:rPr>
          <w:rFonts w:asciiTheme="minorHAnsi" w:hAnsiTheme="minorHAnsi" w:cstheme="minorHAnsi"/>
          <w:sz w:val="16"/>
          <w:highlight w:val="cyan"/>
        </w:rPr>
        <w:t xml:space="preserve">. </w:t>
      </w:r>
      <w:r w:rsidRPr="00E36C5D">
        <w:rPr>
          <w:rStyle w:val="StyleUnderline"/>
          <w:rFonts w:asciiTheme="minorHAnsi" w:hAnsiTheme="minorHAnsi" w:cstheme="minorHAnsi"/>
          <w:highlight w:val="cyan"/>
        </w:rPr>
        <w:t>For example, the</w:t>
      </w:r>
      <w:r w:rsidRPr="00E36C5D">
        <w:rPr>
          <w:rStyle w:val="StyleUnderline"/>
          <w:rFonts w:asciiTheme="minorHAnsi" w:hAnsiTheme="minorHAnsi" w:cstheme="minorHAnsi"/>
        </w:rPr>
        <w:t xml:space="preserve"> 1955 </w:t>
      </w:r>
      <w:r w:rsidRPr="00E36C5D">
        <w:rPr>
          <w:rStyle w:val="StyleUnderline"/>
          <w:rFonts w:asciiTheme="minorHAnsi" w:hAnsiTheme="minorHAnsi" w:cstheme="minorHAnsi"/>
          <w:highlight w:val="cyan"/>
        </w:rPr>
        <w:t>Bandung Conference or</w:t>
      </w:r>
      <w:r w:rsidRPr="00E36C5D">
        <w:rPr>
          <w:rFonts w:asciiTheme="minorHAnsi" w:hAnsiTheme="minorHAnsi" w:cstheme="minorHAnsi"/>
          <w:sz w:val="16"/>
        </w:rPr>
        <w:t xml:space="preserve"> the </w:t>
      </w:r>
      <w:r w:rsidRPr="00E36C5D">
        <w:rPr>
          <w:rStyle w:val="StyleUnderline"/>
          <w:rFonts w:asciiTheme="minorHAnsi" w:hAnsiTheme="minorHAnsi" w:cstheme="minorHAnsi"/>
        </w:rPr>
        <w:t xml:space="preserve">1966 </w:t>
      </w:r>
      <w:r w:rsidRPr="00E36C5D">
        <w:rPr>
          <w:rStyle w:val="StyleUnderline"/>
          <w:rFonts w:asciiTheme="minorHAnsi" w:hAnsiTheme="minorHAnsi" w:cstheme="minorHAnsi"/>
          <w:highlight w:val="cyan"/>
        </w:rPr>
        <w:t>Tricontinental Congress</w:t>
      </w:r>
      <w:r w:rsidRPr="00E36C5D">
        <w:rPr>
          <w:rFonts w:asciiTheme="minorHAnsi" w:hAnsiTheme="minorHAnsi" w:cstheme="minorHAnsi"/>
          <w:sz w:val="16"/>
        </w:rPr>
        <w:t xml:space="preserve"> in Havana, which </w:t>
      </w:r>
      <w:r w:rsidRPr="00E36C5D">
        <w:rPr>
          <w:rStyle w:val="Emphasis"/>
          <w:rFonts w:asciiTheme="minorHAnsi" w:hAnsiTheme="minorHAnsi" w:cstheme="minorHAnsi"/>
          <w:highlight w:val="cyan"/>
        </w:rPr>
        <w:t>established South–South solidarity around racial lines falls outside the purview of dominant IR</w:t>
      </w:r>
      <w:r w:rsidRPr="00E36C5D">
        <w:rPr>
          <w:rStyle w:val="Emphasis"/>
          <w:rFonts w:asciiTheme="minorHAnsi" w:hAnsiTheme="minorHAnsi" w:cstheme="minorHAnsi"/>
        </w:rPr>
        <w:t xml:space="preserve"> </w:t>
      </w:r>
      <w:r w:rsidRPr="00E36C5D">
        <w:rPr>
          <w:rFonts w:asciiTheme="minorHAnsi" w:hAnsiTheme="minorHAnsi" w:cstheme="minorHAnsi"/>
          <w:sz w:val="16"/>
        </w:rPr>
        <w:t>approaches. Additionally, the status of some nations within other nations, despite standing under the jurisdiction of a nation-state, could face circumstances of de jure recognition but a de facto lack of such.</w:t>
      </w:r>
    </w:p>
    <w:p w14:paraId="352C149C" w14:textId="77777777" w:rsidR="009E3DAF" w:rsidRPr="00E36C5D" w:rsidRDefault="009E3DAF" w:rsidP="009E3DAF">
      <w:pPr>
        <w:contextualSpacing/>
        <w:rPr>
          <w:rStyle w:val="Emphasis"/>
          <w:rFonts w:asciiTheme="minorHAnsi" w:hAnsiTheme="minorHAnsi" w:cstheme="minorHAnsi"/>
          <w:iCs w:val="0"/>
        </w:rPr>
      </w:pPr>
      <w:r w:rsidRPr="00E36C5D">
        <w:rPr>
          <w:rStyle w:val="StyleUnderline"/>
          <w:rFonts w:asciiTheme="minorHAnsi" w:hAnsiTheme="minorHAnsi" w:cstheme="minorHAnsi"/>
        </w:rPr>
        <w:t>Another consideration would be how anarchy affects race.</w:t>
      </w:r>
      <w:r w:rsidRPr="00E36C5D">
        <w:rPr>
          <w:rFonts w:asciiTheme="minorHAnsi" w:hAnsiTheme="minorHAnsi" w:cstheme="minorHAnsi"/>
          <w:sz w:val="16"/>
        </w:rPr>
        <w:t xml:space="preserve"> International Relations scholars have been preoccupied with questions of anarchy or the absence of a global government since the writings of E.H. Carr in the early 1900s.Anarchy in the global system, according to realists, neo-realists, liberals, and neoliberals is the ordering principle. Building on that presumption, many </w:t>
      </w:r>
      <w:r w:rsidRPr="00E36C5D">
        <w:rPr>
          <w:rStyle w:val="Emphasis"/>
          <w:rFonts w:asciiTheme="minorHAnsi" w:hAnsiTheme="minorHAnsi" w:cstheme="minorHAnsi"/>
          <w:highlight w:val="cyan"/>
        </w:rPr>
        <w:t>mainstream IR</w:t>
      </w:r>
      <w:r w:rsidRPr="00E36C5D">
        <w:rPr>
          <w:rFonts w:asciiTheme="minorHAnsi" w:hAnsiTheme="minorHAnsi" w:cstheme="minorHAnsi"/>
          <w:sz w:val="16"/>
        </w:rPr>
        <w:t xml:space="preserve"> scholars </w:t>
      </w:r>
      <w:r w:rsidRPr="00E36C5D">
        <w:rPr>
          <w:rStyle w:val="Emphasis"/>
          <w:rFonts w:asciiTheme="minorHAnsi" w:hAnsiTheme="minorHAnsi" w:cstheme="minorHAnsi"/>
          <w:highlight w:val="cyan"/>
        </w:rPr>
        <w:t>theorize with the assumption</w:t>
      </w:r>
      <w:r w:rsidRPr="00E36C5D">
        <w:rPr>
          <w:rStyle w:val="Emphasis"/>
          <w:rFonts w:asciiTheme="minorHAnsi" w:hAnsiTheme="minorHAnsi" w:cstheme="minorHAnsi"/>
        </w:rPr>
        <w:t xml:space="preserve"> that </w:t>
      </w:r>
      <w:r w:rsidRPr="00E36C5D">
        <w:rPr>
          <w:rStyle w:val="Emphasis"/>
          <w:rFonts w:asciiTheme="minorHAnsi" w:hAnsiTheme="minorHAnsi" w:cstheme="minorHAnsi"/>
          <w:highlight w:val="cyan"/>
        </w:rPr>
        <w:t>states interact through</w:t>
      </w:r>
      <w:r w:rsidRPr="00E36C5D">
        <w:rPr>
          <w:rStyle w:val="Emphasis"/>
          <w:rFonts w:asciiTheme="minorHAnsi" w:hAnsiTheme="minorHAnsi" w:cstheme="minorHAnsi"/>
        </w:rPr>
        <w:t xml:space="preserve"> a prism of </w:t>
      </w:r>
      <w:r w:rsidRPr="00E36C5D">
        <w:rPr>
          <w:rStyle w:val="Emphasis"/>
          <w:rFonts w:asciiTheme="minorHAnsi" w:hAnsiTheme="minorHAnsi" w:cstheme="minorHAnsi"/>
          <w:highlight w:val="cyan"/>
        </w:rPr>
        <w:t>insecurity</w:t>
      </w:r>
      <w:r w:rsidRPr="00E36C5D">
        <w:rPr>
          <w:rStyle w:val="Emphasis"/>
          <w:rFonts w:asciiTheme="minorHAnsi" w:hAnsiTheme="minorHAnsi" w:cstheme="minorHAnsi"/>
        </w:rPr>
        <w:t xml:space="preserve"> and misperceptions</w:t>
      </w:r>
      <w:r w:rsidRPr="00E36C5D">
        <w:rPr>
          <w:rFonts w:asciiTheme="minorHAnsi" w:hAnsiTheme="minorHAnsi" w:cstheme="minorHAnsi"/>
          <w:sz w:val="16"/>
        </w:rPr>
        <w:t xml:space="preserve"> due to there being no global arbiter. </w:t>
      </w:r>
      <w:r w:rsidRPr="00E36C5D">
        <w:rPr>
          <w:rStyle w:val="Emphasis"/>
          <w:rFonts w:asciiTheme="minorHAnsi" w:hAnsiTheme="minorHAnsi" w:cstheme="minorHAnsi"/>
          <w:highlight w:val="cyan"/>
        </w:rPr>
        <w:t>The notion that the global sphere is not one with an implicit hierarchy is commensurate with</w:t>
      </w:r>
      <w:r w:rsidRPr="00E36C5D">
        <w:rPr>
          <w:rStyle w:val="Emphasis"/>
          <w:rFonts w:asciiTheme="minorHAnsi" w:hAnsiTheme="minorHAnsi" w:cstheme="minorHAnsi"/>
        </w:rPr>
        <w:t xml:space="preserve"> the</w:t>
      </w:r>
      <w:r w:rsidRPr="00E36C5D">
        <w:rPr>
          <w:rFonts w:asciiTheme="minorHAnsi" w:hAnsiTheme="minorHAnsi" w:cstheme="minorHAnsi"/>
          <w:sz w:val="16"/>
        </w:rPr>
        <w:t xml:space="preserve"> particular </w:t>
      </w:r>
      <w:r w:rsidRPr="00E36C5D">
        <w:rPr>
          <w:rStyle w:val="Emphasis"/>
          <w:rFonts w:asciiTheme="minorHAnsi" w:hAnsiTheme="minorHAnsi" w:cstheme="minorHAnsi"/>
          <w:highlight w:val="cyan"/>
        </w:rPr>
        <w:t>realities of</w:t>
      </w:r>
      <w:r w:rsidRPr="00E36C5D">
        <w:rPr>
          <w:rFonts w:asciiTheme="minorHAnsi" w:hAnsiTheme="minorHAnsi" w:cstheme="minorHAnsi"/>
          <w:sz w:val="16"/>
        </w:rPr>
        <w:t xml:space="preserve"> European and </w:t>
      </w:r>
      <w:r w:rsidRPr="00E36C5D">
        <w:rPr>
          <w:rStyle w:val="Emphasis"/>
          <w:rFonts w:asciiTheme="minorHAnsi" w:hAnsiTheme="minorHAnsi" w:cstheme="minorHAnsi"/>
          <w:highlight w:val="cyan"/>
        </w:rPr>
        <w:t>settler-states</w:t>
      </w:r>
      <w:r w:rsidRPr="00E36C5D">
        <w:rPr>
          <w:rStyle w:val="Emphasis"/>
          <w:rFonts w:asciiTheme="minorHAnsi" w:hAnsiTheme="minorHAnsi" w:cstheme="minorHAnsi"/>
        </w:rPr>
        <w:t xml:space="preserve"> taken as</w:t>
      </w:r>
      <w:r w:rsidRPr="00E36C5D">
        <w:rPr>
          <w:rFonts w:asciiTheme="minorHAnsi" w:hAnsiTheme="minorHAnsi" w:cstheme="minorHAnsi"/>
          <w:sz w:val="16"/>
        </w:rPr>
        <w:t xml:space="preserve"> the </w:t>
      </w:r>
      <w:r w:rsidRPr="00E36C5D">
        <w:rPr>
          <w:rStyle w:val="Emphasis"/>
          <w:rFonts w:asciiTheme="minorHAnsi" w:hAnsiTheme="minorHAnsi" w:cstheme="minorHAnsi"/>
        </w:rPr>
        <w:t>universal</w:t>
      </w:r>
      <w:r w:rsidRPr="00E36C5D">
        <w:rPr>
          <w:rFonts w:asciiTheme="minorHAnsi" w:hAnsiTheme="minorHAnsi" w:cstheme="minorHAnsi"/>
          <w:sz w:val="16"/>
        </w:rPr>
        <w:t xml:space="preserve"> reality of all nation-states, </w:t>
      </w:r>
      <w:r w:rsidRPr="00E36C5D">
        <w:rPr>
          <w:rStyle w:val="Emphasis"/>
          <w:rFonts w:asciiTheme="minorHAnsi" w:hAnsiTheme="minorHAnsi" w:cstheme="minorHAnsi"/>
          <w:highlight w:val="cyan"/>
        </w:rPr>
        <w:t>when in fact there is a global hierarchy predicated on</w:t>
      </w:r>
      <w:r w:rsidRPr="00E36C5D">
        <w:rPr>
          <w:rFonts w:asciiTheme="minorHAnsi" w:hAnsiTheme="minorHAnsi" w:cstheme="minorHAnsi"/>
          <w:sz w:val="16"/>
        </w:rPr>
        <w:t xml:space="preserve"> old notions of </w:t>
      </w:r>
      <w:r w:rsidRPr="00E36C5D">
        <w:rPr>
          <w:rStyle w:val="Emphasis"/>
          <w:rFonts w:asciiTheme="minorHAnsi" w:hAnsiTheme="minorHAnsi" w:cstheme="minorHAnsi"/>
          <w:highlight w:val="cyan"/>
        </w:rPr>
        <w:t>race.</w:t>
      </w:r>
      <w:r w:rsidRPr="00E36C5D">
        <w:rPr>
          <w:rFonts w:asciiTheme="minorHAnsi" w:hAnsiTheme="minorHAnsi" w:cstheme="minorHAnsi"/>
          <w:sz w:val="16"/>
        </w:rPr>
        <w:t xml:space="preserve"> In race theory</w:t>
      </w:r>
      <w:r w:rsidRPr="00E36C5D">
        <w:rPr>
          <w:rStyle w:val="Emphasis"/>
          <w:rFonts w:asciiTheme="minorHAnsi" w:hAnsiTheme="minorHAnsi" w:cstheme="minorHAnsi"/>
        </w:rPr>
        <w:t xml:space="preserve">, </w:t>
      </w:r>
      <w:r w:rsidRPr="00E36C5D">
        <w:rPr>
          <w:rStyle w:val="Emphasis"/>
          <w:rFonts w:asciiTheme="minorHAnsi" w:hAnsiTheme="minorHAnsi" w:cstheme="minorHAnsi"/>
          <w:highlight w:val="cyan"/>
        </w:rPr>
        <w:t>this</w:t>
      </w:r>
      <w:r w:rsidRPr="00E36C5D">
        <w:rPr>
          <w:rStyle w:val="Emphasis"/>
          <w:rFonts w:asciiTheme="minorHAnsi" w:hAnsiTheme="minorHAnsi" w:cstheme="minorHAnsi"/>
        </w:rPr>
        <w:t xml:space="preserve"> phenomenon </w:t>
      </w:r>
      <w:r w:rsidRPr="00E36C5D">
        <w:rPr>
          <w:rStyle w:val="Emphasis"/>
          <w:rFonts w:asciiTheme="minorHAnsi" w:hAnsiTheme="minorHAnsi" w:cstheme="minorHAnsi"/>
          <w:highlight w:val="cyan"/>
        </w:rPr>
        <w:t>is</w:t>
      </w:r>
      <w:r w:rsidRPr="00E36C5D">
        <w:rPr>
          <w:rStyle w:val="Emphasis"/>
          <w:rFonts w:asciiTheme="minorHAnsi" w:hAnsiTheme="minorHAnsi" w:cstheme="minorHAnsi"/>
        </w:rPr>
        <w:t xml:space="preserve"> c</w:t>
      </w:r>
      <w:r w:rsidRPr="00E36C5D">
        <w:rPr>
          <w:rFonts w:asciiTheme="minorHAnsi" w:hAnsiTheme="minorHAnsi" w:cstheme="minorHAnsi"/>
          <w:sz w:val="16"/>
        </w:rPr>
        <w:t xml:space="preserve">haracterized as </w:t>
      </w:r>
      <w:r w:rsidRPr="00E36C5D">
        <w:rPr>
          <w:rStyle w:val="Emphasis"/>
          <w:rFonts w:asciiTheme="minorHAnsi" w:hAnsiTheme="minorHAnsi" w:cstheme="minorHAnsi"/>
          <w:highlight w:val="cyan"/>
        </w:rPr>
        <w:t>double consciousness</w:t>
      </w:r>
      <w:r w:rsidRPr="00E36C5D">
        <w:rPr>
          <w:rFonts w:asciiTheme="minorHAnsi" w:hAnsiTheme="minorHAnsi" w:cstheme="minorHAnsi"/>
          <w:sz w:val="16"/>
          <w:highlight w:val="cyan"/>
        </w:rPr>
        <w:t xml:space="preserve"> (</w:t>
      </w:r>
      <w:r w:rsidRPr="00E36C5D">
        <w:rPr>
          <w:rFonts w:asciiTheme="minorHAnsi" w:hAnsiTheme="minorHAnsi" w:cstheme="minorHAnsi"/>
          <w:sz w:val="16"/>
        </w:rPr>
        <w:t xml:space="preserve">Du Bois 1903; J.A. Gordon 2007; L.R. Gordon 2000; Henry 2016), the phenomenon where the world is experienced as seen from the perspective of dominating or hegemonic groups. </w:t>
      </w:r>
      <w:r w:rsidRPr="00E36C5D">
        <w:rPr>
          <w:rStyle w:val="Emphasis"/>
          <w:rFonts w:asciiTheme="minorHAnsi" w:hAnsiTheme="minorHAnsi" w:cstheme="minorHAnsi"/>
          <w:highlight w:val="cyan"/>
        </w:rPr>
        <w:t>The lived-reality of the dominated reveals a perspective of racial domination</w:t>
      </w:r>
      <w:r w:rsidRPr="00E36C5D">
        <w:rPr>
          <w:rStyle w:val="Emphasis"/>
          <w:rFonts w:asciiTheme="minorHAnsi" w:hAnsiTheme="minorHAnsi" w:cstheme="minorHAnsi"/>
        </w:rPr>
        <w:t xml:space="preserve"> and limitations, whereas the dominant group sees a world of absent impediments.  </w:t>
      </w:r>
    </w:p>
    <w:p w14:paraId="771F6E19" w14:textId="77777777" w:rsidR="009E3DAF" w:rsidRPr="00E36C5D" w:rsidRDefault="009E3DAF" w:rsidP="009E3DAF">
      <w:pPr>
        <w:contextualSpacing/>
        <w:rPr>
          <w:rStyle w:val="StyleUnderline"/>
          <w:rFonts w:asciiTheme="minorHAnsi" w:hAnsiTheme="minorHAnsi" w:cstheme="minorHAnsi"/>
        </w:rPr>
      </w:pPr>
      <w:r w:rsidRPr="00E36C5D">
        <w:rPr>
          <w:rFonts w:asciiTheme="minorHAnsi" w:hAnsiTheme="minorHAnsi" w:cstheme="minorHAnsi"/>
          <w:sz w:val="16"/>
        </w:rPr>
        <w:t xml:space="preserve">Potentiated </w:t>
      </w:r>
      <w:r w:rsidRPr="00E36C5D">
        <w:rPr>
          <w:rStyle w:val="StyleUnderline"/>
          <w:rFonts w:asciiTheme="minorHAnsi" w:hAnsiTheme="minorHAnsi" w:cstheme="minorHAnsi"/>
        </w:rPr>
        <w:t xml:space="preserve">double consciousness </w:t>
      </w:r>
      <w:r w:rsidRPr="00E36C5D">
        <w:rPr>
          <w:rFonts w:asciiTheme="minorHAnsi" w:hAnsiTheme="minorHAnsi" w:cstheme="minorHAnsi"/>
          <w:sz w:val="16"/>
        </w:rPr>
        <w:t>(Henry 2016)</w:t>
      </w:r>
      <w:r w:rsidRPr="00E36C5D">
        <w:rPr>
          <w:rStyle w:val="StyleUnderline"/>
          <w:rFonts w:asciiTheme="minorHAnsi" w:hAnsiTheme="minorHAnsi" w:cstheme="minorHAnsi"/>
        </w:rPr>
        <w:t xml:space="preserve"> emerges</w:t>
      </w:r>
      <w:r w:rsidRPr="00E36C5D">
        <w:rPr>
          <w:rFonts w:asciiTheme="minorHAnsi" w:hAnsiTheme="minorHAnsi" w:cstheme="minorHAnsi"/>
          <w:sz w:val="16"/>
        </w:rPr>
        <w:t xml:space="preserve">, however, </w:t>
      </w:r>
      <w:r w:rsidRPr="00E36C5D">
        <w:rPr>
          <w:rStyle w:val="StyleUnderline"/>
          <w:rFonts w:asciiTheme="minorHAnsi" w:hAnsiTheme="minorHAnsi" w:cstheme="minorHAnsi"/>
        </w:rPr>
        <w:t>when</w:t>
      </w:r>
      <w:r w:rsidRPr="00E36C5D">
        <w:rPr>
          <w:rFonts w:asciiTheme="minorHAnsi" w:hAnsiTheme="minorHAnsi" w:cstheme="minorHAnsi"/>
          <w:sz w:val="16"/>
        </w:rPr>
        <w:t xml:space="preserve"> the systemic production of domination and oppression is identifed. </w:t>
      </w:r>
      <w:r w:rsidRPr="00E36C5D">
        <w:rPr>
          <w:rStyle w:val="Emphasis"/>
          <w:rFonts w:asciiTheme="minorHAnsi" w:hAnsiTheme="minorHAnsi" w:cstheme="minorHAnsi"/>
          <w:highlight w:val="cyan"/>
        </w:rPr>
        <w:t>A</w:t>
      </w:r>
      <w:r w:rsidRPr="00E36C5D">
        <w:rPr>
          <w:rFonts w:asciiTheme="minorHAnsi" w:hAnsiTheme="minorHAnsi" w:cstheme="minorHAnsi"/>
          <w:sz w:val="16"/>
        </w:rPr>
        <w:t xml:space="preserve"> very </w:t>
      </w:r>
      <w:r w:rsidRPr="00E36C5D">
        <w:rPr>
          <w:rStyle w:val="Emphasis"/>
          <w:rFonts w:asciiTheme="minorHAnsi" w:hAnsiTheme="minorHAnsi" w:cstheme="minorHAnsi"/>
          <w:highlight w:val="cyan"/>
        </w:rPr>
        <w:t>visible power structure</w:t>
      </w:r>
      <w:r w:rsidRPr="00E36C5D">
        <w:rPr>
          <w:rStyle w:val="StyleUnderline"/>
          <w:rFonts w:asciiTheme="minorHAnsi" w:hAnsiTheme="minorHAnsi" w:cstheme="minorHAnsi"/>
          <w:highlight w:val="cyan"/>
        </w:rPr>
        <w:t xml:space="preserve"> is seen from below </w:t>
      </w:r>
      <w:r w:rsidRPr="00E36C5D">
        <w:rPr>
          <w:rStyle w:val="Emphasis"/>
          <w:rFonts w:asciiTheme="minorHAnsi" w:hAnsiTheme="minorHAnsi" w:cstheme="minorHAnsi"/>
          <w:highlight w:val="cyan"/>
        </w:rPr>
        <w:t>despite disavowal</w:t>
      </w:r>
      <w:r w:rsidRPr="00E36C5D">
        <w:rPr>
          <w:rFonts w:asciiTheme="minorHAnsi" w:hAnsiTheme="minorHAnsi" w:cstheme="minorHAnsi"/>
          <w:sz w:val="16"/>
        </w:rPr>
        <w:t xml:space="preserve"> or invisibility </w:t>
      </w:r>
      <w:r w:rsidRPr="00E36C5D">
        <w:rPr>
          <w:rStyle w:val="Emphasis"/>
          <w:rFonts w:asciiTheme="minorHAnsi" w:hAnsiTheme="minorHAnsi" w:cstheme="minorHAnsi"/>
        </w:rPr>
        <w:t xml:space="preserve">of its presence </w:t>
      </w:r>
      <w:r w:rsidRPr="00E36C5D">
        <w:rPr>
          <w:rStyle w:val="Emphasis"/>
          <w:rFonts w:asciiTheme="minorHAnsi" w:hAnsiTheme="minorHAnsi" w:cstheme="minorHAnsi"/>
          <w:highlight w:val="cyan"/>
        </w:rPr>
        <w:t xml:space="preserve">from above. </w:t>
      </w:r>
      <w:r w:rsidRPr="00E36C5D">
        <w:rPr>
          <w:rFonts w:asciiTheme="minorHAnsi" w:hAnsiTheme="minorHAnsi" w:cstheme="minorHAnsi"/>
          <w:sz w:val="16"/>
        </w:rPr>
        <w:t xml:space="preserve">With this in mind, </w:t>
      </w:r>
      <w:r w:rsidRPr="00E36C5D">
        <w:rPr>
          <w:rStyle w:val="Emphasis"/>
          <w:rFonts w:asciiTheme="minorHAnsi" w:hAnsiTheme="minorHAnsi" w:cstheme="minorHAnsi"/>
          <w:highlight w:val="cyan"/>
        </w:rPr>
        <w:t>anarchy is no longer a suffcient explanation for</w:t>
      </w:r>
      <w:r w:rsidRPr="00E36C5D">
        <w:rPr>
          <w:rStyle w:val="Emphasis"/>
          <w:rFonts w:asciiTheme="minorHAnsi" w:hAnsiTheme="minorHAnsi" w:cstheme="minorHAnsi"/>
        </w:rPr>
        <w:t xml:space="preserve"> the </w:t>
      </w:r>
      <w:r w:rsidRPr="00E36C5D">
        <w:rPr>
          <w:rStyle w:val="Emphasis"/>
          <w:rFonts w:asciiTheme="minorHAnsi" w:hAnsiTheme="minorHAnsi" w:cstheme="minorHAnsi"/>
          <w:highlight w:val="cyan"/>
        </w:rPr>
        <w:t>pervasive wars that characterize global dynamics. Inserting race (</w:t>
      </w:r>
      <w:r w:rsidRPr="00E36C5D">
        <w:rPr>
          <w:rFonts w:asciiTheme="minorHAnsi" w:hAnsiTheme="minorHAnsi" w:cstheme="minorHAnsi"/>
          <w:sz w:val="16"/>
        </w:rPr>
        <w:t>understood relationally as a convergence as well of class, gender, and sexuality</w:t>
      </w:r>
      <w:r w:rsidRPr="00E36C5D">
        <w:rPr>
          <w:rFonts w:asciiTheme="minorHAnsi" w:hAnsiTheme="minorHAnsi" w:cstheme="minorHAnsi"/>
          <w:sz w:val="16"/>
          <w:highlight w:val="cyan"/>
        </w:rPr>
        <w:t xml:space="preserve">) </w:t>
      </w:r>
      <w:r w:rsidRPr="00E36C5D">
        <w:rPr>
          <w:rStyle w:val="Emphasis"/>
          <w:rFonts w:asciiTheme="minorHAnsi" w:hAnsiTheme="minorHAnsi" w:cstheme="minorHAnsi"/>
          <w:highlight w:val="cyan"/>
        </w:rPr>
        <w:t>into the framework</w:t>
      </w:r>
      <w:r w:rsidRPr="00E36C5D">
        <w:rPr>
          <w:rFonts w:asciiTheme="minorHAnsi" w:hAnsiTheme="minorHAnsi" w:cstheme="minorHAnsi"/>
          <w:sz w:val="16"/>
        </w:rPr>
        <w:t xml:space="preserve"> for anarchy </w:t>
      </w:r>
      <w:r w:rsidRPr="00E36C5D">
        <w:rPr>
          <w:rStyle w:val="Emphasis"/>
          <w:rFonts w:asciiTheme="minorHAnsi" w:hAnsiTheme="minorHAnsi" w:cstheme="minorHAnsi"/>
          <w:highlight w:val="cyan"/>
        </w:rPr>
        <w:t>problematizes</w:t>
      </w:r>
      <w:r w:rsidRPr="00E36C5D">
        <w:rPr>
          <w:rFonts w:asciiTheme="minorHAnsi" w:hAnsiTheme="minorHAnsi" w:cstheme="minorHAnsi"/>
          <w:sz w:val="16"/>
        </w:rPr>
        <w:t xml:space="preserve"> and elucidates </w:t>
      </w:r>
      <w:r w:rsidRPr="00E36C5D">
        <w:rPr>
          <w:rStyle w:val="Emphasis"/>
          <w:rFonts w:asciiTheme="minorHAnsi" w:hAnsiTheme="minorHAnsi" w:cstheme="minorHAnsi"/>
          <w:highlight w:val="cyan"/>
        </w:rPr>
        <w:t>the impoverished</w:t>
      </w:r>
      <w:r w:rsidRPr="00E36C5D">
        <w:rPr>
          <w:rStyle w:val="Emphasis"/>
          <w:rFonts w:asciiTheme="minorHAnsi" w:hAnsiTheme="minorHAnsi" w:cstheme="minorHAnsi"/>
        </w:rPr>
        <w:t xml:space="preserve"> theoretical </w:t>
      </w:r>
      <w:r w:rsidRPr="00E36C5D">
        <w:rPr>
          <w:rStyle w:val="Emphasis"/>
          <w:rFonts w:asciiTheme="minorHAnsi" w:hAnsiTheme="minorHAnsi" w:cstheme="minorHAnsi"/>
          <w:highlight w:val="cyan"/>
        </w:rPr>
        <w:t>posturing of</w:t>
      </w:r>
      <w:r w:rsidRPr="00E36C5D">
        <w:rPr>
          <w:rStyle w:val="Emphasis"/>
          <w:rFonts w:asciiTheme="minorHAnsi" w:hAnsiTheme="minorHAnsi" w:cstheme="minorHAnsi"/>
        </w:rPr>
        <w:t xml:space="preserve"> mainstream</w:t>
      </w:r>
      <w:r w:rsidRPr="00E36C5D">
        <w:rPr>
          <w:rFonts w:asciiTheme="minorHAnsi" w:hAnsiTheme="minorHAnsi" w:cstheme="minorHAnsi"/>
          <w:sz w:val="16"/>
        </w:rPr>
        <w:t xml:space="preserve"> approaches to </w:t>
      </w:r>
      <w:r w:rsidRPr="00E36C5D">
        <w:rPr>
          <w:rStyle w:val="Emphasis"/>
          <w:rFonts w:asciiTheme="minorHAnsi" w:hAnsiTheme="minorHAnsi" w:cstheme="minorHAnsi"/>
          <w:highlight w:val="cyan"/>
        </w:rPr>
        <w:t>IR.</w:t>
      </w:r>
      <w:r w:rsidRPr="00E36C5D">
        <w:rPr>
          <w:rFonts w:asciiTheme="minorHAnsi" w:hAnsiTheme="minorHAnsi" w:cstheme="minorHAnsi"/>
          <w:sz w:val="16"/>
        </w:rPr>
        <w:t xml:space="preserve"> In essence, </w:t>
      </w:r>
      <w:r w:rsidRPr="00E36C5D">
        <w:rPr>
          <w:rStyle w:val="Emphasis"/>
          <w:rFonts w:asciiTheme="minorHAnsi" w:hAnsiTheme="minorHAnsi" w:cstheme="minorHAnsi"/>
          <w:highlight w:val="cyan"/>
        </w:rPr>
        <w:t>viewing states</w:t>
      </w:r>
      <w:r w:rsidRPr="00E36C5D">
        <w:rPr>
          <w:rStyle w:val="Emphasis"/>
          <w:rFonts w:asciiTheme="minorHAnsi" w:hAnsiTheme="minorHAnsi" w:cstheme="minorHAnsi"/>
        </w:rPr>
        <w:t xml:space="preserve"> as differentiated </w:t>
      </w:r>
      <w:r w:rsidRPr="00E36C5D">
        <w:rPr>
          <w:rStyle w:val="Emphasis"/>
          <w:rFonts w:asciiTheme="minorHAnsi" w:hAnsiTheme="minorHAnsi" w:cstheme="minorHAnsi"/>
          <w:highlight w:val="cyan"/>
        </w:rPr>
        <w:t>only through</w:t>
      </w:r>
      <w:r w:rsidRPr="00E36C5D">
        <w:rPr>
          <w:rStyle w:val="Emphasis"/>
          <w:rFonts w:asciiTheme="minorHAnsi" w:hAnsiTheme="minorHAnsi" w:cstheme="minorHAnsi"/>
        </w:rPr>
        <w:t xml:space="preserve"> their </w:t>
      </w:r>
      <w:r w:rsidRPr="00E36C5D">
        <w:rPr>
          <w:rStyle w:val="Emphasis"/>
          <w:rFonts w:asciiTheme="minorHAnsi" w:hAnsiTheme="minorHAnsi" w:cstheme="minorHAnsi"/>
          <w:highlight w:val="cyan"/>
        </w:rPr>
        <w:t>capabilities does little to explain how</w:t>
      </w:r>
      <w:r w:rsidRPr="00E36C5D">
        <w:rPr>
          <w:rStyle w:val="Emphasis"/>
          <w:rFonts w:asciiTheme="minorHAnsi" w:hAnsiTheme="minorHAnsi" w:cstheme="minorHAnsi"/>
        </w:rPr>
        <w:t xml:space="preserve"> states in </w:t>
      </w:r>
      <w:r w:rsidRPr="00E36C5D">
        <w:rPr>
          <w:rStyle w:val="Emphasis"/>
          <w:rFonts w:asciiTheme="minorHAnsi" w:hAnsiTheme="minorHAnsi" w:cstheme="minorHAnsi"/>
          <w:highlight w:val="cyan"/>
        </w:rPr>
        <w:t>the Global North and South came to have such grossly unequal capabilities in the first place.</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Despite proponents of civil society’s claims that international organizations are now acting as powerful players for states in the system, </w:t>
      </w:r>
      <w:r w:rsidRPr="00E36C5D">
        <w:rPr>
          <w:rStyle w:val="StyleUnderline"/>
          <w:rFonts w:asciiTheme="minorHAnsi" w:hAnsiTheme="minorHAnsi" w:cstheme="minorHAnsi"/>
        </w:rPr>
        <w:t>Third World states have long been subjected to governance, interdependence, international organizations, and compromised, if not loss of, sovereignty.</w:t>
      </w:r>
    </w:p>
    <w:p w14:paraId="0BCFB596" w14:textId="77777777" w:rsidR="009E3DAF" w:rsidRPr="00E36C5D" w:rsidRDefault="009E3DAF" w:rsidP="009E3DAF">
      <w:pPr>
        <w:contextualSpacing/>
        <w:rPr>
          <w:rFonts w:asciiTheme="minorHAnsi" w:hAnsiTheme="minorHAnsi" w:cstheme="minorHAnsi"/>
          <w:sz w:val="16"/>
        </w:rPr>
      </w:pPr>
      <w:r w:rsidRPr="00E36C5D">
        <w:rPr>
          <w:rFonts w:asciiTheme="minorHAnsi" w:hAnsiTheme="minorHAnsi" w:cstheme="minorHAnsi"/>
          <w:sz w:val="16"/>
        </w:rPr>
        <w:t xml:space="preserve">Thus, </w:t>
      </w:r>
      <w:r w:rsidRPr="00E36C5D">
        <w:rPr>
          <w:rStyle w:val="StyleUnderline"/>
          <w:rFonts w:asciiTheme="minorHAnsi" w:hAnsiTheme="minorHAnsi" w:cstheme="minorHAnsi"/>
          <w:highlight w:val="cyan"/>
        </w:rPr>
        <w:t>the liberal</w:t>
      </w:r>
      <w:r w:rsidRPr="00E36C5D">
        <w:rPr>
          <w:rStyle w:val="StyleUnderline"/>
          <w:rFonts w:asciiTheme="minorHAnsi" w:hAnsiTheme="minorHAnsi" w:cstheme="minorHAnsi"/>
        </w:rPr>
        <w:t xml:space="preserve"> </w:t>
      </w:r>
      <w:r w:rsidRPr="00E36C5D">
        <w:rPr>
          <w:rFonts w:asciiTheme="minorHAnsi" w:hAnsiTheme="minorHAnsi" w:cstheme="minorHAnsi"/>
          <w:sz w:val="16"/>
        </w:rPr>
        <w:t xml:space="preserve">and neoliberal </w:t>
      </w:r>
      <w:r w:rsidRPr="00E36C5D">
        <w:rPr>
          <w:rStyle w:val="StyleUnderline"/>
          <w:rFonts w:asciiTheme="minorHAnsi" w:hAnsiTheme="minorHAnsi" w:cstheme="minorHAnsi"/>
          <w:highlight w:val="cyan"/>
        </w:rPr>
        <w:t>perspective</w:t>
      </w:r>
      <w:r w:rsidRPr="00E36C5D">
        <w:rPr>
          <w:rStyle w:val="StyleUnderline"/>
          <w:rFonts w:asciiTheme="minorHAnsi" w:hAnsiTheme="minorHAnsi" w:cstheme="minorHAnsi"/>
        </w:rPr>
        <w:t xml:space="preserve"> seems </w:t>
      </w:r>
      <w:r w:rsidRPr="00E36C5D">
        <w:rPr>
          <w:rStyle w:val="Emphasis"/>
          <w:rFonts w:asciiTheme="minorHAnsi" w:hAnsiTheme="minorHAnsi" w:cstheme="minorHAnsi"/>
        </w:rPr>
        <w:t xml:space="preserve">only to account </w:t>
      </w:r>
      <w:r w:rsidRPr="00E36C5D">
        <w:rPr>
          <w:rStyle w:val="StyleUnderline"/>
          <w:rFonts w:asciiTheme="minorHAnsi" w:hAnsiTheme="minorHAnsi" w:cstheme="minorHAnsi"/>
        </w:rPr>
        <w:t xml:space="preserve">for </w:t>
      </w:r>
      <w:r w:rsidRPr="00E36C5D">
        <w:rPr>
          <w:rFonts w:asciiTheme="minorHAnsi" w:hAnsiTheme="minorHAnsi" w:cstheme="minorHAnsi"/>
          <w:sz w:val="16"/>
        </w:rPr>
        <w:t xml:space="preserve">the relatively new economic interdependence that describes the </w:t>
      </w:r>
      <w:r w:rsidRPr="00E36C5D">
        <w:rPr>
          <w:rStyle w:val="Emphasis"/>
          <w:rFonts w:asciiTheme="minorHAnsi" w:hAnsiTheme="minorHAnsi" w:cstheme="minorHAnsi"/>
        </w:rPr>
        <w:t xml:space="preserve">relationship between </w:t>
      </w:r>
      <w:r w:rsidRPr="00E36C5D">
        <w:rPr>
          <w:rFonts w:asciiTheme="minorHAnsi" w:hAnsiTheme="minorHAnsi" w:cstheme="minorHAnsi"/>
          <w:sz w:val="16"/>
        </w:rPr>
        <w:t>northern or majority-</w:t>
      </w:r>
      <w:r w:rsidRPr="00E36C5D">
        <w:rPr>
          <w:rStyle w:val="Emphasis"/>
          <w:rFonts w:asciiTheme="minorHAnsi" w:hAnsiTheme="minorHAnsi" w:cstheme="minorHAnsi"/>
        </w:rPr>
        <w:t>white states. Such a view</w:t>
      </w:r>
      <w:r w:rsidRPr="00E36C5D">
        <w:rPr>
          <w:rFonts w:asciiTheme="minorHAnsi" w:hAnsiTheme="minorHAnsi" w:cstheme="minorHAnsi"/>
          <w:sz w:val="16"/>
        </w:rPr>
        <w:t xml:space="preserve"> </w:t>
      </w:r>
      <w:r w:rsidRPr="00E36C5D">
        <w:rPr>
          <w:rStyle w:val="Emphasis"/>
          <w:rFonts w:asciiTheme="minorHAnsi" w:hAnsiTheme="minorHAnsi" w:cstheme="minorHAnsi"/>
          <w:highlight w:val="cyan"/>
        </w:rPr>
        <w:t>seems only to notice</w:t>
      </w:r>
      <w:r w:rsidRPr="00E36C5D">
        <w:rPr>
          <w:rFonts w:asciiTheme="minorHAnsi" w:hAnsiTheme="minorHAnsi" w:cstheme="minorHAnsi"/>
          <w:sz w:val="16"/>
        </w:rPr>
        <w:t xml:space="preserve"> growing </w:t>
      </w:r>
      <w:r w:rsidRPr="00E36C5D">
        <w:rPr>
          <w:rStyle w:val="Emphasis"/>
          <w:rFonts w:asciiTheme="minorHAnsi" w:hAnsiTheme="minorHAnsi" w:cstheme="minorHAnsi"/>
        </w:rPr>
        <w:t>interdependence</w:t>
      </w:r>
      <w:r w:rsidRPr="00E36C5D">
        <w:rPr>
          <w:rFonts w:asciiTheme="minorHAnsi" w:hAnsiTheme="minorHAnsi" w:cstheme="minorHAnsi"/>
          <w:sz w:val="16"/>
        </w:rPr>
        <w:t xml:space="preserve"> and </w:t>
      </w:r>
      <w:r w:rsidRPr="00E36C5D">
        <w:rPr>
          <w:rStyle w:val="Emphasis"/>
          <w:rFonts w:asciiTheme="minorHAnsi" w:hAnsiTheme="minorHAnsi" w:cstheme="minorHAnsi"/>
          <w:highlight w:val="cyan"/>
        </w:rPr>
        <w:t>cooperation because such relationships have extended to</w:t>
      </w:r>
      <w:r w:rsidRPr="00E36C5D">
        <w:rPr>
          <w:rStyle w:val="Emphasis"/>
          <w:rFonts w:asciiTheme="minorHAnsi" w:hAnsiTheme="minorHAnsi" w:cstheme="minorHAnsi"/>
        </w:rPr>
        <w:t xml:space="preserve"> post-industrialized </w:t>
      </w:r>
      <w:r w:rsidRPr="00E36C5D">
        <w:rPr>
          <w:rStyle w:val="Emphasis"/>
          <w:rFonts w:asciiTheme="minorHAnsi" w:hAnsiTheme="minorHAnsi" w:cstheme="minorHAnsi"/>
          <w:highlight w:val="cyan"/>
        </w:rPr>
        <w:t>dominant nations</w:t>
      </w:r>
      <w:r w:rsidRPr="00E36C5D">
        <w:rPr>
          <w:rFonts w:asciiTheme="minorHAnsi" w:hAnsiTheme="minorHAnsi" w:cstheme="minorHAnsi"/>
          <w:sz w:val="16"/>
        </w:rPr>
        <w:t xml:space="preserve"> in a way </w:t>
      </w:r>
      <w:r w:rsidRPr="00E36C5D">
        <w:rPr>
          <w:rStyle w:val="Emphasis"/>
          <w:rFonts w:asciiTheme="minorHAnsi" w:hAnsiTheme="minorHAnsi" w:cstheme="minorHAnsi"/>
        </w:rPr>
        <w:t>that seemingly constrains</w:t>
      </w:r>
      <w:r w:rsidRPr="00E36C5D">
        <w:rPr>
          <w:rFonts w:asciiTheme="minorHAnsi" w:hAnsiTheme="minorHAnsi" w:cstheme="minorHAnsi"/>
          <w:sz w:val="16"/>
        </w:rPr>
        <w:t xml:space="preserve"> their material </w:t>
      </w:r>
      <w:r w:rsidRPr="00E36C5D">
        <w:rPr>
          <w:rStyle w:val="Emphasis"/>
          <w:rFonts w:asciiTheme="minorHAnsi" w:hAnsiTheme="minorHAnsi" w:cstheme="minorHAnsi"/>
        </w:rPr>
        <w:t>power.</w:t>
      </w:r>
      <w:r w:rsidRPr="00E36C5D">
        <w:rPr>
          <w:rFonts w:asciiTheme="minorHAnsi" w:hAnsiTheme="minorHAnsi" w:cstheme="minorHAnsi"/>
          <w:sz w:val="16"/>
        </w:rPr>
        <w:t xml:space="preserve"> Questions of change and continuity course through the various mainstream theoretical propositions. They offer explanatory variables ranging from anarchy to mutual interests for explaining state actions. Yet </w:t>
      </w:r>
      <w:r w:rsidRPr="00E36C5D">
        <w:rPr>
          <w:rStyle w:val="Emphasis"/>
          <w:rFonts w:asciiTheme="minorHAnsi" w:hAnsiTheme="minorHAnsi" w:cstheme="minorHAnsi"/>
          <w:highlight w:val="cyan"/>
        </w:rPr>
        <w:t>they all remain limited in their ability to articulate</w:t>
      </w:r>
      <w:r w:rsidRPr="00E36C5D">
        <w:rPr>
          <w:rFonts w:asciiTheme="minorHAnsi" w:hAnsiTheme="minorHAnsi" w:cstheme="minorHAnsi"/>
          <w:sz w:val="16"/>
          <w:highlight w:val="cyan"/>
        </w:rPr>
        <w:t xml:space="preserve"> </w:t>
      </w:r>
      <w:r w:rsidRPr="00E36C5D">
        <w:rPr>
          <w:rFonts w:asciiTheme="minorHAnsi" w:hAnsiTheme="minorHAnsi" w:cstheme="minorHAnsi"/>
          <w:sz w:val="16"/>
        </w:rPr>
        <w:t xml:space="preserve">the range of </w:t>
      </w:r>
      <w:r w:rsidRPr="00E36C5D">
        <w:rPr>
          <w:rStyle w:val="Emphasis"/>
          <w:rFonts w:asciiTheme="minorHAnsi" w:hAnsiTheme="minorHAnsi" w:cstheme="minorHAnsi"/>
          <w:highlight w:val="cyan"/>
        </w:rPr>
        <w:t>interactions among states and other actors</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since World War I. Taking a long-term view of IR from World War I through the post–Cold War era and into the post-9/11 era, many of the top </w:t>
      </w:r>
      <w:r w:rsidRPr="00E36C5D">
        <w:rPr>
          <w:rStyle w:val="Emphasis"/>
          <w:rFonts w:asciiTheme="minorHAnsi" w:hAnsiTheme="minorHAnsi" w:cstheme="minorHAnsi"/>
          <w:highlight w:val="cyan"/>
        </w:rPr>
        <w:t>theories inadequately explain</w:t>
      </w:r>
      <w:r w:rsidRPr="00E36C5D">
        <w:rPr>
          <w:rStyle w:val="Emphasis"/>
          <w:rFonts w:asciiTheme="minorHAnsi" w:hAnsiTheme="minorHAnsi" w:cstheme="minorHAnsi"/>
        </w:rPr>
        <w:t xml:space="preserve"> the </w:t>
      </w:r>
      <w:r w:rsidRPr="00E36C5D">
        <w:rPr>
          <w:rStyle w:val="Emphasis"/>
          <w:rFonts w:asciiTheme="minorHAnsi" w:hAnsiTheme="minorHAnsi" w:cstheme="minorHAnsi"/>
          <w:highlight w:val="cyan"/>
        </w:rPr>
        <w:t>static positions of</w:t>
      </w:r>
      <w:r w:rsidRPr="00E36C5D">
        <w:rPr>
          <w:rStyle w:val="Emphasis"/>
          <w:rFonts w:asciiTheme="minorHAnsi" w:hAnsiTheme="minorHAnsi" w:cstheme="minorHAnsi"/>
        </w:rPr>
        <w:t xml:space="preserve"> political and economic </w:t>
      </w:r>
      <w:r w:rsidRPr="00E36C5D">
        <w:rPr>
          <w:rStyle w:val="Emphasis"/>
          <w:rFonts w:asciiTheme="minorHAnsi" w:hAnsiTheme="minorHAnsi" w:cstheme="minorHAnsi"/>
          <w:highlight w:val="cyan"/>
        </w:rPr>
        <w:t>power that characterizes most global interactions. Race</w:t>
      </w:r>
      <w:r w:rsidRPr="00E36C5D">
        <w:rPr>
          <w:rStyle w:val="Emphasis"/>
          <w:rFonts w:asciiTheme="minorHAnsi" w:hAnsiTheme="minorHAnsi" w:cstheme="minorHAnsi"/>
        </w:rPr>
        <w:t xml:space="preserve">, however, </w:t>
      </w:r>
      <w:r w:rsidRPr="00E36C5D">
        <w:rPr>
          <w:rStyle w:val="Emphasis"/>
          <w:rFonts w:asciiTheme="minorHAnsi" w:hAnsiTheme="minorHAnsi" w:cstheme="minorHAnsi"/>
          <w:highlight w:val="cyan"/>
        </w:rPr>
        <w:t>acts as a productive causal variable</w:t>
      </w:r>
      <w:r w:rsidRPr="00E36C5D">
        <w:rPr>
          <w:rStyle w:val="Emphasis"/>
          <w:rFonts w:asciiTheme="minorHAnsi" w:hAnsiTheme="minorHAnsi" w:cstheme="minorHAnsi"/>
        </w:rPr>
        <w:t xml:space="preserve"> for explaining this continuity. </w:t>
      </w:r>
      <w:r w:rsidRPr="00E36C5D">
        <w:rPr>
          <w:rFonts w:asciiTheme="minorHAnsi" w:hAnsiTheme="minorHAnsi" w:cstheme="minorHAnsi"/>
          <w:sz w:val="16"/>
        </w:rPr>
        <w:t xml:space="preserve">As Le Melle states: ‘race and class are inherently coterminous, </w:t>
      </w:r>
      <w:r w:rsidRPr="00E36C5D">
        <w:rPr>
          <w:rStyle w:val="StyleUnderline"/>
          <w:rFonts w:asciiTheme="minorHAnsi" w:hAnsiTheme="minorHAnsi" w:cstheme="minorHAnsi"/>
        </w:rPr>
        <w:t>the change in the relationship between non-white subordinates and their former colonizers was but a change in the condition of their subordinate position—not a change in their position as subordinates’</w:t>
      </w:r>
      <w:r w:rsidRPr="00E36C5D">
        <w:rPr>
          <w:rFonts w:asciiTheme="minorHAnsi" w:hAnsiTheme="minorHAnsi" w:cstheme="minorHAnsi"/>
          <w:sz w:val="16"/>
        </w:rPr>
        <w:t xml:space="preserve"> (2009, 82; emphasis in original).With respect to Africa, Ian Taylor (2016) demonstrates how despite considerable noise over Africa as a ‘hopeful continent’ its position of economic dependence on Europe and North America remains unchanged. Race as an analytical frame in IR may aid in revitalizing the impoverished IR theories that overlook race in favour of more neutral terms like ‘social construction’ (see Wendt 1999). Much like realism, liberalism, and their variants, </w:t>
      </w:r>
      <w:r w:rsidRPr="00E36C5D">
        <w:rPr>
          <w:rStyle w:val="StyleUnderline"/>
          <w:rFonts w:asciiTheme="minorHAnsi" w:hAnsiTheme="minorHAnsi" w:cstheme="minorHAnsi"/>
          <w:highlight w:val="cyan"/>
        </w:rPr>
        <w:t>the constructivist turn</w:t>
      </w:r>
      <w:r w:rsidRPr="00E36C5D">
        <w:rPr>
          <w:rStyle w:val="StyleUnderline"/>
          <w:rFonts w:asciiTheme="minorHAnsi" w:hAnsiTheme="minorHAnsi" w:cstheme="minorHAnsi"/>
        </w:rPr>
        <w:t xml:space="preserve"> in IR</w:t>
      </w:r>
      <w:r w:rsidRPr="00E36C5D">
        <w:rPr>
          <w:rFonts w:asciiTheme="minorHAnsi" w:hAnsiTheme="minorHAnsi" w:cstheme="minorHAnsi"/>
          <w:sz w:val="16"/>
        </w:rPr>
        <w:t xml:space="preserve">, which led to the inclusion of different explanations and inclusion of different international actors as relevant, </w:t>
      </w:r>
      <w:r w:rsidRPr="00E36C5D">
        <w:rPr>
          <w:rStyle w:val="StyleUnderline"/>
          <w:rFonts w:asciiTheme="minorHAnsi" w:hAnsiTheme="minorHAnsi" w:cstheme="minorHAnsi"/>
          <w:highlight w:val="cyan"/>
        </w:rPr>
        <w:t>is also astigmatic in its ability to tackle</w:t>
      </w:r>
      <w:r w:rsidRPr="00E36C5D">
        <w:rPr>
          <w:rStyle w:val="StyleUnderline"/>
          <w:rFonts w:asciiTheme="minorHAnsi" w:hAnsiTheme="minorHAnsi" w:cstheme="minorHAnsi"/>
        </w:rPr>
        <w:t xml:space="preserve"> questions of neoimperialism, </w:t>
      </w:r>
      <w:r w:rsidRPr="00E36C5D">
        <w:rPr>
          <w:rStyle w:val="StyleUnderline"/>
          <w:rFonts w:asciiTheme="minorHAnsi" w:hAnsiTheme="minorHAnsi" w:cstheme="minorHAnsi"/>
          <w:highlight w:val="cyan"/>
        </w:rPr>
        <w:t>neocolonialism</w:t>
      </w:r>
      <w:r w:rsidRPr="00E36C5D">
        <w:rPr>
          <w:rStyle w:val="StyleUnderline"/>
          <w:rFonts w:asciiTheme="minorHAnsi" w:hAnsiTheme="minorHAnsi" w:cstheme="minorHAnsi"/>
        </w:rPr>
        <w:t>, and the</w:t>
      </w:r>
      <w:r w:rsidRPr="00E36C5D">
        <w:rPr>
          <w:rFonts w:asciiTheme="minorHAnsi" w:hAnsiTheme="minorHAnsi" w:cstheme="minorHAnsi"/>
          <w:sz w:val="16"/>
        </w:rPr>
        <w:t xml:space="preserve"> complex </w:t>
      </w:r>
      <w:r w:rsidRPr="00E36C5D">
        <w:rPr>
          <w:rStyle w:val="StyleUnderline"/>
          <w:rFonts w:asciiTheme="minorHAnsi" w:hAnsiTheme="minorHAnsi" w:cstheme="minorHAnsi"/>
        </w:rPr>
        <w:t>dynamics of postcolonies, where force and depravation are directly experienced while power is increasingly privatized and often</w:t>
      </w:r>
      <w:r w:rsidRPr="00E36C5D">
        <w:rPr>
          <w:rFonts w:asciiTheme="minorHAnsi" w:hAnsiTheme="minorHAnsi" w:cstheme="minorHAnsi"/>
          <w:sz w:val="16"/>
        </w:rPr>
        <w:t>, with regard to moral responsibility, deferred (Bongmba 2006; Mbembe 2001).A form of anonymity of power and responsibility emerges, or worse, as Fanon (1961) showed, a continued moral imperative of loyalty as a buffer against return to an explicitly colonial order maintains a form of racial mediation in which colonialism is normatively illegitimate but practically and efficiently maintained.</w:t>
      </w:r>
    </w:p>
    <w:p w14:paraId="3A7602C0" w14:textId="77777777" w:rsidR="009E3DAF" w:rsidRPr="00806A6D" w:rsidRDefault="009E3DAF" w:rsidP="009E3DAF">
      <w:pPr>
        <w:contextualSpacing/>
        <w:rPr>
          <w:rFonts w:asciiTheme="minorHAnsi" w:hAnsiTheme="minorHAnsi" w:cstheme="minorHAnsi"/>
          <w:b/>
          <w:u w:val="single"/>
        </w:rPr>
      </w:pPr>
      <w:r w:rsidRPr="00E36C5D">
        <w:rPr>
          <w:rFonts w:asciiTheme="minorHAnsi" w:hAnsiTheme="minorHAnsi" w:cstheme="minorHAnsi"/>
          <w:sz w:val="16"/>
        </w:rPr>
        <w:t xml:space="preserve">There is thus some irony among </w:t>
      </w:r>
      <w:r w:rsidRPr="00E36C5D">
        <w:rPr>
          <w:rStyle w:val="Emphasis"/>
          <w:rFonts w:asciiTheme="minorHAnsi" w:hAnsiTheme="minorHAnsi" w:cstheme="minorHAnsi"/>
        </w:rPr>
        <w:t>constructivists who deny race</w:t>
      </w:r>
      <w:r w:rsidRPr="00E36C5D">
        <w:rPr>
          <w:rFonts w:asciiTheme="minorHAnsi" w:hAnsiTheme="minorHAnsi" w:cstheme="minorHAnsi"/>
          <w:sz w:val="16"/>
        </w:rPr>
        <w:t xml:space="preserve"> in IR. Their neglecting race as an explanatory variable </w:t>
      </w:r>
      <w:r w:rsidRPr="00E36C5D">
        <w:rPr>
          <w:rStyle w:val="Emphasis"/>
          <w:rFonts w:asciiTheme="minorHAnsi" w:hAnsiTheme="minorHAnsi" w:cstheme="minorHAnsi"/>
        </w:rPr>
        <w:t xml:space="preserve">is </w:t>
      </w:r>
      <w:r w:rsidRPr="00E36C5D">
        <w:rPr>
          <w:rStyle w:val="Emphasis"/>
          <w:rFonts w:asciiTheme="minorHAnsi" w:hAnsiTheme="minorHAnsi" w:cstheme="minorHAnsi"/>
          <w:highlight w:val="cyan"/>
        </w:rPr>
        <w:t>symptomatic of the discipline’s commitment to erasing its origins and continued commitment to racist scholarship.</w:t>
      </w:r>
    </w:p>
    <w:p w14:paraId="5C544F9F" w14:textId="77777777" w:rsidR="009E3DAF" w:rsidRPr="00E36C5D" w:rsidRDefault="009E3DAF" w:rsidP="009E3DAF">
      <w:pPr>
        <w:pStyle w:val="Heading4"/>
        <w:contextualSpacing/>
        <w:rPr>
          <w:rFonts w:asciiTheme="minorHAnsi" w:hAnsiTheme="minorHAnsi" w:cstheme="minorHAnsi"/>
          <w:iCs w:val="0"/>
        </w:rPr>
      </w:pPr>
      <w:r w:rsidRPr="00E36C5D">
        <w:rPr>
          <w:rFonts w:asciiTheme="minorHAnsi" w:hAnsiTheme="minorHAnsi" w:cstheme="minorHAnsi"/>
          <w:iCs w:val="0"/>
        </w:rPr>
        <w:t xml:space="preserve">The affirmatives desperate cries of saving [] with western </w:t>
      </w:r>
      <w:r>
        <w:rPr>
          <w:rFonts w:asciiTheme="minorHAnsi" w:hAnsiTheme="minorHAnsi" w:cstheme="minorHAnsi"/>
          <w:iCs w:val="0"/>
        </w:rPr>
        <w:t>[]</w:t>
      </w:r>
      <w:r w:rsidRPr="00E36C5D">
        <w:rPr>
          <w:rFonts w:asciiTheme="minorHAnsi" w:hAnsiTheme="minorHAnsi" w:cstheme="minorHAnsi"/>
          <w:iCs w:val="0"/>
        </w:rPr>
        <w:t xml:space="preserve"> resuscitate the shriveled husk from its own </w:t>
      </w:r>
      <w:r w:rsidRPr="00E36C5D">
        <w:rPr>
          <w:rFonts w:asciiTheme="minorHAnsi" w:hAnsiTheme="minorHAnsi" w:cstheme="minorHAnsi"/>
          <w:iCs w:val="0"/>
          <w:u w:val="single"/>
        </w:rPr>
        <w:t>overstretch</w:t>
      </w:r>
      <w:r w:rsidRPr="00E36C5D">
        <w:rPr>
          <w:rFonts w:asciiTheme="minorHAnsi" w:hAnsiTheme="minorHAnsi" w:cstheme="minorHAnsi"/>
          <w:iCs w:val="0"/>
        </w:rPr>
        <w:t xml:space="preserve"> and belies a </w:t>
      </w:r>
      <w:r w:rsidRPr="00E36C5D">
        <w:rPr>
          <w:rFonts w:asciiTheme="minorHAnsi" w:hAnsiTheme="minorHAnsi" w:cstheme="minorHAnsi"/>
          <w:iCs w:val="0"/>
          <w:u w:val="single"/>
        </w:rPr>
        <w:t>deep seeded desire</w:t>
      </w:r>
      <w:r w:rsidRPr="00E36C5D">
        <w:rPr>
          <w:rFonts w:asciiTheme="minorHAnsi" w:hAnsiTheme="minorHAnsi" w:cstheme="minorHAnsi"/>
          <w:iCs w:val="0"/>
        </w:rPr>
        <w:t xml:space="preserve"> for White </w:t>
      </w:r>
      <w:r w:rsidRPr="00E36C5D">
        <w:rPr>
          <w:rFonts w:asciiTheme="minorHAnsi" w:hAnsiTheme="minorHAnsi" w:cstheme="minorHAnsi"/>
          <w:iCs w:val="0"/>
          <w:u w:val="single"/>
        </w:rPr>
        <w:t>Supremacy.</w:t>
      </w:r>
      <w:r w:rsidRPr="00E36C5D">
        <w:rPr>
          <w:rFonts w:asciiTheme="minorHAnsi" w:hAnsiTheme="minorHAnsi" w:cstheme="minorHAnsi"/>
          <w:iCs w:val="0"/>
        </w:rPr>
        <w:t xml:space="preserve"> </w:t>
      </w:r>
    </w:p>
    <w:p w14:paraId="297F78BB" w14:textId="77777777" w:rsidR="009E3DAF" w:rsidRPr="00E36C5D" w:rsidRDefault="009E3DAF" w:rsidP="009E3DAF">
      <w:pPr>
        <w:contextualSpacing/>
        <w:rPr>
          <w:rFonts w:asciiTheme="minorHAnsi" w:hAnsiTheme="minorHAnsi" w:cstheme="minorHAnsi"/>
          <w:sz w:val="16"/>
          <w:szCs w:val="16"/>
        </w:rPr>
      </w:pPr>
      <w:r w:rsidRPr="00E36C5D">
        <w:rPr>
          <w:rStyle w:val="Style13ptBold"/>
          <w:rFonts w:asciiTheme="minorHAnsi" w:hAnsiTheme="minorHAnsi" w:cstheme="minorHAnsi"/>
        </w:rPr>
        <w:t>Barder 21</w:t>
      </w:r>
      <w:r w:rsidRPr="00E36C5D">
        <w:rPr>
          <w:rFonts w:asciiTheme="minorHAnsi" w:hAnsiTheme="minorHAnsi" w:cstheme="minorHAnsi"/>
        </w:rPr>
        <w:t xml:space="preserve"> </w:t>
      </w:r>
      <w:r w:rsidRPr="00E36C5D">
        <w:rPr>
          <w:rFonts w:asciiTheme="minorHAnsi" w:hAnsiTheme="minorHAnsi" w:cstheme="minorHAnsi"/>
          <w:sz w:val="16"/>
          <w:szCs w:val="16"/>
        </w:rPr>
        <w:t xml:space="preserve">– Associate Professor and Graduate Program Director for International Relations, Politics and International Relations, PhD in Political Science at Johns Hopkins University [Alexander, Global Race War: International Politics and Racial Hierarchy, 2021,] </w:t>
      </w:r>
    </w:p>
    <w:p w14:paraId="1A475BFA" w14:textId="77777777" w:rsidR="009E3DAF" w:rsidRPr="00E36C5D" w:rsidRDefault="009E3DAF" w:rsidP="009E3DAF">
      <w:pPr>
        <w:contextualSpacing/>
        <w:rPr>
          <w:rFonts w:asciiTheme="minorHAnsi" w:hAnsiTheme="minorHAnsi" w:cstheme="minorHAnsi"/>
        </w:rPr>
      </w:pPr>
    </w:p>
    <w:p w14:paraId="3EA04895" w14:textId="77777777" w:rsidR="009E3DAF" w:rsidRPr="00E36C5D" w:rsidRDefault="009E3DAF" w:rsidP="009E3DAF">
      <w:pPr>
        <w:contextualSpacing/>
        <w:rPr>
          <w:rStyle w:val="StyleUnderline"/>
          <w:rFonts w:asciiTheme="minorHAnsi" w:hAnsiTheme="minorHAnsi" w:cstheme="minorHAnsi"/>
        </w:rPr>
      </w:pPr>
      <w:r w:rsidRPr="00E36C5D">
        <w:rPr>
          <w:rFonts w:asciiTheme="minorHAnsi" w:hAnsiTheme="minorHAnsi" w:cstheme="minorHAnsi"/>
          <w:sz w:val="16"/>
        </w:rPr>
        <w:t xml:space="preserve">Global Race War: International Politics and Racial Hierarchy examines the historical connections between race and violence from the early nineteenth to the early twenty-first centuries. My aim is, first, to show how </w:t>
      </w:r>
      <w:r w:rsidRPr="00E36C5D">
        <w:rPr>
          <w:rStyle w:val="StyleUnderline"/>
          <w:rFonts w:asciiTheme="minorHAnsi" w:hAnsiTheme="minorHAnsi" w:cstheme="minorHAnsi"/>
          <w:highlight w:val="cyan"/>
        </w:rPr>
        <w:t>racial violence</w:t>
      </w:r>
      <w:r w:rsidRPr="00E36C5D">
        <w:rPr>
          <w:rStyle w:val="StyleUnderline"/>
          <w:rFonts w:asciiTheme="minorHAnsi" w:hAnsiTheme="minorHAnsi" w:cstheme="minorHAnsi"/>
        </w:rPr>
        <w:t xml:space="preserve"> and hierarchy were </w:t>
      </w:r>
      <w:r w:rsidRPr="00E36C5D">
        <w:rPr>
          <w:rStyle w:val="StyleUnderline"/>
          <w:rFonts w:asciiTheme="minorHAnsi" w:hAnsiTheme="minorHAnsi" w:cstheme="minorHAnsi"/>
          <w:highlight w:val="cyan"/>
        </w:rPr>
        <w:t>crucial for</w:t>
      </w:r>
      <w:r w:rsidRPr="00E36C5D">
        <w:rPr>
          <w:rStyle w:val="StyleUnderline"/>
          <w:rFonts w:asciiTheme="minorHAnsi" w:hAnsiTheme="minorHAnsi" w:cstheme="minorHAnsi"/>
        </w:rPr>
        <w:t xml:space="preserve"> the development of the very idea of </w:t>
      </w:r>
      <w:r w:rsidRPr="00E36C5D">
        <w:rPr>
          <w:rStyle w:val="StyleUnderline"/>
          <w:rFonts w:asciiTheme="minorHAnsi" w:hAnsiTheme="minorHAnsi" w:cstheme="minorHAnsi"/>
          <w:highlight w:val="cyan"/>
        </w:rPr>
        <w:t>global order</w:t>
      </w:r>
      <w:r w:rsidRPr="00E36C5D">
        <w:rPr>
          <w:rStyle w:val="StyleUnderline"/>
          <w:rFonts w:asciiTheme="minorHAnsi" w:hAnsiTheme="minorHAnsi" w:cstheme="minorHAnsi"/>
        </w:rPr>
        <w:t>.</w:t>
      </w:r>
      <w:r w:rsidRPr="00E36C5D">
        <w:rPr>
          <w:rFonts w:asciiTheme="minorHAnsi" w:hAnsiTheme="minorHAnsi" w:cstheme="minorHAnsi"/>
          <w:sz w:val="16"/>
        </w:rPr>
        <w:t xml:space="preserve"> Second, I examine how </w:t>
      </w:r>
      <w:r w:rsidRPr="00E36C5D">
        <w:rPr>
          <w:rStyle w:val="StyleUnderline"/>
          <w:rFonts w:asciiTheme="minorHAnsi" w:hAnsiTheme="minorHAnsi" w:cstheme="minorHAnsi"/>
        </w:rPr>
        <w:t>racial violence proliferated in defense of this global order when its racial hierarchy appeared to be in crisis.</w:t>
      </w:r>
      <w:r w:rsidRPr="00E36C5D">
        <w:rPr>
          <w:rFonts w:asciiTheme="minorHAnsi" w:hAnsiTheme="minorHAnsi" w:cstheme="minorHAnsi"/>
          <w:sz w:val="16"/>
        </w:rPr>
        <w:t xml:space="preserve"> Third, </w:t>
      </w:r>
      <w:r w:rsidRPr="00E36C5D">
        <w:rPr>
          <w:rStyle w:val="StyleUnderline"/>
          <w:rFonts w:asciiTheme="minorHAnsi" w:hAnsiTheme="minorHAnsi" w:cstheme="minorHAnsi"/>
        </w:rPr>
        <w:t>this global racial order did not end with the Second World War and</w:t>
      </w:r>
      <w:r w:rsidRPr="00E36C5D">
        <w:rPr>
          <w:rFonts w:asciiTheme="minorHAnsi" w:hAnsiTheme="minorHAnsi" w:cstheme="minorHAnsi"/>
          <w:sz w:val="16"/>
        </w:rPr>
        <w:t xml:space="preserve"> with the discrediting of scientific racism, the </w:t>
      </w:r>
      <w:r w:rsidRPr="00E36C5D">
        <w:rPr>
          <w:rStyle w:val="StyleUnderline"/>
          <w:rFonts w:asciiTheme="minorHAnsi" w:hAnsiTheme="minorHAnsi" w:cstheme="minorHAnsi"/>
        </w:rPr>
        <w:t>decolonization</w:t>
      </w:r>
      <w:r w:rsidRPr="00E36C5D">
        <w:rPr>
          <w:rFonts w:asciiTheme="minorHAnsi" w:hAnsiTheme="minorHAnsi" w:cstheme="minorHAnsi"/>
          <w:sz w:val="16"/>
        </w:rPr>
        <w:t xml:space="preserve"> of the global South, and the expansion of the state system; </w:t>
      </w:r>
      <w:r w:rsidRPr="00E36C5D">
        <w:rPr>
          <w:rStyle w:val="StyleUnderline"/>
          <w:rFonts w:asciiTheme="minorHAnsi" w:hAnsiTheme="minorHAnsi" w:cstheme="minorHAnsi"/>
        </w:rPr>
        <w:t>rather it continued in different forms as the racialization of cultural or civilizational attributes that then resulted in further racial violence.</w:t>
      </w:r>
      <w:r w:rsidRPr="00E36C5D">
        <w:rPr>
          <w:rFonts w:asciiTheme="minorHAnsi" w:hAnsiTheme="minorHAnsi" w:cstheme="minorHAnsi"/>
          <w:sz w:val="16"/>
        </w:rPr>
        <w:t xml:space="preserve"> Finally, examining global politics in terms of race and racial violence reveals a different spatial topology that imbricates the domestic and global in more complicated ways. As a consequence, global histories of racial hierarchy and violence have important implications for understanding the continued salience of race within Western polities. We live in a time when the crisis and waning of a white world order continues to nourish a politics of racial retrenchment and violence at home.</w:t>
      </w:r>
      <w:r w:rsidRPr="00E36C5D">
        <w:rPr>
          <w:rFonts w:asciiTheme="minorHAnsi" w:hAnsiTheme="minorHAnsi" w:cstheme="minorHAnsi"/>
          <w:sz w:val="16"/>
        </w:rPr>
        <w:cr/>
      </w:r>
      <w:r w:rsidRPr="00E36C5D">
        <w:rPr>
          <w:rFonts w:asciiTheme="minorHAnsi" w:hAnsiTheme="minorHAnsi" w:cstheme="minorHAnsi"/>
          <w:sz w:val="14"/>
        </w:rPr>
        <w:t xml:space="preserve">The great American sociologist W. E. B. Du Bois famously called attention to the “color-line” as the problem of the twentieth century. For Du Bois, racial difference reflected the “relation of the darker to the lighter races of men in Asia and Africa, in America and the islands of the sea.”2 Du Bois specifically pointed to a racialized global political economy in which race and class conflict fuse together to perpetuate the conditions of transnational oppression and violence. Nowhere was this more prevalent than in the United States, where even in the aftermath of the Civil War and the emancipation of American slaves, “economic slavery, from which the only escape is death or the penitentiary,” continued unabated.3 “Negroes are a segregated servile caste,” Du Bois writes, “with restricted rights and privileges.”4 But what was true about an American political economy based on racial exploitation reflected the longue durée of a Western imperial political economy that gave rise to a sensus communis of racial hierarchy. </w:t>
      </w:r>
      <w:r w:rsidRPr="00E36C5D">
        <w:rPr>
          <w:rStyle w:val="StyleUnderline"/>
          <w:rFonts w:asciiTheme="minorHAnsi" w:hAnsiTheme="minorHAnsi" w:cstheme="minorHAnsi"/>
          <w:highlight w:val="cyan"/>
        </w:rPr>
        <w:t>From</w:t>
      </w:r>
      <w:r w:rsidRPr="00E36C5D">
        <w:rPr>
          <w:rStyle w:val="StyleUnderline"/>
          <w:rFonts w:asciiTheme="minorHAnsi" w:hAnsiTheme="minorHAnsi" w:cstheme="minorHAnsi"/>
        </w:rPr>
        <w:t xml:space="preserve"> the development of the Atlantic </w:t>
      </w:r>
      <w:r w:rsidRPr="00E36C5D">
        <w:rPr>
          <w:rStyle w:val="StyleUnderline"/>
          <w:rFonts w:asciiTheme="minorHAnsi" w:hAnsiTheme="minorHAnsi" w:cstheme="minorHAnsi"/>
          <w:highlight w:val="cyan"/>
        </w:rPr>
        <w:t>slave trade</w:t>
      </w:r>
      <w:r w:rsidRPr="00E36C5D">
        <w:rPr>
          <w:rFonts w:asciiTheme="minorHAnsi" w:hAnsiTheme="minorHAnsi" w:cstheme="minorHAnsi"/>
          <w:sz w:val="14"/>
        </w:rPr>
        <w:t xml:space="preserve"> in the fifteenth century </w:t>
      </w:r>
      <w:r w:rsidRPr="00E36C5D">
        <w:rPr>
          <w:rStyle w:val="StyleUnderline"/>
          <w:rFonts w:asciiTheme="minorHAnsi" w:hAnsiTheme="minorHAnsi" w:cstheme="minorHAnsi"/>
          <w:highlight w:val="cyan"/>
        </w:rPr>
        <w:t>to</w:t>
      </w:r>
      <w:r w:rsidRPr="00E36C5D">
        <w:rPr>
          <w:rStyle w:val="StyleUnderline"/>
          <w:rFonts w:asciiTheme="minorHAnsi" w:hAnsiTheme="minorHAnsi" w:cstheme="minorHAnsi"/>
        </w:rPr>
        <w:t xml:space="preserve"> the spread of European </w:t>
      </w:r>
      <w:r w:rsidRPr="00E36C5D">
        <w:rPr>
          <w:rStyle w:val="StyleUnderline"/>
          <w:rFonts w:asciiTheme="minorHAnsi" w:hAnsiTheme="minorHAnsi" w:cstheme="minorHAnsi"/>
          <w:highlight w:val="cyan"/>
        </w:rPr>
        <w:t>empire</w:t>
      </w:r>
      <w:r w:rsidRPr="00E36C5D">
        <w:rPr>
          <w:rFonts w:asciiTheme="minorHAnsi" w:hAnsiTheme="minorHAnsi" w:cstheme="minorHAnsi"/>
          <w:sz w:val="14"/>
          <w:highlight w:val="cyan"/>
        </w:rPr>
        <w:t>, th</w:t>
      </w:r>
      <w:r w:rsidRPr="00E36C5D">
        <w:rPr>
          <w:rFonts w:asciiTheme="minorHAnsi" w:hAnsiTheme="minorHAnsi" w:cstheme="minorHAnsi"/>
          <w:sz w:val="14"/>
        </w:rPr>
        <w:t xml:space="preserve">e global as we in the discipline of international relations have come to know it since the nineteenth century was not the European state system, notwithstanding all the historical fallacies surrounding Westphalia; rather, </w:t>
      </w:r>
      <w:r w:rsidRPr="00E36C5D">
        <w:rPr>
          <w:rStyle w:val="StyleUnderline"/>
          <w:rFonts w:asciiTheme="minorHAnsi" w:hAnsiTheme="minorHAnsi" w:cstheme="minorHAnsi"/>
          <w:highlight w:val="cyan"/>
        </w:rPr>
        <w:t>the</w:t>
      </w:r>
      <w:r w:rsidRPr="00E36C5D">
        <w:rPr>
          <w:rStyle w:val="StyleUnderline"/>
          <w:rFonts w:asciiTheme="minorHAnsi" w:hAnsiTheme="minorHAnsi" w:cstheme="minorHAnsi"/>
        </w:rPr>
        <w:t xml:space="preserve"> very </w:t>
      </w:r>
      <w:r w:rsidRPr="00E36C5D">
        <w:rPr>
          <w:rStyle w:val="StyleUnderline"/>
          <w:rFonts w:asciiTheme="minorHAnsi" w:hAnsiTheme="minorHAnsi" w:cstheme="minorHAnsi"/>
          <w:highlight w:val="cyan"/>
        </w:rPr>
        <w:t>notion of the global emerged out of</w:t>
      </w:r>
      <w:r w:rsidRPr="00E36C5D">
        <w:rPr>
          <w:rStyle w:val="StyleUnderline"/>
          <w:rFonts w:asciiTheme="minorHAnsi" w:hAnsiTheme="minorHAnsi" w:cstheme="minorHAnsi"/>
        </w:rPr>
        <w:t xml:space="preserve"> a crucible of </w:t>
      </w:r>
      <w:r w:rsidRPr="00E36C5D">
        <w:rPr>
          <w:rStyle w:val="StyleUnderline"/>
          <w:rFonts w:asciiTheme="minorHAnsi" w:hAnsiTheme="minorHAnsi" w:cstheme="minorHAnsi"/>
          <w:highlight w:val="cyan"/>
        </w:rPr>
        <w:t>violent settler appropriation</w:t>
      </w:r>
      <w:r w:rsidRPr="00E36C5D">
        <w:rPr>
          <w:rStyle w:val="StyleUnderline"/>
          <w:rFonts w:asciiTheme="minorHAnsi" w:hAnsiTheme="minorHAnsi" w:cstheme="minorHAnsi"/>
        </w:rPr>
        <w:t xml:space="preserve"> and exploitation</w:t>
      </w:r>
      <w:r w:rsidRPr="00E36C5D">
        <w:rPr>
          <w:rFonts w:asciiTheme="minorHAnsi" w:hAnsiTheme="minorHAnsi" w:cstheme="minorHAnsi"/>
          <w:sz w:val="14"/>
        </w:rPr>
        <w:t xml:space="preserve">.5 </w:t>
      </w:r>
      <w:r w:rsidRPr="00E36C5D">
        <w:rPr>
          <w:rStyle w:val="Emphasis"/>
          <w:rFonts w:asciiTheme="minorHAnsi" w:hAnsiTheme="minorHAnsi" w:cstheme="minorHAnsi"/>
          <w:highlight w:val="cyan"/>
        </w:rPr>
        <w:t>Race</w:t>
      </w:r>
      <w:r w:rsidRPr="00E36C5D">
        <w:rPr>
          <w:rStyle w:val="Emphasis"/>
          <w:rFonts w:asciiTheme="minorHAnsi" w:hAnsiTheme="minorHAnsi" w:cstheme="minorHAnsi"/>
        </w:rPr>
        <w:t xml:space="preserve"> and racial hierarchy then </w:t>
      </w:r>
      <w:r w:rsidRPr="00E36C5D">
        <w:rPr>
          <w:rStyle w:val="Emphasis"/>
          <w:rFonts w:asciiTheme="minorHAnsi" w:hAnsiTheme="minorHAnsi" w:cstheme="minorHAnsi"/>
          <w:highlight w:val="cyan"/>
        </w:rPr>
        <w:t xml:space="preserve">became the </w:t>
      </w:r>
      <w:r w:rsidRPr="00E36C5D">
        <w:rPr>
          <w:rStyle w:val="Emphasis"/>
          <w:rFonts w:asciiTheme="minorHAnsi" w:hAnsiTheme="minorHAnsi" w:cstheme="minorHAnsi"/>
        </w:rPr>
        <w:t xml:space="preserve">material and ideational </w:t>
      </w:r>
      <w:r w:rsidRPr="00E36C5D">
        <w:rPr>
          <w:rStyle w:val="Emphasis"/>
          <w:rFonts w:asciiTheme="minorHAnsi" w:hAnsiTheme="minorHAnsi" w:cstheme="minorHAnsi"/>
          <w:highlight w:val="cyan"/>
        </w:rPr>
        <w:t>scaffold of a global imaginary that took for granted</w:t>
      </w:r>
      <w:r w:rsidRPr="00E36C5D">
        <w:rPr>
          <w:rStyle w:val="Emphasis"/>
          <w:rFonts w:asciiTheme="minorHAnsi" w:hAnsiTheme="minorHAnsi" w:cstheme="minorHAnsi"/>
        </w:rPr>
        <w:t xml:space="preserve"> the idea that </w:t>
      </w:r>
      <w:r w:rsidRPr="00E36C5D">
        <w:rPr>
          <w:rStyle w:val="Emphasis"/>
          <w:rFonts w:asciiTheme="minorHAnsi" w:hAnsiTheme="minorHAnsi" w:cstheme="minorHAnsi"/>
          <w:highlight w:val="cyan"/>
        </w:rPr>
        <w:t>certain peoples were</w:t>
      </w:r>
      <w:r w:rsidRPr="00E36C5D">
        <w:rPr>
          <w:rStyle w:val="Emphasis"/>
          <w:rFonts w:asciiTheme="minorHAnsi" w:hAnsiTheme="minorHAnsi" w:cstheme="minorHAnsi"/>
        </w:rPr>
        <w:t xml:space="preserve"> to be considered naturally </w:t>
      </w:r>
      <w:r w:rsidRPr="00E36C5D">
        <w:rPr>
          <w:rStyle w:val="Emphasis"/>
          <w:rFonts w:asciiTheme="minorHAnsi" w:hAnsiTheme="minorHAnsi" w:cstheme="minorHAnsi"/>
          <w:highlight w:val="cyan"/>
        </w:rPr>
        <w:t>inferior</w:t>
      </w:r>
      <w:r w:rsidRPr="00E36C5D">
        <w:rPr>
          <w:rStyle w:val="Emphasis"/>
          <w:rFonts w:asciiTheme="minorHAnsi" w:hAnsiTheme="minorHAnsi" w:cstheme="minorHAnsi"/>
        </w:rPr>
        <w:t xml:space="preserve"> and hence exploitable for a wide range of purposes.</w:t>
      </w:r>
      <w:r w:rsidRPr="00E36C5D">
        <w:rPr>
          <w:rFonts w:asciiTheme="minorHAnsi" w:hAnsiTheme="minorHAnsi" w:cstheme="minorHAnsi"/>
          <w:sz w:val="14"/>
        </w:rPr>
        <w:t xml:space="preserve">6 </w:t>
      </w:r>
      <w:r w:rsidRPr="00E36C5D">
        <w:rPr>
          <w:rStyle w:val="Emphasis"/>
          <w:rFonts w:asciiTheme="minorHAnsi" w:hAnsiTheme="minorHAnsi" w:cstheme="minorHAnsi"/>
        </w:rPr>
        <w:t xml:space="preserve">Nowhere is this more evident than in the crystallization of an </w:t>
      </w:r>
      <w:r w:rsidRPr="00E36C5D">
        <w:rPr>
          <w:rStyle w:val="Emphasis"/>
          <w:rFonts w:asciiTheme="minorHAnsi" w:hAnsiTheme="minorHAnsi" w:cstheme="minorHAnsi"/>
          <w:highlight w:val="cyan"/>
        </w:rPr>
        <w:t>anti-blackness</w:t>
      </w:r>
      <w:r w:rsidRPr="00E36C5D">
        <w:rPr>
          <w:rStyle w:val="Emphasis"/>
          <w:rFonts w:asciiTheme="minorHAnsi" w:hAnsiTheme="minorHAnsi" w:cstheme="minorHAnsi"/>
        </w:rPr>
        <w:t xml:space="preserve"> that </w:t>
      </w:r>
      <w:r w:rsidRPr="00E36C5D">
        <w:rPr>
          <w:rStyle w:val="Emphasis"/>
          <w:rFonts w:asciiTheme="minorHAnsi" w:hAnsiTheme="minorHAnsi" w:cstheme="minorHAnsi"/>
          <w:highlight w:val="cyan"/>
        </w:rPr>
        <w:t>came to structure the</w:t>
      </w:r>
      <w:r w:rsidRPr="00E36C5D">
        <w:rPr>
          <w:rStyle w:val="Emphasis"/>
          <w:rFonts w:asciiTheme="minorHAnsi" w:hAnsiTheme="minorHAnsi" w:cstheme="minorHAnsi"/>
        </w:rPr>
        <w:t xml:space="preserve"> very modern </w:t>
      </w:r>
      <w:r w:rsidRPr="00E36C5D">
        <w:rPr>
          <w:rStyle w:val="Emphasis"/>
          <w:rFonts w:asciiTheme="minorHAnsi" w:hAnsiTheme="minorHAnsi" w:cstheme="minorHAnsi"/>
          <w:highlight w:val="cyan"/>
        </w:rPr>
        <w:t>imaginary of the West</w:t>
      </w:r>
      <w:r w:rsidRPr="00E36C5D">
        <w:rPr>
          <w:rStyle w:val="Emphasis"/>
          <w:rFonts w:asciiTheme="minorHAnsi" w:hAnsiTheme="minorHAnsi" w:cstheme="minorHAnsi"/>
        </w:rPr>
        <w:t xml:space="preserve"> itself.</w:t>
      </w:r>
      <w:r w:rsidRPr="00E36C5D">
        <w:rPr>
          <w:rFonts w:asciiTheme="minorHAnsi" w:hAnsiTheme="minorHAnsi" w:cstheme="minorHAnsi"/>
          <w:sz w:val="14"/>
        </w:rPr>
        <w:t xml:space="preserve"> Specifically, as Achille Mbembe writes, the very notion of </w:t>
      </w:r>
      <w:r w:rsidRPr="00E36C5D">
        <w:rPr>
          <w:rStyle w:val="Emphasis"/>
          <w:rFonts w:asciiTheme="minorHAnsi" w:hAnsiTheme="minorHAnsi" w:cstheme="minorHAnsi"/>
        </w:rPr>
        <w:t>“</w:t>
      </w:r>
      <w:r w:rsidRPr="00E36C5D">
        <w:rPr>
          <w:rStyle w:val="Emphasis"/>
          <w:rFonts w:asciiTheme="minorHAnsi" w:hAnsiTheme="minorHAnsi" w:cstheme="minorHAnsi"/>
          <w:highlight w:val="cyan"/>
        </w:rPr>
        <w:t xml:space="preserve">blackness” was created to “designate </w:t>
      </w:r>
      <w:r w:rsidRPr="00E36C5D">
        <w:rPr>
          <w:rStyle w:val="Emphasis"/>
          <w:rFonts w:asciiTheme="minorHAnsi" w:hAnsiTheme="minorHAnsi" w:cstheme="minorHAnsi"/>
        </w:rPr>
        <w:t xml:space="preserve">not human beings like all others but rather </w:t>
      </w:r>
      <w:r w:rsidRPr="00E36C5D">
        <w:rPr>
          <w:rStyle w:val="Emphasis"/>
          <w:rFonts w:asciiTheme="minorHAnsi" w:hAnsiTheme="minorHAnsi" w:cstheme="minorHAnsi"/>
          <w:highlight w:val="cyan"/>
        </w:rPr>
        <w:t>a distinct humanity</w:t>
      </w:r>
      <w:r w:rsidRPr="00E36C5D">
        <w:rPr>
          <w:rStyle w:val="Emphasis"/>
          <w:rFonts w:asciiTheme="minorHAnsi" w:hAnsiTheme="minorHAnsi" w:cstheme="minorHAnsi"/>
        </w:rPr>
        <w:t>—one whose very humanity was (and still is) in question.”</w:t>
      </w:r>
      <w:r w:rsidRPr="00E36C5D">
        <w:rPr>
          <w:rFonts w:asciiTheme="minorHAnsi" w:hAnsiTheme="minorHAnsi" w:cstheme="minorHAnsi"/>
          <w:sz w:val="14"/>
        </w:rPr>
        <w:t>7 Racial categories became dialectical (without the possibility of reconciliation) in that they reflected the perceive attributes of the Western/white “self” in its attempt to designate an “other” as inherently inferior. More generally, as Afro-pessimist theorists point out, the very category of “blackness,” which is derived from and the “entrenchment” of enslaved objectification, supports the “anti-Black foundations of race and modern society . . . it is Blackness, and more specifically anti-Blackness that gives coherence to categories of non-Black—white, worker, gay, i.e., ‘human’ . . . it is Blackness that is the dark matter surrounding and holding together the categories of non-Black.”8 Thus, for example, according to the German ethnologist Leo Frobenius, “The idea of the barbaric Negro is a European invention”; but it was one that essentially became a political ontology that defined Western modernity through its nonbeing.9</w:t>
      </w:r>
      <w:r w:rsidRPr="00E36C5D">
        <w:rPr>
          <w:rFonts w:asciiTheme="minorHAnsi" w:hAnsiTheme="minorHAnsi" w:cstheme="minorHAnsi"/>
          <w:sz w:val="14"/>
        </w:rPr>
        <w:cr/>
        <w:t xml:space="preserve">The notion of the color line as an ontological claim is crucial for understanding what I think is an important consequence of this history of race and empire: </w:t>
      </w:r>
      <w:r w:rsidRPr="00E36C5D">
        <w:rPr>
          <w:rStyle w:val="StyleUnderline"/>
          <w:rFonts w:asciiTheme="minorHAnsi" w:hAnsiTheme="minorHAnsi" w:cstheme="minorHAnsi"/>
        </w:rPr>
        <w:t>only certain peoples</w:t>
      </w:r>
      <w:r w:rsidRPr="00E36C5D">
        <w:rPr>
          <w:rFonts w:asciiTheme="minorHAnsi" w:hAnsiTheme="minorHAnsi" w:cstheme="minorHAnsi"/>
          <w:sz w:val="14"/>
        </w:rPr>
        <w:t xml:space="preserve">, it was assumed by a wide range of European and American writers, </w:t>
      </w:r>
      <w:r w:rsidRPr="00E36C5D">
        <w:rPr>
          <w:rStyle w:val="StyleUnderline"/>
          <w:rFonts w:asciiTheme="minorHAnsi" w:hAnsiTheme="minorHAnsi" w:cstheme="minorHAnsi"/>
        </w:rPr>
        <w:t>were capable of creating genuinely political communities. European modernity importantly reflected the crystallization of a vague notion of common civilizational attributes— notwithstanding the incessant internal violence of this European society or community of sovereigns.</w:t>
      </w:r>
      <w:r w:rsidRPr="00E36C5D">
        <w:rPr>
          <w:rFonts w:asciiTheme="minorHAnsi" w:hAnsiTheme="minorHAnsi" w:cstheme="minorHAnsi"/>
          <w:sz w:val="14"/>
        </w:rPr>
        <w:t xml:space="preserve"> Nonetheless, a common assumption within early modern Europe was that the establishment of the state and civil society represented a crucial development in political community that other civilizations did not possess. Whereas the Islamic world with the Ottoman Empire and China may have been accorded a certain </w:t>
      </w:r>
      <w:r w:rsidRPr="00E36C5D">
        <w:rPr>
          <w:rStyle w:val="Emphasis"/>
          <w:rFonts w:asciiTheme="minorHAnsi" w:hAnsiTheme="minorHAnsi" w:cstheme="minorHAnsi"/>
          <w:highlight w:val="cyan"/>
        </w:rPr>
        <w:t>political recognition</w:t>
      </w:r>
      <w:r w:rsidRPr="00E36C5D">
        <w:rPr>
          <w:rFonts w:asciiTheme="minorHAnsi" w:hAnsiTheme="minorHAnsi" w:cstheme="minorHAnsi"/>
          <w:sz w:val="14"/>
        </w:rPr>
        <w:t xml:space="preserve">, such </w:t>
      </w:r>
      <w:r w:rsidRPr="00E36C5D">
        <w:rPr>
          <w:rStyle w:val="Emphasis"/>
          <w:rFonts w:asciiTheme="minorHAnsi" w:hAnsiTheme="minorHAnsi" w:cstheme="minorHAnsi"/>
          <w:highlight w:val="cyan"/>
        </w:rPr>
        <w:t>was</w:t>
      </w:r>
      <w:r w:rsidRPr="00E36C5D">
        <w:rPr>
          <w:rStyle w:val="Emphasis"/>
          <w:rFonts w:asciiTheme="minorHAnsi" w:hAnsiTheme="minorHAnsi" w:cstheme="minorHAnsi"/>
        </w:rPr>
        <w:t xml:space="preserve"> </w:t>
      </w:r>
      <w:r w:rsidRPr="00E36C5D">
        <w:rPr>
          <w:rFonts w:asciiTheme="minorHAnsi" w:hAnsiTheme="minorHAnsi" w:cstheme="minorHAnsi"/>
          <w:sz w:val="14"/>
        </w:rPr>
        <w:t xml:space="preserve">certainly </w:t>
      </w:r>
      <w:r w:rsidRPr="00E36C5D">
        <w:rPr>
          <w:rStyle w:val="Emphasis"/>
          <w:rFonts w:asciiTheme="minorHAnsi" w:hAnsiTheme="minorHAnsi" w:cstheme="minorHAnsi"/>
          <w:highlight w:val="cyan"/>
        </w:rPr>
        <w:t>withheld from Africa</w:t>
      </w:r>
      <w:r w:rsidRPr="00E36C5D">
        <w:rPr>
          <w:rStyle w:val="Emphasis"/>
          <w:rFonts w:asciiTheme="minorHAnsi" w:hAnsiTheme="minorHAnsi" w:cstheme="minorHAnsi"/>
        </w:rPr>
        <w:t xml:space="preserve"> and Africans</w:t>
      </w:r>
      <w:r w:rsidRPr="00E36C5D">
        <w:rPr>
          <w:rFonts w:asciiTheme="minorHAnsi" w:hAnsiTheme="minorHAnsi" w:cstheme="minorHAnsi"/>
          <w:sz w:val="14"/>
        </w:rPr>
        <w:t xml:space="preserve">, for whom the nascent and evolving biological or zoological vocabulary of the eighteenth century came closest to a language deemed capable of describing their lifeworld. As I discuss in Chapter 1, the notion of the “swarm” came to describe a nonpolitical collectivity subject to European predations and extreme violence. The notion of the swarm precluded a recognition of a common political relationship and also, importantly, an ability to become present within a larger human world of collective action, as Hannah Arendt understood it.10 To be sure, Arendt herself is guilty of making the very same racial generalization that Africans were incapable of creating a lasting world of appearance necessary for something like politics to come into being. As she infamously wrote, “Under the merciless sun, surrounded by an entirely hostile nature, [Europeans] were confronted with human beings who, living without the future of a purpose and the past of an accomplishment, were as incomprehensible as the inmates of a madhouse.”11 It is this incomprehensibility that in a way created a certain distance or gulf that the notion of race helped to explain. For Orlando Patterson, the institution of slavery defined and codified this notion of distance between the European and the African, a distance that reinforced “the view that he [i.e., the Black servant] did not belong to the same of Christian, civilized European.”12 Explicitly, </w:t>
      </w:r>
      <w:r w:rsidRPr="00E36C5D">
        <w:rPr>
          <w:rStyle w:val="StyleUnderline"/>
          <w:rFonts w:asciiTheme="minorHAnsi" w:hAnsiTheme="minorHAnsi" w:cstheme="minorHAnsi"/>
        </w:rPr>
        <w:t xml:space="preserve">the </w:t>
      </w:r>
      <w:r w:rsidRPr="00E36C5D">
        <w:rPr>
          <w:rStyle w:val="StyleUnderline"/>
          <w:rFonts w:asciiTheme="minorHAnsi" w:hAnsiTheme="minorHAnsi" w:cstheme="minorHAnsi"/>
          <w:highlight w:val="cyan"/>
        </w:rPr>
        <w:t>reification of racial hierarchy</w:t>
      </w:r>
      <w:r w:rsidRPr="00E36C5D">
        <w:rPr>
          <w:rFonts w:asciiTheme="minorHAnsi" w:hAnsiTheme="minorHAnsi" w:cstheme="minorHAnsi"/>
          <w:sz w:val="14"/>
        </w:rPr>
        <w:t xml:space="preserve"> over the course of the seventeenth and eighteenth centuries </w:t>
      </w:r>
      <w:r w:rsidRPr="00E36C5D">
        <w:rPr>
          <w:rStyle w:val="StyleUnderline"/>
          <w:rFonts w:asciiTheme="minorHAnsi" w:hAnsiTheme="minorHAnsi" w:cstheme="minorHAnsi"/>
          <w:highlight w:val="cyan"/>
        </w:rPr>
        <w:t>precluded the possibility of</w:t>
      </w:r>
      <w:r w:rsidRPr="00E36C5D">
        <w:rPr>
          <w:rStyle w:val="StyleUnderline"/>
          <w:rFonts w:asciiTheme="minorHAnsi" w:hAnsiTheme="minorHAnsi" w:cstheme="minorHAnsi"/>
        </w:rPr>
        <w:t xml:space="preserve"> a common world based on a notion of </w:t>
      </w:r>
      <w:r w:rsidRPr="00E36C5D">
        <w:rPr>
          <w:rStyle w:val="StyleUnderline"/>
          <w:rFonts w:asciiTheme="minorHAnsi" w:hAnsiTheme="minorHAnsi" w:cstheme="minorHAnsi"/>
          <w:highlight w:val="cyan"/>
        </w:rPr>
        <w:t>political or juridical equality.</w:t>
      </w:r>
      <w:r w:rsidRPr="00E36C5D">
        <w:rPr>
          <w:rStyle w:val="StyleUnderline"/>
          <w:rFonts w:asciiTheme="minorHAnsi" w:hAnsiTheme="minorHAnsi" w:cstheme="minorHAnsi"/>
        </w:rPr>
        <w:t xml:space="preserve"> Instead, what crystalized this nexus between racial hierarchy and the</w:t>
      </w:r>
      <w:r w:rsidRPr="00E36C5D">
        <w:rPr>
          <w:rFonts w:asciiTheme="minorHAnsi" w:hAnsiTheme="minorHAnsi" w:cstheme="minorHAnsi"/>
          <w:sz w:val="14"/>
        </w:rPr>
        <w:t xml:space="preserve"> beginnings of a </w:t>
      </w:r>
      <w:r w:rsidRPr="00E36C5D">
        <w:rPr>
          <w:rStyle w:val="StyleUnderline"/>
          <w:rFonts w:asciiTheme="minorHAnsi" w:hAnsiTheme="minorHAnsi" w:cstheme="minorHAnsi"/>
        </w:rPr>
        <w:t>global racialized imaginary was</w:t>
      </w:r>
      <w:r w:rsidRPr="00E36C5D">
        <w:rPr>
          <w:rFonts w:asciiTheme="minorHAnsi" w:hAnsiTheme="minorHAnsi" w:cstheme="minorHAnsi"/>
          <w:sz w:val="14"/>
        </w:rPr>
        <w:t xml:space="preserve"> ultimately </w:t>
      </w:r>
      <w:r w:rsidRPr="00E36C5D">
        <w:rPr>
          <w:rStyle w:val="StyleUnderline"/>
          <w:rFonts w:asciiTheme="minorHAnsi" w:hAnsiTheme="minorHAnsi" w:cstheme="minorHAnsi"/>
          <w:highlight w:val="cyan"/>
        </w:rPr>
        <w:t>the proliferation of unrelenting violence</w:t>
      </w:r>
      <w:r w:rsidRPr="00E36C5D">
        <w:rPr>
          <w:rStyle w:val="StyleUnderline"/>
          <w:rFonts w:asciiTheme="minorHAnsi" w:hAnsiTheme="minorHAnsi" w:cstheme="minorHAnsi"/>
        </w:rPr>
        <w:t xml:space="preserve"> necessary </w:t>
      </w:r>
      <w:r w:rsidRPr="00E36C5D">
        <w:rPr>
          <w:rStyle w:val="StyleUnderline"/>
          <w:rFonts w:asciiTheme="minorHAnsi" w:hAnsiTheme="minorHAnsi" w:cstheme="minorHAnsi"/>
          <w:highlight w:val="cyan"/>
        </w:rPr>
        <w:t>to maintain this order and to preclude its dismantlement.</w:t>
      </w:r>
    </w:p>
    <w:p w14:paraId="260D4FE7" w14:textId="77777777" w:rsidR="009E3DAF" w:rsidRPr="00E36C5D" w:rsidRDefault="009E3DAF" w:rsidP="009E3DAF">
      <w:pPr>
        <w:contextualSpacing/>
        <w:rPr>
          <w:rFonts w:asciiTheme="minorHAnsi" w:hAnsiTheme="minorHAnsi" w:cstheme="minorHAnsi"/>
          <w:sz w:val="16"/>
          <w:szCs w:val="16"/>
        </w:rPr>
      </w:pPr>
      <w:r w:rsidRPr="00E36C5D">
        <w:rPr>
          <w:rFonts w:asciiTheme="minorHAnsi" w:hAnsiTheme="minorHAnsi" w:cstheme="minorHAnsi"/>
          <w:sz w:val="16"/>
          <w:szCs w:val="16"/>
        </w:rPr>
        <w:t>In this introduction I wish to develop the theoretical lens that informs the historical story that makes up the following chapters. In particular, I want to explore why violence becomes an integral component of the processes of racialization that constituted the global as a specific racialized imaginary and why such racial violence becomes its ubiquitous feature over the nineteenth and twentieth centuries. To be sure, the history of what I call the global racial imaginary and its racial violence was not necessarily coterminous with the history of the state and its formation; it was never entirely institutionalized within the proto-state apparatuses that were congealing themselves on the frontiers of European empires.13 Racial violence could be perpetuated by a wide range of actors—slave traders, plantation owners, frontier settlers, and so on—who were involved in the various projects of colonial and imperial expansion. As time went forward, racial violence would come to fuse itself with state violence in catastrophic ways, leading to the genocidal projects of the twentieth century and fantasies of racial annihilation that completely overtook the logics of state reason. What then accounts for the proliferation of racialized violence? What explains the ferocity and intensity of such violence? In what follows I make the argument that racial violence represented a particular type of violence, a violence that reflects a crisis in the racial imaginary that structures the very “grid of intelligibility,” as Foucault would say—of the global as such.</w:t>
      </w:r>
    </w:p>
    <w:p w14:paraId="67BF073D" w14:textId="77777777" w:rsidR="009E3DAF" w:rsidRPr="00E36C5D" w:rsidRDefault="009E3DAF" w:rsidP="009E3DAF">
      <w:pPr>
        <w:contextualSpacing/>
        <w:rPr>
          <w:rFonts w:asciiTheme="minorHAnsi" w:hAnsiTheme="minorHAnsi" w:cstheme="minorHAnsi"/>
          <w:sz w:val="16"/>
          <w:szCs w:val="16"/>
        </w:rPr>
      </w:pPr>
      <w:r w:rsidRPr="00E36C5D">
        <w:rPr>
          <w:rFonts w:asciiTheme="minorHAnsi" w:hAnsiTheme="minorHAnsi" w:cstheme="minorHAnsi"/>
          <w:sz w:val="16"/>
          <w:szCs w:val="16"/>
        </w:rPr>
        <w:t>International Relations and the Question of Racial Violence</w:t>
      </w:r>
    </w:p>
    <w:p w14:paraId="2685A373" w14:textId="77777777" w:rsidR="009E3DAF" w:rsidRPr="00E36C5D" w:rsidRDefault="009E3DAF" w:rsidP="009E3DAF">
      <w:pPr>
        <w:contextualSpacing/>
        <w:rPr>
          <w:rStyle w:val="StyleUnderline"/>
          <w:rFonts w:asciiTheme="minorHAnsi" w:hAnsiTheme="minorHAnsi" w:cstheme="minorHAnsi"/>
        </w:rPr>
      </w:pPr>
      <w:r w:rsidRPr="00E36C5D">
        <w:rPr>
          <w:rStyle w:val="Emphasis"/>
          <w:rFonts w:asciiTheme="minorHAnsi" w:hAnsiTheme="minorHAnsi" w:cstheme="minorHAnsi"/>
          <w:highlight w:val="cyan"/>
        </w:rPr>
        <w:t>The question of racial war</w:t>
      </w:r>
      <w:r w:rsidRPr="00E36C5D">
        <w:rPr>
          <w:rFonts w:asciiTheme="minorHAnsi" w:hAnsiTheme="minorHAnsi" w:cstheme="minorHAnsi"/>
          <w:sz w:val="16"/>
        </w:rPr>
        <w:t xml:space="preserve"> or violence </w:t>
      </w:r>
      <w:r w:rsidRPr="00E36C5D">
        <w:rPr>
          <w:rStyle w:val="Emphasis"/>
          <w:rFonts w:asciiTheme="minorHAnsi" w:hAnsiTheme="minorHAnsi" w:cstheme="minorHAnsi"/>
          <w:highlight w:val="cyan"/>
        </w:rPr>
        <w:t>remains</w:t>
      </w:r>
      <w:r w:rsidRPr="00E36C5D">
        <w:rPr>
          <w:rFonts w:asciiTheme="minorHAnsi" w:hAnsiTheme="minorHAnsi" w:cstheme="minorHAnsi"/>
          <w:sz w:val="16"/>
        </w:rPr>
        <w:t xml:space="preserve"> largely </w:t>
      </w:r>
      <w:r w:rsidRPr="00E36C5D">
        <w:rPr>
          <w:rStyle w:val="Emphasis"/>
          <w:rFonts w:asciiTheme="minorHAnsi" w:hAnsiTheme="minorHAnsi" w:cstheme="minorHAnsi"/>
          <w:highlight w:val="cyan"/>
        </w:rPr>
        <w:t>unexamined</w:t>
      </w:r>
      <w:r w:rsidRPr="00E36C5D">
        <w:rPr>
          <w:rStyle w:val="Emphasis"/>
          <w:rFonts w:asciiTheme="minorHAnsi" w:hAnsiTheme="minorHAnsi" w:cstheme="minorHAnsi"/>
        </w:rPr>
        <w:t xml:space="preserve"> in</w:t>
      </w:r>
      <w:r w:rsidRPr="00E36C5D">
        <w:rPr>
          <w:rFonts w:asciiTheme="minorHAnsi" w:hAnsiTheme="minorHAnsi" w:cstheme="minorHAnsi"/>
          <w:sz w:val="16"/>
        </w:rPr>
        <w:t xml:space="preserve"> the field of </w:t>
      </w:r>
      <w:r w:rsidRPr="00E36C5D">
        <w:rPr>
          <w:rStyle w:val="Emphasis"/>
          <w:rFonts w:asciiTheme="minorHAnsi" w:hAnsiTheme="minorHAnsi" w:cstheme="minorHAnsi"/>
        </w:rPr>
        <w:t xml:space="preserve">international relations. </w:t>
      </w:r>
      <w:r w:rsidRPr="00E36C5D">
        <w:rPr>
          <w:rStyle w:val="Emphasis"/>
          <w:rFonts w:asciiTheme="minorHAnsi" w:hAnsiTheme="minorHAnsi" w:cstheme="minorHAnsi"/>
          <w:highlight w:val="cyan"/>
        </w:rPr>
        <w:t>Due to ontological and epistemological commitments to</w:t>
      </w:r>
      <w:r w:rsidRPr="00E36C5D">
        <w:rPr>
          <w:rFonts w:asciiTheme="minorHAnsi" w:hAnsiTheme="minorHAnsi" w:cstheme="minorHAnsi"/>
          <w:sz w:val="16"/>
        </w:rPr>
        <w:t xml:space="preserve"> the concepts of </w:t>
      </w:r>
      <w:r w:rsidRPr="00E36C5D">
        <w:rPr>
          <w:rStyle w:val="Emphasis"/>
          <w:rFonts w:asciiTheme="minorHAnsi" w:hAnsiTheme="minorHAnsi" w:cstheme="minorHAnsi"/>
          <w:highlight w:val="cyan"/>
        </w:rPr>
        <w:t>anarchy and state-centrism, racial</w:t>
      </w:r>
      <w:r w:rsidRPr="00E36C5D">
        <w:rPr>
          <w:rStyle w:val="Emphasis"/>
          <w:rFonts w:asciiTheme="minorHAnsi" w:hAnsiTheme="minorHAnsi" w:cstheme="minorHAnsi"/>
        </w:rPr>
        <w:t xml:space="preserve"> violence is</w:t>
      </w:r>
      <w:r w:rsidRPr="00E36C5D">
        <w:rPr>
          <w:rFonts w:asciiTheme="minorHAnsi" w:hAnsiTheme="minorHAnsi" w:cstheme="minorHAnsi"/>
          <w:sz w:val="16"/>
        </w:rPr>
        <w:t xml:space="preserve"> all too often </w:t>
      </w:r>
      <w:r w:rsidRPr="00E36C5D">
        <w:rPr>
          <w:rStyle w:val="Emphasis"/>
          <w:rFonts w:asciiTheme="minorHAnsi" w:hAnsiTheme="minorHAnsi" w:cstheme="minorHAnsi"/>
        </w:rPr>
        <w:t>seen as a consequence of domestic fragmentation.</w:t>
      </w:r>
      <w:r w:rsidRPr="00E36C5D">
        <w:rPr>
          <w:rFonts w:asciiTheme="minorHAnsi" w:hAnsiTheme="minorHAnsi" w:cstheme="minorHAnsi"/>
          <w:sz w:val="16"/>
        </w:rPr>
        <w:t xml:space="preserve"> Largely conflated with “ethnic violence”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w:t>
      </w:r>
      <w:r w:rsidRPr="00E36C5D">
        <w:rPr>
          <w:rStyle w:val="StyleUnderline"/>
          <w:rFonts w:asciiTheme="minorHAnsi" w:hAnsiTheme="minorHAnsi" w:cstheme="minorHAnsi"/>
        </w:rPr>
        <w:t xml:space="preserve"> these </w:t>
      </w:r>
      <w:r w:rsidRPr="00E36C5D">
        <w:rPr>
          <w:rStyle w:val="StyleUnderline"/>
          <w:rFonts w:asciiTheme="minorHAnsi" w:hAnsiTheme="minorHAnsi" w:cstheme="minorHAnsi"/>
          <w:highlight w:val="cyan"/>
        </w:rPr>
        <w:t>ontological commitments at the heart of the field</w:t>
      </w:r>
      <w:r w:rsidRPr="00E36C5D">
        <w:rPr>
          <w:rStyle w:val="StyleUnderline"/>
          <w:rFonts w:asciiTheme="minorHAnsi" w:hAnsiTheme="minorHAnsi" w:cstheme="minorHAnsi"/>
        </w:rPr>
        <w:t xml:space="preserve"> are</w:t>
      </w:r>
      <w:r w:rsidRPr="00E36C5D">
        <w:rPr>
          <w:rFonts w:asciiTheme="minorHAnsi" w:hAnsiTheme="minorHAnsi" w:cstheme="minorHAnsi"/>
          <w:sz w:val="16"/>
        </w:rPr>
        <w:t xml:space="preserve"> increasingly being called into question and </w:t>
      </w:r>
      <w:r w:rsidRPr="00E36C5D">
        <w:rPr>
          <w:rStyle w:val="StyleUnderline"/>
          <w:rFonts w:asciiTheme="minorHAnsi" w:hAnsiTheme="minorHAnsi" w:cstheme="minorHAnsi"/>
        </w:rPr>
        <w:t>raise</w:t>
      </w:r>
      <w:r w:rsidRPr="00E36C5D">
        <w:rPr>
          <w:rFonts w:asciiTheme="minorHAnsi" w:hAnsiTheme="minorHAnsi" w:cstheme="minorHAnsi"/>
          <w:sz w:val="16"/>
        </w:rPr>
        <w:t xml:space="preserve"> interesting </w:t>
      </w:r>
      <w:r w:rsidRPr="00E36C5D">
        <w:rPr>
          <w:rStyle w:val="StyleUnderline"/>
          <w:rFonts w:asciiTheme="minorHAnsi" w:hAnsiTheme="minorHAnsi" w:cstheme="minorHAnsi"/>
        </w:rPr>
        <w:t xml:space="preserve">questions about the plurality of </w:t>
      </w:r>
      <w:r w:rsidRPr="00E36C5D">
        <w:rPr>
          <w:rFonts w:asciiTheme="minorHAnsi" w:hAnsiTheme="minorHAnsi" w:cstheme="minorHAnsi"/>
          <w:sz w:val="16"/>
        </w:rPr>
        <w:t xml:space="preserve">different forms of </w:t>
      </w:r>
      <w:r w:rsidRPr="00E36C5D">
        <w:rPr>
          <w:rStyle w:val="StyleUnderline"/>
          <w:rFonts w:asciiTheme="minorHAnsi" w:hAnsiTheme="minorHAnsi" w:cstheme="minorHAnsi"/>
        </w:rPr>
        <w:t xml:space="preserve">violence that can cut across the domestic and the international, and that </w:t>
      </w:r>
      <w:r w:rsidRPr="00E36C5D">
        <w:rPr>
          <w:rStyle w:val="StyleUnderline"/>
          <w:rFonts w:asciiTheme="minorHAnsi" w:hAnsiTheme="minorHAnsi" w:cstheme="minorHAnsi"/>
          <w:highlight w:val="cyan"/>
        </w:rPr>
        <w:t>challenge the</w:t>
      </w:r>
      <w:r w:rsidRPr="00E36C5D">
        <w:rPr>
          <w:rStyle w:val="StyleUnderline"/>
          <w:rFonts w:asciiTheme="minorHAnsi" w:hAnsiTheme="minorHAnsi" w:cstheme="minorHAnsi"/>
        </w:rPr>
        <w:t xml:space="preserve"> predominance of anarchy and the </w:t>
      </w:r>
      <w:r w:rsidRPr="00E36C5D">
        <w:rPr>
          <w:rStyle w:val="StyleUnderline"/>
          <w:rFonts w:asciiTheme="minorHAnsi" w:hAnsiTheme="minorHAnsi" w:cstheme="minorHAnsi"/>
          <w:highlight w:val="cyan"/>
        </w:rPr>
        <w:t>central agency of the state.</w:t>
      </w:r>
    </w:p>
    <w:p w14:paraId="6FDC4904" w14:textId="77777777" w:rsidR="009E3DAF" w:rsidRPr="00E36C5D" w:rsidRDefault="009E3DAF" w:rsidP="009E3DAF">
      <w:pPr>
        <w:contextualSpacing/>
        <w:rPr>
          <w:rFonts w:asciiTheme="minorHAnsi" w:hAnsiTheme="minorHAnsi" w:cstheme="minorHAnsi"/>
          <w:sz w:val="12"/>
          <w:szCs w:val="12"/>
        </w:rPr>
      </w:pPr>
      <w:r w:rsidRPr="00E36C5D">
        <w:rPr>
          <w:rFonts w:asciiTheme="minorHAnsi" w:hAnsiTheme="minorHAnsi" w:cstheme="minorHAnsi"/>
          <w:sz w:val="12"/>
          <w:szCs w:val="12"/>
        </w:rPr>
        <w:t>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interesting to note is how much he (perhaps inchoately) attaches importance to a specifically Western-centric global hierarchy that is in crisis. It is such a crisis that opens up the very possibilities of a racialized violence that is distinguished from the rational and strategic violence between Western nation-states.</w:t>
      </w:r>
    </w:p>
    <w:p w14:paraId="70EA2146" w14:textId="77777777" w:rsidR="009E3DAF" w:rsidRPr="00E36C5D" w:rsidRDefault="009E3DAF" w:rsidP="009E3DAF">
      <w:pPr>
        <w:contextualSpacing/>
        <w:rPr>
          <w:rFonts w:asciiTheme="minorHAnsi" w:hAnsiTheme="minorHAnsi" w:cstheme="minorHAnsi"/>
          <w:sz w:val="12"/>
          <w:szCs w:val="12"/>
        </w:rPr>
      </w:pPr>
      <w:r w:rsidRPr="00E36C5D">
        <w:rPr>
          <w:rFonts w:asciiTheme="minorHAnsi" w:hAnsiTheme="minorHAnsi" w:cstheme="minorHAnsi"/>
          <w:sz w:val="12"/>
          <w:szCs w:val="12"/>
        </w:rPr>
        <w:t>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change.21</w:t>
      </w:r>
    </w:p>
    <w:p w14:paraId="610B8053" w14:textId="77777777" w:rsidR="009E3DAF" w:rsidRPr="00E36C5D" w:rsidRDefault="009E3DAF" w:rsidP="009E3DAF">
      <w:pPr>
        <w:contextualSpacing/>
        <w:rPr>
          <w:rFonts w:asciiTheme="minorHAnsi" w:hAnsiTheme="minorHAnsi" w:cstheme="minorHAnsi"/>
          <w:sz w:val="12"/>
          <w:szCs w:val="12"/>
        </w:rPr>
      </w:pPr>
      <w:r w:rsidRPr="00E36C5D">
        <w:rPr>
          <w:rFonts w:asciiTheme="minorHAnsi" w:hAnsiTheme="minorHAnsi" w:cstheme="minorHAnsi"/>
          <w:sz w:val="12"/>
          <w:szCs w:val="12"/>
        </w:rPr>
        <w:t>Gilpin’s understanding of world political and hegemonic conflict shares its ontological and epistemological assumptions with Kenneth Waltz’s reformulation of political realism. For Waltz, violence is a ubiquitous feature of human being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p>
    <w:p w14:paraId="1146E0C6" w14:textId="77777777" w:rsidR="009E3DAF" w:rsidRPr="00E36C5D" w:rsidRDefault="009E3DAF" w:rsidP="009E3DAF">
      <w:pPr>
        <w:contextualSpacing/>
        <w:rPr>
          <w:rFonts w:asciiTheme="minorHAnsi" w:hAnsiTheme="minorHAnsi" w:cstheme="minorHAnsi"/>
          <w:sz w:val="12"/>
          <w:szCs w:val="12"/>
        </w:rPr>
      </w:pPr>
      <w:r w:rsidRPr="00E36C5D">
        <w:rPr>
          <w:rFonts w:asciiTheme="minorHAnsi" w:hAnsiTheme="minorHAnsi" w:cstheme="minorHAnsi"/>
          <w:sz w:val="12"/>
          <w:szCs w:val="12"/>
        </w:rPr>
        <w:t>Rather than seeing war and violence as simply the inevitable consequence of certain ontological conditions, of the invariable changes resulting from shifts in material power, warfare can be understood through cultural motivations.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extent this insight to the formation and maintenance of racial hierarchies and the violence emanating from the creation of such a global racial order. Indeed, how such racialized violence becomes productive of a particular order is a crucial question. Here, Jens Bartelson’s concept of “ontogenetic war” is an important insight that sees war as not based on predetermined notions of identity or status, but rather constitutive of it. As Bartelson writes, “War does not occur as a result of prior enmity between actors whose identities and interests are given and known but is that which produces identities and interests as well as the patterns of enmity and friendship within which actors are embedded by fighting.”26 “War,” as Bartelson importantly continues,</w:t>
      </w:r>
    </w:p>
    <w:p w14:paraId="6729BFA1" w14:textId="77777777" w:rsidR="009E3DAF" w:rsidRPr="00E36C5D" w:rsidRDefault="009E3DAF" w:rsidP="009E3DAF">
      <w:pPr>
        <w:ind w:left="720"/>
        <w:contextualSpacing/>
        <w:rPr>
          <w:rFonts w:asciiTheme="minorHAnsi" w:hAnsiTheme="minorHAnsi" w:cstheme="minorHAnsi"/>
          <w:sz w:val="12"/>
          <w:szCs w:val="12"/>
        </w:rPr>
      </w:pPr>
      <w:r w:rsidRPr="00E36C5D">
        <w:rPr>
          <w:rFonts w:asciiTheme="minorHAnsi" w:hAnsiTheme="minorHAnsi" w:cstheme="minorHAnsi"/>
          <w:sz w:val="12"/>
          <w:szCs w:val="12"/>
        </w:rPr>
        <w:t>is a primordial force that imposes structure on a world that otherwise would [be] too chaotic to be accessible to understanding and hence also beyond the reach of human intervention. Making war is therefore also making sense: war is not only a means of imposing order onto chaos but also a way of imposing meaning onto an otherwise enigmatic political world.27</w:t>
      </w:r>
    </w:p>
    <w:p w14:paraId="47A96A11" w14:textId="77777777" w:rsidR="009E3DAF" w:rsidRPr="00E36C5D" w:rsidRDefault="009E3DAF" w:rsidP="009E3DAF">
      <w:pPr>
        <w:contextualSpacing/>
        <w:rPr>
          <w:rFonts w:asciiTheme="minorHAnsi" w:hAnsiTheme="minorHAnsi" w:cstheme="minorHAnsi"/>
          <w:sz w:val="12"/>
          <w:szCs w:val="12"/>
        </w:rPr>
      </w:pPr>
      <w:r w:rsidRPr="00E36C5D">
        <w:rPr>
          <w:rFonts w:asciiTheme="minorHAnsi" w:hAnsiTheme="minorHAnsi" w:cstheme="minorHAnsi"/>
          <w:sz w:val="12"/>
          <w:szCs w:val="12"/>
        </w:rPr>
        <w:t>Ontogenetic war captures the conjunction between the practices of, and ideas about, violence and the condition of creating the very order that comes to define the identity of the agents themselves. This opens up a way to conceptualize how the formation of the modern global order was itself crucially tied to the very notion of racial violence and to the creation and reification of a racialized hierarchy, and recognize that modern identity was predicated upon such violence and hierarchy. 28 Indeed, the problem remains the continued lack of attention to the very histories of racialized settler colonial and imperial violence that, all too often, fall outside of the various canonical frameworks of international relations.</w:t>
      </w:r>
    </w:p>
    <w:p w14:paraId="4956DB34" w14:textId="77777777" w:rsidR="009E3DAF" w:rsidRPr="00E36C5D" w:rsidRDefault="009E3DAF" w:rsidP="009E3DAF">
      <w:pPr>
        <w:contextualSpacing/>
        <w:rPr>
          <w:rStyle w:val="StyleUnderline"/>
          <w:rFonts w:asciiTheme="minorHAnsi" w:hAnsiTheme="minorHAnsi" w:cstheme="minorHAnsi"/>
        </w:rPr>
      </w:pPr>
      <w:r w:rsidRPr="00E36C5D">
        <w:rPr>
          <w:rFonts w:asciiTheme="minorHAnsi" w:hAnsiTheme="minorHAnsi" w:cstheme="minorHAnsi"/>
          <w:sz w:val="16"/>
        </w:rPr>
        <w:t xml:space="preserve">In Global Race War, </w:t>
      </w:r>
      <w:r w:rsidRPr="00E36C5D">
        <w:rPr>
          <w:rStyle w:val="StyleUnderline"/>
          <w:rFonts w:asciiTheme="minorHAnsi" w:hAnsiTheme="minorHAnsi" w:cstheme="minorHAnsi"/>
        </w:rPr>
        <w:t>my concern is not only with the</w:t>
      </w:r>
      <w:r w:rsidRPr="00E36C5D">
        <w:rPr>
          <w:rFonts w:asciiTheme="minorHAnsi" w:hAnsiTheme="minorHAnsi" w:cstheme="minorHAnsi"/>
          <w:sz w:val="16"/>
        </w:rPr>
        <w:t xml:space="preserve"> historical </w:t>
      </w:r>
      <w:r w:rsidRPr="00E36C5D">
        <w:rPr>
          <w:rStyle w:val="StyleUnderline"/>
          <w:rFonts w:asciiTheme="minorHAnsi" w:hAnsiTheme="minorHAnsi" w:cstheme="minorHAnsi"/>
        </w:rPr>
        <w:t xml:space="preserve">conditions of this racialized </w:t>
      </w:r>
      <w:r w:rsidRPr="00E36C5D">
        <w:rPr>
          <w:rStyle w:val="StyleUnderline"/>
          <w:rFonts w:asciiTheme="minorHAnsi" w:hAnsiTheme="minorHAnsi" w:cstheme="minorHAnsi"/>
          <w:highlight w:val="cyan"/>
        </w:rPr>
        <w:t>ontogenetic war,</w:t>
      </w:r>
      <w:r w:rsidRPr="00E36C5D">
        <w:rPr>
          <w:rStyle w:val="StyleUnderline"/>
          <w:rFonts w:asciiTheme="minorHAnsi" w:hAnsiTheme="minorHAnsi" w:cstheme="minorHAnsi"/>
        </w:rPr>
        <w:t xml:space="preserve"> but also with the violence that emerges when the</w:t>
      </w:r>
      <w:r w:rsidRPr="00E36C5D">
        <w:rPr>
          <w:rFonts w:asciiTheme="minorHAnsi" w:hAnsiTheme="minorHAnsi" w:cstheme="minorHAnsi"/>
          <w:sz w:val="16"/>
        </w:rPr>
        <w:t xml:space="preserve"> very </w:t>
      </w:r>
      <w:r w:rsidRPr="00E36C5D">
        <w:rPr>
          <w:rStyle w:val="StyleUnderline"/>
          <w:rFonts w:asciiTheme="minorHAnsi" w:hAnsiTheme="minorHAnsi" w:cstheme="minorHAnsi"/>
        </w:rPr>
        <w:t xml:space="preserve">meaning that </w:t>
      </w:r>
      <w:r w:rsidRPr="00E36C5D">
        <w:rPr>
          <w:rStyle w:val="StyleUnderline"/>
          <w:rFonts w:asciiTheme="minorHAnsi" w:hAnsiTheme="minorHAnsi" w:cstheme="minorHAnsi"/>
          <w:highlight w:val="cyan"/>
        </w:rPr>
        <w:t>defines such a hierarchical order</w:t>
      </w:r>
      <w:r w:rsidRPr="00E36C5D">
        <w:rPr>
          <w:rStyle w:val="StyleUnderline"/>
          <w:rFonts w:asciiTheme="minorHAnsi" w:hAnsiTheme="minorHAnsi" w:cstheme="minorHAnsi"/>
        </w:rPr>
        <w:t xml:space="preserve"> begins to be challenged</w:t>
      </w:r>
      <w:r w:rsidRPr="00E36C5D">
        <w:rPr>
          <w:rFonts w:asciiTheme="minorHAnsi" w:hAnsiTheme="minorHAnsi" w:cstheme="minorHAnsi"/>
          <w:sz w:val="16"/>
        </w:rPr>
        <w:t xml:space="preserve">.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Global history is rife with patterns of stratification that have come to constitute a whole multitude of agents. What is less apparent is what happens when those hierarchies that have come to define the very meaning of the global are radically called into question. </w:t>
      </w:r>
      <w:r w:rsidRPr="00E36C5D">
        <w:rPr>
          <w:rStyle w:val="StyleUnderline"/>
          <w:rFonts w:asciiTheme="minorHAnsi" w:hAnsiTheme="minorHAnsi" w:cstheme="minorHAnsi"/>
        </w:rPr>
        <w:t>The importance of ontogenetic war</w:t>
      </w:r>
      <w:r w:rsidRPr="00E36C5D">
        <w:rPr>
          <w:rFonts w:asciiTheme="minorHAnsi" w:hAnsiTheme="minorHAnsi" w:cstheme="minorHAnsi"/>
          <w:sz w:val="16"/>
        </w:rPr>
        <w:t xml:space="preserve"> that Bartelson highlights is one side of the story of how to understand the connections between war and order; the other</w:t>
      </w:r>
      <w:r w:rsidRPr="00E36C5D">
        <w:rPr>
          <w:rStyle w:val="StyleUnderline"/>
          <w:rFonts w:asciiTheme="minorHAnsi" w:hAnsiTheme="minorHAnsi" w:cstheme="minorHAnsi"/>
        </w:rPr>
        <w:t xml:space="preserve"> concerns the proliferation of violence when a hierarchical order is in crisis and put in question by those defined to be racially and culturally inferior.</w:t>
      </w:r>
    </w:p>
    <w:p w14:paraId="2424293E" w14:textId="77777777" w:rsidR="009E3DAF" w:rsidRPr="00E36C5D" w:rsidRDefault="009E3DAF" w:rsidP="009E3DAF">
      <w:pPr>
        <w:contextualSpacing/>
        <w:rPr>
          <w:rStyle w:val="Emphasis"/>
          <w:rFonts w:asciiTheme="minorHAnsi" w:hAnsiTheme="minorHAnsi" w:cstheme="minorHAnsi"/>
          <w:iCs w:val="0"/>
        </w:rPr>
      </w:pPr>
      <w:r w:rsidRPr="00E36C5D">
        <w:rPr>
          <w:rFonts w:asciiTheme="minorHAnsi" w:hAnsiTheme="minorHAnsi" w:cstheme="minorHAnsi"/>
          <w:sz w:val="16"/>
        </w:rPr>
        <w:t xml:space="preserve">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 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w:t>
      </w:r>
      <w:r w:rsidRPr="00E36C5D">
        <w:rPr>
          <w:rFonts w:asciiTheme="minorHAnsi" w:hAnsiTheme="minorHAnsi" w:cstheme="minorHAnsi"/>
          <w:sz w:val="16"/>
          <w:highlight w:val="cyan"/>
        </w:rPr>
        <w:t xml:space="preserve">of </w:t>
      </w:r>
      <w:r w:rsidRPr="00E36C5D">
        <w:rPr>
          <w:rStyle w:val="Emphasis"/>
          <w:rFonts w:asciiTheme="minorHAnsi" w:hAnsiTheme="minorHAnsi" w:cstheme="minorHAnsi"/>
          <w:highlight w:val="cyan"/>
        </w:rPr>
        <w:t>the “science” of international relations</w:t>
      </w:r>
      <w:r w:rsidRPr="00E36C5D">
        <w:rPr>
          <w:rFonts w:asciiTheme="minorHAnsi" w:hAnsiTheme="minorHAnsi" w:cstheme="minorHAnsi"/>
          <w:sz w:val="16"/>
        </w:rPr>
        <w:t xml:space="preserve"> were certainly far from our contemporary theoretical focus on anarchy, state-centrism, and great power geopolitics. Its </w:t>
      </w:r>
      <w:r w:rsidRPr="00E36C5D">
        <w:rPr>
          <w:rStyle w:val="Emphasis"/>
          <w:rFonts w:asciiTheme="minorHAnsi" w:hAnsiTheme="minorHAnsi" w:cstheme="minorHAnsi"/>
        </w:rPr>
        <w:t xml:space="preserve">prevalent consideration </w:t>
      </w:r>
      <w:r w:rsidRPr="00E36C5D">
        <w:rPr>
          <w:rStyle w:val="Emphasis"/>
          <w:rFonts w:asciiTheme="minorHAnsi" w:hAnsiTheme="minorHAnsi" w:cstheme="minorHAnsi"/>
          <w:highlight w:val="cyan"/>
        </w:rPr>
        <w:t>revolved around</w:t>
      </w:r>
      <w:r w:rsidRPr="00E36C5D">
        <w:rPr>
          <w:rStyle w:val="Emphasis"/>
          <w:rFonts w:asciiTheme="minorHAnsi" w:hAnsiTheme="minorHAnsi" w:cstheme="minorHAnsi"/>
        </w:rPr>
        <w:t xml:space="preserve"> the longevity of </w:t>
      </w:r>
      <w:r w:rsidRPr="00E36C5D">
        <w:rPr>
          <w:rStyle w:val="Emphasis"/>
          <w:rFonts w:asciiTheme="minorHAnsi" w:hAnsiTheme="minorHAnsi" w:cstheme="minorHAnsi"/>
          <w:highlight w:val="cyan"/>
        </w:rPr>
        <w:t>white supremacy,</w:t>
      </w:r>
      <w:r w:rsidRPr="00E36C5D">
        <w:rPr>
          <w:rStyle w:val="Emphasis"/>
          <w:rFonts w:asciiTheme="minorHAnsi" w:hAnsiTheme="minorHAnsi" w:cstheme="minorHAnsi"/>
        </w:rPr>
        <w:t xml:space="preserve"> </w:t>
      </w:r>
      <w:r w:rsidRPr="00E36C5D">
        <w:rPr>
          <w:rStyle w:val="Emphasis"/>
          <w:rFonts w:asciiTheme="minorHAnsi" w:hAnsiTheme="minorHAnsi" w:cstheme="minorHAnsi"/>
          <w:highlight w:val="cyan"/>
        </w:rPr>
        <w:t xml:space="preserve">which was </w:t>
      </w:r>
      <w:r w:rsidRPr="00E36C5D">
        <w:rPr>
          <w:rStyle w:val="Emphasis"/>
          <w:rFonts w:asciiTheme="minorHAnsi" w:hAnsiTheme="minorHAnsi" w:cstheme="minorHAnsi"/>
        </w:rPr>
        <w:t xml:space="preserve">feared to be always </w:t>
      </w:r>
      <w:r w:rsidRPr="00E36C5D">
        <w:rPr>
          <w:rStyle w:val="Emphasis"/>
          <w:rFonts w:asciiTheme="minorHAnsi" w:hAnsiTheme="minorHAnsi" w:cstheme="minorHAnsi"/>
          <w:highlight w:val="cyan"/>
        </w:rPr>
        <w:t xml:space="preserve">at risk </w:t>
      </w:r>
      <w:r w:rsidRPr="00E36C5D">
        <w:rPr>
          <w:rStyle w:val="Emphasis"/>
          <w:rFonts w:asciiTheme="minorHAnsi" w:hAnsiTheme="minorHAnsi" w:cstheme="minorHAnsi"/>
        </w:rPr>
        <w:t xml:space="preserve">of being enervated by domestic </w:t>
      </w:r>
      <w:r w:rsidRPr="00E36C5D">
        <w:rPr>
          <w:rFonts w:asciiTheme="minorHAnsi" w:hAnsiTheme="minorHAnsi" w:cstheme="minorHAnsi"/>
          <w:sz w:val="16"/>
        </w:rPr>
        <w:t xml:space="preserve">(African Americans in Harlem) </w:t>
      </w:r>
      <w:r w:rsidRPr="00E36C5D">
        <w:rPr>
          <w:rStyle w:val="Emphasis"/>
          <w:rFonts w:asciiTheme="minorHAnsi" w:hAnsiTheme="minorHAnsi" w:cstheme="minorHAnsi"/>
        </w:rPr>
        <w:t>and foreign races.</w:t>
      </w:r>
    </w:p>
    <w:p w14:paraId="1A4EF0B7" w14:textId="77777777" w:rsidR="009E3DAF" w:rsidRPr="00E36C5D" w:rsidRDefault="009E3DAF" w:rsidP="009E3DAF">
      <w:pPr>
        <w:contextualSpacing/>
        <w:rPr>
          <w:rFonts w:asciiTheme="minorHAnsi" w:hAnsiTheme="minorHAnsi" w:cstheme="minorHAnsi"/>
          <w:sz w:val="16"/>
        </w:rPr>
      </w:pPr>
      <w:r w:rsidRPr="00E36C5D">
        <w:rPr>
          <w:rFonts w:asciiTheme="minorHAnsi" w:hAnsiTheme="minorHAnsi" w:cstheme="minorHAnsi"/>
          <w:sz w:val="16"/>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E36C5D">
        <w:rPr>
          <w:rStyle w:val="Emphasis"/>
          <w:rFonts w:asciiTheme="minorHAnsi" w:hAnsiTheme="minorHAnsi" w:cstheme="minorHAnsi"/>
        </w:rPr>
        <w:t>It is no longer tenable to accept</w:t>
      </w:r>
      <w:r w:rsidRPr="00E36C5D">
        <w:rPr>
          <w:rFonts w:asciiTheme="minorHAnsi" w:hAnsiTheme="minorHAnsi" w:cstheme="minorHAnsi"/>
          <w:sz w:val="16"/>
        </w:rPr>
        <w:t xml:space="preserve"> without serious reservation</w:t>
      </w:r>
      <w:r w:rsidRPr="00E36C5D">
        <w:rPr>
          <w:rStyle w:val="Emphasis"/>
          <w:rFonts w:asciiTheme="minorHAnsi" w:hAnsiTheme="minorHAnsi" w:cstheme="minorHAnsi"/>
        </w:rPr>
        <w:t xml:space="preserve"> the ontological assumptions that have defined the field of </w:t>
      </w:r>
      <w:r w:rsidRPr="00E36C5D">
        <w:rPr>
          <w:rStyle w:val="Emphasis"/>
          <w:rFonts w:asciiTheme="minorHAnsi" w:hAnsiTheme="minorHAnsi" w:cstheme="minorHAnsi"/>
          <w:highlight w:val="cyan"/>
        </w:rPr>
        <w:t>international relations</w:t>
      </w:r>
      <w:r w:rsidRPr="00E36C5D">
        <w:rPr>
          <w:rStyle w:val="Emphasis"/>
          <w:rFonts w:asciiTheme="minorHAnsi" w:hAnsiTheme="minorHAnsi" w:cstheme="minorHAnsi"/>
        </w:rPr>
        <w:t xml:space="preserve"> since its mythological foundations</w:t>
      </w:r>
      <w:r w:rsidRPr="00E36C5D">
        <w:rPr>
          <w:rFonts w:asciiTheme="minorHAnsi" w:hAnsiTheme="minorHAnsi" w:cstheme="minorHAnsi"/>
          <w:sz w:val="16"/>
        </w:rPr>
        <w:t xml:space="preserve"> after the Second World War. </w:t>
      </w:r>
      <w:r w:rsidRPr="00E36C5D">
        <w:rPr>
          <w:rStyle w:val="Emphasis"/>
          <w:rFonts w:asciiTheme="minorHAnsi" w:hAnsiTheme="minorHAnsi" w:cstheme="minorHAnsi"/>
        </w:rPr>
        <w:t xml:space="preserve">Such a </w:t>
      </w:r>
      <w:r w:rsidRPr="00E36C5D">
        <w:rPr>
          <w:rStyle w:val="Emphasis"/>
          <w:rFonts w:asciiTheme="minorHAnsi" w:hAnsiTheme="minorHAnsi" w:cstheme="minorHAnsi"/>
          <w:highlight w:val="cyan"/>
        </w:rPr>
        <w:t>mythos is</w:t>
      </w:r>
      <w:r w:rsidRPr="00E36C5D">
        <w:rPr>
          <w:rFonts w:asciiTheme="minorHAnsi" w:hAnsiTheme="minorHAnsi" w:cstheme="minorHAnsi"/>
          <w:sz w:val="16"/>
        </w:rPr>
        <w:t xml:space="preserve"> largely </w:t>
      </w:r>
      <w:r w:rsidRPr="00E36C5D">
        <w:rPr>
          <w:rStyle w:val="Emphasis"/>
          <w:rFonts w:asciiTheme="minorHAnsi" w:hAnsiTheme="minorHAnsi" w:cstheme="minorHAnsi"/>
          <w:highlight w:val="cyan"/>
        </w:rPr>
        <w:t>predicated upon</w:t>
      </w:r>
      <w:r w:rsidRPr="00E36C5D">
        <w:rPr>
          <w:rFonts w:asciiTheme="minorHAnsi" w:hAnsiTheme="minorHAnsi" w:cstheme="minorHAnsi"/>
          <w:sz w:val="16"/>
        </w:rPr>
        <w:t xml:space="preserve"> historical </w:t>
      </w:r>
      <w:r w:rsidRPr="00E36C5D">
        <w:rPr>
          <w:rStyle w:val="Emphasis"/>
          <w:rFonts w:asciiTheme="minorHAnsi" w:hAnsiTheme="minorHAnsi" w:cstheme="minorHAnsi"/>
          <w:highlight w:val="cyan"/>
        </w:rPr>
        <w:t xml:space="preserve">narratives about the emergence of </w:t>
      </w:r>
      <w:r w:rsidRPr="00E36C5D">
        <w:rPr>
          <w:rStyle w:val="Emphasis"/>
          <w:rFonts w:asciiTheme="minorHAnsi" w:hAnsiTheme="minorHAnsi" w:cstheme="minorHAnsi"/>
        </w:rPr>
        <w:t>a</w:t>
      </w:r>
      <w:r w:rsidRPr="00E36C5D">
        <w:rPr>
          <w:rFonts w:asciiTheme="minorHAnsi" w:hAnsiTheme="minorHAnsi" w:cstheme="minorHAnsi"/>
          <w:sz w:val="16"/>
        </w:rPr>
        <w:t xml:space="preserve"> system or </w:t>
      </w:r>
      <w:r w:rsidRPr="00E36C5D">
        <w:rPr>
          <w:rStyle w:val="Emphasis"/>
          <w:rFonts w:asciiTheme="minorHAnsi" w:hAnsiTheme="minorHAnsi" w:cstheme="minorHAnsi"/>
        </w:rPr>
        <w:t>society of (</w:t>
      </w:r>
      <w:r w:rsidRPr="00E36C5D">
        <w:rPr>
          <w:rStyle w:val="Emphasis"/>
          <w:rFonts w:asciiTheme="minorHAnsi" w:hAnsiTheme="minorHAnsi" w:cstheme="minorHAnsi"/>
          <w:highlight w:val="cyan"/>
        </w:rPr>
        <w:t>European) states outside</w:t>
      </w:r>
      <w:r w:rsidRPr="00E36C5D">
        <w:rPr>
          <w:rStyle w:val="Emphasis"/>
          <w:rFonts w:asciiTheme="minorHAnsi" w:hAnsiTheme="minorHAnsi" w:cstheme="minorHAnsi"/>
        </w:rPr>
        <w:t xml:space="preserve"> the histories of empire and </w:t>
      </w:r>
      <w:r w:rsidRPr="00E36C5D">
        <w:rPr>
          <w:rStyle w:val="Emphasis"/>
          <w:rFonts w:asciiTheme="minorHAnsi" w:hAnsiTheme="minorHAnsi" w:cstheme="minorHAnsi"/>
          <w:highlight w:val="cyan"/>
        </w:rPr>
        <w:t>racial hierarchy</w:t>
      </w:r>
      <w:r w:rsidRPr="00E36C5D">
        <w:rPr>
          <w:rFonts w:asciiTheme="minorHAnsi" w:hAnsiTheme="minorHAnsi" w:cstheme="minorHAnsi"/>
          <w:sz w:val="16"/>
          <w:highlight w:val="cyan"/>
        </w:rPr>
        <w:t xml:space="preserve">. </w:t>
      </w:r>
      <w:r w:rsidRPr="00E36C5D">
        <w:rPr>
          <w:rFonts w:asciiTheme="minorHAnsi" w:hAnsiTheme="minorHAnsi" w:cstheme="minorHAnsi"/>
          <w:sz w:val="16"/>
        </w:rPr>
        <w:t xml:space="preserve">Postcolonial theorists, in particular, have also shown for some time now the importance of rethinking global politics beyond the particularities and uniqueness of the Western historical experience.32 </w:t>
      </w:r>
      <w:r w:rsidRPr="00E36C5D">
        <w:rPr>
          <w:rStyle w:val="Emphasis"/>
          <w:rFonts w:asciiTheme="minorHAnsi" w:hAnsiTheme="minorHAnsi" w:cstheme="minorHAnsi"/>
          <w:highlight w:val="cyan"/>
        </w:rPr>
        <w:t>The question of race has come to the forefront of the field</w:t>
      </w:r>
      <w:r w:rsidRPr="00E36C5D">
        <w:rPr>
          <w:rFonts w:asciiTheme="minorHAnsi" w:hAnsiTheme="minorHAnsi" w:cstheme="minorHAnsi"/>
          <w:sz w:val="16"/>
        </w:rPr>
        <w:t>,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w:t>
      </w:r>
      <w:r w:rsidRPr="00E36C5D">
        <w:rPr>
          <w:rStyle w:val="Emphasis"/>
          <w:rFonts w:asciiTheme="minorHAnsi" w:hAnsiTheme="minorHAnsi" w:cstheme="minorHAnsi"/>
        </w:rPr>
        <w:t xml:space="preserve"> a disciplinary revisionist historiography </w:t>
      </w:r>
      <w:r w:rsidRPr="00E36C5D">
        <w:rPr>
          <w:rFonts w:asciiTheme="minorHAnsi" w:hAnsiTheme="minorHAnsi" w:cstheme="minorHAnsi"/>
          <w:sz w:val="16"/>
        </w:rPr>
        <w:t xml:space="preserve">accomplishes is </w:t>
      </w:r>
      <w:r w:rsidRPr="00E36C5D">
        <w:rPr>
          <w:rStyle w:val="Emphasis"/>
          <w:rFonts w:asciiTheme="minorHAnsi" w:hAnsiTheme="minorHAnsi" w:cstheme="minorHAnsi"/>
        </w:rPr>
        <w:t>to refocus our attention to the pervasiveness of race in creating and structuring a modern global order.</w:t>
      </w:r>
      <w:r w:rsidRPr="00E36C5D">
        <w:rPr>
          <w:rFonts w:asciiTheme="minorHAnsi" w:hAnsiTheme="minorHAnsi" w:cstheme="minorHAnsi"/>
          <w:sz w:val="16"/>
        </w:rPr>
        <w:t xml:space="preserve"> This is what I explore as the global racial imaginary.</w:t>
      </w:r>
    </w:p>
    <w:p w14:paraId="61755101" w14:textId="77777777" w:rsidR="009E3DAF" w:rsidRPr="00E36C5D" w:rsidRDefault="009E3DAF" w:rsidP="009E3DAF">
      <w:pPr>
        <w:contextualSpacing/>
        <w:rPr>
          <w:rFonts w:asciiTheme="minorHAnsi" w:hAnsiTheme="minorHAnsi" w:cstheme="minorHAnsi"/>
          <w:sz w:val="16"/>
        </w:rPr>
      </w:pPr>
    </w:p>
    <w:p w14:paraId="6CB179DD" w14:textId="77777777" w:rsidR="009E3DAF" w:rsidRPr="00E36C5D" w:rsidRDefault="009E3DAF" w:rsidP="009E3DAF">
      <w:pPr>
        <w:contextualSpacing/>
        <w:rPr>
          <w:rFonts w:asciiTheme="minorHAnsi" w:hAnsiTheme="minorHAnsi" w:cstheme="minorHAnsi"/>
          <w:sz w:val="16"/>
          <w:szCs w:val="16"/>
        </w:rPr>
      </w:pPr>
      <w:r w:rsidRPr="00E36C5D">
        <w:rPr>
          <w:rFonts w:asciiTheme="minorHAnsi" w:hAnsiTheme="minorHAnsi" w:cstheme="minorHAnsi"/>
          <w:sz w:val="16"/>
          <w:szCs w:val="16"/>
        </w:rPr>
        <w:t>The Global Racial Imaginary</w:t>
      </w:r>
    </w:p>
    <w:p w14:paraId="6F9CFFB4" w14:textId="77777777" w:rsidR="009E3DAF" w:rsidRPr="00E36C5D" w:rsidRDefault="009E3DAF" w:rsidP="009E3DAF">
      <w:pPr>
        <w:contextualSpacing/>
        <w:rPr>
          <w:rFonts w:asciiTheme="minorHAnsi" w:hAnsiTheme="minorHAnsi" w:cstheme="minorHAnsi"/>
          <w:sz w:val="16"/>
          <w:szCs w:val="16"/>
        </w:rPr>
      </w:pPr>
      <w:r w:rsidRPr="00E36C5D">
        <w:rPr>
          <w:rStyle w:val="StyleUnderline"/>
          <w:rFonts w:asciiTheme="minorHAnsi" w:hAnsiTheme="minorHAnsi" w:cstheme="minorHAnsi"/>
        </w:rPr>
        <w:t>The rapid expansion of European settler colonialism beginning in the fifteenth century had profound ramifications for the emergence of the idea of the global</w:t>
      </w:r>
      <w:r w:rsidRPr="00E36C5D">
        <w:rPr>
          <w:rStyle w:val="Emphasis"/>
          <w:rFonts w:asciiTheme="minorHAnsi" w:hAnsiTheme="minorHAnsi" w:cstheme="minorHAnsi"/>
        </w:rPr>
        <w:t>. What emerged in the aftermath of the genocidal land appropriation in North and South America and the enslavement of Africans was a racialized transnational political economy that came to structure the very foundation of proto-capital accumulation and an imaginary of the global based on racial hierarchy</w:t>
      </w:r>
      <w:r w:rsidRPr="00E36C5D">
        <w:rPr>
          <w:rFonts w:asciiTheme="minorHAnsi" w:hAnsiTheme="minorHAnsi" w:cstheme="minorHAnsi"/>
          <w:sz w:val="16"/>
          <w:szCs w:val="16"/>
        </w:rPr>
        <w:t>.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“Racialism,” Robinson adds, should be understood as a “material force . . . [that] would inevitably permeate the social structures emergent from capitalism.”35 In other words, what is at work here is a process of racialization that expanded across the planet and created a material and ideological reality in which racial difference and hierarchy came to be understood as constitutive of the order of things.36</w:t>
      </w:r>
    </w:p>
    <w:p w14:paraId="750A964C" w14:textId="77777777" w:rsidR="009E3DAF" w:rsidRPr="00E36C5D" w:rsidRDefault="009E3DAF" w:rsidP="009E3DAF">
      <w:pPr>
        <w:contextualSpacing/>
        <w:rPr>
          <w:rFonts w:asciiTheme="minorHAnsi" w:hAnsiTheme="minorHAnsi" w:cstheme="minorHAnsi"/>
          <w:sz w:val="16"/>
          <w:szCs w:val="16"/>
        </w:rPr>
      </w:pPr>
      <w:r w:rsidRPr="00E36C5D">
        <w:rPr>
          <w:rFonts w:asciiTheme="minorHAnsi" w:hAnsiTheme="minorHAnsi" w:cstheme="minorHAnsi"/>
          <w:sz w:val="16"/>
          <w:szCs w:val="16"/>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“[Racial] symbols, meanings and material practices distinguish dominant and subordinate subjects according to their racial categorizations. Race in this regard is not only a marker of phenotypical difference, but of status, class, and political power.”37 The sociologist Eduardo Bonilla-Silva has argued that racism cannot simply be viewed as the product of an irrational individual prejudice or of atavistic legacies; rather, racism is the consequence of processes of racialization, which, for Bonilla-Silva, “forms a real structure—that racialized groups are hierarchically ordered and ‘social relations’ and ‘practices’ emerge that fit the position of the groups in the racial regime.” As Bonilla-Silva continues,</w:t>
      </w:r>
    </w:p>
    <w:p w14:paraId="3234CFD4" w14:textId="77777777" w:rsidR="009E3DAF" w:rsidRPr="00E36C5D" w:rsidRDefault="009E3DAF" w:rsidP="009E3DAF">
      <w:pPr>
        <w:ind w:left="720"/>
        <w:contextualSpacing/>
        <w:rPr>
          <w:rFonts w:asciiTheme="minorHAnsi" w:hAnsiTheme="minorHAnsi" w:cstheme="minorHAnsi"/>
          <w:sz w:val="16"/>
          <w:szCs w:val="16"/>
        </w:rPr>
      </w:pPr>
      <w:r w:rsidRPr="00E36C5D">
        <w:rPr>
          <w:rFonts w:asciiTheme="minorHAnsi" w:hAnsiTheme="minorHAnsi" w:cstheme="minorHAnsi"/>
          <w:sz w:val="16"/>
          <w:szCs w:val="16"/>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2F15D959" w14:textId="77777777" w:rsidR="009E3DAF" w:rsidRPr="00E36C5D" w:rsidRDefault="009E3DAF" w:rsidP="009E3DAF">
      <w:pPr>
        <w:contextualSpacing/>
        <w:rPr>
          <w:rFonts w:asciiTheme="minorHAnsi" w:hAnsiTheme="minorHAnsi" w:cstheme="minorHAnsi"/>
          <w:sz w:val="16"/>
        </w:rPr>
      </w:pPr>
      <w:r w:rsidRPr="00E36C5D">
        <w:rPr>
          <w:rStyle w:val="StyleUnderline"/>
          <w:rFonts w:asciiTheme="minorHAnsi" w:hAnsiTheme="minorHAnsi" w:cstheme="minorHAnsi"/>
        </w:rPr>
        <w:t>The materiality of racial order gives a sense of the solidity of racial hierarchies that congealed during moments of violent domination, which comes to be seen as entirely natural. To think the racial order in material terms is to understand that its ideological formation is predicated on the natural longevity of racial hierarchy across history</w:t>
      </w:r>
      <w:r w:rsidRPr="00E36C5D">
        <w:rPr>
          <w:rFonts w:asciiTheme="minorHAnsi" w:hAnsiTheme="minorHAnsi" w:cstheme="minorHAnsi"/>
          <w:sz w:val="16"/>
        </w:rPr>
        <w:t xml:space="preserve">—even if its content changes over time. </w:t>
      </w:r>
      <w:r w:rsidRPr="00E36C5D">
        <w:rPr>
          <w:rStyle w:val="StyleUnderline"/>
          <w:rFonts w:asciiTheme="minorHAnsi" w:hAnsiTheme="minorHAnsi" w:cstheme="minorHAnsi"/>
        </w:rPr>
        <w:t xml:space="preserve">It is this ideological configuration that gave intelligibility to the perpetuation of colonial subjugation that Europeans employed in the New World and the Atlantic slave trade and that would then form the basis of emergent global order of the nineteenth century. </w:t>
      </w:r>
      <w:r w:rsidRPr="00E36C5D">
        <w:rPr>
          <w:rFonts w:asciiTheme="minorHAnsi" w:hAnsiTheme="minorHAnsi" w:cstheme="minorHAnsi"/>
          <w:sz w:val="16"/>
        </w:rPr>
        <w:t>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This racial ideology, when it comes to its role in the emergence of the global, I call the global racial imaginary.</w:t>
      </w:r>
    </w:p>
    <w:p w14:paraId="7440034C" w14:textId="77777777" w:rsidR="009E3DAF" w:rsidRPr="00E36C5D" w:rsidRDefault="009E3DAF" w:rsidP="009E3DAF">
      <w:pPr>
        <w:contextualSpacing/>
        <w:rPr>
          <w:rFonts w:asciiTheme="minorHAnsi" w:hAnsiTheme="minorHAnsi" w:cstheme="minorHAnsi"/>
          <w:sz w:val="16"/>
        </w:rPr>
      </w:pPr>
      <w:r w:rsidRPr="00E36C5D">
        <w:rPr>
          <w:rFonts w:asciiTheme="minorHAnsi" w:hAnsiTheme="minorHAnsi" w:cstheme="minorHAnsi"/>
          <w:sz w:val="16"/>
          <w:szCs w:val="16"/>
        </w:rPr>
        <w:t>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w:t>
      </w:r>
      <w:r w:rsidRPr="00E36C5D">
        <w:rPr>
          <w:rFonts w:asciiTheme="minorHAnsi" w:hAnsiTheme="minorHAnsi" w:cstheme="minorHAnsi"/>
          <w:sz w:val="16"/>
        </w:rPr>
        <w:t xml:space="preserve"> 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w:t>
      </w:r>
      <w:r w:rsidRPr="00E36C5D">
        <w:rPr>
          <w:rStyle w:val="StyleUnderline"/>
          <w:rFonts w:asciiTheme="minorHAnsi" w:hAnsiTheme="minorHAnsi" w:cstheme="minorHAnsi"/>
        </w:rPr>
        <w:t xml:space="preserve">. </w:t>
      </w:r>
      <w:r w:rsidRPr="00E36C5D">
        <w:rPr>
          <w:rStyle w:val="StyleUnderline"/>
          <w:rFonts w:asciiTheme="minorHAnsi" w:hAnsiTheme="minorHAnsi" w:cstheme="minorHAnsi"/>
          <w:highlight w:val="cyan"/>
        </w:rPr>
        <w:t>A racial imaginary integrates the</w:t>
      </w:r>
      <w:r w:rsidRPr="00E36C5D">
        <w:rPr>
          <w:rStyle w:val="StyleUnderline"/>
          <w:rFonts w:asciiTheme="minorHAnsi" w:hAnsiTheme="minorHAnsi" w:cstheme="minorHAnsi"/>
        </w:rPr>
        <w:t xml:space="preserve"> material and ideological foundations—the very “</w:t>
      </w:r>
      <w:r w:rsidRPr="00E36C5D">
        <w:rPr>
          <w:rStyle w:val="StyleUnderline"/>
          <w:rFonts w:asciiTheme="minorHAnsi" w:hAnsiTheme="minorHAnsi" w:cstheme="minorHAnsi"/>
          <w:highlight w:val="cyan"/>
        </w:rPr>
        <w:t>mechanisms and practices”</w:t>
      </w:r>
      <w:r w:rsidRPr="00E36C5D">
        <w:rPr>
          <w:rFonts w:asciiTheme="minorHAnsi" w:hAnsiTheme="minorHAnsi" w:cstheme="minorHAnsi"/>
          <w:sz w:val="16"/>
        </w:rPr>
        <w:t xml:space="preserve"> Bonilla Silva refers to—</w:t>
      </w:r>
      <w:r w:rsidRPr="00E36C5D">
        <w:rPr>
          <w:rStyle w:val="StyleUnderline"/>
          <w:rFonts w:asciiTheme="minorHAnsi" w:hAnsiTheme="minorHAnsi" w:cstheme="minorHAnsi"/>
          <w:highlight w:val="cyan"/>
        </w:rPr>
        <w:t>and reflects specifically the placement of different groups within a hierarchical order</w:t>
      </w:r>
      <w:r w:rsidRPr="00E36C5D">
        <w:rPr>
          <w:rStyle w:val="StyleUnderline"/>
          <w:rFonts w:asciiTheme="minorHAnsi" w:hAnsiTheme="minorHAnsi" w:cstheme="minorHAnsi"/>
        </w:rPr>
        <w:t xml:space="preserve">. A racial imaginary then provides a “social map” in making that hierarchical order appear self-evident and entirely the natural byproduct of certain immanent societal developments rather than violent appropriation or domination. </w:t>
      </w:r>
      <w:r w:rsidRPr="00E36C5D">
        <w:rPr>
          <w:rFonts w:asciiTheme="minorHAnsi" w:hAnsiTheme="minorHAnsi" w:cstheme="minorHAnsi"/>
          <w:sz w:val="16"/>
        </w:rPr>
        <w:t xml:space="preserve">Extending the concept of the racial imaginary to the idea of the global, I claim that </w:t>
      </w:r>
      <w:r w:rsidRPr="00E36C5D">
        <w:rPr>
          <w:rStyle w:val="Emphasis"/>
          <w:rFonts w:asciiTheme="minorHAnsi" w:hAnsiTheme="minorHAnsi" w:cstheme="minorHAnsi"/>
          <w:highlight w:val="cyan"/>
        </w:rPr>
        <w:t>the very “images, stories, and legends” that made the global intelligible qua global came out of the long history of settler colonial appropriation and a transnational racial formation</w:t>
      </w:r>
      <w:r w:rsidRPr="00E36C5D">
        <w:rPr>
          <w:rStyle w:val="Emphasis"/>
          <w:rFonts w:asciiTheme="minorHAnsi" w:hAnsiTheme="minorHAnsi" w:cstheme="minorHAnsi"/>
        </w:rPr>
        <w:t>.</w:t>
      </w:r>
      <w:r w:rsidRPr="00E36C5D">
        <w:rPr>
          <w:rFonts w:asciiTheme="minorHAnsi" w:hAnsiTheme="minorHAnsi" w:cstheme="minorHAnsi"/>
          <w:sz w:val="16"/>
        </w:rPr>
        <w:t xml:space="preserve"> </w:t>
      </w:r>
      <w:r w:rsidRPr="00E36C5D">
        <w:rPr>
          <w:rStyle w:val="StyleUnderline"/>
          <w:rFonts w:asciiTheme="minorHAnsi" w:hAnsiTheme="minorHAnsi" w:cstheme="minorHAnsi"/>
        </w:rPr>
        <w:t>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w:t>
      </w:r>
      <w:r w:rsidRPr="00E36C5D">
        <w:rPr>
          <w:rFonts w:asciiTheme="minorHAnsi" w:hAnsiTheme="minorHAnsi" w:cstheme="minorHAnsi"/>
          <w:sz w:val="16"/>
        </w:rPr>
        <w:t xml:space="preserve"> 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as a consequence, it created the very sensus communis that gave this political-economic global order its racialized hierarchy.</w:t>
      </w:r>
    </w:p>
    <w:p w14:paraId="56CB5DE3" w14:textId="77777777" w:rsidR="009E3DAF" w:rsidRPr="00E36C5D" w:rsidRDefault="009E3DAF" w:rsidP="009E3DAF">
      <w:pPr>
        <w:contextualSpacing/>
        <w:rPr>
          <w:rFonts w:asciiTheme="minorHAnsi" w:hAnsiTheme="minorHAnsi" w:cstheme="minorHAnsi"/>
          <w:sz w:val="16"/>
          <w:szCs w:val="16"/>
        </w:rPr>
      </w:pPr>
      <w:r w:rsidRPr="00E36C5D">
        <w:rPr>
          <w:rFonts w:asciiTheme="minorHAnsi" w:hAnsiTheme="minorHAnsi" w:cstheme="minorHAnsi"/>
          <w:sz w:val="16"/>
          <w:szCs w:val="16"/>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52DDC13A" w14:textId="77777777" w:rsidR="009E3DAF" w:rsidRPr="00E36C5D" w:rsidRDefault="009E3DAF" w:rsidP="009E3DAF">
      <w:pPr>
        <w:ind w:left="720"/>
        <w:contextualSpacing/>
        <w:rPr>
          <w:rFonts w:asciiTheme="minorHAnsi" w:hAnsiTheme="minorHAnsi" w:cstheme="minorHAnsi"/>
          <w:sz w:val="16"/>
          <w:szCs w:val="16"/>
        </w:rPr>
      </w:pPr>
      <w:r w:rsidRPr="00E36C5D">
        <w:rPr>
          <w:rFonts w:asciiTheme="minorHAnsi" w:hAnsiTheme="minorHAnsi" w:cstheme="minorHAnsi"/>
          <w:sz w:val="16"/>
          <w:szCs w:val="16"/>
        </w:rPr>
        <w:t>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204AC043" w14:textId="77777777" w:rsidR="009E3DAF" w:rsidRPr="00E36C5D" w:rsidRDefault="009E3DAF" w:rsidP="009E3DAF">
      <w:pPr>
        <w:contextualSpacing/>
        <w:rPr>
          <w:rStyle w:val="Emphasis"/>
          <w:rFonts w:asciiTheme="minorHAnsi" w:hAnsiTheme="minorHAnsi" w:cstheme="minorHAnsi"/>
          <w:iCs w:val="0"/>
        </w:rPr>
      </w:pPr>
      <w:r w:rsidRPr="00E36C5D">
        <w:rPr>
          <w:rStyle w:val="StyleUnderline"/>
          <w:rFonts w:asciiTheme="minorHAnsi" w:hAnsiTheme="minorHAnsi" w:cstheme="minorHAnsi"/>
          <w:highlight w:val="cyan"/>
        </w:rPr>
        <w:t>The racial contract</w:t>
      </w:r>
      <w:r w:rsidRPr="00E36C5D">
        <w:rPr>
          <w:rFonts w:asciiTheme="minorHAnsi" w:hAnsiTheme="minorHAnsi" w:cstheme="minorHAnsi"/>
          <w:sz w:val="16"/>
        </w:rPr>
        <w:t>, which forms ultimately the basis of a contractual society</w:t>
      </w:r>
      <w:r w:rsidRPr="00E36C5D">
        <w:rPr>
          <w:rStyle w:val="StyleUnderline"/>
          <w:rFonts w:asciiTheme="minorHAnsi" w:hAnsiTheme="minorHAnsi" w:cstheme="minorHAnsi"/>
        </w:rPr>
        <w:t>, “</w:t>
      </w:r>
      <w:r w:rsidRPr="00E36C5D">
        <w:rPr>
          <w:rStyle w:val="StyleUnderline"/>
          <w:rFonts w:asciiTheme="minorHAnsi" w:hAnsiTheme="minorHAnsi" w:cstheme="minorHAnsi"/>
          <w:highlight w:val="cyan"/>
        </w:rPr>
        <w:t>requires the intervention of white men,</w:t>
      </w:r>
      <w:r w:rsidRPr="00E36C5D">
        <w:rPr>
          <w:rStyle w:val="StyleUnderline"/>
          <w:rFonts w:asciiTheme="minorHAnsi" w:hAnsiTheme="minorHAnsi" w:cstheme="minorHAnsi"/>
        </w:rPr>
        <w:t xml:space="preserve"> who are thereby </w:t>
      </w:r>
      <w:r w:rsidRPr="00E36C5D">
        <w:rPr>
          <w:rStyle w:val="StyleUnderline"/>
          <w:rFonts w:asciiTheme="minorHAnsi" w:hAnsiTheme="minorHAnsi" w:cstheme="minorHAnsi"/>
          <w:highlight w:val="cyan"/>
        </w:rPr>
        <w:t>positioned as</w:t>
      </w:r>
      <w:r w:rsidRPr="00E36C5D">
        <w:rPr>
          <w:rStyle w:val="StyleUnderline"/>
          <w:rFonts w:asciiTheme="minorHAnsi" w:hAnsiTheme="minorHAnsi" w:cstheme="minorHAnsi"/>
        </w:rPr>
        <w:t xml:space="preserve"> already </w:t>
      </w:r>
      <w:r w:rsidRPr="00E36C5D">
        <w:rPr>
          <w:rStyle w:val="StyleUnderline"/>
          <w:rFonts w:asciiTheme="minorHAnsi" w:hAnsiTheme="minorHAnsi" w:cstheme="minorHAnsi"/>
          <w:highlight w:val="cyan"/>
        </w:rPr>
        <w:t>sociopolitical beings.”</w:t>
      </w:r>
      <w:r w:rsidRPr="00E36C5D">
        <w:rPr>
          <w:rFonts w:asciiTheme="minorHAnsi" w:hAnsiTheme="minorHAnsi" w:cstheme="minorHAnsi"/>
          <w:sz w:val="16"/>
          <w:highlight w:val="cyan"/>
        </w:rPr>
        <w:t>4</w:t>
      </w:r>
      <w:r w:rsidRPr="00E36C5D">
        <w:rPr>
          <w:rFonts w:asciiTheme="minorHAnsi" w:hAnsiTheme="minorHAnsi" w:cstheme="minorHAnsi"/>
          <w:sz w:val="16"/>
        </w:rPr>
        <w:t xml:space="preserve">6 </w:t>
      </w:r>
      <w:r w:rsidRPr="00E36C5D">
        <w:rPr>
          <w:rStyle w:val="StyleUnderline"/>
          <w:rFonts w:asciiTheme="minorHAnsi" w:hAnsiTheme="minorHAnsi" w:cstheme="minorHAnsi"/>
        </w:rPr>
        <w:t xml:space="preserve">It as a consequence assumes that </w:t>
      </w:r>
      <w:r w:rsidRPr="00E36C5D">
        <w:rPr>
          <w:rStyle w:val="StyleUnderline"/>
          <w:rFonts w:asciiTheme="minorHAnsi" w:hAnsiTheme="minorHAnsi" w:cstheme="minorHAnsi"/>
          <w:highlight w:val="cyan"/>
        </w:rPr>
        <w:t>nonwhites bodies are restricted from the political space, “being judged incapable of forming or</w:t>
      </w:r>
      <w:r w:rsidRPr="00E36C5D">
        <w:rPr>
          <w:rStyle w:val="StyleUnderline"/>
          <w:rFonts w:asciiTheme="minorHAnsi" w:hAnsiTheme="minorHAnsi" w:cstheme="minorHAnsi"/>
        </w:rPr>
        <w:t xml:space="preserve"> fully </w:t>
      </w:r>
      <w:r w:rsidRPr="00E36C5D">
        <w:rPr>
          <w:rStyle w:val="StyleUnderline"/>
          <w:rFonts w:asciiTheme="minorHAnsi" w:hAnsiTheme="minorHAnsi" w:cstheme="minorHAnsi"/>
          <w:highlight w:val="cyan"/>
        </w:rPr>
        <w:t>entering into a body politic.”</w:t>
      </w:r>
      <w:r w:rsidRPr="00E36C5D">
        <w:rPr>
          <w:rFonts w:asciiTheme="minorHAnsi" w:hAnsiTheme="minorHAnsi" w:cstheme="minorHAnsi"/>
          <w:sz w:val="16"/>
        </w:rPr>
        <w:t xml:space="preserve">47 As Mills notes, this idea of inability to form or enter the political can be traced back to Aristotle and the stark division between Greek and non-Greeks, for whom the latter were inherently or natural slaves. </w:t>
      </w:r>
      <w:r w:rsidRPr="00E36C5D">
        <w:rPr>
          <w:rStyle w:val="Emphasis"/>
          <w:rFonts w:asciiTheme="minorHAnsi" w:hAnsiTheme="minorHAnsi" w:cstheme="minorHAnsi"/>
        </w:rPr>
        <w:t xml:space="preserve">It comes then to structure an entire edifice of thought with respect to the Native Americans in the New World or to Africans, for whom the </w:t>
      </w:r>
      <w:r w:rsidRPr="00E36C5D">
        <w:rPr>
          <w:rStyle w:val="Emphasis"/>
          <w:rFonts w:asciiTheme="minorHAnsi" w:hAnsiTheme="minorHAnsi" w:cstheme="minorHAnsi"/>
          <w:highlight w:val="cyan"/>
        </w:rPr>
        <w:t>“Racial Contract establishes a fundamental partition in the social ontology of the planet”</w:t>
      </w:r>
      <w:r w:rsidRPr="00E36C5D">
        <w:rPr>
          <w:rFonts w:asciiTheme="minorHAnsi" w:hAnsiTheme="minorHAnsi" w:cstheme="minorHAnsi"/>
          <w:sz w:val="16"/>
        </w:rPr>
        <w:t xml:space="preserve"> and thus relegates them to being “Untermenschen.”48 The racial contract, moreover, implicates the development of a European order of states. </w:t>
      </w:r>
      <w:r w:rsidRPr="00E36C5D">
        <w:rPr>
          <w:rStyle w:val="Emphasis"/>
          <w:rFonts w:asciiTheme="minorHAnsi" w:hAnsiTheme="minorHAnsi" w:cstheme="minorHAnsi"/>
          <w:highlight w:val="cyan"/>
        </w:rPr>
        <w:t>The field of international relations</w:t>
      </w:r>
      <w:r w:rsidRPr="00E36C5D">
        <w:rPr>
          <w:rFonts w:asciiTheme="minorHAnsi" w:hAnsiTheme="minorHAnsi" w:cstheme="minorHAnsi"/>
          <w:sz w:val="16"/>
        </w:rPr>
        <w:t xml:space="preserve">, which largely </w:t>
      </w:r>
      <w:r w:rsidRPr="00E36C5D">
        <w:rPr>
          <w:rStyle w:val="Emphasis"/>
          <w:rFonts w:asciiTheme="minorHAnsi" w:hAnsiTheme="minorHAnsi" w:cstheme="minorHAnsi"/>
        </w:rPr>
        <w:t>takes for granted the universalizable moment of the state system, reflected this racial contract</w:t>
      </w:r>
      <w:r w:rsidRPr="00E36C5D">
        <w:rPr>
          <w:rFonts w:asciiTheme="minorHAnsi" w:hAnsiTheme="minorHAnsi" w:cstheme="minorHAnsi"/>
          <w:sz w:val="16"/>
        </w:rPr>
        <w:t xml:space="preserve">.49 </w:t>
      </w:r>
      <w:r w:rsidRPr="00E36C5D">
        <w:rPr>
          <w:rStyle w:val="Emphasis"/>
          <w:rFonts w:asciiTheme="minorHAnsi" w:hAnsiTheme="minorHAnsi" w:cstheme="minorHAnsi"/>
        </w:rPr>
        <w:t>The intelligibility of the European order</w:t>
      </w:r>
      <w:r w:rsidRPr="00E36C5D">
        <w:rPr>
          <w:rFonts w:asciiTheme="minorHAnsi" w:hAnsiTheme="minorHAnsi" w:cstheme="minorHAnsi"/>
          <w:sz w:val="16"/>
        </w:rPr>
        <w:t xml:space="preserve">, as a society or community of sovereigns bound by a common set of rules limiting violence, </w:t>
      </w:r>
      <w:r w:rsidRPr="00E36C5D">
        <w:rPr>
          <w:rStyle w:val="Emphasis"/>
          <w:rFonts w:asciiTheme="minorHAnsi" w:hAnsiTheme="minorHAnsi" w:cstheme="minorHAnsi"/>
          <w:highlight w:val="cyan"/>
        </w:rPr>
        <w:t>was predicated on the exclusion of non-Europeans from such an order</w:t>
      </w:r>
      <w:r w:rsidRPr="00E36C5D">
        <w:rPr>
          <w:rStyle w:val="Emphasis"/>
          <w:rFonts w:asciiTheme="minorHAnsi" w:hAnsiTheme="minorHAnsi" w:cstheme="minorHAnsi"/>
        </w:rPr>
        <w:t>, all the while including them through violent expropriation and domination.</w:t>
      </w:r>
    </w:p>
    <w:p w14:paraId="6EBE9D48" w14:textId="77777777" w:rsidR="009E3DAF" w:rsidRPr="00E36C5D" w:rsidRDefault="009E3DAF" w:rsidP="009E3DAF">
      <w:pPr>
        <w:contextualSpacing/>
        <w:rPr>
          <w:rFonts w:asciiTheme="minorHAnsi" w:hAnsiTheme="minorHAnsi" w:cstheme="minorHAnsi"/>
          <w:sz w:val="16"/>
          <w:szCs w:val="16"/>
        </w:rPr>
      </w:pPr>
      <w:r w:rsidRPr="00E36C5D">
        <w:rPr>
          <w:rFonts w:asciiTheme="minorHAnsi" w:hAnsiTheme="minorHAnsi" w:cstheme="minorHAnsi"/>
          <w:sz w:val="16"/>
          <w:szCs w:val="16"/>
        </w:rPr>
        <w:t>While the racial contract provides the theoretical or conceptual basis for understanding how domestic and international politics remains constituted on the basis of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21A4D648" w14:textId="77777777" w:rsidR="009E3DAF" w:rsidRPr="00E36C5D" w:rsidRDefault="009E3DAF" w:rsidP="009E3DAF">
      <w:pPr>
        <w:contextualSpacing/>
        <w:rPr>
          <w:rFonts w:asciiTheme="minorHAnsi" w:hAnsiTheme="minorHAnsi" w:cstheme="minorHAnsi"/>
          <w:sz w:val="16"/>
        </w:rPr>
      </w:pPr>
      <w:r w:rsidRPr="00E36C5D">
        <w:rPr>
          <w:rFonts w:asciiTheme="minorHAnsi" w:hAnsiTheme="minorHAnsi" w:cstheme="minorHAnsi"/>
          <w:sz w:val="16"/>
        </w:rPr>
        <w:t xml:space="preserve">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Meiches argues that </w:t>
      </w:r>
      <w:r w:rsidRPr="00E36C5D">
        <w:rPr>
          <w:rStyle w:val="Emphasis"/>
          <w:rFonts w:asciiTheme="minorHAnsi" w:hAnsiTheme="minorHAnsi" w:cstheme="minorHAnsi"/>
          <w:highlight w:val="cyan"/>
        </w:rPr>
        <w:t xml:space="preserve">genocidal “destructive processes exhibit ontological features of plasticity insofar as they form, reform and transform themselves </w:t>
      </w:r>
      <w:r w:rsidRPr="00E36C5D">
        <w:rPr>
          <w:rStyle w:val="Emphasis"/>
          <w:rFonts w:asciiTheme="minorHAnsi" w:hAnsiTheme="minorHAnsi" w:cstheme="minorHAnsi"/>
        </w:rPr>
        <w:t>and others in the process of unfolding.”</w:t>
      </w:r>
      <w:r w:rsidRPr="00E36C5D">
        <w:rPr>
          <w:rFonts w:asciiTheme="minorHAnsi" w:hAnsiTheme="minorHAnsi" w:cstheme="minorHAnsi"/>
          <w:sz w:val="16"/>
        </w:rPr>
        <w:t xml:space="preserve">55 </w:t>
      </w:r>
      <w:r w:rsidRPr="00E36C5D">
        <w:rPr>
          <w:rStyle w:val="Emphasis"/>
          <w:rFonts w:asciiTheme="minorHAnsi" w:hAnsiTheme="minorHAnsi" w:cstheme="minorHAnsi"/>
        </w:rPr>
        <w:t>Thinking in terms of an ontology of plasticity reveals instead that “destructive processes . . . become horrifyingly creative or productive.”</w:t>
      </w:r>
      <w:r w:rsidRPr="00E36C5D">
        <w:rPr>
          <w:rFonts w:asciiTheme="minorHAnsi" w:hAnsiTheme="minorHAnsi" w:cstheme="minorHAnsi"/>
          <w:sz w:val="16"/>
        </w:rPr>
        <w:t xml:space="preserve"> And as Meiches continues, </w:t>
      </w:r>
      <w:r w:rsidRPr="00E36C5D">
        <w:rPr>
          <w:rStyle w:val="Emphasis"/>
          <w:rFonts w:asciiTheme="minorHAnsi" w:hAnsiTheme="minorHAnsi" w:cstheme="minorHAnsi"/>
        </w:rPr>
        <w:t>“</w:t>
      </w:r>
      <w:r w:rsidRPr="00E36C5D">
        <w:rPr>
          <w:rStyle w:val="Emphasis"/>
          <w:rFonts w:asciiTheme="minorHAnsi" w:hAnsiTheme="minorHAnsi" w:cstheme="minorHAnsi"/>
          <w:highlight w:val="cyan"/>
        </w:rPr>
        <w:t>These transformations . . . invent new scales, intensities, and forms of violence that develop in unforeseeable ways, a mutation of violence that does not obey a taxonomy of different stages or levels</w:t>
      </w:r>
      <w:r w:rsidRPr="00E36C5D">
        <w:rPr>
          <w:rStyle w:val="Emphasis"/>
          <w:rFonts w:asciiTheme="minorHAnsi" w:hAnsiTheme="minorHAnsi" w:cstheme="minorHAnsi"/>
        </w:rPr>
        <w:t>, but that would emerge as the capacity for relations of violence to undergo self-reformation and transformation.”</w:t>
      </w:r>
      <w:r w:rsidRPr="00E36C5D">
        <w:rPr>
          <w:rFonts w:asciiTheme="minorHAnsi" w:hAnsiTheme="minorHAnsi" w:cstheme="minorHAnsi"/>
          <w:sz w:val="16"/>
        </w:rPr>
        <w:t>56 Such an ontology would consider the various historical moments that congealed the global as racial hierarchy to continue to contribute to the “self-reformation and transformation” of racialized violence as necessarily constitutive of the global racial imaginary. Put differently</w:t>
      </w:r>
      <w:r w:rsidRPr="00E36C5D">
        <w:rPr>
          <w:rFonts w:asciiTheme="minorHAnsi" w:hAnsiTheme="minorHAnsi" w:cstheme="minorHAnsi"/>
          <w:sz w:val="16"/>
          <w:highlight w:val="cyan"/>
        </w:rPr>
        <w:t xml:space="preserve">, </w:t>
      </w:r>
      <w:r w:rsidRPr="00E36C5D">
        <w:rPr>
          <w:rStyle w:val="Emphasis"/>
          <w:rFonts w:asciiTheme="minorHAnsi" w:hAnsiTheme="minorHAnsi" w:cstheme="minorHAnsi"/>
          <w:highlight w:val="cyan"/>
        </w:rPr>
        <w:t>the “genocidal usurpation of subjectivity” is</w:t>
      </w:r>
      <w:r w:rsidRPr="00E36C5D">
        <w:rPr>
          <w:rStyle w:val="Emphasis"/>
          <w:rFonts w:asciiTheme="minorHAnsi" w:hAnsiTheme="minorHAnsi" w:cstheme="minorHAnsi"/>
        </w:rPr>
        <w:t xml:space="preserve"> </w:t>
      </w:r>
      <w:r w:rsidRPr="00E36C5D">
        <w:rPr>
          <w:rFonts w:asciiTheme="minorHAnsi" w:hAnsiTheme="minorHAnsi" w:cstheme="minorHAnsi"/>
          <w:sz w:val="16"/>
        </w:rPr>
        <w:t>always historically</w:t>
      </w:r>
      <w:r w:rsidRPr="00E36C5D">
        <w:rPr>
          <w:rStyle w:val="Emphasis"/>
          <w:rFonts w:asciiTheme="minorHAnsi" w:hAnsiTheme="minorHAnsi" w:cstheme="minorHAnsi"/>
        </w:rPr>
        <w:t xml:space="preserve"> </w:t>
      </w:r>
      <w:r w:rsidRPr="00E36C5D">
        <w:rPr>
          <w:rStyle w:val="Emphasis"/>
          <w:rFonts w:asciiTheme="minorHAnsi" w:hAnsiTheme="minorHAnsi" w:cstheme="minorHAnsi"/>
          <w:highlight w:val="cyan"/>
        </w:rPr>
        <w:t>co-constitutive with the “usurpation of cartography or space” that has made up the modern Western settler-colonial project</w:t>
      </w:r>
      <w:r w:rsidRPr="00E36C5D">
        <w:rPr>
          <w:rStyle w:val="Emphasis"/>
          <w:rFonts w:asciiTheme="minorHAnsi" w:hAnsiTheme="minorHAnsi" w:cstheme="minorHAnsi"/>
        </w:rPr>
        <w:t xml:space="preserve"> </w:t>
      </w:r>
      <w:r w:rsidRPr="00E36C5D">
        <w:rPr>
          <w:rFonts w:asciiTheme="minorHAnsi" w:hAnsiTheme="minorHAnsi" w:cstheme="minorHAnsi"/>
          <w:sz w:val="16"/>
        </w:rPr>
        <w:t>over the past four centuries.</w:t>
      </w:r>
    </w:p>
    <w:p w14:paraId="4BBD5D33" w14:textId="77777777" w:rsidR="009E3DAF" w:rsidRPr="00E36C5D" w:rsidRDefault="009E3DAF" w:rsidP="009E3DAF">
      <w:pPr>
        <w:contextualSpacing/>
        <w:rPr>
          <w:rFonts w:asciiTheme="minorHAnsi" w:hAnsiTheme="minorHAnsi" w:cstheme="minorHAnsi"/>
        </w:rPr>
      </w:pPr>
      <w:r w:rsidRPr="00E36C5D">
        <w:rPr>
          <w:rFonts w:asciiTheme="minorHAnsi" w:hAnsiTheme="minorHAnsi" w:cstheme="minorHAnsi"/>
        </w:rPr>
        <w:t>Race War</w:t>
      </w:r>
    </w:p>
    <w:p w14:paraId="3AAD4D96" w14:textId="77777777" w:rsidR="009E3DAF" w:rsidRPr="00E36C5D" w:rsidRDefault="009E3DAF" w:rsidP="009E3DAF">
      <w:pPr>
        <w:contextualSpacing/>
        <w:rPr>
          <w:rFonts w:asciiTheme="minorHAnsi" w:hAnsiTheme="minorHAnsi" w:cstheme="minorHAnsi"/>
          <w:sz w:val="16"/>
        </w:rPr>
      </w:pPr>
      <w:r w:rsidRPr="00E36C5D">
        <w:rPr>
          <w:rStyle w:val="StyleUnderline"/>
          <w:rFonts w:asciiTheme="minorHAnsi" w:hAnsiTheme="minorHAnsi" w:cstheme="minorHAnsi"/>
        </w:rPr>
        <w:t xml:space="preserve">As </w:t>
      </w:r>
      <w:r w:rsidRPr="00E36C5D">
        <w:rPr>
          <w:rFonts w:asciiTheme="minorHAnsi" w:hAnsiTheme="minorHAnsi" w:cstheme="minorHAnsi"/>
          <w:sz w:val="16"/>
        </w:rPr>
        <w:t xml:space="preserve">the European </w:t>
      </w:r>
      <w:r w:rsidRPr="00E36C5D">
        <w:rPr>
          <w:rStyle w:val="StyleUnderline"/>
          <w:rFonts w:asciiTheme="minorHAnsi" w:hAnsiTheme="minorHAnsi" w:cstheme="minorHAnsi"/>
        </w:rPr>
        <w:t>colonial and imperial projects across the planet proceeded</w:t>
      </w:r>
      <w:r w:rsidRPr="00E36C5D">
        <w:rPr>
          <w:rFonts w:asciiTheme="minorHAnsi" w:hAnsiTheme="minorHAnsi" w:cstheme="minorHAnsi"/>
          <w:sz w:val="16"/>
        </w:rPr>
        <w:t xml:space="preserve"> apace, </w:t>
      </w:r>
      <w:r w:rsidRPr="00E36C5D">
        <w:rPr>
          <w:rStyle w:val="StyleUnderline"/>
          <w:rFonts w:asciiTheme="minorHAnsi" w:hAnsiTheme="minorHAnsi" w:cstheme="minorHAnsi"/>
        </w:rPr>
        <w:t>the deployment of racial ideology as an imaginary became increasingly accepted as a natural feature of the social fabric of the global</w:t>
      </w:r>
      <w:r w:rsidRPr="00E36C5D">
        <w:rPr>
          <w:rFonts w:asciiTheme="minorHAnsi" w:hAnsiTheme="minorHAnsi" w:cstheme="minorHAnsi"/>
          <w:sz w:val="16"/>
        </w:rPr>
        <w:t xml:space="preserve">. But what is important to recognize is that the racialization of the global could never be an entirely smooth process. Racialization is always a process of contestation. As Bonilla-Silva writes, “Because races are always in a relation of opposition, </w:t>
      </w:r>
      <w:r w:rsidRPr="00E36C5D">
        <w:rPr>
          <w:rStyle w:val="StyleUnderline"/>
          <w:rFonts w:asciiTheme="minorHAnsi" w:hAnsiTheme="minorHAnsi" w:cstheme="minorHAnsi"/>
        </w:rPr>
        <w:t>racial contestation is the crucial driving force of any racialized social system.”</w:t>
      </w:r>
      <w:r w:rsidRPr="00E36C5D">
        <w:rPr>
          <w:rFonts w:asciiTheme="minorHAnsi" w:hAnsiTheme="minorHAnsi" w:cstheme="minorHAnsi"/>
          <w:sz w:val="16"/>
        </w:rPr>
        <w:t xml:space="preserve">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E36C5D">
        <w:rPr>
          <w:rStyle w:val="StyleUnderline"/>
          <w:rFonts w:asciiTheme="minorHAnsi" w:hAnsiTheme="minorHAnsi" w:cstheme="minorHAnsi"/>
        </w:rPr>
        <w:t>there’s always an inherent instability</w:t>
      </w:r>
      <w:r w:rsidRPr="00E36C5D">
        <w:rPr>
          <w:rFonts w:asciiTheme="minorHAnsi" w:hAnsiTheme="minorHAnsi" w:cstheme="minorHAnsi"/>
          <w:sz w:val="16"/>
        </w:rPr>
        <w:t>—an “ontological shudder,” as Mills calls it—</w:t>
      </w:r>
      <w:r w:rsidRPr="00E36C5D">
        <w:rPr>
          <w:rStyle w:val="StyleUnderline"/>
          <w:rFonts w:asciiTheme="minorHAnsi" w:hAnsiTheme="minorHAnsi" w:cstheme="minorHAnsi"/>
        </w:rPr>
        <w:t>within the global racial imaginary that provokes incessant anxiety and fear that the racial hierarchies are themselves prone to crisis and violent upheaval.</w:t>
      </w:r>
      <w:r w:rsidRPr="00E36C5D">
        <w:rPr>
          <w:rFonts w:asciiTheme="minorHAnsi" w:hAnsiTheme="minorHAnsi" w:cstheme="minorHAnsi"/>
          <w:sz w:val="16"/>
        </w:rPr>
        <w:t xml:space="preserve"> Hence the surfeit of violence comes out of this very instability of a racialized imaginary. </w:t>
      </w:r>
      <w:r w:rsidRPr="00E36C5D">
        <w:rPr>
          <w:rStyle w:val="Emphasis"/>
          <w:rFonts w:asciiTheme="minorHAnsi" w:hAnsiTheme="minorHAnsi" w:cstheme="minorHAnsi"/>
        </w:rPr>
        <w:t xml:space="preserve">Any </w:t>
      </w:r>
      <w:r w:rsidRPr="00E36C5D">
        <w:rPr>
          <w:rStyle w:val="Emphasis"/>
          <w:rFonts w:asciiTheme="minorHAnsi" w:hAnsiTheme="minorHAnsi" w:cstheme="minorHAnsi"/>
          <w:highlight w:val="cyan"/>
        </w:rPr>
        <w:t>crisis or calling into question of white supremacy</w:t>
      </w:r>
      <w:r w:rsidRPr="00E36C5D">
        <w:rPr>
          <w:rFonts w:asciiTheme="minorHAnsi" w:hAnsiTheme="minorHAnsi" w:cstheme="minorHAnsi"/>
          <w:sz w:val="16"/>
        </w:rPr>
        <w:t xml:space="preserve">, then, </w:t>
      </w:r>
      <w:r w:rsidRPr="00E36C5D">
        <w:rPr>
          <w:rStyle w:val="Emphasis"/>
          <w:rFonts w:asciiTheme="minorHAnsi" w:hAnsiTheme="minorHAnsi" w:cstheme="minorHAnsi"/>
          <w:highlight w:val="cyan"/>
        </w:rPr>
        <w:t>is met with extraordinary</w:t>
      </w:r>
      <w:r w:rsidRPr="00E36C5D">
        <w:rPr>
          <w:rStyle w:val="Emphasis"/>
          <w:rFonts w:asciiTheme="minorHAnsi" w:hAnsiTheme="minorHAnsi" w:cstheme="minorHAnsi"/>
        </w:rPr>
        <w:t xml:space="preserve"> and creative </w:t>
      </w:r>
      <w:r w:rsidRPr="00E36C5D">
        <w:rPr>
          <w:rStyle w:val="Emphasis"/>
          <w:rFonts w:asciiTheme="minorHAnsi" w:hAnsiTheme="minorHAnsi" w:cstheme="minorHAnsi"/>
          <w:highlight w:val="cyan"/>
        </w:rPr>
        <w:t>violence unrestrained by the very rules that make up a common political world</w:t>
      </w:r>
      <w:r w:rsidRPr="00E36C5D">
        <w:rPr>
          <w:rStyle w:val="Emphasis"/>
          <w:rFonts w:asciiTheme="minorHAnsi" w:hAnsiTheme="minorHAnsi" w:cstheme="minorHAnsi"/>
        </w:rPr>
        <w:t>.</w:t>
      </w:r>
      <w:r w:rsidRPr="00E36C5D">
        <w:rPr>
          <w:rFonts w:asciiTheme="minorHAnsi" w:hAnsiTheme="minorHAnsi" w:cstheme="minorHAnsi"/>
          <w:sz w:val="16"/>
        </w:rPr>
        <w:t xml:space="preserve"> As I discuss in Chapter 1, the Haitian Revolution was such an event. Faced with a slave insurrection, the French imagine that their only response is the extermination of the Black population and its replacement with new slaves. Such </w:t>
      </w:r>
      <w:r w:rsidRPr="00E36C5D">
        <w:rPr>
          <w:rStyle w:val="Emphasis"/>
          <w:rFonts w:asciiTheme="minorHAnsi" w:hAnsiTheme="minorHAnsi" w:cstheme="minorHAnsi"/>
          <w:highlight w:val="cyan"/>
        </w:rPr>
        <w:t>fantasies and fears of racial annihilation</w:t>
      </w:r>
      <w:r w:rsidRPr="00E36C5D">
        <w:rPr>
          <w:rFonts w:asciiTheme="minorHAnsi" w:hAnsiTheme="minorHAnsi" w:cstheme="minorHAnsi"/>
          <w:sz w:val="16"/>
        </w:rPr>
        <w:t xml:space="preserve"> that the revolution embodied —especially in the aftermath of the liquidation of the white population by Dessalines in 1804—</w:t>
      </w:r>
      <w:r w:rsidRPr="00E36C5D">
        <w:rPr>
          <w:rStyle w:val="Emphasis"/>
          <w:rFonts w:asciiTheme="minorHAnsi" w:hAnsiTheme="minorHAnsi" w:cstheme="minorHAnsi"/>
          <w:highlight w:val="cyan"/>
        </w:rPr>
        <w:t>represented the credible vision of what happens to a racially mixed society when white supremacy is undermined.</w:t>
      </w:r>
      <w:r w:rsidRPr="00E36C5D">
        <w:rPr>
          <w:rFonts w:asciiTheme="minorHAnsi" w:hAnsiTheme="minorHAnsi" w:cstheme="minorHAnsi"/>
          <w:sz w:val="16"/>
        </w:rPr>
        <w:t xml:space="preserve"> This fear was particularly prevalent in the early American Republic with its own growing enslaved population. By the early twentieth century (Chapter 4), </w:t>
      </w:r>
      <w:r w:rsidRPr="00E36C5D">
        <w:rPr>
          <w:rStyle w:val="StyleUnderline"/>
          <w:rFonts w:asciiTheme="minorHAnsi" w:hAnsiTheme="minorHAnsi" w:cstheme="minorHAnsi"/>
        </w:rPr>
        <w:t>racial violence and annihilation become the language through which to understand the degeneration of multiethnic empires</w:t>
      </w:r>
      <w:r w:rsidRPr="00E36C5D">
        <w:rPr>
          <w:rFonts w:asciiTheme="minorHAnsi" w:hAnsiTheme="minorHAnsi" w:cstheme="minorHAnsi"/>
          <w:sz w:val="16"/>
        </w:rPr>
        <w:t xml:space="preserve">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25864817" w14:textId="77777777" w:rsidR="009E3DAF" w:rsidRPr="00E36C5D" w:rsidRDefault="009E3DAF" w:rsidP="009E3DAF">
      <w:pPr>
        <w:contextualSpacing/>
        <w:rPr>
          <w:rFonts w:asciiTheme="minorHAnsi" w:hAnsiTheme="minorHAnsi" w:cstheme="minorHAnsi"/>
          <w:sz w:val="16"/>
        </w:rPr>
      </w:pPr>
      <w:r w:rsidRPr="00E36C5D">
        <w:rPr>
          <w:rStyle w:val="Emphasis"/>
          <w:rFonts w:asciiTheme="minorHAnsi" w:hAnsiTheme="minorHAnsi" w:cstheme="minorHAnsi"/>
          <w:highlight w:val="cyan"/>
        </w:rPr>
        <w:t>The violence of racial war is a violence imagined à outrance</w:t>
      </w:r>
      <w:r w:rsidRPr="00E36C5D">
        <w:rPr>
          <w:rStyle w:val="Emphasis"/>
          <w:rFonts w:asciiTheme="minorHAnsi" w:hAnsiTheme="minorHAnsi" w:cstheme="minorHAnsi"/>
        </w:rPr>
        <w:t xml:space="preserve">. It is not subject to the restraints of war politically defined by any sense of mutual recognition. In this sense, </w:t>
      </w:r>
      <w:r w:rsidRPr="00E36C5D">
        <w:rPr>
          <w:rStyle w:val="Emphasis"/>
          <w:rFonts w:asciiTheme="minorHAnsi" w:hAnsiTheme="minorHAnsi" w:cstheme="minorHAnsi"/>
          <w:highlight w:val="cyan"/>
        </w:rPr>
        <w:t>it characterizes the settler-colonial projects on the global periphery.</w:t>
      </w:r>
      <w:r w:rsidRPr="00E36C5D">
        <w:rPr>
          <w:rStyle w:val="Emphasis"/>
          <w:rFonts w:asciiTheme="minorHAnsi" w:hAnsiTheme="minorHAnsi" w:cstheme="minorHAnsi"/>
        </w:rPr>
        <w:t xml:space="preserve"> </w:t>
      </w:r>
      <w:r w:rsidRPr="00E36C5D">
        <w:rPr>
          <w:rFonts w:asciiTheme="minorHAnsi" w:hAnsiTheme="minorHAnsi" w:cstheme="minorHAnsi"/>
          <w:sz w:val="16"/>
        </w:rPr>
        <w:t xml:space="preserve">And yet, in dialectical fashion, </w:t>
      </w:r>
      <w:r w:rsidRPr="00E36C5D">
        <w:rPr>
          <w:rStyle w:val="Emphasis"/>
          <w:rFonts w:asciiTheme="minorHAnsi" w:hAnsiTheme="minorHAnsi" w:cstheme="minorHAnsi"/>
          <w:highlight w:val="cyan"/>
        </w:rPr>
        <w:t>it defines the very parameters of what is supposed to be the political world</w:t>
      </w:r>
      <w:r w:rsidRPr="00E36C5D">
        <w:rPr>
          <w:rStyle w:val="Emphasis"/>
          <w:rFonts w:asciiTheme="minorHAnsi" w:hAnsiTheme="minorHAnsi" w:cstheme="minorHAnsi"/>
        </w:rPr>
        <w:t>.</w:t>
      </w:r>
      <w:r w:rsidRPr="00E36C5D">
        <w:rPr>
          <w:rFonts w:asciiTheme="minorHAnsi" w:hAnsiTheme="minorHAnsi" w:cstheme="minorHAnsi"/>
          <w:sz w:val="16"/>
        </w:rPr>
        <w:t xml:space="preserve">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2B88509B" w14:textId="77777777" w:rsidR="009E3DAF" w:rsidRPr="00E36C5D" w:rsidRDefault="009E3DAF" w:rsidP="009E3DAF">
      <w:pPr>
        <w:ind w:left="720"/>
        <w:contextualSpacing/>
        <w:rPr>
          <w:rFonts w:asciiTheme="minorHAnsi" w:hAnsiTheme="minorHAnsi" w:cstheme="minorHAnsi"/>
          <w:sz w:val="16"/>
          <w:szCs w:val="16"/>
        </w:rPr>
      </w:pPr>
      <w:r w:rsidRPr="00E36C5D">
        <w:rPr>
          <w:rFonts w:asciiTheme="minorHAnsi" w:hAnsiTheme="minorHAnsi" w:cstheme="minorHAnsi"/>
          <w:sz w:val="16"/>
          <w:szCs w:val="16"/>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27891144" w14:textId="77777777" w:rsidR="009E3DAF" w:rsidRPr="00E36C5D" w:rsidRDefault="009E3DAF" w:rsidP="009E3DAF">
      <w:pPr>
        <w:contextualSpacing/>
        <w:rPr>
          <w:rStyle w:val="StyleUnderline"/>
          <w:rFonts w:asciiTheme="minorHAnsi" w:hAnsiTheme="minorHAnsi" w:cstheme="minorHAnsi"/>
        </w:rPr>
      </w:pPr>
      <w:r w:rsidRPr="00E36C5D">
        <w:rPr>
          <w:rFonts w:asciiTheme="minorHAnsi" w:hAnsiTheme="minorHAnsi" w:cstheme="minorHAnsi"/>
          <w:sz w:val="16"/>
        </w:rPr>
        <w:t xml:space="preserve">The passage is, first of all, an illustration of what Mills refers to as an “epistemology of ignorance” in which misrepresentation aids in the project of empire and the legitimacy and maintenance of racial hierarchies.59 Of course, it bears little or almost no resemblance to what precolonial India actually was. However, it conveys to the reader 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From Huntington’s “clash of civilizations” to so-called theories of population replacement, or the “Great Replacement,” at the beginning of the twenty-first century, </w:t>
      </w:r>
      <w:r w:rsidRPr="00E36C5D">
        <w:rPr>
          <w:rStyle w:val="StyleUnderline"/>
          <w:rFonts w:asciiTheme="minorHAnsi" w:hAnsiTheme="minorHAnsi" w:cstheme="minorHAnsi"/>
        </w:rPr>
        <w:t>there is this unremitting assumption that Western civilization is always threatened by an encroaching racialized other.</w:t>
      </w:r>
    </w:p>
    <w:p w14:paraId="50683811" w14:textId="77777777" w:rsidR="009E3DAF" w:rsidRPr="00E36C5D" w:rsidRDefault="009E3DAF" w:rsidP="009E3DAF">
      <w:pPr>
        <w:contextualSpacing/>
        <w:rPr>
          <w:rFonts w:asciiTheme="minorHAnsi" w:hAnsiTheme="minorHAnsi" w:cstheme="minorHAnsi"/>
          <w:sz w:val="16"/>
        </w:rPr>
      </w:pPr>
      <w:r w:rsidRPr="00E36C5D">
        <w:rPr>
          <w:rFonts w:asciiTheme="minorHAnsi" w:hAnsiTheme="minorHAnsi" w:cstheme="minorHAnsi"/>
          <w:sz w:val="16"/>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t>
      </w:r>
      <w:r w:rsidRPr="00E36C5D">
        <w:rPr>
          <w:rStyle w:val="StyleUnderline"/>
          <w:rFonts w:asciiTheme="minorHAnsi" w:hAnsiTheme="minorHAnsi" w:cstheme="minorHAnsi"/>
          <w:highlight w:val="cyan"/>
        </w:rPr>
        <w:t>When the ontological and normative commitments to the global racial imaginary appear to be called into question</w:t>
      </w:r>
      <w:r w:rsidRPr="00E36C5D">
        <w:rPr>
          <w:rStyle w:val="StyleUnderline"/>
          <w:rFonts w:asciiTheme="minorHAnsi" w:hAnsiTheme="minorHAnsi" w:cstheme="minorHAnsi"/>
        </w:rPr>
        <w:t>—through a world in which non-Western powers assert themselves to reshape global order, or through fears of immigration into Western polities from the global South</w:t>
      </w:r>
      <w:r w:rsidRPr="00E36C5D">
        <w:rPr>
          <w:rFonts w:asciiTheme="minorHAnsi" w:hAnsiTheme="minorHAnsi" w:cstheme="minorHAnsi"/>
          <w:sz w:val="16"/>
        </w:rPr>
        <w:t xml:space="preserve">—what Mbembe calls </w:t>
      </w:r>
      <w:r w:rsidRPr="00E36C5D">
        <w:rPr>
          <w:rStyle w:val="Emphasis"/>
          <w:rFonts w:asciiTheme="minorHAnsi" w:hAnsiTheme="minorHAnsi" w:cstheme="minorHAnsi"/>
          <w:highlight w:val="cyan"/>
        </w:rPr>
        <w:t>a “fantasy of annihilation” is resurrected. “This fantasy,</w:t>
      </w:r>
      <w:r w:rsidRPr="00E36C5D">
        <w:rPr>
          <w:rStyle w:val="Emphasis"/>
          <w:rFonts w:asciiTheme="minorHAnsi" w:hAnsiTheme="minorHAnsi" w:cstheme="minorHAnsi"/>
        </w:rPr>
        <w:t>”</w:t>
      </w:r>
      <w:r w:rsidRPr="00E36C5D">
        <w:rPr>
          <w:rFonts w:asciiTheme="minorHAnsi" w:hAnsiTheme="minorHAnsi" w:cstheme="minorHAnsi"/>
          <w:sz w:val="16"/>
        </w:rPr>
        <w:t xml:space="preserve"> Mbembe writes, </w:t>
      </w:r>
      <w:r w:rsidRPr="00E36C5D">
        <w:rPr>
          <w:rStyle w:val="Emphasis"/>
          <w:rFonts w:asciiTheme="minorHAnsi" w:hAnsiTheme="minorHAnsi" w:cstheme="minorHAnsi"/>
          <w:highlight w:val="cyan"/>
        </w:rPr>
        <w:t>“is present in every context in which social forces tend to conceive the political as a struggle to the death against unconditional enemies.</w:t>
      </w:r>
      <w:r w:rsidRPr="00E36C5D">
        <w:rPr>
          <w:rFonts w:asciiTheme="minorHAnsi" w:hAnsiTheme="minorHAnsi" w:cstheme="minorHAnsi"/>
          <w:sz w:val="16"/>
          <w:highlight w:val="cyan"/>
        </w:rPr>
        <w:t xml:space="preserve"> </w:t>
      </w:r>
      <w:r w:rsidRPr="00E36C5D">
        <w:rPr>
          <w:rStyle w:val="Emphasis"/>
          <w:rFonts w:asciiTheme="minorHAnsi" w:hAnsiTheme="minorHAnsi" w:cstheme="minorHAnsi"/>
          <w:highlight w:val="cyan"/>
        </w:rPr>
        <w:t xml:space="preserve">Such struggle is </w:t>
      </w:r>
      <w:r w:rsidRPr="00E36C5D">
        <w:rPr>
          <w:rStyle w:val="Emphasis"/>
          <w:rFonts w:asciiTheme="minorHAnsi" w:hAnsiTheme="minorHAnsi" w:cstheme="minorHAnsi"/>
        </w:rPr>
        <w:t xml:space="preserve">then </w:t>
      </w:r>
      <w:r w:rsidRPr="00E36C5D">
        <w:rPr>
          <w:rStyle w:val="Emphasis"/>
          <w:rFonts w:asciiTheme="minorHAnsi" w:hAnsiTheme="minorHAnsi" w:cstheme="minorHAnsi"/>
          <w:highlight w:val="cyan"/>
        </w:rPr>
        <w:t>qualified as existential.</w:t>
      </w:r>
      <w:r w:rsidRPr="00E36C5D">
        <w:rPr>
          <w:rFonts w:asciiTheme="minorHAnsi" w:hAnsiTheme="minorHAnsi" w:cstheme="minorHAnsi"/>
          <w:sz w:val="16"/>
        </w:rPr>
        <w:t xml:space="preserve"> It is a struggle with no possibility of mutual recognition, and even less of reconciliation.”65 </w:t>
      </w:r>
      <w:r w:rsidRPr="00E36C5D">
        <w:rPr>
          <w:rStyle w:val="Emphasis"/>
          <w:rFonts w:asciiTheme="minorHAnsi" w:hAnsiTheme="minorHAnsi" w:cstheme="minorHAnsi"/>
          <w:highlight w:val="cyan"/>
        </w:rPr>
        <w:t>Race war is the outcome</w:t>
      </w:r>
      <w:r w:rsidRPr="00E36C5D">
        <w:rPr>
          <w:rFonts w:asciiTheme="minorHAnsi" w:hAnsiTheme="minorHAnsi" w:cstheme="minorHAnsi"/>
          <w:sz w:val="16"/>
        </w:rPr>
        <w:t xml:space="preserve">, for Mbembe, </w:t>
      </w:r>
      <w:r w:rsidRPr="00E36C5D">
        <w:rPr>
          <w:rStyle w:val="Emphasis"/>
          <w:rFonts w:asciiTheme="minorHAnsi" w:hAnsiTheme="minorHAnsi" w:cstheme="minorHAnsi"/>
        </w:rPr>
        <w:t>of a metaphysics of Western universality unable to think “through its own finitude.”</w:t>
      </w:r>
      <w:r w:rsidRPr="00E36C5D">
        <w:rPr>
          <w:rFonts w:asciiTheme="minorHAnsi" w:hAnsiTheme="minorHAnsi" w:cstheme="minorHAnsi"/>
          <w:sz w:val="16"/>
        </w:rPr>
        <w:t xml:space="preserve">66 In other words, </w:t>
      </w:r>
      <w:r w:rsidRPr="00E36C5D">
        <w:rPr>
          <w:rStyle w:val="Emphasis"/>
          <w:rFonts w:asciiTheme="minorHAnsi" w:hAnsiTheme="minorHAnsi" w:cstheme="minorHAnsi"/>
        </w:rPr>
        <w:t>it is easier to imagine the end of the world</w:t>
      </w:r>
      <w:r w:rsidRPr="00E36C5D">
        <w:rPr>
          <w:rFonts w:asciiTheme="minorHAnsi" w:hAnsiTheme="minorHAnsi" w:cstheme="minorHAnsi"/>
          <w:sz w:val="16"/>
        </w:rPr>
        <w:t xml:space="preserve">, a “purification by fire,” as Mbembe puts it, </w:t>
      </w:r>
      <w:r w:rsidRPr="00E36C5D">
        <w:rPr>
          <w:rStyle w:val="Emphasis"/>
          <w:rFonts w:asciiTheme="minorHAnsi" w:hAnsiTheme="minorHAnsi" w:cstheme="minorHAnsi"/>
        </w:rPr>
        <w:t>than to share it with others.</w:t>
      </w:r>
      <w:r w:rsidRPr="00E36C5D">
        <w:rPr>
          <w:rFonts w:asciiTheme="minorHAnsi" w:hAnsiTheme="minorHAnsi" w:cstheme="minorHAnsi"/>
          <w:sz w:val="16"/>
        </w:rPr>
        <w:t>67</w:t>
      </w:r>
    </w:p>
    <w:p w14:paraId="493BC043" w14:textId="77777777" w:rsidR="009E3DAF" w:rsidRPr="00E36C5D" w:rsidRDefault="009E3DAF" w:rsidP="009E3DAF">
      <w:pPr>
        <w:pStyle w:val="Heading4"/>
        <w:rPr>
          <w:iCs w:val="0"/>
        </w:rPr>
      </w:pPr>
      <w:r>
        <w:rPr>
          <w:iCs w:val="0"/>
        </w:rPr>
        <w:t xml:space="preserve">You </w:t>
      </w:r>
      <w:r w:rsidRPr="00E36C5D">
        <w:rPr>
          <w:iCs w:val="0"/>
        </w:rPr>
        <w:t>should be skeptical of their evidence</w:t>
      </w:r>
      <w:r>
        <w:rPr>
          <w:iCs w:val="0"/>
        </w:rPr>
        <w:t>---</w:t>
      </w:r>
      <w:r w:rsidRPr="00E36C5D">
        <w:rPr>
          <w:iCs w:val="0"/>
        </w:rPr>
        <w:t xml:space="preserve">their research model proscribes a violent model that privileges </w:t>
      </w:r>
      <w:r w:rsidRPr="00E36C5D">
        <w:rPr>
          <w:iCs w:val="0"/>
          <w:u w:val="single"/>
        </w:rPr>
        <w:t xml:space="preserve">Western research </w:t>
      </w:r>
      <w:r w:rsidRPr="00E36C5D">
        <w:rPr>
          <w:iCs w:val="0"/>
        </w:rPr>
        <w:t xml:space="preserve">practices. </w:t>
      </w:r>
    </w:p>
    <w:p w14:paraId="144BAD40" w14:textId="77777777" w:rsidR="009E3DAF" w:rsidRPr="00E36C5D" w:rsidRDefault="009E3DAF" w:rsidP="009E3DAF">
      <w:pPr>
        <w:contextualSpacing/>
        <w:rPr>
          <w:b/>
          <w:bCs/>
          <w:sz w:val="26"/>
        </w:rPr>
      </w:pPr>
      <w:r w:rsidRPr="00E36C5D">
        <w:rPr>
          <w:rStyle w:val="Style13ptBold"/>
        </w:rPr>
        <w:t>Barkin and Sjoberg 21</w:t>
      </w:r>
      <w:r w:rsidRPr="00E36C5D">
        <w:t xml:space="preserve"> </w:t>
      </w:r>
      <w:r w:rsidRPr="00E36C5D">
        <w:rPr>
          <w:sz w:val="16"/>
          <w:szCs w:val="16"/>
        </w:rPr>
        <w:t>– *J. Samuel, Associate Professor in the Department of Conflict Resolution, Human Security, and Global Governance in the McCormack Graduate School of Policy and Global Studies at the University of Massachusetts Boston, PhD in IR at Columbia University, **Laura, British Academy Global Professor of Politics and International Relations at Royal Holloway University of London, Professor of Political Science at the University of Florida, Ph.D., University of Southern California School of International Relations; J.D. Boston College Law School [J. Samuel and Laura, “The Queer Art of Failed IR?,” Alternatives: Global, Local, Political, 2021, Vol. 0(0) 1–17, DOI: 10.1177/0304375421989572,]</w:t>
      </w:r>
      <w:r w:rsidRPr="00E36C5D">
        <w:rPr>
          <w:sz w:val="24"/>
        </w:rPr>
        <w:t xml:space="preserve"> </w:t>
      </w:r>
    </w:p>
    <w:p w14:paraId="36421ABC" w14:textId="77777777" w:rsidR="009E3DAF" w:rsidRPr="00E36C5D" w:rsidRDefault="009E3DAF" w:rsidP="009E3DAF">
      <w:pPr>
        <w:contextualSpacing/>
        <w:rPr>
          <w:rStyle w:val="StyleUnderline"/>
        </w:rPr>
      </w:pPr>
      <w:r w:rsidRPr="00E36C5D">
        <w:rPr>
          <w:sz w:val="16"/>
        </w:rPr>
        <w:t xml:space="preserve">We argue that </w:t>
      </w:r>
      <w:r w:rsidRPr="00E36C5D">
        <w:rPr>
          <w:rStyle w:val="Emphasis"/>
          <w:highlight w:val="cyan"/>
        </w:rPr>
        <w:t>knowledge</w:t>
      </w:r>
      <w:r w:rsidRPr="00E36C5D">
        <w:rPr>
          <w:rStyle w:val="Emphasis"/>
        </w:rPr>
        <w:t xml:space="preserve"> cumulation </w:t>
      </w:r>
      <w:r w:rsidRPr="00E36C5D">
        <w:rPr>
          <w:rStyle w:val="Emphasis"/>
          <w:highlight w:val="cyan"/>
        </w:rPr>
        <w:t>in IR is a fantasy reified by</w:t>
      </w:r>
      <w:r w:rsidRPr="00E36C5D">
        <w:rPr>
          <w:rStyle w:val="Emphasis"/>
        </w:rPr>
        <w:t xml:space="preserve"> paradigmatic clusters and the </w:t>
      </w:r>
      <w:r w:rsidRPr="00E36C5D">
        <w:rPr>
          <w:rStyle w:val="Emphasis"/>
          <w:highlight w:val="cyan"/>
        </w:rPr>
        <w:t>mimicry of research standards</w:t>
      </w:r>
      <w:r w:rsidRPr="00E36C5D">
        <w:rPr>
          <w:sz w:val="16"/>
        </w:rPr>
        <w:t xml:space="preserve"> and practices </w:t>
      </w:r>
      <w:r w:rsidRPr="00E36C5D">
        <w:rPr>
          <w:rStyle w:val="Emphasis"/>
        </w:rPr>
        <w:t>in the natural sciences</w:t>
      </w:r>
      <w:r w:rsidRPr="00E36C5D">
        <w:rPr>
          <w:sz w:val="16"/>
        </w:rPr>
        <w:t xml:space="preserve"> (e.g., Elman &amp; Elman, 2001, 2003). The </w:t>
      </w:r>
      <w:r w:rsidRPr="00E36C5D">
        <w:rPr>
          <w:rStyle w:val="Emphasis"/>
          <w:highlight w:val="cyan"/>
        </w:rPr>
        <w:t>“evidence”</w:t>
      </w:r>
      <w:r w:rsidRPr="00E36C5D">
        <w:rPr>
          <w:sz w:val="16"/>
        </w:rPr>
        <w:t xml:space="preserve"> of “knowledge cumulation” </w:t>
      </w:r>
      <w:r w:rsidRPr="00E36C5D">
        <w:rPr>
          <w:rStyle w:val="StyleUnderline"/>
        </w:rPr>
        <w:t xml:space="preserve">in IR </w:t>
      </w:r>
      <w:r w:rsidRPr="00E36C5D">
        <w:rPr>
          <w:rStyle w:val="StyleUnderline"/>
          <w:highlight w:val="cyan"/>
        </w:rPr>
        <w:t>comes</w:t>
      </w:r>
      <w:r w:rsidRPr="00E36C5D">
        <w:rPr>
          <w:rStyle w:val="StyleUnderline"/>
        </w:rPr>
        <w:t xml:space="preserve"> as much </w:t>
      </w:r>
      <w:r w:rsidRPr="00E36C5D">
        <w:rPr>
          <w:rStyle w:val="StyleUnderline"/>
          <w:highlight w:val="cyan"/>
        </w:rPr>
        <w:t>from</w:t>
      </w:r>
      <w:r w:rsidRPr="00E36C5D">
        <w:rPr>
          <w:rStyle w:val="StyleUnderline"/>
        </w:rPr>
        <w:t xml:space="preserve"> the </w:t>
      </w:r>
      <w:r w:rsidRPr="00E36C5D">
        <w:rPr>
          <w:rStyle w:val="StyleUnderline"/>
          <w:highlight w:val="cyan"/>
        </w:rPr>
        <w:t>ritualized practice</w:t>
      </w:r>
      <w:r w:rsidRPr="00E36C5D">
        <w:rPr>
          <w:rStyle w:val="StyleUnderline"/>
        </w:rPr>
        <w:t xml:space="preserve"> of research behavior as it does from</w:t>
      </w:r>
      <w:r w:rsidRPr="00E36C5D">
        <w:rPr>
          <w:sz w:val="16"/>
        </w:rPr>
        <w:t xml:space="preserve"> any “true” or </w:t>
      </w:r>
      <w:r w:rsidRPr="00E36C5D">
        <w:rPr>
          <w:rStyle w:val="StyleUnderline"/>
        </w:rPr>
        <w:t>genuine</w:t>
      </w:r>
      <w:r w:rsidRPr="00E36C5D">
        <w:rPr>
          <w:rStyle w:val="Emphasis"/>
        </w:rPr>
        <w:t xml:space="preserve"> </w:t>
      </w:r>
      <w:r w:rsidRPr="00E36C5D">
        <w:rPr>
          <w:sz w:val="16"/>
        </w:rPr>
        <w:t xml:space="preserve">notion of </w:t>
      </w:r>
      <w:r w:rsidRPr="00E36C5D">
        <w:rPr>
          <w:rStyle w:val="StyleUnderline"/>
        </w:rPr>
        <w:t>knowledge cumulation.</w:t>
      </w:r>
      <w:r w:rsidRPr="00E36C5D">
        <w:rPr>
          <w:sz w:val="16"/>
        </w:rPr>
        <w:t xml:space="preserve"> One has “succeeded” in the enterprise of IR by cumulating knowledge, and the work of “successful” scholars is by definition cumulated knowledge. Cumulation of knowledge as a standard of success is a condition of possibility for the desirability of success in the field. </w:t>
      </w:r>
      <w:r w:rsidRPr="00E36C5D">
        <w:rPr>
          <w:rStyle w:val="StyleUnderline"/>
        </w:rPr>
        <w:t>That ritualized practice</w:t>
      </w:r>
      <w:r w:rsidRPr="00E36C5D">
        <w:rPr>
          <w:sz w:val="16"/>
        </w:rPr>
        <w:t xml:space="preserve"> at once</w:t>
      </w:r>
      <w:r w:rsidRPr="00E36C5D">
        <w:rPr>
          <w:rStyle w:val="StyleUnderline"/>
        </w:rPr>
        <w:t xml:space="preserve"> is</w:t>
      </w:r>
      <w:r w:rsidRPr="00E36C5D">
        <w:rPr>
          <w:sz w:val="16"/>
        </w:rPr>
        <w:t xml:space="preserve"> institutionalized as success and institutionalizes the need for research success, </w:t>
      </w:r>
      <w:r w:rsidRPr="00E36C5D">
        <w:rPr>
          <w:rStyle w:val="StyleUnderline"/>
        </w:rPr>
        <w:t>reified and reproduced by hiring, tenure, merit raise, and promotion standards.</w:t>
      </w:r>
    </w:p>
    <w:p w14:paraId="210877C3" w14:textId="77777777" w:rsidR="009E3DAF" w:rsidRPr="00E36C5D" w:rsidRDefault="009E3DAF" w:rsidP="009E3DAF">
      <w:pPr>
        <w:contextualSpacing/>
        <w:rPr>
          <w:sz w:val="16"/>
        </w:rPr>
      </w:pPr>
      <w:r w:rsidRPr="00E36C5D">
        <w:rPr>
          <w:rStyle w:val="StyleUnderline"/>
        </w:rPr>
        <w:t>This ritualization is a signifier that what counts as knowledge in the field</w:t>
      </w:r>
      <w:r w:rsidRPr="00E36C5D">
        <w:rPr>
          <w:sz w:val="16"/>
        </w:rPr>
        <w:t xml:space="preserve">, in particular research programs and more generally, </w:t>
      </w:r>
      <w:r w:rsidRPr="00E36C5D">
        <w:rPr>
          <w:rStyle w:val="Emphasis"/>
        </w:rPr>
        <w:t>is performative</w:t>
      </w:r>
      <w:r w:rsidRPr="00E36C5D">
        <w:rPr>
          <w:sz w:val="16"/>
        </w:rPr>
        <w:t xml:space="preserve"> (Barad, 2007; Butler, 1990; Weber, 1998)—</w:t>
      </w:r>
      <w:r w:rsidRPr="00E36C5D">
        <w:rPr>
          <w:rStyle w:val="StyleUnderline"/>
        </w:rPr>
        <w:t>where standards are set by their utterance and repetition rather than by some external “objective” standards</w:t>
      </w:r>
      <w:r w:rsidRPr="00E36C5D">
        <w:rPr>
          <w:sz w:val="16"/>
        </w:rPr>
        <w:t xml:space="preserve"> of (narrowly) good science or (more broadly) good research (Baudrillard, 1991; Shepherd, 2008; Williams, 2003). </w:t>
      </w:r>
      <w:r w:rsidRPr="00E36C5D">
        <w:rPr>
          <w:rStyle w:val="StyleUnderline"/>
          <w:highlight w:val="cyan"/>
        </w:rPr>
        <w:t>Scholars</w:t>
      </w:r>
      <w:r w:rsidRPr="00E36C5D">
        <w:rPr>
          <w:rStyle w:val="StyleUnderline"/>
        </w:rPr>
        <w:t xml:space="preserve"> iterate and </w:t>
      </w:r>
      <w:r w:rsidRPr="00E36C5D">
        <w:rPr>
          <w:rStyle w:val="StyleUnderline"/>
          <w:highlight w:val="cyan"/>
        </w:rPr>
        <w:t>reify standards</w:t>
      </w:r>
      <w:r w:rsidRPr="00E36C5D">
        <w:rPr>
          <w:rStyle w:val="StyleUnderline"/>
        </w:rPr>
        <w:t xml:space="preserve"> of measurement of knowledge </w:t>
      </w:r>
      <w:r w:rsidRPr="00E36C5D">
        <w:rPr>
          <w:rStyle w:val="StyleUnderline"/>
          <w:highlight w:val="cyan"/>
        </w:rPr>
        <w:t>in</w:t>
      </w:r>
      <w:r w:rsidRPr="00E36C5D">
        <w:rPr>
          <w:rStyle w:val="StyleUnderline"/>
        </w:rPr>
        <w:t xml:space="preserve"> each piece of </w:t>
      </w:r>
      <w:r w:rsidRPr="00E36C5D">
        <w:rPr>
          <w:rStyle w:val="StyleUnderline"/>
          <w:highlight w:val="cyan"/>
        </w:rPr>
        <w:t>scholarship which “succeeds”</w:t>
      </w:r>
      <w:r w:rsidRPr="00E36C5D">
        <w:rPr>
          <w:rStyle w:val="StyleUnderline"/>
        </w:rPr>
        <w:t xml:space="preserve"> in the field, and these iterations make it a paradox for scholars to both occupy the methodological, epistemological, and political space that falls outside of inherited standards and succeed.</w:t>
      </w:r>
      <w:r w:rsidRPr="00E36C5D">
        <w:rPr>
          <w:sz w:val="16"/>
        </w:rPr>
        <w:t xml:space="preserve"> Outside -the -mainstream work’s underrepresentation in the places understood to be publishing “success” is overdetermined, and the correlation between mimicry of traditional scholarship and “success” of critical scholars a given.</w:t>
      </w:r>
    </w:p>
    <w:p w14:paraId="5CE74908" w14:textId="77777777" w:rsidR="009E3DAF" w:rsidRPr="00E36C5D" w:rsidRDefault="009E3DAF" w:rsidP="009E3DAF">
      <w:pPr>
        <w:contextualSpacing/>
        <w:rPr>
          <w:sz w:val="16"/>
        </w:rPr>
      </w:pPr>
      <w:r w:rsidRPr="00E36C5D">
        <w:rPr>
          <w:sz w:val="16"/>
        </w:rPr>
        <w:t xml:space="preserve">We mean “performative” in the sense that Judith Butler uses it (Butler, 1990, 1993), particularly as she talks about it going hand in hand with a Foucauldian notion of disciplining,8 where </w:t>
      </w:r>
      <w:r w:rsidRPr="00E36C5D">
        <w:rPr>
          <w:rStyle w:val="StyleUnderline"/>
          <w:highlight w:val="cyan"/>
        </w:rPr>
        <w:t>“performativity cannot be understood outside</w:t>
      </w:r>
      <w:r w:rsidRPr="00E36C5D">
        <w:rPr>
          <w:rStyle w:val="StyleUnderline"/>
        </w:rPr>
        <w:t xml:space="preserve"> of a process of </w:t>
      </w:r>
      <w:r w:rsidRPr="00E36C5D">
        <w:rPr>
          <w:rStyle w:val="StyleUnderline"/>
          <w:highlight w:val="cyan"/>
        </w:rPr>
        <w:t>iterability</w:t>
      </w:r>
      <w:r w:rsidRPr="00E36C5D">
        <w:rPr>
          <w:rStyle w:val="StyleUnderline"/>
        </w:rPr>
        <w:t xml:space="preserve">—a regularized and constrained repetition of norms” </w:t>
      </w:r>
      <w:r w:rsidRPr="00E36C5D">
        <w:rPr>
          <w:rStyle w:val="StyleUnderline"/>
          <w:highlight w:val="cyan"/>
        </w:rPr>
        <w:t>which resonate as</w:t>
      </w:r>
      <w:r w:rsidRPr="00E36C5D">
        <w:rPr>
          <w:rStyle w:val="StyleUnderline"/>
        </w:rPr>
        <w:t xml:space="preserve"> “ritualized production”</w:t>
      </w:r>
      <w:r w:rsidRPr="00E36C5D">
        <w:rPr>
          <w:sz w:val="16"/>
        </w:rPr>
        <w:t xml:space="preserve"> (Butler, 1993, p. 60). </w:t>
      </w:r>
      <w:r w:rsidRPr="00E36C5D">
        <w:rPr>
          <w:rStyle w:val="StyleUnderline"/>
        </w:rPr>
        <w:t xml:space="preserve">This frames performativity as a “specific modality of </w:t>
      </w:r>
      <w:r w:rsidRPr="00E36C5D">
        <w:rPr>
          <w:rStyle w:val="StyleUnderline"/>
          <w:highlight w:val="cyan"/>
        </w:rPr>
        <w:t>power</w:t>
      </w:r>
      <w:r w:rsidRPr="00E36C5D">
        <w:rPr>
          <w:rStyle w:val="StyleUnderline"/>
        </w:rPr>
        <w:t xml:space="preserve"> as discourse” (</w:t>
      </w:r>
      <w:r w:rsidRPr="00E36C5D">
        <w:rPr>
          <w:sz w:val="16"/>
        </w:rPr>
        <w:t>Butler, 1993, p. 139) where the politics of the signification and the politics of the sign meet, an act of territoralization, of production, of installation—which does not have to be alone, singular, or unidirectional. Since performatives are their own referent (Butler, 1993, p. 159), they proliferate as manifestations of the power underlying them and interact relatively on the basis of that relative power. In this context, “performances” are actions and events, iterations and reifications, and context-specific, which “bring a subject into being” relationally.9</w:t>
      </w:r>
    </w:p>
    <w:p w14:paraId="2FE9A5E7" w14:textId="77777777" w:rsidR="009E3DAF" w:rsidRPr="00E36C5D" w:rsidRDefault="009E3DAF" w:rsidP="009E3DAF">
      <w:pPr>
        <w:contextualSpacing/>
        <w:rPr>
          <w:rStyle w:val="StyleUnderline"/>
        </w:rPr>
      </w:pPr>
      <w:r w:rsidRPr="00E36C5D">
        <w:rPr>
          <w:rStyle w:val="StyleUnderline"/>
        </w:rPr>
        <w:t>To escape the recursive</w:t>
      </w:r>
      <w:r w:rsidRPr="00E36C5D">
        <w:rPr>
          <w:sz w:val="16"/>
        </w:rPr>
        <w:t xml:space="preserve">, performative </w:t>
      </w:r>
      <w:r w:rsidRPr="00E36C5D">
        <w:rPr>
          <w:rStyle w:val="StyleUnderline"/>
        </w:rPr>
        <w:t xml:space="preserve">loop of </w:t>
      </w:r>
      <w:r w:rsidRPr="00E36C5D">
        <w:rPr>
          <w:rStyle w:val="Emphasis"/>
        </w:rPr>
        <w:t>“disciplinary success,”</w:t>
      </w:r>
      <w:r w:rsidRPr="00E36C5D">
        <w:rPr>
          <w:rStyle w:val="StyleUnderline"/>
        </w:rPr>
        <w:t xml:space="preserve"> we argue that it is important to see the possibility that knowledge cumulation is not, and should not be, a given in IR research. </w:t>
      </w:r>
      <w:r w:rsidRPr="00E36C5D">
        <w:rPr>
          <w:sz w:val="16"/>
        </w:rPr>
        <w:t xml:space="preserve">Instead, we argue that the idea itself is an inherited empty signifier with unspoken content which governs the production of what we understand as disciplinary IR. Traditionally, the idea of knowledge cumulation is firmly grounded in a neopositivist understanding of social science, in which the role of theory is to collate observed empirical regularities across cases or what Waltz calls laws (Waltz, 1979). While this interpretation is critiqued in most critical IR, “cumulation,” in that work, becomes a term without clear conceptual content. </w:t>
      </w:r>
      <w:r w:rsidRPr="00E36C5D">
        <w:rPr>
          <w:rStyle w:val="StyleUnderline"/>
        </w:rPr>
        <w:t xml:space="preserve">The </w:t>
      </w:r>
      <w:r w:rsidRPr="00E36C5D">
        <w:rPr>
          <w:rStyle w:val="Emphasis"/>
        </w:rPr>
        <w:t>paradigmatization of IR</w:t>
      </w:r>
      <w:r w:rsidRPr="00E36C5D">
        <w:rPr>
          <w:rStyle w:val="StyleUnderline"/>
        </w:rPr>
        <w:t xml:space="preserve"> theorizing distracts from a particular theory’s internal conditions of possibility by introducing incompatible conditions of possibility drawn from an inherited disciplinary sociology of what knowledge is and how it works. As such, </w:t>
      </w:r>
      <w:r w:rsidRPr="00E36C5D">
        <w:rPr>
          <w:rStyle w:val="StyleUnderline"/>
          <w:highlight w:val="cyan"/>
        </w:rPr>
        <w:t>any acknowledgment of</w:t>
      </w:r>
      <w:r w:rsidRPr="00E36C5D">
        <w:rPr>
          <w:rStyle w:val="StyleUnderline"/>
        </w:rPr>
        <w:t xml:space="preserve"> the idea of cumulativity from within specific exercises in </w:t>
      </w:r>
      <w:r w:rsidRPr="00E36C5D">
        <w:rPr>
          <w:rStyle w:val="StyleUnderline"/>
          <w:highlight w:val="cyan"/>
        </w:rPr>
        <w:t>reflexive IR</w:t>
      </w:r>
      <w:r w:rsidRPr="00E36C5D">
        <w:rPr>
          <w:rStyle w:val="StyleUnderline"/>
        </w:rPr>
        <w:t xml:space="preserve"> </w:t>
      </w:r>
      <w:r w:rsidRPr="00E36C5D">
        <w:rPr>
          <w:rStyle w:val="StyleUnderline"/>
          <w:highlight w:val="cyan"/>
        </w:rPr>
        <w:t xml:space="preserve">creates the grounds for </w:t>
      </w:r>
      <w:r w:rsidRPr="00E36C5D">
        <w:rPr>
          <w:rStyle w:val="Emphasis"/>
          <w:highlight w:val="cyan"/>
        </w:rPr>
        <w:t>necessary failure</w:t>
      </w:r>
      <w:r w:rsidRPr="00E36C5D">
        <w:rPr>
          <w:rStyle w:val="StyleUnderline"/>
        </w:rPr>
        <w:t xml:space="preserve"> within those exercises.</w:t>
      </w:r>
    </w:p>
    <w:p w14:paraId="318E5B45" w14:textId="77777777" w:rsidR="009E3DAF" w:rsidRPr="00E36C5D" w:rsidRDefault="009E3DAF" w:rsidP="009E3DAF">
      <w:pPr>
        <w:contextualSpacing/>
        <w:rPr>
          <w:sz w:val="16"/>
        </w:rPr>
      </w:pPr>
      <w:r w:rsidRPr="00E36C5D">
        <w:rPr>
          <w:sz w:val="16"/>
        </w:rPr>
        <w:t xml:space="preserve">The simultaneous rejection of traditional “cumulation” and continued performance of acts of cumulation can be understood by seeing the ways that </w:t>
      </w:r>
      <w:r w:rsidRPr="00E36C5D">
        <w:rPr>
          <w:rStyle w:val="Emphasis"/>
          <w:highlight w:val="cyan"/>
        </w:rPr>
        <w:t>silence frames</w:t>
      </w:r>
      <w:r w:rsidRPr="00E36C5D">
        <w:rPr>
          <w:rStyle w:val="Emphasis"/>
        </w:rPr>
        <w:t xml:space="preserve"> cumulation in critical </w:t>
      </w:r>
      <w:r w:rsidRPr="00E36C5D">
        <w:rPr>
          <w:rStyle w:val="Emphasis"/>
          <w:highlight w:val="cyan"/>
        </w:rPr>
        <w:t>IR.</w:t>
      </w:r>
      <w:r w:rsidRPr="00E36C5D">
        <w:rPr>
          <w:sz w:val="16"/>
        </w:rPr>
        <w:t xml:space="preserve"> We learn from feminist theorists that </w:t>
      </w:r>
      <w:r w:rsidRPr="00E36C5D">
        <w:rPr>
          <w:rStyle w:val="Emphasis"/>
          <w:highlight w:val="cyan"/>
        </w:rPr>
        <w:t>the unspoken</w:t>
      </w:r>
      <w:r w:rsidRPr="00E36C5D">
        <w:rPr>
          <w:rStyle w:val="Emphasis"/>
        </w:rPr>
        <w:t xml:space="preserve"> is as important as if not more important than what is spoken </w:t>
      </w:r>
      <w:r w:rsidRPr="00E36C5D">
        <w:rPr>
          <w:sz w:val="16"/>
        </w:rPr>
        <w:t xml:space="preserve">(Charlesworth, 1999; Kronsell, 2006), </w:t>
      </w:r>
      <w:r w:rsidRPr="00E36C5D">
        <w:rPr>
          <w:rStyle w:val="Emphasis"/>
        </w:rPr>
        <w:t xml:space="preserve">coming from attention to how IR’s others are </w:t>
      </w:r>
      <w:r w:rsidRPr="00E36C5D">
        <w:rPr>
          <w:rStyle w:val="Emphasis"/>
          <w:highlight w:val="cyan"/>
        </w:rPr>
        <w:t>omitted, excluded</w:t>
      </w:r>
      <w:r w:rsidRPr="00E36C5D">
        <w:rPr>
          <w:rStyle w:val="Emphasis"/>
        </w:rPr>
        <w:t xml:space="preserve">, kept out, </w:t>
      </w:r>
      <w:r w:rsidRPr="00E36C5D">
        <w:rPr>
          <w:rStyle w:val="Emphasis"/>
          <w:highlight w:val="cyan"/>
        </w:rPr>
        <w:t>and not mentioned</w:t>
      </w:r>
      <w:r w:rsidRPr="00E36C5D">
        <w:rPr>
          <w:rStyle w:val="Emphasis"/>
        </w:rPr>
        <w:t xml:space="preserve"> </w:t>
      </w:r>
      <w:r w:rsidRPr="00E36C5D">
        <w:rPr>
          <w:sz w:val="16"/>
        </w:rPr>
        <w:t xml:space="preserve">(Agathangelou &amp; Ling, 2004; Tickner, 1988). We argue that IR’s silences tell us more about the state of knowledge cumulation in the discipline than looking for standards that tell us what we do know. Accordingly, we ask on principle what any given research program does not take account of and how accounting for those omissions could changes analysis. We focus on both </w:t>
      </w:r>
      <w:r w:rsidRPr="00E36C5D">
        <w:rPr>
          <w:rStyle w:val="StyleUnderline"/>
        </w:rPr>
        <w:t>visible omissions (like the concepts that a research program fails to incorporate) and invisible omissions.</w:t>
      </w:r>
      <w:r w:rsidRPr="00E36C5D">
        <w:rPr>
          <w:sz w:val="16"/>
        </w:rPr>
        <w:t xml:space="preserve"> Invisible omissions are </w:t>
      </w:r>
      <w:r w:rsidRPr="00E36C5D">
        <w:rPr>
          <w:rStyle w:val="StyleUnderline"/>
        </w:rPr>
        <w:t>those that are unhearable by a research program—</w:t>
      </w:r>
      <w:r w:rsidRPr="00E36C5D">
        <w:rPr>
          <w:sz w:val="16"/>
        </w:rPr>
        <w:t xml:space="preserve"> normally left out or ignored by both the researchers that form the core of the research program and their critics (Butler, 2001; Edkins et al., 2012; Hansen, 2000). By “unhearable,” we mean either that the omitted content falls outside of the boundaries set for dialog or is assumed by all stakeholders to be by definition irrelevant (for deeper analyses see MacKinnon, 2006; Spivak, 1988). Unlike its visible omissions—variables that its scholars and their critics have added to, re-operationalized, expanded on, or suggested the inclusion of—invisible omissions are often not treated as omissions at all within particular scholarly boundaries.10</w:t>
      </w:r>
    </w:p>
    <w:p w14:paraId="3D50436D" w14:textId="77777777" w:rsidR="009E3DAF" w:rsidRPr="00E36C5D" w:rsidRDefault="009E3DAF" w:rsidP="009E3DAF">
      <w:pPr>
        <w:contextualSpacing/>
        <w:rPr>
          <w:rStyle w:val="StyleUnderline"/>
        </w:rPr>
      </w:pPr>
      <w:r w:rsidRPr="00E36C5D">
        <w:rPr>
          <w:rStyle w:val="StyleUnderline"/>
        </w:rPr>
        <w:t xml:space="preserve">The discipline’s “collective” </w:t>
      </w:r>
      <w:r w:rsidRPr="00E36C5D">
        <w:rPr>
          <w:rStyle w:val="StyleUnderline"/>
          <w:highlight w:val="cyan"/>
        </w:rPr>
        <w:t>standards</w:t>
      </w:r>
      <w:r w:rsidRPr="00E36C5D">
        <w:rPr>
          <w:sz w:val="16"/>
        </w:rPr>
        <w:t xml:space="preserve"> for knowledge production, then, </w:t>
      </w:r>
      <w:r w:rsidRPr="00E36C5D">
        <w:rPr>
          <w:rStyle w:val="StyleUnderline"/>
          <w:highlight w:val="cyan"/>
        </w:rPr>
        <w:t>can be understood as</w:t>
      </w:r>
      <w:r w:rsidRPr="00E36C5D">
        <w:rPr>
          <w:rStyle w:val="StyleUnderline"/>
        </w:rPr>
        <w:t xml:space="preserve"> constituted by social </w:t>
      </w:r>
      <w:r w:rsidRPr="00E36C5D">
        <w:rPr>
          <w:rStyle w:val="StyleUnderline"/>
          <w:highlight w:val="cyan"/>
        </w:rPr>
        <w:t>performances of dominance</w:t>
      </w:r>
      <w:r w:rsidRPr="00E36C5D">
        <w:rPr>
          <w:rStyle w:val="StyleUnderline"/>
        </w:rPr>
        <w:t xml:space="preserve"> rather than founded on some given or objective notions of what science should be. </w:t>
      </w:r>
      <w:r w:rsidRPr="00E36C5D">
        <w:rPr>
          <w:rStyle w:val="Emphasis"/>
          <w:highlight w:val="cyan"/>
        </w:rPr>
        <w:t>Rather than</w:t>
      </w:r>
      <w:r w:rsidRPr="00E36C5D">
        <w:rPr>
          <w:rStyle w:val="Emphasis"/>
        </w:rPr>
        <w:t xml:space="preserve"> being </w:t>
      </w:r>
      <w:r w:rsidRPr="00E36C5D">
        <w:rPr>
          <w:rStyle w:val="Emphasis"/>
          <w:highlight w:val="cyan"/>
        </w:rPr>
        <w:t xml:space="preserve">objective judgments </w:t>
      </w:r>
      <w:r w:rsidRPr="00E36C5D">
        <w:rPr>
          <w:rStyle w:val="Emphasis"/>
        </w:rPr>
        <w:t xml:space="preserve">of quality, </w:t>
      </w:r>
      <w:r w:rsidRPr="00E36C5D">
        <w:rPr>
          <w:rStyle w:val="Emphasis"/>
          <w:highlight w:val="cyan"/>
        </w:rPr>
        <w:t>statements like</w:t>
      </w:r>
      <w:r w:rsidRPr="00E36C5D">
        <w:rPr>
          <w:rStyle w:val="Emphasis"/>
        </w:rPr>
        <w:t xml:space="preserve"> “this is good science” and “</w:t>
      </w:r>
      <w:r w:rsidRPr="00E36C5D">
        <w:rPr>
          <w:rStyle w:val="Emphasis"/>
          <w:highlight w:val="cyan"/>
        </w:rPr>
        <w:t xml:space="preserve">these results are robust” are signs without referents </w:t>
      </w:r>
      <w:r w:rsidRPr="00E36C5D">
        <w:rPr>
          <w:rStyle w:val="Emphasis"/>
        </w:rPr>
        <w:t>used to discipline</w:t>
      </w:r>
      <w:r w:rsidRPr="00E36C5D">
        <w:rPr>
          <w:sz w:val="16"/>
        </w:rPr>
        <w:t xml:space="preserve"> (Baudrillard, 1995). The invisible disciplining nature of the performative standards of knowledge cumulation is part of the story of Butler’s understanding of performativity. The other part is attention to who is excluded by claims to knowledge cumulation (generally as well as in specific paradigmatic situations), what is left out, and on what axes. </w:t>
      </w:r>
      <w:r w:rsidRPr="00E36C5D">
        <w:rPr>
          <w:rStyle w:val="StyleUnderline"/>
        </w:rPr>
        <w:t xml:space="preserve">These disciplinary standards </w:t>
      </w:r>
      <w:r w:rsidRPr="00E36C5D">
        <w:rPr>
          <w:sz w:val="16"/>
        </w:rPr>
        <w:t xml:space="preserve">(both in the conventional and Foucauldian sense) </w:t>
      </w:r>
      <w:r w:rsidRPr="00E36C5D">
        <w:rPr>
          <w:rStyle w:val="StyleUnderline"/>
        </w:rPr>
        <w:t>make invisible their own impossibility and their related necessary failure.</w:t>
      </w:r>
    </w:p>
    <w:p w14:paraId="4B3792E0" w14:textId="77777777" w:rsidR="009E3DAF" w:rsidRPr="00E36C5D" w:rsidRDefault="009E3DAF" w:rsidP="009E3DAF">
      <w:pPr>
        <w:contextualSpacing/>
        <w:rPr>
          <w:rStyle w:val="Emphasis"/>
          <w:iCs w:val="0"/>
        </w:rPr>
      </w:pPr>
      <w:r w:rsidRPr="00E36C5D">
        <w:rPr>
          <w:rStyle w:val="Emphasis"/>
        </w:rPr>
        <w:t xml:space="preserve">For example, </w:t>
      </w:r>
      <w:r w:rsidRPr="00E36C5D">
        <w:rPr>
          <w:rStyle w:val="Emphasis"/>
          <w:highlight w:val="cyan"/>
        </w:rPr>
        <w:t>a submission</w:t>
      </w:r>
      <w:r w:rsidRPr="00E36C5D">
        <w:rPr>
          <w:sz w:val="16"/>
        </w:rPr>
        <w:t xml:space="preserve"> to a traditional IR journal in the United States or Western Europe </w:t>
      </w:r>
      <w:r w:rsidRPr="00E36C5D">
        <w:rPr>
          <w:rStyle w:val="Emphasis"/>
        </w:rPr>
        <w:t>which makes an</w:t>
      </w:r>
      <w:r w:rsidRPr="00E36C5D">
        <w:rPr>
          <w:sz w:val="16"/>
        </w:rPr>
        <w:t xml:space="preserve"> interesting </w:t>
      </w:r>
      <w:r w:rsidRPr="00E36C5D">
        <w:rPr>
          <w:rStyle w:val="Emphasis"/>
        </w:rPr>
        <w:t xml:space="preserve">argument, but is </w:t>
      </w:r>
      <w:r w:rsidRPr="00E36C5D">
        <w:rPr>
          <w:rStyle w:val="Emphasis"/>
          <w:highlight w:val="cyan"/>
        </w:rPr>
        <w:t>not in the format of,</w:t>
      </w:r>
      <w:r w:rsidRPr="00E36C5D">
        <w:rPr>
          <w:rStyle w:val="Emphasis"/>
        </w:rPr>
        <w:t xml:space="preserve"> methodologically acceptable to, inclusive of the same forms of evidence </w:t>
      </w:r>
      <w:r w:rsidRPr="00E36C5D">
        <w:rPr>
          <w:rStyle w:val="Emphasis"/>
          <w:highlight w:val="cyan"/>
        </w:rPr>
        <w:t>tradition</w:t>
      </w:r>
      <w:r w:rsidRPr="00E36C5D">
        <w:rPr>
          <w:rStyle w:val="Emphasis"/>
        </w:rPr>
        <w:t>ally used in</w:t>
      </w:r>
      <w:r w:rsidRPr="00E36C5D">
        <w:rPr>
          <w:sz w:val="16"/>
        </w:rPr>
        <w:t xml:space="preserve">, and good science to that journal’s traditional reviewers </w:t>
      </w:r>
      <w:r w:rsidRPr="00E36C5D">
        <w:rPr>
          <w:rStyle w:val="Emphasis"/>
          <w:highlight w:val="cyan"/>
        </w:rPr>
        <w:t>is unlikely to succeed</w:t>
      </w:r>
      <w:r w:rsidRPr="00E36C5D">
        <w:rPr>
          <w:sz w:val="16"/>
        </w:rPr>
        <w:t xml:space="preserve"> in getting published.11 </w:t>
      </w:r>
      <w:r w:rsidRPr="00E36C5D">
        <w:rPr>
          <w:rStyle w:val="StyleUnderline"/>
        </w:rPr>
        <w:t xml:space="preserve">This will generally be </w:t>
      </w:r>
      <w:r w:rsidRPr="00E36C5D">
        <w:rPr>
          <w:rStyle w:val="StyleUnderline"/>
          <w:highlight w:val="cyan"/>
        </w:rPr>
        <w:t>justified with reference to</w:t>
      </w:r>
      <w:r w:rsidRPr="00E36C5D">
        <w:rPr>
          <w:sz w:val="16"/>
        </w:rPr>
        <w:t xml:space="preserve"> the </w:t>
      </w:r>
      <w:r w:rsidRPr="00E36C5D">
        <w:rPr>
          <w:rStyle w:val="StyleUnderline"/>
          <w:highlight w:val="cyan"/>
        </w:rPr>
        <w:t>“quality”</w:t>
      </w:r>
      <w:r w:rsidRPr="00E36C5D">
        <w:rPr>
          <w:sz w:val="16"/>
        </w:rPr>
        <w:t xml:space="preserve"> of the piece, </w:t>
      </w:r>
      <w:r w:rsidRPr="00E36C5D">
        <w:rPr>
          <w:rStyle w:val="StyleUnderline"/>
          <w:highlight w:val="cyan"/>
        </w:rPr>
        <w:t>and rarely</w:t>
      </w:r>
      <w:r w:rsidRPr="00E36C5D">
        <w:rPr>
          <w:sz w:val="16"/>
        </w:rPr>
        <w:t xml:space="preserve"> if ever </w:t>
      </w:r>
      <w:r w:rsidRPr="00E36C5D">
        <w:rPr>
          <w:rStyle w:val="StyleUnderline"/>
        </w:rPr>
        <w:t>will questions of sex</w:t>
      </w:r>
      <w:r w:rsidRPr="00E36C5D">
        <w:rPr>
          <w:rStyle w:val="StyleUnderline"/>
          <w:highlight w:val="cyan"/>
        </w:rPr>
        <w:t>, race, gender, class</w:t>
      </w:r>
      <w:r w:rsidRPr="00E36C5D">
        <w:rPr>
          <w:sz w:val="16"/>
        </w:rPr>
        <w:t xml:space="preserve">, and other axes of exclusion </w:t>
      </w:r>
      <w:r w:rsidRPr="00E36C5D">
        <w:rPr>
          <w:rStyle w:val="StyleUnderline"/>
        </w:rPr>
        <w:t xml:space="preserve">be discussed as producers of the standards that then exclude on “quality” </w:t>
      </w:r>
      <w:r w:rsidRPr="00E36C5D">
        <w:rPr>
          <w:rStyle w:val="StyleUnderline"/>
          <w:highlight w:val="cyan"/>
        </w:rPr>
        <w:t xml:space="preserve">where “quality” has been set up in a way that </w:t>
      </w:r>
      <w:r w:rsidRPr="00E36C5D">
        <w:rPr>
          <w:rStyle w:val="Emphasis"/>
          <w:highlight w:val="cyan"/>
        </w:rPr>
        <w:t>excludes all performanc</w:t>
      </w:r>
      <w:r w:rsidRPr="00E36C5D">
        <w:rPr>
          <w:rStyle w:val="Emphasis"/>
        </w:rPr>
        <w:t xml:space="preserve">es of scholarship </w:t>
      </w:r>
      <w:r w:rsidRPr="00E36C5D">
        <w:rPr>
          <w:rStyle w:val="Emphasis"/>
          <w:highlight w:val="cyan"/>
        </w:rPr>
        <w:t>which are not mimicry of a</w:t>
      </w:r>
      <w:r w:rsidRPr="00E36C5D">
        <w:rPr>
          <w:rStyle w:val="Emphasis"/>
        </w:rPr>
        <w:t xml:space="preserve"> particular </w:t>
      </w:r>
      <w:r w:rsidRPr="00E36C5D">
        <w:rPr>
          <w:rStyle w:val="Emphasis"/>
          <w:highlight w:val="cyan"/>
        </w:rPr>
        <w:t>Western, liberal model</w:t>
      </w:r>
      <w:r w:rsidRPr="00E36C5D">
        <w:rPr>
          <w:sz w:val="16"/>
        </w:rPr>
        <w:t xml:space="preserve"> (Paolini, 1999).12 Even editors and </w:t>
      </w:r>
      <w:r w:rsidRPr="00E36C5D">
        <w:rPr>
          <w:rStyle w:val="Emphasis"/>
          <w:highlight w:val="cyan"/>
        </w:rPr>
        <w:t>reviewers who note the exclusion</w:t>
      </w:r>
      <w:r w:rsidRPr="00E36C5D">
        <w:rPr>
          <w:rStyle w:val="Emphasis"/>
        </w:rPr>
        <w:t xml:space="preserve">ary effect of these standards </w:t>
      </w:r>
      <w:r w:rsidRPr="00E36C5D">
        <w:rPr>
          <w:rStyle w:val="Emphasis"/>
          <w:highlight w:val="cyan"/>
        </w:rPr>
        <w:t>will often mourn</w:t>
      </w:r>
      <w:r w:rsidRPr="00E36C5D">
        <w:rPr>
          <w:rStyle w:val="Emphasis"/>
        </w:rPr>
        <w:t xml:space="preserve"> that </w:t>
      </w:r>
      <w:r w:rsidRPr="00E36C5D">
        <w:rPr>
          <w:rStyle w:val="Emphasis"/>
          <w:highlight w:val="cyan"/>
        </w:rPr>
        <w:t>and move on</w:t>
      </w:r>
      <w:r w:rsidRPr="00E36C5D">
        <w:rPr>
          <w:rStyle w:val="Emphasis"/>
        </w:rPr>
        <w:t>,</w:t>
      </w:r>
      <w:r w:rsidRPr="00E36C5D">
        <w:rPr>
          <w:sz w:val="16"/>
        </w:rPr>
        <w:t xml:space="preserve"> imagining the only possible alternative being lacking standards, and </w:t>
      </w:r>
      <w:r w:rsidRPr="00E36C5D">
        <w:rPr>
          <w:rStyle w:val="Emphasis"/>
          <w:highlight w:val="cyan"/>
        </w:rPr>
        <w:t>seeing such a lack of standards as more insidious than the exclusionary effects</w:t>
      </w:r>
      <w:r w:rsidRPr="00E36C5D">
        <w:rPr>
          <w:sz w:val="16"/>
        </w:rPr>
        <w:t xml:space="preserve"> of using certain sets of standards</w:t>
      </w:r>
      <w:r w:rsidRPr="00E36C5D">
        <w:rPr>
          <w:sz w:val="16"/>
          <w:highlight w:val="cyan"/>
        </w:rPr>
        <w:t xml:space="preserve">. </w:t>
      </w:r>
      <w:r w:rsidRPr="00E36C5D">
        <w:rPr>
          <w:rStyle w:val="Emphasis"/>
          <w:highlight w:val="cyan"/>
        </w:rPr>
        <w:t>“Knowledge</w:t>
      </w:r>
      <w:r w:rsidRPr="00E36C5D">
        <w:rPr>
          <w:rStyle w:val="Emphasis"/>
        </w:rPr>
        <w:t xml:space="preserve"> cumulation” </w:t>
      </w:r>
      <w:r w:rsidRPr="00E36C5D">
        <w:rPr>
          <w:rStyle w:val="Emphasis"/>
          <w:highlight w:val="cyan"/>
        </w:rPr>
        <w:t>then becomes a set of</w:t>
      </w:r>
      <w:r w:rsidRPr="00E36C5D">
        <w:rPr>
          <w:rStyle w:val="Emphasis"/>
        </w:rPr>
        <w:t xml:space="preserve"> reified and </w:t>
      </w:r>
      <w:r w:rsidRPr="00E36C5D">
        <w:rPr>
          <w:rStyle w:val="Emphasis"/>
          <w:highlight w:val="cyan"/>
        </w:rPr>
        <w:t>artificial standards rather than a journey for truth</w:t>
      </w:r>
      <w:r w:rsidRPr="00E36C5D">
        <w:rPr>
          <w:rStyle w:val="Emphasis"/>
        </w:rPr>
        <w:t xml:space="preserve"> or interest.</w:t>
      </w:r>
    </w:p>
    <w:p w14:paraId="2E0A72E5" w14:textId="77777777" w:rsidR="009E3DAF" w:rsidRPr="00E36C5D" w:rsidRDefault="009E3DAF" w:rsidP="009E3DAF">
      <w:pPr>
        <w:contextualSpacing/>
        <w:rPr>
          <w:sz w:val="16"/>
        </w:rPr>
      </w:pPr>
      <w:r w:rsidRPr="00E36C5D">
        <w:rPr>
          <w:rStyle w:val="StyleUnderline"/>
          <w:highlight w:val="cyan"/>
        </w:rPr>
        <w:t>The answer to this quagmire is</w:t>
      </w:r>
      <w:r w:rsidRPr="00E36C5D">
        <w:rPr>
          <w:rStyle w:val="StyleUnderline"/>
        </w:rPr>
        <w:t xml:space="preserve"> sometimes a liberal politics of inclusion</w:t>
      </w:r>
      <w:r w:rsidRPr="00E36C5D">
        <w:rPr>
          <w:sz w:val="16"/>
        </w:rPr>
        <w:t xml:space="preserve"> (e.g., Nedal &amp; Nexon, 2018)—</w:t>
      </w:r>
      <w:r w:rsidRPr="00E36C5D">
        <w:rPr>
          <w:rStyle w:val="StyleUnderline"/>
          <w:highlight w:val="cyan"/>
        </w:rPr>
        <w:t>how do “we” get more</w:t>
      </w:r>
      <w:r w:rsidRPr="00E36C5D">
        <w:rPr>
          <w:sz w:val="16"/>
        </w:rPr>
        <w:t xml:space="preserve"> women, more </w:t>
      </w:r>
      <w:r w:rsidRPr="00E36C5D">
        <w:rPr>
          <w:rStyle w:val="StyleUnderline"/>
        </w:rPr>
        <w:t>m</w:t>
      </w:r>
      <w:r w:rsidRPr="00E36C5D">
        <w:rPr>
          <w:rStyle w:val="StyleUnderline"/>
          <w:highlight w:val="cyan"/>
        </w:rPr>
        <w:t>inorities</w:t>
      </w:r>
      <w:r w:rsidRPr="00E36C5D">
        <w:rPr>
          <w:sz w:val="16"/>
        </w:rPr>
        <w:t xml:space="preserve">, and more people from underrepresented places in the world </w:t>
      </w:r>
      <w:r w:rsidRPr="00E36C5D">
        <w:rPr>
          <w:rStyle w:val="StyleUnderline"/>
          <w:highlight w:val="cyan"/>
        </w:rPr>
        <w:t>to be able to meet the standards</w:t>
      </w:r>
      <w:r w:rsidRPr="00E36C5D">
        <w:rPr>
          <w:rStyle w:val="StyleUnderline"/>
        </w:rPr>
        <w:t xml:space="preserve"> of good scholarship in the field? </w:t>
      </w:r>
      <w:r w:rsidRPr="00E36C5D">
        <w:rPr>
          <w:rStyle w:val="Emphasis"/>
          <w:highlight w:val="cyan"/>
        </w:rPr>
        <w:t>That liberal politics of inclusion</w:t>
      </w:r>
      <w:r w:rsidRPr="00E36C5D">
        <w:rPr>
          <w:sz w:val="16"/>
          <w:highlight w:val="cyan"/>
        </w:rPr>
        <w:t>,</w:t>
      </w:r>
      <w:r w:rsidRPr="00E36C5D">
        <w:rPr>
          <w:sz w:val="16"/>
        </w:rPr>
        <w:t xml:space="preserve"> while well-intended, </w:t>
      </w:r>
      <w:r w:rsidRPr="00E36C5D">
        <w:rPr>
          <w:rStyle w:val="Emphasis"/>
          <w:highlight w:val="cyan"/>
        </w:rPr>
        <w:t>can be read as</w:t>
      </w:r>
      <w:r w:rsidRPr="00E36C5D">
        <w:rPr>
          <w:rStyle w:val="Emphasis"/>
        </w:rPr>
        <w:t xml:space="preserve"> a</w:t>
      </w:r>
      <w:r w:rsidRPr="00E36C5D">
        <w:rPr>
          <w:sz w:val="16"/>
        </w:rPr>
        <w:t xml:space="preserve"> (subtle, perhaps accidental)</w:t>
      </w:r>
      <w:r w:rsidRPr="00E36C5D">
        <w:rPr>
          <w:rStyle w:val="Emphasis"/>
        </w:rPr>
        <w:t xml:space="preserve"> expansion of </w:t>
      </w:r>
      <w:r w:rsidRPr="00E36C5D">
        <w:rPr>
          <w:sz w:val="16"/>
        </w:rPr>
        <w:t xml:space="preserve">the </w:t>
      </w:r>
      <w:r w:rsidRPr="00E36C5D">
        <w:rPr>
          <w:rStyle w:val="Emphasis"/>
          <w:highlight w:val="cyan"/>
        </w:rPr>
        <w:t>violence</w:t>
      </w:r>
      <w:r w:rsidRPr="00E36C5D">
        <w:rPr>
          <w:sz w:val="16"/>
        </w:rPr>
        <w:t xml:space="preserve"> it (formally) seems to abate. </w:t>
      </w:r>
      <w:r w:rsidRPr="00E36C5D">
        <w:rPr>
          <w:rStyle w:val="Emphasis"/>
          <w:highlight w:val="cyan"/>
        </w:rPr>
        <w:t>It fails to question</w:t>
      </w:r>
      <w:r w:rsidRPr="00E36C5D">
        <w:rPr>
          <w:rStyle w:val="Emphasis"/>
        </w:rPr>
        <w:t xml:space="preserve"> the utility of</w:t>
      </w:r>
      <w:r w:rsidRPr="00E36C5D">
        <w:rPr>
          <w:sz w:val="16"/>
        </w:rPr>
        <w:t xml:space="preserve"> the </w:t>
      </w:r>
      <w:r w:rsidRPr="00E36C5D">
        <w:rPr>
          <w:rStyle w:val="Emphasis"/>
          <w:highlight w:val="cyan"/>
        </w:rPr>
        <w:t>existing standards</w:t>
      </w:r>
      <w:r w:rsidRPr="00E36C5D">
        <w:rPr>
          <w:sz w:val="16"/>
        </w:rPr>
        <w:t xml:space="preserve"> of good scholarship </w:t>
      </w:r>
      <w:r w:rsidRPr="00E36C5D">
        <w:rPr>
          <w:rStyle w:val="Emphasis"/>
          <w:highlight w:val="cyan"/>
        </w:rPr>
        <w:t>and assumes</w:t>
      </w:r>
      <w:r w:rsidRPr="00E36C5D">
        <w:rPr>
          <w:rStyle w:val="Emphasis"/>
        </w:rPr>
        <w:t xml:space="preserve"> that </w:t>
      </w:r>
      <w:r w:rsidRPr="00E36C5D">
        <w:rPr>
          <w:rStyle w:val="Emphasis"/>
          <w:highlight w:val="cyan"/>
        </w:rPr>
        <w:t>those</w:t>
      </w:r>
      <w:r w:rsidRPr="00E36C5D">
        <w:rPr>
          <w:rStyle w:val="Emphasis"/>
        </w:rPr>
        <w:t xml:space="preserve"> currently exc</w:t>
      </w:r>
      <w:r w:rsidRPr="00E36C5D">
        <w:rPr>
          <w:rStyle w:val="Emphasis"/>
          <w:highlight w:val="cyan"/>
        </w:rPr>
        <w:t>luded would be happy to change the form</w:t>
      </w:r>
      <w:r w:rsidRPr="00E36C5D">
        <w:rPr>
          <w:rStyle w:val="Emphasis"/>
        </w:rPr>
        <w:t xml:space="preserve">, shape, and/ or nature of their scholarship </w:t>
      </w:r>
      <w:r w:rsidRPr="00E36C5D">
        <w:rPr>
          <w:rStyle w:val="Emphasis"/>
          <w:highlight w:val="cyan"/>
        </w:rPr>
        <w:t>to fit within the</w:t>
      </w:r>
      <w:r w:rsidRPr="00E36C5D">
        <w:rPr>
          <w:sz w:val="16"/>
        </w:rPr>
        <w:t xml:space="preserve"> (unquestioned/unquestionable) </w:t>
      </w:r>
      <w:r w:rsidRPr="00E36C5D">
        <w:rPr>
          <w:rStyle w:val="Emphasis"/>
          <w:highlight w:val="cyan"/>
        </w:rPr>
        <w:t>mold</w:t>
      </w:r>
      <w:r w:rsidRPr="00E36C5D">
        <w:rPr>
          <w:rStyle w:val="Emphasis"/>
        </w:rPr>
        <w:t xml:space="preserve"> </w:t>
      </w:r>
      <w:r w:rsidRPr="00E36C5D">
        <w:rPr>
          <w:sz w:val="16"/>
        </w:rPr>
        <w:t xml:space="preserve">of good scholarship, either loosely or strictly understood. As Puar (2006) argues, </w:t>
      </w:r>
      <w:r w:rsidRPr="00E36C5D">
        <w:rPr>
          <w:rStyle w:val="StyleUnderline"/>
        </w:rPr>
        <w:t xml:space="preserve">liberal “inclusion” </w:t>
      </w:r>
      <w:r w:rsidRPr="00E36C5D">
        <w:rPr>
          <w:sz w:val="16"/>
        </w:rPr>
        <w:t xml:space="preserve">to absorb the other within can be as violent as if not more so than exclusion even as it appears progressive. That </w:t>
      </w:r>
      <w:r w:rsidRPr="00E36C5D">
        <w:rPr>
          <w:rStyle w:val="StyleUnderline"/>
        </w:rPr>
        <w:t>violence is the reproduction of naturalized, bounded identities when identities are liminal and messy when not policed</w:t>
      </w:r>
      <w:r w:rsidRPr="00E36C5D">
        <w:rPr>
          <w:sz w:val="16"/>
        </w:rPr>
        <w:t xml:space="preserve"> (e.g., Agathangelou, 2013; Haritaworn et al., 2013; Scott, 2013). The bounded nature of IR inclusion excludes liminality, messiness, and outsideness (e.g., Malksoo, 2012).</w:t>
      </w:r>
    </w:p>
    <w:p w14:paraId="61E674A9" w14:textId="77777777" w:rsidR="009E3DAF" w:rsidRPr="00E36C5D" w:rsidRDefault="009E3DAF" w:rsidP="009E3DAF">
      <w:pPr>
        <w:contextualSpacing/>
        <w:rPr>
          <w:sz w:val="16"/>
          <w:szCs w:val="16"/>
        </w:rPr>
      </w:pPr>
      <w:r w:rsidRPr="00E36C5D">
        <w:rPr>
          <w:sz w:val="16"/>
          <w:szCs w:val="16"/>
        </w:rPr>
        <w:t>Expanding the boundaries of IR to include any given particular excluded work maintains an illusion of stability, hiding what is unstable; it maintains an illusion of certainty, hiding what is in doubt; it maintains an illusion of coherence, hiding the rebellious, the failed, and that which remains outside (e.g., Sjoberg, 2017). Queer theorizing of the liminality involved in unstable sex/gender identities shows that even that which is presumed to be the most primordial (sex identity) is really liminality hiding under supposed definition (e.g., Weber, 2016a). Translated to thinking about inhabitability, this theorizing suggests that the apparent safety of (constituting then occupying) inhabitable space hides liminality and uncertainty, and perhaps danger, under its supposed (empirical and normative) clarity (Haritaworn et al., 2014). Therefore, “all the repressive and reductive strategies of power systems are already present in the internal logic of the sign,” such “that violence is an inevitable byproduct of signification” (Baudrillard, 1981).</w:t>
      </w:r>
    </w:p>
    <w:p w14:paraId="61165D72" w14:textId="77777777" w:rsidR="009E3DAF" w:rsidRPr="00E36C5D" w:rsidRDefault="009E3DAF" w:rsidP="009E3DAF">
      <w:pPr>
        <w:contextualSpacing/>
        <w:rPr>
          <w:sz w:val="16"/>
        </w:rPr>
      </w:pPr>
      <w:r w:rsidRPr="00E36C5D">
        <w:rPr>
          <w:sz w:val="16"/>
        </w:rPr>
        <w:t xml:space="preserve">In this way, </w:t>
      </w:r>
      <w:r w:rsidRPr="00E36C5D">
        <w:rPr>
          <w:rStyle w:val="StyleUnderline"/>
        </w:rPr>
        <w:t xml:space="preserve">not only do </w:t>
      </w:r>
      <w:r w:rsidRPr="00E36C5D">
        <w:rPr>
          <w:rStyle w:val="StyleUnderline"/>
          <w:highlight w:val="cyan"/>
        </w:rPr>
        <w:t>traditional standards</w:t>
      </w:r>
      <w:r w:rsidRPr="00E36C5D">
        <w:rPr>
          <w:sz w:val="16"/>
        </w:rPr>
        <w:t xml:space="preserve"> of knowledge </w:t>
      </w:r>
      <w:r w:rsidRPr="00E36C5D">
        <w:rPr>
          <w:rStyle w:val="StyleUnderline"/>
        </w:rPr>
        <w:t>make invisible their own impossibility,</w:t>
      </w:r>
      <w:r w:rsidRPr="00E36C5D">
        <w:rPr>
          <w:sz w:val="16"/>
        </w:rPr>
        <w:t xml:space="preserve"> </w:t>
      </w:r>
      <w:r w:rsidRPr="00E36C5D">
        <w:rPr>
          <w:rStyle w:val="Emphasis"/>
        </w:rPr>
        <w:t xml:space="preserve">they </w:t>
      </w:r>
      <w:r w:rsidRPr="00E36C5D">
        <w:rPr>
          <w:rStyle w:val="Emphasis"/>
          <w:highlight w:val="cyan"/>
        </w:rPr>
        <w:t>hide the violence of IR’s denials of failure</w:t>
      </w:r>
      <w:r w:rsidRPr="00E36C5D">
        <w:rPr>
          <w:sz w:val="16"/>
        </w:rPr>
        <w:t xml:space="preserve"> and continued insistence on traveling failed paths despite the condemnation of failure and the privileging of success. </w:t>
      </w:r>
      <w:r w:rsidRPr="00E36C5D">
        <w:rPr>
          <w:rStyle w:val="Emphasis"/>
          <w:highlight w:val="cyan"/>
        </w:rPr>
        <w:t>IR’s continued</w:t>
      </w:r>
      <w:r w:rsidRPr="00E36C5D">
        <w:rPr>
          <w:rStyle w:val="Emphasis"/>
        </w:rPr>
        <w:t xml:space="preserve"> recursive </w:t>
      </w:r>
      <w:r w:rsidRPr="00E36C5D">
        <w:rPr>
          <w:rStyle w:val="Emphasis"/>
          <w:highlight w:val="cyan"/>
        </w:rPr>
        <w:t>enactment of</w:t>
      </w:r>
      <w:r w:rsidRPr="00E36C5D">
        <w:rPr>
          <w:rStyle w:val="Emphasis"/>
        </w:rPr>
        <w:t xml:space="preserve"> its settled </w:t>
      </w:r>
      <w:r w:rsidRPr="00E36C5D">
        <w:rPr>
          <w:rStyle w:val="Emphasis"/>
          <w:highlight w:val="cyan"/>
        </w:rPr>
        <w:t>“standards” despite</w:t>
      </w:r>
      <w:r w:rsidRPr="00E36C5D">
        <w:rPr>
          <w:rStyle w:val="Emphasis"/>
        </w:rPr>
        <w:t xml:space="preserve"> their </w:t>
      </w:r>
      <w:r w:rsidRPr="00E36C5D">
        <w:rPr>
          <w:rStyle w:val="Emphasis"/>
          <w:highlight w:val="cyan"/>
        </w:rPr>
        <w:t>obvious</w:t>
      </w:r>
      <w:r w:rsidRPr="00E36C5D">
        <w:rPr>
          <w:rStyle w:val="Emphasis"/>
        </w:rPr>
        <w:t xml:space="preserve"> failure and </w:t>
      </w:r>
      <w:r w:rsidRPr="00E36C5D">
        <w:rPr>
          <w:rStyle w:val="Emphasis"/>
          <w:highlight w:val="cyan"/>
        </w:rPr>
        <w:t>exclusiveness makes invisible the raced, classed, and sexed impacts of those standards</w:t>
      </w:r>
      <w:r w:rsidRPr="00E36C5D">
        <w:rPr>
          <w:sz w:val="16"/>
        </w:rPr>
        <w:t xml:space="preserve"> and their apparent objectivity. Baudrillard’s work provides a path for navigating this disjuncture between signs (IR’s “standards”) and referents (the fantastic notion that “good scholarship” exists objectively) (Baudrillard, 1975). He argues that “only ambivalence, as a rupture of value… sustains a challenge to the legibility, the false transparency of the sign… questions the evidence of the use value of the sign (rational decoding) and of its exchange value (the discourse of communication).” This ambivalence, Baudrillard argues, “brings the political economy of the sign to a standstill; it dissolves the respective definitions of symbol and referent” (Baudrillard, 1981, p. 150).</w:t>
      </w:r>
    </w:p>
    <w:p w14:paraId="320BC764" w14:textId="77777777" w:rsidR="009E3DAF" w:rsidRPr="00E36C5D" w:rsidRDefault="009E3DAF" w:rsidP="009E3DAF">
      <w:pPr>
        <w:contextualSpacing/>
        <w:rPr>
          <w:sz w:val="16"/>
        </w:rPr>
      </w:pPr>
    </w:p>
    <w:p w14:paraId="08ED0D2A" w14:textId="77777777" w:rsidR="009E3DAF" w:rsidRPr="00E36C5D" w:rsidRDefault="009E3DAF" w:rsidP="009E3DAF">
      <w:pPr>
        <w:contextualSpacing/>
        <w:rPr>
          <w:sz w:val="16"/>
        </w:rPr>
      </w:pPr>
      <w:r w:rsidRPr="00E36C5D">
        <w:rPr>
          <w:sz w:val="16"/>
        </w:rPr>
        <w:t xml:space="preserve">Endorsing the inclusion of nontraditional perspectives, classifying and categorizing them, and assuming inclusion’s possibility may all have violent impacts (for discussions of the violences of inclusion see Haritaworn et al., 2013, 2014; Mbembe, 2019). Moving of the signification “knowledge” from any referent to which it was originally tied makes method and research performances of scholarship, rather than (the illusive) scholarship itself. </w:t>
      </w:r>
      <w:r w:rsidRPr="00E36C5D">
        <w:rPr>
          <w:rStyle w:val="StyleUnderline"/>
        </w:rPr>
        <w:t>If “research” is a performance of scholarship, “standards” for research serve to disguise the fantastic nature of knowledge cumulation. As such, there is no space for liminality, uncertainty, change, inadequacy, and failure in structural rather than passing senses.</w:t>
      </w:r>
      <w:r w:rsidRPr="00E36C5D">
        <w:rPr>
          <w:sz w:val="16"/>
        </w:rPr>
        <w:t xml:space="preserve"> Yet looking beyond the discourse of certainty, those pervade IR. A Baudrillardian ambivalence toward research programs and their truth statements can reveal the recursivity of IR’s standards of knowledge cumulation. This is because condemnation or rejection of any given research program and its truth statements endorses its assumptions about truth, as well as some of its assumptions about what the international arena is and how it works.</w:t>
      </w:r>
    </w:p>
    <w:p w14:paraId="091EC2D4" w14:textId="77777777" w:rsidR="009E3DAF" w:rsidRPr="00E36C5D" w:rsidRDefault="009E3DAF" w:rsidP="009E3DAF">
      <w:pPr>
        <w:contextualSpacing/>
        <w:rPr>
          <w:rStyle w:val="StyleUnderline"/>
        </w:rPr>
      </w:pPr>
      <w:r w:rsidRPr="00E36C5D">
        <w:rPr>
          <w:sz w:val="16"/>
        </w:rPr>
        <w:t xml:space="preserve">As such, the idea that </w:t>
      </w:r>
      <w:r w:rsidRPr="00E36C5D">
        <w:rPr>
          <w:rStyle w:val="StyleUnderline"/>
        </w:rPr>
        <w:t>IR knowledge cumulation can be nothing but fantasy</w:t>
      </w:r>
      <w:r w:rsidRPr="00E36C5D">
        <w:rPr>
          <w:sz w:val="16"/>
        </w:rPr>
        <w:t xml:space="preserve"> is straightforward. </w:t>
      </w:r>
      <w:r w:rsidRPr="00E36C5D">
        <w:rPr>
          <w:rStyle w:val="StyleUnderline"/>
        </w:rPr>
        <w:t>If the reification of standards of knowledge cumulation is a signification divorced from a referent,</w:t>
      </w:r>
      <w:r w:rsidRPr="00E36C5D">
        <w:rPr>
          <w:sz w:val="16"/>
        </w:rPr>
        <w:t xml:space="preserve"> where the recovery of the referent is conceptually and practically impossible, </w:t>
      </w:r>
      <w:r w:rsidRPr="00E36C5D">
        <w:rPr>
          <w:rStyle w:val="StyleUnderline"/>
        </w:rPr>
        <w:t xml:space="preserve">then </w:t>
      </w:r>
      <w:r w:rsidRPr="00E36C5D">
        <w:rPr>
          <w:rStyle w:val="StyleUnderline"/>
          <w:highlight w:val="cyan"/>
        </w:rPr>
        <w:t>knowledge cumulation is</w:t>
      </w:r>
      <w:r w:rsidRPr="00E36C5D">
        <w:rPr>
          <w:rStyle w:val="StyleUnderline"/>
        </w:rPr>
        <w:t xml:space="preserve"> and will always remain </w:t>
      </w:r>
      <w:r w:rsidRPr="00E36C5D">
        <w:rPr>
          <w:rStyle w:val="StyleUnderline"/>
          <w:highlight w:val="cyan"/>
        </w:rPr>
        <w:t>an empty signifier.</w:t>
      </w:r>
      <w:r w:rsidRPr="00E36C5D">
        <w:rPr>
          <w:sz w:val="16"/>
        </w:rPr>
        <w:t xml:space="preserve"> </w:t>
      </w:r>
      <w:r w:rsidRPr="00E36C5D">
        <w:rPr>
          <w:rStyle w:val="StyleUnderline"/>
        </w:rPr>
        <w:t>The only question is how that empty signifier directs and is directed.</w:t>
      </w:r>
    </w:p>
    <w:p w14:paraId="7C24E5D3" w14:textId="77777777" w:rsidR="009E3DAF" w:rsidRPr="00E36C5D" w:rsidRDefault="009E3DAF" w:rsidP="009E3DAF">
      <w:pPr>
        <w:contextualSpacing/>
        <w:rPr>
          <w:rStyle w:val="StyleUnderline"/>
        </w:rPr>
      </w:pPr>
      <w:r w:rsidRPr="00E36C5D">
        <w:rPr>
          <w:sz w:val="16"/>
        </w:rPr>
        <w:t xml:space="preserve">We suggest that, in IR, more often than not, knowledge cumulation directs and is directed by discursive seduction. In Baudrillard’s words, seduction is “that which extracts meaning from discourse and detracts it from its truth” (Baudrillard, 1991[1979], p. 54). </w:t>
      </w:r>
      <w:r w:rsidRPr="00E36C5D">
        <w:rPr>
          <w:rStyle w:val="StyleUnderline"/>
        </w:rPr>
        <w:t>What makes a discourse of knowledge</w:t>
      </w:r>
      <w:r w:rsidRPr="00E36C5D">
        <w:rPr>
          <w:sz w:val="16"/>
        </w:rPr>
        <w:t xml:space="preserve">, of science, </w:t>
      </w:r>
      <w:r w:rsidRPr="00E36C5D">
        <w:rPr>
          <w:rStyle w:val="StyleUnderline"/>
        </w:rPr>
        <w:t xml:space="preserve">and of progress seductive “is its very appearance: the aleatory, meaningless, or ritualistic and meticulous circulation of signs on the surface, its inflections and its nuances. </w:t>
      </w:r>
      <w:r w:rsidRPr="00E36C5D">
        <w:rPr>
          <w:sz w:val="16"/>
        </w:rPr>
        <w:t>All of this effaces the content value of meaning, and this is seductive” (Baudrillard, 1991[1979], p. 54). Therefore, if there could be an interpretive discourse of knowledge cumulation that reached truth value, that truth value would be selfdefeating, since “the meaning of an interpretive discourse, by contrast, has never seduced anyone.” This is the fundamental contradiction, in Baudrillard’s terms, that makes standards for knowledge cumulation in IR internally impossible. He explains that “every interpretive discourse wants to get beyond appearances; this is its illusion and fraud. But getting beyond appearances is appearance, and is hence subject to the stakes imposed by seduction, and consequently to its own failure as discourse” (Baudrillard, 1991[1979], p. 54). As such, what is left in/of the failed discourse can only be the fantastic, and pretensions to success hollow.</w:t>
      </w:r>
    </w:p>
    <w:p w14:paraId="2E91D34E" w14:textId="77777777" w:rsidR="009E3DAF" w:rsidRPr="00E36C5D" w:rsidRDefault="009E3DAF" w:rsidP="009E3DAF">
      <w:pPr>
        <w:contextualSpacing/>
      </w:pPr>
      <w:r w:rsidRPr="00E36C5D">
        <w:t>Inhabiting a Failure of a Discipline</w:t>
      </w:r>
    </w:p>
    <w:p w14:paraId="2B64105C" w14:textId="77777777" w:rsidR="009E3DAF" w:rsidRPr="00E36C5D" w:rsidRDefault="009E3DAF" w:rsidP="009E3DAF">
      <w:pPr>
        <w:contextualSpacing/>
        <w:rPr>
          <w:sz w:val="16"/>
        </w:rPr>
      </w:pPr>
      <w:r w:rsidRPr="00E36C5D">
        <w:rPr>
          <w:sz w:val="16"/>
        </w:rPr>
        <w:t xml:space="preserve">The need for success and the denial of failure depend on two things: first, both success and failure existing and being identifiable; and second, presuming a particular normative relationship between success and failure. In IR, as we discussed above, scholars are thought of as successes or failures according to a complicated metric of disciplinary prestige based on publication outlet, “scientific standards,” and perception of the change that they have caused in the discipline. </w:t>
      </w:r>
      <w:r w:rsidRPr="00E36C5D">
        <w:rPr>
          <w:rStyle w:val="StyleUnderline"/>
          <w:highlight w:val="cyan"/>
        </w:rPr>
        <w:t>Work is characterized as successful or failed based on</w:t>
      </w:r>
      <w:r w:rsidRPr="00E36C5D">
        <w:rPr>
          <w:rStyle w:val="StyleUnderline"/>
        </w:rPr>
        <w:t xml:space="preserve"> whether it contributes to </w:t>
      </w:r>
      <w:r w:rsidRPr="00E36C5D">
        <w:rPr>
          <w:rStyle w:val="StyleUnderline"/>
          <w:highlight w:val="cyan"/>
        </w:rPr>
        <w:t>knowledge cumulation.</w:t>
      </w:r>
      <w:r w:rsidRPr="00E36C5D">
        <w:rPr>
          <w:rStyle w:val="StyleUnderline"/>
        </w:rPr>
        <w:t xml:space="preserve"> The discipline itself is understood as successful or failed based on the aggregation of those measures. On these terms, </w:t>
      </w:r>
      <w:r w:rsidRPr="00E36C5D">
        <w:rPr>
          <w:rStyle w:val="StyleUnderline"/>
          <w:highlight w:val="cyan"/>
        </w:rPr>
        <w:t>the emptiness of disciplinary standards</w:t>
      </w:r>
      <w:r w:rsidRPr="00E36C5D">
        <w:rPr>
          <w:rStyle w:val="StyleUnderline"/>
        </w:rPr>
        <w:t xml:space="preserve"> and the impossibility of knowledge cumulation </w:t>
      </w:r>
      <w:r w:rsidRPr="00E36C5D">
        <w:rPr>
          <w:rStyle w:val="StyleUnderline"/>
          <w:highlight w:val="cyan"/>
        </w:rPr>
        <w:t>make every piece of scholarship</w:t>
      </w:r>
      <w:r w:rsidRPr="00E36C5D">
        <w:rPr>
          <w:rStyle w:val="StyleUnderline"/>
        </w:rPr>
        <w:t xml:space="preserve"> and every scholar </w:t>
      </w:r>
      <w:r w:rsidRPr="00E36C5D">
        <w:rPr>
          <w:rStyle w:val="StyleUnderline"/>
          <w:highlight w:val="cyan"/>
        </w:rPr>
        <w:t>in IR a failure and the discipline along with them</w:t>
      </w:r>
      <w:r w:rsidRPr="00E36C5D">
        <w:rPr>
          <w:rStyle w:val="StyleUnderline"/>
        </w:rPr>
        <w:t>.</w:t>
      </w:r>
      <w:r w:rsidRPr="00E36C5D">
        <w:rPr>
          <w:sz w:val="16"/>
        </w:rPr>
        <w:t>13 To us, the identification of success/failure is impossible.</w:t>
      </w:r>
    </w:p>
    <w:p w14:paraId="38D455AA" w14:textId="77777777" w:rsidR="009E3DAF" w:rsidRPr="00E36C5D" w:rsidRDefault="009E3DAF" w:rsidP="009E3DAF">
      <w:pPr>
        <w:contextualSpacing/>
        <w:rPr>
          <w:sz w:val="16"/>
          <w:szCs w:val="16"/>
        </w:rPr>
      </w:pPr>
      <w:r w:rsidRPr="00E36C5D">
        <w:rPr>
          <w:sz w:val="16"/>
          <w:szCs w:val="16"/>
        </w:rPr>
        <w:t>Still, we focus our approach to “disciplinary IR” around questioning the second assumption, that the normative relationship between success and failure is such that success is good and desirable and failure is bad. Failure has been insufficiently explored in disciplinary IR, both in thinking about the disciplinary enterprise and in thinking about the world “out there” which we purport to study.14 Here, we look to theorize the “upside” of the failure of the disciplinary enterprise of IR. It is, after all, failure that Baudrillard called for, in different words—a willingness to drop commitment to and passion for a certain end in the recognition that both that end and its opposite are empty signifiers. Queer theorists have suggested that this sort of failure—failure to live up to expectations which were messy, detached, or a priori untenable—might be worth celebrating (Halberstam, 2011). We build on these two understandings to embrace failure in IR.</w:t>
      </w:r>
    </w:p>
    <w:p w14:paraId="44E73618" w14:textId="77777777" w:rsidR="009E3DAF" w:rsidRPr="00E36C5D" w:rsidRDefault="009E3DAF" w:rsidP="009E3DAF">
      <w:pPr>
        <w:contextualSpacing/>
        <w:rPr>
          <w:sz w:val="16"/>
        </w:rPr>
      </w:pPr>
      <w:r w:rsidRPr="00E36C5D">
        <w:rPr>
          <w:sz w:val="16"/>
        </w:rPr>
        <w:t xml:space="preserve">Often failure is thought about as either a final end (something has failed), as a stumbling block on a path to success (if at first you do not succeed, try, try again), or as a miscalibration (we thought this was success, but really it is failure instead). With Jack Halberstam, we suggest a normative reinterpretation. </w:t>
      </w:r>
      <w:r w:rsidRPr="00E36C5D">
        <w:rPr>
          <w:rStyle w:val="StyleUnderline"/>
        </w:rPr>
        <w:t>Rather than seeing failure as an end point</w:t>
      </w:r>
      <w:r w:rsidRPr="00E36C5D">
        <w:rPr>
          <w:sz w:val="16"/>
        </w:rPr>
        <w:t xml:space="preserve">, or as a stopping point on the way to success, </w:t>
      </w:r>
      <w:r w:rsidRPr="00E36C5D">
        <w:rPr>
          <w:rStyle w:val="StyleUnderline"/>
        </w:rPr>
        <w:t>it can be seen as itself a politics,</w:t>
      </w:r>
      <w:r w:rsidRPr="00E36C5D">
        <w:rPr>
          <w:sz w:val="16"/>
        </w:rPr>
        <w:t xml:space="preserve"> “a category levied by the winners against the losers” and “a set of standards that ensure all future radical ventures will be measured as cost-ineffective” (Halberstam, 2011, p. 184). Halberstam uses the example of reproductive success. Inherited wisdom has suggested for a significant amount of time that people should have children—that a heterosexual marriage with biological offspring is the ideal of success in one’s personal life. That could be taken at face value: success (measured in biological offspring to still-married heterosexual, cissexual parents) is to be valued, and failure (measured in some other reproductive result) is to be devalued. Or the very normative value attached to reproductive success is itself a weapon, where associating failure with non-reproduction is a category levied against the losers by the winners. Redefining all reproductive results as successful or changing which reproductive results are measured as successful does not change the weaponized, normalizing character of the concept of success. This is a metaphor for IR’s disciplinary sociology, but it is also directly applicable to IR’s epistemological and methodological engagement with non-heteronormativity</w:t>
      </w:r>
    </w:p>
    <w:p w14:paraId="751320AA" w14:textId="77777777" w:rsidR="009E3DAF" w:rsidRPr="00E36C5D" w:rsidRDefault="009E3DAF" w:rsidP="009E3DAF">
      <w:pPr>
        <w:contextualSpacing/>
        <w:rPr>
          <w:sz w:val="16"/>
        </w:rPr>
      </w:pPr>
      <w:r w:rsidRPr="00E36C5D">
        <w:rPr>
          <w:rStyle w:val="StyleUnderline"/>
        </w:rPr>
        <w:t>Applied to IR, the normalization of “success” as the thing to which all</w:t>
      </w:r>
      <w:r w:rsidRPr="00E36C5D">
        <w:rPr>
          <w:sz w:val="16"/>
        </w:rPr>
        <w:t xml:space="preserve"> (researchers) </w:t>
      </w:r>
      <w:r w:rsidRPr="00E36C5D">
        <w:rPr>
          <w:rStyle w:val="StyleUnderline"/>
        </w:rPr>
        <w:t xml:space="preserve">should aspire reifies membership in the </w:t>
      </w:r>
      <w:r w:rsidRPr="00E36C5D">
        <w:rPr>
          <w:rStyle w:val="StyleUnderline"/>
          <w:highlight w:val="cyan"/>
        </w:rPr>
        <w:t>categories of “successful” and “failed”</w:t>
      </w:r>
      <w:r w:rsidRPr="00E36C5D">
        <w:rPr>
          <w:rStyle w:val="StyleUnderline"/>
        </w:rPr>
        <w:t xml:space="preserve"> and </w:t>
      </w:r>
      <w:r w:rsidRPr="00E36C5D">
        <w:rPr>
          <w:rStyle w:val="StyleUnderline"/>
          <w:highlight w:val="cyan"/>
        </w:rPr>
        <w:t>provides</w:t>
      </w:r>
      <w:r w:rsidRPr="00E36C5D">
        <w:rPr>
          <w:rStyle w:val="StyleUnderline"/>
        </w:rPr>
        <w:t xml:space="preserve"> the “successful” with </w:t>
      </w:r>
      <w:r w:rsidRPr="00E36C5D">
        <w:rPr>
          <w:rStyle w:val="StyleUnderline"/>
          <w:highlight w:val="cyan"/>
        </w:rPr>
        <w:t>a</w:t>
      </w:r>
      <w:r w:rsidRPr="00E36C5D">
        <w:rPr>
          <w:rStyle w:val="StyleUnderline"/>
        </w:rPr>
        <w:t xml:space="preserve"> </w:t>
      </w:r>
      <w:r w:rsidRPr="00E36C5D">
        <w:rPr>
          <w:rStyle w:val="Emphasis"/>
        </w:rPr>
        <w:t xml:space="preserve">powerful </w:t>
      </w:r>
      <w:r w:rsidRPr="00E36C5D">
        <w:rPr>
          <w:rStyle w:val="Emphasis"/>
          <w:highlight w:val="cyan"/>
        </w:rPr>
        <w:t>weapon to</w:t>
      </w:r>
      <w:r w:rsidRPr="00E36C5D">
        <w:rPr>
          <w:rStyle w:val="Emphasis"/>
        </w:rPr>
        <w:t xml:space="preserve"> continue to </w:t>
      </w:r>
      <w:r w:rsidRPr="00E36C5D">
        <w:rPr>
          <w:rStyle w:val="Emphasis"/>
          <w:highlight w:val="cyan"/>
        </w:rPr>
        <w:t>exclude,</w:t>
      </w:r>
      <w:r w:rsidRPr="00E36C5D">
        <w:rPr>
          <w:rStyle w:val="Emphasis"/>
        </w:rPr>
        <w:t xml:space="preserve"> put down, </w:t>
      </w:r>
      <w:r w:rsidRPr="00E36C5D">
        <w:rPr>
          <w:rStyle w:val="Emphasis"/>
          <w:highlight w:val="cyan"/>
        </w:rPr>
        <w:t>and delegitimize</w:t>
      </w:r>
      <w:r w:rsidRPr="00E36C5D">
        <w:rPr>
          <w:rStyle w:val="Emphasis"/>
        </w:rPr>
        <w:t xml:space="preserve"> the “unsuccessful.” </w:t>
      </w:r>
      <w:r w:rsidRPr="00E36C5D">
        <w:rPr>
          <w:rStyle w:val="Emphasis"/>
          <w:highlight w:val="cyan"/>
        </w:rPr>
        <w:t>The “winners” are</w:t>
      </w:r>
      <w:r w:rsidRPr="00E36C5D">
        <w:rPr>
          <w:rStyle w:val="Emphasis"/>
        </w:rPr>
        <w:t xml:space="preserve"> by definition</w:t>
      </w:r>
      <w:r w:rsidRPr="00E36C5D">
        <w:rPr>
          <w:sz w:val="16"/>
        </w:rPr>
        <w:t xml:space="preserve"> in a </w:t>
      </w:r>
      <w:r w:rsidRPr="00E36C5D">
        <w:rPr>
          <w:rStyle w:val="Emphasis"/>
          <w:highlight w:val="cyan"/>
        </w:rPr>
        <w:t>normatively superior</w:t>
      </w:r>
      <w:r w:rsidRPr="00E36C5D">
        <w:rPr>
          <w:sz w:val="16"/>
        </w:rPr>
        <w:t xml:space="preserve"> position compared to the “losers” despite the emptiness of the signification of each category. </w:t>
      </w:r>
      <w:r w:rsidRPr="00E36C5D">
        <w:rPr>
          <w:rStyle w:val="StyleUnderline"/>
        </w:rPr>
        <w:t>Understanding</w:t>
      </w:r>
      <w:r w:rsidRPr="00E36C5D">
        <w:rPr>
          <w:sz w:val="16"/>
        </w:rPr>
        <w:t xml:space="preserve"> individual </w:t>
      </w:r>
      <w:r w:rsidRPr="00E36C5D">
        <w:rPr>
          <w:rStyle w:val="StyleUnderline"/>
        </w:rPr>
        <w:t>pieces of work</w:t>
      </w:r>
      <w:r w:rsidRPr="00E36C5D">
        <w:rPr>
          <w:sz w:val="16"/>
        </w:rPr>
        <w:t xml:space="preserve">, individual scholars, </w:t>
      </w:r>
      <w:r w:rsidRPr="00E36C5D">
        <w:rPr>
          <w:rStyle w:val="StyleUnderline"/>
        </w:rPr>
        <w:t>or research paradigms as failed</w:t>
      </w:r>
      <w:r w:rsidRPr="00E36C5D">
        <w:rPr>
          <w:sz w:val="16"/>
        </w:rPr>
        <w:t xml:space="preserve"> (a foil to successful) </w:t>
      </w:r>
      <w:r w:rsidRPr="00E36C5D">
        <w:rPr>
          <w:rStyle w:val="StyleUnderline"/>
        </w:rPr>
        <w:t xml:space="preserve">is a categorization </w:t>
      </w:r>
      <w:r w:rsidRPr="00E36C5D">
        <w:rPr>
          <w:rStyle w:val="StyleUnderline"/>
          <w:highlight w:val="cyan"/>
        </w:rPr>
        <w:t>wielded</w:t>
      </w:r>
      <w:r w:rsidRPr="00E36C5D">
        <w:rPr>
          <w:rStyle w:val="StyleUnderline"/>
        </w:rPr>
        <w:t xml:space="preserve"> by those who have already been classified as successful </w:t>
      </w:r>
      <w:r w:rsidRPr="00E36C5D">
        <w:rPr>
          <w:rStyle w:val="StyleUnderline"/>
          <w:highlight w:val="cyan"/>
        </w:rPr>
        <w:t>to</w:t>
      </w:r>
      <w:r w:rsidRPr="00E36C5D">
        <w:rPr>
          <w:sz w:val="16"/>
        </w:rPr>
        <w:t xml:space="preserve"> achieve and </w:t>
      </w:r>
      <w:r w:rsidRPr="00E36C5D">
        <w:rPr>
          <w:rStyle w:val="Emphasis"/>
          <w:highlight w:val="cyan"/>
        </w:rPr>
        <w:t>perpetuate the exclusion of those</w:t>
      </w:r>
      <w:r w:rsidRPr="00E36C5D">
        <w:rPr>
          <w:rStyle w:val="Emphasis"/>
        </w:rPr>
        <w:t xml:space="preserve"> whom </w:t>
      </w:r>
      <w:r w:rsidRPr="00E36C5D">
        <w:rPr>
          <w:rStyle w:val="Emphasis"/>
          <w:highlight w:val="cyan"/>
        </w:rPr>
        <w:t>they can constitute</w:t>
      </w:r>
      <w:r w:rsidRPr="00E36C5D">
        <w:rPr>
          <w:rStyle w:val="Emphasis"/>
        </w:rPr>
        <w:t xml:space="preserve"> as </w:t>
      </w:r>
      <w:r w:rsidRPr="00E36C5D">
        <w:rPr>
          <w:rStyle w:val="Emphasis"/>
          <w:highlight w:val="cyan"/>
        </w:rPr>
        <w:t>inferior.</w:t>
      </w:r>
      <w:r w:rsidRPr="00E36C5D">
        <w:rPr>
          <w:rStyle w:val="Emphasis"/>
        </w:rPr>
        <w:t xml:space="preserve"> </w:t>
      </w:r>
      <w:r w:rsidRPr="00E36C5D">
        <w:rPr>
          <w:sz w:val="16"/>
        </w:rPr>
        <w:t xml:space="preserve">In this way, research </w:t>
      </w:r>
      <w:r w:rsidRPr="00E36C5D">
        <w:rPr>
          <w:rStyle w:val="Emphasis"/>
        </w:rPr>
        <w:t>success is a category IR’s winners wield against its losers to perpetuate their position as winners</w:t>
      </w:r>
      <w:r w:rsidRPr="00E36C5D">
        <w:rPr>
          <w:sz w:val="16"/>
        </w:rPr>
        <w:t xml:space="preserve">, consciously or unconsciously, </w:t>
      </w:r>
      <w:r w:rsidRPr="00E36C5D">
        <w:rPr>
          <w:rStyle w:val="Emphasis"/>
          <w:highlight w:val="cyan"/>
        </w:rPr>
        <w:t>against</w:t>
      </w:r>
      <w:r w:rsidRPr="00E36C5D">
        <w:rPr>
          <w:rStyle w:val="Emphasis"/>
        </w:rPr>
        <w:t xml:space="preserve"> a background of </w:t>
      </w:r>
      <w:r w:rsidRPr="00E36C5D">
        <w:rPr>
          <w:sz w:val="16"/>
        </w:rPr>
        <w:t xml:space="preserve">a </w:t>
      </w:r>
      <w:r w:rsidRPr="00E36C5D">
        <w:rPr>
          <w:rStyle w:val="Emphasis"/>
          <w:highlight w:val="cyan"/>
        </w:rPr>
        <w:t>disciplinary</w:t>
      </w:r>
      <w:r w:rsidRPr="00E36C5D">
        <w:rPr>
          <w:sz w:val="16"/>
        </w:rPr>
        <w:t xml:space="preserve"> IR where the </w:t>
      </w:r>
      <w:r w:rsidRPr="00E36C5D">
        <w:rPr>
          <w:rStyle w:val="Emphasis"/>
          <w:highlight w:val="cyan"/>
        </w:rPr>
        <w:t>standards</w:t>
      </w:r>
      <w:r w:rsidRPr="00E36C5D">
        <w:rPr>
          <w:rStyle w:val="Emphasis"/>
        </w:rPr>
        <w:t xml:space="preserve"> </w:t>
      </w:r>
      <w:r w:rsidRPr="00E36C5D">
        <w:rPr>
          <w:sz w:val="16"/>
        </w:rPr>
        <w:t>for research were</w:t>
      </w:r>
      <w:r w:rsidRPr="00E36C5D">
        <w:rPr>
          <w:rStyle w:val="Emphasis"/>
        </w:rPr>
        <w:t xml:space="preserve"> </w:t>
      </w:r>
      <w:r w:rsidRPr="00E36C5D">
        <w:rPr>
          <w:rStyle w:val="Emphasis"/>
          <w:highlight w:val="cyan"/>
        </w:rPr>
        <w:t>created</w:t>
      </w:r>
      <w:r w:rsidRPr="00E36C5D">
        <w:rPr>
          <w:sz w:val="16"/>
        </w:rPr>
        <w:t xml:space="preserve"> </w:t>
      </w:r>
      <w:r w:rsidRPr="00E36C5D">
        <w:rPr>
          <w:rStyle w:val="Emphasis"/>
        </w:rPr>
        <w:t xml:space="preserve">largely </w:t>
      </w:r>
      <w:r w:rsidRPr="00E36C5D">
        <w:rPr>
          <w:rStyle w:val="Emphasis"/>
          <w:highlight w:val="cyan"/>
        </w:rPr>
        <w:t>by white, het</w:t>
      </w:r>
      <w:r w:rsidRPr="00E36C5D">
        <w:rPr>
          <w:rStyle w:val="Emphasis"/>
        </w:rPr>
        <w:t xml:space="preserve">erosexual </w:t>
      </w:r>
      <w:r w:rsidRPr="00E36C5D">
        <w:rPr>
          <w:rStyle w:val="Emphasis"/>
          <w:highlight w:val="cyan"/>
        </w:rPr>
        <w:t>cis-men</w:t>
      </w:r>
      <w:r w:rsidRPr="00E36C5D">
        <w:rPr>
          <w:rStyle w:val="Emphasis"/>
        </w:rPr>
        <w:t xml:space="preserve"> </w:t>
      </w:r>
      <w:r w:rsidRPr="00E36C5D">
        <w:rPr>
          <w:sz w:val="16"/>
        </w:rPr>
        <w:t>and remain largely undisturbed despite the intellectual and representational diversification of IR research and IR scholars.</w:t>
      </w:r>
    </w:p>
    <w:p w14:paraId="79D913D0" w14:textId="77777777" w:rsidR="009E3DAF" w:rsidRPr="00E36C5D" w:rsidRDefault="009E3DAF" w:rsidP="009E3DAF">
      <w:pPr>
        <w:contextualSpacing/>
        <w:rPr>
          <w:sz w:val="16"/>
        </w:rPr>
      </w:pPr>
      <w:r w:rsidRPr="00E36C5D">
        <w:rPr>
          <w:sz w:val="16"/>
        </w:rPr>
        <w:t xml:space="preserve">Failure as a category in IR scholarship serves to “reinscribe and renormalize standards of ‘research success’ which remain unchanged, unchangeable, and regressive” (Halberstam, 2011). The scholarship that makes unconventional claims to knowledge cumulation (or no claim to knowledge cumulation) not only fails but constitutes its researchers as failures—which becomes recursive when “we tend to blame each other or ourselves for the failures of the social structure we inhabit, rather than critiquing the structures… themselves” (Halberstam, 2011, p. 35, citing Kipnes, 2004). In Halberstam’s view, </w:t>
      </w:r>
      <w:r w:rsidRPr="00E36C5D">
        <w:rPr>
          <w:rStyle w:val="Emphasis"/>
        </w:rPr>
        <w:t xml:space="preserve">it is the system that privileges success, that is, the problem, and </w:t>
      </w:r>
      <w:r w:rsidRPr="00E36C5D">
        <w:rPr>
          <w:rStyle w:val="Emphasis"/>
          <w:highlight w:val="cyan"/>
        </w:rPr>
        <w:t xml:space="preserve">failing within it </w:t>
      </w:r>
      <w:r w:rsidRPr="00E36C5D">
        <w:rPr>
          <w:rStyle w:val="Emphasis"/>
        </w:rPr>
        <w:t xml:space="preserve">is an emancipatory possibility which </w:t>
      </w:r>
      <w:r w:rsidRPr="00E36C5D">
        <w:rPr>
          <w:rStyle w:val="Emphasis"/>
          <w:highlight w:val="cyan"/>
        </w:rPr>
        <w:t>“dismantles the logics of success and failure</w:t>
      </w:r>
      <w:r w:rsidRPr="00E36C5D">
        <w:rPr>
          <w:rStyle w:val="Emphasis"/>
        </w:rPr>
        <w:t xml:space="preserve"> with which we currently live”</w:t>
      </w:r>
      <w:r w:rsidRPr="00E36C5D">
        <w:rPr>
          <w:sz w:val="16"/>
        </w:rPr>
        <w:t xml:space="preserve"> (Halberstam, 2011, p. 2).</w:t>
      </w:r>
    </w:p>
    <w:p w14:paraId="17DA0EB9" w14:textId="77777777" w:rsidR="009E3DAF" w:rsidRPr="00E36C5D" w:rsidRDefault="009E3DAF" w:rsidP="009E3DAF">
      <w:pPr>
        <w:contextualSpacing/>
        <w:rPr>
          <w:sz w:val="16"/>
        </w:rPr>
      </w:pPr>
      <w:r w:rsidRPr="00E36C5D">
        <w:rPr>
          <w:sz w:val="16"/>
        </w:rPr>
        <w:t xml:space="preserve">Realizing the caging nature of the boundaries of disciplinary success, it is possible to think that </w:t>
      </w:r>
      <w:r w:rsidRPr="00E36C5D">
        <w:rPr>
          <w:rStyle w:val="Emphasis"/>
        </w:rPr>
        <w:t>failure might be perceived as something to celebrate and strive toward rather than something which should inspire shame.</w:t>
      </w:r>
      <w:r w:rsidRPr="00E36C5D">
        <w:rPr>
          <w:sz w:val="16"/>
        </w:rPr>
        <w:t xml:space="preserve"> Halberstam suggests that “under certain circumstances, </w:t>
      </w:r>
      <w:r w:rsidRPr="00E36C5D">
        <w:rPr>
          <w:rStyle w:val="StyleUnderline"/>
        </w:rPr>
        <w:t>failing</w:t>
      </w:r>
      <w:r w:rsidRPr="00E36C5D">
        <w:rPr>
          <w:sz w:val="16"/>
        </w:rPr>
        <w:t xml:space="preserve">, losing, forgetting, unmaking, undoing, unbecoming, not knowing </w:t>
      </w:r>
      <w:r w:rsidRPr="00E36C5D">
        <w:rPr>
          <w:rStyle w:val="StyleUnderline"/>
        </w:rPr>
        <w:t>may</w:t>
      </w:r>
      <w:r w:rsidRPr="00E36C5D">
        <w:rPr>
          <w:sz w:val="16"/>
        </w:rPr>
        <w:t xml:space="preserve"> in fact </w:t>
      </w:r>
      <w:r w:rsidRPr="00E36C5D">
        <w:rPr>
          <w:rStyle w:val="StyleUnderline"/>
        </w:rPr>
        <w:t>offer more creative</w:t>
      </w:r>
      <w:r w:rsidRPr="00E36C5D">
        <w:rPr>
          <w:sz w:val="16"/>
        </w:rPr>
        <w:t xml:space="preserve">, more </w:t>
      </w:r>
      <w:r w:rsidRPr="00E36C5D">
        <w:rPr>
          <w:rStyle w:val="StyleUnderline"/>
        </w:rPr>
        <w:t>cooperative, and</w:t>
      </w:r>
      <w:r w:rsidRPr="00E36C5D">
        <w:rPr>
          <w:sz w:val="16"/>
        </w:rPr>
        <w:t xml:space="preserve"> more </w:t>
      </w:r>
      <w:r w:rsidRPr="00E36C5D">
        <w:rPr>
          <w:rStyle w:val="StyleUnderline"/>
        </w:rPr>
        <w:t>surprising ways of being in the world”</w:t>
      </w:r>
      <w:r w:rsidRPr="00E36C5D">
        <w:rPr>
          <w:sz w:val="16"/>
        </w:rPr>
        <w:t xml:space="preserve"> (Halberstam, 2011, pp. 2–3). In Halberstam’s view, </w:t>
      </w:r>
      <w:r w:rsidRPr="00E36C5D">
        <w:rPr>
          <w:rStyle w:val="Emphasis"/>
          <w:highlight w:val="cyan"/>
        </w:rPr>
        <w:t>it is only when</w:t>
      </w:r>
      <w:r w:rsidRPr="00E36C5D">
        <w:rPr>
          <w:rStyle w:val="Emphasis"/>
        </w:rPr>
        <w:t xml:space="preserve"> </w:t>
      </w:r>
      <w:r w:rsidRPr="00E36C5D">
        <w:rPr>
          <w:sz w:val="16"/>
        </w:rPr>
        <w:t xml:space="preserve">the </w:t>
      </w:r>
      <w:r w:rsidRPr="00E36C5D">
        <w:rPr>
          <w:rStyle w:val="Emphasis"/>
          <w:highlight w:val="cyan"/>
        </w:rPr>
        <w:t>norms</w:t>
      </w:r>
      <w:r w:rsidRPr="00E36C5D">
        <w:rPr>
          <w:sz w:val="16"/>
        </w:rPr>
        <w:t xml:space="preserve"> and metrics by which we aspire to success </w:t>
      </w:r>
      <w:r w:rsidRPr="00E36C5D">
        <w:rPr>
          <w:rStyle w:val="Emphasis"/>
          <w:highlight w:val="cyan"/>
        </w:rPr>
        <w:t>become</w:t>
      </w:r>
      <w:r w:rsidRPr="00E36C5D">
        <w:rPr>
          <w:rStyle w:val="Emphasis"/>
        </w:rPr>
        <w:t xml:space="preserve"> </w:t>
      </w:r>
      <w:r w:rsidRPr="00E36C5D">
        <w:rPr>
          <w:sz w:val="16"/>
        </w:rPr>
        <w:t xml:space="preserve">both politicized and </w:t>
      </w:r>
      <w:r w:rsidRPr="00E36C5D">
        <w:rPr>
          <w:rStyle w:val="Emphasis"/>
          <w:highlight w:val="cyan"/>
        </w:rPr>
        <w:t>problematized that freedom becomes possible</w:t>
      </w:r>
      <w:r w:rsidRPr="00E36C5D">
        <w:rPr>
          <w:rStyle w:val="Emphasis"/>
        </w:rPr>
        <w:t>.</w:t>
      </w:r>
      <w:r w:rsidRPr="00E36C5D">
        <w:rPr>
          <w:sz w:val="16"/>
        </w:rPr>
        <w:t xml:space="preserve"> It is not failing that we as scholars or as people need to learn to do—we fail all the time. As Halberstam notes, failure is endemic in life and work as “to live is to fail, to bungle, to disappoint, and ultimately die,” despite denial, resistance, and constructs of success (Halberstam, 2011, pp. 186–187). Instead of needing to learn to fail, we argue, </w:t>
      </w:r>
      <w:r w:rsidRPr="00E36C5D">
        <w:rPr>
          <w:rStyle w:val="StyleUnderline"/>
        </w:rPr>
        <w:t>we need to</w:t>
      </w:r>
      <w:r w:rsidRPr="00E36C5D">
        <w:rPr>
          <w:sz w:val="16"/>
        </w:rPr>
        <w:t xml:space="preserve"> learn to </w:t>
      </w:r>
      <w:r w:rsidRPr="00E36C5D">
        <w:rPr>
          <w:rStyle w:val="StyleUnderline"/>
        </w:rPr>
        <w:t xml:space="preserve">embrace </w:t>
      </w:r>
      <w:r w:rsidRPr="00E36C5D">
        <w:rPr>
          <w:sz w:val="16"/>
        </w:rPr>
        <w:t xml:space="preserve">failure, particularly the </w:t>
      </w:r>
      <w:r w:rsidRPr="00E36C5D">
        <w:rPr>
          <w:rStyle w:val="StyleUnderline"/>
        </w:rPr>
        <w:t>collective failure o</w:t>
      </w:r>
      <w:r w:rsidRPr="00E36C5D">
        <w:rPr>
          <w:sz w:val="16"/>
        </w:rPr>
        <w:t>f the enterprise of</w:t>
      </w:r>
      <w:r w:rsidRPr="00E36C5D">
        <w:rPr>
          <w:rStyle w:val="StyleUnderline"/>
        </w:rPr>
        <w:t xml:space="preserve"> “disciplinary IR” </w:t>
      </w:r>
      <w:r w:rsidRPr="00E36C5D">
        <w:rPr>
          <w:sz w:val="16"/>
        </w:rPr>
        <w:t>to achieve or approximate “knowledge cumulation” generally or the aspirations of particular research programs specifically.</w:t>
      </w:r>
    </w:p>
    <w:p w14:paraId="6D37F369" w14:textId="77777777" w:rsidR="009E3DAF" w:rsidRPr="009E3DAF" w:rsidRDefault="009E3DAF" w:rsidP="009E3DAF"/>
    <w:p w14:paraId="04FC860A" w14:textId="77777777" w:rsidR="009E3DAF" w:rsidRDefault="009E3DAF"/>
    <w:p w14:paraId="601E0866" w14:textId="77777777" w:rsidR="009E3DAF" w:rsidRDefault="009E3DAF"/>
    <w:p w14:paraId="40E0B778" w14:textId="77777777" w:rsidR="009E3DAF" w:rsidRDefault="009E3DAF"/>
    <w:p w14:paraId="6B1D311D" w14:textId="77777777" w:rsidR="009E3DAF" w:rsidRDefault="009E3DAF"/>
    <w:p w14:paraId="359F4373" w14:textId="77777777" w:rsidR="009E3DAF" w:rsidRDefault="009E3DAF"/>
    <w:p w14:paraId="14518200" w14:textId="77777777" w:rsidR="009E3DAF" w:rsidRDefault="009E3DAF"/>
    <w:p w14:paraId="29BA0F9F" w14:textId="35B8BA62" w:rsidR="009E3DAF" w:rsidRDefault="009E3DAF" w:rsidP="009E3DAF">
      <w:pPr>
        <w:pStyle w:val="Heading1"/>
      </w:pPr>
      <w:r>
        <w:t>Aff</w:t>
      </w:r>
    </w:p>
    <w:p w14:paraId="5EC25BE1" w14:textId="77777777" w:rsidR="009E3DAF" w:rsidRDefault="009E3DAF" w:rsidP="009E3DAF"/>
    <w:p w14:paraId="2DDA99C0" w14:textId="77777777" w:rsidR="009E3DAF" w:rsidRPr="009E3DAF" w:rsidRDefault="009E3DAF" w:rsidP="009E3DAF"/>
    <w:p w14:paraId="313AE097" w14:textId="77777777" w:rsidR="009E3DAF" w:rsidRDefault="009E3DAF"/>
    <w:p w14:paraId="78E35A4A" w14:textId="7B575EDF" w:rsidR="009E3DAF" w:rsidRDefault="009E3DAF" w:rsidP="009E3DAF">
      <w:pPr>
        <w:pStyle w:val="Heading3"/>
      </w:pPr>
      <w:r>
        <w:t xml:space="preserve">Patents Good/Epistemology </w:t>
      </w:r>
    </w:p>
    <w:p w14:paraId="55210759" w14:textId="77777777" w:rsidR="009E3DAF" w:rsidRDefault="009E3DAF" w:rsidP="009E3DAF"/>
    <w:p w14:paraId="39CAEF39" w14:textId="1F58DE34" w:rsidR="009E3DAF" w:rsidRDefault="009E3DAF" w:rsidP="009E3DAF">
      <w:pPr>
        <w:pStyle w:val="Heading4"/>
      </w:pPr>
      <w:r>
        <w:t>Patents are an accurate metric for innovation</w:t>
      </w:r>
    </w:p>
    <w:p w14:paraId="39482C15" w14:textId="77777777" w:rsidR="009E3DAF" w:rsidRPr="0091602B" w:rsidRDefault="009E3DAF" w:rsidP="009E3DAF">
      <w:r w:rsidRPr="0091602B">
        <w:rPr>
          <w:rStyle w:val="Style13ptBold"/>
        </w:rPr>
        <w:t>Katila 2000</w:t>
      </w:r>
      <w:r>
        <w:t xml:space="preserve"> [</w:t>
      </w:r>
      <w:r w:rsidRPr="0091602B">
        <w:t xml:space="preserve">Riitta Katila is </w:t>
      </w:r>
      <w:r>
        <w:t>P</w:t>
      </w:r>
      <w:r w:rsidRPr="0091602B">
        <w:t>rofessor of Management Science</w:t>
      </w:r>
      <w:r>
        <w:t xml:space="preserve"> at </w:t>
      </w:r>
      <w:r w:rsidRPr="0091602B">
        <w:t>the Stanford Technology Ventures Program</w:t>
      </w:r>
      <w:r>
        <w:t xml:space="preserve">. </w:t>
      </w:r>
      <w:r w:rsidRPr="0091602B">
        <w:t>She is an expert on innovation, competition, and entrepreneurship in large firms.</w:t>
      </w:r>
      <w:r>
        <w:t xml:space="preserve"> “Using Patent Data to Measure Innovation Performance” January 2000 </w:t>
      </w:r>
      <w:r w:rsidRPr="00281162">
        <w:t>https://web.stanford.edu/~rkatila/new/pdf/KatilaUsingpatentdata.pdf</w:t>
      </w:r>
      <w:r>
        <w:t>] ARL</w:t>
      </w:r>
    </w:p>
    <w:p w14:paraId="20CFFB52" w14:textId="77777777" w:rsidR="009E3DAF" w:rsidRPr="0091602B" w:rsidRDefault="009E3DAF" w:rsidP="009E3DAF">
      <w:pPr>
        <w:rPr>
          <w:sz w:val="16"/>
        </w:rPr>
      </w:pPr>
      <w:r w:rsidRPr="0091602B">
        <w:rPr>
          <w:sz w:val="16"/>
        </w:rPr>
        <w:t xml:space="preserve">Technologically radical </w:t>
      </w:r>
      <w:r w:rsidRPr="0024051E">
        <w:rPr>
          <w:rStyle w:val="StyleUnderline"/>
          <w:highlight w:val="cyan"/>
        </w:rPr>
        <w:t>innovations are</w:t>
      </w:r>
      <w:r w:rsidRPr="0091602B">
        <w:rPr>
          <w:rStyle w:val="StyleUnderline"/>
        </w:rPr>
        <w:t xml:space="preserve"> a </w:t>
      </w:r>
      <w:r w:rsidRPr="0024051E">
        <w:rPr>
          <w:rStyle w:val="StyleUnderline"/>
          <w:highlight w:val="cyan"/>
        </w:rPr>
        <w:t>key</w:t>
      </w:r>
      <w:r w:rsidRPr="0091602B">
        <w:rPr>
          <w:rStyle w:val="StyleUnderline"/>
        </w:rPr>
        <w:t xml:space="preserve"> success factor </w:t>
      </w:r>
      <w:r w:rsidRPr="0024051E">
        <w:rPr>
          <w:rStyle w:val="StyleUnderline"/>
          <w:highlight w:val="cyan"/>
        </w:rPr>
        <w:t>in</w:t>
      </w:r>
      <w:r w:rsidRPr="0091602B">
        <w:rPr>
          <w:rStyle w:val="StyleUnderline"/>
        </w:rPr>
        <w:t xml:space="preserve"> many high </w:t>
      </w:r>
      <w:r w:rsidRPr="0024051E">
        <w:rPr>
          <w:rStyle w:val="StyleUnderline"/>
          <w:highlight w:val="cyan"/>
        </w:rPr>
        <w:t>tech</w:t>
      </w:r>
      <w:r w:rsidRPr="0024051E">
        <w:rPr>
          <w:sz w:val="16"/>
        </w:rPr>
        <w:t>nology</w:t>
      </w:r>
      <w:r w:rsidRPr="0091602B">
        <w:rPr>
          <w:sz w:val="16"/>
        </w:rPr>
        <w:t xml:space="preserve"> </w:t>
      </w:r>
      <w:r w:rsidRPr="0091602B">
        <w:rPr>
          <w:rStyle w:val="StyleUnderline"/>
        </w:rPr>
        <w:t>industries</w:t>
      </w:r>
      <w:r w:rsidRPr="0091602B">
        <w:rPr>
          <w:sz w:val="16"/>
        </w:rPr>
        <w:t xml:space="preserve">. This study examines how </w:t>
      </w:r>
      <w:r w:rsidRPr="0091602B">
        <w:rPr>
          <w:rStyle w:val="StyleUnderline"/>
        </w:rPr>
        <w:t>firms can measure performance on this key dimension</w:t>
      </w:r>
      <w:r w:rsidRPr="0091602B">
        <w:rPr>
          <w:sz w:val="16"/>
        </w:rPr>
        <w:t xml:space="preserve">. I ask two questions: 1. </w:t>
      </w:r>
      <w:r w:rsidRPr="0091602B">
        <w:rPr>
          <w:rStyle w:val="StyleUnderline"/>
        </w:rPr>
        <w:t>How can patent data be used to measure innovation and its radicality</w:t>
      </w:r>
      <w:r w:rsidRPr="0091602B">
        <w:rPr>
          <w:sz w:val="16"/>
        </w:rPr>
        <w:t xml:space="preserve">?, and, 2. What are some of the empirical shortcomings with the current methods using patent data? These research questions are examined through a longitudinal data of 100 biopharmaceutical companies. </w:t>
      </w:r>
      <w:r w:rsidRPr="0091602B">
        <w:rPr>
          <w:rStyle w:val="StyleUnderline"/>
        </w:rPr>
        <w:t>Two main conclusions are drawn</w:t>
      </w:r>
      <w:r w:rsidRPr="0091602B">
        <w:rPr>
          <w:sz w:val="16"/>
        </w:rPr>
        <w:t xml:space="preserve">. First, </w:t>
      </w:r>
      <w:r w:rsidRPr="0091602B">
        <w:rPr>
          <w:rStyle w:val="StyleUnderline"/>
        </w:rPr>
        <w:t>patents and</w:t>
      </w:r>
      <w:r w:rsidRPr="0091602B">
        <w:rPr>
          <w:sz w:val="16"/>
        </w:rPr>
        <w:t xml:space="preserve"> the </w:t>
      </w:r>
      <w:r w:rsidRPr="0091602B">
        <w:rPr>
          <w:rStyle w:val="StyleUnderline"/>
        </w:rPr>
        <w:t xml:space="preserve">subsequent </w:t>
      </w:r>
      <w:r w:rsidRPr="0024051E">
        <w:rPr>
          <w:rStyle w:val="StyleUnderline"/>
          <w:highlight w:val="cyan"/>
        </w:rPr>
        <w:t>patents</w:t>
      </w:r>
      <w:r w:rsidRPr="0091602B">
        <w:rPr>
          <w:rStyle w:val="StyleUnderline"/>
        </w:rPr>
        <w:t xml:space="preserve"> that cite them </w:t>
      </w:r>
      <w:r w:rsidRPr="0024051E">
        <w:rPr>
          <w:rStyle w:val="StyleUnderline"/>
          <w:highlight w:val="cyan"/>
        </w:rPr>
        <w:t>provide</w:t>
      </w:r>
      <w:r w:rsidRPr="0024051E">
        <w:rPr>
          <w:sz w:val="16"/>
          <w:highlight w:val="cyan"/>
        </w:rPr>
        <w:t xml:space="preserve"> </w:t>
      </w:r>
      <w:r w:rsidRPr="0024051E">
        <w:rPr>
          <w:rStyle w:val="StyleUnderline"/>
          <w:highlight w:val="cyan"/>
        </w:rPr>
        <w:t>a</w:t>
      </w:r>
      <w:r w:rsidRPr="0024051E">
        <w:rPr>
          <w:sz w:val="16"/>
          <w:highlight w:val="cyan"/>
        </w:rPr>
        <w:t xml:space="preserve"> </w:t>
      </w:r>
      <w:r w:rsidRPr="0024051E">
        <w:rPr>
          <w:rStyle w:val="Emphasis"/>
          <w:highlight w:val="cyan"/>
        </w:rPr>
        <w:t>useful way to measure innovation performance</w:t>
      </w:r>
      <w:r w:rsidRPr="0091602B">
        <w:rPr>
          <w:sz w:val="16"/>
        </w:rPr>
        <w:t xml:space="preserve">. </w:t>
      </w:r>
      <w:r w:rsidRPr="0091602B">
        <w:rPr>
          <w:rStyle w:val="StyleUnderline"/>
        </w:rPr>
        <w:t xml:space="preserve">Patent data </w:t>
      </w:r>
      <w:r w:rsidRPr="0024051E">
        <w:rPr>
          <w:rStyle w:val="StyleUnderline"/>
          <w:highlight w:val="cyan"/>
        </w:rPr>
        <w:t>can</w:t>
      </w:r>
      <w:r w:rsidRPr="0091602B">
        <w:rPr>
          <w:rStyle w:val="StyleUnderline"/>
        </w:rPr>
        <w:t xml:space="preserve"> </w:t>
      </w:r>
      <w:r w:rsidRPr="0024051E">
        <w:rPr>
          <w:rStyle w:val="StyleUnderline"/>
          <w:highlight w:val="cyan"/>
        </w:rPr>
        <w:t>be</w:t>
      </w:r>
      <w:r w:rsidRPr="0091602B">
        <w:rPr>
          <w:rStyle w:val="StyleUnderline"/>
        </w:rPr>
        <w:t xml:space="preserve"> </w:t>
      </w:r>
      <w:r w:rsidRPr="0024051E">
        <w:rPr>
          <w:rStyle w:val="StyleUnderline"/>
          <w:highlight w:val="cyan"/>
        </w:rPr>
        <w:t>used to monitor activities of competitors</w:t>
      </w:r>
      <w:r w:rsidRPr="0091602B">
        <w:rPr>
          <w:sz w:val="16"/>
        </w:rPr>
        <w:t xml:space="preserve">, </w:t>
      </w:r>
      <w:r w:rsidRPr="0091602B">
        <w:rPr>
          <w:rStyle w:val="StyleUnderline"/>
          <w:b/>
          <w:bCs/>
        </w:rPr>
        <w:t>form a performance evaluation system</w:t>
      </w:r>
      <w:r w:rsidRPr="0091602B">
        <w:rPr>
          <w:rStyle w:val="StyleUnderline"/>
        </w:rPr>
        <w:t xml:space="preserve"> in R&amp;D organizations</w:t>
      </w:r>
      <w:r w:rsidRPr="0091602B">
        <w:rPr>
          <w:sz w:val="16"/>
        </w:rPr>
        <w:t>,</w:t>
      </w:r>
      <w:r w:rsidRPr="0091602B">
        <w:rPr>
          <w:rStyle w:val="StyleUnderline"/>
        </w:rPr>
        <w:t xml:space="preserve"> </w:t>
      </w:r>
      <w:r w:rsidRPr="0024051E">
        <w:rPr>
          <w:rStyle w:val="StyleUnderline"/>
          <w:highlight w:val="cyan"/>
        </w:rPr>
        <w:t>and</w:t>
      </w:r>
      <w:r w:rsidRPr="0091602B">
        <w:rPr>
          <w:rStyle w:val="StyleUnderline"/>
        </w:rPr>
        <w:t xml:space="preserve"> </w:t>
      </w:r>
      <w:r w:rsidRPr="0024051E">
        <w:rPr>
          <w:rStyle w:val="StyleUnderline"/>
          <w:highlight w:val="cyan"/>
        </w:rPr>
        <w:t>identify</w:t>
      </w:r>
      <w:r w:rsidRPr="0091602B">
        <w:rPr>
          <w:rStyle w:val="StyleUnderline"/>
        </w:rPr>
        <w:t xml:space="preserve"> a </w:t>
      </w:r>
      <w:r w:rsidRPr="0024051E">
        <w:rPr>
          <w:rStyle w:val="StyleUnderline"/>
          <w:highlight w:val="cyan"/>
        </w:rPr>
        <w:t>specific</w:t>
      </w:r>
      <w:r w:rsidRPr="0091602B">
        <w:rPr>
          <w:rStyle w:val="StyleUnderline"/>
        </w:rPr>
        <w:t xml:space="preserve"> </w:t>
      </w:r>
      <w:r w:rsidRPr="0024051E">
        <w:rPr>
          <w:rStyle w:val="StyleUnderline"/>
          <w:highlight w:val="cyan"/>
        </w:rPr>
        <w:t>tech</w:t>
      </w:r>
      <w:r w:rsidRPr="0024051E">
        <w:rPr>
          <w:rStyle w:val="StyleUnderline"/>
        </w:rPr>
        <w:t>nological</w:t>
      </w:r>
      <w:r w:rsidRPr="0091602B">
        <w:rPr>
          <w:rStyle w:val="StyleUnderline"/>
        </w:rPr>
        <w:t xml:space="preserve"> </w:t>
      </w:r>
      <w:r w:rsidRPr="0024051E">
        <w:rPr>
          <w:rStyle w:val="StyleUnderline"/>
          <w:highlight w:val="cyan"/>
        </w:rPr>
        <w:t>trend</w:t>
      </w:r>
      <w:r w:rsidRPr="0091602B">
        <w:rPr>
          <w:sz w:val="16"/>
        </w:rPr>
        <w:t xml:space="preserve">. Second, in prior research, patent citation lags used to distinguish between innovations of different quality have been too short to distinguish between incremental and radical innovations. </w:t>
      </w:r>
      <w:r w:rsidRPr="0091602B">
        <w:rPr>
          <w:rStyle w:val="StyleUnderline"/>
        </w:rPr>
        <w:t>Lags of ten years and longer are recommended</w:t>
      </w:r>
      <w:r w:rsidRPr="0091602B">
        <w:rPr>
          <w:sz w:val="16"/>
        </w:rPr>
        <w:t>. Short lags may obscure patent-based comparisons of firm innovativeness.</w:t>
      </w:r>
    </w:p>
    <w:p w14:paraId="4CCCCABF" w14:textId="77777777" w:rsidR="009E3DAF" w:rsidRPr="009E3DAF" w:rsidRDefault="009E3DAF" w:rsidP="009E3DAF"/>
    <w:p w14:paraId="71AC7176" w14:textId="77777777" w:rsidR="009E3DAF" w:rsidRDefault="009E3DAF"/>
    <w:p w14:paraId="60490425" w14:textId="77777777" w:rsidR="009E3DAF" w:rsidRDefault="009E3DAF"/>
    <w:p w14:paraId="2D95BC95" w14:textId="77777777" w:rsidR="009E3DAF" w:rsidRDefault="009E3DAF"/>
    <w:p w14:paraId="47AE0BAA" w14:textId="77777777" w:rsidR="009E3DAF" w:rsidRDefault="009E3DAF"/>
    <w:p w14:paraId="25103345" w14:textId="77777777" w:rsidR="009E3DAF" w:rsidRDefault="009E3DAF"/>
    <w:p w14:paraId="7E88A30E" w14:textId="77777777" w:rsidR="009E3DAF" w:rsidRDefault="009E3DAF"/>
    <w:sectPr w:rsidR="009E3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AF"/>
    <w:rsid w:val="0023799E"/>
    <w:rsid w:val="006A1823"/>
    <w:rsid w:val="009B4921"/>
    <w:rsid w:val="009E3DAF"/>
    <w:rsid w:val="00AF4480"/>
    <w:rsid w:val="00B50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74C6"/>
  <w15:chartTrackingRefBased/>
  <w15:docId w15:val="{DE2AC00E-45F5-449A-9AD6-A9268F54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799E"/>
    <w:pPr>
      <w:spacing w:after="0" w:line="240" w:lineRule="auto"/>
    </w:pPr>
    <w:rPr>
      <w:rFonts w:ascii="Georgia" w:hAnsi="Georgia" w:cs="Calibri"/>
      <w:kern w:val="0"/>
      <w14:ligatures w14:val="none"/>
    </w:rPr>
  </w:style>
  <w:style w:type="paragraph" w:styleId="Heading1">
    <w:name w:val="heading 1"/>
    <w:aliases w:val="Pocket"/>
    <w:basedOn w:val="Normal"/>
    <w:next w:val="Normal"/>
    <w:link w:val="Heading1Char"/>
    <w:qFormat/>
    <w:rsid w:val="002379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79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379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3799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799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E3D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79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99E"/>
  </w:style>
  <w:style w:type="character" w:customStyle="1" w:styleId="Heading1Char">
    <w:name w:val="Heading 1 Char"/>
    <w:aliases w:val="Pocket Char"/>
    <w:basedOn w:val="DefaultParagraphFont"/>
    <w:link w:val="Heading1"/>
    <w:rsid w:val="0023799E"/>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3799E"/>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3799E"/>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23799E"/>
    <w:rPr>
      <w:rFonts w:ascii="Georgia" w:eastAsiaTheme="majorEastAsia" w:hAnsi="Georgia" w:cstheme="majorBidi"/>
      <w:b/>
      <w:iCs/>
      <w:kern w:val="0"/>
      <w:sz w:val="26"/>
      <w14:ligatures w14:val="none"/>
    </w:rPr>
  </w:style>
  <w:style w:type="character" w:customStyle="1" w:styleId="Heading5Char">
    <w:name w:val="Heading 5 Char"/>
    <w:basedOn w:val="DefaultParagraphFont"/>
    <w:link w:val="Heading5"/>
    <w:uiPriority w:val="9"/>
    <w:semiHidden/>
    <w:rsid w:val="0023799E"/>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9E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AF"/>
    <w:rPr>
      <w:rFonts w:eastAsiaTheme="majorEastAsia" w:cstheme="majorBidi"/>
      <w:color w:val="272727" w:themeColor="text1" w:themeTint="D8"/>
    </w:rPr>
  </w:style>
  <w:style w:type="paragraph" w:styleId="Title">
    <w:name w:val="Title"/>
    <w:basedOn w:val="Normal"/>
    <w:next w:val="Normal"/>
    <w:link w:val="TitleChar"/>
    <w:uiPriority w:val="10"/>
    <w:qFormat/>
    <w:rsid w:val="009E3D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AF"/>
    <w:pPr>
      <w:spacing w:before="160"/>
      <w:jc w:val="center"/>
    </w:pPr>
    <w:rPr>
      <w:i/>
      <w:iCs/>
      <w:color w:val="404040" w:themeColor="text1" w:themeTint="BF"/>
    </w:rPr>
  </w:style>
  <w:style w:type="character" w:customStyle="1" w:styleId="QuoteChar">
    <w:name w:val="Quote Char"/>
    <w:basedOn w:val="DefaultParagraphFont"/>
    <w:link w:val="Quote"/>
    <w:uiPriority w:val="29"/>
    <w:rsid w:val="009E3DAF"/>
    <w:rPr>
      <w:i/>
      <w:iCs/>
      <w:color w:val="404040" w:themeColor="text1" w:themeTint="BF"/>
    </w:rPr>
  </w:style>
  <w:style w:type="paragraph" w:styleId="ListParagraph">
    <w:name w:val="List Paragraph"/>
    <w:basedOn w:val="Normal"/>
    <w:uiPriority w:val="34"/>
    <w:qFormat/>
    <w:rsid w:val="009E3DAF"/>
    <w:pPr>
      <w:ind w:left="720"/>
      <w:contextualSpacing/>
    </w:pPr>
  </w:style>
  <w:style w:type="character" w:styleId="IntenseEmphasis">
    <w:name w:val="Intense Emphasis"/>
    <w:basedOn w:val="DefaultParagraphFont"/>
    <w:uiPriority w:val="21"/>
    <w:qFormat/>
    <w:rsid w:val="009E3DAF"/>
    <w:rPr>
      <w:i/>
      <w:iCs/>
      <w:color w:val="0F4761" w:themeColor="accent1" w:themeShade="BF"/>
    </w:rPr>
  </w:style>
  <w:style w:type="paragraph" w:styleId="IntenseQuote">
    <w:name w:val="Intense Quote"/>
    <w:basedOn w:val="Normal"/>
    <w:next w:val="Normal"/>
    <w:link w:val="IntenseQuoteChar"/>
    <w:uiPriority w:val="30"/>
    <w:qFormat/>
    <w:rsid w:val="009E3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DAF"/>
    <w:rPr>
      <w:i/>
      <w:iCs/>
      <w:color w:val="0F4761" w:themeColor="accent1" w:themeShade="BF"/>
    </w:rPr>
  </w:style>
  <w:style w:type="character" w:styleId="IntenseReference">
    <w:name w:val="Intense Reference"/>
    <w:basedOn w:val="DefaultParagraphFont"/>
    <w:uiPriority w:val="32"/>
    <w:qFormat/>
    <w:rsid w:val="009E3DA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23799E"/>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23799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3799E"/>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7"/>
    <w:qFormat/>
    <w:rsid w:val="0023799E"/>
    <w:rPr>
      <w:b w:val="0"/>
      <w:sz w:val="22"/>
      <w:u w:val="single"/>
    </w:rPr>
  </w:style>
  <w:style w:type="character" w:styleId="Strong">
    <w:name w:val="Strong"/>
    <w:basedOn w:val="DefaultParagraphFont"/>
    <w:uiPriority w:val="22"/>
    <w:qFormat/>
    <w:rsid w:val="0023799E"/>
    <w:rPr>
      <w:b/>
      <w:bCs/>
    </w:rPr>
  </w:style>
  <w:style w:type="character" w:styleId="BookTitle">
    <w:name w:val="Book Title"/>
    <w:basedOn w:val="DefaultParagraphFont"/>
    <w:uiPriority w:val="33"/>
    <w:qFormat/>
    <w:rsid w:val="0023799E"/>
    <w:rPr>
      <w:b/>
      <w:bCs/>
      <w:i/>
      <w:iCs/>
      <w:spacing w:val="5"/>
    </w:rPr>
  </w:style>
  <w:style w:type="numbering" w:styleId="111111">
    <w:name w:val="Outline List 2"/>
    <w:basedOn w:val="NoList"/>
    <w:uiPriority w:val="99"/>
    <w:semiHidden/>
    <w:unhideWhenUsed/>
    <w:rsid w:val="0023799E"/>
  </w:style>
  <w:style w:type="paragraph" w:styleId="Header">
    <w:name w:val="header"/>
    <w:basedOn w:val="Normal"/>
    <w:link w:val="HeaderChar"/>
    <w:uiPriority w:val="99"/>
    <w:semiHidden/>
    <w:rsid w:val="0023799E"/>
    <w:pPr>
      <w:tabs>
        <w:tab w:val="center" w:pos="4680"/>
        <w:tab w:val="right" w:pos="9360"/>
      </w:tabs>
    </w:pPr>
  </w:style>
  <w:style w:type="character" w:customStyle="1" w:styleId="HeaderChar">
    <w:name w:val="Header Char"/>
    <w:basedOn w:val="DefaultParagraphFont"/>
    <w:link w:val="Header"/>
    <w:uiPriority w:val="99"/>
    <w:semiHidden/>
    <w:rsid w:val="0023799E"/>
    <w:rPr>
      <w:rFonts w:ascii="Georgia" w:hAnsi="Georgia" w:cs="Calibri"/>
      <w:kern w:val="0"/>
      <w14:ligatures w14:val="none"/>
    </w:rPr>
  </w:style>
  <w:style w:type="paragraph" w:styleId="Footer">
    <w:name w:val="footer"/>
    <w:basedOn w:val="Normal"/>
    <w:link w:val="FooterChar"/>
    <w:uiPriority w:val="99"/>
    <w:semiHidden/>
    <w:rsid w:val="0023799E"/>
    <w:pPr>
      <w:tabs>
        <w:tab w:val="center" w:pos="4680"/>
        <w:tab w:val="right" w:pos="9360"/>
      </w:tabs>
    </w:pPr>
  </w:style>
  <w:style w:type="character" w:customStyle="1" w:styleId="FooterChar">
    <w:name w:val="Footer Char"/>
    <w:basedOn w:val="DefaultParagraphFont"/>
    <w:link w:val="Footer"/>
    <w:uiPriority w:val="99"/>
    <w:semiHidden/>
    <w:rsid w:val="0023799E"/>
    <w:rPr>
      <w:rFonts w:ascii="Georgia" w:hAnsi="Georgia" w:cs="Calibri"/>
      <w:kern w:val="0"/>
      <w14:ligatures w14:val="none"/>
    </w:rPr>
  </w:style>
  <w:style w:type="paragraph" w:styleId="BodyText">
    <w:name w:val="Body Text"/>
    <w:basedOn w:val="Normal"/>
    <w:link w:val="BodyTextChar"/>
    <w:uiPriority w:val="99"/>
    <w:semiHidden/>
    <w:unhideWhenUsed/>
    <w:rsid w:val="0023799E"/>
    <w:pPr>
      <w:spacing w:after="120"/>
    </w:pPr>
  </w:style>
  <w:style w:type="character" w:customStyle="1" w:styleId="BodyTextChar">
    <w:name w:val="Body Text Char"/>
    <w:basedOn w:val="DefaultParagraphFont"/>
    <w:link w:val="BodyText"/>
    <w:uiPriority w:val="99"/>
    <w:semiHidden/>
    <w:rsid w:val="0023799E"/>
    <w:rPr>
      <w:rFonts w:ascii="Georgia" w:hAnsi="Georgia" w:cs="Calibri"/>
      <w:kern w:val="0"/>
      <w14:ligatures w14:val="none"/>
    </w:rPr>
  </w:style>
  <w:style w:type="paragraph" w:styleId="NoSpacing">
    <w:name w:val="No Spacing"/>
    <w:link w:val="NoSpacingChar"/>
    <w:uiPriority w:val="99"/>
    <w:unhideWhenUsed/>
    <w:qFormat/>
    <w:rsid w:val="0023799E"/>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23799E"/>
    <w:rPr>
      <w:rFonts w:ascii="Calibri" w:hAnsi="Calibri" w:cs="Calibri"/>
      <w:kern w:val="0"/>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23799E"/>
    <w:rPr>
      <w:color w:val="467886" w:themeColor="hyperlink"/>
      <w:u w:val="single"/>
    </w:rPr>
  </w:style>
  <w:style w:type="character" w:styleId="UnresolvedMention">
    <w:name w:val="Unresolved Mention"/>
    <w:basedOn w:val="DefaultParagraphFont"/>
    <w:uiPriority w:val="99"/>
    <w:semiHidden/>
    <w:unhideWhenUsed/>
    <w:rsid w:val="0023799E"/>
    <w:rPr>
      <w:color w:val="605E5C"/>
      <w:shd w:val="clear" w:color="auto" w:fill="E1DFDD"/>
    </w:rPr>
  </w:style>
  <w:style w:type="paragraph" w:customStyle="1" w:styleId="Emphasis1">
    <w:name w:val="Emphasis1"/>
    <w:basedOn w:val="Normal"/>
    <w:link w:val="Emphasis"/>
    <w:autoRedefine/>
    <w:uiPriority w:val="8"/>
    <w:qFormat/>
    <w:rsid w:val="009E3DAF"/>
    <w:pPr>
      <w:pBdr>
        <w:top w:val="single" w:sz="4" w:space="1" w:color="auto"/>
        <w:left w:val="single" w:sz="4" w:space="4" w:color="auto"/>
        <w:bottom w:val="single" w:sz="4" w:space="1" w:color="auto"/>
        <w:right w:val="single" w:sz="4" w:space="4" w:color="auto"/>
      </w:pBdr>
      <w:spacing w:after="160" w:line="259" w:lineRule="auto"/>
      <w:ind w:left="720"/>
      <w:jc w:val="both"/>
    </w:pPr>
    <w:rPr>
      <w:b/>
      <w:iCs/>
      <w:kern w:val="2"/>
      <w:u w:val="single"/>
      <w14:ligatures w14:val="standardContextual"/>
    </w:rPr>
  </w:style>
  <w:style w:type="paragraph" w:customStyle="1" w:styleId="textbold">
    <w:name w:val="text bold"/>
    <w:basedOn w:val="Normal"/>
    <w:uiPriority w:val="8"/>
    <w:qFormat/>
    <w:rsid w:val="009E3DAF"/>
    <w:pPr>
      <w:pBdr>
        <w:top w:val="single" w:sz="4" w:space="0" w:color="auto"/>
        <w:left w:val="single" w:sz="4" w:space="0" w:color="auto"/>
        <w:bottom w:val="single" w:sz="4" w:space="0" w:color="auto"/>
        <w:right w:val="single" w:sz="4" w:space="0" w:color="auto"/>
      </w:pBdr>
      <w:spacing w:after="160" w:line="259" w:lineRule="auto"/>
      <w:ind w:left="720"/>
      <w:jc w:val="both"/>
    </w:pPr>
    <w:rPr>
      <w:rFonts w:ascii="Calibri" w:eastAsiaTheme="minorEastAsia" w:hAnsi="Calibri" w:cstheme="minorBidi"/>
      <w:b/>
      <w:iCs/>
      <w:szCs w:val="24"/>
      <w:u w:val="single"/>
    </w:rPr>
  </w:style>
  <w:style w:type="paragraph" w:customStyle="1" w:styleId="Heading411">
    <w:name w:val="Heading 411"/>
    <w:basedOn w:val="Heading1"/>
    <w:next w:val="NoSpacing"/>
    <w:link w:val="Hyperlink"/>
    <w:autoRedefine/>
    <w:uiPriority w:val="99"/>
    <w:qFormat/>
    <w:rsid w:val="00B50C41"/>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453536">
      <w:bodyDiv w:val="1"/>
      <w:marLeft w:val="0"/>
      <w:marRight w:val="0"/>
      <w:marTop w:val="0"/>
      <w:marBottom w:val="0"/>
      <w:divBdr>
        <w:top w:val="none" w:sz="0" w:space="0" w:color="auto"/>
        <w:left w:val="none" w:sz="0" w:space="0" w:color="auto"/>
        <w:bottom w:val="none" w:sz="0" w:space="0" w:color="auto"/>
        <w:right w:val="none" w:sz="0" w:space="0" w:color="auto"/>
      </w:divBdr>
    </w:div>
    <w:div w:id="746456950">
      <w:bodyDiv w:val="1"/>
      <w:marLeft w:val="0"/>
      <w:marRight w:val="0"/>
      <w:marTop w:val="0"/>
      <w:marBottom w:val="0"/>
      <w:divBdr>
        <w:top w:val="none" w:sz="0" w:space="0" w:color="auto"/>
        <w:left w:val="none" w:sz="0" w:space="0" w:color="auto"/>
        <w:bottom w:val="none" w:sz="0" w:space="0" w:color="auto"/>
        <w:right w:val="none" w:sz="0" w:space="0" w:color="auto"/>
      </w:divBdr>
    </w:div>
    <w:div w:id="1186862949">
      <w:bodyDiv w:val="1"/>
      <w:marLeft w:val="0"/>
      <w:marRight w:val="0"/>
      <w:marTop w:val="0"/>
      <w:marBottom w:val="0"/>
      <w:divBdr>
        <w:top w:val="none" w:sz="0" w:space="0" w:color="auto"/>
        <w:left w:val="none" w:sz="0" w:space="0" w:color="auto"/>
        <w:bottom w:val="none" w:sz="0" w:space="0" w:color="auto"/>
        <w:right w:val="none" w:sz="0" w:space="0" w:color="auto"/>
      </w:divBdr>
    </w:div>
    <w:div w:id="1494418517">
      <w:bodyDiv w:val="1"/>
      <w:marLeft w:val="0"/>
      <w:marRight w:val="0"/>
      <w:marTop w:val="0"/>
      <w:marBottom w:val="0"/>
      <w:divBdr>
        <w:top w:val="none" w:sz="0" w:space="0" w:color="auto"/>
        <w:left w:val="none" w:sz="0" w:space="0" w:color="auto"/>
        <w:bottom w:val="none" w:sz="0" w:space="0" w:color="auto"/>
        <w:right w:val="none" w:sz="0" w:space="0" w:color="auto"/>
      </w:divBdr>
    </w:div>
    <w:div w:id="1718243203">
      <w:bodyDiv w:val="1"/>
      <w:marLeft w:val="0"/>
      <w:marRight w:val="0"/>
      <w:marTop w:val="0"/>
      <w:marBottom w:val="0"/>
      <w:divBdr>
        <w:top w:val="none" w:sz="0" w:space="0" w:color="auto"/>
        <w:left w:val="none" w:sz="0" w:space="0" w:color="auto"/>
        <w:bottom w:val="none" w:sz="0" w:space="0" w:color="auto"/>
        <w:right w:val="none" w:sz="0" w:space="0" w:color="auto"/>
      </w:divBdr>
    </w:div>
    <w:div w:id="20068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 TargetMode="External"/><Relationship Id="rId13" Type="http://schemas.openxmlformats.org/officeDocument/2006/relationships/hyperlink" Target="https://digitalrepository.unm.edu/cgi/viewcontent.cgi?article=1157&amp;context=cj_etds" TargetMode="External"/><Relationship Id="rId18" Type="http://schemas.openxmlformats.org/officeDocument/2006/relationships/hyperlink" Target="https://www.jstor.org/stable/pdf/26879583.pdf?casa_token=OLMav-Rj3ikAAAAA:ovonhxevvXXKjdL-LmaWhR66myoIUzrnEALfRRkT8UY404BxlXE7m78knhBaagJGxpxalAc2z_JFSjaFiuQ3INDg8fccrj9Z_w7T0EX3ZvE7DttAZr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eb.archive.org/web/20190910040756/https://failingthatinvent.home.blog/2019/09/08/truth-and-practic-the-marxist-theory-of-knowledge/" TargetMode="External"/><Relationship Id="rId12" Type="http://schemas.openxmlformats.org/officeDocument/2006/relationships/hyperlink" Target="https://digitalrepository.unm.edu/cgi/viewcontent.cgi?article=1157&amp;context=cj_etds" TargetMode="External"/><Relationship Id="rId17" Type="http://schemas.openxmlformats.org/officeDocument/2006/relationships/hyperlink" Target="https://www.jstor.org/stable/pdf/26879583.pdf?casa_token=OLMav-Rj3ikAAAAA:ovonhxevvXXKjdL-LmaWhR66myoIUzrnEALfRRkT8UY404BxlXE7m78knhBaagJGxpxalAc2z_JFSjaFiuQ3INDg8fccrj9Z_w7T0EX3ZvE7DttAZr4" TargetMode="External"/><Relationship Id="rId2" Type="http://schemas.openxmlformats.org/officeDocument/2006/relationships/styles" Target="styles.xml"/><Relationship Id="rId16" Type="http://schemas.openxmlformats.org/officeDocument/2006/relationships/hyperlink" Target="https://www.jstor.org/stable/pdf/26879583.pdf?casa_token=OLMav-Rj3ikAAAAA:ovonhxevvXXKjdL-LmaWhR66myoIUzrnEALfRRkT8UY404BxlXE7m78knhBaagJGxpxalAc2z_JFSjaFiuQ3INDg8fccrj9Z_w7T0EX3ZvE7DttAZr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pwatchdog.com/2019/08/27/damage-patent-system-failure-honor-u-s-legal-framework-double-patenting/id=112629/" TargetMode="External"/><Relationship Id="rId11" Type="http://schemas.openxmlformats.org/officeDocument/2006/relationships/hyperlink" Target="https://www.sciencedirect.com/science/article/pii/S0016718517300970" TargetMode="External"/><Relationship Id="rId5" Type="http://schemas.openxmlformats.org/officeDocument/2006/relationships/hyperlink" Target="https://scholarship.law.umn.edu/mlr/95," TargetMode="External"/><Relationship Id="rId15" Type="http://schemas.openxmlformats.org/officeDocument/2006/relationships/hyperlink" Target="https://digitalrepository.unm.edu/cgi/viewcontent.cgi?article=1157&amp;context=cj_etds" TargetMode="External"/><Relationship Id="rId10" Type="http://schemas.openxmlformats.org/officeDocument/2006/relationships/hyperlink" Target="https://www.sciencedirect.com/science/article/pii/S0016718517300970" TargetMode="External"/><Relationship Id="rId19" Type="http://schemas.openxmlformats.org/officeDocument/2006/relationships/hyperlink" Target="https://www.jstor.org/stable/pdf/26879583.pdf?casa_token=OLMav-Rj3ikAAAAA:ovonhxevvXXKjdL-LmaWhR66myoIUzrnEALfRRkT8UY404BxlXE7m78knhBaagJGxpxalAc2z_JFSjaFiuQ3INDg8fccrj9Z_w7T0EX3ZvE7DttAZr4" TargetMode="External"/><Relationship Id="rId4" Type="http://schemas.openxmlformats.org/officeDocument/2006/relationships/webSettings" Target="webSettings.xml"/><Relationship Id="rId9" Type="http://schemas.openxmlformats.org/officeDocument/2006/relationships/hyperlink" Target="https://www.sciencedirect.com/science/article/pii/S0016718517300970" TargetMode="External"/><Relationship Id="rId14" Type="http://schemas.openxmlformats.org/officeDocument/2006/relationships/hyperlink" Target="https://digitalrepository.unm.edu/cgi/viewcontent.cgi?article=1157&amp;context=cj_et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153</TotalTime>
  <Pages>1</Pages>
  <Words>29729</Words>
  <Characters>169456</Characters>
  <Application>Microsoft Office Word</Application>
  <DocSecurity>0</DocSecurity>
  <Lines>1412</Lines>
  <Paragraphs>397</Paragraphs>
  <ScaleCrop>false</ScaleCrop>
  <Company/>
  <LinksUpToDate>false</LinksUpToDate>
  <CharactersWithSpaces>198788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6</cp:revision>
  <dcterms:created xsi:type="dcterms:W3CDTF">2024-07-17T20:41:00Z</dcterms:created>
  <dcterms:modified xsi:type="dcterms:W3CDTF">2024-07-17T23:20:00Z</dcterms:modified>
</cp:coreProperties>
</file>