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88F" w:rsidRDefault="00706303" w:rsidP="00706303">
      <w:pPr>
        <w:pStyle w:val="Heading1"/>
      </w:pPr>
      <w:r>
        <w:t>Bona Fide Updates---HHRS</w:t>
      </w:r>
    </w:p>
    <w:p w:rsidR="00706303" w:rsidRDefault="00706303" w:rsidP="00706303">
      <w:pPr>
        <w:pStyle w:val="Heading1"/>
      </w:pPr>
      <w:proofErr w:type="spellStart"/>
      <w:r>
        <w:t>Aff</w:t>
      </w:r>
      <w:proofErr w:type="spellEnd"/>
    </w:p>
    <w:p w:rsidR="00706303" w:rsidRDefault="00706303" w:rsidP="00706303">
      <w:pPr>
        <w:pStyle w:val="Heading3"/>
      </w:pPr>
      <w:r>
        <w:t>1AC Inherency</w:t>
      </w:r>
    </w:p>
    <w:p w:rsidR="00706303" w:rsidRDefault="00706303" w:rsidP="00706303">
      <w:pPr>
        <w:pStyle w:val="Heading4"/>
      </w:pPr>
      <w:r>
        <w:rPr>
          <w:u w:val="single"/>
        </w:rPr>
        <w:t>Most recent</w:t>
      </w:r>
      <w:r>
        <w:t xml:space="preserve"> court case </w:t>
      </w:r>
      <w:r>
        <w:rPr>
          <w:u w:val="single"/>
        </w:rPr>
        <w:t>proves</w:t>
      </w:r>
      <w:r>
        <w:t xml:space="preserve"> de minimis sales </w:t>
      </w:r>
      <w:r>
        <w:rPr>
          <w:u w:val="single"/>
        </w:rPr>
        <w:t>still</w:t>
      </w:r>
      <w:r>
        <w:t xml:space="preserve"> don’t cut it.</w:t>
      </w:r>
    </w:p>
    <w:p w:rsidR="00706303" w:rsidRPr="00606154" w:rsidRDefault="00706303" w:rsidP="00706303">
      <w:r>
        <w:t>*T</w:t>
      </w:r>
      <w:r w:rsidRPr="00606154">
        <w:t xml:space="preserve">he card is short because it’s a </w:t>
      </w:r>
      <w:proofErr w:type="gramStart"/>
      <w:r w:rsidRPr="00606154">
        <w:t>61 page</w:t>
      </w:r>
      <w:proofErr w:type="gramEnd"/>
      <w:r w:rsidRPr="00606154">
        <w:t xml:space="preserve"> court brief – this is the important part</w:t>
      </w:r>
      <w:r>
        <w:t>*</w:t>
      </w:r>
    </w:p>
    <w:p w:rsidR="00706303" w:rsidRDefault="00706303" w:rsidP="00706303">
      <w:r>
        <w:rPr>
          <w:rStyle w:val="Style13ptBold"/>
        </w:rPr>
        <w:t xml:space="preserve">TTAB 17 </w:t>
      </w:r>
      <w:r w:rsidRPr="00B820EE">
        <w:rPr>
          <w:sz w:val="16"/>
        </w:rPr>
        <w:t>– Trademark Trial and Appeal Board, 6-21-2017, " Executive Coach Builders, Inc. v. SPV Coach Company, Inc.,” Trademark Trial and Appeal Board, https://casetext.com/admin-law/executive-coach-builders-inc-v-spv-coach-company-inc /$</w:t>
      </w:r>
      <w:proofErr w:type="spellStart"/>
      <w:r w:rsidRPr="00B820EE">
        <w:rPr>
          <w:sz w:val="16"/>
        </w:rPr>
        <w:t>antiP</w:t>
      </w:r>
      <w:proofErr w:type="spellEnd"/>
      <w:r w:rsidRPr="00B820EE">
        <w:rPr>
          <w:sz w:val="16"/>
        </w:rPr>
        <w:t>/</w:t>
      </w:r>
    </w:p>
    <w:p w:rsidR="00706303" w:rsidRPr="00606154" w:rsidRDefault="00706303" w:rsidP="00706303">
      <w:pPr>
        <w:rPr>
          <w:sz w:val="16"/>
        </w:rPr>
      </w:pPr>
      <w:r w:rsidRPr="00606154">
        <w:rPr>
          <w:sz w:val="16"/>
        </w:rPr>
        <w:t xml:space="preserve">Individually and collectively, </w:t>
      </w:r>
      <w:r w:rsidRPr="00606154">
        <w:rPr>
          <w:highlight w:val="cyan"/>
          <w:u w:val="single"/>
        </w:rPr>
        <w:t>we find that</w:t>
      </w:r>
      <w:r w:rsidRPr="00606154">
        <w:rPr>
          <w:u w:val="single"/>
        </w:rPr>
        <w:t xml:space="preserve"> these isolated and </w:t>
      </w:r>
      <w:r w:rsidRPr="00606154">
        <w:rPr>
          <w:b/>
          <w:bCs/>
          <w:highlight w:val="cyan"/>
          <w:u w:val="single"/>
        </w:rPr>
        <w:t>de minimis uses</w:t>
      </w:r>
      <w:r w:rsidRPr="00606154">
        <w:rPr>
          <w:u w:val="single"/>
        </w:rPr>
        <w:t xml:space="preserve"> of the</w:t>
      </w:r>
      <w:r w:rsidRPr="00606154">
        <w:rPr>
          <w:sz w:val="16"/>
        </w:rPr>
        <w:t xml:space="preserve"> ARMBRUSTER/STAGEWAY </w:t>
      </w:r>
      <w:r w:rsidRPr="00606154">
        <w:rPr>
          <w:u w:val="single"/>
        </w:rPr>
        <w:t xml:space="preserve">mark other than on vehicles </w:t>
      </w:r>
      <w:r w:rsidRPr="00606154">
        <w:rPr>
          <w:highlight w:val="cyan"/>
          <w:u w:val="single"/>
        </w:rPr>
        <w:t xml:space="preserve">are </w:t>
      </w:r>
      <w:r w:rsidRPr="00606154">
        <w:rPr>
          <w:b/>
          <w:bCs/>
          <w:highlight w:val="cyan"/>
          <w:u w:val="single"/>
        </w:rPr>
        <w:t>insufficient to constitute bona fide use</w:t>
      </w:r>
      <w:r w:rsidRPr="00606154">
        <w:rPr>
          <w:u w:val="single"/>
        </w:rPr>
        <w:t xml:space="preserve"> of that mark </w:t>
      </w:r>
      <w:r w:rsidRPr="00606154">
        <w:rPr>
          <w:highlight w:val="cyan"/>
          <w:u w:val="single"/>
        </w:rPr>
        <w:t xml:space="preserve">in the </w:t>
      </w:r>
      <w:r w:rsidRPr="00606154">
        <w:rPr>
          <w:b/>
          <w:bCs/>
          <w:highlight w:val="cyan"/>
          <w:u w:val="single"/>
        </w:rPr>
        <w:t>ordinary course of</w:t>
      </w:r>
      <w:r w:rsidRPr="00606154">
        <w:rPr>
          <w:b/>
          <w:bCs/>
          <w:u w:val="single"/>
        </w:rPr>
        <w:t xml:space="preserve"> </w:t>
      </w:r>
      <w:r w:rsidRPr="00606154">
        <w:rPr>
          <w:b/>
          <w:bCs/>
          <w:highlight w:val="cyan"/>
          <w:u w:val="single"/>
        </w:rPr>
        <w:t>trade</w:t>
      </w:r>
      <w:r w:rsidRPr="00606154">
        <w:rPr>
          <w:sz w:val="16"/>
        </w:rPr>
        <w:t>.</w:t>
      </w:r>
    </w:p>
    <w:p w:rsidR="00706303" w:rsidRDefault="00706303" w:rsidP="00706303">
      <w:pPr>
        <w:pStyle w:val="Heading3"/>
        <w:rPr>
          <w:i/>
          <w:iCs/>
        </w:rPr>
      </w:pPr>
      <w:r>
        <w:t>XT---</w:t>
      </w:r>
      <w:r w:rsidRPr="0095739B">
        <w:rPr>
          <w:i/>
          <w:iCs/>
        </w:rPr>
        <w:t>Executive Coach Builders, Inc. v. SPV Coach Company, Inc</w:t>
      </w:r>
    </w:p>
    <w:p w:rsidR="00706303" w:rsidRDefault="00706303" w:rsidP="00706303">
      <w:pPr>
        <w:pStyle w:val="Heading4"/>
      </w:pPr>
      <w:r>
        <w:t xml:space="preserve">It’s the </w:t>
      </w:r>
      <w:r>
        <w:rPr>
          <w:u w:val="single"/>
        </w:rPr>
        <w:t>same</w:t>
      </w:r>
      <w:r>
        <w:t xml:space="preserve"> situation as </w:t>
      </w:r>
      <w:r>
        <w:rPr>
          <w:i/>
          <w:iCs w:val="0"/>
        </w:rPr>
        <w:t>CFFC v. Adidas</w:t>
      </w:r>
      <w:r>
        <w:t xml:space="preserve"> but </w:t>
      </w:r>
      <w:r>
        <w:rPr>
          <w:u w:val="single"/>
        </w:rPr>
        <w:t>more</w:t>
      </w:r>
      <w:r>
        <w:t xml:space="preserve"> recent – prefer our evidence.</w:t>
      </w:r>
    </w:p>
    <w:p w:rsidR="00706303" w:rsidRPr="0011165C" w:rsidRDefault="00706303" w:rsidP="00706303">
      <w:r>
        <w:t>*Not a huge reason to read this unless they say your evidence isn’t about theirs*</w:t>
      </w:r>
    </w:p>
    <w:p w:rsidR="00706303" w:rsidRDefault="00706303" w:rsidP="00706303">
      <w:r>
        <w:rPr>
          <w:rStyle w:val="Style13ptBold"/>
        </w:rPr>
        <w:t>TTAB 17</w:t>
      </w:r>
      <w:r w:rsidRPr="00B820EE">
        <w:rPr>
          <w:rStyle w:val="Style13ptBold"/>
          <w:sz w:val="16"/>
        </w:rPr>
        <w:t xml:space="preserve"> </w:t>
      </w:r>
      <w:r w:rsidRPr="00B820EE">
        <w:rPr>
          <w:sz w:val="16"/>
        </w:rPr>
        <w:t>– Trademark Trial and Appeal Board, 6-21-2017, " Executive Coach Builders, Inc. v. SPV Coach Company, Inc.,” Trademark Trial and Appeal Board, https://casetext.com/admin-law/executive-coach-builders-inc-v-spv-coach-company-inc /$</w:t>
      </w:r>
      <w:proofErr w:type="spellStart"/>
      <w:r w:rsidRPr="00B820EE">
        <w:rPr>
          <w:sz w:val="16"/>
        </w:rPr>
        <w:t>antiP</w:t>
      </w:r>
      <w:proofErr w:type="spellEnd"/>
      <w:r w:rsidRPr="00B820EE">
        <w:rPr>
          <w:sz w:val="16"/>
        </w:rPr>
        <w:t>/</w:t>
      </w:r>
    </w:p>
    <w:p w:rsidR="00706303" w:rsidRPr="00B820EE" w:rsidRDefault="00706303" w:rsidP="00706303">
      <w:pPr>
        <w:rPr>
          <w:sz w:val="16"/>
        </w:rPr>
      </w:pPr>
      <w:r w:rsidRPr="00B820EE">
        <w:rPr>
          <w:highlight w:val="cyan"/>
          <w:u w:val="single"/>
        </w:rPr>
        <w:t>SPV C</w:t>
      </w:r>
      <w:r w:rsidRPr="00B820EE">
        <w:rPr>
          <w:u w:val="single"/>
        </w:rPr>
        <w:t xml:space="preserve">oach </w:t>
      </w:r>
      <w:r w:rsidRPr="00B820EE">
        <w:rPr>
          <w:highlight w:val="cyan"/>
          <w:u w:val="single"/>
        </w:rPr>
        <w:t>C</w:t>
      </w:r>
      <w:r w:rsidRPr="00B820EE">
        <w:rPr>
          <w:u w:val="single"/>
        </w:rPr>
        <w:t xml:space="preserve">ompany, </w:t>
      </w:r>
      <w:r w:rsidRPr="00B820EE">
        <w:rPr>
          <w:highlight w:val="cyan"/>
          <w:u w:val="single"/>
        </w:rPr>
        <w:t>Inc</w:t>
      </w:r>
      <w:r w:rsidRPr="00B820EE">
        <w:rPr>
          <w:u w:val="single"/>
        </w:rPr>
        <w:t xml:space="preserve">. </w:t>
      </w:r>
      <w:r w:rsidRPr="00B820EE">
        <w:rPr>
          <w:sz w:val="16"/>
        </w:rPr>
        <w:t>(“Applicant”)</w:t>
      </w:r>
      <w:r w:rsidRPr="00B820EE">
        <w:rPr>
          <w:u w:val="single"/>
        </w:rPr>
        <w:t xml:space="preserve"> </w:t>
      </w:r>
      <w:r w:rsidRPr="00B820EE">
        <w:rPr>
          <w:b/>
          <w:bCs/>
          <w:highlight w:val="cyan"/>
          <w:u w:val="single"/>
        </w:rPr>
        <w:t>seeks to register</w:t>
      </w:r>
      <w:r w:rsidRPr="00B820EE">
        <w:rPr>
          <w:b/>
          <w:bCs/>
          <w:u w:val="single"/>
        </w:rPr>
        <w:t xml:space="preserve"> the </w:t>
      </w:r>
      <w:r w:rsidRPr="00B820EE">
        <w:rPr>
          <w:b/>
          <w:bCs/>
          <w:highlight w:val="cyan"/>
          <w:u w:val="single"/>
        </w:rPr>
        <w:t>mark</w:t>
      </w:r>
      <w:r w:rsidRPr="00B820EE">
        <w:rPr>
          <w:u w:val="single"/>
        </w:rPr>
        <w:t xml:space="preserve"> ARMBRUSTER STAGEWAY </w:t>
      </w:r>
      <w:r w:rsidRPr="00B820EE">
        <w:rPr>
          <w:sz w:val="16"/>
        </w:rPr>
        <w:t>(in standard characters)</w:t>
      </w:r>
      <w:r w:rsidRPr="00B820EE">
        <w:rPr>
          <w:u w:val="single"/>
        </w:rPr>
        <w:t xml:space="preserve"> </w:t>
      </w:r>
      <w:r w:rsidRPr="00B820EE">
        <w:rPr>
          <w:highlight w:val="cyan"/>
          <w:u w:val="single"/>
        </w:rPr>
        <w:t>on</w:t>
      </w:r>
      <w:r w:rsidRPr="00B820EE">
        <w:rPr>
          <w:u w:val="single"/>
        </w:rPr>
        <w:t xml:space="preserve"> the Principal Register for “</w:t>
      </w:r>
      <w:r w:rsidRPr="00B820EE">
        <w:rPr>
          <w:highlight w:val="cyan"/>
          <w:u w:val="single"/>
        </w:rPr>
        <w:t>vehicles</w:t>
      </w:r>
      <w:r w:rsidRPr="00B820EE">
        <w:rPr>
          <w:u w:val="single"/>
        </w:rPr>
        <w:t xml:space="preserve">, namely, customized limousines” in International Class </w:t>
      </w:r>
      <w:r w:rsidRPr="00B820EE">
        <w:rPr>
          <w:sz w:val="16"/>
        </w:rPr>
        <w:t>12.1</w:t>
      </w:r>
      <w:r w:rsidRPr="00B820EE">
        <w:rPr>
          <w:u w:val="single"/>
        </w:rPr>
        <w:t xml:space="preserve"> </w:t>
      </w:r>
      <w:r w:rsidRPr="00B820EE">
        <w:rPr>
          <w:highlight w:val="cyan"/>
          <w:u w:val="single"/>
        </w:rPr>
        <w:t>E</w:t>
      </w:r>
      <w:r w:rsidRPr="00B820EE">
        <w:rPr>
          <w:u w:val="single"/>
        </w:rPr>
        <w:t xml:space="preserve">xecutive </w:t>
      </w:r>
      <w:r w:rsidRPr="00B820EE">
        <w:rPr>
          <w:highlight w:val="cyan"/>
          <w:u w:val="single"/>
        </w:rPr>
        <w:t>C</w:t>
      </w:r>
      <w:r w:rsidRPr="00B820EE">
        <w:rPr>
          <w:u w:val="single"/>
        </w:rPr>
        <w:t xml:space="preserve">oach </w:t>
      </w:r>
      <w:r w:rsidRPr="00B820EE">
        <w:rPr>
          <w:highlight w:val="cyan"/>
          <w:u w:val="single"/>
        </w:rPr>
        <w:t>B</w:t>
      </w:r>
      <w:r w:rsidRPr="00B820EE">
        <w:rPr>
          <w:u w:val="single"/>
        </w:rPr>
        <w:t xml:space="preserve">uilders, </w:t>
      </w:r>
      <w:r w:rsidRPr="00B820EE">
        <w:rPr>
          <w:highlight w:val="cyan"/>
          <w:u w:val="single"/>
        </w:rPr>
        <w:t>Inc</w:t>
      </w:r>
      <w:r w:rsidRPr="00B820EE">
        <w:rPr>
          <w:u w:val="single"/>
        </w:rPr>
        <w:t xml:space="preserve">. </w:t>
      </w:r>
      <w:r w:rsidRPr="00B820EE">
        <w:rPr>
          <w:sz w:val="16"/>
        </w:rPr>
        <w:t>(“Opposer”)</w:t>
      </w:r>
      <w:r w:rsidRPr="00B820EE">
        <w:rPr>
          <w:u w:val="single"/>
        </w:rPr>
        <w:t xml:space="preserve"> </w:t>
      </w:r>
      <w:r w:rsidRPr="00B820EE">
        <w:rPr>
          <w:highlight w:val="cyan"/>
          <w:u w:val="single"/>
        </w:rPr>
        <w:t>opposes registration</w:t>
      </w:r>
      <w:r w:rsidRPr="00B820EE">
        <w:rPr>
          <w:sz w:val="16"/>
        </w:rPr>
        <w:t xml:space="preserve"> under Section 2(d) of the Trademark Act, 15 U.S.C. § 1052(d), </w:t>
      </w:r>
      <w:r w:rsidRPr="00B820EE">
        <w:rPr>
          <w:u w:val="single"/>
        </w:rPr>
        <w:t xml:space="preserve">asserting priority and a likelihood of confusion with its pleaded common-law mark </w:t>
      </w:r>
      <w:r w:rsidRPr="00B820EE">
        <w:rPr>
          <w:sz w:val="16"/>
        </w:rPr>
        <w:t>ARMBRUSTER/STAGEWAY,</w:t>
      </w:r>
      <w:r w:rsidRPr="00B820EE">
        <w:rPr>
          <w:u w:val="single"/>
        </w:rPr>
        <w:t xml:space="preserve"> which, as can be seen, differs from Applicant’s mark by the use of a forward slash, rather than a space, between the two words. </w:t>
      </w:r>
      <w:r w:rsidRPr="00B820EE">
        <w:rPr>
          <w:highlight w:val="cyan"/>
          <w:u w:val="single"/>
        </w:rPr>
        <w:t>Applicant</w:t>
      </w:r>
      <w:r w:rsidRPr="00B820EE">
        <w:rPr>
          <w:u w:val="single"/>
        </w:rPr>
        <w:t xml:space="preserve">, in turn, </w:t>
      </w:r>
      <w:r w:rsidRPr="00B820EE">
        <w:rPr>
          <w:b/>
          <w:bCs/>
          <w:highlight w:val="cyan"/>
          <w:u w:val="single"/>
        </w:rPr>
        <w:t>asserts</w:t>
      </w:r>
      <w:r w:rsidRPr="00B820EE">
        <w:rPr>
          <w:b/>
          <w:bCs/>
          <w:u w:val="single"/>
        </w:rPr>
        <w:t xml:space="preserve"> as an affirmative defense </w:t>
      </w:r>
      <w:r w:rsidRPr="00B820EE">
        <w:rPr>
          <w:b/>
          <w:bCs/>
          <w:highlight w:val="cyan"/>
          <w:u w:val="single"/>
        </w:rPr>
        <w:t>that</w:t>
      </w:r>
      <w:r w:rsidRPr="00B820EE">
        <w:rPr>
          <w:u w:val="single"/>
        </w:rPr>
        <w:t xml:space="preserve"> </w:t>
      </w:r>
      <w:r w:rsidRPr="00B820EE">
        <w:rPr>
          <w:b/>
          <w:bCs/>
          <w:highlight w:val="cyan"/>
          <w:u w:val="single"/>
        </w:rPr>
        <w:t>Opposer</w:t>
      </w:r>
      <w:r w:rsidRPr="00B820EE">
        <w:rPr>
          <w:b/>
          <w:bCs/>
          <w:u w:val="single"/>
        </w:rPr>
        <w:t xml:space="preserve"> “</w:t>
      </w:r>
      <w:r w:rsidRPr="00B820EE">
        <w:rPr>
          <w:b/>
          <w:bCs/>
          <w:highlight w:val="cyan"/>
          <w:u w:val="single"/>
        </w:rPr>
        <w:t>has abandoned its</w:t>
      </w:r>
      <w:r w:rsidRPr="00B820EE">
        <w:rPr>
          <w:u w:val="single"/>
        </w:rPr>
        <w:t xml:space="preserve"> ARMBRUSTER/STAGEWAY </w:t>
      </w:r>
      <w:r w:rsidRPr="00B820EE">
        <w:rPr>
          <w:b/>
          <w:bCs/>
          <w:highlight w:val="cyan"/>
          <w:u w:val="single"/>
        </w:rPr>
        <w:t>mark</w:t>
      </w:r>
      <w:r w:rsidRPr="00B820EE">
        <w:rPr>
          <w:highlight w:val="cyan"/>
          <w:u w:val="single"/>
        </w:rPr>
        <w:t xml:space="preserve"> and is </w:t>
      </w:r>
      <w:r w:rsidRPr="00B820EE">
        <w:rPr>
          <w:b/>
          <w:bCs/>
          <w:highlight w:val="cyan"/>
          <w:u w:val="single"/>
        </w:rPr>
        <w:t>without valid rights</w:t>
      </w:r>
      <w:r w:rsidRPr="00B820EE">
        <w:rPr>
          <w:b/>
          <w:bCs/>
          <w:u w:val="single"/>
        </w:rPr>
        <w:t xml:space="preserve"> upon</w:t>
      </w:r>
      <w:r w:rsidRPr="00B820EE">
        <w:rPr>
          <w:u w:val="single"/>
        </w:rPr>
        <w:t xml:space="preserve"> which it may state a claim upon which relief can be granted.</w:t>
      </w:r>
      <w:r w:rsidRPr="00B820EE">
        <w:rPr>
          <w:sz w:val="16"/>
        </w:rPr>
        <w:t>”2 The parties in this opposition are secondary manufacturers of the types of specialty vehicles at issue in this case – stretch limousines and hearses, for the VIP and funeral markets – made from vehicle chassis manufactured by others, such as Cadillacs and Lincolns.</w:t>
      </w:r>
    </w:p>
    <w:p w:rsidR="00706303" w:rsidRDefault="00706303" w:rsidP="00706303">
      <w:pPr>
        <w:pStyle w:val="Heading3"/>
      </w:pPr>
      <w:r>
        <w:t>AT: CFFC v. Adidas</w:t>
      </w:r>
    </w:p>
    <w:p w:rsidR="00706303" w:rsidRDefault="00706303" w:rsidP="00706303">
      <w:pPr>
        <w:pStyle w:val="Heading4"/>
      </w:pPr>
      <w:r>
        <w:rPr>
          <w:u w:val="single"/>
        </w:rPr>
        <w:t>Most recent</w:t>
      </w:r>
      <w:r>
        <w:t xml:space="preserve"> court case </w:t>
      </w:r>
      <w:r>
        <w:rPr>
          <w:u w:val="single"/>
        </w:rPr>
        <w:t>proves</w:t>
      </w:r>
      <w:r>
        <w:t xml:space="preserve"> </w:t>
      </w:r>
      <w:r>
        <w:rPr>
          <w:i/>
          <w:iCs w:val="0"/>
        </w:rPr>
        <w:t>CFFC v. Adidas</w:t>
      </w:r>
      <w:r>
        <w:t xml:space="preserve"> </w:t>
      </w:r>
      <w:r>
        <w:rPr>
          <w:u w:val="single"/>
        </w:rPr>
        <w:t>isn’t</w:t>
      </w:r>
      <w:r>
        <w:t xml:space="preserve"> applicable</w:t>
      </w:r>
      <w:r w:rsidRPr="00577F66">
        <w:t xml:space="preserve"> – it was about </w:t>
      </w:r>
      <w:r w:rsidRPr="00577F66">
        <w:rPr>
          <w:u w:val="single"/>
        </w:rPr>
        <w:t>what</w:t>
      </w:r>
      <w:r w:rsidRPr="00577F66">
        <w:t xml:space="preserve"> could get regulated by Congress, </w:t>
      </w:r>
      <w:r w:rsidRPr="00577F66">
        <w:rPr>
          <w:u w:val="single"/>
        </w:rPr>
        <w:t>not</w:t>
      </w:r>
      <w:r w:rsidRPr="00577F66">
        <w:t xml:space="preserve"> trademarks.</w:t>
      </w:r>
    </w:p>
    <w:p w:rsidR="00706303" w:rsidRPr="00577F66" w:rsidRDefault="00706303" w:rsidP="00706303">
      <w:r>
        <w:t>*</w:t>
      </w:r>
      <w:r>
        <w:rPr>
          <w:i/>
          <w:iCs/>
        </w:rPr>
        <w:t>CFFC v. Adidas</w:t>
      </w:r>
      <w:r>
        <w:t xml:space="preserve"> was not about trademarks, just what could get regulated by Congress*</w:t>
      </w:r>
    </w:p>
    <w:p w:rsidR="00706303" w:rsidRDefault="00706303" w:rsidP="00706303">
      <w:r>
        <w:rPr>
          <w:rStyle w:val="Style13ptBold"/>
        </w:rPr>
        <w:t xml:space="preserve">USPTO 23 </w:t>
      </w:r>
      <w:r w:rsidRPr="00577F66">
        <w:rPr>
          <w:sz w:val="16"/>
        </w:rPr>
        <w:t>– United States Patent and Trademark Office, 11-1-2023, " Adamson Systems Engineering, Inc. v. Peavey Electronics Corporation", Trademark Trial and Appeal Board, https://ttabvue.uspto.gov/ttabvue/ttabvue-92076586-CAN-51.pdf /$</w:t>
      </w:r>
      <w:proofErr w:type="spellStart"/>
      <w:r w:rsidRPr="00577F66">
        <w:rPr>
          <w:sz w:val="16"/>
        </w:rPr>
        <w:t>antiP</w:t>
      </w:r>
      <w:proofErr w:type="spellEnd"/>
      <w:r w:rsidRPr="00577F66">
        <w:rPr>
          <w:sz w:val="16"/>
        </w:rPr>
        <w:t>/</w:t>
      </w:r>
    </w:p>
    <w:p w:rsidR="00706303" w:rsidRPr="00577F66" w:rsidRDefault="00706303" w:rsidP="00706303">
      <w:pPr>
        <w:rPr>
          <w:sz w:val="16"/>
        </w:rPr>
      </w:pPr>
      <w:r w:rsidRPr="00577F66">
        <w:rPr>
          <w:highlight w:val="cyan"/>
          <w:u w:val="single"/>
        </w:rPr>
        <w:t xml:space="preserve">Respondent </w:t>
      </w:r>
      <w:r w:rsidRPr="00577F66">
        <w:rPr>
          <w:b/>
          <w:bCs/>
          <w:highlight w:val="cyan"/>
          <w:u w:val="single"/>
        </w:rPr>
        <w:t>tries to liken</w:t>
      </w:r>
      <w:r w:rsidRPr="00577F66">
        <w:rPr>
          <w:b/>
          <w:bCs/>
          <w:u w:val="single"/>
        </w:rPr>
        <w:t xml:space="preserve"> its </w:t>
      </w:r>
      <w:r w:rsidRPr="00577F66">
        <w:rPr>
          <w:b/>
          <w:bCs/>
          <w:highlight w:val="cyan"/>
          <w:u w:val="single"/>
        </w:rPr>
        <w:t>de minimis</w:t>
      </w:r>
      <w:r w:rsidRPr="00577F66">
        <w:rPr>
          <w:b/>
          <w:bCs/>
          <w:u w:val="single"/>
        </w:rPr>
        <w:t xml:space="preserve"> domestic </w:t>
      </w:r>
      <w:r w:rsidRPr="00577F66">
        <w:rPr>
          <w:b/>
          <w:bCs/>
          <w:highlight w:val="cyan"/>
          <w:u w:val="single"/>
        </w:rPr>
        <w:t>sales</w:t>
      </w:r>
      <w:r w:rsidRPr="00577F66">
        <w:rPr>
          <w:u w:val="single"/>
        </w:rPr>
        <w:t xml:space="preserve"> from 2016-2021 </w:t>
      </w:r>
      <w:r w:rsidRPr="00577F66">
        <w:rPr>
          <w:b/>
          <w:bCs/>
          <w:highlight w:val="cyan"/>
          <w:u w:val="single"/>
        </w:rPr>
        <w:t>to C</w:t>
      </w:r>
      <w:r w:rsidRPr="00577F66">
        <w:rPr>
          <w:b/>
          <w:bCs/>
          <w:u w:val="single"/>
        </w:rPr>
        <w:t xml:space="preserve">hristian </w:t>
      </w:r>
      <w:r w:rsidRPr="00577F66">
        <w:rPr>
          <w:b/>
          <w:bCs/>
          <w:highlight w:val="cyan"/>
          <w:u w:val="single"/>
        </w:rPr>
        <w:t>F</w:t>
      </w:r>
      <w:r w:rsidRPr="00577F66">
        <w:rPr>
          <w:b/>
          <w:bCs/>
          <w:u w:val="single"/>
        </w:rPr>
        <w:t xml:space="preserve">aith </w:t>
      </w:r>
      <w:r w:rsidRPr="00577F66">
        <w:rPr>
          <w:b/>
          <w:bCs/>
          <w:highlight w:val="cyan"/>
          <w:u w:val="single"/>
        </w:rPr>
        <w:t>F</w:t>
      </w:r>
      <w:r w:rsidRPr="00577F66">
        <w:rPr>
          <w:b/>
          <w:bCs/>
          <w:u w:val="single"/>
        </w:rPr>
        <w:t xml:space="preserve">ellowship </w:t>
      </w:r>
      <w:r w:rsidRPr="00577F66">
        <w:rPr>
          <w:b/>
          <w:bCs/>
          <w:highlight w:val="cyan"/>
          <w:u w:val="single"/>
        </w:rPr>
        <w:t>C</w:t>
      </w:r>
      <w:r w:rsidRPr="00577F66">
        <w:rPr>
          <w:b/>
          <w:bCs/>
          <w:u w:val="single"/>
        </w:rPr>
        <w:t xml:space="preserve">hurch </w:t>
      </w:r>
      <w:r w:rsidRPr="00577F66">
        <w:rPr>
          <w:b/>
          <w:bCs/>
          <w:highlight w:val="cyan"/>
          <w:u w:val="single"/>
        </w:rPr>
        <w:t>v.</w:t>
      </w:r>
      <w:r w:rsidRPr="00577F66">
        <w:rPr>
          <w:b/>
          <w:bCs/>
          <w:u w:val="single"/>
        </w:rPr>
        <w:t xml:space="preserve"> </w:t>
      </w:r>
      <w:r w:rsidRPr="00577F66">
        <w:rPr>
          <w:b/>
          <w:bCs/>
          <w:highlight w:val="cyan"/>
          <w:u w:val="single"/>
        </w:rPr>
        <w:t>Adidas</w:t>
      </w:r>
      <w:r w:rsidRPr="00577F66">
        <w:rPr>
          <w:u w:val="single"/>
        </w:rPr>
        <w:t>, where a church’s pre-registration sale of two hats bearing its mark sufficed to support registration of the mar</w:t>
      </w:r>
      <w:r w:rsidRPr="00577F66">
        <w:rPr>
          <w:sz w:val="16"/>
        </w:rPr>
        <w:t xml:space="preserve">k.83 As Petitioner correctly observes, however, </w:t>
      </w:r>
      <w:r w:rsidRPr="00577F66">
        <w:rPr>
          <w:b/>
          <w:bCs/>
          <w:highlight w:val="cyan"/>
          <w:u w:val="single"/>
        </w:rPr>
        <w:t>that case did not concern abandonment</w:t>
      </w:r>
      <w:r w:rsidRPr="00577F66">
        <w:rPr>
          <w:u w:val="single"/>
        </w:rPr>
        <w:t xml:space="preserve">, </w:t>
      </w:r>
      <w:r w:rsidRPr="00577F66">
        <w:rPr>
          <w:highlight w:val="cyan"/>
          <w:u w:val="single"/>
        </w:rPr>
        <w:t>but</w:t>
      </w:r>
      <w:r w:rsidRPr="00577F66">
        <w:rPr>
          <w:u w:val="single"/>
        </w:rPr>
        <w:t xml:space="preserve"> </w:t>
      </w:r>
      <w:r w:rsidRPr="00577F66">
        <w:rPr>
          <w:b/>
          <w:bCs/>
          <w:highlight w:val="cyan"/>
          <w:u w:val="single"/>
        </w:rPr>
        <w:t>the scope of commerce</w:t>
      </w:r>
      <w:r w:rsidRPr="00577F66">
        <w:rPr>
          <w:b/>
          <w:bCs/>
          <w:u w:val="single"/>
        </w:rPr>
        <w:t xml:space="preserve"> that may be </w:t>
      </w:r>
      <w:r w:rsidRPr="00577F66">
        <w:rPr>
          <w:b/>
          <w:bCs/>
          <w:highlight w:val="cyan"/>
          <w:u w:val="single"/>
        </w:rPr>
        <w:t>regulated by</w:t>
      </w:r>
      <w:r w:rsidRPr="00577F66">
        <w:rPr>
          <w:b/>
          <w:bCs/>
          <w:u w:val="single"/>
        </w:rPr>
        <w:t xml:space="preserve"> the U.S. </w:t>
      </w:r>
      <w:r w:rsidRPr="00577F66">
        <w:rPr>
          <w:b/>
          <w:bCs/>
          <w:highlight w:val="cyan"/>
          <w:u w:val="single"/>
        </w:rPr>
        <w:t>Congress</w:t>
      </w:r>
      <w:r w:rsidRPr="00577F66">
        <w:rPr>
          <w:sz w:val="16"/>
        </w:rPr>
        <w:t xml:space="preserve">.84 Christian Faith Fellowship Church v. Adidas AG, 841 F.3d 986, 120 USPQ2d 1640 (Fed. Cir. 2016); </w:t>
      </w:r>
      <w:proofErr w:type="spellStart"/>
      <w:r w:rsidRPr="00577F66">
        <w:rPr>
          <w:sz w:val="16"/>
        </w:rPr>
        <w:t>Ahal</w:t>
      </w:r>
      <w:proofErr w:type="spellEnd"/>
      <w:r w:rsidRPr="00577F66">
        <w:rPr>
          <w:sz w:val="16"/>
        </w:rPr>
        <w:t xml:space="preserve"> Al-Sara Group for Trading v. American Flash, Inc., 2023 USPQ2d 79, *7-8 (TTAB 2023). Respondent’s sales to dealers in the United States and Puerto Rico fall within that scope, but from 2016-2021, fell to de minimis or zero, year to year.</w:t>
      </w:r>
    </w:p>
    <w:p w:rsidR="00706303" w:rsidRDefault="00706303" w:rsidP="00706303">
      <w:pPr>
        <w:pStyle w:val="Heading4"/>
      </w:pPr>
      <w:r>
        <w:rPr>
          <w:i/>
          <w:iCs w:val="0"/>
        </w:rPr>
        <w:t>CFFC</w:t>
      </w:r>
      <w:r>
        <w:t xml:space="preserve"> </w:t>
      </w:r>
      <w:r>
        <w:rPr>
          <w:i/>
          <w:iCs w:val="0"/>
        </w:rPr>
        <w:t>v. Adidas</w:t>
      </w:r>
      <w:r>
        <w:t xml:space="preserve"> is about </w:t>
      </w:r>
      <w:r>
        <w:rPr>
          <w:u w:val="single"/>
        </w:rPr>
        <w:t>trademark abandonment</w:t>
      </w:r>
      <w:r>
        <w:t xml:space="preserve"> – this is </w:t>
      </w:r>
      <w:r>
        <w:rPr>
          <w:u w:val="single"/>
        </w:rPr>
        <w:t>distinct</w:t>
      </w:r>
      <w:r>
        <w:t xml:space="preserve"> from the AFF which enables startups to get these trademarks </w:t>
      </w:r>
      <w:r>
        <w:rPr>
          <w:u w:val="single"/>
        </w:rPr>
        <w:t>in the first place</w:t>
      </w:r>
      <w:r>
        <w:t xml:space="preserve"> – AND CFFC was a </w:t>
      </w:r>
      <w:r>
        <w:rPr>
          <w:u w:val="single"/>
        </w:rPr>
        <w:t>unique</w:t>
      </w:r>
      <w:r>
        <w:t xml:space="preserve"> circumstance that isn’t applicable widely.</w:t>
      </w:r>
    </w:p>
    <w:p w:rsidR="00706303" w:rsidRPr="00C36AD4" w:rsidRDefault="00706303" w:rsidP="00706303">
      <w:r>
        <w:t>*</w:t>
      </w:r>
      <w:proofErr w:type="gramStart"/>
      <w:r>
        <w:t>not</w:t>
      </w:r>
      <w:proofErr w:type="gramEnd"/>
      <w:r>
        <w:t xml:space="preserve"> a real point to reading this due to the card above but this is good for context*</w:t>
      </w:r>
    </w:p>
    <w:p w:rsidR="00706303" w:rsidRPr="004C33AD" w:rsidRDefault="00706303" w:rsidP="00706303">
      <w:pPr>
        <w:rPr>
          <w:sz w:val="16"/>
        </w:rPr>
      </w:pPr>
      <w:proofErr w:type="spellStart"/>
      <w:r>
        <w:rPr>
          <w:rStyle w:val="Style13ptBold"/>
        </w:rPr>
        <w:t>Rudensky</w:t>
      </w:r>
      <w:proofErr w:type="spellEnd"/>
      <w:r>
        <w:rPr>
          <w:rStyle w:val="Style13ptBold"/>
        </w:rPr>
        <w:t xml:space="preserve"> 19 </w:t>
      </w:r>
      <w:r w:rsidRPr="004C33AD">
        <w:rPr>
          <w:sz w:val="16"/>
        </w:rPr>
        <w:t xml:space="preserve">– Rachel </w:t>
      </w:r>
      <w:proofErr w:type="spellStart"/>
      <w:r w:rsidRPr="004C33AD">
        <w:rPr>
          <w:sz w:val="16"/>
        </w:rPr>
        <w:t>Rudensky</w:t>
      </w:r>
      <w:proofErr w:type="spellEnd"/>
      <w:r w:rsidRPr="004C33AD">
        <w:rPr>
          <w:sz w:val="16"/>
        </w:rPr>
        <w:t xml:space="preserve">, 12-2-2019, "Unitary Design Mark Rescues a Phrase Which Failed </w:t>
      </w:r>
      <w:proofErr w:type="gramStart"/>
      <w:r w:rsidRPr="004C33AD">
        <w:rPr>
          <w:sz w:val="16"/>
        </w:rPr>
        <w:t>To</w:t>
      </w:r>
      <w:proofErr w:type="gramEnd"/>
      <w:r w:rsidRPr="004C33AD">
        <w:rPr>
          <w:sz w:val="16"/>
        </w:rPr>
        <w:t xml:space="preserve"> Function As A Trademark", Case Text, https://casetext.com/analysis/unitary-design-mark-rescues-a-phrase-which-failed-to-function-as-a-trademark?sort=relevance&amp;resultsNav=false&amp;q= /$</w:t>
      </w:r>
      <w:proofErr w:type="spellStart"/>
      <w:r w:rsidRPr="004C33AD">
        <w:rPr>
          <w:sz w:val="16"/>
        </w:rPr>
        <w:t>antiP</w:t>
      </w:r>
      <w:proofErr w:type="spellEnd"/>
      <w:r w:rsidRPr="004C33AD">
        <w:rPr>
          <w:sz w:val="16"/>
        </w:rPr>
        <w:t>/</w:t>
      </w:r>
    </w:p>
    <w:p w:rsidR="00706303" w:rsidRPr="00623D9C" w:rsidRDefault="00706303" w:rsidP="00706303">
      <w:pPr>
        <w:rPr>
          <w:sz w:val="16"/>
        </w:rPr>
      </w:pPr>
      <w:r w:rsidRPr="00623D9C">
        <w:rPr>
          <w:sz w:val="16"/>
        </w:rPr>
        <w:t xml:space="preserve">On remand, </w:t>
      </w:r>
      <w:r w:rsidRPr="00623D9C">
        <w:rPr>
          <w:highlight w:val="cyan"/>
          <w:u w:val="single"/>
        </w:rPr>
        <w:t>the Board</w:t>
      </w:r>
      <w:r w:rsidRPr="00623D9C">
        <w:rPr>
          <w:u w:val="single"/>
        </w:rPr>
        <w:t xml:space="preserve"> first </w:t>
      </w:r>
      <w:r w:rsidRPr="00623D9C">
        <w:rPr>
          <w:highlight w:val="cyan"/>
          <w:u w:val="single"/>
        </w:rPr>
        <w:t>considered</w:t>
      </w:r>
      <w:r w:rsidRPr="00623D9C">
        <w:rPr>
          <w:u w:val="single"/>
        </w:rPr>
        <w:t xml:space="preserve"> the question of </w:t>
      </w:r>
      <w:r w:rsidRPr="00623D9C">
        <w:rPr>
          <w:highlight w:val="cyan"/>
          <w:u w:val="single"/>
        </w:rPr>
        <w:t xml:space="preserve">whether </w:t>
      </w:r>
      <w:r w:rsidRPr="00623D9C">
        <w:rPr>
          <w:b/>
          <w:bCs/>
          <w:highlight w:val="cyan"/>
          <w:u w:val="single"/>
        </w:rPr>
        <w:t>CFFC’s lack of sales</w:t>
      </w:r>
      <w:r w:rsidRPr="00623D9C">
        <w:rPr>
          <w:b/>
          <w:bCs/>
          <w:u w:val="single"/>
        </w:rPr>
        <w:t xml:space="preserve"> of any caps </w:t>
      </w:r>
      <w:r w:rsidRPr="00623D9C">
        <w:rPr>
          <w:b/>
          <w:bCs/>
          <w:highlight w:val="cyan"/>
          <w:u w:val="single"/>
        </w:rPr>
        <w:t>and minimal</w:t>
      </w:r>
      <w:r w:rsidRPr="00623D9C">
        <w:rPr>
          <w:b/>
          <w:bCs/>
          <w:u w:val="single"/>
        </w:rPr>
        <w:t xml:space="preserve"> </w:t>
      </w:r>
      <w:r w:rsidRPr="00623D9C">
        <w:rPr>
          <w:b/>
          <w:bCs/>
          <w:highlight w:val="cyan"/>
          <w:u w:val="single"/>
        </w:rPr>
        <w:t>sales</w:t>
      </w:r>
      <w:r w:rsidRPr="00623D9C">
        <w:rPr>
          <w:b/>
          <w:bCs/>
          <w:u w:val="single"/>
        </w:rPr>
        <w:t xml:space="preserve"> of shirts during the relevant period </w:t>
      </w:r>
      <w:r w:rsidRPr="00623D9C">
        <w:rPr>
          <w:b/>
          <w:bCs/>
          <w:highlight w:val="cyan"/>
          <w:u w:val="single"/>
        </w:rPr>
        <w:t>constituted “abandonment</w:t>
      </w:r>
      <w:r w:rsidRPr="00623D9C">
        <w:rPr>
          <w:sz w:val="16"/>
        </w:rPr>
        <w:t xml:space="preserve">” under the Lanham Act. In general, Section 45 of the Lanham Act, 15 U.S.C. § 1127, </w:t>
      </w:r>
      <w:r w:rsidRPr="00623D9C">
        <w:rPr>
          <w:u w:val="single"/>
        </w:rPr>
        <w:t xml:space="preserve">provides for a rebuttable presumption of </w:t>
      </w:r>
      <w:r w:rsidRPr="00623D9C">
        <w:rPr>
          <w:b/>
          <w:bCs/>
          <w:u w:val="single"/>
        </w:rPr>
        <w:t>abandonment if a trademark has not been used during a three-year period</w:t>
      </w:r>
      <w:r w:rsidRPr="00623D9C">
        <w:rPr>
          <w:sz w:val="16"/>
        </w:rPr>
        <w:t xml:space="preserve">. In this case, there was evidence that the CFFC sold two shirts during the relevant period. As the Federal Circuit had held, </w:t>
      </w:r>
      <w:r w:rsidRPr="00623D9C">
        <w:rPr>
          <w:highlight w:val="cyan"/>
          <w:u w:val="single"/>
        </w:rPr>
        <w:t xml:space="preserve">there is </w:t>
      </w:r>
      <w:r w:rsidRPr="00623D9C">
        <w:rPr>
          <w:b/>
          <w:bCs/>
          <w:highlight w:val="cyan"/>
          <w:u w:val="single"/>
        </w:rPr>
        <w:t>no de minimis test</w:t>
      </w:r>
      <w:r w:rsidRPr="00623D9C">
        <w:rPr>
          <w:b/>
          <w:bCs/>
          <w:u w:val="single"/>
        </w:rPr>
        <w:t xml:space="preserve"> for “use in commerce</w:t>
      </w:r>
      <w:r w:rsidRPr="00623D9C">
        <w:rPr>
          <w:u w:val="single"/>
        </w:rPr>
        <w:t>.</w:t>
      </w:r>
      <w:r w:rsidRPr="00623D9C">
        <w:rPr>
          <w:sz w:val="16"/>
        </w:rPr>
        <w:t xml:space="preserve">” </w:t>
      </w:r>
      <w:r w:rsidRPr="00623D9C">
        <w:rPr>
          <w:u w:val="single"/>
        </w:rPr>
        <w:t xml:space="preserve">Accordingly, </w:t>
      </w:r>
      <w:r w:rsidRPr="00623D9C">
        <w:rPr>
          <w:highlight w:val="cyan"/>
          <w:u w:val="single"/>
        </w:rPr>
        <w:t>the sale</w:t>
      </w:r>
      <w:r w:rsidRPr="00623D9C">
        <w:rPr>
          <w:u w:val="single"/>
        </w:rPr>
        <w:t xml:space="preserve"> of two shirts </w:t>
      </w:r>
      <w:r w:rsidRPr="00623D9C">
        <w:rPr>
          <w:highlight w:val="cyan"/>
          <w:u w:val="single"/>
        </w:rPr>
        <w:t xml:space="preserve">was enough </w:t>
      </w:r>
      <w:r w:rsidRPr="00623D9C">
        <w:rPr>
          <w:b/>
          <w:bCs/>
          <w:highlight w:val="cyan"/>
          <w:u w:val="single"/>
        </w:rPr>
        <w:t>to overcome</w:t>
      </w:r>
      <w:r w:rsidRPr="00623D9C">
        <w:rPr>
          <w:b/>
          <w:bCs/>
          <w:u w:val="single"/>
        </w:rPr>
        <w:t xml:space="preserve"> the </w:t>
      </w:r>
      <w:r w:rsidRPr="00623D9C">
        <w:rPr>
          <w:b/>
          <w:bCs/>
          <w:highlight w:val="cyan"/>
          <w:u w:val="single"/>
        </w:rPr>
        <w:t>abandonment claim</w:t>
      </w:r>
      <w:r w:rsidRPr="00623D9C">
        <w:rPr>
          <w:u w:val="single"/>
        </w:rPr>
        <w:t xml:space="preserve"> as to shirts</w:t>
      </w:r>
      <w:r w:rsidRPr="00623D9C">
        <w:rPr>
          <w:sz w:val="16"/>
        </w:rPr>
        <w:t>.</w:t>
      </w:r>
    </w:p>
    <w:p w:rsidR="00706303" w:rsidRPr="00623D9C" w:rsidRDefault="00706303" w:rsidP="00706303">
      <w:pPr>
        <w:rPr>
          <w:sz w:val="16"/>
        </w:rPr>
      </w:pPr>
      <w:r w:rsidRPr="00623D9C">
        <w:rPr>
          <w:b/>
          <w:bCs/>
          <w:u w:val="single"/>
        </w:rPr>
        <w:t xml:space="preserve">The Board </w:t>
      </w:r>
      <w:r w:rsidRPr="00623D9C">
        <w:rPr>
          <w:b/>
          <w:bCs/>
          <w:highlight w:val="cyan"/>
          <w:u w:val="single"/>
        </w:rPr>
        <w:t>likewise found</w:t>
      </w:r>
      <w:r w:rsidRPr="00623D9C">
        <w:rPr>
          <w:b/>
          <w:bCs/>
          <w:u w:val="single"/>
        </w:rPr>
        <w:t xml:space="preserve"> that </w:t>
      </w:r>
      <w:r w:rsidRPr="00623D9C">
        <w:rPr>
          <w:b/>
          <w:bCs/>
          <w:highlight w:val="cyan"/>
          <w:u w:val="single"/>
        </w:rPr>
        <w:t>CFFC did not abandon use</w:t>
      </w:r>
      <w:r w:rsidRPr="00623D9C">
        <w:rPr>
          <w:u w:val="single"/>
        </w:rPr>
        <w:t xml:space="preserve"> of the marks on caps</w:t>
      </w:r>
      <w:r w:rsidRPr="00623D9C">
        <w:rPr>
          <w:sz w:val="16"/>
        </w:rPr>
        <w:t xml:space="preserve">. </w:t>
      </w:r>
      <w:r w:rsidRPr="00623D9C">
        <w:rPr>
          <w:u w:val="single"/>
        </w:rPr>
        <w:t xml:space="preserve">Though there was no sale of caps for a period of four years, the </w:t>
      </w:r>
      <w:r w:rsidRPr="00623D9C">
        <w:rPr>
          <w:b/>
          <w:bCs/>
          <w:u w:val="single"/>
        </w:rPr>
        <w:t xml:space="preserve">Board was </w:t>
      </w:r>
      <w:r w:rsidRPr="00623D9C">
        <w:rPr>
          <w:b/>
          <w:bCs/>
          <w:highlight w:val="cyan"/>
          <w:u w:val="single"/>
        </w:rPr>
        <w:t>satisfied that</w:t>
      </w:r>
      <w:r w:rsidRPr="00623D9C">
        <w:rPr>
          <w:b/>
          <w:bCs/>
          <w:u w:val="single"/>
        </w:rPr>
        <w:t xml:space="preserve"> such </w:t>
      </w:r>
      <w:r w:rsidRPr="00623D9C">
        <w:rPr>
          <w:b/>
          <w:bCs/>
          <w:highlight w:val="cyan"/>
          <w:u w:val="single"/>
        </w:rPr>
        <w:t>non-use was “excusable</w:t>
      </w:r>
      <w:r w:rsidRPr="00623D9C">
        <w:rPr>
          <w:sz w:val="16"/>
        </w:rPr>
        <w:t xml:space="preserve">” under the Lanham Act </w:t>
      </w:r>
      <w:r w:rsidRPr="00623D9C">
        <w:rPr>
          <w:highlight w:val="cyan"/>
          <w:u w:val="single"/>
        </w:rPr>
        <w:t>because</w:t>
      </w:r>
      <w:r w:rsidRPr="00623D9C">
        <w:rPr>
          <w:u w:val="single"/>
        </w:rPr>
        <w:t xml:space="preserve"> the </w:t>
      </w:r>
      <w:r w:rsidRPr="00623D9C">
        <w:rPr>
          <w:b/>
          <w:bCs/>
          <w:u w:val="single"/>
        </w:rPr>
        <w:t xml:space="preserve">CFFC’s </w:t>
      </w:r>
      <w:r w:rsidRPr="00623D9C">
        <w:rPr>
          <w:b/>
          <w:bCs/>
          <w:highlight w:val="cyan"/>
          <w:u w:val="single"/>
        </w:rPr>
        <w:t>store was closed for renovation</w:t>
      </w:r>
      <w:r w:rsidRPr="00623D9C">
        <w:rPr>
          <w:b/>
          <w:bCs/>
          <w:u w:val="single"/>
        </w:rPr>
        <w:t xml:space="preserve"> during that time</w:t>
      </w:r>
      <w:r w:rsidRPr="00623D9C">
        <w:rPr>
          <w:sz w:val="16"/>
        </w:rPr>
        <w:t xml:space="preserve">. </w:t>
      </w:r>
      <w:r w:rsidRPr="00623D9C">
        <w:rPr>
          <w:highlight w:val="cyan"/>
          <w:u w:val="single"/>
        </w:rPr>
        <w:t>Trademark nonuse</w:t>
      </w:r>
      <w:r w:rsidRPr="00623D9C">
        <w:rPr>
          <w:u w:val="single"/>
        </w:rPr>
        <w:t xml:space="preserve"> may be </w:t>
      </w:r>
      <w:r w:rsidRPr="00623D9C">
        <w:rPr>
          <w:highlight w:val="cyan"/>
          <w:u w:val="single"/>
        </w:rPr>
        <w:t>considered excusable</w:t>
      </w:r>
      <w:r w:rsidRPr="00623D9C">
        <w:rPr>
          <w:u w:val="single"/>
        </w:rPr>
        <w:t xml:space="preserve"> where the holder of the registration is willing and able to continue use</w:t>
      </w:r>
      <w:r w:rsidRPr="00623D9C">
        <w:rPr>
          <w:sz w:val="16"/>
        </w:rPr>
        <w:t xml:space="preserve"> of the mark in commerce, but is unable to do so due to circumstances beyond its control. </w:t>
      </w:r>
      <w:proofErr w:type="gramStart"/>
      <w:r w:rsidRPr="00623D9C">
        <w:rPr>
          <w:highlight w:val="cyan"/>
          <w:u w:val="single"/>
        </w:rPr>
        <w:t>Therefore</w:t>
      </w:r>
      <w:proofErr w:type="gramEnd"/>
      <w:r w:rsidRPr="00623D9C">
        <w:rPr>
          <w:highlight w:val="cyan"/>
          <w:u w:val="single"/>
        </w:rPr>
        <w:t xml:space="preserve"> </w:t>
      </w:r>
      <w:r w:rsidRPr="00623D9C">
        <w:rPr>
          <w:b/>
          <w:bCs/>
          <w:highlight w:val="cyan"/>
          <w:u w:val="single"/>
        </w:rPr>
        <w:t>the Board rejected</w:t>
      </w:r>
      <w:r w:rsidRPr="00623D9C">
        <w:rPr>
          <w:b/>
          <w:bCs/>
          <w:u w:val="single"/>
        </w:rPr>
        <w:t xml:space="preserve"> adidas’s </w:t>
      </w:r>
      <w:r w:rsidRPr="00623D9C">
        <w:rPr>
          <w:b/>
          <w:bCs/>
          <w:highlight w:val="cyan"/>
          <w:u w:val="single"/>
        </w:rPr>
        <w:t>abandonment</w:t>
      </w:r>
      <w:r w:rsidRPr="00623D9C">
        <w:rPr>
          <w:b/>
          <w:bCs/>
          <w:u w:val="single"/>
        </w:rPr>
        <w:t xml:space="preserve"> claims</w:t>
      </w:r>
      <w:r w:rsidRPr="00623D9C">
        <w:rPr>
          <w:sz w:val="16"/>
        </w:rPr>
        <w:t>.</w:t>
      </w:r>
    </w:p>
    <w:p w:rsidR="00706303" w:rsidRDefault="00706303" w:rsidP="00706303">
      <w:pPr>
        <w:pStyle w:val="Heading3"/>
      </w:pPr>
      <w:r>
        <w:t>AT: De Minimis Now</w:t>
      </w:r>
    </w:p>
    <w:p w:rsidR="00706303" w:rsidRDefault="00706303" w:rsidP="00706303">
      <w:pPr>
        <w:pStyle w:val="Heading4"/>
      </w:pPr>
      <w:r>
        <w:t xml:space="preserve">They </w:t>
      </w:r>
      <w:r>
        <w:rPr>
          <w:u w:val="single"/>
        </w:rPr>
        <w:t>misconstrue</w:t>
      </w:r>
      <w:r>
        <w:t xml:space="preserve"> what </w:t>
      </w:r>
      <w:r>
        <w:rPr>
          <w:i/>
          <w:iCs w:val="0"/>
        </w:rPr>
        <w:t>de minimis</w:t>
      </w:r>
      <w:r>
        <w:t xml:space="preserve"> is in the context of – the case </w:t>
      </w:r>
      <w:r>
        <w:rPr>
          <w:u w:val="single"/>
        </w:rPr>
        <w:t>they</w:t>
      </w:r>
      <w:r>
        <w:t xml:space="preserve"> cite is about Congress being able to regulate </w:t>
      </w:r>
      <w:r w:rsidRPr="00033E4A">
        <w:rPr>
          <w:u w:val="single"/>
        </w:rPr>
        <w:t>illegal sales</w:t>
      </w:r>
      <w:r>
        <w:t xml:space="preserve"> of marijuana NOT trademarks.</w:t>
      </w:r>
    </w:p>
    <w:p w:rsidR="00706303" w:rsidRPr="0095739B" w:rsidRDefault="00706303" w:rsidP="00706303">
      <w:r>
        <w:t>*</w:t>
      </w:r>
      <w:proofErr w:type="gramStart"/>
      <w:r>
        <w:t>Again</w:t>
      </w:r>
      <w:proofErr w:type="gramEnd"/>
      <w:r>
        <w:t xml:space="preserve"> not the most useful given the card at the top but still good for context to NEG arguments*</w:t>
      </w:r>
    </w:p>
    <w:p w:rsidR="00706303" w:rsidRDefault="00706303" w:rsidP="00706303">
      <w:pPr>
        <w:rPr>
          <w:rStyle w:val="Style13ptBold"/>
        </w:rPr>
      </w:pPr>
      <w:r>
        <w:rPr>
          <w:rStyle w:val="Style13ptBold"/>
        </w:rPr>
        <w:t xml:space="preserve">Weinberg 17 </w:t>
      </w:r>
      <w:r w:rsidRPr="004C33AD">
        <w:rPr>
          <w:sz w:val="16"/>
        </w:rPr>
        <w:t>– Peter Weinberg, 7-1-2017, "Use in commerce for federal trademark registration: the Federal Circuit slowly moves towards the Supreme Court", No Publication, https://casetext.com/analysis/use-in-commerce-for-federal-trademark-registration-the-federal-circuit-slowly-moves-towards-the-supreme-court?sort=relevance&amp;resultsNav=false&amp;q= /$</w:t>
      </w:r>
      <w:proofErr w:type="spellStart"/>
      <w:r w:rsidRPr="004C33AD">
        <w:rPr>
          <w:sz w:val="16"/>
        </w:rPr>
        <w:t>antiP</w:t>
      </w:r>
      <w:proofErr w:type="spellEnd"/>
      <w:r w:rsidRPr="004C33AD">
        <w:rPr>
          <w:sz w:val="16"/>
        </w:rPr>
        <w:t>/</w:t>
      </w:r>
    </w:p>
    <w:p w:rsidR="00706303" w:rsidRPr="002F1CCD" w:rsidRDefault="00706303" w:rsidP="00706303">
      <w:pPr>
        <w:rPr>
          <w:sz w:val="16"/>
        </w:rPr>
      </w:pPr>
      <w:r w:rsidRPr="002F1CCD">
        <w:rPr>
          <w:highlight w:val="cyan"/>
          <w:u w:val="single"/>
        </w:rPr>
        <w:t>In Gonzales v. Raich</w:t>
      </w:r>
      <w:r w:rsidRPr="002F1CCD">
        <w:rPr>
          <w:sz w:val="16"/>
        </w:rPr>
        <w:t xml:space="preserve">, </w:t>
      </w:r>
      <w:r w:rsidRPr="002F1CCD">
        <w:rPr>
          <w:b/>
          <w:bCs/>
          <w:highlight w:val="cyan"/>
          <w:u w:val="single"/>
        </w:rPr>
        <w:t>the Court upheld</w:t>
      </w:r>
      <w:r w:rsidRPr="002F1CCD">
        <w:rPr>
          <w:b/>
          <w:bCs/>
          <w:u w:val="single"/>
        </w:rPr>
        <w:t xml:space="preserve"> the federal </w:t>
      </w:r>
      <w:r w:rsidRPr="002F1CCD">
        <w:rPr>
          <w:b/>
          <w:bCs/>
          <w:highlight w:val="cyan"/>
          <w:u w:val="single"/>
        </w:rPr>
        <w:t>prohibition of marijuana</w:t>
      </w:r>
      <w:r w:rsidRPr="002F1CCD">
        <w:rPr>
          <w:highlight w:val="cyan"/>
          <w:u w:val="single"/>
        </w:rPr>
        <w:t xml:space="preserve"> under</w:t>
      </w:r>
      <w:r w:rsidRPr="002F1CCD">
        <w:rPr>
          <w:u w:val="single"/>
        </w:rPr>
        <w:t xml:space="preserve"> Congress’ </w:t>
      </w:r>
      <w:r w:rsidRPr="002F1CCD">
        <w:rPr>
          <w:highlight w:val="cyan"/>
          <w:u w:val="single"/>
        </w:rPr>
        <w:t>Commerce</w:t>
      </w:r>
      <w:r w:rsidRPr="002F1CCD">
        <w:rPr>
          <w:u w:val="single"/>
        </w:rPr>
        <w:t xml:space="preserve"> </w:t>
      </w:r>
      <w:r w:rsidRPr="002F1CCD">
        <w:rPr>
          <w:highlight w:val="cyan"/>
          <w:u w:val="single"/>
        </w:rPr>
        <w:t>Clause</w:t>
      </w:r>
      <w:r w:rsidRPr="002F1CCD">
        <w:rPr>
          <w:u w:val="single"/>
        </w:rPr>
        <w:t xml:space="preserve"> power</w:t>
      </w:r>
      <w:r w:rsidRPr="002F1CCD">
        <w:rPr>
          <w:sz w:val="16"/>
        </w:rPr>
        <w:t xml:space="preserve">, even as to a medical marijuana patient who grew marijuana for her own use and not for sale or distribution to </w:t>
      </w:r>
      <w:proofErr w:type="spellStart"/>
      <w:proofErr w:type="gramStart"/>
      <w:r w:rsidRPr="002F1CCD">
        <w:rPr>
          <w:sz w:val="16"/>
        </w:rPr>
        <w:t>anyone.See</w:t>
      </w:r>
      <w:proofErr w:type="spellEnd"/>
      <w:proofErr w:type="gramEnd"/>
      <w:r w:rsidRPr="002F1CCD">
        <w:rPr>
          <w:sz w:val="16"/>
        </w:rPr>
        <w:t xml:space="preserve"> 545 U.S. 1, 1-10 (2005). </w:t>
      </w:r>
      <w:r w:rsidRPr="002F1CCD">
        <w:rPr>
          <w:u w:val="single"/>
        </w:rPr>
        <w:t xml:space="preserve">The Court explained that </w:t>
      </w:r>
      <w:r w:rsidRPr="002F1CCD">
        <w:rPr>
          <w:b/>
          <w:bCs/>
          <w:highlight w:val="cyan"/>
          <w:u w:val="single"/>
        </w:rPr>
        <w:t>when</w:t>
      </w:r>
      <w:r w:rsidRPr="002F1CCD">
        <w:rPr>
          <w:b/>
          <w:bCs/>
          <w:u w:val="single"/>
        </w:rPr>
        <w:t xml:space="preserve"> “</w:t>
      </w:r>
      <w:r w:rsidRPr="002F1CCD">
        <w:rPr>
          <w:b/>
          <w:bCs/>
          <w:highlight w:val="cyan"/>
          <w:u w:val="single"/>
        </w:rPr>
        <w:t>a</w:t>
      </w:r>
      <w:r w:rsidRPr="002F1CCD">
        <w:rPr>
          <w:b/>
          <w:bCs/>
          <w:u w:val="single"/>
        </w:rPr>
        <w:t xml:space="preserve"> general regulatory </w:t>
      </w:r>
      <w:r w:rsidRPr="002F1CCD">
        <w:rPr>
          <w:b/>
          <w:bCs/>
          <w:highlight w:val="cyan"/>
          <w:u w:val="single"/>
        </w:rPr>
        <w:t>statute</w:t>
      </w:r>
      <w:r w:rsidRPr="002F1CCD">
        <w:rPr>
          <w:highlight w:val="cyan"/>
          <w:u w:val="single"/>
        </w:rPr>
        <w:t xml:space="preserve"> bears</w:t>
      </w:r>
      <w:r w:rsidRPr="002F1CCD">
        <w:rPr>
          <w:u w:val="single"/>
        </w:rPr>
        <w:t xml:space="preserve"> a </w:t>
      </w:r>
      <w:r w:rsidRPr="002F1CCD">
        <w:rPr>
          <w:highlight w:val="cyan"/>
          <w:u w:val="single"/>
        </w:rPr>
        <w:t>substantial relation to commerce</w:t>
      </w:r>
      <w:r w:rsidRPr="002F1CCD">
        <w:rPr>
          <w:sz w:val="16"/>
        </w:rPr>
        <w:t xml:space="preserve">, </w:t>
      </w:r>
      <w:r w:rsidRPr="002F1CCD">
        <w:rPr>
          <w:b/>
          <w:bCs/>
          <w:u w:val="single"/>
        </w:rPr>
        <w:t xml:space="preserve">the </w:t>
      </w:r>
      <w:r w:rsidRPr="002F1CCD">
        <w:rPr>
          <w:b/>
          <w:bCs/>
          <w:highlight w:val="cyan"/>
          <w:u w:val="single"/>
        </w:rPr>
        <w:t>de minimis</w:t>
      </w:r>
      <w:r w:rsidRPr="002F1CCD">
        <w:rPr>
          <w:b/>
          <w:bCs/>
          <w:u w:val="single"/>
        </w:rPr>
        <w:t xml:space="preserve"> character of individual instances</w:t>
      </w:r>
      <w:r w:rsidRPr="002F1CCD">
        <w:rPr>
          <w:u w:val="single"/>
        </w:rPr>
        <w:t xml:space="preserve"> arising under that statute </w:t>
      </w:r>
      <w:r w:rsidRPr="002F1CCD">
        <w:rPr>
          <w:highlight w:val="cyan"/>
          <w:u w:val="single"/>
        </w:rPr>
        <w:t xml:space="preserve">is </w:t>
      </w:r>
      <w:r w:rsidRPr="002F1CCD">
        <w:rPr>
          <w:b/>
          <w:bCs/>
          <w:highlight w:val="cyan"/>
          <w:u w:val="single"/>
        </w:rPr>
        <w:t xml:space="preserve">of no </w:t>
      </w:r>
      <w:proofErr w:type="spellStart"/>
      <w:r w:rsidRPr="002F1CCD">
        <w:rPr>
          <w:b/>
          <w:bCs/>
          <w:highlight w:val="cyan"/>
          <w:u w:val="single"/>
        </w:rPr>
        <w:t>consequence</w:t>
      </w:r>
      <w:proofErr w:type="gramStart"/>
      <w:r w:rsidRPr="002F1CCD">
        <w:rPr>
          <w:sz w:val="16"/>
        </w:rPr>
        <w:t>.”Id</w:t>
      </w:r>
      <w:proofErr w:type="spellEnd"/>
      <w:r w:rsidRPr="002F1CCD">
        <w:rPr>
          <w:sz w:val="16"/>
        </w:rPr>
        <w:t>.</w:t>
      </w:r>
      <w:proofErr w:type="gramEnd"/>
      <w:r w:rsidRPr="002F1CCD">
        <w:rPr>
          <w:sz w:val="16"/>
        </w:rPr>
        <w:t xml:space="preserve"> at 17 (internal quotations omitted). The Court further explained that </w:t>
      </w:r>
      <w:r w:rsidRPr="002F1CCD">
        <w:rPr>
          <w:u w:val="single"/>
        </w:rPr>
        <w:t>“[o]</w:t>
      </w:r>
      <w:proofErr w:type="spellStart"/>
      <w:r w:rsidRPr="002F1CCD">
        <w:rPr>
          <w:u w:val="single"/>
        </w:rPr>
        <w:t>ur</w:t>
      </w:r>
      <w:proofErr w:type="spellEnd"/>
      <w:r w:rsidRPr="002F1CCD">
        <w:rPr>
          <w:u w:val="single"/>
        </w:rPr>
        <w:t xml:space="preserve"> </w:t>
      </w:r>
      <w:r w:rsidRPr="002F1CCD">
        <w:rPr>
          <w:highlight w:val="cyan"/>
          <w:u w:val="single"/>
        </w:rPr>
        <w:t>case</w:t>
      </w:r>
      <w:r w:rsidRPr="002F1CCD">
        <w:rPr>
          <w:u w:val="single"/>
        </w:rPr>
        <w:t xml:space="preserve"> law firmly </w:t>
      </w:r>
      <w:r w:rsidRPr="002F1CCD">
        <w:rPr>
          <w:highlight w:val="cyan"/>
          <w:u w:val="single"/>
        </w:rPr>
        <w:t>establishes</w:t>
      </w:r>
      <w:r w:rsidRPr="002F1CCD">
        <w:rPr>
          <w:u w:val="single"/>
        </w:rPr>
        <w:t xml:space="preserve"> </w:t>
      </w:r>
      <w:r w:rsidRPr="002F1CCD">
        <w:rPr>
          <w:b/>
          <w:bCs/>
          <w:u w:val="single"/>
        </w:rPr>
        <w:t xml:space="preserve">Congress’ </w:t>
      </w:r>
      <w:r w:rsidRPr="002F1CCD">
        <w:rPr>
          <w:b/>
          <w:bCs/>
          <w:highlight w:val="cyan"/>
          <w:u w:val="single"/>
        </w:rPr>
        <w:t>power to regulate</w:t>
      </w:r>
      <w:r w:rsidRPr="002F1CCD">
        <w:rPr>
          <w:b/>
          <w:bCs/>
          <w:u w:val="single"/>
        </w:rPr>
        <w:t xml:space="preserve"> purely </w:t>
      </w:r>
      <w:r w:rsidRPr="002F1CCD">
        <w:rPr>
          <w:b/>
          <w:bCs/>
          <w:highlight w:val="cyan"/>
          <w:u w:val="single"/>
        </w:rPr>
        <w:t>local activities</w:t>
      </w:r>
      <w:r w:rsidRPr="002F1CCD">
        <w:rPr>
          <w:u w:val="single"/>
        </w:rPr>
        <w:t xml:space="preserve"> that are part of an economic ‘class of activities’</w:t>
      </w:r>
      <w:r w:rsidRPr="002F1CCD">
        <w:rPr>
          <w:sz w:val="16"/>
        </w:rPr>
        <w:t xml:space="preserve"> that have a substantial effect on interstate commerce.” Id.; see also Taylor v. US, 136 S. Ct. 2074, 2081 (2016) (“</w:t>
      </w:r>
      <w:r w:rsidRPr="002F1CCD">
        <w:rPr>
          <w:highlight w:val="cyan"/>
          <w:u w:val="single"/>
        </w:rPr>
        <w:t>And</w:t>
      </w:r>
      <w:r w:rsidRPr="002F1CCD">
        <w:rPr>
          <w:u w:val="single"/>
        </w:rPr>
        <w:t xml:space="preserve"> it </w:t>
      </w:r>
      <w:r w:rsidRPr="002F1CCD">
        <w:rPr>
          <w:b/>
          <w:bCs/>
          <w:highlight w:val="cyan"/>
          <w:u w:val="single"/>
        </w:rPr>
        <w:t>makes no difference</w:t>
      </w:r>
      <w:r w:rsidRPr="002F1CCD">
        <w:rPr>
          <w:b/>
          <w:bCs/>
          <w:u w:val="single"/>
        </w:rPr>
        <w:t xml:space="preserve"> under our cases</w:t>
      </w:r>
      <w:r w:rsidRPr="002F1CCD">
        <w:rPr>
          <w:u w:val="single"/>
        </w:rPr>
        <w:t xml:space="preserve"> </w:t>
      </w:r>
      <w:r w:rsidRPr="002F1CCD">
        <w:rPr>
          <w:highlight w:val="cyan"/>
          <w:u w:val="single"/>
        </w:rPr>
        <w:t>that any</w:t>
      </w:r>
      <w:r w:rsidRPr="002F1CCD">
        <w:rPr>
          <w:u w:val="single"/>
        </w:rPr>
        <w:t xml:space="preserve"> actual or </w:t>
      </w:r>
      <w:r w:rsidRPr="002F1CCD">
        <w:rPr>
          <w:highlight w:val="cyan"/>
          <w:u w:val="single"/>
        </w:rPr>
        <w:t>threatened effect on commerce</w:t>
      </w:r>
      <w:r w:rsidRPr="002F1CCD">
        <w:rPr>
          <w:u w:val="single"/>
        </w:rPr>
        <w:t xml:space="preserve"> </w:t>
      </w:r>
      <w:r w:rsidRPr="002F1CCD">
        <w:rPr>
          <w:b/>
          <w:bCs/>
          <w:u w:val="single"/>
        </w:rPr>
        <w:t xml:space="preserve">in a particular case </w:t>
      </w:r>
      <w:r w:rsidRPr="002F1CCD">
        <w:rPr>
          <w:b/>
          <w:bCs/>
          <w:highlight w:val="cyan"/>
          <w:u w:val="single"/>
        </w:rPr>
        <w:t>is minimal</w:t>
      </w:r>
      <w:r w:rsidRPr="002F1CCD">
        <w:rPr>
          <w:sz w:val="16"/>
        </w:rPr>
        <w:t>.).</w:t>
      </w:r>
    </w:p>
    <w:p w:rsidR="00706303" w:rsidRDefault="00706303" w:rsidP="00706303">
      <w:pPr>
        <w:pStyle w:val="Heading3"/>
      </w:pPr>
      <w:r>
        <w:t>AT: Pre-Registration</w:t>
      </w:r>
    </w:p>
    <w:p w:rsidR="00706303" w:rsidRDefault="00706303" w:rsidP="00706303">
      <w:pPr>
        <w:pStyle w:val="Heading4"/>
      </w:pPr>
      <w:r>
        <w:t xml:space="preserve">Pre-registration </w:t>
      </w:r>
      <w:r>
        <w:rPr>
          <w:u w:val="single"/>
        </w:rPr>
        <w:t>still</w:t>
      </w:r>
      <w:r>
        <w:t xml:space="preserve"> abides by the </w:t>
      </w:r>
      <w:r>
        <w:rPr>
          <w:u w:val="single"/>
        </w:rPr>
        <w:t>current</w:t>
      </w:r>
      <w:r>
        <w:t xml:space="preserve"> “used in commerce” standard which means there will </w:t>
      </w:r>
      <w:r>
        <w:rPr>
          <w:u w:val="single"/>
        </w:rPr>
        <w:t>still be</w:t>
      </w:r>
      <w:r>
        <w:t xml:space="preserve"> heavy presumption against startups </w:t>
      </w:r>
      <w:r>
        <w:rPr>
          <w:u w:val="single"/>
        </w:rPr>
        <w:t>even if</w:t>
      </w:r>
      <w:r>
        <w:t xml:space="preserve"> it is </w:t>
      </w:r>
      <w:r>
        <w:rPr>
          <w:i/>
          <w:iCs w:val="0"/>
        </w:rPr>
        <w:t>bona fide</w:t>
      </w:r>
      <w:r>
        <w:t>.</w:t>
      </w:r>
    </w:p>
    <w:p w:rsidR="00706303" w:rsidRPr="0095739B" w:rsidRDefault="00706303" w:rsidP="00706303">
      <w:r>
        <w:t>*Contextualize this with the inherency stuff at the top*</w:t>
      </w:r>
    </w:p>
    <w:p w:rsidR="00706303" w:rsidRPr="00C27B49" w:rsidRDefault="00706303" w:rsidP="00706303">
      <w:pPr>
        <w:rPr>
          <w:rStyle w:val="Style13ptBold"/>
        </w:rPr>
      </w:pPr>
      <w:r w:rsidRPr="00C27B49">
        <w:rPr>
          <w:rStyle w:val="Style13ptBold"/>
        </w:rPr>
        <w:t>§1051(b)</w:t>
      </w:r>
      <w:r>
        <w:rPr>
          <w:rStyle w:val="Style13ptBold"/>
        </w:rPr>
        <w:t xml:space="preserve"> of </w:t>
      </w:r>
      <w:r w:rsidRPr="00C27B49">
        <w:rPr>
          <w:rStyle w:val="Style13ptBold"/>
        </w:rPr>
        <w:t>U.S. Code § 1051</w:t>
      </w:r>
      <w:r>
        <w:rPr>
          <w:rStyle w:val="Style13ptBold"/>
        </w:rPr>
        <w:t xml:space="preserve"> ND </w:t>
      </w:r>
      <w:r w:rsidRPr="00C934A9">
        <w:rPr>
          <w:sz w:val="16"/>
        </w:rPr>
        <w:t>– "15 U.S. Code § 1051", Cornell Law School – Legal Information Institute, https://www.law.cornell.edu/uscode/text/15/1051 /$</w:t>
      </w:r>
      <w:proofErr w:type="spellStart"/>
      <w:r w:rsidRPr="00C934A9">
        <w:rPr>
          <w:sz w:val="16"/>
        </w:rPr>
        <w:t>antiP</w:t>
      </w:r>
      <w:proofErr w:type="spellEnd"/>
      <w:r w:rsidRPr="00C934A9">
        <w:rPr>
          <w:sz w:val="16"/>
        </w:rPr>
        <w:t>/</w:t>
      </w:r>
    </w:p>
    <w:p w:rsidR="00706303" w:rsidRPr="00033E4A" w:rsidRDefault="00706303" w:rsidP="00706303">
      <w:pPr>
        <w:rPr>
          <w:sz w:val="16"/>
        </w:rPr>
      </w:pPr>
      <w:r w:rsidRPr="00033E4A">
        <w:rPr>
          <w:sz w:val="16"/>
        </w:rPr>
        <w:t xml:space="preserve">(b) </w:t>
      </w:r>
      <w:r w:rsidRPr="00033E4A">
        <w:rPr>
          <w:highlight w:val="cyan"/>
          <w:u w:val="single"/>
        </w:rPr>
        <w:t>Application for</w:t>
      </w:r>
      <w:r w:rsidRPr="00033E4A">
        <w:rPr>
          <w:u w:val="single"/>
        </w:rPr>
        <w:t xml:space="preserve"> bona fide </w:t>
      </w:r>
      <w:r w:rsidRPr="00033E4A">
        <w:rPr>
          <w:highlight w:val="cyan"/>
          <w:u w:val="single"/>
        </w:rPr>
        <w:t>intention to use trademark</w:t>
      </w:r>
    </w:p>
    <w:p w:rsidR="00706303" w:rsidRPr="00033E4A" w:rsidRDefault="00706303" w:rsidP="00706303">
      <w:pPr>
        <w:rPr>
          <w:sz w:val="16"/>
        </w:rPr>
      </w:pPr>
      <w:r w:rsidRPr="00033E4A">
        <w:rPr>
          <w:sz w:val="16"/>
        </w:rPr>
        <w:t xml:space="preserve">(1) </w:t>
      </w:r>
      <w:r w:rsidRPr="00033E4A">
        <w:rPr>
          <w:highlight w:val="cyan"/>
          <w:u w:val="single"/>
        </w:rPr>
        <w:t>A person who has</w:t>
      </w:r>
      <w:r w:rsidRPr="00033E4A">
        <w:rPr>
          <w:u w:val="single"/>
        </w:rPr>
        <w:t xml:space="preserve"> a </w:t>
      </w:r>
      <w:r w:rsidRPr="00033E4A">
        <w:rPr>
          <w:highlight w:val="cyan"/>
          <w:u w:val="single"/>
        </w:rPr>
        <w:t>bona fide intention</w:t>
      </w:r>
      <w:r w:rsidRPr="00033E4A">
        <w:rPr>
          <w:sz w:val="16"/>
        </w:rPr>
        <w:t xml:space="preserve">, under circumstances showing the good faith of such person, </w:t>
      </w:r>
      <w:r w:rsidRPr="00033E4A">
        <w:rPr>
          <w:highlight w:val="cyan"/>
          <w:u w:val="single"/>
        </w:rPr>
        <w:t xml:space="preserve">to </w:t>
      </w:r>
      <w:r w:rsidRPr="00033E4A">
        <w:rPr>
          <w:b/>
          <w:bCs/>
          <w:highlight w:val="cyan"/>
          <w:u w:val="single"/>
        </w:rPr>
        <w:t>use</w:t>
      </w:r>
      <w:r w:rsidRPr="00033E4A">
        <w:rPr>
          <w:b/>
          <w:bCs/>
          <w:u w:val="single"/>
        </w:rPr>
        <w:t xml:space="preserve"> a trademark </w:t>
      </w:r>
      <w:r w:rsidRPr="00033E4A">
        <w:rPr>
          <w:b/>
          <w:bCs/>
          <w:highlight w:val="cyan"/>
          <w:u w:val="single"/>
        </w:rPr>
        <w:t>in commerce</w:t>
      </w:r>
      <w:r w:rsidRPr="00033E4A">
        <w:rPr>
          <w:u w:val="single"/>
        </w:rPr>
        <w:t xml:space="preserve"> may </w:t>
      </w:r>
      <w:r w:rsidRPr="00033E4A">
        <w:rPr>
          <w:highlight w:val="cyan"/>
          <w:u w:val="single"/>
        </w:rPr>
        <w:t>request registration</w:t>
      </w:r>
      <w:r w:rsidRPr="00033E4A">
        <w:rPr>
          <w:u w:val="single"/>
        </w:rPr>
        <w:t xml:space="preserve"> of its trademark</w:t>
      </w:r>
      <w:r w:rsidRPr="00033E4A">
        <w:rPr>
          <w:sz w:val="16"/>
        </w:rPr>
        <w:t xml:space="preserve"> on the principal register hereby established by paying the prescribed fee and filing in the Patent and Trademark Office an application and a verified statement, in such form as may be prescribed by the Director.</w:t>
      </w:r>
    </w:p>
    <w:p w:rsidR="00706303" w:rsidRPr="00033E4A" w:rsidRDefault="00706303" w:rsidP="00706303">
      <w:pPr>
        <w:rPr>
          <w:sz w:val="16"/>
        </w:rPr>
      </w:pPr>
      <w:r w:rsidRPr="00033E4A">
        <w:rPr>
          <w:sz w:val="16"/>
        </w:rPr>
        <w:t>(2) The application shall include specification of the applicant’s domicile and citizenship, the goods in connection with which the applicant has a bona fide intention to use the mark, and a drawing of the mark.</w:t>
      </w:r>
    </w:p>
    <w:p w:rsidR="00706303" w:rsidRPr="00033E4A" w:rsidRDefault="00706303" w:rsidP="00706303">
      <w:pPr>
        <w:rPr>
          <w:sz w:val="16"/>
        </w:rPr>
      </w:pPr>
      <w:r w:rsidRPr="00033E4A">
        <w:rPr>
          <w:sz w:val="16"/>
        </w:rPr>
        <w:t>(3) The statement shall be verified by the applicant and specify—</w:t>
      </w:r>
    </w:p>
    <w:p w:rsidR="00706303" w:rsidRPr="00033E4A" w:rsidRDefault="00706303" w:rsidP="00706303">
      <w:pPr>
        <w:rPr>
          <w:sz w:val="16"/>
        </w:rPr>
      </w:pPr>
      <w:r w:rsidRPr="00033E4A">
        <w:rPr>
          <w:sz w:val="16"/>
        </w:rPr>
        <w:t>(A) that the person making the verification believes that he or she, or the juristic person in whose behalf he or she makes the verification, to be entitled to use the mark in commerce;</w:t>
      </w:r>
    </w:p>
    <w:p w:rsidR="00706303" w:rsidRPr="00033E4A" w:rsidRDefault="00706303" w:rsidP="00706303">
      <w:pPr>
        <w:rPr>
          <w:sz w:val="16"/>
        </w:rPr>
      </w:pPr>
      <w:r w:rsidRPr="00033E4A">
        <w:rPr>
          <w:sz w:val="16"/>
        </w:rPr>
        <w:t xml:space="preserve">(B) </w:t>
      </w:r>
      <w:r w:rsidRPr="00033E4A">
        <w:rPr>
          <w:highlight w:val="cyan"/>
          <w:u w:val="single"/>
        </w:rPr>
        <w:t>the</w:t>
      </w:r>
      <w:r w:rsidRPr="00033E4A">
        <w:rPr>
          <w:u w:val="single"/>
        </w:rPr>
        <w:t xml:space="preserve"> applicant’s </w:t>
      </w:r>
      <w:r w:rsidRPr="00033E4A">
        <w:rPr>
          <w:highlight w:val="cyan"/>
          <w:u w:val="single"/>
        </w:rPr>
        <w:t xml:space="preserve">bona fide intention </w:t>
      </w:r>
      <w:r w:rsidRPr="00033E4A">
        <w:rPr>
          <w:b/>
          <w:bCs/>
          <w:highlight w:val="cyan"/>
          <w:u w:val="single"/>
        </w:rPr>
        <w:t>to use the mark in commerce</w:t>
      </w:r>
      <w:r w:rsidRPr="00033E4A">
        <w:rPr>
          <w:sz w:val="16"/>
        </w:rPr>
        <w:t>;</w:t>
      </w:r>
    </w:p>
    <w:p w:rsidR="00706303" w:rsidRPr="00033E4A" w:rsidRDefault="00706303" w:rsidP="00706303">
      <w:pPr>
        <w:rPr>
          <w:sz w:val="16"/>
        </w:rPr>
      </w:pPr>
      <w:r w:rsidRPr="00033E4A">
        <w:rPr>
          <w:sz w:val="16"/>
        </w:rPr>
        <w:t>(C) that, to the best of the verifier’s knowledge and belief, the facts recited in the application are accurate; and</w:t>
      </w:r>
    </w:p>
    <w:p w:rsidR="00706303" w:rsidRPr="00033E4A" w:rsidRDefault="00706303" w:rsidP="00706303">
      <w:pPr>
        <w:rPr>
          <w:sz w:val="16"/>
        </w:rPr>
      </w:pPr>
      <w:r w:rsidRPr="00033E4A">
        <w:rPr>
          <w:sz w:val="16"/>
        </w:rPr>
        <w:t>(D) that, to the best of the verifier’s knowledge and belief, no other person has the right to use such mark in commerce either in the identical form thereof or in such near resemblance thereto as to be likely, when used on or in connection with the goods of such other person, to cause confusion, or to cause mistake, or to deceive.</w:t>
      </w:r>
    </w:p>
    <w:p w:rsidR="00706303" w:rsidRPr="00033E4A" w:rsidRDefault="00706303" w:rsidP="00706303">
      <w:pPr>
        <w:rPr>
          <w:sz w:val="16"/>
        </w:rPr>
      </w:pPr>
      <w:r w:rsidRPr="00033E4A">
        <w:rPr>
          <w:sz w:val="16"/>
        </w:rPr>
        <w:t>Except for applications filed pursuant to section 1126 of this title, no mark shall be registered until the applicant has met the requirements of subsections (c) and (d) of this section.</w:t>
      </w:r>
    </w:p>
    <w:p w:rsidR="00706303" w:rsidRPr="00033E4A" w:rsidRDefault="00706303" w:rsidP="00706303">
      <w:pPr>
        <w:rPr>
          <w:sz w:val="16"/>
        </w:rPr>
      </w:pPr>
      <w:r w:rsidRPr="00033E4A">
        <w:rPr>
          <w:sz w:val="16"/>
        </w:rPr>
        <w:t xml:space="preserve">(4) </w:t>
      </w:r>
      <w:r w:rsidRPr="00033E4A">
        <w:rPr>
          <w:u w:val="single"/>
        </w:rPr>
        <w:t xml:space="preserve">The </w:t>
      </w:r>
      <w:r w:rsidRPr="00033E4A">
        <w:rPr>
          <w:highlight w:val="cyan"/>
          <w:u w:val="single"/>
        </w:rPr>
        <w:t xml:space="preserve">applicant </w:t>
      </w:r>
      <w:r w:rsidRPr="00033E4A">
        <w:rPr>
          <w:b/>
          <w:bCs/>
          <w:highlight w:val="cyan"/>
          <w:u w:val="single"/>
        </w:rPr>
        <w:t>shall comply with such rules</w:t>
      </w:r>
      <w:r w:rsidRPr="00033E4A">
        <w:rPr>
          <w:u w:val="single"/>
        </w:rPr>
        <w:t xml:space="preserve"> or regulations as may be prescribed by the Director</w:t>
      </w:r>
      <w:r w:rsidRPr="00033E4A">
        <w:rPr>
          <w:sz w:val="16"/>
        </w:rPr>
        <w:t>. The Director shall promulgate rules prescribing the requirements for the application and for obtaining a filing date herein.</w:t>
      </w:r>
    </w:p>
    <w:p w:rsidR="00706303" w:rsidRDefault="00706303" w:rsidP="00706303">
      <w:pPr>
        <w:pStyle w:val="Heading3"/>
      </w:pPr>
      <w:r>
        <w:t>AT: Analogous Use</w:t>
      </w:r>
    </w:p>
    <w:p w:rsidR="00706303" w:rsidRDefault="00706303" w:rsidP="00706303">
      <w:pPr>
        <w:pStyle w:val="Heading4"/>
      </w:pPr>
      <w:r>
        <w:t xml:space="preserve">Analogous use </w:t>
      </w:r>
      <w:r>
        <w:rPr>
          <w:u w:val="single"/>
        </w:rPr>
        <w:t>still suffers</w:t>
      </w:r>
      <w:r>
        <w:t xml:space="preserve"> from heavy preemption which means the AFF is key – this is the court case </w:t>
      </w:r>
      <w:r>
        <w:rPr>
          <w:u w:val="single"/>
        </w:rPr>
        <w:t>their evidence</w:t>
      </w:r>
      <w:r>
        <w:t xml:space="preserve"> cites.</w:t>
      </w:r>
    </w:p>
    <w:p w:rsidR="00706303" w:rsidRPr="0095739B" w:rsidRDefault="00706303" w:rsidP="00706303">
      <w:r>
        <w:t>*Same thing here – contextualize with the card at the top*</w:t>
      </w:r>
    </w:p>
    <w:p w:rsidR="00706303" w:rsidRPr="00161CCF" w:rsidRDefault="00706303" w:rsidP="00706303">
      <w:r>
        <w:rPr>
          <w:rStyle w:val="Style13ptBold"/>
        </w:rPr>
        <w:t xml:space="preserve">USDA DC Circuit 08 </w:t>
      </w:r>
      <w:r w:rsidRPr="00623D9C">
        <w:rPr>
          <w:sz w:val="16"/>
        </w:rPr>
        <w:t xml:space="preserve">– United States Court of Appeals, District of Columbia Circuit, April 29, 2008, “AKTIESELSKABET AF 21 NOVEMBER 2001 v. FAME JEANS INC (2008)", </w:t>
      </w:r>
      <w:proofErr w:type="spellStart"/>
      <w:r w:rsidRPr="00623D9C">
        <w:rPr>
          <w:sz w:val="16"/>
        </w:rPr>
        <w:t>Findlaw</w:t>
      </w:r>
      <w:proofErr w:type="spellEnd"/>
      <w:r w:rsidRPr="00623D9C">
        <w:rPr>
          <w:sz w:val="16"/>
        </w:rPr>
        <w:t>, https://caselaw.findlaw.com/court/us-dc-circuit/1471864.html /$</w:t>
      </w:r>
      <w:proofErr w:type="spellStart"/>
      <w:r w:rsidRPr="00623D9C">
        <w:rPr>
          <w:sz w:val="16"/>
        </w:rPr>
        <w:t>antiP</w:t>
      </w:r>
      <w:proofErr w:type="spellEnd"/>
      <w:r w:rsidRPr="00623D9C">
        <w:rPr>
          <w:sz w:val="16"/>
        </w:rPr>
        <w:t>/</w:t>
      </w:r>
    </w:p>
    <w:p w:rsidR="00706303" w:rsidRPr="00267876" w:rsidRDefault="00706303" w:rsidP="00706303">
      <w:pPr>
        <w:rPr>
          <w:sz w:val="16"/>
        </w:rPr>
      </w:pPr>
      <w:r w:rsidRPr="00267876">
        <w:rPr>
          <w:u w:val="single"/>
        </w:rPr>
        <w:t xml:space="preserve">Since Fame Jeans filed its application on January 9, 2004, </w:t>
      </w:r>
      <w:r w:rsidRPr="00AC61E0">
        <w:rPr>
          <w:highlight w:val="cyan"/>
          <w:u w:val="single"/>
        </w:rPr>
        <w:t>Bestseller must establish use</w:t>
      </w:r>
      <w:r w:rsidRPr="00267876">
        <w:rPr>
          <w:u w:val="single"/>
        </w:rPr>
        <w:t>, either actual or constructive, before that date</w:t>
      </w:r>
      <w:r w:rsidRPr="00267876">
        <w:rPr>
          <w:sz w:val="16"/>
        </w:rPr>
        <w:t>.</w:t>
      </w:r>
      <w:proofErr w:type="gramStart"/>
      <w:r w:rsidRPr="00267876">
        <w:rPr>
          <w:sz w:val="16"/>
        </w:rPr>
        <w:t>7  Constructive</w:t>
      </w:r>
      <w:proofErr w:type="gramEnd"/>
      <w:r w:rsidRPr="00267876">
        <w:rPr>
          <w:sz w:val="16"/>
        </w:rPr>
        <w:t xml:space="preserve"> use can arise under § 7(c), which grants priority, based on filing date, to a U.S. application or to a foreign application that was followed by a timely U.S. application under § 44(d).  Bestseller filed a U.S. application on December 6, 2004, based on its 1991 Danish registration.   It neither complied with the six-month timeliness requirement of § 44(d) nor even filed its application under § 44(d).  Therefore, Bestseller cannot demonstrate any constructive use prior to Fame's filing date.   However, Bestseller has adequately alleged actual use.   </w:t>
      </w:r>
      <w:r w:rsidRPr="00267876">
        <w:rPr>
          <w:u w:val="single"/>
        </w:rPr>
        <w:t xml:space="preserve">Although the complaint </w:t>
      </w:r>
      <w:r w:rsidRPr="00AC61E0">
        <w:rPr>
          <w:highlight w:val="cyan"/>
          <w:u w:val="single"/>
        </w:rPr>
        <w:t>does not set forth</w:t>
      </w:r>
      <w:r w:rsidRPr="00267876">
        <w:rPr>
          <w:u w:val="single"/>
        </w:rPr>
        <w:t xml:space="preserve"> trademark </w:t>
      </w:r>
      <w:r w:rsidRPr="00AC61E0">
        <w:rPr>
          <w:highlight w:val="cyan"/>
          <w:u w:val="single"/>
        </w:rPr>
        <w:t>use to earn</w:t>
      </w:r>
      <w:r w:rsidRPr="00267876">
        <w:rPr>
          <w:u w:val="single"/>
        </w:rPr>
        <w:t xml:space="preserve"> Bestseller </w:t>
      </w:r>
      <w:r w:rsidRPr="00AC61E0">
        <w:rPr>
          <w:highlight w:val="cyan"/>
          <w:u w:val="single"/>
        </w:rPr>
        <w:t>rights</w:t>
      </w:r>
      <w:r w:rsidRPr="00267876">
        <w:rPr>
          <w:u w:val="single"/>
        </w:rPr>
        <w:t xml:space="preserve"> in the Jack &amp; Jones mark, </w:t>
      </w:r>
      <w:r w:rsidRPr="00AC61E0">
        <w:rPr>
          <w:b/>
          <w:bCs/>
          <w:highlight w:val="cyan"/>
          <w:u w:val="single"/>
        </w:rPr>
        <w:t>an opposer who has made</w:t>
      </w:r>
      <w:r w:rsidRPr="00267876">
        <w:rPr>
          <w:b/>
          <w:bCs/>
          <w:u w:val="single"/>
        </w:rPr>
        <w:t xml:space="preserve"> enough “</w:t>
      </w:r>
      <w:r w:rsidRPr="00AC61E0">
        <w:rPr>
          <w:b/>
          <w:bCs/>
          <w:highlight w:val="cyan"/>
          <w:u w:val="single"/>
        </w:rPr>
        <w:t>analogous</w:t>
      </w:r>
      <w:r w:rsidRPr="00267876">
        <w:rPr>
          <w:b/>
          <w:bCs/>
          <w:u w:val="single"/>
        </w:rPr>
        <w:t xml:space="preserve">” </w:t>
      </w:r>
      <w:r w:rsidRPr="00AC61E0">
        <w:rPr>
          <w:b/>
          <w:bCs/>
          <w:highlight w:val="cyan"/>
          <w:u w:val="single"/>
        </w:rPr>
        <w:t>use</w:t>
      </w:r>
      <w:r w:rsidRPr="00267876">
        <w:rPr>
          <w:b/>
          <w:bCs/>
          <w:u w:val="single"/>
        </w:rPr>
        <w:t xml:space="preserve"> </w:t>
      </w:r>
      <w:r w:rsidRPr="00AC61E0">
        <w:rPr>
          <w:b/>
          <w:bCs/>
          <w:highlight w:val="cyan"/>
          <w:u w:val="single"/>
        </w:rPr>
        <w:t>can still defeat a registration</w:t>
      </w:r>
      <w:r w:rsidRPr="00267876">
        <w:rPr>
          <w:sz w:val="16"/>
        </w:rPr>
        <w:t>.   See Malcolm Nicol &amp; Co. v. Witco Corp., 881 F.2d 1063, 1065 (Fed.Cir.1989) (quoting 3 McCarthy, supra, § 20:4 (1984)).</w:t>
      </w:r>
    </w:p>
    <w:p w:rsidR="00706303" w:rsidRPr="00267876" w:rsidRDefault="00706303" w:rsidP="00706303">
      <w:pPr>
        <w:rPr>
          <w:sz w:val="16"/>
        </w:rPr>
      </w:pPr>
      <w:r w:rsidRPr="00267876">
        <w:rPr>
          <w:sz w:val="16"/>
        </w:rPr>
        <w:t xml:space="preserve">First, </w:t>
      </w:r>
      <w:r w:rsidRPr="00AC61E0">
        <w:rPr>
          <w:b/>
          <w:bCs/>
          <w:highlight w:val="cyan"/>
          <w:u w:val="single"/>
        </w:rPr>
        <w:t>Bestseller fails to allege</w:t>
      </w:r>
      <w:r w:rsidRPr="00267876">
        <w:rPr>
          <w:b/>
          <w:bCs/>
          <w:u w:val="single"/>
        </w:rPr>
        <w:t xml:space="preserve"> actual </w:t>
      </w:r>
      <w:r w:rsidRPr="00AC61E0">
        <w:rPr>
          <w:b/>
          <w:bCs/>
          <w:highlight w:val="cyan"/>
          <w:u w:val="single"/>
        </w:rPr>
        <w:t>use</w:t>
      </w:r>
      <w:r w:rsidRPr="00267876">
        <w:rPr>
          <w:u w:val="single"/>
        </w:rPr>
        <w:t xml:space="preserve"> in the most straightforward way, by showing its own protectible right to the Jack &amp; Jones trademark in the United States</w:t>
      </w:r>
      <w:r w:rsidRPr="00267876">
        <w:rPr>
          <w:sz w:val="16"/>
        </w:rPr>
        <w:t>.   At common law, “</w:t>
      </w:r>
      <w:r w:rsidRPr="00AC61E0">
        <w:rPr>
          <w:highlight w:val="cyan"/>
          <w:u w:val="single"/>
        </w:rPr>
        <w:t>prior ownership</w:t>
      </w:r>
      <w:r w:rsidRPr="00267876">
        <w:rPr>
          <w:u w:val="single"/>
        </w:rPr>
        <w:t xml:space="preserve"> of a mark </w:t>
      </w:r>
      <w:r w:rsidRPr="00AC61E0">
        <w:rPr>
          <w:highlight w:val="cyan"/>
          <w:u w:val="single"/>
        </w:rPr>
        <w:t>is only</w:t>
      </w:r>
      <w:r w:rsidRPr="00267876">
        <w:rPr>
          <w:u w:val="single"/>
        </w:rPr>
        <w:t xml:space="preserve"> </w:t>
      </w:r>
      <w:r w:rsidRPr="00AC61E0">
        <w:rPr>
          <w:highlight w:val="cyan"/>
          <w:u w:val="single"/>
        </w:rPr>
        <w:t>established as of the first</w:t>
      </w:r>
      <w:r w:rsidRPr="00267876">
        <w:rPr>
          <w:u w:val="single"/>
        </w:rPr>
        <w:t xml:space="preserve"> actual </w:t>
      </w:r>
      <w:r w:rsidRPr="00AC61E0">
        <w:rPr>
          <w:highlight w:val="cyan"/>
          <w:u w:val="single"/>
        </w:rPr>
        <w:t>use</w:t>
      </w:r>
      <w:r w:rsidRPr="00267876">
        <w:rPr>
          <w:u w:val="single"/>
        </w:rPr>
        <w:t xml:space="preserve"> of a mark in a genuine commercial transaction</w:t>
      </w:r>
      <w:r w:rsidRPr="00267876">
        <w:rPr>
          <w:sz w:val="16"/>
        </w:rPr>
        <w:t xml:space="preserve">.”  Allard Enters., Inc. v. Adv. Programming Res., Inc., 146 F.3d 350, 358 (6th Cir.1998).   </w:t>
      </w:r>
      <w:r w:rsidRPr="00267876">
        <w:rPr>
          <w:u w:val="single"/>
        </w:rPr>
        <w:t xml:space="preserve">The 1988 amendments to the Lanham Act codified </w:t>
      </w:r>
      <w:r w:rsidRPr="00AC61E0">
        <w:rPr>
          <w:highlight w:val="cyan"/>
          <w:u w:val="single"/>
        </w:rPr>
        <w:t>a</w:t>
      </w:r>
      <w:r w:rsidRPr="00267876">
        <w:rPr>
          <w:u w:val="single"/>
        </w:rPr>
        <w:t xml:space="preserve"> </w:t>
      </w:r>
      <w:r w:rsidRPr="00AC61E0">
        <w:rPr>
          <w:highlight w:val="cyan"/>
          <w:u w:val="single"/>
        </w:rPr>
        <w:t>standard of</w:t>
      </w:r>
      <w:r w:rsidRPr="00267876">
        <w:rPr>
          <w:u w:val="single"/>
        </w:rPr>
        <w:t xml:space="preserve"> “</w:t>
      </w:r>
      <w:r w:rsidRPr="00AC61E0">
        <w:rPr>
          <w:b/>
          <w:bCs/>
          <w:highlight w:val="cyan"/>
          <w:u w:val="single"/>
        </w:rPr>
        <w:t>use in commerce</w:t>
      </w:r>
      <w:r w:rsidRPr="00267876">
        <w:rPr>
          <w:u w:val="single"/>
        </w:rPr>
        <w:t xml:space="preserve">,” </w:t>
      </w:r>
      <w:r w:rsidRPr="00AC61E0">
        <w:rPr>
          <w:b/>
          <w:bCs/>
          <w:highlight w:val="cyan"/>
          <w:u w:val="single"/>
        </w:rPr>
        <w:t>necessary</w:t>
      </w:r>
      <w:r w:rsidRPr="00267876">
        <w:rPr>
          <w:b/>
          <w:bCs/>
          <w:u w:val="single"/>
        </w:rPr>
        <w:t xml:space="preserve"> for a valid trademark registration</w:t>
      </w:r>
      <w:r w:rsidRPr="00267876">
        <w:rPr>
          <w:u w:val="single"/>
        </w:rPr>
        <w:t>, which means “the bona fide use of a mark in the ordinary course of trade</w:t>
      </w:r>
      <w:r w:rsidRPr="00267876">
        <w:rPr>
          <w:sz w:val="16"/>
        </w:rPr>
        <w:t xml:space="preserve">,” including, for a trademark, attaching the trademark to goods.  15 U.S.C. § 1127.   </w:t>
      </w:r>
      <w:r w:rsidRPr="00267876">
        <w:rPr>
          <w:b/>
          <w:bCs/>
          <w:u w:val="single"/>
        </w:rPr>
        <w:t xml:space="preserve">In any case, “sporadic or </w:t>
      </w:r>
      <w:r w:rsidRPr="00AC61E0">
        <w:rPr>
          <w:b/>
          <w:bCs/>
          <w:highlight w:val="cyan"/>
          <w:u w:val="single"/>
        </w:rPr>
        <w:t>minimal</w:t>
      </w:r>
      <w:r w:rsidRPr="00267876">
        <w:rPr>
          <w:b/>
          <w:bCs/>
          <w:u w:val="single"/>
        </w:rPr>
        <w:t xml:space="preserve">” </w:t>
      </w:r>
      <w:r w:rsidRPr="00AC61E0">
        <w:rPr>
          <w:b/>
          <w:bCs/>
          <w:highlight w:val="cyan"/>
          <w:u w:val="single"/>
        </w:rPr>
        <w:t>sales are not sufficient</w:t>
      </w:r>
      <w:r w:rsidRPr="00267876">
        <w:rPr>
          <w:sz w:val="16"/>
        </w:rPr>
        <w:t xml:space="preserve">.  Allard Enters., 146 F.3d at </w:t>
      </w:r>
      <w:proofErr w:type="gramStart"/>
      <w:r w:rsidRPr="00267876">
        <w:rPr>
          <w:sz w:val="16"/>
        </w:rPr>
        <w:t>359;  see</w:t>
      </w:r>
      <w:proofErr w:type="gramEnd"/>
      <w:r w:rsidRPr="00267876">
        <w:rPr>
          <w:sz w:val="16"/>
        </w:rPr>
        <w:t xml:space="preserve"> also </w:t>
      </w:r>
      <w:proofErr w:type="spellStart"/>
      <w:r w:rsidRPr="00267876">
        <w:rPr>
          <w:sz w:val="16"/>
        </w:rPr>
        <w:t>Zazu</w:t>
      </w:r>
      <w:proofErr w:type="spellEnd"/>
      <w:r w:rsidRPr="00267876">
        <w:rPr>
          <w:sz w:val="16"/>
        </w:rPr>
        <w:t xml:space="preserve"> Designs v. </w:t>
      </w:r>
      <w:proofErr w:type="spellStart"/>
      <w:r w:rsidRPr="00267876">
        <w:rPr>
          <w:sz w:val="16"/>
        </w:rPr>
        <w:t>L'Oreal</w:t>
      </w:r>
      <w:proofErr w:type="spellEnd"/>
      <w:r w:rsidRPr="00267876">
        <w:rPr>
          <w:sz w:val="16"/>
        </w:rPr>
        <w:t xml:space="preserve">, S.A., 979 F.2d 499, 503 (7th Cir.1992) (“A few bottles sold over the counter </w:t>
      </w:r>
      <w:r w:rsidRPr="00267876">
        <w:rPr>
          <w:rFonts w:ascii="MS Gothic" w:eastAsia="MS Gothic" w:hAnsi="MS Gothic" w:cs="MS Gothic" w:hint="eastAsia"/>
          <w:sz w:val="16"/>
        </w:rPr>
        <w:t>․</w:t>
      </w:r>
      <w:r w:rsidRPr="00267876">
        <w:rPr>
          <w:sz w:val="16"/>
        </w:rPr>
        <w:t xml:space="preserve"> and a few more mailed to friends” are not sufficient use.).   While a single sale may indicate the first use of a mark, </w:t>
      </w:r>
      <w:r w:rsidRPr="00AC61E0">
        <w:rPr>
          <w:b/>
          <w:bCs/>
          <w:highlight w:val="cyan"/>
          <w:u w:val="single"/>
        </w:rPr>
        <w:t>it must be</w:t>
      </w:r>
      <w:r w:rsidRPr="00267876">
        <w:rPr>
          <w:b/>
          <w:bCs/>
          <w:u w:val="single"/>
        </w:rPr>
        <w:t xml:space="preserve"> the beginning of “</w:t>
      </w:r>
      <w:r w:rsidRPr="00AC61E0">
        <w:rPr>
          <w:b/>
          <w:bCs/>
          <w:highlight w:val="cyan"/>
          <w:u w:val="single"/>
        </w:rPr>
        <w:t>continuous</w:t>
      </w:r>
      <w:r w:rsidRPr="00267876">
        <w:rPr>
          <w:b/>
          <w:bCs/>
          <w:u w:val="single"/>
        </w:rPr>
        <w:t xml:space="preserve"> commercial </w:t>
      </w:r>
      <w:r w:rsidRPr="00AC61E0">
        <w:rPr>
          <w:b/>
          <w:bCs/>
          <w:highlight w:val="cyan"/>
          <w:u w:val="single"/>
        </w:rPr>
        <w:t>utilization</w:t>
      </w:r>
      <w:r w:rsidRPr="00267876">
        <w:rPr>
          <w:sz w:val="16"/>
        </w:rPr>
        <w:t xml:space="preserve">.”  Allard, 146 F.3d at 358.   Obviously, as § 1052(d) requires, such use must also be “in the United States.”   See Person's Co. v. </w:t>
      </w:r>
      <w:proofErr w:type="spellStart"/>
      <w:r w:rsidRPr="00267876">
        <w:rPr>
          <w:sz w:val="16"/>
        </w:rPr>
        <w:t>Christman</w:t>
      </w:r>
      <w:proofErr w:type="spellEnd"/>
      <w:r w:rsidRPr="00267876">
        <w:rPr>
          <w:sz w:val="16"/>
        </w:rPr>
        <w:t>, 900 F.2d 1565, 1568-69 (Fed.Cir.1990) (T-shirt sales in Japan are not “use in United States commerce”).</w:t>
      </w:r>
    </w:p>
    <w:p w:rsidR="00706303" w:rsidRPr="00267876" w:rsidRDefault="00706303" w:rsidP="00706303">
      <w:pPr>
        <w:rPr>
          <w:sz w:val="16"/>
        </w:rPr>
      </w:pPr>
      <w:r w:rsidRPr="00267876">
        <w:rPr>
          <w:sz w:val="16"/>
        </w:rPr>
        <w:t xml:space="preserve">However, Bestseller need not “meet the technical statutory requirements to register </w:t>
      </w:r>
      <w:r w:rsidRPr="00267876">
        <w:rPr>
          <w:rFonts w:ascii="MS Gothic" w:eastAsia="MS Gothic" w:hAnsi="MS Gothic" w:cs="MS Gothic" w:hint="eastAsia"/>
          <w:sz w:val="16"/>
        </w:rPr>
        <w:t>․</w:t>
      </w:r>
      <w:r w:rsidRPr="00267876">
        <w:rPr>
          <w:sz w:val="16"/>
        </w:rPr>
        <w:t xml:space="preserve"> [a mark] to have a basis for objection to another's registration.”  </w:t>
      </w:r>
      <w:proofErr w:type="spellStart"/>
      <w:r w:rsidRPr="00267876">
        <w:rPr>
          <w:sz w:val="16"/>
        </w:rPr>
        <w:t>Nat'l</w:t>
      </w:r>
      <w:proofErr w:type="spellEnd"/>
      <w:r w:rsidRPr="00267876">
        <w:rPr>
          <w:sz w:val="16"/>
        </w:rPr>
        <w:t xml:space="preserve"> Cable Television </w:t>
      </w:r>
      <w:proofErr w:type="spellStart"/>
      <w:r w:rsidRPr="00267876">
        <w:rPr>
          <w:sz w:val="16"/>
        </w:rPr>
        <w:t>Ass'n</w:t>
      </w:r>
      <w:proofErr w:type="spellEnd"/>
      <w:r w:rsidRPr="00267876">
        <w:rPr>
          <w:sz w:val="16"/>
        </w:rPr>
        <w:t xml:space="preserve"> v. Am. Cinema Editors, Inc., 937 F.2d 1572, 1578 (Fed.Cir.1991).   </w:t>
      </w:r>
      <w:r w:rsidRPr="00AC61E0">
        <w:rPr>
          <w:highlight w:val="cyan"/>
          <w:u w:val="single"/>
        </w:rPr>
        <w:t>Section 2(d)</w:t>
      </w:r>
      <w:r w:rsidRPr="00267876">
        <w:rPr>
          <w:u w:val="single"/>
        </w:rPr>
        <w:t xml:space="preserve"> </w:t>
      </w:r>
      <w:r w:rsidRPr="00AC61E0">
        <w:rPr>
          <w:highlight w:val="cyan"/>
          <w:u w:val="single"/>
        </w:rPr>
        <w:t>requires only</w:t>
      </w:r>
      <w:r w:rsidRPr="00267876">
        <w:rPr>
          <w:u w:val="single"/>
        </w:rPr>
        <w:t xml:space="preserve"> “</w:t>
      </w:r>
      <w:proofErr w:type="gramStart"/>
      <w:r w:rsidRPr="00AC61E0">
        <w:rPr>
          <w:highlight w:val="cyan"/>
          <w:u w:val="single"/>
        </w:rPr>
        <w:t>use</w:t>
      </w:r>
      <w:r w:rsidRPr="00267876">
        <w:rPr>
          <w:u w:val="single"/>
        </w:rPr>
        <w:t>[</w:t>
      </w:r>
      <w:proofErr w:type="gramEnd"/>
      <w:r w:rsidRPr="00267876">
        <w:rPr>
          <w:u w:val="single"/>
        </w:rPr>
        <w:t xml:space="preserve"> ] in the United States,” </w:t>
      </w:r>
      <w:r w:rsidRPr="00AC61E0">
        <w:rPr>
          <w:highlight w:val="cyan"/>
          <w:u w:val="single"/>
        </w:rPr>
        <w:t>and adoption</w:t>
      </w:r>
      <w:r w:rsidRPr="00267876">
        <w:rPr>
          <w:u w:val="single"/>
        </w:rPr>
        <w:t xml:space="preserve"> of the mark by use analogous </w:t>
      </w:r>
      <w:r w:rsidRPr="00AC61E0">
        <w:rPr>
          <w:highlight w:val="cyan"/>
          <w:u w:val="single"/>
        </w:rPr>
        <w:t>to</w:t>
      </w:r>
      <w:r w:rsidRPr="00267876">
        <w:rPr>
          <w:u w:val="single"/>
        </w:rPr>
        <w:t xml:space="preserve"> strict trademark use will therefore </w:t>
      </w:r>
      <w:r w:rsidRPr="00AC61E0">
        <w:rPr>
          <w:highlight w:val="cyan"/>
          <w:u w:val="single"/>
        </w:rPr>
        <w:t>suffice</w:t>
      </w:r>
      <w:r w:rsidRPr="00267876">
        <w:rPr>
          <w:sz w:val="16"/>
        </w:rPr>
        <w:t xml:space="preserve">.  T.A.B. Sys., Inc. v. </w:t>
      </w:r>
      <w:proofErr w:type="spellStart"/>
      <w:r w:rsidRPr="00267876">
        <w:rPr>
          <w:sz w:val="16"/>
        </w:rPr>
        <w:t>PacTel</w:t>
      </w:r>
      <w:proofErr w:type="spellEnd"/>
      <w:r w:rsidRPr="00267876">
        <w:rPr>
          <w:sz w:val="16"/>
        </w:rPr>
        <w:t xml:space="preserve"> Teletrac, 77 F.3d 1372, 1375 (Fed.Cir.1996).   An opposer may rely on myriad forms of activity besides sales themselves, including, among others, regular business contacts, after-sales services, advertising of various forms, and marketing.  First Niagara Ins. Brokers, Inc. v. First Niagara Fin. Group, 476 F.3d 867, 868-69 (Fed.Cir.2007</w:t>
      </w:r>
      <w:proofErr w:type="gramStart"/>
      <w:r w:rsidRPr="00267876">
        <w:rPr>
          <w:sz w:val="16"/>
        </w:rPr>
        <w:t>);  Johnny</w:t>
      </w:r>
      <w:proofErr w:type="gramEnd"/>
      <w:r w:rsidRPr="00267876">
        <w:rPr>
          <w:sz w:val="16"/>
        </w:rPr>
        <w:t xml:space="preserve"> Blastoff, Inc. v. L.A. Rams Football Co., 188 F.3d 427, 434 (7th Cir.1999);  Malcolm Nicol, 881 F.2d at 1064.   Even marketing of a trademarked product before the product is ready for sale has the potential to defeat a rival's registration.   See Old Swiss House, Inc. v. Anheuser-Busch, Inc., 569 F.2d 1130, 1133 (C.C.P.A.1978).   </w:t>
      </w:r>
      <w:r w:rsidRPr="00AC61E0">
        <w:rPr>
          <w:b/>
          <w:bCs/>
          <w:highlight w:val="cyan"/>
          <w:u w:val="single"/>
        </w:rPr>
        <w:t>Still</w:t>
      </w:r>
      <w:r w:rsidRPr="00267876">
        <w:rPr>
          <w:b/>
          <w:bCs/>
          <w:u w:val="single"/>
        </w:rPr>
        <w:t xml:space="preserve">, </w:t>
      </w:r>
      <w:r w:rsidRPr="00AC61E0">
        <w:rPr>
          <w:b/>
          <w:bCs/>
          <w:highlight w:val="cyan"/>
          <w:u w:val="single"/>
        </w:rPr>
        <w:t>desultory marketing</w:t>
      </w:r>
      <w:r w:rsidRPr="00267876">
        <w:rPr>
          <w:b/>
          <w:bCs/>
          <w:u w:val="single"/>
        </w:rPr>
        <w:t xml:space="preserve"> such as sending out occasional press releases </w:t>
      </w:r>
      <w:r w:rsidRPr="00AC61E0">
        <w:rPr>
          <w:b/>
          <w:bCs/>
          <w:highlight w:val="cyan"/>
          <w:u w:val="single"/>
        </w:rPr>
        <w:t>is not enough</w:t>
      </w:r>
      <w:r w:rsidRPr="00267876">
        <w:rPr>
          <w:sz w:val="16"/>
        </w:rPr>
        <w:t xml:space="preserve">.  Id. </w:t>
      </w:r>
      <w:r w:rsidRPr="00267876">
        <w:rPr>
          <w:b/>
          <w:bCs/>
          <w:u w:val="single"/>
        </w:rPr>
        <w:t xml:space="preserve">Analogous use </w:t>
      </w:r>
      <w:r w:rsidRPr="00AC61E0">
        <w:rPr>
          <w:b/>
          <w:bCs/>
          <w:highlight w:val="cyan"/>
          <w:u w:val="single"/>
        </w:rPr>
        <w:t>must be</w:t>
      </w:r>
      <w:r w:rsidRPr="00267876">
        <w:rPr>
          <w:b/>
          <w:bCs/>
          <w:u w:val="single"/>
        </w:rPr>
        <w:t xml:space="preserve"> “</w:t>
      </w:r>
      <w:r w:rsidRPr="00AC61E0">
        <w:rPr>
          <w:b/>
          <w:bCs/>
          <w:highlight w:val="cyan"/>
          <w:u w:val="single"/>
        </w:rPr>
        <w:t>of such</w:t>
      </w:r>
      <w:r w:rsidRPr="00267876">
        <w:rPr>
          <w:b/>
          <w:bCs/>
          <w:u w:val="single"/>
        </w:rPr>
        <w:t xml:space="preserve"> a nature and </w:t>
      </w:r>
      <w:r w:rsidRPr="00AC61E0">
        <w:rPr>
          <w:b/>
          <w:bCs/>
          <w:highlight w:val="cyan"/>
          <w:u w:val="single"/>
        </w:rPr>
        <w:t>extent</w:t>
      </w:r>
      <w:r w:rsidRPr="00267876">
        <w:rPr>
          <w:b/>
          <w:bCs/>
          <w:u w:val="single"/>
        </w:rPr>
        <w:t xml:space="preserve"> as </w:t>
      </w:r>
      <w:r w:rsidRPr="00AC61E0">
        <w:rPr>
          <w:b/>
          <w:bCs/>
          <w:highlight w:val="cyan"/>
          <w:u w:val="single"/>
        </w:rPr>
        <w:t>to create public</w:t>
      </w:r>
      <w:r w:rsidRPr="00267876">
        <w:rPr>
          <w:b/>
          <w:bCs/>
          <w:u w:val="single"/>
        </w:rPr>
        <w:t xml:space="preserve"> </w:t>
      </w:r>
      <w:r w:rsidRPr="00AC61E0">
        <w:rPr>
          <w:b/>
          <w:bCs/>
          <w:highlight w:val="cyan"/>
          <w:u w:val="single"/>
        </w:rPr>
        <w:t>identification</w:t>
      </w:r>
      <w:r w:rsidRPr="00267876">
        <w:rPr>
          <w:b/>
          <w:bCs/>
          <w:u w:val="single"/>
        </w:rPr>
        <w:t xml:space="preserve"> of the target term with the opposer's product</w:t>
      </w:r>
      <w:r w:rsidRPr="00267876">
        <w:rPr>
          <w:sz w:val="16"/>
        </w:rPr>
        <w:t>.”   T.A.B. Sys., 77 F.3d at 1375.</w:t>
      </w:r>
    </w:p>
    <w:p w:rsidR="00706303" w:rsidRPr="00C42DFE" w:rsidRDefault="00706303" w:rsidP="00706303">
      <w:pPr>
        <w:rPr>
          <w:sz w:val="16"/>
        </w:rPr>
      </w:pPr>
      <w:r w:rsidRPr="00AC61E0">
        <w:rPr>
          <w:b/>
          <w:bCs/>
          <w:highlight w:val="cyan"/>
          <w:u w:val="single"/>
        </w:rPr>
        <w:t>Bestseller</w:t>
      </w:r>
      <w:r w:rsidRPr="00AC61E0">
        <w:rPr>
          <w:b/>
          <w:bCs/>
          <w:u w:val="single"/>
        </w:rPr>
        <w:t>'s</w:t>
      </w:r>
      <w:r w:rsidRPr="00267876">
        <w:rPr>
          <w:b/>
          <w:bCs/>
          <w:u w:val="single"/>
        </w:rPr>
        <w:t xml:space="preserve"> allegations </w:t>
      </w:r>
      <w:r w:rsidRPr="00AC61E0">
        <w:rPr>
          <w:b/>
          <w:bCs/>
          <w:highlight w:val="cyan"/>
          <w:u w:val="single"/>
        </w:rPr>
        <w:t>fall short</w:t>
      </w:r>
      <w:r w:rsidRPr="00267876">
        <w:rPr>
          <w:b/>
          <w:bCs/>
          <w:u w:val="single"/>
        </w:rPr>
        <w:t xml:space="preserve"> of showing a sale</w:t>
      </w:r>
      <w:r w:rsidRPr="00267876">
        <w:rPr>
          <w:sz w:val="16"/>
        </w:rPr>
        <w:t xml:space="preserve">, whether in the United States or to an American abroad, as the beginning of a continuous commercial exploitation of the Jack &amp; Jones mark in the United </w:t>
      </w:r>
      <w:proofErr w:type="gramStart"/>
      <w:r w:rsidRPr="00267876">
        <w:rPr>
          <w:sz w:val="16"/>
        </w:rPr>
        <w:t>States;  but</w:t>
      </w:r>
      <w:proofErr w:type="gramEnd"/>
      <w:r w:rsidRPr="00267876">
        <w:rPr>
          <w:sz w:val="16"/>
        </w:rPr>
        <w:t xml:space="preserve"> they do give fair notice of a claim to analogous use.   </w:t>
      </w:r>
      <w:r w:rsidRPr="00267876">
        <w:rPr>
          <w:u w:val="single"/>
        </w:rPr>
        <w:t xml:space="preserve">While Bestseller clearly sells millions of </w:t>
      </w:r>
      <w:proofErr w:type="spellStart"/>
      <w:r w:rsidRPr="00267876">
        <w:rPr>
          <w:u w:val="single"/>
        </w:rPr>
        <w:t>dollars worth</w:t>
      </w:r>
      <w:proofErr w:type="spellEnd"/>
      <w:r w:rsidRPr="00267876">
        <w:rPr>
          <w:u w:val="single"/>
        </w:rPr>
        <w:t xml:space="preserve"> of Jack &amp; Jones branded clothing elsewhere in the world, it </w:t>
      </w:r>
      <w:r w:rsidRPr="00AC61E0">
        <w:rPr>
          <w:highlight w:val="cyan"/>
          <w:u w:val="single"/>
        </w:rPr>
        <w:t>fails to allege</w:t>
      </w:r>
      <w:r w:rsidRPr="00267876">
        <w:rPr>
          <w:u w:val="single"/>
        </w:rPr>
        <w:t xml:space="preserve"> any </w:t>
      </w:r>
      <w:r w:rsidRPr="00AC61E0">
        <w:rPr>
          <w:highlight w:val="cyan"/>
          <w:u w:val="single"/>
        </w:rPr>
        <w:t>sales</w:t>
      </w:r>
      <w:r w:rsidRPr="00267876">
        <w:rPr>
          <w:u w:val="single"/>
        </w:rPr>
        <w:t xml:space="preserve"> in the United States or to Americans</w:t>
      </w:r>
      <w:r w:rsidRPr="00267876">
        <w:rPr>
          <w:sz w:val="16"/>
        </w:rPr>
        <w:t xml:space="preserve">.   The closest Bestseller comes is saying this clothing “has been available to U.S. consumers through Bestseller's foreign customers and stores as well as through re-sales on eBay.com.” Am. </w:t>
      </w:r>
      <w:proofErr w:type="spellStart"/>
      <w:r w:rsidRPr="00267876">
        <w:rPr>
          <w:sz w:val="16"/>
        </w:rPr>
        <w:t>Compl</w:t>
      </w:r>
      <w:proofErr w:type="spellEnd"/>
      <w:r w:rsidRPr="00267876">
        <w:rPr>
          <w:sz w:val="16"/>
        </w:rPr>
        <w:t xml:space="preserve">. </w:t>
      </w:r>
      <w:r w:rsidRPr="00577F66">
        <w:rPr>
          <w:sz w:val="12"/>
        </w:rPr>
        <w:t>¶</w:t>
      </w:r>
      <w:r w:rsidRPr="00267876">
        <w:rPr>
          <w:sz w:val="16"/>
        </w:rPr>
        <w:t xml:space="preserve"> 14.   </w:t>
      </w:r>
      <w:r w:rsidRPr="00267876">
        <w:rPr>
          <w:u w:val="single"/>
        </w:rPr>
        <w:t xml:space="preserve">This allegation does not imply any American sales at all, </w:t>
      </w:r>
      <w:r w:rsidRPr="00AC61E0">
        <w:rPr>
          <w:highlight w:val="cyan"/>
          <w:u w:val="single"/>
        </w:rPr>
        <w:t>much less</w:t>
      </w:r>
      <w:r w:rsidRPr="00267876">
        <w:rPr>
          <w:u w:val="single"/>
        </w:rPr>
        <w:t xml:space="preserve"> </w:t>
      </w:r>
      <w:r w:rsidRPr="00AC61E0">
        <w:rPr>
          <w:highlight w:val="cyan"/>
          <w:u w:val="single"/>
        </w:rPr>
        <w:t>continuous</w:t>
      </w:r>
      <w:r w:rsidRPr="00267876">
        <w:rPr>
          <w:u w:val="single"/>
        </w:rPr>
        <w:t xml:space="preserve"> commercial </w:t>
      </w:r>
      <w:r w:rsidRPr="00AC61E0">
        <w:rPr>
          <w:highlight w:val="cyan"/>
          <w:u w:val="single"/>
        </w:rPr>
        <w:t>sales</w:t>
      </w:r>
      <w:r w:rsidRPr="00267876">
        <w:rPr>
          <w:sz w:val="16"/>
        </w:rPr>
        <w:t>.</w:t>
      </w:r>
    </w:p>
    <w:p w:rsidR="00706303" w:rsidRPr="00706303" w:rsidRDefault="00706303" w:rsidP="00706303">
      <w:pPr>
        <w:pStyle w:val="Heading1"/>
      </w:pPr>
      <w:r>
        <w:t>Neg</w:t>
      </w:r>
    </w:p>
    <w:p w:rsidR="00706303" w:rsidRDefault="00706303" w:rsidP="00706303">
      <w:pPr>
        <w:pStyle w:val="Heading2"/>
      </w:pPr>
      <w:r>
        <w:t>CP---Advantage</w:t>
      </w:r>
    </w:p>
    <w:p w:rsidR="00706303" w:rsidRDefault="00706303" w:rsidP="00706303">
      <w:pPr>
        <w:pStyle w:val="Heading3"/>
      </w:pPr>
      <w:r>
        <w:t>1NC---Data Breaches---APRA</w:t>
      </w:r>
    </w:p>
    <w:p w:rsidR="00706303" w:rsidRDefault="00706303" w:rsidP="00706303">
      <w:pPr>
        <w:pStyle w:val="Heading4"/>
      </w:pPr>
      <w:r>
        <w:t>---pass the American Privacy Rights Act.</w:t>
      </w:r>
    </w:p>
    <w:p w:rsidR="00706303" w:rsidRDefault="00706303" w:rsidP="00706303">
      <w:pPr>
        <w:pStyle w:val="Heading4"/>
      </w:pPr>
      <w:r>
        <w:t xml:space="preserve">APRA solves data breaches by </w:t>
      </w:r>
      <w:r w:rsidRPr="00801991">
        <w:rPr>
          <w:u w:val="single"/>
        </w:rPr>
        <w:t>increasing</w:t>
      </w:r>
      <w:r>
        <w:t xml:space="preserve"> liability and </w:t>
      </w:r>
      <w:r w:rsidRPr="00801991">
        <w:rPr>
          <w:u w:val="single"/>
        </w:rPr>
        <w:t>minimizing</w:t>
      </w:r>
      <w:r>
        <w:t xml:space="preserve"> the data companies have access to.</w:t>
      </w:r>
    </w:p>
    <w:p w:rsidR="00706303" w:rsidRPr="00801991" w:rsidRDefault="00706303" w:rsidP="00706303">
      <w:r>
        <w:t xml:space="preserve">Jean Paul </w:t>
      </w:r>
      <w:r w:rsidRPr="00801991">
        <w:rPr>
          <w:rFonts w:eastAsiaTheme="majorEastAsia" w:cstheme="majorBidi"/>
          <w:b/>
          <w:iCs/>
          <w:sz w:val="26"/>
        </w:rPr>
        <w:t>Simon 24</w:t>
      </w:r>
      <w:r w:rsidRPr="00801991">
        <w:t>,</w:t>
      </w:r>
      <w:r>
        <w:t xml:space="preserve"> f</w:t>
      </w:r>
      <w:r w:rsidRPr="00801991">
        <w:t xml:space="preserve">ounder of JPS Public Policy Consulting, a consulting firm </w:t>
      </w:r>
      <w:proofErr w:type="spellStart"/>
      <w:r w:rsidRPr="00801991">
        <w:t>specialised</w:t>
      </w:r>
      <w:proofErr w:type="spellEnd"/>
      <w:r w:rsidRPr="00801991">
        <w:t xml:space="preserve"> in media/telecom law regulation and strategy</w:t>
      </w:r>
      <w:r>
        <w:t>, 06/19/2024, “</w:t>
      </w:r>
      <w:r w:rsidRPr="00801991">
        <w:t>The American Privacy Rights Act of 2024 (APRA</w:t>
      </w:r>
      <w:r>
        <w:t xml:space="preserve">),” </w:t>
      </w:r>
      <w:r w:rsidRPr="00801991">
        <w:t>https://www.axept.io/blog/apra-american-privacy-rights-act</w:t>
      </w:r>
      <w:r>
        <w:t xml:space="preserve">, </w:t>
      </w:r>
      <w:proofErr w:type="spellStart"/>
      <w:r>
        <w:t>avr</w:t>
      </w:r>
      <w:proofErr w:type="spellEnd"/>
    </w:p>
    <w:p w:rsidR="00706303" w:rsidRPr="004A259B" w:rsidRDefault="00706303" w:rsidP="00706303">
      <w:r w:rsidRPr="004A259B">
        <w:t xml:space="preserve">The U.S. Congress has been trying for several years now to adopt </w:t>
      </w:r>
      <w:r w:rsidRPr="004A259B">
        <w:rPr>
          <w:rStyle w:val="StyleUnderline"/>
        </w:rPr>
        <w:t>comprehensive federal legislation for privacy protection</w:t>
      </w:r>
      <w:r w:rsidRPr="004A259B">
        <w:t xml:space="preserve">. In April 2024, a bipartisan and </w:t>
      </w:r>
      <w:r w:rsidRPr="004A259B">
        <w:rPr>
          <w:rStyle w:val="StyleUnderline"/>
        </w:rPr>
        <w:t>bicameral bill</w:t>
      </w:r>
      <w:r w:rsidRPr="004A259B">
        <w:t xml:space="preserve"> proposal was introduced in the form of a "discussion draft"1. This follows various attempts, including the </w:t>
      </w:r>
      <w:r w:rsidRPr="004A259B">
        <w:rPr>
          <w:rStyle w:val="StyleUnderline"/>
        </w:rPr>
        <w:t>American Data Privacy and Protection Act (ADPPA</w:t>
      </w:r>
      <w:r w:rsidRPr="004A259B">
        <w:t xml:space="preserve">)2 of 2022, from which it </w:t>
      </w:r>
      <w:r w:rsidRPr="004A259B">
        <w:rPr>
          <w:rStyle w:val="StyleUnderline"/>
        </w:rPr>
        <w:t>borrows some elements</w:t>
      </w:r>
      <w:r w:rsidRPr="004A259B">
        <w:t xml:space="preserve">. After the adoption of laws by states such as California or Illinois, Congress is aiming to take the lead and define a singular national approach that preempts state laws3 and aims to avoid a patchwork of laws. </w:t>
      </w:r>
      <w:r w:rsidRPr="004A259B">
        <w:rPr>
          <w:rStyle w:val="Emphasis"/>
          <w:highlight w:val="cyan"/>
        </w:rPr>
        <w:t>APRA</w:t>
      </w:r>
      <w:r w:rsidRPr="004A259B">
        <w:t xml:space="preserve"> also echoes the GDPR. </w:t>
      </w:r>
    </w:p>
    <w:p w:rsidR="00706303" w:rsidRPr="004A259B" w:rsidRDefault="00706303" w:rsidP="00706303">
      <w:r w:rsidRPr="004A259B">
        <w:br/>
        <w:t xml:space="preserve">Initial reactions seem rather positive4, acknowledging a significant legislative turning point and the rise of </w:t>
      </w:r>
      <w:r w:rsidRPr="004A259B">
        <w:rPr>
          <w:rStyle w:val="StyleUnderline"/>
        </w:rPr>
        <w:t>data protection</w:t>
      </w:r>
      <w:r w:rsidRPr="004A259B">
        <w:t>. However, it is uncertain whether the law can be adopted before the end of the year given the U.S. political calendar (November elections).</w:t>
      </w:r>
    </w:p>
    <w:p w:rsidR="00706303" w:rsidRPr="004A259B" w:rsidRDefault="00706303" w:rsidP="00706303"/>
    <w:p w:rsidR="00706303" w:rsidRPr="004A259B" w:rsidRDefault="00706303" w:rsidP="00706303">
      <w:r w:rsidRPr="004A259B">
        <w:t>The 4 objectives of the American Privacy Acts</w:t>
      </w:r>
      <w:r w:rsidRPr="004A259B">
        <w:br/>
      </w:r>
    </w:p>
    <w:p w:rsidR="00706303" w:rsidRPr="004A259B" w:rsidRDefault="00706303" w:rsidP="00706303">
      <w:r w:rsidRPr="004A259B">
        <w:t>Provide Americans with a fundamental right to digital privacy.</w:t>
      </w:r>
    </w:p>
    <w:p w:rsidR="00706303" w:rsidRPr="004A259B" w:rsidRDefault="00706303" w:rsidP="00706303">
      <w:r w:rsidRPr="004A259B">
        <w:t>Create a national law regulating how companies can use personal data.</w:t>
      </w:r>
    </w:p>
    <w:p w:rsidR="00706303" w:rsidRPr="004A259B" w:rsidRDefault="00706303" w:rsidP="00706303">
      <w:r w:rsidRPr="004A259B">
        <w:t>Limit companies' ability to track, anticipate, and manipulate individuals' behaviors for profit without their knowledge and consent.</w:t>
      </w:r>
    </w:p>
    <w:p w:rsidR="00706303" w:rsidRPr="004A259B" w:rsidRDefault="00706303" w:rsidP="00706303">
      <w:r w:rsidRPr="004A259B">
        <w:t>Establish a uniform national standard for data privacy and security in the United States.</w:t>
      </w:r>
    </w:p>
    <w:p w:rsidR="00706303" w:rsidRPr="004A259B" w:rsidRDefault="00706303" w:rsidP="00706303">
      <w:r w:rsidRPr="004A259B">
        <w:t>Summary of the bill5</w:t>
      </w:r>
    </w:p>
    <w:p w:rsidR="00706303" w:rsidRPr="004A259B" w:rsidRDefault="00706303" w:rsidP="00706303">
      <w:r w:rsidRPr="004A259B">
        <w:t xml:space="preserve">The bill </w:t>
      </w:r>
      <w:r w:rsidRPr="004A259B">
        <w:rPr>
          <w:rStyle w:val="StyleUnderline"/>
          <w:highlight w:val="cyan"/>
        </w:rPr>
        <w:t>aims to establish</w:t>
      </w:r>
      <w:r w:rsidRPr="004A259B">
        <w:t xml:space="preserve"> </w:t>
      </w:r>
      <w:r w:rsidRPr="004A259B">
        <w:rPr>
          <w:rStyle w:val="StyleUnderline"/>
        </w:rPr>
        <w:t>consumer</w:t>
      </w:r>
      <w:r w:rsidRPr="004A259B">
        <w:t xml:space="preserve"> </w:t>
      </w:r>
      <w:r w:rsidRPr="004A259B">
        <w:rPr>
          <w:rStyle w:val="StyleUnderline"/>
          <w:highlight w:val="cyan"/>
        </w:rPr>
        <w:t xml:space="preserve">data privacy rights on a </w:t>
      </w:r>
      <w:r w:rsidRPr="004A259B">
        <w:rPr>
          <w:rStyle w:val="Emphasis"/>
          <w:highlight w:val="cyan"/>
        </w:rPr>
        <w:t>national</w:t>
      </w:r>
      <w:r w:rsidRPr="004A259B">
        <w:rPr>
          <w:rStyle w:val="StyleUnderline"/>
          <w:highlight w:val="cyan"/>
        </w:rPr>
        <w:t xml:space="preserve"> level</w:t>
      </w:r>
      <w:r w:rsidRPr="004A259B">
        <w:t xml:space="preserve">. It would </w:t>
      </w:r>
      <w:r w:rsidRPr="004A259B">
        <w:rPr>
          <w:rStyle w:val="StyleUnderline"/>
          <w:highlight w:val="cyan"/>
        </w:rPr>
        <w:t xml:space="preserve">require covered entities to be </w:t>
      </w:r>
      <w:r w:rsidRPr="004A259B">
        <w:rPr>
          <w:rStyle w:val="Emphasis"/>
          <w:highlight w:val="cyan"/>
        </w:rPr>
        <w:t>transparent</w:t>
      </w:r>
      <w:r w:rsidRPr="004A259B">
        <w:t xml:space="preserve"> </w:t>
      </w:r>
      <w:r w:rsidRPr="004A259B">
        <w:rPr>
          <w:rStyle w:val="StyleUnderline"/>
          <w:highlight w:val="cyan"/>
        </w:rPr>
        <w:t>about</w:t>
      </w:r>
      <w:r w:rsidRPr="004A259B">
        <w:rPr>
          <w:rStyle w:val="StyleUnderline"/>
        </w:rPr>
        <w:t xml:space="preserve"> </w:t>
      </w:r>
      <w:r w:rsidRPr="004A259B">
        <w:t xml:space="preserve">how they use </w:t>
      </w:r>
      <w:r w:rsidRPr="004A259B">
        <w:rPr>
          <w:rStyle w:val="StyleUnderline"/>
          <w:highlight w:val="cyan"/>
        </w:rPr>
        <w:t>consumer data</w:t>
      </w:r>
      <w:r w:rsidRPr="004A259B">
        <w:t xml:space="preserve"> and grant </w:t>
      </w:r>
      <w:r w:rsidRPr="004A259B">
        <w:rPr>
          <w:rStyle w:val="StyleUnderline"/>
        </w:rPr>
        <w:t>consumers the right to access</w:t>
      </w:r>
      <w:r w:rsidRPr="004A259B">
        <w:t xml:space="preserve">, </w:t>
      </w:r>
      <w:r w:rsidRPr="004A259B">
        <w:rPr>
          <w:rStyle w:val="StyleUnderline"/>
        </w:rPr>
        <w:t>correct</w:t>
      </w:r>
      <w:r w:rsidRPr="004A259B">
        <w:t xml:space="preserve">, </w:t>
      </w:r>
      <w:r w:rsidRPr="004A259B">
        <w:rPr>
          <w:rStyle w:val="StyleUnderline"/>
        </w:rPr>
        <w:t>delete</w:t>
      </w:r>
      <w:r w:rsidRPr="004A259B">
        <w:t xml:space="preserve">, and </w:t>
      </w:r>
      <w:r w:rsidRPr="004A259B">
        <w:rPr>
          <w:rStyle w:val="StyleUnderline"/>
        </w:rPr>
        <w:t>export their data</w:t>
      </w:r>
      <w:r w:rsidRPr="004A259B">
        <w:t xml:space="preserve">, as well as the ability to </w:t>
      </w:r>
      <w:r w:rsidRPr="004A259B">
        <w:rPr>
          <w:rStyle w:val="StyleUnderline"/>
        </w:rPr>
        <w:t>opt-out</w:t>
      </w:r>
      <w:r w:rsidRPr="004A259B">
        <w:t xml:space="preserve"> of </w:t>
      </w:r>
      <w:r w:rsidRPr="004A259B">
        <w:rPr>
          <w:rStyle w:val="StyleUnderline"/>
        </w:rPr>
        <w:t>targeted advertising</w:t>
      </w:r>
      <w:r w:rsidRPr="004A259B">
        <w:t xml:space="preserve"> and </w:t>
      </w:r>
      <w:r w:rsidRPr="004A259B">
        <w:rPr>
          <w:rStyle w:val="StyleUnderline"/>
        </w:rPr>
        <w:t>data transfers</w:t>
      </w:r>
      <w:r w:rsidRPr="004A259B">
        <w:t>. </w:t>
      </w:r>
    </w:p>
    <w:p w:rsidR="00706303" w:rsidRPr="004A259B" w:rsidRDefault="00706303" w:rsidP="00706303">
      <w:r w:rsidRPr="004A259B">
        <w:rPr>
          <w:rStyle w:val="StyleUnderline"/>
          <w:highlight w:val="cyan"/>
        </w:rPr>
        <w:t xml:space="preserve">It sets data </w:t>
      </w:r>
      <w:r w:rsidRPr="004A259B">
        <w:rPr>
          <w:rStyle w:val="Emphasis"/>
          <w:highlight w:val="cyan"/>
        </w:rPr>
        <w:t>minimization</w:t>
      </w:r>
      <w:r w:rsidRPr="004A259B">
        <w:rPr>
          <w:rStyle w:val="StyleUnderline"/>
          <w:highlight w:val="cyan"/>
        </w:rPr>
        <w:t xml:space="preserve"> standards</w:t>
      </w:r>
      <w:r w:rsidRPr="004A259B">
        <w:t xml:space="preserve">, </w:t>
      </w:r>
      <w:r w:rsidRPr="004A259B">
        <w:rPr>
          <w:rStyle w:val="StyleUnderline"/>
          <w:highlight w:val="cyan"/>
        </w:rPr>
        <w:t>allowing companies to collect</w:t>
      </w:r>
      <w:r w:rsidRPr="004A259B">
        <w:t xml:space="preserve"> </w:t>
      </w:r>
      <w:r w:rsidRPr="004A259B">
        <w:rPr>
          <w:rStyle w:val="StyleUnderline"/>
        </w:rPr>
        <w:t>and use</w:t>
      </w:r>
      <w:r w:rsidRPr="004A259B">
        <w:t xml:space="preserve"> only </w:t>
      </w:r>
      <w:r w:rsidRPr="004A259B">
        <w:rPr>
          <w:rStyle w:val="StyleUnderline"/>
          <w:highlight w:val="cyan"/>
        </w:rPr>
        <w:t>data</w:t>
      </w:r>
      <w:r w:rsidRPr="004A259B">
        <w:t xml:space="preserve"> ("</w:t>
      </w:r>
      <w:r w:rsidRPr="004A259B">
        <w:rPr>
          <w:rStyle w:val="StyleUnderline"/>
        </w:rPr>
        <w:t>covered data</w:t>
      </w:r>
      <w:r w:rsidRPr="004A259B">
        <w:t xml:space="preserve">") </w:t>
      </w:r>
      <w:r w:rsidRPr="004A259B">
        <w:rPr>
          <w:rStyle w:val="StyleUnderline"/>
          <w:highlight w:val="cyan"/>
        </w:rPr>
        <w:t xml:space="preserve">for </w:t>
      </w:r>
      <w:r w:rsidRPr="004A259B">
        <w:rPr>
          <w:rStyle w:val="Emphasis"/>
          <w:highlight w:val="cyan"/>
        </w:rPr>
        <w:t>necessary</w:t>
      </w:r>
      <w:r w:rsidRPr="004A259B">
        <w:rPr>
          <w:rStyle w:val="StyleUnderline"/>
          <w:highlight w:val="cyan"/>
        </w:rPr>
        <w:t xml:space="preserve"> and limited </w:t>
      </w:r>
      <w:r w:rsidRPr="004A259B">
        <w:rPr>
          <w:rStyle w:val="Emphasis"/>
          <w:highlight w:val="cyan"/>
        </w:rPr>
        <w:t>purposes</w:t>
      </w:r>
      <w:r w:rsidRPr="004A259B">
        <w:t xml:space="preserve"> (15 are defined, e.g., "protecting data security", "defending claims") for a </w:t>
      </w:r>
      <w:r w:rsidRPr="004A259B">
        <w:rPr>
          <w:rStyle w:val="StyleUnderline"/>
        </w:rPr>
        <w:t>specific product or service</w:t>
      </w:r>
      <w:r w:rsidRPr="004A259B">
        <w:t xml:space="preserve"> requested by the consumer. This </w:t>
      </w:r>
      <w:r w:rsidRPr="004A259B">
        <w:rPr>
          <w:rStyle w:val="StyleUnderline"/>
        </w:rPr>
        <w:t xml:space="preserve">minimization is </w:t>
      </w:r>
      <w:r w:rsidRPr="004A259B">
        <w:rPr>
          <w:rStyle w:val="Emphasis"/>
        </w:rPr>
        <w:t>unprecedented</w:t>
      </w:r>
      <w:r w:rsidRPr="004A259B">
        <w:t xml:space="preserve"> in </w:t>
      </w:r>
      <w:r w:rsidRPr="004A259B">
        <w:rPr>
          <w:rStyle w:val="StyleUnderline"/>
        </w:rPr>
        <w:t>U.S. law</w:t>
      </w:r>
      <w:r w:rsidRPr="004A259B">
        <w:t>, except possibly in the recently adopted Maryland law6, according to the International Association of Privacy Professionals (IAPP)7. </w:t>
      </w:r>
    </w:p>
    <w:p w:rsidR="00706303" w:rsidRPr="004A259B" w:rsidRDefault="00706303" w:rsidP="00706303">
      <w:r w:rsidRPr="004A259B">
        <w:t xml:space="preserve">The </w:t>
      </w:r>
      <w:r w:rsidRPr="004A259B">
        <w:rPr>
          <w:rStyle w:val="StyleUnderline"/>
          <w:highlight w:val="cyan"/>
        </w:rPr>
        <w:t xml:space="preserve">transfer of </w:t>
      </w:r>
      <w:r w:rsidRPr="004A259B">
        <w:rPr>
          <w:rStyle w:val="Emphasis"/>
          <w:highlight w:val="cyan"/>
        </w:rPr>
        <w:t>sensitive</w:t>
      </w:r>
      <w:r w:rsidRPr="004A259B">
        <w:rPr>
          <w:rStyle w:val="StyleUnderline"/>
          <w:highlight w:val="cyan"/>
        </w:rPr>
        <w:t xml:space="preserve"> covered data to </w:t>
      </w:r>
      <w:r w:rsidRPr="004A259B">
        <w:rPr>
          <w:rStyle w:val="Emphasis"/>
          <w:highlight w:val="cyan"/>
        </w:rPr>
        <w:t>third</w:t>
      </w:r>
      <w:r w:rsidRPr="004A259B">
        <w:rPr>
          <w:rStyle w:val="StyleUnderline"/>
          <w:highlight w:val="cyan"/>
        </w:rPr>
        <w:t xml:space="preserve"> parties</w:t>
      </w:r>
      <w:r w:rsidRPr="004A259B">
        <w:t xml:space="preserve"> without obtaining effective consumer consent </w:t>
      </w:r>
      <w:r w:rsidRPr="004A259B">
        <w:rPr>
          <w:rStyle w:val="StyleUnderline"/>
          <w:highlight w:val="cyan"/>
        </w:rPr>
        <w:t xml:space="preserve">is </w:t>
      </w:r>
      <w:r w:rsidRPr="004A259B">
        <w:rPr>
          <w:rStyle w:val="Emphasis"/>
          <w:highlight w:val="cyan"/>
        </w:rPr>
        <w:t>prohibited</w:t>
      </w:r>
      <w:r w:rsidRPr="004A259B">
        <w:t>. Data of minors under 17 is treated as sensitive data.</w:t>
      </w:r>
    </w:p>
    <w:p w:rsidR="00706303" w:rsidRPr="004A259B" w:rsidRDefault="00706303" w:rsidP="00706303">
      <w:r w:rsidRPr="004A259B">
        <w:t xml:space="preserve">The </w:t>
      </w:r>
      <w:r w:rsidRPr="004A259B">
        <w:rPr>
          <w:rStyle w:val="StyleUnderline"/>
        </w:rPr>
        <w:t>law would prohibit the use of sensitive data</w:t>
      </w:r>
      <w:r w:rsidRPr="004A259B">
        <w:t xml:space="preserve"> for </w:t>
      </w:r>
      <w:r w:rsidRPr="004A259B">
        <w:rPr>
          <w:rStyle w:val="Emphasis"/>
        </w:rPr>
        <w:t>discriminatory</w:t>
      </w:r>
      <w:r w:rsidRPr="004A259B">
        <w:t xml:space="preserve"> purposes </w:t>
      </w:r>
      <w:r w:rsidRPr="004A259B">
        <w:rPr>
          <w:rStyle w:val="StyleUnderline"/>
        </w:rPr>
        <w:t>against consumers</w:t>
      </w:r>
      <w:r w:rsidRPr="004A259B">
        <w:t xml:space="preserve"> (extended civil rights protection).</w:t>
      </w:r>
    </w:p>
    <w:p w:rsidR="00706303" w:rsidRPr="004A259B" w:rsidRDefault="00706303" w:rsidP="00706303">
      <w:r w:rsidRPr="004A259B">
        <w:t xml:space="preserve">It would grant consumers the </w:t>
      </w:r>
      <w:r w:rsidRPr="004A259B">
        <w:rPr>
          <w:rStyle w:val="StyleUnderline"/>
        </w:rPr>
        <w:t>right to refuse</w:t>
      </w:r>
      <w:r w:rsidRPr="004A259B">
        <w:t xml:space="preserve"> the use of </w:t>
      </w:r>
      <w:r w:rsidRPr="004A259B">
        <w:rPr>
          <w:rStyle w:val="StyleUnderline"/>
        </w:rPr>
        <w:t>algorithms for decision-making</w:t>
      </w:r>
      <w:r w:rsidRPr="004A259B">
        <w:t xml:space="preserve">. The use of "dark patterns" to deceive users is also prohibited. It introduces a </w:t>
      </w:r>
      <w:r w:rsidRPr="004A259B">
        <w:rPr>
          <w:rStyle w:val="StyleUnderline"/>
        </w:rPr>
        <w:t>three-tier enforcement system</w:t>
      </w:r>
      <w:r w:rsidRPr="004A259B">
        <w:t>: the Federal Trade Commission (</w:t>
      </w:r>
      <w:r w:rsidRPr="004A259B">
        <w:rPr>
          <w:rStyle w:val="Emphasis"/>
        </w:rPr>
        <w:t>FTC</w:t>
      </w:r>
      <w:r w:rsidRPr="004A259B">
        <w:t>), state attorneys general (or their chief consumer protection officers), and consumers could enforce law violations.</w:t>
      </w:r>
    </w:p>
    <w:p w:rsidR="00706303" w:rsidRPr="004A259B" w:rsidRDefault="00706303" w:rsidP="00706303">
      <w:r w:rsidRPr="004A259B">
        <w:rPr>
          <w:rStyle w:val="StyleUnderline"/>
          <w:highlight w:val="cyan"/>
        </w:rPr>
        <w:t>It</w:t>
      </w:r>
      <w:r w:rsidRPr="004A259B">
        <w:t xml:space="preserve"> thus </w:t>
      </w:r>
      <w:r w:rsidRPr="004A259B">
        <w:rPr>
          <w:rStyle w:val="StyleUnderline"/>
        </w:rPr>
        <w:t xml:space="preserve">establishes strict enforcement mechanisms to </w:t>
      </w:r>
      <w:r w:rsidRPr="004A259B">
        <w:t xml:space="preserve">hold violators accountable and </w:t>
      </w:r>
      <w:r w:rsidRPr="004A259B">
        <w:rPr>
          <w:rStyle w:val="StyleUnderline"/>
          <w:highlight w:val="cyan"/>
        </w:rPr>
        <w:t xml:space="preserve">introduces a private right of action for </w:t>
      </w:r>
      <w:r w:rsidRPr="004A259B">
        <w:rPr>
          <w:rStyle w:val="Emphasis"/>
          <w:highlight w:val="cyan"/>
        </w:rPr>
        <w:t>individuals</w:t>
      </w:r>
      <w:r w:rsidRPr="004A259B">
        <w:t xml:space="preserve"> who may sue </w:t>
      </w:r>
      <w:r w:rsidRPr="004A259B">
        <w:rPr>
          <w:rStyle w:val="StyleUnderline"/>
        </w:rPr>
        <w:t>involved companies</w:t>
      </w:r>
      <w:r w:rsidRPr="004A259B">
        <w:t xml:space="preserve"> </w:t>
      </w:r>
      <w:r w:rsidRPr="004A259B">
        <w:rPr>
          <w:rStyle w:val="StyleUnderline"/>
          <w:highlight w:val="cyan"/>
        </w:rPr>
        <w:t xml:space="preserve">if they are harmed by a </w:t>
      </w:r>
      <w:r w:rsidRPr="004A259B">
        <w:rPr>
          <w:rStyle w:val="Emphasis"/>
          <w:highlight w:val="cyan"/>
        </w:rPr>
        <w:t>data breach</w:t>
      </w:r>
      <w:r w:rsidRPr="004A259B">
        <w:t>.</w:t>
      </w:r>
    </w:p>
    <w:p w:rsidR="00706303" w:rsidRPr="004A259B" w:rsidRDefault="00706303" w:rsidP="00706303">
      <w:r w:rsidRPr="00801991">
        <w:rPr>
          <w:rStyle w:val="StyleUnderline"/>
          <w:highlight w:val="cyan"/>
        </w:rPr>
        <w:t>This right allows</w:t>
      </w:r>
      <w:r w:rsidRPr="004A259B">
        <w:t xml:space="preserve"> for the </w:t>
      </w:r>
      <w:r w:rsidRPr="00801991">
        <w:rPr>
          <w:rStyle w:val="StyleUnderline"/>
        </w:rPr>
        <w:t>enforcement of various provisions</w:t>
      </w:r>
      <w:r w:rsidRPr="004A259B">
        <w:t xml:space="preserve"> and the </w:t>
      </w:r>
      <w:r w:rsidRPr="00801991">
        <w:rPr>
          <w:rStyle w:val="StyleUnderline"/>
          <w:highlight w:val="cyan"/>
        </w:rPr>
        <w:t xml:space="preserve">seeking of </w:t>
      </w:r>
      <w:r w:rsidRPr="00801991">
        <w:rPr>
          <w:rStyle w:val="Emphasis"/>
          <w:highlight w:val="cyan"/>
        </w:rPr>
        <w:t>damages</w:t>
      </w:r>
      <w:r w:rsidRPr="004A259B">
        <w:t xml:space="preserve">, </w:t>
      </w:r>
      <w:r w:rsidRPr="00801991">
        <w:rPr>
          <w:rStyle w:val="Emphasis"/>
          <w:highlight w:val="cyan"/>
        </w:rPr>
        <w:t>injunctions</w:t>
      </w:r>
      <w:r w:rsidRPr="004A259B">
        <w:t xml:space="preserve">, </w:t>
      </w:r>
      <w:r w:rsidRPr="00801991">
        <w:rPr>
          <w:rStyle w:val="StyleUnderline"/>
          <w:highlight w:val="cyan"/>
        </w:rPr>
        <w:t xml:space="preserve">declaratory </w:t>
      </w:r>
      <w:r w:rsidRPr="00801991">
        <w:rPr>
          <w:rStyle w:val="Emphasis"/>
          <w:highlight w:val="cyan"/>
        </w:rPr>
        <w:t>judgments</w:t>
      </w:r>
      <w:r w:rsidRPr="004A259B">
        <w:t xml:space="preserve">, </w:t>
      </w:r>
      <w:r w:rsidRPr="00801991">
        <w:rPr>
          <w:rStyle w:val="StyleUnderline"/>
          <w:highlight w:val="cyan"/>
        </w:rPr>
        <w:t xml:space="preserve">and "reasonable" </w:t>
      </w:r>
      <w:r w:rsidRPr="00801991">
        <w:rPr>
          <w:rStyle w:val="Emphasis"/>
          <w:highlight w:val="cyan"/>
        </w:rPr>
        <w:t>legal</w:t>
      </w:r>
      <w:r w:rsidRPr="00801991">
        <w:rPr>
          <w:rStyle w:val="StyleUnderline"/>
          <w:highlight w:val="cyan"/>
        </w:rPr>
        <w:t xml:space="preserve"> and </w:t>
      </w:r>
      <w:r w:rsidRPr="00801991">
        <w:rPr>
          <w:rStyle w:val="Emphasis"/>
          <w:highlight w:val="cyan"/>
        </w:rPr>
        <w:t>litigation</w:t>
      </w:r>
      <w:r w:rsidRPr="00801991">
        <w:rPr>
          <w:rStyle w:val="StyleUnderline"/>
          <w:highlight w:val="cyan"/>
        </w:rPr>
        <w:t xml:space="preserve"> costs</w:t>
      </w:r>
      <w:r w:rsidRPr="004A259B">
        <w:t>. </w:t>
      </w:r>
    </w:p>
    <w:p w:rsidR="00706303" w:rsidRDefault="00706303" w:rsidP="00706303">
      <w:pPr>
        <w:pStyle w:val="Heading3"/>
      </w:pPr>
      <w:r>
        <w:t>Court efficiency---Judicial Efficiency Improvement Act---1NC</w:t>
      </w:r>
    </w:p>
    <w:p w:rsidR="00706303" w:rsidRDefault="00706303" w:rsidP="00706303">
      <w:pPr>
        <w:pStyle w:val="Heading4"/>
      </w:pPr>
      <w:r>
        <w:t>---pass the Judicial Efficiency Improvement Act:</w:t>
      </w:r>
    </w:p>
    <w:p w:rsidR="00706303" w:rsidRDefault="00706303" w:rsidP="00706303">
      <w:pPr>
        <w:pStyle w:val="Heading4"/>
      </w:pPr>
      <w:r>
        <w:t xml:space="preserve">Solves backlogs by creating a </w:t>
      </w:r>
      <w:r w:rsidRPr="00FD1C18">
        <w:rPr>
          <w:u w:val="single"/>
        </w:rPr>
        <w:t>new</w:t>
      </w:r>
      <w:r>
        <w:t xml:space="preserve"> Circuit of appeals and </w:t>
      </w:r>
      <w:r w:rsidRPr="00FD1C18">
        <w:rPr>
          <w:u w:val="single"/>
        </w:rPr>
        <w:t>increasing</w:t>
      </w:r>
      <w:r>
        <w:t xml:space="preserve"> the number of judges.</w:t>
      </w:r>
    </w:p>
    <w:p w:rsidR="00706303" w:rsidRDefault="00706303" w:rsidP="00706303">
      <w:r>
        <w:t xml:space="preserve">Dan </w:t>
      </w:r>
      <w:r w:rsidRPr="00C0607F">
        <w:rPr>
          <w:rFonts w:eastAsiaTheme="majorEastAsia" w:cstheme="majorBidi"/>
          <w:b/>
          <w:iCs/>
          <w:sz w:val="26"/>
        </w:rPr>
        <w:t>Sullivan 23</w:t>
      </w:r>
      <w:r>
        <w:t xml:space="preserve">, </w:t>
      </w:r>
      <w:r w:rsidRPr="00FD1C18">
        <w:t>junior United States senator from Alaska since 2015, 06/08/2023,</w:t>
      </w:r>
      <w:r>
        <w:rPr>
          <w:rFonts w:ascii="Arial" w:hAnsi="Arial" w:cs="Arial"/>
          <w:color w:val="202122"/>
          <w:shd w:val="clear" w:color="auto" w:fill="FFFFFF"/>
        </w:rPr>
        <w:t xml:space="preserve"> “</w:t>
      </w:r>
      <w:r w:rsidRPr="00FD1C18">
        <w:t>SENATORS INTRODUCE BILL TO CREATE NEW TWELFTH CIRCUIT, IMPROVE ACCESS TO JUSTICE</w:t>
      </w:r>
      <w:r>
        <w:t>,</w:t>
      </w:r>
      <w:r>
        <w:rPr>
          <w:rFonts w:ascii="Arial" w:hAnsi="Arial" w:cs="Arial"/>
          <w:color w:val="202122"/>
          <w:shd w:val="clear" w:color="auto" w:fill="FFFFFF"/>
        </w:rPr>
        <w:t xml:space="preserve">” </w:t>
      </w:r>
      <w:r w:rsidRPr="00F76738">
        <w:t>https://www.sullivan.senate.gov/newsroom/press-releases/-senators-introduce-bill-to-create-new-twelfth-circuit-improve-access-to-justice</w:t>
      </w:r>
      <w:r>
        <w:rPr>
          <w:rFonts w:ascii="Arial" w:hAnsi="Arial" w:cs="Arial"/>
          <w:color w:val="202122"/>
          <w:shd w:val="clear" w:color="auto" w:fill="FFFFFF"/>
        </w:rPr>
        <w:t xml:space="preserve">, </w:t>
      </w:r>
      <w:proofErr w:type="spellStart"/>
      <w:r>
        <w:rPr>
          <w:rFonts w:ascii="Arial" w:hAnsi="Arial" w:cs="Arial"/>
          <w:color w:val="202122"/>
          <w:shd w:val="clear" w:color="auto" w:fill="FFFFFF"/>
        </w:rPr>
        <w:t>avr</w:t>
      </w:r>
      <w:proofErr w:type="spellEnd"/>
    </w:p>
    <w:p w:rsidR="00706303" w:rsidRPr="00F76738" w:rsidRDefault="00706303" w:rsidP="00706303">
      <w:pPr>
        <w:rPr>
          <w:sz w:val="16"/>
        </w:rPr>
      </w:pPr>
      <w:r w:rsidRPr="00F76738">
        <w:rPr>
          <w:sz w:val="16"/>
        </w:rPr>
        <w:t xml:space="preserve">WASHINGTON—U.S. Senators Dan Sullivan (R-Alaska), Mike Crapo (R-Idaho), Steve </w:t>
      </w:r>
      <w:proofErr w:type="spellStart"/>
      <w:r w:rsidRPr="00F76738">
        <w:rPr>
          <w:sz w:val="16"/>
        </w:rPr>
        <w:t>Daines</w:t>
      </w:r>
      <w:proofErr w:type="spellEnd"/>
      <w:r w:rsidRPr="00F76738">
        <w:rPr>
          <w:sz w:val="16"/>
        </w:rPr>
        <w:t xml:space="preserve"> (R-Mont.), Lisa Murkowski (R-Alaska), and Jim </w:t>
      </w:r>
      <w:proofErr w:type="spellStart"/>
      <w:r w:rsidRPr="00F76738">
        <w:rPr>
          <w:sz w:val="16"/>
        </w:rPr>
        <w:t>Risch</w:t>
      </w:r>
      <w:proofErr w:type="spellEnd"/>
      <w:r w:rsidRPr="00F76738">
        <w:rPr>
          <w:sz w:val="16"/>
        </w:rPr>
        <w:t xml:space="preserve"> (R-Idaho) </w:t>
      </w:r>
      <w:r w:rsidRPr="00600D89">
        <w:rPr>
          <w:rStyle w:val="StyleUnderline"/>
        </w:rPr>
        <w:t>today introduced</w:t>
      </w:r>
      <w:r w:rsidRPr="00F76738">
        <w:rPr>
          <w:sz w:val="16"/>
        </w:rPr>
        <w:t xml:space="preserve"> </w:t>
      </w:r>
      <w:r w:rsidRPr="00600D89">
        <w:rPr>
          <w:rStyle w:val="StyleUnderline"/>
          <w:highlight w:val="cyan"/>
        </w:rPr>
        <w:t>the Judicial Efficiency Improvement Act</w:t>
      </w:r>
      <w:r w:rsidRPr="00F76738">
        <w:rPr>
          <w:sz w:val="16"/>
        </w:rPr>
        <w:t xml:space="preserve"> </w:t>
      </w:r>
      <w:r w:rsidRPr="00600D89">
        <w:rPr>
          <w:rStyle w:val="StyleUnderline"/>
        </w:rPr>
        <w:t>of 2023</w:t>
      </w:r>
      <w:r w:rsidRPr="00F76738">
        <w:rPr>
          <w:sz w:val="16"/>
        </w:rPr>
        <w:t xml:space="preserve">, a bill that </w:t>
      </w:r>
      <w:r w:rsidRPr="00600D89">
        <w:rPr>
          <w:rStyle w:val="StyleUnderline"/>
          <w:highlight w:val="cyan"/>
        </w:rPr>
        <w:t>would split the</w:t>
      </w:r>
      <w:r w:rsidRPr="00600D89">
        <w:rPr>
          <w:rStyle w:val="StyleUnderline"/>
        </w:rPr>
        <w:t xml:space="preserve"> massively </w:t>
      </w:r>
      <w:r w:rsidRPr="00600D89">
        <w:rPr>
          <w:rStyle w:val="Emphasis"/>
          <w:highlight w:val="cyan"/>
        </w:rPr>
        <w:t>overburdened</w:t>
      </w:r>
      <w:r w:rsidRPr="00600D89">
        <w:rPr>
          <w:rStyle w:val="StyleUnderline"/>
          <w:highlight w:val="cyan"/>
        </w:rPr>
        <w:t xml:space="preserve"> Ninth U.S. Circuit Court of Appeals and </w:t>
      </w:r>
      <w:r w:rsidRPr="00600D89">
        <w:rPr>
          <w:rStyle w:val="Emphasis"/>
          <w:highlight w:val="cyan"/>
        </w:rPr>
        <w:t>create</w:t>
      </w:r>
      <w:r w:rsidRPr="00600D89">
        <w:rPr>
          <w:rStyle w:val="StyleUnderline"/>
          <w:highlight w:val="cyan"/>
        </w:rPr>
        <w:t xml:space="preserve"> a</w:t>
      </w:r>
      <w:r w:rsidRPr="00F76738">
        <w:rPr>
          <w:sz w:val="16"/>
        </w:rPr>
        <w:t xml:space="preserve"> new </w:t>
      </w:r>
      <w:r w:rsidRPr="00600D89">
        <w:rPr>
          <w:rStyle w:val="StyleUnderline"/>
          <w:highlight w:val="cyan"/>
        </w:rPr>
        <w:t>Twelfth U.S. Circuit Court of Appeals</w:t>
      </w:r>
      <w:r w:rsidRPr="00F76738">
        <w:rPr>
          <w:sz w:val="16"/>
        </w:rPr>
        <w:t xml:space="preserve">. In addition to the split, the </w:t>
      </w:r>
      <w:r w:rsidRPr="00600D89">
        <w:rPr>
          <w:rStyle w:val="StyleUnderline"/>
          <w:highlight w:val="cyan"/>
        </w:rPr>
        <w:t>legislation would codify</w:t>
      </w:r>
      <w:r w:rsidRPr="00F76738">
        <w:rPr>
          <w:sz w:val="16"/>
        </w:rPr>
        <w:t xml:space="preserve"> the </w:t>
      </w:r>
      <w:r w:rsidRPr="00600D89">
        <w:rPr>
          <w:rStyle w:val="StyleUnderline"/>
        </w:rPr>
        <w:t>Judicial Conference’s</w:t>
      </w:r>
      <w:r w:rsidRPr="00F76738">
        <w:rPr>
          <w:sz w:val="16"/>
        </w:rPr>
        <w:t xml:space="preserve"> most recent </w:t>
      </w:r>
      <w:r w:rsidRPr="00600D89">
        <w:rPr>
          <w:rStyle w:val="Emphasis"/>
          <w:highlight w:val="cyan"/>
        </w:rPr>
        <w:t>recommendations</w:t>
      </w:r>
      <w:r w:rsidRPr="00F76738">
        <w:rPr>
          <w:sz w:val="16"/>
        </w:rPr>
        <w:t> </w:t>
      </w:r>
      <w:r w:rsidRPr="00600D89">
        <w:rPr>
          <w:rStyle w:val="StyleUnderline"/>
          <w:highlight w:val="cyan"/>
        </w:rPr>
        <w:t>to enhance the</w:t>
      </w:r>
      <w:r w:rsidRPr="00F76738">
        <w:rPr>
          <w:sz w:val="16"/>
        </w:rPr>
        <w:t xml:space="preserve"> </w:t>
      </w:r>
      <w:r w:rsidRPr="00600D89">
        <w:rPr>
          <w:rStyle w:val="Emphasis"/>
          <w:highlight w:val="cyan"/>
        </w:rPr>
        <w:t>effectiveness</w:t>
      </w:r>
      <w:r w:rsidRPr="00600D89">
        <w:rPr>
          <w:rStyle w:val="StyleUnderline"/>
          <w:highlight w:val="cyan"/>
        </w:rPr>
        <w:t xml:space="preserve"> of the federal judiciary</w:t>
      </w:r>
      <w:r w:rsidRPr="00F76738">
        <w:rPr>
          <w:sz w:val="16"/>
        </w:rPr>
        <w:t xml:space="preserve"> by </w:t>
      </w:r>
      <w:r w:rsidRPr="00600D89">
        <w:rPr>
          <w:rStyle w:val="StyleUnderline"/>
        </w:rPr>
        <w:t>authorizing 66 new permanent district court judgeships</w:t>
      </w:r>
      <w:r w:rsidRPr="00F76738">
        <w:rPr>
          <w:sz w:val="16"/>
        </w:rPr>
        <w:t xml:space="preserve">, </w:t>
      </w:r>
      <w:r w:rsidRPr="00600D89">
        <w:rPr>
          <w:rStyle w:val="StyleUnderline"/>
        </w:rPr>
        <w:t>converting seven temporary district court judgeships into permanent posts</w:t>
      </w:r>
      <w:r w:rsidRPr="00F76738">
        <w:rPr>
          <w:sz w:val="16"/>
        </w:rPr>
        <w:t xml:space="preserve">, </w:t>
      </w:r>
      <w:r w:rsidRPr="00600D89">
        <w:rPr>
          <w:rStyle w:val="StyleUnderline"/>
        </w:rPr>
        <w:t>and authorizing two</w:t>
      </w:r>
      <w:r w:rsidRPr="00F76738">
        <w:rPr>
          <w:sz w:val="16"/>
        </w:rPr>
        <w:t xml:space="preserve"> </w:t>
      </w:r>
      <w:r w:rsidRPr="00600D89">
        <w:rPr>
          <w:rStyle w:val="Emphasis"/>
        </w:rPr>
        <w:t>new</w:t>
      </w:r>
      <w:r w:rsidRPr="00F76738">
        <w:rPr>
          <w:sz w:val="16"/>
        </w:rPr>
        <w:t xml:space="preserve"> </w:t>
      </w:r>
      <w:r w:rsidRPr="00600D89">
        <w:rPr>
          <w:rStyle w:val="StyleUnderline"/>
        </w:rPr>
        <w:t>appellate court judgeships</w:t>
      </w:r>
      <w:r w:rsidRPr="00F76738">
        <w:rPr>
          <w:sz w:val="16"/>
        </w:rPr>
        <w:t xml:space="preserve"> for the Ninth Circuit.</w:t>
      </w:r>
    </w:p>
    <w:p w:rsidR="00706303" w:rsidRPr="00F76738" w:rsidRDefault="00706303" w:rsidP="00706303">
      <w:pPr>
        <w:rPr>
          <w:sz w:val="16"/>
        </w:rPr>
      </w:pPr>
      <w:r w:rsidRPr="00F76738">
        <w:rPr>
          <w:sz w:val="16"/>
        </w:rPr>
        <w:t xml:space="preserve">“Non-partisan </w:t>
      </w:r>
      <w:r w:rsidRPr="00600D89">
        <w:rPr>
          <w:rStyle w:val="StyleUnderline"/>
        </w:rPr>
        <w:t>judicial commissions going back 50 years have determined</w:t>
      </w:r>
      <w:r w:rsidRPr="00F76738">
        <w:rPr>
          <w:sz w:val="16"/>
        </w:rPr>
        <w:t xml:space="preserve"> the </w:t>
      </w:r>
      <w:r w:rsidRPr="00600D89">
        <w:rPr>
          <w:rStyle w:val="Emphasis"/>
          <w:highlight w:val="cyan"/>
        </w:rPr>
        <w:t>Ninth</w:t>
      </w:r>
      <w:r w:rsidRPr="00600D89">
        <w:rPr>
          <w:rStyle w:val="StyleUnderline"/>
          <w:highlight w:val="cyan"/>
        </w:rPr>
        <w:t xml:space="preserve"> Circuit suffers from ‘serious difficulties with </w:t>
      </w:r>
      <w:r w:rsidRPr="00600D89">
        <w:rPr>
          <w:rStyle w:val="Emphasis"/>
          <w:highlight w:val="cyan"/>
        </w:rPr>
        <w:t>backlog</w:t>
      </w:r>
      <w:r w:rsidRPr="00600D89">
        <w:rPr>
          <w:rStyle w:val="StyleUnderline"/>
          <w:highlight w:val="cyan"/>
        </w:rPr>
        <w:t xml:space="preserve"> and delay’</w:t>
      </w:r>
      <w:r w:rsidRPr="00F76738">
        <w:rPr>
          <w:sz w:val="16"/>
        </w:rPr>
        <w:t xml:space="preserve"> due to its immense size and scope,” said Sen. Sullivan. “Those </w:t>
      </w:r>
      <w:r w:rsidRPr="00600D89">
        <w:rPr>
          <w:rStyle w:val="StyleUnderline"/>
          <w:highlight w:val="cyan"/>
        </w:rPr>
        <w:t>deficiencies</w:t>
      </w:r>
      <w:r w:rsidRPr="00F76738">
        <w:rPr>
          <w:sz w:val="16"/>
        </w:rPr>
        <w:t xml:space="preserve"> </w:t>
      </w:r>
      <w:r w:rsidRPr="00600D89">
        <w:rPr>
          <w:rStyle w:val="StyleUnderline"/>
          <w:highlight w:val="cyan"/>
        </w:rPr>
        <w:t xml:space="preserve">have only gotten </w:t>
      </w:r>
      <w:r w:rsidRPr="00600D89">
        <w:rPr>
          <w:rStyle w:val="Emphasis"/>
          <w:highlight w:val="cyan"/>
        </w:rPr>
        <w:t>worse</w:t>
      </w:r>
      <w:r w:rsidRPr="00600D89">
        <w:rPr>
          <w:rStyle w:val="StyleUnderline"/>
          <w:highlight w:val="cyan"/>
        </w:rPr>
        <w:t xml:space="preserve"> </w:t>
      </w:r>
      <w:r w:rsidRPr="00600D89">
        <w:rPr>
          <w:rStyle w:val="StyleUnderline"/>
        </w:rPr>
        <w:t>with time</w:t>
      </w:r>
      <w:r w:rsidRPr="00F76738">
        <w:rPr>
          <w:sz w:val="16"/>
        </w:rPr>
        <w:t xml:space="preserve"> and the explosion of growth in the American West, leaving citizens under the Ninth Circuit’s jurisdiction—including all Alaskans—with less-than equal access to justice. As a former Ninth Circuit law clerk, I saw firsthand the court using shortcuts to manage its workload. The solution—</w:t>
      </w:r>
      <w:r w:rsidRPr="00600D89">
        <w:rPr>
          <w:rStyle w:val="StyleUnderline"/>
        </w:rPr>
        <w:t xml:space="preserve">splitting the Ninth Circuit—shouldn’t be </w:t>
      </w:r>
      <w:r w:rsidRPr="00600D89">
        <w:rPr>
          <w:rStyle w:val="Emphasis"/>
        </w:rPr>
        <w:t>controversial</w:t>
      </w:r>
      <w:r w:rsidRPr="00F76738">
        <w:rPr>
          <w:sz w:val="16"/>
        </w:rPr>
        <w:t xml:space="preserve">. </w:t>
      </w:r>
      <w:r w:rsidRPr="00600D89">
        <w:rPr>
          <w:rStyle w:val="StyleUnderline"/>
        </w:rPr>
        <w:t>We’ve split circuits and created new ones</w:t>
      </w:r>
      <w:r w:rsidRPr="00F76738">
        <w:rPr>
          <w:sz w:val="16"/>
        </w:rPr>
        <w:t xml:space="preserve"> in the past to </w:t>
      </w:r>
      <w:r w:rsidRPr="00600D89">
        <w:rPr>
          <w:rStyle w:val="StyleUnderline"/>
        </w:rPr>
        <w:t>address the changes in our country’s population</w:t>
      </w:r>
      <w:r w:rsidRPr="00F76738">
        <w:rPr>
          <w:sz w:val="16"/>
        </w:rPr>
        <w:t xml:space="preserve">. What is controversial is stubbornly </w:t>
      </w:r>
      <w:r w:rsidRPr="00600D89">
        <w:rPr>
          <w:rStyle w:val="StyleUnderline"/>
        </w:rPr>
        <w:t>maintaining the status quo and undermining millions</w:t>
      </w:r>
      <w:r w:rsidRPr="00F76738">
        <w:rPr>
          <w:sz w:val="16"/>
        </w:rPr>
        <w:t xml:space="preserve"> of Americans’ </w:t>
      </w:r>
      <w:r w:rsidRPr="00600D89">
        <w:rPr>
          <w:rStyle w:val="StyleUnderline"/>
        </w:rPr>
        <w:t>faith in their own access to justice</w:t>
      </w:r>
      <w:r w:rsidRPr="00F76738">
        <w:rPr>
          <w:sz w:val="16"/>
        </w:rPr>
        <w:t xml:space="preserve">. It is time for members of Congress to put the politics aside, </w:t>
      </w:r>
      <w:r w:rsidRPr="00600D89">
        <w:rPr>
          <w:rStyle w:val="StyleUnderline"/>
        </w:rPr>
        <w:t>end the delays and shortcuts</w:t>
      </w:r>
      <w:r w:rsidRPr="00F76738">
        <w:rPr>
          <w:sz w:val="16"/>
        </w:rPr>
        <w:t xml:space="preserve">, and finally approve these </w:t>
      </w:r>
      <w:r w:rsidRPr="00600D89">
        <w:rPr>
          <w:rStyle w:val="StyleUnderline"/>
        </w:rPr>
        <w:t>critical new judgeships and a new circuit court</w:t>
      </w:r>
      <w:r w:rsidRPr="00F76738">
        <w:rPr>
          <w:sz w:val="16"/>
        </w:rPr>
        <w:t>.”</w:t>
      </w:r>
    </w:p>
    <w:p w:rsidR="00706303" w:rsidRPr="00F76738" w:rsidRDefault="00706303" w:rsidP="00706303">
      <w:pPr>
        <w:rPr>
          <w:sz w:val="16"/>
        </w:rPr>
      </w:pPr>
      <w:r w:rsidRPr="00F76738">
        <w:rPr>
          <w:sz w:val="16"/>
        </w:rPr>
        <w:t>“</w:t>
      </w:r>
      <w:r w:rsidRPr="00600D89">
        <w:rPr>
          <w:rStyle w:val="StyleUnderline"/>
          <w:highlight w:val="cyan"/>
        </w:rPr>
        <w:t xml:space="preserve">Changes are needed to address case </w:t>
      </w:r>
      <w:r w:rsidRPr="00600D89">
        <w:rPr>
          <w:rStyle w:val="Emphasis"/>
          <w:highlight w:val="cyan"/>
        </w:rPr>
        <w:t>backlogs</w:t>
      </w:r>
      <w:r w:rsidRPr="00F76738">
        <w:rPr>
          <w:sz w:val="16"/>
        </w:rPr>
        <w:t xml:space="preserve"> </w:t>
      </w:r>
      <w:r w:rsidRPr="00600D89">
        <w:rPr>
          <w:rStyle w:val="StyleUnderline"/>
          <w:highlight w:val="cyan"/>
        </w:rPr>
        <w:t xml:space="preserve">and other </w:t>
      </w:r>
      <w:r w:rsidRPr="00600D89">
        <w:rPr>
          <w:rStyle w:val="Emphasis"/>
          <w:highlight w:val="cyan"/>
        </w:rPr>
        <w:t>inefficiencies</w:t>
      </w:r>
      <w:r w:rsidRPr="00F76738">
        <w:rPr>
          <w:sz w:val="16"/>
        </w:rPr>
        <w:t xml:space="preserve"> </w:t>
      </w:r>
      <w:r w:rsidRPr="00600D89">
        <w:rPr>
          <w:rStyle w:val="StyleUnderline"/>
        </w:rPr>
        <w:t>prevalent in the U.S. Court of Appeals for the Ninth Circuit</w:t>
      </w:r>
      <w:r w:rsidRPr="00F76738">
        <w:rPr>
          <w:sz w:val="16"/>
        </w:rPr>
        <w:t xml:space="preserve">,” said Sen. Crapo. “This </w:t>
      </w:r>
      <w:r w:rsidRPr="00600D89">
        <w:rPr>
          <w:rStyle w:val="StyleUnderline"/>
        </w:rPr>
        <w:t>legislation provides the necessary first step</w:t>
      </w:r>
      <w:r w:rsidRPr="00F76738">
        <w:rPr>
          <w:sz w:val="16"/>
        </w:rPr>
        <w:t xml:space="preserve"> to understanding </w:t>
      </w:r>
      <w:r w:rsidRPr="00600D89">
        <w:rPr>
          <w:rStyle w:val="StyleUnderline"/>
        </w:rPr>
        <w:t>those inefficiencies and providing tangible solutions</w:t>
      </w:r>
      <w:r w:rsidRPr="00F76738">
        <w:rPr>
          <w:sz w:val="16"/>
        </w:rPr>
        <w:t xml:space="preserve"> to problems slowing </w:t>
      </w:r>
      <w:r w:rsidRPr="00600D89">
        <w:rPr>
          <w:rStyle w:val="StyleUnderline"/>
        </w:rPr>
        <w:t>justice for Americans served by the current Ninth Circuit</w:t>
      </w:r>
      <w:r w:rsidRPr="00F76738">
        <w:rPr>
          <w:sz w:val="16"/>
        </w:rPr>
        <w:t>.”</w:t>
      </w:r>
    </w:p>
    <w:p w:rsidR="00706303" w:rsidRPr="00F76738" w:rsidRDefault="00706303" w:rsidP="00706303">
      <w:pPr>
        <w:rPr>
          <w:sz w:val="16"/>
        </w:rPr>
      </w:pPr>
      <w:r w:rsidRPr="00F76738">
        <w:rPr>
          <w:sz w:val="16"/>
        </w:rPr>
        <w:t xml:space="preserve">“The people of Montana deserve a justice system that is not only fair but efficient,” said Sen. </w:t>
      </w:r>
      <w:proofErr w:type="spellStart"/>
      <w:r w:rsidRPr="00F76738">
        <w:rPr>
          <w:sz w:val="16"/>
        </w:rPr>
        <w:t>Daines</w:t>
      </w:r>
      <w:proofErr w:type="spellEnd"/>
      <w:r w:rsidRPr="00F76738">
        <w:rPr>
          <w:sz w:val="16"/>
        </w:rPr>
        <w:t xml:space="preserve">. “Unfortunately, </w:t>
      </w:r>
      <w:r w:rsidRPr="00600D89">
        <w:rPr>
          <w:rStyle w:val="StyleUnderline"/>
          <w:highlight w:val="cyan"/>
        </w:rPr>
        <w:t xml:space="preserve">the Ninth Circuit Court is the most </w:t>
      </w:r>
      <w:r w:rsidRPr="00600D89">
        <w:rPr>
          <w:rStyle w:val="Emphasis"/>
          <w:highlight w:val="cyan"/>
        </w:rPr>
        <w:t>inefficient</w:t>
      </w:r>
      <w:r w:rsidRPr="00600D89">
        <w:rPr>
          <w:rStyle w:val="StyleUnderline"/>
          <w:highlight w:val="cyan"/>
        </w:rPr>
        <w:t xml:space="preserve"> Circuit Court in the </w:t>
      </w:r>
      <w:r w:rsidRPr="00600D89">
        <w:rPr>
          <w:rStyle w:val="Emphasis"/>
          <w:highlight w:val="cyan"/>
        </w:rPr>
        <w:t>country</w:t>
      </w:r>
      <w:r w:rsidRPr="00F76738">
        <w:rPr>
          <w:sz w:val="16"/>
        </w:rPr>
        <w:t xml:space="preserve">. It represents over 65 million Americans, nearly twice the number of people as the </w:t>
      </w:r>
      <w:r w:rsidRPr="00600D89">
        <w:rPr>
          <w:rStyle w:val="StyleUnderline"/>
        </w:rPr>
        <w:t>next-largest Circuit Court</w:t>
      </w:r>
      <w:r w:rsidRPr="00F76738">
        <w:rPr>
          <w:sz w:val="16"/>
        </w:rPr>
        <w:t xml:space="preserve"> and thus </w:t>
      </w:r>
      <w:r w:rsidRPr="00600D89">
        <w:rPr>
          <w:rStyle w:val="StyleUnderline"/>
        </w:rPr>
        <w:t>five times the case backlog of most</w:t>
      </w:r>
      <w:r w:rsidRPr="00F76738">
        <w:rPr>
          <w:sz w:val="16"/>
        </w:rPr>
        <w:t xml:space="preserve"> U.S. Appeals Courts. These delays and inefficiencies hurt Montanans. This reform is desperately needed to address Montanans’ inability to access justice in a timely fashion.”</w:t>
      </w:r>
    </w:p>
    <w:p w:rsidR="00706303" w:rsidRPr="00F76738" w:rsidRDefault="00706303" w:rsidP="00706303">
      <w:pPr>
        <w:rPr>
          <w:sz w:val="16"/>
        </w:rPr>
      </w:pPr>
      <w:r w:rsidRPr="00F76738">
        <w:rPr>
          <w:sz w:val="16"/>
        </w:rPr>
        <w:t xml:space="preserve">“I’m proud to join my colleagues in a push to </w:t>
      </w:r>
      <w:r w:rsidRPr="00600D89">
        <w:rPr>
          <w:rStyle w:val="StyleUnderline"/>
        </w:rPr>
        <w:t>modernize the circuit court system</w:t>
      </w:r>
      <w:r w:rsidRPr="00F76738">
        <w:rPr>
          <w:sz w:val="16"/>
        </w:rPr>
        <w:t xml:space="preserve">. </w:t>
      </w:r>
      <w:r w:rsidRPr="00600D89">
        <w:rPr>
          <w:rStyle w:val="StyleUnderline"/>
          <w:highlight w:val="cyan"/>
        </w:rPr>
        <w:t>The</w:t>
      </w:r>
      <w:r w:rsidRPr="00F76738">
        <w:rPr>
          <w:sz w:val="16"/>
        </w:rPr>
        <w:t xml:space="preserve"> </w:t>
      </w:r>
      <w:r w:rsidRPr="00600D89">
        <w:rPr>
          <w:rStyle w:val="StyleUnderline"/>
        </w:rPr>
        <w:t xml:space="preserve">Judicial Efficiency Improvement </w:t>
      </w:r>
      <w:r w:rsidRPr="00600D89">
        <w:rPr>
          <w:rStyle w:val="Emphasis"/>
          <w:highlight w:val="cyan"/>
        </w:rPr>
        <w:t>Act</w:t>
      </w:r>
      <w:r w:rsidRPr="00600D89">
        <w:rPr>
          <w:rStyle w:val="StyleUnderline"/>
          <w:highlight w:val="cyan"/>
        </w:rPr>
        <w:t xml:space="preserve"> will</w:t>
      </w:r>
      <w:r w:rsidRPr="00F76738">
        <w:rPr>
          <w:sz w:val="16"/>
        </w:rPr>
        <w:t xml:space="preserve"> help </w:t>
      </w:r>
      <w:r w:rsidRPr="00600D89">
        <w:rPr>
          <w:rStyle w:val="StyleUnderline"/>
          <w:highlight w:val="cyan"/>
        </w:rPr>
        <w:t>reduce</w:t>
      </w:r>
      <w:r w:rsidRPr="00F76738">
        <w:rPr>
          <w:sz w:val="16"/>
        </w:rPr>
        <w:t xml:space="preserve"> the Ninth Circuit’s </w:t>
      </w:r>
      <w:r w:rsidRPr="00600D89">
        <w:rPr>
          <w:rStyle w:val="Emphasis"/>
          <w:highlight w:val="cyan"/>
        </w:rPr>
        <w:t>unmanageable</w:t>
      </w:r>
      <w:r w:rsidRPr="00600D89">
        <w:rPr>
          <w:rStyle w:val="StyleUnderline"/>
          <w:highlight w:val="cyan"/>
        </w:rPr>
        <w:t xml:space="preserve"> caseload</w:t>
      </w:r>
      <w:r w:rsidRPr="00F76738">
        <w:rPr>
          <w:sz w:val="16"/>
        </w:rPr>
        <w:t xml:space="preserve">, which has resulted in </w:t>
      </w:r>
      <w:r w:rsidRPr="00600D89">
        <w:rPr>
          <w:rStyle w:val="StyleUnderline"/>
        </w:rPr>
        <w:t>years of</w:t>
      </w:r>
      <w:r w:rsidRPr="00F76738">
        <w:rPr>
          <w:sz w:val="16"/>
        </w:rPr>
        <w:t xml:space="preserve"> </w:t>
      </w:r>
      <w:r w:rsidRPr="00600D89">
        <w:rPr>
          <w:rStyle w:val="Emphasis"/>
          <w:highlight w:val="cyan"/>
        </w:rPr>
        <w:t>backlogs</w:t>
      </w:r>
      <w:r w:rsidRPr="00F76738">
        <w:rPr>
          <w:sz w:val="16"/>
        </w:rPr>
        <w:t xml:space="preserve">, </w:t>
      </w:r>
      <w:r w:rsidRPr="00600D89">
        <w:rPr>
          <w:rStyle w:val="StyleUnderline"/>
          <w:highlight w:val="cyan"/>
        </w:rPr>
        <w:t>delays</w:t>
      </w:r>
      <w:r w:rsidRPr="00F76738">
        <w:rPr>
          <w:sz w:val="16"/>
        </w:rPr>
        <w:t xml:space="preserve">, </w:t>
      </w:r>
      <w:r w:rsidRPr="00600D89">
        <w:rPr>
          <w:rStyle w:val="StyleUnderline"/>
          <w:highlight w:val="cyan"/>
        </w:rPr>
        <w:t>and frustration</w:t>
      </w:r>
      <w:r w:rsidRPr="00F76738">
        <w:rPr>
          <w:sz w:val="16"/>
        </w:rPr>
        <w:t xml:space="preserve">. A new Twelfth Circuit will better serve Alaskans and other Western states,” Sen. Murkowski </w:t>
      </w:r>
      <w:proofErr w:type="spellStart"/>
      <w:proofErr w:type="gramStart"/>
      <w:r w:rsidRPr="00F76738">
        <w:rPr>
          <w:sz w:val="16"/>
        </w:rPr>
        <w:t>said.“</w:t>
      </w:r>
      <w:proofErr w:type="gramEnd"/>
      <w:r w:rsidRPr="00F76738">
        <w:rPr>
          <w:sz w:val="16"/>
        </w:rPr>
        <w:t>The</w:t>
      </w:r>
      <w:proofErr w:type="spellEnd"/>
      <w:r w:rsidRPr="00F76738">
        <w:rPr>
          <w:sz w:val="16"/>
        </w:rPr>
        <w:t xml:space="preserve"> second bill we introduced, </w:t>
      </w:r>
      <w:r w:rsidRPr="00600D89">
        <w:rPr>
          <w:rStyle w:val="StyleUnderline"/>
          <w:highlight w:val="cyan"/>
        </w:rPr>
        <w:t>the</w:t>
      </w:r>
      <w:r w:rsidRPr="00F76738">
        <w:rPr>
          <w:sz w:val="16"/>
        </w:rPr>
        <w:t xml:space="preserve"> </w:t>
      </w:r>
      <w:r w:rsidRPr="00600D89">
        <w:rPr>
          <w:rStyle w:val="StyleUnderline"/>
        </w:rPr>
        <w:t xml:space="preserve">Federal Courts of Appeals Modernization </w:t>
      </w:r>
      <w:r w:rsidRPr="00600D89">
        <w:rPr>
          <w:rStyle w:val="StyleUnderline"/>
          <w:highlight w:val="cyan"/>
        </w:rPr>
        <w:t>Act</w:t>
      </w:r>
      <w:r w:rsidRPr="00F76738">
        <w:rPr>
          <w:sz w:val="16"/>
        </w:rPr>
        <w:t xml:space="preserve">, </w:t>
      </w:r>
      <w:r w:rsidRPr="00600D89">
        <w:rPr>
          <w:rStyle w:val="StyleUnderline"/>
          <w:highlight w:val="cyan"/>
        </w:rPr>
        <w:t>will</w:t>
      </w:r>
      <w:r w:rsidRPr="00600D89">
        <w:rPr>
          <w:rStyle w:val="StyleUnderline"/>
        </w:rPr>
        <w:t xml:space="preserve"> </w:t>
      </w:r>
      <w:r w:rsidRPr="00F76738">
        <w:rPr>
          <w:sz w:val="16"/>
        </w:rPr>
        <w:t xml:space="preserve">similarly </w:t>
      </w:r>
      <w:r w:rsidRPr="00600D89">
        <w:rPr>
          <w:rStyle w:val="StyleUnderline"/>
          <w:highlight w:val="cyan"/>
        </w:rPr>
        <w:t>streamline</w:t>
      </w:r>
      <w:r w:rsidRPr="00600D89">
        <w:rPr>
          <w:rStyle w:val="StyleUnderline"/>
        </w:rPr>
        <w:t xml:space="preserve"> some of the </w:t>
      </w:r>
      <w:r w:rsidRPr="00600D89">
        <w:rPr>
          <w:rStyle w:val="StyleUnderline"/>
          <w:highlight w:val="cyan"/>
        </w:rPr>
        <w:t>inefficiencies</w:t>
      </w:r>
      <w:r w:rsidRPr="00F76738">
        <w:rPr>
          <w:sz w:val="16"/>
        </w:rPr>
        <w:t xml:space="preserve"> within the Ninth Circuit by creating a </w:t>
      </w:r>
      <w:r w:rsidRPr="00600D89">
        <w:rPr>
          <w:rStyle w:val="StyleUnderline"/>
        </w:rPr>
        <w:t>commission to help identify changes</w:t>
      </w:r>
      <w:r w:rsidRPr="00F76738">
        <w:rPr>
          <w:sz w:val="16"/>
        </w:rPr>
        <w:t xml:space="preserve"> that bring us up to date </w:t>
      </w:r>
      <w:r w:rsidRPr="00C0607F">
        <w:rPr>
          <w:rStyle w:val="StyleUnderline"/>
        </w:rPr>
        <w:t>with the needs of Alaskans</w:t>
      </w:r>
      <w:r w:rsidRPr="00F76738">
        <w:rPr>
          <w:sz w:val="16"/>
        </w:rPr>
        <w:t xml:space="preserve"> and all who are served by that Court.”</w:t>
      </w:r>
    </w:p>
    <w:p w:rsidR="00706303" w:rsidRPr="00F76738" w:rsidRDefault="00706303" w:rsidP="00706303">
      <w:pPr>
        <w:rPr>
          <w:sz w:val="16"/>
        </w:rPr>
      </w:pPr>
      <w:r w:rsidRPr="00F76738">
        <w:rPr>
          <w:sz w:val="16"/>
        </w:rPr>
        <w:t xml:space="preserve">“The massive size of the Ninth Circuit Court of Appeals—in terms of population served, geography, and caseload—is a huge disadvantage to Idahoans,” said Sen. </w:t>
      </w:r>
      <w:proofErr w:type="spellStart"/>
      <w:r w:rsidRPr="00F76738">
        <w:rPr>
          <w:sz w:val="16"/>
        </w:rPr>
        <w:t>Risch</w:t>
      </w:r>
      <w:proofErr w:type="spellEnd"/>
      <w:r w:rsidRPr="00F76738">
        <w:rPr>
          <w:sz w:val="16"/>
        </w:rPr>
        <w:t>. “With the Judicial Efficiency Improvement Act and the Federal Court of Appeals Modernization Act, Congress would split the Ninth Circuit and modernize the court to allow for more efficient caseload processing to better serve Idahoans and Americans across the West.”</w:t>
      </w:r>
    </w:p>
    <w:p w:rsidR="00706303" w:rsidRPr="00F76738" w:rsidRDefault="00706303" w:rsidP="00706303">
      <w:pPr>
        <w:rPr>
          <w:sz w:val="16"/>
        </w:rPr>
      </w:pPr>
      <w:r w:rsidRPr="00F76738">
        <w:rPr>
          <w:sz w:val="16"/>
        </w:rPr>
        <w:t xml:space="preserve">Currently, western states are subjected to an </w:t>
      </w:r>
      <w:r w:rsidRPr="00C0607F">
        <w:rPr>
          <w:rStyle w:val="StyleUnderline"/>
        </w:rPr>
        <w:t>overburdened, inconsistent, and slow judiciary</w:t>
      </w:r>
      <w:r w:rsidRPr="00F76738">
        <w:rPr>
          <w:sz w:val="16"/>
        </w:rPr>
        <w:t xml:space="preserve">. This stems from having the </w:t>
      </w:r>
      <w:r w:rsidRPr="00C0607F">
        <w:rPr>
          <w:rStyle w:val="StyleUnderline"/>
        </w:rPr>
        <w:t>largest circuit court</w:t>
      </w:r>
      <w:r w:rsidRPr="00F76738">
        <w:rPr>
          <w:sz w:val="16"/>
        </w:rPr>
        <w:t xml:space="preserve"> in the nation in </w:t>
      </w:r>
      <w:r w:rsidRPr="00C0607F">
        <w:rPr>
          <w:rStyle w:val="StyleUnderline"/>
        </w:rPr>
        <w:t>terms of geography, population, and workload</w:t>
      </w:r>
      <w:r w:rsidRPr="00F76738">
        <w:rPr>
          <w:sz w:val="16"/>
        </w:rPr>
        <w:t xml:space="preserve">. The Ninth Circuit has jurisdiction over 40 percent of the landmass of the United States and </w:t>
      </w:r>
      <w:r w:rsidRPr="00C0607F">
        <w:rPr>
          <w:rStyle w:val="StyleUnderline"/>
        </w:rPr>
        <w:t>one-in-five Americans</w:t>
      </w:r>
      <w:r w:rsidRPr="00F76738">
        <w:rPr>
          <w:sz w:val="16"/>
        </w:rPr>
        <w:t xml:space="preserve">. The court also has more than </w:t>
      </w:r>
      <w:r w:rsidRPr="00C0607F">
        <w:rPr>
          <w:rStyle w:val="StyleUnderline"/>
        </w:rPr>
        <w:t>double the average number of authorized judgeships</w:t>
      </w:r>
      <w:r w:rsidRPr="00F76738">
        <w:rPr>
          <w:sz w:val="16"/>
        </w:rPr>
        <w:t xml:space="preserve"> among the circuits. One-fourth of all pending federal appeals are within the </w:t>
      </w:r>
      <w:r w:rsidRPr="00C0607F">
        <w:rPr>
          <w:rStyle w:val="StyleUnderline"/>
        </w:rPr>
        <w:t>Ninth Circuit</w:t>
      </w:r>
      <w:r w:rsidRPr="00F76738">
        <w:rPr>
          <w:sz w:val="16"/>
        </w:rPr>
        <w:t xml:space="preserve">. </w:t>
      </w:r>
      <w:r w:rsidRPr="00C0607F">
        <w:rPr>
          <w:rStyle w:val="StyleUnderline"/>
          <w:highlight w:val="cyan"/>
        </w:rPr>
        <w:t xml:space="preserve">Creating a new circuit would </w:t>
      </w:r>
      <w:r w:rsidRPr="00FD1C18">
        <w:rPr>
          <w:rStyle w:val="StyleUnderline"/>
        </w:rPr>
        <w:t xml:space="preserve">solve the </w:t>
      </w:r>
      <w:r w:rsidRPr="00FD1C18">
        <w:rPr>
          <w:rStyle w:val="Emphasis"/>
        </w:rPr>
        <w:t>inefficiencies</w:t>
      </w:r>
      <w:r w:rsidRPr="00F76738">
        <w:rPr>
          <w:sz w:val="16"/>
        </w:rPr>
        <w:t xml:space="preserve"> </w:t>
      </w:r>
      <w:r w:rsidRPr="00C0607F">
        <w:rPr>
          <w:rStyle w:val="StyleUnderline"/>
        </w:rPr>
        <w:t>associated</w:t>
      </w:r>
      <w:r w:rsidRPr="00F76738">
        <w:rPr>
          <w:sz w:val="16"/>
        </w:rPr>
        <w:t xml:space="preserve"> with </w:t>
      </w:r>
      <w:r w:rsidRPr="00C0607F">
        <w:rPr>
          <w:rStyle w:val="StyleUnderline"/>
        </w:rPr>
        <w:t>the</w:t>
      </w:r>
      <w:r w:rsidRPr="00F76738">
        <w:rPr>
          <w:sz w:val="16"/>
        </w:rPr>
        <w:t xml:space="preserve"> size of the Ninth Circuit </w:t>
      </w:r>
      <w:r w:rsidRPr="00FD1C18">
        <w:rPr>
          <w:rStyle w:val="StyleUnderline"/>
        </w:rPr>
        <w:t xml:space="preserve">and </w:t>
      </w:r>
      <w:r w:rsidRPr="00C0607F">
        <w:rPr>
          <w:rStyle w:val="StyleUnderline"/>
          <w:highlight w:val="cyan"/>
        </w:rPr>
        <w:t>restore</w:t>
      </w:r>
      <w:r w:rsidRPr="00C0607F">
        <w:rPr>
          <w:rStyle w:val="StyleUnderline"/>
        </w:rPr>
        <w:t xml:space="preserve"> many Americans’ </w:t>
      </w:r>
      <w:proofErr w:type="gramStart"/>
      <w:r w:rsidRPr="00C0607F">
        <w:rPr>
          <w:rStyle w:val="Emphasis"/>
          <w:highlight w:val="cyan"/>
        </w:rPr>
        <w:t>access</w:t>
      </w:r>
      <w:proofErr w:type="gramEnd"/>
      <w:r w:rsidRPr="00C0607F">
        <w:rPr>
          <w:rStyle w:val="StyleUnderline"/>
          <w:highlight w:val="cyan"/>
        </w:rPr>
        <w:t xml:space="preserve"> to justice</w:t>
      </w:r>
      <w:r w:rsidRPr="00F76738">
        <w:rPr>
          <w:sz w:val="16"/>
        </w:rPr>
        <w:t>.</w:t>
      </w:r>
    </w:p>
    <w:p w:rsidR="00706303" w:rsidRPr="00F76738" w:rsidRDefault="00706303" w:rsidP="00706303">
      <w:pPr>
        <w:rPr>
          <w:sz w:val="16"/>
        </w:rPr>
      </w:pPr>
      <w:r w:rsidRPr="00C0607F">
        <w:rPr>
          <w:rStyle w:val="StyleUnderline"/>
          <w:highlight w:val="cyan"/>
        </w:rPr>
        <w:t xml:space="preserve">This bill </w:t>
      </w:r>
      <w:r w:rsidRPr="00C0607F">
        <w:rPr>
          <w:rStyle w:val="Emphasis"/>
          <w:highlight w:val="cyan"/>
        </w:rPr>
        <w:t>would</w:t>
      </w:r>
      <w:r w:rsidRPr="00F76738">
        <w:rPr>
          <w:sz w:val="16"/>
        </w:rPr>
        <w:t xml:space="preserve"> codify the 2023 recommended judgeships by:</w:t>
      </w:r>
    </w:p>
    <w:p w:rsidR="00706303" w:rsidRPr="00F76738" w:rsidRDefault="00706303" w:rsidP="00706303">
      <w:pPr>
        <w:rPr>
          <w:sz w:val="16"/>
        </w:rPr>
      </w:pPr>
      <w:r w:rsidRPr="00C0607F">
        <w:rPr>
          <w:rStyle w:val="StyleUnderline"/>
          <w:highlight w:val="cyan"/>
        </w:rPr>
        <w:t>Authoriz</w:t>
      </w:r>
      <w:r w:rsidRPr="00C0607F">
        <w:rPr>
          <w:rStyle w:val="StyleUnderline"/>
        </w:rPr>
        <w:t>ing</w:t>
      </w:r>
      <w:r w:rsidRPr="00C0607F">
        <w:rPr>
          <w:rStyle w:val="StyleUnderline"/>
          <w:highlight w:val="cyan"/>
        </w:rPr>
        <w:t xml:space="preserve"> two new appellate </w:t>
      </w:r>
      <w:r w:rsidRPr="00C0607F">
        <w:rPr>
          <w:rStyle w:val="Emphasis"/>
          <w:highlight w:val="cyan"/>
        </w:rPr>
        <w:t>court</w:t>
      </w:r>
      <w:r w:rsidRPr="00F76738">
        <w:rPr>
          <w:sz w:val="16"/>
        </w:rPr>
        <w:t xml:space="preserve"> </w:t>
      </w:r>
      <w:r w:rsidRPr="00C0607F">
        <w:rPr>
          <w:rStyle w:val="StyleUnderline"/>
          <w:highlight w:val="cyan"/>
        </w:rPr>
        <w:t>judgeships</w:t>
      </w:r>
      <w:r w:rsidRPr="00F76738">
        <w:rPr>
          <w:sz w:val="16"/>
        </w:rPr>
        <w:t xml:space="preserve"> </w:t>
      </w:r>
      <w:r w:rsidRPr="00C0607F">
        <w:rPr>
          <w:rStyle w:val="StyleUnderline"/>
        </w:rPr>
        <w:t>for the Ninth Circuit</w:t>
      </w:r>
      <w:r w:rsidRPr="00F76738">
        <w:rPr>
          <w:sz w:val="16"/>
        </w:rPr>
        <w:t>.</w:t>
      </w:r>
    </w:p>
    <w:p w:rsidR="00706303" w:rsidRPr="00F76738" w:rsidRDefault="00706303" w:rsidP="00706303">
      <w:pPr>
        <w:rPr>
          <w:sz w:val="16"/>
        </w:rPr>
      </w:pPr>
      <w:r w:rsidRPr="00C0607F">
        <w:rPr>
          <w:rStyle w:val="StyleUnderline"/>
          <w:highlight w:val="cyan"/>
        </w:rPr>
        <w:t>Authoriz</w:t>
      </w:r>
      <w:r w:rsidRPr="00C0607F">
        <w:rPr>
          <w:rStyle w:val="StyleUnderline"/>
        </w:rPr>
        <w:t xml:space="preserve">ing </w:t>
      </w:r>
      <w:r w:rsidRPr="00C0607F">
        <w:rPr>
          <w:rStyle w:val="StyleUnderline"/>
          <w:highlight w:val="cyan"/>
        </w:rPr>
        <w:t xml:space="preserve">66 new </w:t>
      </w:r>
      <w:r w:rsidRPr="00C0607F">
        <w:rPr>
          <w:rStyle w:val="Emphasis"/>
          <w:highlight w:val="cyan"/>
        </w:rPr>
        <w:t>permanent</w:t>
      </w:r>
      <w:r w:rsidRPr="00C0607F">
        <w:rPr>
          <w:rStyle w:val="StyleUnderline"/>
          <w:highlight w:val="cyan"/>
        </w:rPr>
        <w:t xml:space="preserve"> district court </w:t>
      </w:r>
      <w:r w:rsidRPr="00C0607F">
        <w:rPr>
          <w:rStyle w:val="Emphasis"/>
          <w:highlight w:val="cyan"/>
        </w:rPr>
        <w:t>judgeships</w:t>
      </w:r>
      <w:r w:rsidRPr="00F76738">
        <w:rPr>
          <w:sz w:val="16"/>
        </w:rPr>
        <w:t xml:space="preserve"> around the country.</w:t>
      </w:r>
    </w:p>
    <w:p w:rsidR="00706303" w:rsidRPr="00F76738" w:rsidRDefault="00706303" w:rsidP="00706303">
      <w:pPr>
        <w:rPr>
          <w:sz w:val="16"/>
        </w:rPr>
      </w:pPr>
      <w:r w:rsidRPr="00C0607F">
        <w:rPr>
          <w:rStyle w:val="StyleUnderline"/>
          <w:highlight w:val="cyan"/>
        </w:rPr>
        <w:t>Convert</w:t>
      </w:r>
      <w:r w:rsidRPr="00F76738">
        <w:rPr>
          <w:sz w:val="16"/>
        </w:rPr>
        <w:t>i</w:t>
      </w:r>
      <w:r w:rsidRPr="00C0607F">
        <w:rPr>
          <w:rStyle w:val="StyleUnderline"/>
        </w:rPr>
        <w:t xml:space="preserve">ng </w:t>
      </w:r>
      <w:r w:rsidRPr="00C0607F">
        <w:rPr>
          <w:rStyle w:val="StyleUnderline"/>
          <w:highlight w:val="cyan"/>
        </w:rPr>
        <w:t xml:space="preserve">seven temporary district court judgeships to </w:t>
      </w:r>
      <w:r w:rsidRPr="00C0607F">
        <w:rPr>
          <w:rStyle w:val="Emphasis"/>
          <w:highlight w:val="cyan"/>
        </w:rPr>
        <w:t>permanent</w:t>
      </w:r>
      <w:r w:rsidRPr="00F76738">
        <w:rPr>
          <w:sz w:val="16"/>
        </w:rPr>
        <w:t>.</w:t>
      </w:r>
    </w:p>
    <w:p w:rsidR="00706303" w:rsidRDefault="00706303" w:rsidP="00706303">
      <w:pPr>
        <w:pStyle w:val="Heading2"/>
      </w:pPr>
      <w:r>
        <w:t>Adv---Startups</w:t>
      </w:r>
    </w:p>
    <w:p w:rsidR="00706303" w:rsidRDefault="00706303" w:rsidP="00706303">
      <w:pPr>
        <w:pStyle w:val="Heading3"/>
      </w:pPr>
      <w:r>
        <w:t>1NC---Stock Issue---Inherency</w:t>
      </w:r>
    </w:p>
    <w:p w:rsidR="00706303" w:rsidRPr="007E05EA" w:rsidRDefault="00706303" w:rsidP="00706303">
      <w:pPr>
        <w:pStyle w:val="Heading4"/>
        <w:rPr>
          <w:u w:val="single"/>
        </w:rPr>
      </w:pPr>
      <w:r>
        <w:t xml:space="preserve">“Use in commerce” is already </w:t>
      </w:r>
      <w:r>
        <w:rPr>
          <w:u w:val="single"/>
        </w:rPr>
        <w:t>bona fide</w:t>
      </w:r>
      <w:r>
        <w:t xml:space="preserve">, </w:t>
      </w:r>
      <w:r>
        <w:rPr>
          <w:u w:val="single"/>
        </w:rPr>
        <w:t>de minimis</w:t>
      </w:r>
      <w:r>
        <w:t xml:space="preserve">. </w:t>
      </w:r>
      <w:r w:rsidRPr="0089161A">
        <w:rPr>
          <w:b w:val="0"/>
          <w:bCs/>
        </w:rPr>
        <w:t>You don’t even need to demonstrate ANY effect on commerce, just that the statute (i.e., the Lanham Act) you draw from has a general relation to commerce.</w:t>
      </w:r>
    </w:p>
    <w:p w:rsidR="00706303" w:rsidRPr="00633CC8" w:rsidRDefault="00706303" w:rsidP="00706303">
      <w:proofErr w:type="spellStart"/>
      <w:r w:rsidRPr="00B652C2">
        <w:rPr>
          <w:rStyle w:val="Style13ptBold"/>
        </w:rPr>
        <w:t>Polott</w:t>
      </w:r>
      <w:proofErr w:type="spellEnd"/>
      <w:r w:rsidRPr="00B652C2">
        <w:rPr>
          <w:rStyle w:val="Style13ptBold"/>
        </w:rPr>
        <w:t xml:space="preserve"> 18</w:t>
      </w:r>
      <w:r>
        <w:t xml:space="preserve"> (Anita B. </w:t>
      </w:r>
      <w:proofErr w:type="spellStart"/>
      <w:r>
        <w:t>Polott</w:t>
      </w:r>
      <w:proofErr w:type="spellEnd"/>
      <w:r>
        <w:t xml:space="preserve">, Partner, Morgan, Lewis &amp; Bockius, LLP. J.D., American University Washington College of Law; Rachel E. </w:t>
      </w:r>
      <w:proofErr w:type="spellStart"/>
      <w:r>
        <w:t>Fertig</w:t>
      </w:r>
      <w:proofErr w:type="spellEnd"/>
      <w:r>
        <w:t>, Associate, Morgan, Lewis &amp; Bockius, LLP. J.D., George Mason University Antonin Scalia Law School; "2016 Trademark Law Decisions of the Federal Circuit – American University Law Review", 67 Am. U. L. Rev. 1411 (2018), https://aulawreview.org/blog/2016-trademark-law-decisions-of-the-federal-circuit/, DOA: 7-19-2024)//ATJ</w:t>
      </w:r>
    </w:p>
    <w:p w:rsidR="00706303" w:rsidRPr="004D00FB" w:rsidRDefault="00706303" w:rsidP="00706303">
      <w:pPr>
        <w:rPr>
          <w:rStyle w:val="Emphasis"/>
        </w:rPr>
      </w:pPr>
      <w:r w:rsidRPr="004D00FB">
        <w:rPr>
          <w:rStyle w:val="Emphasis"/>
        </w:rPr>
        <w:t>D. Use in Commerce</w:t>
      </w:r>
    </w:p>
    <w:p w:rsidR="00706303" w:rsidRPr="004D00FB" w:rsidRDefault="00706303" w:rsidP="00706303">
      <w:pPr>
        <w:rPr>
          <w:sz w:val="16"/>
        </w:rPr>
      </w:pPr>
      <w:r w:rsidRPr="004D00FB">
        <w:rPr>
          <w:sz w:val="16"/>
        </w:rPr>
        <w:t>1. Christian Faith Fellowship Church v. Adidas AG</w:t>
      </w:r>
    </w:p>
    <w:p w:rsidR="00706303" w:rsidRPr="004D00FB" w:rsidRDefault="00706303" w:rsidP="00706303">
      <w:pPr>
        <w:rPr>
          <w:sz w:val="16"/>
        </w:rPr>
      </w:pPr>
      <w:r w:rsidRPr="004D00FB">
        <w:rPr>
          <w:rStyle w:val="StyleUnderline"/>
        </w:rPr>
        <w:t>In another case examining the fundamentals of trademark protection,</w:t>
      </w:r>
      <w:r w:rsidRPr="004D00FB">
        <w:rPr>
          <w:sz w:val="16"/>
        </w:rPr>
        <w:t xml:space="preserve"> </w:t>
      </w:r>
      <w:r w:rsidRPr="004D00FB">
        <w:rPr>
          <w:rStyle w:val="Emphasis"/>
        </w:rPr>
        <w:t>Christian Faith Fellowship Church v. Adidas AG</w:t>
      </w:r>
      <w:r w:rsidRPr="004D00FB">
        <w:rPr>
          <w:sz w:val="16"/>
        </w:rPr>
        <w:t xml:space="preserve">,[101] the Federal Circuit </w:t>
      </w:r>
      <w:r w:rsidRPr="004D00FB">
        <w:rPr>
          <w:rStyle w:val="StyleUnderline"/>
        </w:rPr>
        <w:t xml:space="preserve">reaffirmed the </w:t>
      </w:r>
      <w:r w:rsidRPr="004D00FB">
        <w:rPr>
          <w:rStyle w:val="Emphasis"/>
        </w:rPr>
        <w:t>broad meaning</w:t>
      </w:r>
      <w:r w:rsidRPr="004D00FB">
        <w:rPr>
          <w:rStyle w:val="StyleUnderline"/>
        </w:rPr>
        <w:t xml:space="preserve"> of “use in commerce” under the Lanham Act</w:t>
      </w:r>
      <w:r w:rsidRPr="004D00FB">
        <w:rPr>
          <w:sz w:val="16"/>
        </w:rPr>
        <w:t xml:space="preserve"> and, accordingly, reversed the TTAB’s cancellation of the mark “ADD A ZERO” on hats based upon its narrow interpretation of “use in commerce.”[102] In particular, the Federal Circuit disagreed with the TTAB holding that the “documented sale of two marked hats to an out-of-state resident were de minimis and therefore did not constitute use of the marks in commerce under the Lanham Act.”[103]</w:t>
      </w:r>
    </w:p>
    <w:p w:rsidR="00706303" w:rsidRPr="004D00FB" w:rsidRDefault="00706303" w:rsidP="00706303">
      <w:pPr>
        <w:rPr>
          <w:sz w:val="16"/>
        </w:rPr>
      </w:pPr>
      <w:r w:rsidRPr="004D00FB">
        <w:rPr>
          <w:sz w:val="16"/>
        </w:rPr>
        <w:t>In March 2005, Christian Faith Fellowship Church (“Church”) submitted two trademark applications</w:t>
      </w:r>
      <w:proofErr w:type="gramStart"/>
      <w:r w:rsidRPr="004D00FB">
        <w:rPr>
          <w:sz w:val="16"/>
        </w:rPr>
        <w:t>—“</w:t>
      </w:r>
      <w:proofErr w:type="gramEnd"/>
      <w:r w:rsidRPr="004D00FB">
        <w:rPr>
          <w:sz w:val="16"/>
        </w:rPr>
        <w:t>one for use of ‘ADD A ZERO’ in standard characters and another for a stylized design of the phrase”—based upon actual sales, including the sale of two hats bearing the mark in February 2005.[104]</w:t>
      </w:r>
    </w:p>
    <w:p w:rsidR="00706303" w:rsidRPr="004D00FB" w:rsidRDefault="00706303" w:rsidP="00706303">
      <w:pPr>
        <w:rPr>
          <w:sz w:val="16"/>
        </w:rPr>
      </w:pPr>
      <w:r w:rsidRPr="004D00FB">
        <w:rPr>
          <w:sz w:val="16"/>
        </w:rPr>
        <w:t>Based upon a likelihood of confusion with these marks, the PTO refused adidas AG’s (“Adidas”) application for the clothing mark “ADIZERO.”[105] Adidas filed to cancel the Church’s registrations, arguing, among other things, that it failed to use the marks in commerce before registration.[106] The TTAB considered the Church’s cancelled check for the sale of the two marked hats for $38.34 in February 2005, but found that such sales “within the state of Illinois to [a person] who reside[d] outside the state [did] not affect commerce that Congress can regulate” as required under the Lanham Act.[107] In short, such sales were “insufficient to show use that affects interstate commerce.”[108]</w:t>
      </w:r>
    </w:p>
    <w:p w:rsidR="00706303" w:rsidRPr="004D00FB" w:rsidRDefault="00706303" w:rsidP="00706303">
      <w:pPr>
        <w:rPr>
          <w:rStyle w:val="StyleUnderline"/>
        </w:rPr>
      </w:pPr>
      <w:r w:rsidRPr="004D00FB">
        <w:rPr>
          <w:rStyle w:val="StyleUnderline"/>
        </w:rPr>
        <w:t xml:space="preserve">Under 15 U.S.C. § 1051(a), </w:t>
      </w:r>
      <w:r w:rsidRPr="004D00FB">
        <w:rPr>
          <w:rStyle w:val="StyleUnderline"/>
          <w:highlight w:val="cyan"/>
        </w:rPr>
        <w:t>in order to</w:t>
      </w:r>
      <w:r w:rsidRPr="004D00FB">
        <w:rPr>
          <w:rStyle w:val="StyleUnderline"/>
        </w:rPr>
        <w:t xml:space="preserve"> </w:t>
      </w:r>
      <w:r w:rsidRPr="004D00FB">
        <w:rPr>
          <w:rStyle w:val="Emphasis"/>
          <w:highlight w:val="cyan"/>
        </w:rPr>
        <w:t>register a trademark</w:t>
      </w:r>
      <w:r w:rsidRPr="004D00FB">
        <w:rPr>
          <w:rStyle w:val="StyleUnderline"/>
          <w:highlight w:val="cyan"/>
        </w:rPr>
        <w:t>, the owner must show</w:t>
      </w:r>
      <w:r w:rsidRPr="004D00FB">
        <w:rPr>
          <w:rStyle w:val="StyleUnderline"/>
        </w:rPr>
        <w:t xml:space="preserve"> that </w:t>
      </w:r>
      <w:r w:rsidRPr="004D00FB">
        <w:rPr>
          <w:rStyle w:val="StyleUnderline"/>
          <w:highlight w:val="cyan"/>
        </w:rPr>
        <w:t>the</w:t>
      </w:r>
      <w:r w:rsidRPr="004D00FB">
        <w:rPr>
          <w:rStyle w:val="StyleUnderline"/>
        </w:rPr>
        <w:t xml:space="preserve"> applied-for </w:t>
      </w:r>
      <w:r w:rsidRPr="004D00FB">
        <w:rPr>
          <w:rStyle w:val="StyleUnderline"/>
          <w:highlight w:val="cyan"/>
        </w:rPr>
        <w:t>mark has been “</w:t>
      </w:r>
      <w:r w:rsidRPr="004D00FB">
        <w:rPr>
          <w:rStyle w:val="Emphasis"/>
          <w:highlight w:val="cyan"/>
        </w:rPr>
        <w:t>used in commerce</w:t>
      </w:r>
      <w:r w:rsidRPr="004D00FB">
        <w:rPr>
          <w:rStyle w:val="StyleUnderline"/>
          <w:highlight w:val="cyan"/>
        </w:rPr>
        <w:t>.”</w:t>
      </w:r>
      <w:r w:rsidRPr="004D00FB">
        <w:rPr>
          <w:sz w:val="16"/>
        </w:rPr>
        <w:t xml:space="preserve">[109] </w:t>
      </w:r>
      <w:r w:rsidRPr="004D00FB">
        <w:rPr>
          <w:rStyle w:val="StyleUnderline"/>
        </w:rPr>
        <w:t xml:space="preserve">The Lanham Act explains </w:t>
      </w:r>
      <w:r w:rsidRPr="004D00FB">
        <w:rPr>
          <w:rStyle w:val="StyleUnderline"/>
          <w:highlight w:val="cyan"/>
        </w:rPr>
        <w:t>that</w:t>
      </w:r>
      <w:r w:rsidRPr="004D00FB">
        <w:rPr>
          <w:rStyle w:val="StyleUnderline"/>
        </w:rPr>
        <w:t xml:space="preserve"> use </w:t>
      </w:r>
      <w:r w:rsidRPr="004D00FB">
        <w:rPr>
          <w:rStyle w:val="StyleUnderline"/>
          <w:highlight w:val="cyan"/>
        </w:rPr>
        <w:t>means</w:t>
      </w:r>
      <w:r w:rsidRPr="004D00FB">
        <w:rPr>
          <w:rStyle w:val="StyleUnderline"/>
        </w:rPr>
        <w:t xml:space="preserve"> “the </w:t>
      </w:r>
      <w:r w:rsidRPr="007035EF">
        <w:rPr>
          <w:rStyle w:val="Emphasis"/>
          <w:sz w:val="28"/>
          <w:szCs w:val="28"/>
          <w:highlight w:val="cyan"/>
        </w:rPr>
        <w:t>bona fide use</w:t>
      </w:r>
      <w:r w:rsidRPr="007035EF">
        <w:rPr>
          <w:rStyle w:val="StyleUnderline"/>
          <w:sz w:val="28"/>
          <w:szCs w:val="28"/>
        </w:rPr>
        <w:t xml:space="preserve"> </w:t>
      </w:r>
      <w:r w:rsidRPr="004D00FB">
        <w:rPr>
          <w:rStyle w:val="StyleUnderline"/>
        </w:rPr>
        <w:t xml:space="preserve">of a mark in the ordinary course of trade, and not made merely to reserve a right in a mark,” for instance, </w:t>
      </w:r>
      <w:r w:rsidRPr="004D00FB">
        <w:rPr>
          <w:rStyle w:val="StyleUnderline"/>
          <w:highlight w:val="cyan"/>
        </w:rPr>
        <w:t>when</w:t>
      </w:r>
      <w:r w:rsidRPr="004D00FB">
        <w:rPr>
          <w:rStyle w:val="StyleUnderline"/>
        </w:rPr>
        <w:t xml:space="preserve"> a mark is </w:t>
      </w:r>
      <w:r w:rsidRPr="004D00FB">
        <w:rPr>
          <w:rStyle w:val="StyleUnderline"/>
          <w:highlight w:val="cyan"/>
        </w:rPr>
        <w:t>used on “goods</w:t>
      </w:r>
      <w:r w:rsidRPr="004D00FB">
        <w:rPr>
          <w:rStyle w:val="StyleUnderline"/>
        </w:rPr>
        <w:t xml:space="preserve"> [that] are </w:t>
      </w:r>
      <w:r w:rsidRPr="004D00FB">
        <w:rPr>
          <w:rStyle w:val="Emphasis"/>
          <w:highlight w:val="cyan"/>
        </w:rPr>
        <w:t>sold</w:t>
      </w:r>
      <w:r w:rsidRPr="004D00FB">
        <w:rPr>
          <w:rStyle w:val="StyleUnderline"/>
        </w:rPr>
        <w:t xml:space="preserve"> </w:t>
      </w:r>
      <w:r w:rsidRPr="004D00FB">
        <w:rPr>
          <w:rStyle w:val="StyleUnderline"/>
          <w:highlight w:val="cyan"/>
        </w:rPr>
        <w:t>or</w:t>
      </w:r>
      <w:r w:rsidRPr="004D00FB">
        <w:rPr>
          <w:rStyle w:val="StyleUnderline"/>
        </w:rPr>
        <w:t xml:space="preserve"> </w:t>
      </w:r>
      <w:r w:rsidRPr="004D00FB">
        <w:rPr>
          <w:rStyle w:val="Emphasis"/>
          <w:highlight w:val="cyan"/>
        </w:rPr>
        <w:t>transported</w:t>
      </w:r>
      <w:r w:rsidRPr="004D00FB">
        <w:rPr>
          <w:rStyle w:val="StyleUnderline"/>
        </w:rPr>
        <w:t xml:space="preserve"> </w:t>
      </w:r>
      <w:r w:rsidRPr="004D00FB">
        <w:rPr>
          <w:rStyle w:val="StyleUnderline"/>
          <w:highlight w:val="cyan"/>
        </w:rPr>
        <w:t xml:space="preserve">in </w:t>
      </w:r>
      <w:r w:rsidRPr="004D00FB">
        <w:rPr>
          <w:rStyle w:val="Emphasis"/>
          <w:highlight w:val="cyan"/>
        </w:rPr>
        <w:t>commerce</w:t>
      </w:r>
      <w:r w:rsidRPr="004D00FB">
        <w:rPr>
          <w:rStyle w:val="StyleUnderline"/>
        </w:rPr>
        <w:t>.”[</w:t>
      </w:r>
      <w:r w:rsidRPr="004D00FB">
        <w:rPr>
          <w:sz w:val="16"/>
        </w:rPr>
        <w:t xml:space="preserve">110] Further, </w:t>
      </w:r>
      <w:r w:rsidRPr="004D00FB">
        <w:rPr>
          <w:rStyle w:val="StyleUnderline"/>
        </w:rPr>
        <w:t xml:space="preserve">the </w:t>
      </w:r>
      <w:r w:rsidRPr="004D00FB">
        <w:rPr>
          <w:rStyle w:val="StyleUnderline"/>
          <w:highlight w:val="cyan"/>
        </w:rPr>
        <w:t>Lanham</w:t>
      </w:r>
      <w:r w:rsidRPr="004D00FB">
        <w:rPr>
          <w:rStyle w:val="StyleUnderline"/>
        </w:rPr>
        <w:t xml:space="preserve"> Act </w:t>
      </w:r>
      <w:r w:rsidRPr="004D00FB">
        <w:rPr>
          <w:rStyle w:val="StyleUnderline"/>
          <w:highlight w:val="cyan"/>
        </w:rPr>
        <w:t>defines</w:t>
      </w:r>
      <w:r w:rsidRPr="004D00FB">
        <w:rPr>
          <w:rStyle w:val="StyleUnderline"/>
        </w:rPr>
        <w:t xml:space="preserve"> the term “</w:t>
      </w:r>
      <w:r w:rsidRPr="004D00FB">
        <w:rPr>
          <w:rStyle w:val="Emphasis"/>
          <w:highlight w:val="cyan"/>
        </w:rPr>
        <w:t>commerce</w:t>
      </w:r>
      <w:r w:rsidRPr="004D00FB">
        <w:rPr>
          <w:rStyle w:val="StyleUnderline"/>
        </w:rPr>
        <w:t xml:space="preserve">” </w:t>
      </w:r>
      <w:r w:rsidRPr="004D00FB">
        <w:rPr>
          <w:rStyle w:val="StyleUnderline"/>
          <w:highlight w:val="cyan"/>
        </w:rPr>
        <w:t>to include</w:t>
      </w:r>
      <w:r w:rsidRPr="004D00FB">
        <w:rPr>
          <w:rStyle w:val="StyleUnderline"/>
        </w:rPr>
        <w:t xml:space="preserve"> “</w:t>
      </w:r>
      <w:r w:rsidRPr="004D00FB">
        <w:rPr>
          <w:rStyle w:val="Emphasis"/>
          <w:highlight w:val="cyan"/>
        </w:rPr>
        <w:t>all commerce</w:t>
      </w:r>
      <w:r w:rsidRPr="004D00FB">
        <w:rPr>
          <w:rStyle w:val="StyleUnderline"/>
        </w:rPr>
        <w:t xml:space="preserve"> </w:t>
      </w:r>
      <w:r w:rsidRPr="004D00FB">
        <w:rPr>
          <w:rStyle w:val="StyleUnderline"/>
          <w:highlight w:val="cyan"/>
        </w:rPr>
        <w:t>which may lawfully be regulated by Congress</w:t>
      </w:r>
      <w:r w:rsidRPr="004D00FB">
        <w:rPr>
          <w:rStyle w:val="StyleUnderline"/>
        </w:rPr>
        <w:t>.”[111]</w:t>
      </w:r>
    </w:p>
    <w:p w:rsidR="00706303" w:rsidRPr="004D00FB" w:rsidRDefault="00706303" w:rsidP="00706303">
      <w:pPr>
        <w:rPr>
          <w:sz w:val="16"/>
        </w:rPr>
      </w:pPr>
      <w:r w:rsidRPr="004D00FB">
        <w:rPr>
          <w:rStyle w:val="StyleUnderline"/>
        </w:rPr>
        <w:t>The Federal Circuit reiterated that “</w:t>
      </w:r>
      <w:r w:rsidRPr="004D00FB">
        <w:rPr>
          <w:rStyle w:val="StyleUnderline"/>
          <w:highlight w:val="cyan"/>
        </w:rPr>
        <w:t>Congress’s power</w:t>
      </w:r>
      <w:r w:rsidRPr="004D00FB">
        <w:rPr>
          <w:rStyle w:val="StyleUnderline"/>
        </w:rPr>
        <w:t xml:space="preserve"> under the Commerce Clause </w:t>
      </w:r>
      <w:r w:rsidRPr="004D00FB">
        <w:rPr>
          <w:rStyle w:val="StyleUnderline"/>
          <w:highlight w:val="cyan"/>
        </w:rPr>
        <w:t xml:space="preserve">is </w:t>
      </w:r>
      <w:r w:rsidRPr="004D00FB">
        <w:rPr>
          <w:rStyle w:val="Emphasis"/>
          <w:highlight w:val="cyan"/>
        </w:rPr>
        <w:t>broad</w:t>
      </w:r>
      <w:r w:rsidRPr="004D00FB">
        <w:rPr>
          <w:rStyle w:val="StyleUnderline"/>
        </w:rPr>
        <w:t>.”</w:t>
      </w:r>
      <w:r w:rsidRPr="004D00FB">
        <w:rPr>
          <w:sz w:val="16"/>
        </w:rPr>
        <w:t xml:space="preserve">[112] In particular, </w:t>
      </w:r>
      <w:r w:rsidRPr="004D00FB">
        <w:rPr>
          <w:rStyle w:val="StyleUnderline"/>
        </w:rPr>
        <w:t>the court cited the Supreme Court’s decision in Wickard v. Filburn</w:t>
      </w:r>
      <w:r w:rsidRPr="004D00FB">
        <w:rPr>
          <w:sz w:val="16"/>
        </w:rPr>
        <w:t xml:space="preserve">,[113] </w:t>
      </w:r>
      <w:r w:rsidRPr="004D00FB">
        <w:rPr>
          <w:rStyle w:val="StyleUnderline"/>
        </w:rPr>
        <w:t xml:space="preserve">which interpreted the Commerce Clause to vest Congress with the power to “regulate activities that have a substantial effect on interstate commerce . . . </w:t>
      </w:r>
      <w:r w:rsidRPr="004D00FB">
        <w:rPr>
          <w:rStyle w:val="Emphasis"/>
          <w:highlight w:val="cyan"/>
        </w:rPr>
        <w:t>‘[e]</w:t>
      </w:r>
      <w:proofErr w:type="spellStart"/>
      <w:r w:rsidRPr="004D00FB">
        <w:rPr>
          <w:rStyle w:val="Emphasis"/>
          <w:highlight w:val="cyan"/>
        </w:rPr>
        <w:t>ven</w:t>
      </w:r>
      <w:proofErr w:type="spellEnd"/>
      <w:r w:rsidRPr="004D00FB">
        <w:rPr>
          <w:rStyle w:val="Emphasis"/>
          <w:highlight w:val="cyan"/>
        </w:rPr>
        <w:t xml:space="preserve"> if</w:t>
      </w:r>
      <w:r w:rsidRPr="004D00FB">
        <w:rPr>
          <w:rStyle w:val="StyleUnderline"/>
        </w:rPr>
        <w:t xml:space="preserve"> . . . [the </w:t>
      </w:r>
      <w:r w:rsidRPr="004D00FB">
        <w:rPr>
          <w:rStyle w:val="StyleUnderline"/>
          <w:highlight w:val="cyan"/>
        </w:rPr>
        <w:t>particular</w:t>
      </w:r>
      <w:r w:rsidRPr="004D00FB">
        <w:rPr>
          <w:rStyle w:val="StyleUnderline"/>
        </w:rPr>
        <w:t xml:space="preserve">] </w:t>
      </w:r>
      <w:r w:rsidRPr="004D00FB">
        <w:rPr>
          <w:rStyle w:val="StyleUnderline"/>
          <w:highlight w:val="cyan"/>
        </w:rPr>
        <w:t xml:space="preserve">activity be </w:t>
      </w:r>
      <w:r w:rsidRPr="004D00FB">
        <w:rPr>
          <w:rStyle w:val="Emphasis"/>
          <w:highlight w:val="cyan"/>
        </w:rPr>
        <w:t>local</w:t>
      </w:r>
      <w:r w:rsidRPr="004D00FB">
        <w:rPr>
          <w:rStyle w:val="StyleUnderline"/>
        </w:rPr>
        <w:t xml:space="preserve"> and though it may not be regarded as commerce.’”</w:t>
      </w:r>
      <w:r w:rsidRPr="004D00FB">
        <w:rPr>
          <w:sz w:val="16"/>
        </w:rPr>
        <w:t xml:space="preserve">[114] </w:t>
      </w:r>
      <w:r w:rsidRPr="004D00FB">
        <w:rPr>
          <w:rStyle w:val="StyleUnderline"/>
          <w:highlight w:val="cyan"/>
        </w:rPr>
        <w:t>This broad</w:t>
      </w:r>
      <w:r w:rsidRPr="004D00FB">
        <w:rPr>
          <w:rStyle w:val="StyleUnderline"/>
        </w:rPr>
        <w:t xml:space="preserve"> “substantial effects” </w:t>
      </w:r>
      <w:r w:rsidRPr="004D00FB">
        <w:rPr>
          <w:rStyle w:val="StyleUnderline"/>
          <w:highlight w:val="cyan"/>
        </w:rPr>
        <w:t>interpretation has been</w:t>
      </w:r>
      <w:r w:rsidRPr="004D00FB">
        <w:rPr>
          <w:rStyle w:val="StyleUnderline"/>
        </w:rPr>
        <w:t xml:space="preserve"> </w:t>
      </w:r>
      <w:r w:rsidRPr="004D00FB">
        <w:rPr>
          <w:rStyle w:val="Emphasis"/>
          <w:highlight w:val="cyan"/>
        </w:rPr>
        <w:t>repeatedly and recently reaffirmed</w:t>
      </w:r>
      <w:r w:rsidRPr="004D00FB">
        <w:rPr>
          <w:rStyle w:val="StyleUnderline"/>
        </w:rPr>
        <w:t>, including by the Supreme Court in Gonzales v. Raich</w:t>
      </w:r>
      <w:r w:rsidRPr="004D00FB">
        <w:rPr>
          <w:sz w:val="16"/>
        </w:rPr>
        <w:t xml:space="preserve">[115] </w:t>
      </w:r>
      <w:r w:rsidRPr="004D00FB">
        <w:rPr>
          <w:rStyle w:val="StyleUnderline"/>
        </w:rPr>
        <w:t>as well as Taylor v United States.</w:t>
      </w:r>
      <w:r w:rsidRPr="004D00FB">
        <w:rPr>
          <w:sz w:val="16"/>
        </w:rPr>
        <w:t xml:space="preserve">[116] </w:t>
      </w:r>
      <w:r w:rsidRPr="004D00FB">
        <w:rPr>
          <w:rStyle w:val="StyleUnderline"/>
        </w:rPr>
        <w:t xml:space="preserve">Raich reaffirmed that </w:t>
      </w:r>
      <w:r w:rsidRPr="004D00FB">
        <w:rPr>
          <w:rStyle w:val="StyleUnderline"/>
          <w:highlight w:val="cyan"/>
        </w:rPr>
        <w:t>when “a general</w:t>
      </w:r>
      <w:r w:rsidRPr="004D00FB">
        <w:rPr>
          <w:rStyle w:val="StyleUnderline"/>
        </w:rPr>
        <w:t xml:space="preserve"> regulatory </w:t>
      </w:r>
      <w:r w:rsidRPr="004D00FB">
        <w:rPr>
          <w:rStyle w:val="Emphasis"/>
          <w:highlight w:val="cyan"/>
        </w:rPr>
        <w:t>statute</w:t>
      </w:r>
      <w:r w:rsidRPr="004D00FB">
        <w:rPr>
          <w:rStyle w:val="StyleUnderline"/>
        </w:rPr>
        <w:t xml:space="preserve"> </w:t>
      </w:r>
      <w:r w:rsidRPr="004D00FB">
        <w:rPr>
          <w:rStyle w:val="StyleUnderline"/>
          <w:highlight w:val="cyan"/>
        </w:rPr>
        <w:t>bears</w:t>
      </w:r>
      <w:r w:rsidRPr="004D00FB">
        <w:rPr>
          <w:rStyle w:val="StyleUnderline"/>
        </w:rPr>
        <w:t xml:space="preserve"> a </w:t>
      </w:r>
      <w:r w:rsidRPr="004D00FB">
        <w:rPr>
          <w:rStyle w:val="Emphasis"/>
        </w:rPr>
        <w:t xml:space="preserve">substantial </w:t>
      </w:r>
      <w:r w:rsidRPr="004D00FB">
        <w:rPr>
          <w:rStyle w:val="Emphasis"/>
          <w:highlight w:val="cyan"/>
        </w:rPr>
        <w:t>relation</w:t>
      </w:r>
      <w:r w:rsidRPr="004D00FB">
        <w:rPr>
          <w:rStyle w:val="StyleUnderline"/>
          <w:highlight w:val="cyan"/>
        </w:rPr>
        <w:t xml:space="preserve"> to commerce</w:t>
      </w:r>
      <w:r w:rsidRPr="004D00FB">
        <w:rPr>
          <w:rStyle w:val="StyleUnderline"/>
        </w:rPr>
        <w:t xml:space="preserve">, the </w:t>
      </w:r>
      <w:r w:rsidRPr="007035EF">
        <w:rPr>
          <w:rStyle w:val="Emphasis"/>
          <w:sz w:val="28"/>
          <w:szCs w:val="28"/>
          <w:highlight w:val="cyan"/>
        </w:rPr>
        <w:t>de minimis character of individual instances</w:t>
      </w:r>
      <w:r w:rsidRPr="007035EF">
        <w:rPr>
          <w:rStyle w:val="StyleUnderline"/>
          <w:sz w:val="28"/>
          <w:szCs w:val="28"/>
        </w:rPr>
        <w:t xml:space="preserve"> </w:t>
      </w:r>
      <w:r w:rsidRPr="004D00FB">
        <w:rPr>
          <w:rStyle w:val="StyleUnderline"/>
        </w:rPr>
        <w:t xml:space="preserve">arising under that statute </w:t>
      </w:r>
      <w:r w:rsidRPr="004D00FB">
        <w:rPr>
          <w:rStyle w:val="StyleUnderline"/>
          <w:highlight w:val="cyan"/>
        </w:rPr>
        <w:t>is of no consequence</w:t>
      </w:r>
      <w:r w:rsidRPr="004D00FB">
        <w:rPr>
          <w:rStyle w:val="StyleUnderline"/>
        </w:rPr>
        <w:t>,” and Congress has the power to regulate it under the Commerce Clause</w:t>
      </w:r>
      <w:r w:rsidRPr="004D00FB">
        <w:rPr>
          <w:sz w:val="16"/>
        </w:rPr>
        <w:t xml:space="preserve">.[117] And, of particular relevance to the Church’s claim to its ADD A ZERO registrations, </w:t>
      </w:r>
      <w:r w:rsidRPr="004D00FB">
        <w:rPr>
          <w:rStyle w:val="StyleUnderline"/>
        </w:rPr>
        <w:t>Taylor clarified that “</w:t>
      </w:r>
      <w:r w:rsidRPr="004D00FB">
        <w:rPr>
          <w:rStyle w:val="StyleUnderline"/>
          <w:highlight w:val="cyan"/>
        </w:rPr>
        <w:t>proof that the</w:t>
      </w:r>
      <w:r w:rsidRPr="004D00FB">
        <w:rPr>
          <w:rStyle w:val="StyleUnderline"/>
        </w:rPr>
        <w:t xml:space="preserve"> . . . </w:t>
      </w:r>
      <w:r w:rsidRPr="004D00FB">
        <w:rPr>
          <w:rStyle w:val="StyleUnderline"/>
          <w:highlight w:val="cyan"/>
        </w:rPr>
        <w:t>conduct</w:t>
      </w:r>
      <w:r w:rsidRPr="004D00FB">
        <w:rPr>
          <w:rStyle w:val="StyleUnderline"/>
        </w:rPr>
        <w:t xml:space="preserve"> </w:t>
      </w:r>
      <w:r w:rsidRPr="004D00FB">
        <w:rPr>
          <w:rStyle w:val="Emphasis"/>
          <w:highlight w:val="cyan"/>
        </w:rPr>
        <w:t>in and of itself</w:t>
      </w:r>
      <w:r w:rsidRPr="004D00FB">
        <w:rPr>
          <w:rStyle w:val="StyleUnderline"/>
        </w:rPr>
        <w:t xml:space="preserve"> </w:t>
      </w:r>
      <w:r w:rsidRPr="004D00FB">
        <w:rPr>
          <w:rStyle w:val="StyleUnderline"/>
          <w:highlight w:val="cyan"/>
        </w:rPr>
        <w:t>affected</w:t>
      </w:r>
      <w:r w:rsidRPr="004D00FB">
        <w:rPr>
          <w:rStyle w:val="StyleUnderline"/>
        </w:rPr>
        <w:t xml:space="preserve"> or threatened </w:t>
      </w:r>
      <w:r w:rsidRPr="004D00FB">
        <w:rPr>
          <w:rStyle w:val="StyleUnderline"/>
          <w:highlight w:val="cyan"/>
        </w:rPr>
        <w:t xml:space="preserve">commerce is </w:t>
      </w:r>
      <w:r w:rsidRPr="004D00FB">
        <w:rPr>
          <w:rStyle w:val="Emphasis"/>
          <w:highlight w:val="cyan"/>
        </w:rPr>
        <w:t>not needed</w:t>
      </w:r>
      <w:r w:rsidRPr="004D00FB">
        <w:rPr>
          <w:rStyle w:val="StyleUnderline"/>
        </w:rPr>
        <w:t xml:space="preserve">,” </w:t>
      </w:r>
      <w:r w:rsidRPr="004D00FB">
        <w:rPr>
          <w:rStyle w:val="StyleUnderline"/>
          <w:highlight w:val="cyan"/>
        </w:rPr>
        <w:t>rather</w:t>
      </w:r>
      <w:r w:rsidRPr="004D00FB">
        <w:rPr>
          <w:rStyle w:val="StyleUnderline"/>
        </w:rPr>
        <w:t>, “[a]</w:t>
      </w:r>
      <w:proofErr w:type="spellStart"/>
      <w:r w:rsidRPr="004D00FB">
        <w:rPr>
          <w:rStyle w:val="StyleUnderline"/>
        </w:rPr>
        <w:t>ll</w:t>
      </w:r>
      <w:proofErr w:type="spellEnd"/>
      <w:r w:rsidRPr="004D00FB">
        <w:rPr>
          <w:rStyle w:val="StyleUnderline"/>
        </w:rPr>
        <w:t xml:space="preserve"> that is needed is </w:t>
      </w:r>
      <w:r w:rsidRPr="004D00FB">
        <w:rPr>
          <w:rStyle w:val="StyleUnderline"/>
          <w:highlight w:val="cyan"/>
        </w:rPr>
        <w:t>proof that the</w:t>
      </w:r>
      <w:r w:rsidRPr="004D00FB">
        <w:rPr>
          <w:rStyle w:val="StyleUnderline"/>
        </w:rPr>
        <w:t xml:space="preserve"> . . . </w:t>
      </w:r>
      <w:r w:rsidRPr="004D00FB">
        <w:rPr>
          <w:rStyle w:val="StyleUnderline"/>
          <w:highlight w:val="cyan"/>
        </w:rPr>
        <w:t xml:space="preserve">conduct fell within a </w:t>
      </w:r>
      <w:r w:rsidRPr="004D00FB">
        <w:rPr>
          <w:rStyle w:val="Emphasis"/>
          <w:highlight w:val="cyan"/>
        </w:rPr>
        <w:t>category</w:t>
      </w:r>
      <w:r w:rsidRPr="004D00FB">
        <w:rPr>
          <w:rStyle w:val="Emphasis"/>
        </w:rPr>
        <w:t xml:space="preserve"> of conduct</w:t>
      </w:r>
      <w:r w:rsidRPr="004D00FB">
        <w:rPr>
          <w:rStyle w:val="StyleUnderline"/>
        </w:rPr>
        <w:t xml:space="preserve"> </w:t>
      </w:r>
      <w:r w:rsidRPr="004D00FB">
        <w:rPr>
          <w:rStyle w:val="StyleUnderline"/>
          <w:highlight w:val="cyan"/>
        </w:rPr>
        <w:t xml:space="preserve">that, in the </w:t>
      </w:r>
      <w:r w:rsidRPr="004D00FB">
        <w:rPr>
          <w:rStyle w:val="Emphasis"/>
          <w:highlight w:val="cyan"/>
        </w:rPr>
        <w:t>aggregate</w:t>
      </w:r>
      <w:r w:rsidRPr="004D00FB">
        <w:rPr>
          <w:rStyle w:val="StyleUnderline"/>
          <w:highlight w:val="cyan"/>
        </w:rPr>
        <w:t>, had the requisite effect”</w:t>
      </w:r>
      <w:r w:rsidRPr="004D00FB">
        <w:rPr>
          <w:rStyle w:val="StyleUnderline"/>
        </w:rPr>
        <w:t xml:space="preserve"> on commerce.</w:t>
      </w:r>
      <w:r w:rsidRPr="004D00FB">
        <w:rPr>
          <w:sz w:val="16"/>
        </w:rPr>
        <w:t>[118] The Federal Circuit also cited many of its past Lanham Act “use in commerce” cases to support the broad scope of Congress’s Commerce Clause powers, noting that the TTAB “erred by not properly applying [its] holdings in [Larry Harmon Pictures Corp. v. Williams Restaurant Corp.][119] and [In re Silenus Wines].”[120]</w:t>
      </w:r>
    </w:p>
    <w:p w:rsidR="00706303" w:rsidRPr="004D00FB" w:rsidRDefault="00706303" w:rsidP="00706303">
      <w:pPr>
        <w:rPr>
          <w:sz w:val="16"/>
        </w:rPr>
      </w:pPr>
      <w:r w:rsidRPr="004D00FB">
        <w:rPr>
          <w:sz w:val="16"/>
        </w:rPr>
        <w:t xml:space="preserve">Based upon this extensive recounting of case law confirming the broad scope of the Lanham Act’s definition of commerce as “all activity regulable by Congress,” </w:t>
      </w:r>
      <w:r w:rsidRPr="004D00FB">
        <w:rPr>
          <w:rStyle w:val="StyleUnderline"/>
        </w:rPr>
        <w:t xml:space="preserve">the Federal Circuit held that </w:t>
      </w:r>
      <w:r w:rsidRPr="004D00FB">
        <w:rPr>
          <w:rStyle w:val="StyleUnderline"/>
          <w:highlight w:val="cyan"/>
        </w:rPr>
        <w:t>it was “clear . . . that</w:t>
      </w:r>
      <w:r w:rsidRPr="004D00FB">
        <w:rPr>
          <w:rStyle w:val="StyleUnderline"/>
        </w:rPr>
        <w:t xml:space="preserve"> the Church’s </w:t>
      </w:r>
      <w:r w:rsidRPr="004D00FB">
        <w:rPr>
          <w:rStyle w:val="StyleUnderline"/>
          <w:highlight w:val="cyan"/>
        </w:rPr>
        <w:t xml:space="preserve">sale of </w:t>
      </w:r>
      <w:r w:rsidRPr="004D00FB">
        <w:rPr>
          <w:rStyle w:val="Emphasis"/>
          <w:highlight w:val="cyan"/>
        </w:rPr>
        <w:t>two</w:t>
      </w:r>
      <w:r w:rsidRPr="004D00FB">
        <w:rPr>
          <w:sz w:val="16"/>
        </w:rPr>
        <w:t xml:space="preserve"> ‘ADD A ZERO’-marked </w:t>
      </w:r>
      <w:r w:rsidRPr="004D00FB">
        <w:rPr>
          <w:rStyle w:val="StyleUnderline"/>
          <w:highlight w:val="cyan"/>
        </w:rPr>
        <w:t>hats</w:t>
      </w:r>
      <w:r w:rsidRPr="004D00FB">
        <w:rPr>
          <w:rStyle w:val="StyleUnderline"/>
        </w:rPr>
        <w:t xml:space="preserve"> to an out-of-state resident [was] regulable by Congress under the Commerce Clause and, therefore, </w:t>
      </w:r>
      <w:r w:rsidRPr="004D00FB">
        <w:rPr>
          <w:rStyle w:val="Emphasis"/>
          <w:highlight w:val="cyan"/>
        </w:rPr>
        <w:t>constitute[d] ‘use in commerce’</w:t>
      </w:r>
      <w:r w:rsidRPr="004D00FB">
        <w:rPr>
          <w:sz w:val="16"/>
        </w:rPr>
        <w:t xml:space="preserve"> under the Lanham Act.”[121] The Federal Circuit went on to explain that </w:t>
      </w:r>
      <w:r w:rsidRPr="004D00FB">
        <w:rPr>
          <w:rStyle w:val="StyleUnderline"/>
          <w:highlight w:val="cyan"/>
        </w:rPr>
        <w:t xml:space="preserve">the Church </w:t>
      </w:r>
      <w:r w:rsidRPr="004D00FB">
        <w:rPr>
          <w:rStyle w:val="Emphasis"/>
          <w:highlight w:val="cyan"/>
        </w:rPr>
        <w:t>did not need</w:t>
      </w:r>
      <w:r w:rsidRPr="004D00FB">
        <w:rPr>
          <w:rStyle w:val="StyleUnderline"/>
          <w:highlight w:val="cyan"/>
        </w:rPr>
        <w:t xml:space="preserve"> to demonstrate</w:t>
      </w:r>
      <w:r w:rsidRPr="004D00FB">
        <w:rPr>
          <w:rStyle w:val="StyleUnderline"/>
        </w:rPr>
        <w:t xml:space="preserve"> </w:t>
      </w:r>
      <w:r w:rsidRPr="004D00FB">
        <w:rPr>
          <w:rStyle w:val="Emphasis"/>
        </w:rPr>
        <w:t xml:space="preserve">actual and </w:t>
      </w:r>
      <w:r w:rsidRPr="004D00FB">
        <w:rPr>
          <w:rStyle w:val="Emphasis"/>
          <w:highlight w:val="cyan"/>
        </w:rPr>
        <w:t>specific effect</w:t>
      </w:r>
      <w:r w:rsidRPr="004D00FB">
        <w:rPr>
          <w:rStyle w:val="StyleUnderline"/>
          <w:highlight w:val="cyan"/>
        </w:rPr>
        <w:t xml:space="preserve"> of interstate commerce or that the hats were </w:t>
      </w:r>
      <w:r w:rsidRPr="004D00FB">
        <w:rPr>
          <w:rStyle w:val="Emphasis"/>
          <w:highlight w:val="cyan"/>
        </w:rPr>
        <w:t>destined for out-of-state travel</w:t>
      </w:r>
      <w:r w:rsidRPr="004D00FB">
        <w:rPr>
          <w:rStyle w:val="StyleUnderline"/>
        </w:rPr>
        <w:t>.</w:t>
      </w:r>
      <w:r w:rsidRPr="004D00FB">
        <w:rPr>
          <w:sz w:val="16"/>
        </w:rPr>
        <w:t>[122] Moreover, the Federal Circuit clarified that any cases that may conclude that the Lanham Act “requires commercial activities . . . beyond that which is sufficient for Congress to regulate commercial activity under the Commerce Clause,” are not correct and the TTAB was wrong to rely on them.[123] Having reversed the TTAB’s decision to cancel the mark for failure to use it in commerce, the Federal Circuit remanded the case for the TTAB to address Adidas’s other grounds for cancellation.[124]</w:t>
      </w:r>
    </w:p>
    <w:p w:rsidR="00706303" w:rsidRPr="00461A26" w:rsidRDefault="00706303" w:rsidP="00706303">
      <w:pPr>
        <w:pStyle w:val="Heading4"/>
      </w:pPr>
      <w:r>
        <w:t xml:space="preserve">The AFF is </w:t>
      </w:r>
      <w:r>
        <w:rPr>
          <w:u w:val="single"/>
        </w:rPr>
        <w:t>not inherent</w:t>
      </w:r>
      <w:proofErr w:type="gramStart"/>
      <w:r>
        <w:t>—“</w:t>
      </w:r>
      <w:proofErr w:type="gramEnd"/>
      <w:r>
        <w:t xml:space="preserve">good faith” </w:t>
      </w:r>
      <w:r w:rsidRPr="000A4824">
        <w:rPr>
          <w:b w:val="0"/>
          <w:bCs/>
        </w:rPr>
        <w:t xml:space="preserve">(see: </w:t>
      </w:r>
      <w:r w:rsidRPr="000A4824">
        <w:rPr>
          <w:b w:val="0"/>
          <w:bCs/>
          <w:i/>
          <w:iCs w:val="0"/>
        </w:rPr>
        <w:t>bona fide</w:t>
      </w:r>
      <w:r w:rsidRPr="000A4824">
        <w:rPr>
          <w:b w:val="0"/>
          <w:bCs/>
        </w:rPr>
        <w:t>)</w:t>
      </w:r>
      <w:r>
        <w:t xml:space="preserve">, “de minimis” use is the </w:t>
      </w:r>
      <w:r>
        <w:rPr>
          <w:u w:val="single"/>
        </w:rPr>
        <w:t>status quo</w:t>
      </w:r>
      <w:r>
        <w:t>.</w:t>
      </w:r>
    </w:p>
    <w:p w:rsidR="00706303" w:rsidRDefault="00706303" w:rsidP="00706303">
      <w:proofErr w:type="spellStart"/>
      <w:r w:rsidRPr="00095C05">
        <w:rPr>
          <w:rStyle w:val="Style13ptBold"/>
        </w:rPr>
        <w:t>Miletti</w:t>
      </w:r>
      <w:proofErr w:type="spellEnd"/>
      <w:r w:rsidRPr="00095C05">
        <w:rPr>
          <w:rStyle w:val="Style13ptBold"/>
        </w:rPr>
        <w:t xml:space="preserve"> 22</w:t>
      </w:r>
      <w:r w:rsidRPr="007216DD">
        <w:t xml:space="preserve"> (Law Office </w:t>
      </w:r>
      <w:proofErr w:type="gramStart"/>
      <w:r w:rsidRPr="007216DD">
        <w:t>Of</w:t>
      </w:r>
      <w:proofErr w:type="gramEnd"/>
      <w:r w:rsidRPr="007216DD">
        <w:t xml:space="preserve"> Vincent </w:t>
      </w:r>
      <w:proofErr w:type="spellStart"/>
      <w:r w:rsidRPr="007216DD">
        <w:t>Miletti</w:t>
      </w:r>
      <w:proofErr w:type="spellEnd"/>
      <w:r>
        <w:t>, an IP law firm that probably knows its stuff about IP</w:t>
      </w:r>
      <w:r w:rsidRPr="007216DD">
        <w:t xml:space="preserve">; "Losing/Terminating Trademark Rights through "Abandonment”", 6-23-2022, Law Office of Vincent </w:t>
      </w:r>
      <w:proofErr w:type="spellStart"/>
      <w:r w:rsidRPr="007216DD">
        <w:t>Miletti</w:t>
      </w:r>
      <w:proofErr w:type="spellEnd"/>
      <w:r w:rsidRPr="007216DD">
        <w:t>, Esq., https://milettilaw.com/losing-terminating-trademark-rights-through-abandonment/, DOA: 7-18-2024)//ATJ</w:t>
      </w:r>
    </w:p>
    <w:p w:rsidR="00706303" w:rsidRPr="00A36B71" w:rsidRDefault="00706303" w:rsidP="00706303">
      <w:pPr>
        <w:rPr>
          <w:sz w:val="16"/>
        </w:rPr>
      </w:pPr>
      <w:r w:rsidRPr="00A36B71">
        <w:rPr>
          <w:sz w:val="16"/>
        </w:rPr>
        <w:t xml:space="preserve">However, </w:t>
      </w:r>
      <w:r w:rsidRPr="00793092">
        <w:rPr>
          <w:rStyle w:val="StyleUnderline"/>
          <w:highlight w:val="cyan"/>
        </w:rPr>
        <w:t>although abandonment could be prevented through</w:t>
      </w:r>
      <w:r w:rsidRPr="00793092">
        <w:rPr>
          <w:rStyle w:val="StyleUnderline"/>
        </w:rPr>
        <w:t xml:space="preserve"> </w:t>
      </w:r>
      <w:r w:rsidRPr="00793092">
        <w:rPr>
          <w:rStyle w:val="Emphasis"/>
          <w:sz w:val="32"/>
          <w:szCs w:val="32"/>
          <w:highlight w:val="cyan"/>
        </w:rPr>
        <w:t>de minimis use</w:t>
      </w:r>
      <w:r w:rsidRPr="00793092">
        <w:rPr>
          <w:rStyle w:val="StyleUnderline"/>
          <w:sz w:val="32"/>
          <w:szCs w:val="32"/>
        </w:rPr>
        <w:t xml:space="preserve"> </w:t>
      </w:r>
      <w:r w:rsidRPr="00793092">
        <w:rPr>
          <w:rStyle w:val="StyleUnderline"/>
          <w:highlight w:val="cyan"/>
        </w:rPr>
        <w:t>of a trademark, the law requires such use not to be merely</w:t>
      </w:r>
      <w:r w:rsidRPr="00793092">
        <w:rPr>
          <w:rStyle w:val="StyleUnderline"/>
        </w:rPr>
        <w:t xml:space="preserve"> </w:t>
      </w:r>
      <w:r w:rsidRPr="00793092">
        <w:rPr>
          <w:rStyle w:val="Emphasis"/>
          <w:highlight w:val="cyan"/>
        </w:rPr>
        <w:t>token defensive use</w:t>
      </w:r>
      <w:r w:rsidRPr="00793092">
        <w:rPr>
          <w:rStyle w:val="StyleUnderline"/>
        </w:rPr>
        <w:t xml:space="preserve"> </w:t>
      </w:r>
      <w:r w:rsidRPr="00793092">
        <w:rPr>
          <w:rStyle w:val="StyleUnderline"/>
          <w:highlight w:val="cyan"/>
        </w:rPr>
        <w:t>but</w:t>
      </w:r>
      <w:r w:rsidRPr="00793092">
        <w:rPr>
          <w:rStyle w:val="StyleUnderline"/>
        </w:rPr>
        <w:t xml:space="preserve"> </w:t>
      </w:r>
      <w:r w:rsidRPr="00793092">
        <w:rPr>
          <w:rStyle w:val="Emphasis"/>
          <w:sz w:val="32"/>
          <w:szCs w:val="32"/>
          <w:highlight w:val="cyan"/>
        </w:rPr>
        <w:t>good faith use</w:t>
      </w:r>
      <w:r w:rsidRPr="00793092">
        <w:rPr>
          <w:rStyle w:val="StyleUnderline"/>
          <w:sz w:val="32"/>
          <w:szCs w:val="32"/>
        </w:rPr>
        <w:t xml:space="preserve"> </w:t>
      </w:r>
      <w:r w:rsidRPr="00793092">
        <w:rPr>
          <w:rStyle w:val="StyleUnderline"/>
        </w:rPr>
        <w:t>with the intention of preserving a right in a mark,</w:t>
      </w:r>
      <w:r w:rsidRPr="00A36B71">
        <w:rPr>
          <w:sz w:val="16"/>
        </w:rPr>
        <w:t xml:space="preserve"> which, consequently, leads to abandonment. The trademark law also allows mark owners to cease using one version of a mark in favor of a modified one without the former being abandoned as long as a similar, continuous commercial impression is derived from the first and modified versions of the same mark.</w:t>
      </w:r>
    </w:p>
    <w:p w:rsidR="00706303" w:rsidRDefault="00706303" w:rsidP="00706303"/>
    <w:p w:rsidR="00706303" w:rsidRDefault="00706303" w:rsidP="00706303"/>
    <w:p w:rsidR="00706303" w:rsidRDefault="00706303" w:rsidP="00706303"/>
    <w:p w:rsidR="00706303" w:rsidRPr="007216DD" w:rsidRDefault="00706303" w:rsidP="00706303"/>
    <w:p w:rsidR="00706303" w:rsidRDefault="00706303" w:rsidP="00706303">
      <w:pPr>
        <w:pStyle w:val="Heading4"/>
      </w:pPr>
      <w:r>
        <w:t xml:space="preserve">It’s </w:t>
      </w:r>
      <w:r>
        <w:rPr>
          <w:u w:val="single"/>
        </w:rPr>
        <w:t>standard</w:t>
      </w:r>
      <w:r>
        <w:t xml:space="preserve"> in </w:t>
      </w:r>
      <w:r>
        <w:rPr>
          <w:u w:val="single"/>
        </w:rPr>
        <w:t>trademark registration</w:t>
      </w:r>
      <w:r>
        <w:t xml:space="preserve"> cases. Reject </w:t>
      </w:r>
      <w:proofErr w:type="spellStart"/>
      <w:r>
        <w:t>ev</w:t>
      </w:r>
      <w:proofErr w:type="spellEnd"/>
      <w:r>
        <w:t xml:space="preserve"> </w:t>
      </w:r>
      <w:r w:rsidRPr="000E5CC1">
        <w:rPr>
          <w:b w:val="0"/>
          <w:bCs/>
        </w:rPr>
        <w:t>(like their 2015 solvency advocate</w:t>
      </w:r>
      <w:r>
        <w:rPr>
          <w:b w:val="0"/>
          <w:bCs/>
        </w:rPr>
        <w:t xml:space="preserve"> </w:t>
      </w:r>
      <w:r>
        <w:rPr>
          <w:rFonts w:ascii="Segoe UI Emoji" w:hAnsi="Segoe UI Emoji" w:cs="Segoe UI Emoji"/>
          <w:b w:val="0"/>
          <w:bCs/>
        </w:rPr>
        <w:t>👀</w:t>
      </w:r>
      <w:r w:rsidRPr="000E5CC1">
        <w:rPr>
          <w:b w:val="0"/>
          <w:bCs/>
        </w:rPr>
        <w:t>)</w:t>
      </w:r>
      <w:r>
        <w:t xml:space="preserve"> </w:t>
      </w:r>
      <w:r>
        <w:rPr>
          <w:u w:val="single"/>
        </w:rPr>
        <w:t>before</w:t>
      </w:r>
      <w:r>
        <w:t xml:space="preserve"> late 2016.</w:t>
      </w:r>
    </w:p>
    <w:p w:rsidR="00706303" w:rsidRDefault="00706303" w:rsidP="00706303">
      <w:pPr>
        <w:pStyle w:val="ListParagraph"/>
        <w:numPr>
          <w:ilvl w:val="0"/>
          <w:numId w:val="46"/>
        </w:numPr>
      </w:pPr>
      <w:r>
        <w:t>Lines from the AFF explanation section are illuminating here (my emphasis):</w:t>
      </w:r>
    </w:p>
    <w:p w:rsidR="00706303" w:rsidRDefault="00706303" w:rsidP="00706303">
      <w:pPr>
        <w:pStyle w:val="ListParagraph"/>
        <w:numPr>
          <w:ilvl w:val="1"/>
          <w:numId w:val="46"/>
        </w:numPr>
      </w:pPr>
      <w:r>
        <w:t xml:space="preserve">“This means that even if a business is only having a few sales, debatably meeting the new “minimal use” requirement, if they are investing heavily in advertising and putting sincere efforts to raise their sales, then </w:t>
      </w:r>
      <w:r w:rsidRPr="007C1F64">
        <w:rPr>
          <w:rStyle w:val="Emphasis"/>
        </w:rPr>
        <w:t>they maintain the trademark</w:t>
      </w:r>
      <w:r>
        <w:t>.”</w:t>
      </w:r>
    </w:p>
    <w:p w:rsidR="00706303" w:rsidRDefault="00706303" w:rsidP="00706303">
      <w:pPr>
        <w:pStyle w:val="ListParagraph"/>
        <w:numPr>
          <w:ilvl w:val="2"/>
          <w:numId w:val="46"/>
        </w:numPr>
      </w:pPr>
      <w:r>
        <w:t>Maintenance is solved—CFFC vs Adidas below</w:t>
      </w:r>
    </w:p>
    <w:p w:rsidR="00706303" w:rsidRDefault="00706303" w:rsidP="00706303">
      <w:pPr>
        <w:pStyle w:val="ListParagraph"/>
        <w:numPr>
          <w:ilvl w:val="1"/>
          <w:numId w:val="46"/>
        </w:numPr>
      </w:pPr>
      <w:r>
        <w:t xml:space="preserve">“Thus, when the AFF implements their de minimis requirement, it means that businesses do not have to sell the currently required large </w:t>
      </w:r>
      <w:proofErr w:type="gramStart"/>
      <w:r>
        <w:t>amount</w:t>
      </w:r>
      <w:proofErr w:type="gramEnd"/>
      <w:r>
        <w:t xml:space="preserve"> of sales to qualify their trademark, but rather need to only meet a minimal, small amount of sales to </w:t>
      </w:r>
      <w:r w:rsidRPr="007569AF">
        <w:rPr>
          <w:rStyle w:val="Emphasis"/>
        </w:rPr>
        <w:t>keep</w:t>
      </w:r>
      <w:r>
        <w:t xml:space="preserve"> the mark”</w:t>
      </w:r>
    </w:p>
    <w:p w:rsidR="00706303" w:rsidRPr="00B3276E" w:rsidRDefault="00706303" w:rsidP="00706303">
      <w:pPr>
        <w:pStyle w:val="ListParagraph"/>
        <w:numPr>
          <w:ilvl w:val="2"/>
          <w:numId w:val="46"/>
        </w:numPr>
      </w:pPr>
      <w:r>
        <w:t xml:space="preserve">See: “de minimis use…prior to filing…was not a failure to use the registered mark in commerce” below; it’s about </w:t>
      </w:r>
      <w:r>
        <w:rPr>
          <w:u w:val="single"/>
        </w:rPr>
        <w:t>keeping</w:t>
      </w:r>
      <w:r>
        <w:t xml:space="preserve"> the mark.</w:t>
      </w:r>
    </w:p>
    <w:p w:rsidR="00706303" w:rsidRPr="001A441D" w:rsidRDefault="00706303" w:rsidP="00706303">
      <w:r w:rsidRPr="00471A3B">
        <w:rPr>
          <w:rStyle w:val="Style13ptBold"/>
        </w:rPr>
        <w:t>Emery 16</w:t>
      </w:r>
      <w:r>
        <w:t xml:space="preserve"> </w:t>
      </w:r>
      <w:r w:rsidRPr="001A441D">
        <w:t>(</w:t>
      </w:r>
      <w:r>
        <w:t>McDermott Will &amp; Emery, one of the highest-grossing international law firms in the world</w:t>
      </w:r>
      <w:r w:rsidRPr="001A441D">
        <w:t xml:space="preserve">; "Satisfaction of Lanham Act Use “in Commerce” Requirement Does Not Require Much", </w:t>
      </w:r>
      <w:r>
        <w:t>12-29</w:t>
      </w:r>
      <w:r w:rsidRPr="001A441D">
        <w:t>-</w:t>
      </w:r>
      <w:r>
        <w:t>2016</w:t>
      </w:r>
      <w:r w:rsidRPr="001A441D">
        <w:t xml:space="preserve">, </w:t>
      </w:r>
      <w:r>
        <w:t>Nat Law Review</w:t>
      </w:r>
      <w:r w:rsidRPr="001A441D">
        <w:t xml:space="preserve">, https://natlawreview.com/article/satisfaction-lanham-act-use-commerce-requirement-does-not-require-much, DOA: </w:t>
      </w:r>
      <w:r>
        <w:t>7-19-</w:t>
      </w:r>
      <w:r w:rsidRPr="001A441D">
        <w:t>2024)//ATJ</w:t>
      </w:r>
    </w:p>
    <w:p w:rsidR="00706303" w:rsidRPr="00037B89" w:rsidRDefault="00706303" w:rsidP="00706303">
      <w:pPr>
        <w:rPr>
          <w:sz w:val="16"/>
        </w:rPr>
      </w:pPr>
      <w:r w:rsidRPr="00597652">
        <w:rPr>
          <w:rStyle w:val="StyleUnderline"/>
          <w:highlight w:val="cyan"/>
        </w:rPr>
        <w:t>In a decision addressing the</w:t>
      </w:r>
      <w:r w:rsidRPr="003A2C0D">
        <w:rPr>
          <w:rStyle w:val="StyleUnderline"/>
        </w:rPr>
        <w:t xml:space="preserve"> use </w:t>
      </w:r>
      <w:r w:rsidRPr="00597652">
        <w:rPr>
          <w:rStyle w:val="StyleUnderline"/>
          <w:highlight w:val="cyan"/>
        </w:rPr>
        <w:t>“</w:t>
      </w:r>
      <w:r w:rsidRPr="00597652">
        <w:rPr>
          <w:rStyle w:val="Emphasis"/>
          <w:highlight w:val="cyan"/>
        </w:rPr>
        <w:t>in commerce</w:t>
      </w:r>
      <w:r w:rsidRPr="00597652">
        <w:rPr>
          <w:rStyle w:val="StyleUnderline"/>
          <w:highlight w:val="cyan"/>
        </w:rPr>
        <w:t>”</w:t>
      </w:r>
      <w:r w:rsidRPr="003A2C0D">
        <w:rPr>
          <w:rStyle w:val="StyleUnderline"/>
        </w:rPr>
        <w:t xml:space="preserve"> </w:t>
      </w:r>
      <w:r w:rsidRPr="00597652">
        <w:rPr>
          <w:rStyle w:val="StyleUnderline"/>
          <w:highlight w:val="cyan"/>
        </w:rPr>
        <w:t>requirement under</w:t>
      </w:r>
      <w:r w:rsidRPr="003A2C0D">
        <w:rPr>
          <w:rStyle w:val="StyleUnderline"/>
        </w:rPr>
        <w:t xml:space="preserve"> the </w:t>
      </w:r>
      <w:r w:rsidRPr="00597652">
        <w:rPr>
          <w:rStyle w:val="Emphasis"/>
          <w:highlight w:val="cyan"/>
        </w:rPr>
        <w:t>Lanham</w:t>
      </w:r>
      <w:r w:rsidRPr="003A2C0D">
        <w:rPr>
          <w:rStyle w:val="StyleUnderline"/>
        </w:rPr>
        <w:t xml:space="preserve"> Act</w:t>
      </w:r>
      <w:r w:rsidRPr="00597652">
        <w:rPr>
          <w:rStyle w:val="StyleUnderline"/>
          <w:highlight w:val="cyan"/>
        </w:rPr>
        <w:t>,</w:t>
      </w:r>
      <w:r w:rsidRPr="003A2C0D">
        <w:rPr>
          <w:rStyle w:val="StyleUnderline"/>
        </w:rPr>
        <w:t xml:space="preserve"> </w:t>
      </w:r>
      <w:r w:rsidRPr="00597652">
        <w:rPr>
          <w:rStyle w:val="StyleUnderline"/>
          <w:highlight w:val="cyan"/>
        </w:rPr>
        <w:t>the</w:t>
      </w:r>
      <w:r w:rsidRPr="003A2C0D">
        <w:rPr>
          <w:rStyle w:val="StyleUnderline"/>
        </w:rPr>
        <w:t xml:space="preserve"> US </w:t>
      </w:r>
      <w:r w:rsidRPr="00597652">
        <w:rPr>
          <w:rStyle w:val="Emphasis"/>
          <w:highlight w:val="cyan"/>
        </w:rPr>
        <w:t>Court of Appeals</w:t>
      </w:r>
      <w:r w:rsidRPr="003A2C0D">
        <w:rPr>
          <w:rStyle w:val="StyleUnderline"/>
        </w:rPr>
        <w:t xml:space="preserve"> for the Federal Circuit </w:t>
      </w:r>
      <w:r w:rsidRPr="00597652">
        <w:rPr>
          <w:rStyle w:val="StyleUnderline"/>
          <w:highlight w:val="cyan"/>
        </w:rPr>
        <w:t>reversed</w:t>
      </w:r>
      <w:r w:rsidRPr="003A2C0D">
        <w:rPr>
          <w:rStyle w:val="StyleUnderline"/>
        </w:rPr>
        <w:t xml:space="preserve"> and remanded </w:t>
      </w:r>
      <w:r w:rsidRPr="00597652">
        <w:rPr>
          <w:rStyle w:val="StyleUnderline"/>
          <w:highlight w:val="cyan"/>
        </w:rPr>
        <w:t>a</w:t>
      </w:r>
      <w:r w:rsidRPr="00037B89">
        <w:rPr>
          <w:sz w:val="16"/>
        </w:rPr>
        <w:t xml:space="preserve"> Trademark Trial and Appeal Board (</w:t>
      </w:r>
      <w:r w:rsidRPr="00597652">
        <w:rPr>
          <w:rStyle w:val="Emphasis"/>
          <w:highlight w:val="cyan"/>
        </w:rPr>
        <w:t>TTAB</w:t>
      </w:r>
      <w:r w:rsidRPr="00037B89">
        <w:rPr>
          <w:sz w:val="16"/>
        </w:rPr>
        <w:t xml:space="preserve">) </w:t>
      </w:r>
      <w:r w:rsidRPr="00597652">
        <w:rPr>
          <w:rStyle w:val="StyleUnderline"/>
          <w:highlight w:val="cyan"/>
        </w:rPr>
        <w:t>decision</w:t>
      </w:r>
      <w:r w:rsidRPr="003A2C0D">
        <w:rPr>
          <w:rStyle w:val="StyleUnderline"/>
        </w:rPr>
        <w:t xml:space="preserve"> </w:t>
      </w:r>
      <w:r w:rsidRPr="00597652">
        <w:rPr>
          <w:rStyle w:val="StyleUnderline"/>
          <w:highlight w:val="cyan"/>
        </w:rPr>
        <w:t xml:space="preserve">cancelling a trademark </w:t>
      </w:r>
      <w:r w:rsidRPr="00597652">
        <w:rPr>
          <w:rStyle w:val="Emphasis"/>
          <w:highlight w:val="cyan"/>
        </w:rPr>
        <w:t>registration</w:t>
      </w:r>
      <w:r w:rsidRPr="00597652">
        <w:rPr>
          <w:rStyle w:val="StyleUnderline"/>
          <w:highlight w:val="cyan"/>
        </w:rPr>
        <w:t>,</w:t>
      </w:r>
      <w:r w:rsidRPr="00037B89">
        <w:rPr>
          <w:sz w:val="16"/>
        </w:rPr>
        <w:t xml:space="preserve"> </w:t>
      </w:r>
      <w:r w:rsidRPr="00597652">
        <w:rPr>
          <w:rStyle w:val="StyleUnderline"/>
          <w:highlight w:val="cyan"/>
        </w:rPr>
        <w:t>explaining that the registrant’s</w:t>
      </w:r>
      <w:r w:rsidRPr="003A2C0D">
        <w:rPr>
          <w:rStyle w:val="StyleUnderline"/>
        </w:rPr>
        <w:t xml:space="preserve"> </w:t>
      </w:r>
      <w:r w:rsidRPr="00597652">
        <w:rPr>
          <w:rStyle w:val="Emphasis"/>
          <w:highlight w:val="cyan"/>
        </w:rPr>
        <w:t>de minimis use</w:t>
      </w:r>
      <w:r w:rsidRPr="003A2C0D">
        <w:rPr>
          <w:rStyle w:val="StyleUnderline"/>
        </w:rPr>
        <w:t xml:space="preserve"> of the trademark in commerce </w:t>
      </w:r>
      <w:r w:rsidRPr="00597652">
        <w:rPr>
          <w:rStyle w:val="Emphasis"/>
          <w:highlight w:val="cyan"/>
        </w:rPr>
        <w:t>prior to filing</w:t>
      </w:r>
      <w:r w:rsidRPr="003A2C0D">
        <w:rPr>
          <w:rStyle w:val="StyleUnderline"/>
        </w:rPr>
        <w:t xml:space="preserve"> its use-based trademark applications </w:t>
      </w:r>
      <w:r w:rsidRPr="00597652">
        <w:rPr>
          <w:rStyle w:val="Emphasis"/>
          <w:highlight w:val="cyan"/>
        </w:rPr>
        <w:t>was not a failure</w:t>
      </w:r>
      <w:r w:rsidRPr="00597652">
        <w:rPr>
          <w:rStyle w:val="StyleUnderline"/>
          <w:highlight w:val="cyan"/>
        </w:rPr>
        <w:t xml:space="preserve"> to use the</w:t>
      </w:r>
      <w:r w:rsidRPr="003A2C0D">
        <w:rPr>
          <w:rStyle w:val="StyleUnderline"/>
        </w:rPr>
        <w:t xml:space="preserve"> registered </w:t>
      </w:r>
      <w:r w:rsidRPr="00597652">
        <w:rPr>
          <w:rStyle w:val="StyleUnderline"/>
          <w:highlight w:val="cyan"/>
        </w:rPr>
        <w:t xml:space="preserve">mark </w:t>
      </w:r>
      <w:r w:rsidRPr="00597652">
        <w:rPr>
          <w:rStyle w:val="Emphasis"/>
          <w:highlight w:val="cyan"/>
        </w:rPr>
        <w:t>in commerce</w:t>
      </w:r>
      <w:r w:rsidRPr="003A2C0D">
        <w:rPr>
          <w:rStyle w:val="StyleUnderline"/>
        </w:rPr>
        <w:t>.</w:t>
      </w:r>
      <w:r w:rsidRPr="00037B89">
        <w:rPr>
          <w:sz w:val="16"/>
        </w:rPr>
        <w:t xml:space="preserve"> </w:t>
      </w:r>
      <w:r w:rsidRPr="003A2C0D">
        <w:rPr>
          <w:rStyle w:val="Emphasis"/>
        </w:rPr>
        <w:t>Christian Faith Fellowship Church v. Adidas AG</w:t>
      </w:r>
      <w:r w:rsidRPr="00037B89">
        <w:rPr>
          <w:sz w:val="16"/>
        </w:rPr>
        <w:t xml:space="preserve">, Case No. 16-1296 (Fed. Cir., </w:t>
      </w:r>
      <w:r w:rsidRPr="003A2C0D">
        <w:rPr>
          <w:rStyle w:val="StyleUnderline"/>
        </w:rPr>
        <w:t>Nov. 14, 2016</w:t>
      </w:r>
      <w:r w:rsidRPr="00037B89">
        <w:rPr>
          <w:sz w:val="16"/>
        </w:rPr>
        <w:t>) (Stoll, J).</w:t>
      </w:r>
    </w:p>
    <w:p w:rsidR="00706303" w:rsidRPr="003A2C0D" w:rsidRDefault="00706303" w:rsidP="00706303">
      <w:pPr>
        <w:rPr>
          <w:rStyle w:val="StyleUnderline"/>
        </w:rPr>
      </w:pPr>
      <w:r w:rsidRPr="003A2C0D">
        <w:rPr>
          <w:rStyle w:val="StyleUnderline"/>
        </w:rPr>
        <w:t xml:space="preserve">In March 2005, </w:t>
      </w:r>
      <w:r w:rsidRPr="00037B89">
        <w:rPr>
          <w:sz w:val="16"/>
        </w:rPr>
        <w:t>Christian Faith Fellowship Church (</w:t>
      </w:r>
      <w:r w:rsidRPr="003A2C0D">
        <w:rPr>
          <w:rStyle w:val="Emphasis"/>
        </w:rPr>
        <w:t>CFFC</w:t>
      </w:r>
      <w:r w:rsidRPr="00037B89">
        <w:rPr>
          <w:sz w:val="16"/>
        </w:rPr>
        <w:t xml:space="preserve">) </w:t>
      </w:r>
      <w:r w:rsidRPr="003A2C0D">
        <w:rPr>
          <w:rStyle w:val="StyleUnderline"/>
        </w:rPr>
        <w:t>filed two use-based applications for the mark ADD A ZERO</w:t>
      </w:r>
      <w:r w:rsidRPr="00037B89">
        <w:rPr>
          <w:sz w:val="16"/>
        </w:rPr>
        <w:t xml:space="preserve"> (standard characters and stylized) </w:t>
      </w:r>
      <w:r w:rsidRPr="003A2C0D">
        <w:rPr>
          <w:rStyle w:val="StyleUnderline"/>
        </w:rPr>
        <w:t>for certain clothing items. Four years later, adidas AG (Adidas) sought to register the trademark ADIZERO for clothing. The US</w:t>
      </w:r>
      <w:r w:rsidRPr="00037B89">
        <w:rPr>
          <w:sz w:val="16"/>
        </w:rPr>
        <w:t xml:space="preserve"> </w:t>
      </w:r>
      <w:r w:rsidRPr="003A2C0D">
        <w:rPr>
          <w:rStyle w:val="Emphasis"/>
        </w:rPr>
        <w:t>P</w:t>
      </w:r>
      <w:r w:rsidRPr="00037B89">
        <w:rPr>
          <w:sz w:val="16"/>
        </w:rPr>
        <w:t xml:space="preserve">atent and </w:t>
      </w:r>
      <w:r w:rsidRPr="003A2C0D">
        <w:rPr>
          <w:rStyle w:val="Emphasis"/>
        </w:rPr>
        <w:t>T</w:t>
      </w:r>
      <w:r w:rsidRPr="00037B89">
        <w:rPr>
          <w:sz w:val="16"/>
        </w:rPr>
        <w:t xml:space="preserve">rademark </w:t>
      </w:r>
      <w:r w:rsidRPr="003A2C0D">
        <w:rPr>
          <w:rStyle w:val="Emphasis"/>
        </w:rPr>
        <w:t>O</w:t>
      </w:r>
      <w:r w:rsidRPr="00037B89">
        <w:rPr>
          <w:sz w:val="16"/>
        </w:rPr>
        <w:t xml:space="preserve">ffice </w:t>
      </w:r>
      <w:r w:rsidRPr="003A2C0D">
        <w:rPr>
          <w:rStyle w:val="StyleUnderline"/>
        </w:rPr>
        <w:t>refused to register Adidas’s mark because of a likelihood of confusion with CFFC’s registered marks. Adidas then petitioned the TTAB to cancel CFFC’s registrations on several grounds, including that CFFC’s de minimis use constituted a failure to use the trademarks in commerce before they were registered</w:t>
      </w:r>
      <w:r w:rsidRPr="00037B89">
        <w:rPr>
          <w:sz w:val="16"/>
        </w:rPr>
        <w:t>, and that CFFC had abandoned its trademarks through non-use.</w:t>
      </w:r>
    </w:p>
    <w:p w:rsidR="00706303" w:rsidRPr="00037B89" w:rsidRDefault="00706303" w:rsidP="00706303">
      <w:pPr>
        <w:rPr>
          <w:rStyle w:val="StyleUnderline"/>
        </w:rPr>
      </w:pPr>
      <w:r w:rsidRPr="00037B89">
        <w:rPr>
          <w:rStyle w:val="StyleUnderline"/>
        </w:rPr>
        <w:t>The TTAB granted Adidas’s petition, holding that CFFC’s use of the mark only twice in interstate commerce did not satisfy the use “in commerce” clause</w:t>
      </w:r>
      <w:r w:rsidRPr="00037B89">
        <w:rPr>
          <w:sz w:val="16"/>
        </w:rPr>
        <w:t xml:space="preserve"> under the Lanham Act. The Lanham Act defines “commerce” as “all commerce which may be lawfully regulated by Congress,” meaning all commerce subject to Congress’s power under the Commerce Clause. Congress’s Commerce Clause power, in turn, includes the power to regulate interstate commerce. The Supreme Court of the United States has broadly interpreted the Commerce Clause to include not only purely interstate transactions, but also transactions that have a substantial effect on interstate commerce. </w:t>
      </w:r>
      <w:r w:rsidRPr="00037B89">
        <w:rPr>
          <w:rStyle w:val="StyleUnderline"/>
        </w:rPr>
        <w:t>CFFC appealed.</w:t>
      </w:r>
    </w:p>
    <w:p w:rsidR="00706303" w:rsidRPr="00037B89" w:rsidRDefault="00706303" w:rsidP="00706303">
      <w:pPr>
        <w:rPr>
          <w:sz w:val="16"/>
        </w:rPr>
      </w:pPr>
      <w:r w:rsidRPr="00037B89">
        <w:rPr>
          <w:rStyle w:val="StyleUnderline"/>
        </w:rPr>
        <w:t xml:space="preserve">On appeal, the Federal </w:t>
      </w:r>
      <w:r w:rsidRPr="00145D5E">
        <w:rPr>
          <w:rStyle w:val="StyleUnderline"/>
          <w:highlight w:val="cyan"/>
        </w:rPr>
        <w:t>Circuit found that the</w:t>
      </w:r>
      <w:r w:rsidRPr="00037B89">
        <w:rPr>
          <w:rStyle w:val="StyleUnderline"/>
        </w:rPr>
        <w:t xml:space="preserve"> </w:t>
      </w:r>
      <w:r w:rsidRPr="00145D5E">
        <w:rPr>
          <w:rStyle w:val="Emphasis"/>
          <w:highlight w:val="cyan"/>
        </w:rPr>
        <w:t>single sale</w:t>
      </w:r>
      <w:r w:rsidRPr="00037B89">
        <w:rPr>
          <w:rStyle w:val="StyleUnderline"/>
        </w:rPr>
        <w:t xml:space="preserve"> in interstate commerce (a sale of two hats from CFFC’s Illinois store to a Wisconsin resident) </w:t>
      </w:r>
      <w:r w:rsidRPr="00145D5E">
        <w:rPr>
          <w:rStyle w:val="StyleUnderline"/>
          <w:highlight w:val="cyan"/>
        </w:rPr>
        <w:t>constituted</w:t>
      </w:r>
      <w:r w:rsidRPr="00037B89">
        <w:rPr>
          <w:rStyle w:val="StyleUnderline"/>
        </w:rPr>
        <w:t xml:space="preserve"> </w:t>
      </w:r>
      <w:r w:rsidRPr="00145D5E">
        <w:rPr>
          <w:rStyle w:val="Emphasis"/>
          <w:highlight w:val="cyan"/>
        </w:rPr>
        <w:t>sufficient use</w:t>
      </w:r>
      <w:r w:rsidRPr="00037B89">
        <w:rPr>
          <w:rStyle w:val="Emphasis"/>
        </w:rPr>
        <w:t xml:space="preserve"> “in commerce”</w:t>
      </w:r>
      <w:r w:rsidRPr="00037B89">
        <w:rPr>
          <w:rStyle w:val="StyleUnderline"/>
        </w:rPr>
        <w:t xml:space="preserve"> </w:t>
      </w:r>
      <w:r w:rsidRPr="00145D5E">
        <w:rPr>
          <w:rStyle w:val="StyleUnderline"/>
          <w:highlight w:val="cyan"/>
        </w:rPr>
        <w:t>to support CFFC’s</w:t>
      </w:r>
      <w:r w:rsidRPr="00037B89">
        <w:rPr>
          <w:rStyle w:val="StyleUnderline"/>
        </w:rPr>
        <w:t xml:space="preserve"> use-based </w:t>
      </w:r>
      <w:r w:rsidRPr="00145D5E">
        <w:rPr>
          <w:rStyle w:val="Emphasis"/>
          <w:highlight w:val="cyan"/>
        </w:rPr>
        <w:t>trademark applications</w:t>
      </w:r>
      <w:r w:rsidRPr="00037B89">
        <w:rPr>
          <w:rStyle w:val="StyleUnderline"/>
        </w:rPr>
        <w:t>.</w:t>
      </w:r>
      <w:r w:rsidRPr="00037B89">
        <w:rPr>
          <w:sz w:val="16"/>
        </w:rPr>
        <w:t xml:space="preserve"> The Court stressed that </w:t>
      </w:r>
      <w:r w:rsidRPr="00037B89">
        <w:rPr>
          <w:rStyle w:val="StyleUnderline"/>
        </w:rPr>
        <w:t xml:space="preserve">this “transaction . . . fell comfortably within the bounds of the [Commerce Clause] powers already sketched out by the Supreme Court.” The Court </w:t>
      </w:r>
      <w:r w:rsidRPr="00145D5E">
        <w:rPr>
          <w:rStyle w:val="Emphasis"/>
          <w:highlight w:val="cyan"/>
        </w:rPr>
        <w:t>criticized</w:t>
      </w:r>
      <w:r w:rsidRPr="00037B89">
        <w:rPr>
          <w:rStyle w:val="StyleUnderline"/>
        </w:rPr>
        <w:t xml:space="preserve"> </w:t>
      </w:r>
      <w:r w:rsidRPr="00145D5E">
        <w:rPr>
          <w:rStyle w:val="StyleUnderline"/>
          <w:highlight w:val="cyan"/>
        </w:rPr>
        <w:t>the</w:t>
      </w:r>
      <w:r w:rsidRPr="00037B89">
        <w:rPr>
          <w:rStyle w:val="StyleUnderline"/>
        </w:rPr>
        <w:t xml:space="preserve"> TTAB’s </w:t>
      </w:r>
      <w:r w:rsidRPr="00145D5E">
        <w:rPr>
          <w:rStyle w:val="StyleUnderline"/>
          <w:highlight w:val="cyan"/>
        </w:rPr>
        <w:t xml:space="preserve">reasoning that the sale was </w:t>
      </w:r>
      <w:r w:rsidRPr="00145D5E">
        <w:rPr>
          <w:rStyle w:val="Emphasis"/>
          <w:highlight w:val="cyan"/>
        </w:rPr>
        <w:t>de minimis</w:t>
      </w:r>
      <w:r w:rsidRPr="00037B89">
        <w:rPr>
          <w:rStyle w:val="StyleUnderline"/>
        </w:rPr>
        <w:t xml:space="preserve"> and not sufficient to prove use “in commerce</w:t>
      </w:r>
      <w:r w:rsidRPr="00145D5E">
        <w:rPr>
          <w:rStyle w:val="StyleUnderline"/>
          <w:highlight w:val="cyan"/>
        </w:rPr>
        <w:t>,</w:t>
      </w:r>
      <w:r w:rsidRPr="00037B89">
        <w:rPr>
          <w:rStyle w:val="StyleUnderline"/>
        </w:rPr>
        <w:t xml:space="preserve">” stating that </w:t>
      </w:r>
      <w:r w:rsidRPr="00145D5E">
        <w:rPr>
          <w:rStyle w:val="StyleUnderline"/>
          <w:highlight w:val="cyan"/>
        </w:rPr>
        <w:t>such a determination ran</w:t>
      </w:r>
      <w:r w:rsidRPr="00037B89">
        <w:rPr>
          <w:rStyle w:val="StyleUnderline"/>
        </w:rPr>
        <w:t xml:space="preserve"> </w:t>
      </w:r>
      <w:r w:rsidRPr="00145D5E">
        <w:rPr>
          <w:rStyle w:val="Emphasis"/>
          <w:highlight w:val="cyan"/>
        </w:rPr>
        <w:t>counter</w:t>
      </w:r>
      <w:r w:rsidRPr="00037B89">
        <w:rPr>
          <w:rStyle w:val="StyleUnderline"/>
        </w:rPr>
        <w:t xml:space="preserve"> </w:t>
      </w:r>
      <w:r w:rsidRPr="00145D5E">
        <w:rPr>
          <w:rStyle w:val="StyleUnderline"/>
          <w:highlight w:val="cyan"/>
        </w:rPr>
        <w:t>to the</w:t>
      </w:r>
      <w:r w:rsidRPr="00037B89">
        <w:rPr>
          <w:rStyle w:val="StyleUnderline"/>
        </w:rPr>
        <w:t xml:space="preserve"> Supreme </w:t>
      </w:r>
      <w:r w:rsidRPr="00145D5E">
        <w:rPr>
          <w:rStyle w:val="StyleUnderline"/>
          <w:highlight w:val="cyan"/>
        </w:rPr>
        <w:t>Court’s prior</w:t>
      </w:r>
      <w:r w:rsidRPr="00037B89">
        <w:rPr>
          <w:rStyle w:val="StyleUnderline"/>
        </w:rPr>
        <w:t xml:space="preserve"> Commerce Clause </w:t>
      </w:r>
      <w:r w:rsidRPr="00145D5E">
        <w:rPr>
          <w:rStyle w:val="StyleUnderline"/>
          <w:highlight w:val="cyan"/>
        </w:rPr>
        <w:t>decisions</w:t>
      </w:r>
      <w:r w:rsidRPr="00145D5E">
        <w:rPr>
          <w:rStyle w:val="StyleUnderline"/>
        </w:rPr>
        <w:t xml:space="preserve">—namely, Gonzales v. Raich, which held that the “de minimis character of </w:t>
      </w:r>
      <w:r w:rsidRPr="00145D5E">
        <w:rPr>
          <w:rStyle w:val="Emphasis"/>
        </w:rPr>
        <w:t>individual instances</w:t>
      </w:r>
      <w:r w:rsidRPr="00145D5E">
        <w:rPr>
          <w:rStyle w:val="StyleUnderline"/>
        </w:rPr>
        <w:t xml:space="preserve">” subject to the Commerce Clause “is </w:t>
      </w:r>
      <w:r w:rsidRPr="00145D5E">
        <w:rPr>
          <w:rStyle w:val="Emphasis"/>
        </w:rPr>
        <w:t>of no consequence</w:t>
      </w:r>
      <w:r w:rsidRPr="00145D5E">
        <w:rPr>
          <w:rStyle w:val="StyleUnderline"/>
        </w:rPr>
        <w:t>.”</w:t>
      </w:r>
      <w:r w:rsidRPr="00145D5E">
        <w:rPr>
          <w:sz w:val="16"/>
        </w:rPr>
        <w:t xml:space="preserve"> The Court made clear that </w:t>
      </w:r>
      <w:r w:rsidRPr="00145D5E">
        <w:rPr>
          <w:rStyle w:val="StyleUnderline"/>
        </w:rPr>
        <w:t>its reasoning regarding the</w:t>
      </w:r>
      <w:r w:rsidRPr="00037B89">
        <w:rPr>
          <w:rStyle w:val="StyleUnderline"/>
        </w:rPr>
        <w:t xml:space="preserve"> </w:t>
      </w:r>
      <w:proofErr w:type="gramStart"/>
      <w:r w:rsidRPr="00037B89">
        <w:rPr>
          <w:rStyle w:val="StyleUnderline"/>
        </w:rPr>
        <w:t>in commerce</w:t>
      </w:r>
      <w:proofErr w:type="gramEnd"/>
      <w:r w:rsidRPr="00037B89">
        <w:rPr>
          <w:rStyle w:val="StyleUnderline"/>
        </w:rPr>
        <w:t xml:space="preserve"> requirement applied equally to trademarks (for goods) and service marks. </w:t>
      </w:r>
      <w:r w:rsidRPr="00E367CE">
        <w:rPr>
          <w:rStyle w:val="StyleUnderline"/>
          <w:highlight w:val="cyan"/>
        </w:rPr>
        <w:t>To the extent</w:t>
      </w:r>
      <w:r w:rsidRPr="00037B89">
        <w:rPr>
          <w:rStyle w:val="StyleUnderline"/>
        </w:rPr>
        <w:t xml:space="preserve"> that </w:t>
      </w:r>
      <w:r w:rsidRPr="00E367CE">
        <w:rPr>
          <w:rStyle w:val="Emphasis"/>
          <w:highlight w:val="cyan"/>
        </w:rPr>
        <w:t>earlier decisions</w:t>
      </w:r>
      <w:r w:rsidRPr="00037B89">
        <w:rPr>
          <w:rStyle w:val="StyleUnderline"/>
        </w:rPr>
        <w:t xml:space="preserve"> of the TTAB held that the Lanham Act </w:t>
      </w:r>
      <w:r w:rsidRPr="00E367CE">
        <w:rPr>
          <w:rStyle w:val="StyleUnderline"/>
          <w:highlight w:val="cyan"/>
        </w:rPr>
        <w:t>required</w:t>
      </w:r>
      <w:r w:rsidRPr="00037B89">
        <w:rPr>
          <w:rStyle w:val="StyleUnderline"/>
        </w:rPr>
        <w:t xml:space="preserve"> commercial </w:t>
      </w:r>
      <w:r w:rsidRPr="00E367CE">
        <w:rPr>
          <w:rStyle w:val="StyleUnderline"/>
          <w:highlight w:val="cyan"/>
        </w:rPr>
        <w:t>activity beyond what was sufficient</w:t>
      </w:r>
      <w:r w:rsidRPr="00037B89">
        <w:rPr>
          <w:rStyle w:val="StyleUnderline"/>
        </w:rPr>
        <w:t xml:space="preserve"> to be subject to Congress’s Commerce Clause power</w:t>
      </w:r>
      <w:r w:rsidRPr="00E367CE">
        <w:rPr>
          <w:rStyle w:val="StyleUnderline"/>
          <w:highlight w:val="cyan"/>
        </w:rPr>
        <w:t>,</w:t>
      </w:r>
      <w:r w:rsidRPr="00037B89">
        <w:rPr>
          <w:rStyle w:val="StyleUnderline"/>
        </w:rPr>
        <w:t xml:space="preserve"> the Court stated </w:t>
      </w:r>
      <w:r w:rsidRPr="00E367CE">
        <w:rPr>
          <w:rStyle w:val="StyleUnderline"/>
          <w:highlight w:val="cyan"/>
        </w:rPr>
        <w:t>they were “</w:t>
      </w:r>
      <w:r w:rsidRPr="00E367CE">
        <w:rPr>
          <w:rStyle w:val="Emphasis"/>
          <w:highlight w:val="cyan"/>
        </w:rPr>
        <w:t>incorrect</w:t>
      </w:r>
      <w:r w:rsidRPr="00E367CE">
        <w:rPr>
          <w:rStyle w:val="StyleUnderline"/>
          <w:highlight w:val="cyan"/>
        </w:rPr>
        <w:t>.”</w:t>
      </w:r>
      <w:r w:rsidRPr="00037B89">
        <w:rPr>
          <w:sz w:val="16"/>
        </w:rPr>
        <w:t xml:space="preserve"> “[T]he definition of commerce in the Lanham Act means exactly what the statute says, i.e., ‘all commerce which may lawfully be regulated by Congress.’” </w:t>
      </w:r>
    </w:p>
    <w:p w:rsidR="00706303" w:rsidRPr="00037B89" w:rsidRDefault="00706303" w:rsidP="00706303">
      <w:pPr>
        <w:rPr>
          <w:sz w:val="16"/>
        </w:rPr>
      </w:pPr>
      <w:r w:rsidRPr="00037B89">
        <w:rPr>
          <w:sz w:val="16"/>
        </w:rPr>
        <w:t xml:space="preserve">The Federal Circuit thus reversed the TTAB’s cancellation of CFFC’s registrations and remanded the matter to the TTAB to address Adidas’s other grounds for cancellation—namely, whether CFFC had abandoned the trademark through non-use. </w:t>
      </w:r>
    </w:p>
    <w:p w:rsidR="00706303" w:rsidRPr="00037B89" w:rsidRDefault="00706303" w:rsidP="00706303">
      <w:pPr>
        <w:rPr>
          <w:sz w:val="16"/>
        </w:rPr>
      </w:pPr>
      <w:r w:rsidRPr="00037B89">
        <w:rPr>
          <w:sz w:val="16"/>
        </w:rPr>
        <w:t xml:space="preserve">Practice Note: </w:t>
      </w:r>
      <w:r w:rsidRPr="00E367CE">
        <w:rPr>
          <w:rStyle w:val="StyleUnderline"/>
          <w:highlight w:val="cyan"/>
        </w:rPr>
        <w:t>This decision confirms</w:t>
      </w:r>
      <w:r w:rsidRPr="00037B89">
        <w:rPr>
          <w:rStyle w:val="StyleUnderline"/>
        </w:rPr>
        <w:t xml:space="preserve"> what many already believed: </w:t>
      </w:r>
      <w:r w:rsidRPr="00E367CE">
        <w:rPr>
          <w:rStyle w:val="StyleUnderline"/>
          <w:highlight w:val="cyan"/>
        </w:rPr>
        <w:t xml:space="preserve">almost </w:t>
      </w:r>
      <w:r w:rsidRPr="00E367CE">
        <w:rPr>
          <w:rStyle w:val="Emphasis"/>
          <w:highlight w:val="cyan"/>
        </w:rPr>
        <w:t>any bona fide transaction</w:t>
      </w:r>
      <w:r w:rsidRPr="00E367CE">
        <w:rPr>
          <w:rStyle w:val="StyleUnderline"/>
          <w:highlight w:val="cyan"/>
        </w:rPr>
        <w:t xml:space="preserve"> will qualify as </w:t>
      </w:r>
      <w:r w:rsidRPr="00E367CE">
        <w:rPr>
          <w:rStyle w:val="Emphasis"/>
          <w:highlight w:val="cyan"/>
        </w:rPr>
        <w:t>use in commerce</w:t>
      </w:r>
      <w:r w:rsidRPr="00E367CE">
        <w:rPr>
          <w:rStyle w:val="StyleUnderline"/>
          <w:highlight w:val="cyan"/>
        </w:rPr>
        <w:t>.</w:t>
      </w:r>
      <w:r w:rsidRPr="00E367CE">
        <w:rPr>
          <w:rStyle w:val="StyleUnderline"/>
        </w:rPr>
        <w:t xml:space="preserve"> </w:t>
      </w:r>
      <w:r w:rsidRPr="00E367CE">
        <w:rPr>
          <w:sz w:val="16"/>
        </w:rPr>
        <w:t>Trademark</w:t>
      </w:r>
      <w:r w:rsidRPr="00037B89">
        <w:rPr>
          <w:sz w:val="16"/>
        </w:rPr>
        <w:t xml:space="preserve"> owners should keep records of the use that is the basis for their use-based trademark application in the event their registrations are challenged on this ground. Once a trademark registration is secured, trademark owners must be careful to not abandon their trademark by failing to continue to make bona fide use of their mark. </w:t>
      </w:r>
    </w:p>
    <w:p w:rsidR="00706303" w:rsidRDefault="00706303" w:rsidP="00706303"/>
    <w:p w:rsidR="00706303" w:rsidRDefault="00706303" w:rsidP="00706303">
      <w:pPr>
        <w:pStyle w:val="Heading3"/>
      </w:pPr>
      <w:r>
        <w:t>1NC---SQ Solves</w:t>
      </w:r>
    </w:p>
    <w:p w:rsidR="00706303" w:rsidRPr="00B26119" w:rsidRDefault="00706303" w:rsidP="00706303">
      <w:pPr>
        <w:pStyle w:val="Heading4"/>
      </w:pPr>
      <w:r>
        <w:t>Status quo solves—</w:t>
      </w:r>
      <w:r>
        <w:rPr>
          <w:u w:val="single"/>
        </w:rPr>
        <w:t>pre-registration</w:t>
      </w:r>
      <w:r>
        <w:t xml:space="preserve"> and </w:t>
      </w:r>
      <w:r>
        <w:rPr>
          <w:u w:val="single"/>
        </w:rPr>
        <w:t>analogous use</w:t>
      </w:r>
      <w:r>
        <w:t>.</w:t>
      </w:r>
    </w:p>
    <w:p w:rsidR="00706303" w:rsidRDefault="00706303" w:rsidP="00706303">
      <w:pPr>
        <w:pStyle w:val="ListParagraph"/>
        <w:numPr>
          <w:ilvl w:val="0"/>
          <w:numId w:val="45"/>
        </w:numPr>
      </w:pPr>
      <w:r>
        <w:t xml:space="preserve">Pre-registration is about </w:t>
      </w:r>
      <w:r>
        <w:rPr>
          <w:u w:val="single"/>
        </w:rPr>
        <w:t>registered</w:t>
      </w:r>
      <w:r>
        <w:t xml:space="preserve"> trademarks (like the AFF), analogous use is about </w:t>
      </w:r>
      <w:r>
        <w:rPr>
          <w:u w:val="single"/>
        </w:rPr>
        <w:t>common law trademarks</w:t>
      </w:r>
      <w:r>
        <w:t>, but still solve.</w:t>
      </w:r>
    </w:p>
    <w:p w:rsidR="00706303" w:rsidRDefault="00706303" w:rsidP="00706303">
      <w:pPr>
        <w:pStyle w:val="ListParagraph"/>
        <w:numPr>
          <w:ilvl w:val="0"/>
          <w:numId w:val="45"/>
        </w:numPr>
      </w:pPr>
      <w:r>
        <w:t>Here’s how it solves:</w:t>
      </w:r>
    </w:p>
    <w:p w:rsidR="00706303" w:rsidRDefault="00706303" w:rsidP="00706303">
      <w:pPr>
        <w:pStyle w:val="ListParagraph"/>
        <w:numPr>
          <w:ilvl w:val="1"/>
          <w:numId w:val="45"/>
        </w:numPr>
      </w:pPr>
      <w:r>
        <w:t xml:space="preserve">Bona fide (from </w:t>
      </w:r>
      <w:proofErr w:type="spellStart"/>
      <w:r>
        <w:t>aff</w:t>
      </w:r>
      <w:proofErr w:type="spellEnd"/>
      <w:r>
        <w:t xml:space="preserve"> doc, emphasis added: “establishing that sales, so long as </w:t>
      </w:r>
      <w:r w:rsidRPr="00200AF0">
        <w:rPr>
          <w:b/>
          <w:bCs/>
          <w:u w:val="single"/>
        </w:rPr>
        <w:t>coupled with strong advertising</w:t>
      </w:r>
      <w:r>
        <w:t>, suffice for trademark”)</w:t>
      </w:r>
    </w:p>
    <w:p w:rsidR="00706303" w:rsidRDefault="00706303" w:rsidP="00706303">
      <w:pPr>
        <w:pStyle w:val="ListParagraph"/>
        <w:numPr>
          <w:ilvl w:val="2"/>
          <w:numId w:val="45"/>
        </w:numPr>
      </w:pPr>
      <w:r>
        <w:t>Analogous use in common law protects heavily advertised yet-to-be-made-trademarks.</w:t>
      </w:r>
    </w:p>
    <w:p w:rsidR="00706303" w:rsidRDefault="00706303" w:rsidP="00706303">
      <w:pPr>
        <w:pStyle w:val="ListParagraph"/>
        <w:numPr>
          <w:ilvl w:val="1"/>
          <w:numId w:val="45"/>
        </w:numPr>
      </w:pPr>
      <w:r>
        <w:t xml:space="preserve">De minimis (from </w:t>
      </w:r>
      <w:proofErr w:type="spellStart"/>
      <w:r>
        <w:t>aff</w:t>
      </w:r>
      <w:proofErr w:type="spellEnd"/>
      <w:r>
        <w:t xml:space="preserve"> doc: “establishing that minimal use still suffices for trademark protection”)</w:t>
      </w:r>
    </w:p>
    <w:p w:rsidR="00706303" w:rsidRDefault="00706303" w:rsidP="00706303">
      <w:pPr>
        <w:pStyle w:val="ListParagraph"/>
        <w:numPr>
          <w:ilvl w:val="2"/>
          <w:numId w:val="45"/>
        </w:numPr>
      </w:pPr>
      <w:r>
        <w:t xml:space="preserve">Pre-registration and analogous use </w:t>
      </w:r>
      <w:r>
        <w:rPr>
          <w:u w:val="single"/>
        </w:rPr>
        <w:t>don’t need</w:t>
      </w:r>
      <w:r>
        <w:t xml:space="preserve"> actual large utilization—just INTENT, which is proven (see: bottom of card) by even just one sale </w:t>
      </w:r>
    </w:p>
    <w:p w:rsidR="00706303" w:rsidRDefault="00706303" w:rsidP="00706303">
      <w:pPr>
        <w:pStyle w:val="ListParagraph"/>
        <w:numPr>
          <w:ilvl w:val="1"/>
          <w:numId w:val="45"/>
        </w:numPr>
      </w:pPr>
      <w:r>
        <w:t xml:space="preserve">AT: this thing (from </w:t>
      </w:r>
      <w:proofErr w:type="spellStart"/>
      <w:r>
        <w:t>aff</w:t>
      </w:r>
      <w:proofErr w:type="spellEnd"/>
      <w:r>
        <w:t xml:space="preserve"> doc: “an industry that puts out one, high-revenue sale like customs industries, now qualify”)</w:t>
      </w:r>
    </w:p>
    <w:p w:rsidR="00706303" w:rsidRDefault="00706303" w:rsidP="00706303">
      <w:pPr>
        <w:pStyle w:val="ListParagraph"/>
        <w:numPr>
          <w:ilvl w:val="2"/>
          <w:numId w:val="45"/>
        </w:numPr>
      </w:pPr>
      <w:r>
        <w:t>It’s ALREADY QUALIFIED</w:t>
      </w:r>
      <w:proofErr w:type="gramStart"/>
      <w:r>
        <w:t>—“</w:t>
      </w:r>
      <w:proofErr w:type="gramEnd"/>
      <w:r>
        <w:t>ordinary course of trade” (see bottom) VARIES from industry to industry.</w:t>
      </w:r>
    </w:p>
    <w:p w:rsidR="00706303" w:rsidRDefault="00706303" w:rsidP="00706303">
      <w:pPr>
        <w:pStyle w:val="ListParagraph"/>
        <w:numPr>
          <w:ilvl w:val="0"/>
          <w:numId w:val="45"/>
        </w:numPr>
      </w:pPr>
      <w:r>
        <w:t>AT: indict---“de minimis transportation”</w:t>
      </w:r>
    </w:p>
    <w:p w:rsidR="00706303" w:rsidRDefault="00706303" w:rsidP="00706303">
      <w:pPr>
        <w:pStyle w:val="ListParagraph"/>
        <w:numPr>
          <w:ilvl w:val="1"/>
          <w:numId w:val="45"/>
        </w:numPr>
      </w:pPr>
      <w:r>
        <w:t xml:space="preserve">Doesn’t matter, it’s about sales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706303" w:rsidRPr="00405D99" w:rsidRDefault="00706303" w:rsidP="00706303">
      <w:pPr>
        <w:pStyle w:val="ListParagraph"/>
        <w:numPr>
          <w:ilvl w:val="1"/>
          <w:numId w:val="45"/>
        </w:numPr>
      </w:pPr>
      <w:r>
        <w:t xml:space="preserve">And it’s fine if bussing a hat from </w:t>
      </w:r>
      <w:proofErr w:type="spellStart"/>
      <w:r>
        <w:t>tx</w:t>
      </w:r>
      <w:proofErr w:type="spellEnd"/>
      <w:r>
        <w:t xml:space="preserve"> to ok (without intent to sell it) is a TM—THAT’S FRAUDULENT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rsidR="00706303" w:rsidRDefault="00706303" w:rsidP="00706303">
      <w:proofErr w:type="spellStart"/>
      <w:r w:rsidRPr="00E35676">
        <w:rPr>
          <w:rStyle w:val="Style13ptBold"/>
        </w:rPr>
        <w:t>Crinnion</w:t>
      </w:r>
      <w:proofErr w:type="spellEnd"/>
      <w:r w:rsidRPr="00E35676">
        <w:rPr>
          <w:rStyle w:val="Style13ptBold"/>
        </w:rPr>
        <w:t xml:space="preserve"> 17</w:t>
      </w:r>
      <w:r>
        <w:t xml:space="preserve"> (Danielle </w:t>
      </w:r>
      <w:proofErr w:type="spellStart"/>
      <w:r>
        <w:t>Crinnion</w:t>
      </w:r>
      <w:proofErr w:type="spellEnd"/>
      <w:r>
        <w:t>, JD, Boston College Law School, legal associate with Cooley; "Get Your Own Street Cred: An Argument for Trademark Protection for Street Art", 1-31-2017, Boston College Law Review, https://core.ac.uk/download/pdf/74355748.pdf, DOA: 7-19-2024)//ATJ</w:t>
      </w:r>
    </w:p>
    <w:p w:rsidR="00706303" w:rsidRPr="00777CCB" w:rsidRDefault="00706303" w:rsidP="00706303">
      <w:pPr>
        <w:rPr>
          <w:rStyle w:val="StyleUnderline"/>
        </w:rPr>
      </w:pPr>
      <w:r w:rsidRPr="008C581B">
        <w:rPr>
          <w:sz w:val="16"/>
        </w:rPr>
        <w:t xml:space="preserve">D. </w:t>
      </w:r>
      <w:r w:rsidRPr="00777CCB">
        <w:rPr>
          <w:rStyle w:val="StyleUnderline"/>
        </w:rPr>
        <w:t xml:space="preserve">Breaking Down the </w:t>
      </w:r>
      <w:r w:rsidRPr="00263635">
        <w:rPr>
          <w:rStyle w:val="Emphasis"/>
        </w:rPr>
        <w:t>Use in Commerce</w:t>
      </w:r>
      <w:r w:rsidRPr="00777CCB">
        <w:rPr>
          <w:rStyle w:val="StyleUnderline"/>
        </w:rPr>
        <w:t xml:space="preserve"> Requirement for a Valid </w:t>
      </w:r>
      <w:r w:rsidRPr="00777CCB">
        <w:rPr>
          <w:rStyle w:val="Emphasis"/>
        </w:rPr>
        <w:t>Common Law Trademark</w:t>
      </w:r>
      <w:r w:rsidRPr="00777CCB">
        <w:rPr>
          <w:rStyle w:val="StyleUnderline"/>
        </w:rPr>
        <w:t xml:space="preserve"> Under § 43(a) of the Lanham Act</w:t>
      </w:r>
    </w:p>
    <w:p w:rsidR="00706303" w:rsidRPr="008C581B" w:rsidRDefault="00706303" w:rsidP="00706303">
      <w:pPr>
        <w:rPr>
          <w:sz w:val="16"/>
        </w:rPr>
      </w:pPr>
      <w:r w:rsidRPr="008C581B">
        <w:rPr>
          <w:sz w:val="16"/>
        </w:rPr>
        <w:t xml:space="preserve">A plaintiff must have a valid trademark to pursue an infringement claim under § 43(a) of the Lanham Act, which means, in part, that they must have used the mark in commerce. 67 </w:t>
      </w:r>
      <w:r w:rsidRPr="00EF0999">
        <w:rPr>
          <w:rStyle w:val="StyleUnderline"/>
        </w:rPr>
        <w:t>“</w:t>
      </w:r>
      <w:r w:rsidRPr="00263635">
        <w:rPr>
          <w:rStyle w:val="Emphasis"/>
          <w:highlight w:val="cyan"/>
        </w:rPr>
        <w:t>Use in commerce</w:t>
      </w:r>
      <w:r w:rsidRPr="00EF0999">
        <w:rPr>
          <w:rStyle w:val="StyleUnderline"/>
        </w:rPr>
        <w:t xml:space="preserve">” </w:t>
      </w:r>
      <w:r w:rsidRPr="00263635">
        <w:rPr>
          <w:rStyle w:val="StyleUnderline"/>
          <w:highlight w:val="cyan"/>
        </w:rPr>
        <w:t>is</w:t>
      </w:r>
      <w:r w:rsidRPr="00EF0999">
        <w:rPr>
          <w:rStyle w:val="StyleUnderline"/>
        </w:rPr>
        <w:t xml:space="preserve"> a term of art </w:t>
      </w:r>
      <w:r w:rsidRPr="00263635">
        <w:rPr>
          <w:rStyle w:val="StyleUnderline"/>
          <w:highlight w:val="cyan"/>
        </w:rPr>
        <w:t>defined</w:t>
      </w:r>
      <w:r w:rsidRPr="00EF0999">
        <w:rPr>
          <w:rStyle w:val="StyleUnderline"/>
        </w:rPr>
        <w:t xml:space="preserve"> by</w:t>
      </w:r>
      <w:r w:rsidRPr="008C581B">
        <w:rPr>
          <w:sz w:val="16"/>
        </w:rPr>
        <w:t xml:space="preserve"> § 45 of </w:t>
      </w:r>
      <w:r w:rsidRPr="00EF0999">
        <w:rPr>
          <w:rStyle w:val="StyleUnderline"/>
        </w:rPr>
        <w:t xml:space="preserve">the Lanham Act </w:t>
      </w:r>
      <w:r w:rsidRPr="00263635">
        <w:rPr>
          <w:rStyle w:val="StyleUnderline"/>
          <w:highlight w:val="cyan"/>
        </w:rPr>
        <w:t>as</w:t>
      </w:r>
      <w:r w:rsidRPr="00EF0999">
        <w:rPr>
          <w:rStyle w:val="StyleUnderline"/>
        </w:rPr>
        <w:t xml:space="preserve"> “the </w:t>
      </w:r>
      <w:r w:rsidRPr="00C9388B">
        <w:rPr>
          <w:rStyle w:val="Emphasis"/>
          <w:sz w:val="28"/>
          <w:szCs w:val="28"/>
          <w:highlight w:val="cyan"/>
        </w:rPr>
        <w:t>bona fide use</w:t>
      </w:r>
      <w:r w:rsidRPr="00C9388B">
        <w:rPr>
          <w:rStyle w:val="StyleUnderline"/>
          <w:sz w:val="28"/>
          <w:szCs w:val="28"/>
        </w:rPr>
        <w:t xml:space="preserve"> </w:t>
      </w:r>
      <w:r w:rsidRPr="00EF0999">
        <w:rPr>
          <w:rStyle w:val="StyleUnderline"/>
        </w:rPr>
        <w:t xml:space="preserve">of a mark </w:t>
      </w:r>
      <w:r w:rsidRPr="00263635">
        <w:rPr>
          <w:rStyle w:val="StyleUnderline"/>
          <w:highlight w:val="cyan"/>
        </w:rPr>
        <w:t>in</w:t>
      </w:r>
      <w:r w:rsidRPr="00EF0999">
        <w:rPr>
          <w:rStyle w:val="StyleUnderline"/>
        </w:rPr>
        <w:t xml:space="preserve"> the </w:t>
      </w:r>
      <w:r w:rsidRPr="00263635">
        <w:rPr>
          <w:rStyle w:val="Emphasis"/>
          <w:highlight w:val="cyan"/>
        </w:rPr>
        <w:t>ordinary course of trade</w:t>
      </w:r>
      <w:r w:rsidRPr="00EF0999">
        <w:rPr>
          <w:rStyle w:val="StyleUnderline"/>
        </w:rPr>
        <w:t>.”</w:t>
      </w:r>
      <w:r w:rsidRPr="008C581B">
        <w:rPr>
          <w:sz w:val="16"/>
        </w:rPr>
        <w:t xml:space="preserve">68 This Section will explore the subtleties of this requirement in more detail by breaking down the definitions of “commerce,” “use,” and “ordinary course of trade.”69 </w:t>
      </w:r>
    </w:p>
    <w:p w:rsidR="00706303" w:rsidRPr="008C581B" w:rsidRDefault="00706303" w:rsidP="00706303">
      <w:pPr>
        <w:rPr>
          <w:sz w:val="16"/>
        </w:rPr>
      </w:pPr>
      <w:r w:rsidRPr="008C581B">
        <w:rPr>
          <w:sz w:val="16"/>
        </w:rPr>
        <w:t xml:space="preserve">“Commerce” under the Lanham Act refers to the activities that can be regulated under the Commerce Clause.70 Congress intended the Lanham Act to extend to the outer limits of congressional authority under the Commerce Clause.71 “Use” is not strictly reserved to sales, but instead, use is established through the sale or transportation of goods or services.72 Not all transportation, however, qualifies as use.73 De minimis transportation will not qualify, nor will private, internal shipments.74 A good that is transported merely to acquaintances or displayed at a venue with limited attendance confined to a specialized group is not sufficient to qualify as use.75 </w:t>
      </w:r>
    </w:p>
    <w:p w:rsidR="00706303" w:rsidRPr="008C581B" w:rsidRDefault="00706303" w:rsidP="00706303">
      <w:pPr>
        <w:rPr>
          <w:sz w:val="16"/>
        </w:rPr>
      </w:pPr>
      <w:r w:rsidRPr="00561AF3">
        <w:rPr>
          <w:rStyle w:val="StyleUnderline"/>
        </w:rPr>
        <w:t>In § 45 of the Lanham Act, Congress specified that use must be made in the “ordinary course of trade, and not made merely to reserve a right in a mark” for future use.76</w:t>
      </w:r>
      <w:r w:rsidRPr="008C581B">
        <w:rPr>
          <w:sz w:val="16"/>
        </w:rPr>
        <w:t xml:space="preserve"> </w:t>
      </w:r>
      <w:r w:rsidRPr="00C634C5">
        <w:rPr>
          <w:rStyle w:val="Emphasis"/>
        </w:rPr>
        <w:t>[FOOTNOTE 76 BEGINS]</w:t>
      </w:r>
      <w:r w:rsidRPr="008C581B">
        <w:rPr>
          <w:sz w:val="16"/>
        </w:rPr>
        <w:t xml:space="preserve"> 76 Lanham Act § 45 (defining “use in commerce” as “the bona fide use of a mark in the ordinary course of trade”). </w:t>
      </w:r>
      <w:r w:rsidRPr="00263635">
        <w:rPr>
          <w:rStyle w:val="StyleUnderline"/>
        </w:rPr>
        <w:t>Congress amended the definition of “use in commerce”</w:t>
      </w:r>
      <w:r w:rsidRPr="008C581B">
        <w:rPr>
          <w:sz w:val="16"/>
        </w:rPr>
        <w:t xml:space="preserve"> in 1988 </w:t>
      </w:r>
      <w:r w:rsidRPr="00263635">
        <w:rPr>
          <w:rStyle w:val="StyleUnderline"/>
        </w:rPr>
        <w:t>to address the issue of “token use.”</w:t>
      </w:r>
      <w:r w:rsidRPr="008C581B">
        <w:rPr>
          <w:sz w:val="16"/>
        </w:rPr>
        <w:t xml:space="preserve"> GINSBURG, supra note 62, at 137; see McDowall, supra note 68, at 231–32 (discussing the implications of the 1988 amendment). Token use is when a company makes bogus use of a mark in order to establish first use and ensure trademark protection. GINSBURG, supra note 62, at 137 (explaining token use). It is also referred to as warehousing a mark. See Planetary Motion, 261 F.3d at 1198 (using the term “warehouse”). </w:t>
      </w:r>
      <w:r w:rsidRPr="00263635">
        <w:rPr>
          <w:rStyle w:val="StyleUnderline"/>
        </w:rPr>
        <w:t xml:space="preserve">Token use established use under the Lanham Act until 1988 when Congress adopted a </w:t>
      </w:r>
      <w:r w:rsidRPr="00263635">
        <w:rPr>
          <w:rStyle w:val="Emphasis"/>
        </w:rPr>
        <w:t>stricter “bona fide use” standard</w:t>
      </w:r>
      <w:r w:rsidRPr="00263635">
        <w:rPr>
          <w:rStyle w:val="StyleUnderline"/>
        </w:rPr>
        <w:t>.</w:t>
      </w:r>
      <w:r w:rsidRPr="008C581B">
        <w:rPr>
          <w:sz w:val="16"/>
        </w:rPr>
        <w:t xml:space="preserve"> </w:t>
      </w:r>
      <w:r w:rsidRPr="00263635">
        <w:rPr>
          <w:rStyle w:val="Emphasis"/>
        </w:rPr>
        <w:t>McDowall</w:t>
      </w:r>
      <w:r w:rsidRPr="008C581B">
        <w:rPr>
          <w:sz w:val="16"/>
        </w:rPr>
        <w:t xml:space="preserve">, supra note 68, at 231–32. </w:t>
      </w:r>
      <w:r w:rsidRPr="00263635">
        <w:rPr>
          <w:rStyle w:val="StyleUnderline"/>
        </w:rPr>
        <w:t>This hurt businesses that underwent periods of lengthy and costly product development prior to the introduction of products to the market.</w:t>
      </w:r>
      <w:r w:rsidRPr="008C581B">
        <w:rPr>
          <w:sz w:val="16"/>
        </w:rPr>
        <w:t xml:space="preserve"> GINSBURG, supra note 62, at 137. </w:t>
      </w:r>
      <w:r w:rsidRPr="00263635">
        <w:rPr>
          <w:rStyle w:val="StyleUnderline"/>
        </w:rPr>
        <w:t>To address this issue</w:t>
      </w:r>
      <w:r w:rsidRPr="006049D2">
        <w:rPr>
          <w:rStyle w:val="StyleUnderline"/>
          <w:highlight w:val="cyan"/>
        </w:rPr>
        <w:t>, Congress allowed for</w:t>
      </w:r>
      <w:r w:rsidRPr="00263635">
        <w:rPr>
          <w:rStyle w:val="StyleUnderline"/>
        </w:rPr>
        <w:t xml:space="preserve"> the </w:t>
      </w:r>
      <w:r w:rsidRPr="006049D2">
        <w:rPr>
          <w:rStyle w:val="Emphasis"/>
          <w:highlight w:val="cyan"/>
        </w:rPr>
        <w:t>pre-registration of trademarks</w:t>
      </w:r>
      <w:r w:rsidRPr="006049D2">
        <w:rPr>
          <w:rStyle w:val="StyleUnderline"/>
        </w:rPr>
        <w:t xml:space="preserve"> in anticipation of use.</w:t>
      </w:r>
      <w:r w:rsidRPr="008C581B">
        <w:rPr>
          <w:sz w:val="16"/>
        </w:rPr>
        <w:t xml:space="preserve"> Id. </w:t>
      </w:r>
      <w:r w:rsidRPr="00263635">
        <w:rPr>
          <w:rStyle w:val="StyleUnderline"/>
        </w:rPr>
        <w:t xml:space="preserve">A registrant </w:t>
      </w:r>
      <w:r w:rsidRPr="006049D2">
        <w:rPr>
          <w:rStyle w:val="StyleUnderline"/>
          <w:highlight w:val="cyan"/>
        </w:rPr>
        <w:t xml:space="preserve">must </w:t>
      </w:r>
      <w:r w:rsidRPr="006049D2">
        <w:rPr>
          <w:rStyle w:val="Emphasis"/>
          <w:highlight w:val="cyan"/>
        </w:rPr>
        <w:t>intend to use</w:t>
      </w:r>
      <w:r w:rsidRPr="006049D2">
        <w:rPr>
          <w:rStyle w:val="StyleUnderline"/>
          <w:highlight w:val="cyan"/>
        </w:rPr>
        <w:t xml:space="preserve"> the mark</w:t>
      </w:r>
      <w:r w:rsidRPr="00263635">
        <w:rPr>
          <w:rStyle w:val="StyleUnderline"/>
        </w:rPr>
        <w:t xml:space="preserve"> within a specified timeframe in order </w:t>
      </w:r>
      <w:r w:rsidRPr="006049D2">
        <w:rPr>
          <w:rStyle w:val="StyleUnderline"/>
          <w:highlight w:val="cyan"/>
        </w:rPr>
        <w:t>to qualify</w:t>
      </w:r>
      <w:r w:rsidRPr="00263635">
        <w:rPr>
          <w:rStyle w:val="StyleUnderline"/>
        </w:rPr>
        <w:t xml:space="preserve"> for federal registration.</w:t>
      </w:r>
      <w:r w:rsidRPr="008C581B">
        <w:rPr>
          <w:sz w:val="16"/>
        </w:rPr>
        <w:t xml:space="preserve"> RESTATEMENT (THIRD) OF UNFAIR COMPETITION § 18 (AM.LAW INST. 2015</w:t>
      </w:r>
      <w:proofErr w:type="gramStart"/>
      <w:r w:rsidRPr="008C581B">
        <w:rPr>
          <w:sz w:val="16"/>
        </w:rPr>
        <w:t>).</w:t>
      </w:r>
      <w:r w:rsidRPr="006049D2">
        <w:rPr>
          <w:rStyle w:val="Emphasis"/>
          <w:highlight w:val="cyan"/>
        </w:rPr>
        <w:t>Common</w:t>
      </w:r>
      <w:proofErr w:type="gramEnd"/>
      <w:r w:rsidRPr="006049D2">
        <w:rPr>
          <w:rStyle w:val="Emphasis"/>
          <w:highlight w:val="cyan"/>
        </w:rPr>
        <w:t xml:space="preserve"> law</w:t>
      </w:r>
      <w:r w:rsidRPr="00263635">
        <w:rPr>
          <w:rStyle w:val="StyleUnderline"/>
        </w:rPr>
        <w:t xml:space="preserve"> protection is more rigorous and does not include a provision to protect intent to use.</w:t>
      </w:r>
      <w:r w:rsidRPr="008C581B">
        <w:rPr>
          <w:sz w:val="16"/>
        </w:rPr>
        <w:t xml:space="preserve"> Id. Th</w:t>
      </w:r>
      <w:r w:rsidRPr="00263635">
        <w:rPr>
          <w:rStyle w:val="StyleUnderline"/>
        </w:rPr>
        <w:t xml:space="preserve">e courts have, however, </w:t>
      </w:r>
      <w:r w:rsidRPr="006049D2">
        <w:rPr>
          <w:rStyle w:val="StyleUnderline"/>
          <w:highlight w:val="cyan"/>
        </w:rPr>
        <w:t>recognized “</w:t>
      </w:r>
      <w:r w:rsidRPr="006049D2">
        <w:rPr>
          <w:rStyle w:val="Emphasis"/>
          <w:highlight w:val="cyan"/>
        </w:rPr>
        <w:t>analogous use</w:t>
      </w:r>
      <w:r w:rsidRPr="006049D2">
        <w:rPr>
          <w:rStyle w:val="StyleUnderline"/>
        </w:rPr>
        <w:t>.</w:t>
      </w:r>
      <w:r w:rsidRPr="006049D2">
        <w:rPr>
          <w:rStyle w:val="StyleUnderline"/>
          <w:highlight w:val="cyan"/>
        </w:rPr>
        <w:t>”</w:t>
      </w:r>
      <w:r w:rsidRPr="00263635">
        <w:rPr>
          <w:rStyle w:val="StyleUnderline"/>
        </w:rPr>
        <w:t xml:space="preserve"> </w:t>
      </w:r>
      <w:r w:rsidRPr="008C581B">
        <w:rPr>
          <w:sz w:val="16"/>
        </w:rPr>
        <w:t xml:space="preserve">GINSBURG, supra note 62, at 149. </w:t>
      </w:r>
      <w:r w:rsidRPr="00263635">
        <w:rPr>
          <w:rStyle w:val="Emphasis"/>
        </w:rPr>
        <w:t>Analogous use</w:t>
      </w:r>
      <w:r w:rsidRPr="00263635">
        <w:rPr>
          <w:rStyle w:val="StyleUnderline"/>
        </w:rPr>
        <w:t xml:space="preserve"> </w:t>
      </w:r>
      <w:r w:rsidRPr="006049D2">
        <w:rPr>
          <w:rStyle w:val="StyleUnderline"/>
          <w:highlight w:val="cyan"/>
        </w:rPr>
        <w:t xml:space="preserve">protects marks that have </w:t>
      </w:r>
      <w:r w:rsidRPr="006049D2">
        <w:rPr>
          <w:rStyle w:val="Emphasis"/>
          <w:highlight w:val="cyan"/>
        </w:rPr>
        <w:t>yet to enter commerce</w:t>
      </w:r>
      <w:r w:rsidRPr="006049D2">
        <w:rPr>
          <w:rStyle w:val="StyleUnderline"/>
          <w:highlight w:val="cyan"/>
        </w:rPr>
        <w:t>, but still have</w:t>
      </w:r>
      <w:r w:rsidRPr="00263635">
        <w:rPr>
          <w:rStyle w:val="StyleUnderline"/>
        </w:rPr>
        <w:t xml:space="preserve"> established </w:t>
      </w:r>
      <w:r w:rsidRPr="006049D2">
        <w:rPr>
          <w:rStyle w:val="Emphasis"/>
          <w:highlight w:val="cyan"/>
        </w:rPr>
        <w:t>source association</w:t>
      </w:r>
      <w:r w:rsidRPr="006049D2">
        <w:rPr>
          <w:rStyle w:val="StyleUnderline"/>
          <w:highlight w:val="cyan"/>
        </w:rPr>
        <w:t>,</w:t>
      </w:r>
      <w:r w:rsidRPr="00263635">
        <w:rPr>
          <w:rStyle w:val="StyleUnderline"/>
        </w:rPr>
        <w:t xml:space="preserve"> </w:t>
      </w:r>
      <w:r w:rsidRPr="00263635">
        <w:rPr>
          <w:rStyle w:val="Emphasis"/>
          <w:sz w:val="28"/>
          <w:szCs w:val="28"/>
        </w:rPr>
        <w:t xml:space="preserve">such as </w:t>
      </w:r>
      <w:r w:rsidRPr="006049D2">
        <w:rPr>
          <w:rStyle w:val="Emphasis"/>
          <w:sz w:val="28"/>
          <w:szCs w:val="28"/>
          <w:highlight w:val="cyan"/>
        </w:rPr>
        <w:t>through advertising</w:t>
      </w:r>
      <w:r w:rsidRPr="00263635">
        <w:rPr>
          <w:rStyle w:val="StyleUnderline"/>
        </w:rPr>
        <w:t>.</w:t>
      </w:r>
      <w:r w:rsidRPr="008C581B">
        <w:rPr>
          <w:sz w:val="16"/>
        </w:rPr>
        <w:t xml:space="preserve"> Id. A holder must prove that the public identifies the mark as belonging to the owner’s product or services and that actual sales and services were rendered within a reasonable amount of time to establish that the holder did not act merely to reserve use at a future time. See </w:t>
      </w:r>
      <w:proofErr w:type="spellStart"/>
      <w:r w:rsidRPr="008C581B">
        <w:rPr>
          <w:sz w:val="16"/>
        </w:rPr>
        <w:t>Aktieselskabet</w:t>
      </w:r>
      <w:proofErr w:type="spellEnd"/>
      <w:r w:rsidRPr="008C581B">
        <w:rPr>
          <w:sz w:val="16"/>
        </w:rPr>
        <w:t xml:space="preserve"> AF 21. Nov. 2001 v. Fame Jeans Inc., 525 F.3d 8, 21 (D.C. Cir. 2008) (discussing the need to prove bona fide intent to establish use); GINSBURG, supra note 62, at 149 (explaining “analogous use”). </w:t>
      </w:r>
      <w:r w:rsidRPr="00263635">
        <w:rPr>
          <w:rStyle w:val="StyleUnderline"/>
        </w:rPr>
        <w:t xml:space="preserve">An analogous use may </w:t>
      </w:r>
      <w:r w:rsidRPr="006049D2">
        <w:rPr>
          <w:rStyle w:val="StyleUnderline"/>
          <w:highlight w:val="cyan"/>
        </w:rPr>
        <w:t>include</w:t>
      </w:r>
      <w:r w:rsidRPr="00263635">
        <w:rPr>
          <w:rStyle w:val="StyleUnderline"/>
        </w:rPr>
        <w:t xml:space="preserve"> regular business </w:t>
      </w:r>
      <w:r w:rsidRPr="00263635">
        <w:rPr>
          <w:rStyle w:val="Emphasis"/>
        </w:rPr>
        <w:t>contacts</w:t>
      </w:r>
      <w:r w:rsidRPr="00263635">
        <w:rPr>
          <w:rStyle w:val="StyleUnderline"/>
        </w:rPr>
        <w:t xml:space="preserve">, after-sales </w:t>
      </w:r>
      <w:r w:rsidRPr="00263635">
        <w:rPr>
          <w:rStyle w:val="Emphasis"/>
        </w:rPr>
        <w:t>services</w:t>
      </w:r>
      <w:r w:rsidRPr="00263635">
        <w:rPr>
          <w:rStyle w:val="StyleUnderline"/>
        </w:rPr>
        <w:t xml:space="preserve">, </w:t>
      </w:r>
      <w:r w:rsidRPr="006049D2">
        <w:rPr>
          <w:rStyle w:val="Emphasis"/>
          <w:highlight w:val="cyan"/>
        </w:rPr>
        <w:t>advertising</w:t>
      </w:r>
      <w:r w:rsidRPr="006049D2">
        <w:rPr>
          <w:rStyle w:val="StyleUnderline"/>
          <w:highlight w:val="cyan"/>
        </w:rPr>
        <w:t xml:space="preserve">, or </w:t>
      </w:r>
      <w:r w:rsidRPr="006049D2">
        <w:rPr>
          <w:rStyle w:val="Emphasis"/>
          <w:highlight w:val="cyan"/>
        </w:rPr>
        <w:t>marketing</w:t>
      </w:r>
      <w:r w:rsidRPr="006049D2">
        <w:rPr>
          <w:rStyle w:val="StyleUnderline"/>
          <w:highlight w:val="cyan"/>
        </w:rPr>
        <w:t>.</w:t>
      </w:r>
      <w:r w:rsidRPr="008C581B">
        <w:rPr>
          <w:sz w:val="16"/>
        </w:rPr>
        <w:t xml:space="preserve"> GINSBURG, supra note 62, at 149 (showing hypothetical situations where analogous use may apply). </w:t>
      </w:r>
      <w:r w:rsidRPr="00263635">
        <w:rPr>
          <w:rStyle w:val="StyleUnderline"/>
        </w:rPr>
        <w:t xml:space="preserve">Only </w:t>
      </w:r>
      <w:r w:rsidRPr="00263635">
        <w:rPr>
          <w:rStyle w:val="Emphasis"/>
        </w:rPr>
        <w:t>pre-sale use</w:t>
      </w:r>
      <w:r w:rsidRPr="00263635">
        <w:rPr>
          <w:rStyle w:val="StyleUnderline"/>
        </w:rPr>
        <w:t xml:space="preserve"> directed at future consumers will be considered.</w:t>
      </w:r>
      <w:r w:rsidRPr="008C581B">
        <w:rPr>
          <w:sz w:val="16"/>
        </w:rPr>
        <w:t xml:space="preserve"> T.A.B. Sys. v. </w:t>
      </w:r>
      <w:proofErr w:type="spellStart"/>
      <w:r w:rsidRPr="008C581B">
        <w:rPr>
          <w:sz w:val="16"/>
        </w:rPr>
        <w:t>Pactel</w:t>
      </w:r>
      <w:proofErr w:type="spellEnd"/>
      <w:r w:rsidRPr="008C581B">
        <w:rPr>
          <w:sz w:val="16"/>
        </w:rPr>
        <w:t xml:space="preserve"> </w:t>
      </w:r>
      <w:proofErr w:type="spellStart"/>
      <w:r w:rsidRPr="008C581B">
        <w:rPr>
          <w:sz w:val="16"/>
        </w:rPr>
        <w:t>Teletrace</w:t>
      </w:r>
      <w:proofErr w:type="spellEnd"/>
      <w:r w:rsidRPr="008C581B">
        <w:rPr>
          <w:sz w:val="16"/>
        </w:rPr>
        <w:t xml:space="preserve">, 77 F.3d 1372, 1376 (Fed. Cir. 1996); 2 MCCARTHY, supra note 72, § 16:14. </w:t>
      </w:r>
      <w:r w:rsidRPr="00C634C5">
        <w:rPr>
          <w:rStyle w:val="Emphasis"/>
        </w:rPr>
        <w:t>[FOOTNOTE 76 ENDS]</w:t>
      </w:r>
      <w:r w:rsidRPr="008C581B">
        <w:rPr>
          <w:sz w:val="16"/>
        </w:rPr>
        <w:t xml:space="preserve"> </w:t>
      </w:r>
      <w:r w:rsidRPr="006300A3">
        <w:rPr>
          <w:rStyle w:val="StyleUnderline"/>
          <w:highlight w:val="cyan"/>
        </w:rPr>
        <w:t>What constitutes</w:t>
      </w:r>
      <w:r w:rsidRPr="00AE13E0">
        <w:rPr>
          <w:rStyle w:val="StyleUnderline"/>
        </w:rPr>
        <w:t xml:space="preserve"> the ordinary course of trade </w:t>
      </w:r>
      <w:r w:rsidRPr="006300A3">
        <w:rPr>
          <w:rStyle w:val="Emphasis"/>
          <w:highlight w:val="cyan"/>
        </w:rPr>
        <w:t>varies</w:t>
      </w:r>
      <w:r w:rsidRPr="00AE13E0">
        <w:rPr>
          <w:rStyle w:val="StyleUnderline"/>
        </w:rPr>
        <w:t xml:space="preserve"> </w:t>
      </w:r>
      <w:r w:rsidRPr="006300A3">
        <w:rPr>
          <w:rStyle w:val="StyleUnderline"/>
          <w:highlight w:val="cyan"/>
        </w:rPr>
        <w:t>from industry to industry</w:t>
      </w:r>
      <w:r w:rsidRPr="00AE13E0">
        <w:rPr>
          <w:rStyle w:val="StyleUnderline"/>
        </w:rPr>
        <w:t>.</w:t>
      </w:r>
      <w:r w:rsidRPr="008C581B">
        <w:rPr>
          <w:sz w:val="16"/>
        </w:rPr>
        <w:t xml:space="preserve">77 For example, </w:t>
      </w:r>
      <w:r w:rsidRPr="00AE13E0">
        <w:rPr>
          <w:rStyle w:val="StyleUnderline"/>
          <w:highlight w:val="cyan"/>
        </w:rPr>
        <w:t>use could be established through a</w:t>
      </w:r>
      <w:r w:rsidRPr="00AE13E0">
        <w:rPr>
          <w:rStyle w:val="StyleUnderline"/>
        </w:rPr>
        <w:t xml:space="preserve"> </w:t>
      </w:r>
      <w:r w:rsidRPr="00AE13E0">
        <w:rPr>
          <w:rStyle w:val="Emphasis"/>
          <w:highlight w:val="cyan"/>
        </w:rPr>
        <w:t>single sale</w:t>
      </w:r>
      <w:r w:rsidRPr="00AE13E0">
        <w:rPr>
          <w:rStyle w:val="StyleUnderline"/>
        </w:rPr>
        <w:t xml:space="preserve"> or transportation of one item </w:t>
      </w:r>
      <w:r w:rsidRPr="00AE13E0">
        <w:rPr>
          <w:rStyle w:val="StyleUnderline"/>
          <w:highlight w:val="cyan"/>
        </w:rPr>
        <w:t>if the holder had</w:t>
      </w:r>
      <w:r w:rsidRPr="00AE13E0">
        <w:rPr>
          <w:rStyle w:val="StyleUnderline"/>
        </w:rPr>
        <w:t xml:space="preserve"> an </w:t>
      </w:r>
      <w:r w:rsidRPr="00AE13E0">
        <w:rPr>
          <w:rStyle w:val="Emphasis"/>
          <w:highlight w:val="cyan"/>
        </w:rPr>
        <w:t>intention</w:t>
      </w:r>
      <w:r w:rsidRPr="00AE13E0">
        <w:rPr>
          <w:rStyle w:val="StyleUnderline"/>
        </w:rPr>
        <w:t xml:space="preserve"> </w:t>
      </w:r>
      <w:r w:rsidRPr="00AE13E0">
        <w:rPr>
          <w:rStyle w:val="StyleUnderline"/>
          <w:highlight w:val="cyan"/>
        </w:rPr>
        <w:t>of further use.</w:t>
      </w:r>
      <w:r w:rsidRPr="00AE13E0">
        <w:rPr>
          <w:rStyle w:val="StyleUnderline"/>
        </w:rPr>
        <w:t xml:space="preserve"> </w:t>
      </w:r>
      <w:r w:rsidRPr="008C581B">
        <w:rPr>
          <w:sz w:val="16"/>
        </w:rPr>
        <w:t xml:space="preserve">78 Conversely, protection may be denied for ten such occurrences if such occurrences were done solely with the intention to establish use.79 As an additional requirement to establish use, a trademark must be displayed on goods </w:t>
      </w:r>
      <w:proofErr w:type="spellStart"/>
      <w:r w:rsidRPr="008C581B">
        <w:rPr>
          <w:sz w:val="16"/>
        </w:rPr>
        <w:t>ortheir</w:t>
      </w:r>
      <w:proofErr w:type="spellEnd"/>
      <w:r w:rsidRPr="008C581B">
        <w:rPr>
          <w:sz w:val="16"/>
        </w:rPr>
        <w:t xml:space="preserve"> containers or on displays or tags affixed to goods sold or transported in commerce.80 For service marks, the mark must be displayed or used during the sale or advertising of services offered in commerce.81</w:t>
      </w:r>
    </w:p>
    <w:p w:rsidR="00706303" w:rsidRDefault="00706303" w:rsidP="00706303"/>
    <w:p w:rsidR="00706303" w:rsidRPr="008A3E3E" w:rsidRDefault="00706303" w:rsidP="00706303"/>
    <w:p w:rsidR="00706303" w:rsidRDefault="00706303" w:rsidP="00706303">
      <w:pPr>
        <w:pStyle w:val="Heading3"/>
      </w:pPr>
      <w:r>
        <w:t>2NC---SQ Solves---Pre-Registration/Intent-To-Use</w:t>
      </w:r>
    </w:p>
    <w:p w:rsidR="00706303" w:rsidRDefault="00706303" w:rsidP="00706303">
      <w:pPr>
        <w:pStyle w:val="Heading4"/>
      </w:pPr>
      <w:r>
        <w:t xml:space="preserve">Intent-to-use applications </w:t>
      </w:r>
      <w:r>
        <w:rPr>
          <w:u w:val="single"/>
        </w:rPr>
        <w:t>spill up</w:t>
      </w:r>
      <w:r>
        <w:t xml:space="preserve"> to regular registration.</w:t>
      </w:r>
    </w:p>
    <w:p w:rsidR="00706303" w:rsidRPr="00E87015" w:rsidRDefault="00706303" w:rsidP="00706303">
      <w:r w:rsidRPr="00B028E6">
        <w:rPr>
          <w:rStyle w:val="Style13ptBold"/>
        </w:rPr>
        <w:t>Simpson n.d.</w:t>
      </w:r>
      <w:r>
        <w:t xml:space="preserve"> (Simpson &amp; Simpson, PLLC, a law firm that definitely knows its stuff about IPR; "Trademark FAQs", https://www.idealawyers.com/trademark-faqs, DOA: 7-19-2024)//ATJ</w:t>
      </w:r>
    </w:p>
    <w:p w:rsidR="00706303" w:rsidRDefault="00706303" w:rsidP="00706303">
      <w:r>
        <w:t>QUESTION: WHAT IS THE DIFFERENCE BETWEEN A CONVENTIONAL TRADEMARK APPLICATION AND AN INTENT-TO-USE (ITU) APPLICATION?</w:t>
      </w:r>
    </w:p>
    <w:p w:rsidR="00706303" w:rsidRPr="00F401EC" w:rsidRDefault="00706303" w:rsidP="00706303">
      <w:r>
        <w:t xml:space="preserve">Answer: Prior to November 16, 1989, an applicant for federal registration of a trademark had to first use the mark in commerce. A so-called conventional trademark application is filed after the applicant has already used the trademark in commerce. </w:t>
      </w:r>
      <w:r w:rsidRPr="008B7096">
        <w:rPr>
          <w:rStyle w:val="StyleUnderline"/>
        </w:rPr>
        <w:t xml:space="preserve">If the mark has not yet been used in commerce, the applicant can file an intent-to-use (ITU) application, as long as the applicant has a bona fide good faith intent to use the mark in commerce. ITU applications are examined in the </w:t>
      </w:r>
      <w:r w:rsidRPr="008B7096">
        <w:rPr>
          <w:rStyle w:val="Emphasis"/>
        </w:rPr>
        <w:t>same manner</w:t>
      </w:r>
      <w:r w:rsidRPr="008B7096">
        <w:rPr>
          <w:rStyle w:val="StyleUnderline"/>
        </w:rPr>
        <w:t xml:space="preserve"> as conventional applications, i.e., the examining attorney does a search and examines the application to determine if the subject mark of the application is likely to cause confusion in view of previously registered marks, and also considers the </w:t>
      </w:r>
      <w:r w:rsidRPr="008B7096">
        <w:rPr>
          <w:rStyle w:val="Emphasis"/>
        </w:rPr>
        <w:t>other statutory requirements</w:t>
      </w:r>
      <w:r w:rsidRPr="008B7096">
        <w:rPr>
          <w:rStyle w:val="StyleUnderline"/>
        </w:rPr>
        <w:t xml:space="preserve"> for registration.</w:t>
      </w:r>
      <w:r>
        <w:t xml:space="preserve"> However, </w:t>
      </w:r>
      <w:r w:rsidRPr="008B7096">
        <w:rPr>
          <w:rStyle w:val="StyleUnderline"/>
        </w:rPr>
        <w:t xml:space="preserve">before an ITU application can mature to registration, the applicant must </w:t>
      </w:r>
      <w:r w:rsidRPr="008B7096">
        <w:rPr>
          <w:rStyle w:val="Emphasis"/>
        </w:rPr>
        <w:t>use the mark in commerce</w:t>
      </w:r>
      <w:r w:rsidRPr="008B7096">
        <w:rPr>
          <w:rStyle w:val="StyleUnderline"/>
        </w:rPr>
        <w:t xml:space="preserve"> and submit a statement with the USPTO attesting to such use.</w:t>
      </w:r>
      <w:r>
        <w:t xml:space="preserve"> The USPTO charges a fee to receive this statement of use.</w:t>
      </w:r>
    </w:p>
    <w:p w:rsidR="00706303" w:rsidRDefault="00706303" w:rsidP="00706303"/>
    <w:p w:rsidR="00706303" w:rsidRDefault="00706303" w:rsidP="00706303">
      <w:pPr>
        <w:pStyle w:val="Heading3"/>
      </w:pPr>
      <w:r>
        <w:t xml:space="preserve">1NC---AT: </w:t>
      </w:r>
      <w:proofErr w:type="spellStart"/>
      <w:r>
        <w:t>Hirschmann</w:t>
      </w:r>
      <w:proofErr w:type="spellEnd"/>
      <w:r>
        <w:t xml:space="preserve"> &amp; Block 22</w:t>
      </w:r>
    </w:p>
    <w:p w:rsidR="00706303" w:rsidRPr="00D73FBC" w:rsidRDefault="00706303" w:rsidP="00706303">
      <w:pPr>
        <w:pStyle w:val="Heading4"/>
      </w:pPr>
      <w:r>
        <w:t xml:space="preserve">Their stats are </w:t>
      </w:r>
      <w:r>
        <w:rPr>
          <w:u w:val="single"/>
        </w:rPr>
        <w:t>diddled</w:t>
      </w:r>
      <w:r>
        <w:t xml:space="preserve"> with biases and </w:t>
      </w:r>
      <w:r>
        <w:rPr>
          <w:u w:val="single"/>
        </w:rPr>
        <w:t>not</w:t>
      </w:r>
      <w:r>
        <w:t xml:space="preserve"> applicable to the US. Their author.</w:t>
      </w:r>
    </w:p>
    <w:p w:rsidR="00706303" w:rsidRPr="00C74C47" w:rsidRDefault="00706303" w:rsidP="00706303">
      <w:pPr>
        <w:rPr>
          <w:sz w:val="16"/>
        </w:rPr>
      </w:pPr>
      <w:proofErr w:type="spellStart"/>
      <w:r w:rsidRPr="00EF450C">
        <w:rPr>
          <w:rStyle w:val="Style13ptBold"/>
        </w:rPr>
        <w:t>Hirschmann</w:t>
      </w:r>
      <w:proofErr w:type="spellEnd"/>
      <w:r w:rsidRPr="00EF450C">
        <w:rPr>
          <w:rStyle w:val="Style13ptBold"/>
        </w:rPr>
        <w:t xml:space="preserve"> &amp; Block 22</w:t>
      </w:r>
      <w:r>
        <w:t xml:space="preserve"> </w:t>
      </w:r>
      <w:r w:rsidRPr="00C74C47">
        <w:rPr>
          <w:sz w:val="16"/>
        </w:rPr>
        <w:t xml:space="preserve">– Mirko </w:t>
      </w:r>
      <w:proofErr w:type="spellStart"/>
      <w:r w:rsidRPr="00C74C47">
        <w:rPr>
          <w:sz w:val="16"/>
        </w:rPr>
        <w:t>Hirschmann</w:t>
      </w:r>
      <w:proofErr w:type="spellEnd"/>
      <w:r w:rsidRPr="00C74C47">
        <w:rPr>
          <w:sz w:val="16"/>
        </w:rPr>
        <w:t xml:space="preserve"> &amp; </w:t>
      </w:r>
      <w:proofErr w:type="spellStart"/>
      <w:r w:rsidRPr="00C74C47">
        <w:rPr>
          <w:sz w:val="16"/>
        </w:rPr>
        <w:t>Joern</w:t>
      </w:r>
      <w:proofErr w:type="spellEnd"/>
      <w:r w:rsidRPr="00C74C47">
        <w:rPr>
          <w:sz w:val="16"/>
        </w:rPr>
        <w:t xml:space="preserve"> Block (Dr. Mirko </w:t>
      </w:r>
      <w:proofErr w:type="spellStart"/>
      <w:r w:rsidRPr="00C74C47">
        <w:rPr>
          <w:sz w:val="16"/>
        </w:rPr>
        <w:t>Hirschmann</w:t>
      </w:r>
      <w:proofErr w:type="spellEnd"/>
      <w:r w:rsidRPr="00C74C47">
        <w:rPr>
          <w:sz w:val="16"/>
        </w:rPr>
        <w:t xml:space="preserve"> – Research Associate at EINT, </w:t>
      </w:r>
      <w:proofErr w:type="spellStart"/>
      <w:r w:rsidRPr="00C74C47">
        <w:rPr>
          <w:sz w:val="16"/>
        </w:rPr>
        <w:t>Ph.D</w:t>
      </w:r>
      <w:proofErr w:type="spellEnd"/>
      <w:r w:rsidRPr="00C74C47">
        <w:rPr>
          <w:sz w:val="16"/>
        </w:rPr>
        <w:t xml:space="preserve"> in Business Administration from Trier University, specializes in social innovation, intellectual property rights and hybrid growth of new ventures; Dr. </w:t>
      </w:r>
      <w:proofErr w:type="spellStart"/>
      <w:r w:rsidRPr="00C74C47">
        <w:rPr>
          <w:sz w:val="16"/>
        </w:rPr>
        <w:t>Joern</w:t>
      </w:r>
      <w:proofErr w:type="spellEnd"/>
      <w:r w:rsidRPr="00C74C47">
        <w:rPr>
          <w:sz w:val="16"/>
        </w:rPr>
        <w:t xml:space="preserve"> Block – Professor in Management at Trier University, </w:t>
      </w:r>
      <w:proofErr w:type="spellStart"/>
      <w:r w:rsidRPr="00C74C47">
        <w:rPr>
          <w:sz w:val="16"/>
        </w:rPr>
        <w:t>Ph.D</w:t>
      </w:r>
      <w:proofErr w:type="spellEnd"/>
      <w:r w:rsidRPr="00C74C47">
        <w:rPr>
          <w:sz w:val="16"/>
        </w:rPr>
        <w:t xml:space="preserve"> in Applied Economics from Trier University, specializes in entrepreneurship and innovation management), 11-20-2023, "Trademarks and how they relate to the sustainability and economic outcomes of social startups " Journal of Cleaner Production, https://pure.eur.nl/ws/portalfiles/portal/94101879/1_s2.0_S0959652622038926_main.pdf </w:t>
      </w:r>
      <w:r>
        <w:rPr>
          <w:sz w:val="16"/>
        </w:rPr>
        <w:t>//ATJ</w:t>
      </w:r>
    </w:p>
    <w:p w:rsidR="00706303" w:rsidRDefault="00706303" w:rsidP="00706303">
      <w:pPr>
        <w:rPr>
          <w:sz w:val="16"/>
        </w:rPr>
      </w:pPr>
      <w:r w:rsidRPr="00ED29B8">
        <w:rPr>
          <w:rStyle w:val="StyleUnderline"/>
          <w:highlight w:val="cyan"/>
        </w:rPr>
        <w:t xml:space="preserve">Our study has </w:t>
      </w:r>
      <w:r w:rsidRPr="00ED29B8">
        <w:rPr>
          <w:rStyle w:val="Emphasis"/>
          <w:highlight w:val="cyan"/>
        </w:rPr>
        <w:t>several limitations</w:t>
      </w:r>
      <w:r w:rsidRPr="00A92804">
        <w:rPr>
          <w:sz w:val="16"/>
        </w:rPr>
        <w:t xml:space="preserve"> that open up room for future research. First, </w:t>
      </w:r>
      <w:r w:rsidRPr="00BE53AF">
        <w:rPr>
          <w:rStyle w:val="StyleUnderline"/>
        </w:rPr>
        <w:t xml:space="preserve">we have a </w:t>
      </w:r>
      <w:r w:rsidRPr="00ED29B8">
        <w:rPr>
          <w:rStyle w:val="Emphasis"/>
          <w:highlight w:val="cyan"/>
        </w:rPr>
        <w:t>survivorship bias</w:t>
      </w:r>
      <w:r w:rsidRPr="00BE53AF">
        <w:rPr>
          <w:rStyle w:val="StyleUnderline"/>
        </w:rPr>
        <w:t xml:space="preserve"> in our data </w:t>
      </w:r>
      <w:r w:rsidRPr="00ED29B8">
        <w:rPr>
          <w:rStyle w:val="StyleUnderline"/>
          <w:highlight w:val="cyan"/>
        </w:rPr>
        <w:t>since we are not able to identify</w:t>
      </w:r>
      <w:r w:rsidRPr="00BE53AF">
        <w:rPr>
          <w:rStyle w:val="StyleUnderline"/>
        </w:rPr>
        <w:t xml:space="preserve"> those social </w:t>
      </w:r>
      <w:r w:rsidRPr="00ED29B8">
        <w:rPr>
          <w:rStyle w:val="StyleUnderline"/>
          <w:highlight w:val="cyan"/>
        </w:rPr>
        <w:t xml:space="preserve">startups that </w:t>
      </w:r>
      <w:r w:rsidRPr="00ED29B8">
        <w:rPr>
          <w:rStyle w:val="Emphasis"/>
          <w:highlight w:val="cyan"/>
        </w:rPr>
        <w:t>failed</w:t>
      </w:r>
      <w:r w:rsidRPr="00BE53AF">
        <w:rPr>
          <w:rStyle w:val="StyleUnderline"/>
        </w:rPr>
        <w:t xml:space="preserve"> </w:t>
      </w:r>
      <w:r w:rsidRPr="00ED29B8">
        <w:rPr>
          <w:rStyle w:val="StyleUnderline"/>
          <w:highlight w:val="cyan"/>
        </w:rPr>
        <w:t>during</w:t>
      </w:r>
      <w:r w:rsidRPr="00BE53AF">
        <w:rPr>
          <w:rStyle w:val="StyleUnderline"/>
        </w:rPr>
        <w:t xml:space="preserve"> our </w:t>
      </w:r>
      <w:r w:rsidRPr="00ED29B8">
        <w:rPr>
          <w:rStyle w:val="StyleUnderline"/>
          <w:highlight w:val="cyan"/>
        </w:rPr>
        <w:t>observation</w:t>
      </w:r>
      <w:r w:rsidRPr="00BE53AF">
        <w:rPr>
          <w:rStyle w:val="StyleUnderline"/>
        </w:rPr>
        <w:t xml:space="preserve"> time. </w:t>
      </w:r>
      <w:r w:rsidRPr="00A92804">
        <w:rPr>
          <w:sz w:val="16"/>
        </w:rPr>
        <w:t xml:space="preserve">Further studies could therefore expand the literature on social startup survival and examine whether social startup trademarking also reduces the likelihood of failure. Second, </w:t>
      </w:r>
      <w:r w:rsidRPr="00BE53AF">
        <w:rPr>
          <w:rStyle w:val="StyleUnderline"/>
        </w:rPr>
        <w:t xml:space="preserve">our results might suffer from </w:t>
      </w:r>
      <w:r w:rsidRPr="00ED29B8">
        <w:rPr>
          <w:rStyle w:val="Emphasis"/>
          <w:highlight w:val="cyan"/>
        </w:rPr>
        <w:t>omitted variable bias</w:t>
      </w:r>
      <w:r w:rsidRPr="00ED29B8">
        <w:rPr>
          <w:rStyle w:val="StyleUnderline"/>
          <w:highlight w:val="cyan"/>
        </w:rPr>
        <w:t>.</w:t>
      </w:r>
      <w:r w:rsidRPr="00A92804">
        <w:rPr>
          <w:sz w:val="16"/>
        </w:rPr>
        <w:t xml:space="preserve"> Since prior research shows that </w:t>
      </w:r>
      <w:r w:rsidRPr="00BE53AF">
        <w:rPr>
          <w:rStyle w:val="StyleUnderline"/>
        </w:rPr>
        <w:t xml:space="preserve">social </w:t>
      </w:r>
      <w:r w:rsidRPr="00ED29B8">
        <w:rPr>
          <w:rStyle w:val="StyleUnderline"/>
          <w:highlight w:val="cyan"/>
        </w:rPr>
        <w:t>startups that receive</w:t>
      </w:r>
      <w:r w:rsidRPr="00BE53AF">
        <w:rPr>
          <w:rStyle w:val="StyleUnderline"/>
        </w:rPr>
        <w:t xml:space="preserve"> </w:t>
      </w:r>
      <w:r w:rsidRPr="00ED29B8">
        <w:rPr>
          <w:rStyle w:val="Emphasis"/>
          <w:highlight w:val="cyan"/>
        </w:rPr>
        <w:t>early external funding</w:t>
      </w:r>
      <w:r w:rsidRPr="00BE53AF">
        <w:rPr>
          <w:rStyle w:val="StyleUnderline"/>
        </w:rPr>
        <w:t xml:space="preserve"> </w:t>
      </w:r>
      <w:r w:rsidRPr="00ED29B8">
        <w:rPr>
          <w:rStyle w:val="StyleUnderline"/>
          <w:highlight w:val="cyan"/>
        </w:rPr>
        <w:t>have higher</w:t>
      </w:r>
      <w:r w:rsidRPr="00BE53AF">
        <w:rPr>
          <w:rStyle w:val="StyleUnderline"/>
        </w:rPr>
        <w:t xml:space="preserve"> employment </w:t>
      </w:r>
      <w:r w:rsidRPr="00ED29B8">
        <w:rPr>
          <w:rStyle w:val="StyleUnderline"/>
          <w:highlight w:val="cyan"/>
        </w:rPr>
        <w:t>growth</w:t>
      </w:r>
      <w:r w:rsidRPr="00BE53AF">
        <w:rPr>
          <w:rStyle w:val="StyleUnderline"/>
        </w:rPr>
        <w:t xml:space="preserve"> rates</w:t>
      </w:r>
      <w:r w:rsidRPr="00A92804">
        <w:rPr>
          <w:sz w:val="16"/>
        </w:rPr>
        <w:t xml:space="preserve"> and greater economic performance (e.g., </w:t>
      </w:r>
      <w:proofErr w:type="spellStart"/>
      <w:r w:rsidRPr="00A92804">
        <w:rPr>
          <w:sz w:val="16"/>
        </w:rPr>
        <w:t>Cacciolatti</w:t>
      </w:r>
      <w:proofErr w:type="spellEnd"/>
      <w:r w:rsidRPr="00A92804">
        <w:rPr>
          <w:sz w:val="16"/>
        </w:rPr>
        <w:t xml:space="preserve"> et al., 2020; Rey-Martí et al., 2016), </w:t>
      </w:r>
      <w:r w:rsidRPr="00BE53AF">
        <w:rPr>
          <w:rStyle w:val="StyleUnderline"/>
        </w:rPr>
        <w:t xml:space="preserve">this </w:t>
      </w:r>
      <w:r w:rsidRPr="00ED29B8">
        <w:rPr>
          <w:rStyle w:val="StyleUnderline"/>
          <w:highlight w:val="cyan"/>
        </w:rPr>
        <w:t>might</w:t>
      </w:r>
      <w:r w:rsidRPr="00ED29B8">
        <w:rPr>
          <w:rStyle w:val="StyleUnderline"/>
        </w:rPr>
        <w:t xml:space="preserve"> be a variable to </w:t>
      </w:r>
      <w:r w:rsidRPr="00ED29B8">
        <w:rPr>
          <w:rStyle w:val="StyleUnderline"/>
          <w:highlight w:val="cyan"/>
        </w:rPr>
        <w:t>explain</w:t>
      </w:r>
      <w:r w:rsidRPr="00BE53AF">
        <w:rPr>
          <w:rStyle w:val="StyleUnderline"/>
        </w:rPr>
        <w:t xml:space="preserve"> some of our </w:t>
      </w:r>
      <w:r w:rsidRPr="00ED29B8">
        <w:rPr>
          <w:rStyle w:val="Emphasis"/>
          <w:highlight w:val="cyan"/>
        </w:rPr>
        <w:t>trademark effects</w:t>
      </w:r>
      <w:r w:rsidRPr="00BE53AF">
        <w:rPr>
          <w:rStyle w:val="StyleUnderline"/>
        </w:rPr>
        <w:t xml:space="preserve">. </w:t>
      </w:r>
      <w:r w:rsidRPr="00A92804">
        <w:rPr>
          <w:sz w:val="16"/>
        </w:rPr>
        <w:t xml:space="preserve">For example, it could be the case that trademarking increases the likelihood of external funding, which then increases employment growth rates. Therefore, we encourage future research to investigate this mediation relationship since </w:t>
      </w:r>
      <w:r w:rsidRPr="00BE53AF">
        <w:rPr>
          <w:rStyle w:val="StyleUnderline"/>
        </w:rPr>
        <w:t xml:space="preserve">we were not able to collect funding rounds of social startups within their </w:t>
      </w:r>
      <w:r w:rsidRPr="00BE53AF">
        <w:rPr>
          <w:rStyle w:val="Emphasis"/>
        </w:rPr>
        <w:t>first three years</w:t>
      </w:r>
      <w:r w:rsidRPr="00BE53AF">
        <w:rPr>
          <w:rStyle w:val="StyleUnderline"/>
        </w:rPr>
        <w:t xml:space="preserve"> of existence.</w:t>
      </w:r>
      <w:r w:rsidRPr="00A92804">
        <w:rPr>
          <w:sz w:val="16"/>
        </w:rPr>
        <w:t xml:space="preserve"> Furthermore, future studies could use further proxies for the economic and sustainability outcomes of social startups. While the number of created jobs is an established growth parameter (e.g., Henderson, 2002; Lall and Park, 2020), research thus far lacks quantitative evidence on the sustainability outcomes of social startups. Since our proxy of sustainability outcomes of a social startup is an indirect measure, we encourage further research to replicate our findings based on a more direct measure of sustainability outcomes (e.g., using a survey approach). Such a study would allow a more detailed distinction between different SDGs and their achievements. From the perspective of trademark research, such a study would help to clarify the underlying mechanisms of the relationship between IPRs and SDGs. Third, </w:t>
      </w:r>
      <w:r w:rsidRPr="00ED29B8">
        <w:rPr>
          <w:rStyle w:val="StyleUnderline"/>
          <w:highlight w:val="cyan"/>
        </w:rPr>
        <w:t>our findings relate to</w:t>
      </w:r>
      <w:r w:rsidRPr="00BE53AF">
        <w:rPr>
          <w:rStyle w:val="StyleUnderline"/>
        </w:rPr>
        <w:t xml:space="preserve"> </w:t>
      </w:r>
      <w:r w:rsidRPr="00ED29B8">
        <w:rPr>
          <w:rStyle w:val="Emphasis"/>
          <w:highlight w:val="cyan"/>
        </w:rPr>
        <w:t>German</w:t>
      </w:r>
      <w:r w:rsidRPr="00BE53AF">
        <w:rPr>
          <w:rStyle w:val="StyleUnderline"/>
        </w:rPr>
        <w:t xml:space="preserve"> social </w:t>
      </w:r>
      <w:r w:rsidRPr="00ED29B8">
        <w:rPr>
          <w:rStyle w:val="StyleUnderline"/>
          <w:highlight w:val="cyan"/>
        </w:rPr>
        <w:t>startups, which reduces</w:t>
      </w:r>
      <w:r w:rsidRPr="00ED29B8">
        <w:rPr>
          <w:rStyle w:val="StyleUnderline"/>
        </w:rPr>
        <w:t xml:space="preserve"> the</w:t>
      </w:r>
      <w:r w:rsidRPr="00BE53AF">
        <w:rPr>
          <w:rStyle w:val="StyleUnderline"/>
        </w:rPr>
        <w:t xml:space="preserve"> </w:t>
      </w:r>
      <w:r w:rsidRPr="00ED29B8">
        <w:rPr>
          <w:rStyle w:val="Emphasis"/>
          <w:highlight w:val="cyan"/>
        </w:rPr>
        <w:t>generalizability</w:t>
      </w:r>
      <w:r w:rsidRPr="00BE53AF">
        <w:rPr>
          <w:rStyle w:val="StyleUnderline"/>
        </w:rPr>
        <w:t xml:space="preserve"> of our findings </w:t>
      </w:r>
      <w:r w:rsidRPr="00ED29B8">
        <w:rPr>
          <w:rStyle w:val="StyleUnderline"/>
          <w:highlight w:val="cyan"/>
        </w:rPr>
        <w:t>since</w:t>
      </w:r>
      <w:r w:rsidRPr="00A92804">
        <w:rPr>
          <w:sz w:val="16"/>
        </w:rPr>
        <w:t xml:space="preserve"> sustainable </w:t>
      </w:r>
      <w:r w:rsidRPr="00ED29B8">
        <w:rPr>
          <w:rStyle w:val="StyleUnderline"/>
          <w:highlight w:val="cyan"/>
        </w:rPr>
        <w:t>entrepreneurship</w:t>
      </w:r>
      <w:r w:rsidRPr="00BE53AF">
        <w:rPr>
          <w:rStyle w:val="StyleUnderline"/>
        </w:rPr>
        <w:t xml:space="preserve"> has been proven to </w:t>
      </w:r>
      <w:r w:rsidRPr="00ED29B8">
        <w:rPr>
          <w:rStyle w:val="Emphasis"/>
          <w:highlight w:val="cyan"/>
        </w:rPr>
        <w:t>differ geographically</w:t>
      </w:r>
      <w:r w:rsidRPr="00BE53AF">
        <w:rPr>
          <w:rStyle w:val="Emphasis"/>
        </w:rPr>
        <w:t xml:space="preserve"> </w:t>
      </w:r>
      <w:r w:rsidRPr="00A92804">
        <w:rPr>
          <w:sz w:val="16"/>
        </w:rPr>
        <w:t xml:space="preserve">(e.g., </w:t>
      </w:r>
      <w:proofErr w:type="spellStart"/>
      <w:r w:rsidRPr="00A92804">
        <w:rPr>
          <w:sz w:val="16"/>
        </w:rPr>
        <w:t>Defourny</w:t>
      </w:r>
      <w:proofErr w:type="spellEnd"/>
      <w:r w:rsidRPr="00A92804">
        <w:rPr>
          <w:sz w:val="16"/>
        </w:rPr>
        <w:t xml:space="preserve"> and Nyssens, 2010; </w:t>
      </w:r>
      <w:proofErr w:type="spellStart"/>
      <w:r w:rsidRPr="00A92804">
        <w:rPr>
          <w:sz w:val="16"/>
        </w:rPr>
        <w:t>Fichter</w:t>
      </w:r>
      <w:proofErr w:type="spellEnd"/>
      <w:r w:rsidRPr="00A92804">
        <w:rPr>
          <w:sz w:val="16"/>
        </w:rPr>
        <w:t xml:space="preserve"> and </w:t>
      </w:r>
      <w:proofErr w:type="spellStart"/>
      <w:r w:rsidRPr="00A92804">
        <w:rPr>
          <w:sz w:val="16"/>
        </w:rPr>
        <w:t>Tiemann</w:t>
      </w:r>
      <w:proofErr w:type="spellEnd"/>
      <w:r w:rsidRPr="00A92804">
        <w:rPr>
          <w:sz w:val="16"/>
        </w:rPr>
        <w:t xml:space="preserve">, 2018; </w:t>
      </w:r>
      <w:proofErr w:type="spellStart"/>
      <w:r w:rsidRPr="00A92804">
        <w:rPr>
          <w:sz w:val="16"/>
        </w:rPr>
        <w:t>Kerlin</w:t>
      </w:r>
      <w:proofErr w:type="spellEnd"/>
      <w:r w:rsidRPr="00A92804">
        <w:rPr>
          <w:sz w:val="16"/>
        </w:rPr>
        <w:t xml:space="preserve">, 2006). Future research should thus investigate other geographical areas, in particular, since the use of IPRs also varies between different regulatory contexts (e.g., Cohen et al., 2002; </w:t>
      </w:r>
      <w:proofErr w:type="spellStart"/>
      <w:r w:rsidRPr="00A92804">
        <w:rPr>
          <w:sz w:val="16"/>
        </w:rPr>
        <w:t>Maskus</w:t>
      </w:r>
      <w:proofErr w:type="spellEnd"/>
      <w:r w:rsidRPr="00A92804">
        <w:rPr>
          <w:sz w:val="16"/>
        </w:rPr>
        <w:t>, 2000).</w:t>
      </w:r>
    </w:p>
    <w:p w:rsidR="00706303" w:rsidRDefault="00706303" w:rsidP="00706303">
      <w:pPr>
        <w:pStyle w:val="Heading2"/>
      </w:pPr>
      <w:r>
        <w:t>Adv---Courts</w:t>
      </w:r>
    </w:p>
    <w:p w:rsidR="00706303" w:rsidRDefault="00706303" w:rsidP="00706303">
      <w:pPr>
        <w:pStyle w:val="Heading3"/>
      </w:pPr>
      <w:r>
        <w:t>Data Breaches---APRA---2NC</w:t>
      </w:r>
    </w:p>
    <w:p w:rsidR="00706303" w:rsidRDefault="00706303" w:rsidP="00706303">
      <w:pPr>
        <w:pStyle w:val="Heading4"/>
      </w:pPr>
      <w:r>
        <w:t xml:space="preserve">Possibility of injunctive relief </w:t>
      </w:r>
      <w:r w:rsidRPr="00C10FBE">
        <w:rPr>
          <w:u w:val="single"/>
        </w:rPr>
        <w:t>solves</w:t>
      </w:r>
      <w:r>
        <w:t xml:space="preserve"> data breaches.</w:t>
      </w:r>
    </w:p>
    <w:p w:rsidR="00706303" w:rsidRPr="00EF7454" w:rsidRDefault="00706303" w:rsidP="00706303">
      <w:r w:rsidRPr="00EF7454">
        <w:t xml:space="preserve">Cynthia </w:t>
      </w:r>
      <w:r w:rsidRPr="00EF7454">
        <w:rPr>
          <w:rFonts w:eastAsiaTheme="majorEastAsia" w:cstheme="majorBidi"/>
          <w:b/>
          <w:iCs/>
          <w:sz w:val="26"/>
        </w:rPr>
        <w:t>Larose</w:t>
      </w:r>
      <w:r>
        <w:t xml:space="preserve"> and</w:t>
      </w:r>
      <w:r w:rsidRPr="00EF7454">
        <w:t xml:space="preserve"> Christopher </w:t>
      </w:r>
      <w:proofErr w:type="spellStart"/>
      <w:r w:rsidRPr="00EF7454">
        <w:rPr>
          <w:rFonts w:eastAsiaTheme="majorEastAsia" w:cstheme="majorBidi"/>
          <w:b/>
          <w:iCs/>
          <w:sz w:val="26"/>
        </w:rPr>
        <w:t>Buontempo</w:t>
      </w:r>
      <w:proofErr w:type="spellEnd"/>
      <w:r>
        <w:rPr>
          <w:rFonts w:eastAsiaTheme="majorEastAsia" w:cstheme="majorBidi"/>
          <w:b/>
          <w:iCs/>
          <w:sz w:val="26"/>
        </w:rPr>
        <w:t xml:space="preserve"> 24</w:t>
      </w:r>
      <w:r w:rsidRPr="00EF7454">
        <w:t>, authority in the privacy and security field and a Certified Information Privacy Professional</w:t>
      </w:r>
      <w:r>
        <w:t xml:space="preserve">, corporate attorney that </w:t>
      </w:r>
      <w:r w:rsidRPr="00EF7454">
        <w:t>handles legal and business issues relating to technology, data privacy and security, brand protection, contract negotiation, licensing, and product development</w:t>
      </w:r>
      <w:r>
        <w:t>, 04/17/2024, “</w:t>
      </w:r>
      <w:r w:rsidRPr="00EF7454">
        <w:t>American Privacy Rights Act – Another Shot at a Comprehensive Federal Privacy Law</w:t>
      </w:r>
      <w:r>
        <w:t>,”</w:t>
      </w:r>
      <w:r w:rsidRPr="00EF7454">
        <w:t xml:space="preserve"> https://www.mintz.com/insights-center/viewpoints/2826/2024-04-17-american-privacy-rights-act-another-shot-comprehensive#:~:text=The%20APRA%20would%20create%20a,with%20the%20right%20to%20opt</w:t>
      </w:r>
      <w:r>
        <w:t xml:space="preserve">, </w:t>
      </w:r>
      <w:proofErr w:type="spellStart"/>
      <w:r>
        <w:t>avr</w:t>
      </w:r>
      <w:proofErr w:type="spellEnd"/>
    </w:p>
    <w:p w:rsidR="00706303" w:rsidRPr="00EF7454" w:rsidRDefault="00706303" w:rsidP="00706303">
      <w:pPr>
        <w:rPr>
          <w:sz w:val="16"/>
        </w:rPr>
      </w:pPr>
      <w:r w:rsidRPr="00EF7454">
        <w:rPr>
          <w:sz w:val="16"/>
        </w:rPr>
        <w:t xml:space="preserve">Will the U.S. finally join most </w:t>
      </w:r>
      <w:r w:rsidRPr="00193893">
        <w:rPr>
          <w:rStyle w:val="StyleUnderline"/>
        </w:rPr>
        <w:t>developed nations</w:t>
      </w:r>
      <w:r w:rsidRPr="00EF7454">
        <w:rPr>
          <w:sz w:val="16"/>
        </w:rPr>
        <w:t xml:space="preserve"> and pass a </w:t>
      </w:r>
      <w:r w:rsidRPr="00193893">
        <w:rPr>
          <w:rStyle w:val="StyleUnderline"/>
        </w:rPr>
        <w:t>comprehensive federal privacy law</w:t>
      </w:r>
      <w:r w:rsidRPr="00EF7454">
        <w:rPr>
          <w:sz w:val="16"/>
        </w:rPr>
        <w:t>? Some believe this may be the year that the U.S. does just that.</w:t>
      </w:r>
    </w:p>
    <w:p w:rsidR="00706303" w:rsidRPr="00EF7454" w:rsidRDefault="00706303" w:rsidP="00706303">
      <w:pPr>
        <w:rPr>
          <w:sz w:val="16"/>
        </w:rPr>
      </w:pPr>
      <w:r w:rsidRPr="00EF7454">
        <w:rPr>
          <w:sz w:val="16"/>
        </w:rPr>
        <w:t xml:space="preserve">Calls for passage of a </w:t>
      </w:r>
      <w:r w:rsidRPr="00193893">
        <w:rPr>
          <w:rStyle w:val="StyleUnderline"/>
        </w:rPr>
        <w:t>comprehensive U.S. federal privacy</w:t>
      </w:r>
      <w:r w:rsidRPr="00EF7454">
        <w:rPr>
          <w:sz w:val="16"/>
        </w:rPr>
        <w:t xml:space="preserve"> law have come not just from </w:t>
      </w:r>
      <w:r w:rsidRPr="00193893">
        <w:rPr>
          <w:rStyle w:val="StyleUnderline"/>
        </w:rPr>
        <w:t>privacy activists</w:t>
      </w:r>
      <w:r w:rsidRPr="00EF7454">
        <w:rPr>
          <w:sz w:val="16"/>
        </w:rPr>
        <w:t xml:space="preserve"> – many in industry want it as well. The </w:t>
      </w:r>
      <w:r w:rsidRPr="00193893">
        <w:rPr>
          <w:rStyle w:val="StyleUnderline"/>
        </w:rPr>
        <w:t>challenges of complying</w:t>
      </w:r>
      <w:r w:rsidRPr="00EF7454">
        <w:rPr>
          <w:sz w:val="16"/>
        </w:rPr>
        <w:t xml:space="preserve"> with the </w:t>
      </w:r>
      <w:r w:rsidRPr="00193893">
        <w:rPr>
          <w:rStyle w:val="StyleUnderline"/>
          <w:highlight w:val="cyan"/>
        </w:rPr>
        <w:t>current</w:t>
      </w:r>
      <w:r w:rsidRPr="00193893">
        <w:rPr>
          <w:rStyle w:val="StyleUnderline"/>
        </w:rPr>
        <w:t xml:space="preserve"> labyrinth of state </w:t>
      </w:r>
      <w:r w:rsidRPr="00193893">
        <w:rPr>
          <w:rStyle w:val="StyleUnderline"/>
          <w:highlight w:val="cyan"/>
        </w:rPr>
        <w:t>privacy laws</w:t>
      </w:r>
      <w:r w:rsidRPr="00EF7454">
        <w:rPr>
          <w:sz w:val="16"/>
        </w:rPr>
        <w:t xml:space="preserve"> has </w:t>
      </w:r>
      <w:r w:rsidRPr="00193893">
        <w:rPr>
          <w:rStyle w:val="StyleUnderline"/>
          <w:highlight w:val="cyan"/>
        </w:rPr>
        <w:t>caused significant</w:t>
      </w:r>
      <w:r w:rsidRPr="00EF7454">
        <w:rPr>
          <w:sz w:val="16"/>
        </w:rPr>
        <w:t xml:space="preserve"> frustration among many </w:t>
      </w:r>
      <w:r w:rsidRPr="00193893">
        <w:rPr>
          <w:rStyle w:val="StyleUnderline"/>
        </w:rPr>
        <w:t>businesses</w:t>
      </w:r>
      <w:r w:rsidRPr="00EF7454">
        <w:rPr>
          <w:sz w:val="16"/>
        </w:rPr>
        <w:t xml:space="preserve">, leading to </w:t>
      </w:r>
      <w:r w:rsidRPr="00193893">
        <w:rPr>
          <w:rStyle w:val="StyleUnderline"/>
        </w:rPr>
        <w:t>complicated compliance programs</w:t>
      </w:r>
      <w:r w:rsidRPr="00EF7454">
        <w:rPr>
          <w:sz w:val="16"/>
        </w:rPr>
        <w:t xml:space="preserve">, </w:t>
      </w:r>
      <w:r w:rsidRPr="00193893">
        <w:rPr>
          <w:rStyle w:val="Emphasis"/>
          <w:highlight w:val="cyan"/>
        </w:rPr>
        <w:t>unpredictability</w:t>
      </w:r>
      <w:r w:rsidRPr="00EF7454">
        <w:rPr>
          <w:sz w:val="16"/>
        </w:rPr>
        <w:t>, and friction in developing a “</w:t>
      </w:r>
      <w:r w:rsidRPr="00193893">
        <w:rPr>
          <w:rStyle w:val="StyleUnderline"/>
        </w:rPr>
        <w:t>one size fits all</w:t>
      </w:r>
      <w:r w:rsidRPr="00EF7454">
        <w:rPr>
          <w:sz w:val="16"/>
        </w:rPr>
        <w:t xml:space="preserve">” approach to </w:t>
      </w:r>
      <w:r w:rsidRPr="00193893">
        <w:rPr>
          <w:rStyle w:val="StyleUnderline"/>
        </w:rPr>
        <w:t>privacy in the U.S.</w:t>
      </w:r>
      <w:r w:rsidRPr="00EF7454">
        <w:rPr>
          <w:sz w:val="16"/>
        </w:rPr>
        <w:t xml:space="preserve"> Further, </w:t>
      </w:r>
      <w:r w:rsidRPr="00193893">
        <w:rPr>
          <w:rStyle w:val="StyleUnderline"/>
        </w:rPr>
        <w:t>organizations</w:t>
      </w:r>
      <w:r w:rsidRPr="00EF7454">
        <w:rPr>
          <w:sz w:val="16"/>
        </w:rPr>
        <w:t xml:space="preserve"> have had to </w:t>
      </w:r>
      <w:r w:rsidRPr="00193893">
        <w:rPr>
          <w:rStyle w:val="StyleUnderline"/>
        </w:rPr>
        <w:t>struggle with awkward consumer relations</w:t>
      </w:r>
      <w:r w:rsidRPr="00EF7454">
        <w:rPr>
          <w:sz w:val="16"/>
        </w:rPr>
        <w:t xml:space="preserve"> </w:t>
      </w:r>
      <w:r w:rsidRPr="00193893">
        <w:rPr>
          <w:rStyle w:val="StyleUnderline"/>
        </w:rPr>
        <w:t>where privacy rights</w:t>
      </w:r>
      <w:r w:rsidRPr="00EF7454">
        <w:rPr>
          <w:sz w:val="16"/>
        </w:rPr>
        <w:t xml:space="preserve"> often depend upon an individual’s </w:t>
      </w:r>
      <w:r w:rsidRPr="00193893">
        <w:rPr>
          <w:rStyle w:val="StyleUnderline"/>
        </w:rPr>
        <w:t>state of residence</w:t>
      </w:r>
      <w:r w:rsidRPr="00EF7454">
        <w:rPr>
          <w:sz w:val="16"/>
        </w:rPr>
        <w:t xml:space="preserve">. While a </w:t>
      </w:r>
      <w:r w:rsidRPr="00193893">
        <w:rPr>
          <w:rStyle w:val="StyleUnderline"/>
          <w:highlight w:val="cyan"/>
        </w:rPr>
        <w:t xml:space="preserve">federal </w:t>
      </w:r>
      <w:r w:rsidRPr="00193893">
        <w:rPr>
          <w:rStyle w:val="Emphasis"/>
          <w:highlight w:val="cyan"/>
        </w:rPr>
        <w:t>comprehensive</w:t>
      </w:r>
      <w:r w:rsidRPr="00193893">
        <w:rPr>
          <w:rStyle w:val="StyleUnderline"/>
          <w:highlight w:val="cyan"/>
        </w:rPr>
        <w:t xml:space="preserve"> privacy law will</w:t>
      </w:r>
      <w:r w:rsidRPr="00EF7454">
        <w:rPr>
          <w:sz w:val="16"/>
        </w:rPr>
        <w:t xml:space="preserve"> certainly bring more </w:t>
      </w:r>
      <w:r w:rsidRPr="00193893">
        <w:rPr>
          <w:rStyle w:val="StyleUnderline"/>
        </w:rPr>
        <w:t>businesses into the fold</w:t>
      </w:r>
      <w:r w:rsidRPr="00EF7454">
        <w:rPr>
          <w:sz w:val="16"/>
        </w:rPr>
        <w:t xml:space="preserve"> and require </w:t>
      </w:r>
      <w:r w:rsidRPr="00193893">
        <w:rPr>
          <w:rStyle w:val="StyleUnderline"/>
        </w:rPr>
        <w:t>additional compliance</w:t>
      </w:r>
      <w:r w:rsidRPr="00EF7454">
        <w:rPr>
          <w:sz w:val="16"/>
        </w:rPr>
        <w:t xml:space="preserve"> measures for most </w:t>
      </w:r>
      <w:r w:rsidRPr="00193893">
        <w:rPr>
          <w:rStyle w:val="StyleUnderline"/>
        </w:rPr>
        <w:t>covered businesses</w:t>
      </w:r>
      <w:r w:rsidRPr="00EF7454">
        <w:rPr>
          <w:sz w:val="16"/>
        </w:rPr>
        <w:t xml:space="preserve">, the flipside is that a </w:t>
      </w:r>
      <w:r w:rsidRPr="00193893">
        <w:rPr>
          <w:rStyle w:val="StyleUnderline"/>
        </w:rPr>
        <w:t>federal privacy law</w:t>
      </w:r>
      <w:r w:rsidRPr="00EF7454">
        <w:rPr>
          <w:sz w:val="16"/>
        </w:rPr>
        <w:t xml:space="preserve"> could pave the way for </w:t>
      </w:r>
      <w:r w:rsidRPr="00193893">
        <w:rPr>
          <w:rStyle w:val="StyleUnderline"/>
        </w:rPr>
        <w:t>businesses</w:t>
      </w:r>
      <w:r w:rsidRPr="00EF7454">
        <w:rPr>
          <w:sz w:val="16"/>
        </w:rPr>
        <w:t xml:space="preserve"> to </w:t>
      </w:r>
      <w:r w:rsidRPr="00193893">
        <w:rPr>
          <w:rStyle w:val="Emphasis"/>
          <w:highlight w:val="cyan"/>
        </w:rPr>
        <w:t>streamline</w:t>
      </w:r>
      <w:r w:rsidRPr="00193893">
        <w:rPr>
          <w:rStyle w:val="StyleUnderline"/>
          <w:highlight w:val="cyan"/>
        </w:rPr>
        <w:t xml:space="preserve"> and </w:t>
      </w:r>
      <w:r w:rsidRPr="00193893">
        <w:rPr>
          <w:rStyle w:val="Emphasis"/>
          <w:highlight w:val="cyan"/>
        </w:rPr>
        <w:t>standardize</w:t>
      </w:r>
      <w:r w:rsidRPr="00EF7454">
        <w:rPr>
          <w:sz w:val="16"/>
        </w:rPr>
        <w:t xml:space="preserve"> their </w:t>
      </w:r>
      <w:r w:rsidRPr="00193893">
        <w:rPr>
          <w:rStyle w:val="StyleUnderline"/>
        </w:rPr>
        <w:t xml:space="preserve">U.S. </w:t>
      </w:r>
      <w:r w:rsidRPr="00193893">
        <w:rPr>
          <w:rStyle w:val="StyleUnderline"/>
          <w:highlight w:val="cyan"/>
        </w:rPr>
        <w:t xml:space="preserve">approach to </w:t>
      </w:r>
      <w:r w:rsidRPr="00193893">
        <w:rPr>
          <w:rStyle w:val="Emphasis"/>
          <w:highlight w:val="cyan"/>
        </w:rPr>
        <w:t>privacy</w:t>
      </w:r>
      <w:r w:rsidRPr="00EF7454">
        <w:rPr>
          <w:sz w:val="16"/>
        </w:rPr>
        <w:t>.</w:t>
      </w:r>
    </w:p>
    <w:p w:rsidR="00706303" w:rsidRPr="00EF7454" w:rsidRDefault="00706303" w:rsidP="00706303">
      <w:pPr>
        <w:rPr>
          <w:sz w:val="16"/>
        </w:rPr>
      </w:pPr>
      <w:r w:rsidRPr="00EF7454">
        <w:rPr>
          <w:sz w:val="16"/>
        </w:rPr>
        <w:t>On April 7, House Committee on Energy and Commerce Chair Cathy McMorris Rodgers (R-Wash.), and Senate Committee on Commerce, Science and Transportation Chair Maria Cantwell (D-Wash.), unveiled a discussion draft of the </w:t>
      </w:r>
      <w:r w:rsidRPr="00193893">
        <w:rPr>
          <w:rStyle w:val="StyleUnderline"/>
        </w:rPr>
        <w:t>American Privacy Rights Act</w:t>
      </w:r>
      <w:r w:rsidRPr="00EF7454">
        <w:rPr>
          <w:sz w:val="16"/>
        </w:rPr>
        <w:t> (</w:t>
      </w:r>
      <w:r w:rsidRPr="00193893">
        <w:rPr>
          <w:rStyle w:val="Emphasis"/>
          <w:highlight w:val="cyan"/>
        </w:rPr>
        <w:t>APRA</w:t>
      </w:r>
      <w:r w:rsidRPr="00EF7454">
        <w:rPr>
          <w:sz w:val="16"/>
        </w:rPr>
        <w:t xml:space="preserve">), a proposed </w:t>
      </w:r>
      <w:r w:rsidRPr="00193893">
        <w:rPr>
          <w:rStyle w:val="StyleUnderline"/>
        </w:rPr>
        <w:t>comprehensive federal privacy law</w:t>
      </w:r>
      <w:r w:rsidRPr="00EF7454">
        <w:rPr>
          <w:sz w:val="16"/>
        </w:rPr>
        <w:t xml:space="preserve"> that </w:t>
      </w:r>
      <w:r w:rsidRPr="00193893">
        <w:rPr>
          <w:rStyle w:val="StyleUnderline"/>
          <w:highlight w:val="cyan"/>
        </w:rPr>
        <w:t>would provide</w:t>
      </w:r>
      <w:r w:rsidRPr="00EF7454">
        <w:rPr>
          <w:sz w:val="16"/>
        </w:rPr>
        <w:t xml:space="preserve"> all </w:t>
      </w:r>
      <w:r w:rsidRPr="00193893">
        <w:rPr>
          <w:rStyle w:val="Emphasis"/>
          <w:highlight w:val="cyan"/>
        </w:rPr>
        <w:t>Americans</w:t>
      </w:r>
      <w:r w:rsidRPr="00193893">
        <w:rPr>
          <w:rStyle w:val="StyleUnderline"/>
          <w:highlight w:val="cyan"/>
        </w:rPr>
        <w:t xml:space="preserve"> with broad </w:t>
      </w:r>
      <w:r w:rsidRPr="00193893">
        <w:rPr>
          <w:rStyle w:val="Emphasis"/>
          <w:highlight w:val="cyan"/>
        </w:rPr>
        <w:t>privacy</w:t>
      </w:r>
      <w:r w:rsidRPr="00193893">
        <w:rPr>
          <w:rStyle w:val="StyleUnderline"/>
          <w:highlight w:val="cyan"/>
        </w:rPr>
        <w:t xml:space="preserve"> rights</w:t>
      </w:r>
      <w:r w:rsidRPr="00EF7454">
        <w:rPr>
          <w:sz w:val="16"/>
        </w:rPr>
        <w:t xml:space="preserve">, preempt the maze of </w:t>
      </w:r>
      <w:r w:rsidRPr="00193893">
        <w:rPr>
          <w:rStyle w:val="StyleUnderline"/>
        </w:rPr>
        <w:t>comprehensive state privacy laws</w:t>
      </w:r>
      <w:r w:rsidRPr="00EF7454">
        <w:rPr>
          <w:sz w:val="16"/>
        </w:rPr>
        <w:t xml:space="preserve">, implement </w:t>
      </w:r>
      <w:r w:rsidRPr="00193893">
        <w:rPr>
          <w:rStyle w:val="StyleUnderline"/>
        </w:rPr>
        <w:t>transparency requirements and restrictions</w:t>
      </w:r>
      <w:r w:rsidRPr="00EF7454">
        <w:rPr>
          <w:sz w:val="16"/>
        </w:rPr>
        <w:t xml:space="preserve"> on </w:t>
      </w:r>
      <w:r w:rsidRPr="00193893">
        <w:rPr>
          <w:rStyle w:val="StyleUnderline"/>
        </w:rPr>
        <w:t>covered businesses’ processing of personal data</w:t>
      </w:r>
      <w:r w:rsidRPr="00EF7454">
        <w:rPr>
          <w:sz w:val="16"/>
        </w:rPr>
        <w:t xml:space="preserve">, </w:t>
      </w:r>
      <w:r w:rsidRPr="00193893">
        <w:rPr>
          <w:rStyle w:val="StyleUnderline"/>
          <w:highlight w:val="cyan"/>
        </w:rPr>
        <w:t>and establish</w:t>
      </w:r>
      <w:r w:rsidRPr="00193893">
        <w:rPr>
          <w:rStyle w:val="StyleUnderline"/>
        </w:rPr>
        <w:t xml:space="preserve"> </w:t>
      </w:r>
      <w:r w:rsidRPr="00EF7454">
        <w:rPr>
          <w:sz w:val="16"/>
        </w:rPr>
        <w:t xml:space="preserve">robust and </w:t>
      </w:r>
      <w:r w:rsidRPr="00193893">
        <w:rPr>
          <w:rStyle w:val="StyleUnderline"/>
          <w:highlight w:val="cyan"/>
        </w:rPr>
        <w:t xml:space="preserve">clear </w:t>
      </w:r>
      <w:r w:rsidRPr="00193893">
        <w:rPr>
          <w:rStyle w:val="Emphasis"/>
          <w:highlight w:val="cyan"/>
        </w:rPr>
        <w:t>enforcement</w:t>
      </w:r>
      <w:r w:rsidRPr="00193893">
        <w:rPr>
          <w:rStyle w:val="StyleUnderline"/>
          <w:highlight w:val="cyan"/>
        </w:rPr>
        <w:t xml:space="preserve"> mechanisms</w:t>
      </w:r>
      <w:r w:rsidRPr="00EF7454">
        <w:rPr>
          <w:sz w:val="16"/>
        </w:rPr>
        <w:t xml:space="preserve">. The </w:t>
      </w:r>
      <w:r w:rsidRPr="00193893">
        <w:rPr>
          <w:rStyle w:val="Emphasis"/>
        </w:rPr>
        <w:t>APRA</w:t>
      </w:r>
      <w:r w:rsidRPr="00EF7454">
        <w:rPr>
          <w:sz w:val="16"/>
        </w:rPr>
        <w:t xml:space="preserve"> is a </w:t>
      </w:r>
      <w:r w:rsidRPr="00193893">
        <w:rPr>
          <w:rStyle w:val="StyleUnderline"/>
        </w:rPr>
        <w:t>renewed effort following</w:t>
      </w:r>
      <w:r w:rsidRPr="00EF7454">
        <w:rPr>
          <w:sz w:val="16"/>
        </w:rPr>
        <w:t xml:space="preserve"> failure of the </w:t>
      </w:r>
      <w:r w:rsidRPr="00193893">
        <w:rPr>
          <w:rStyle w:val="StyleUnderline"/>
        </w:rPr>
        <w:t>American Data Privacy and Protection Act</w:t>
      </w:r>
      <w:r w:rsidRPr="00EF7454">
        <w:rPr>
          <w:sz w:val="16"/>
        </w:rPr>
        <w:t> to gain traction roughly two years ago.</w:t>
      </w:r>
    </w:p>
    <w:p w:rsidR="00706303" w:rsidRPr="00EF7454" w:rsidRDefault="00706303" w:rsidP="00706303">
      <w:pPr>
        <w:rPr>
          <w:sz w:val="16"/>
        </w:rPr>
      </w:pPr>
      <w:r w:rsidRPr="00EF7454">
        <w:rPr>
          <w:sz w:val="16"/>
        </w:rPr>
        <w:t xml:space="preserve">In a press release accompanying unveiling of the </w:t>
      </w:r>
      <w:r w:rsidRPr="00193893">
        <w:rPr>
          <w:rStyle w:val="Emphasis"/>
          <w:highlight w:val="cyan"/>
        </w:rPr>
        <w:t>APRA</w:t>
      </w:r>
      <w:r w:rsidRPr="00EF7454">
        <w:rPr>
          <w:sz w:val="16"/>
        </w:rPr>
        <w:t xml:space="preserve"> draft, Chair Rodgers and Cantwell noted, “</w:t>
      </w:r>
      <w:r w:rsidRPr="00193893">
        <w:rPr>
          <w:rStyle w:val="StyleUnderline"/>
        </w:rPr>
        <w:t>This bipartisan, bicameral</w:t>
      </w:r>
      <w:r w:rsidRPr="00EF7454">
        <w:rPr>
          <w:sz w:val="16"/>
        </w:rPr>
        <w:t xml:space="preserve"> </w:t>
      </w:r>
      <w:r w:rsidRPr="00193893">
        <w:rPr>
          <w:rStyle w:val="StyleUnderline"/>
        </w:rPr>
        <w:t>draft</w:t>
      </w:r>
      <w:r w:rsidRPr="00EF7454">
        <w:rPr>
          <w:sz w:val="16"/>
        </w:rPr>
        <w:t xml:space="preserve"> </w:t>
      </w:r>
      <w:r w:rsidRPr="00193893">
        <w:rPr>
          <w:rStyle w:val="StyleUnderline"/>
        </w:rPr>
        <w:t>legislation</w:t>
      </w:r>
      <w:r w:rsidRPr="00EF7454">
        <w:rPr>
          <w:sz w:val="16"/>
        </w:rPr>
        <w:t xml:space="preserve"> is the best opportunity we’ve had in decades to </w:t>
      </w:r>
      <w:r w:rsidRPr="00193893">
        <w:rPr>
          <w:rStyle w:val="StyleUnderline"/>
          <w:highlight w:val="cyan"/>
        </w:rPr>
        <w:t xml:space="preserve">establish a national data </w:t>
      </w:r>
      <w:r w:rsidRPr="00193893">
        <w:rPr>
          <w:rStyle w:val="Emphasis"/>
          <w:highlight w:val="cyan"/>
        </w:rPr>
        <w:t>privacy</w:t>
      </w:r>
      <w:r w:rsidRPr="00193893">
        <w:rPr>
          <w:rStyle w:val="StyleUnderline"/>
          <w:highlight w:val="cyan"/>
        </w:rPr>
        <w:t xml:space="preserve"> and </w:t>
      </w:r>
      <w:r w:rsidRPr="00193893">
        <w:rPr>
          <w:rStyle w:val="Emphasis"/>
          <w:highlight w:val="cyan"/>
        </w:rPr>
        <w:t>security</w:t>
      </w:r>
      <w:r w:rsidRPr="00EF7454">
        <w:rPr>
          <w:sz w:val="16"/>
        </w:rPr>
        <w:t xml:space="preserve"> standard that gives people the right to control their personal information.”</w:t>
      </w:r>
    </w:p>
    <w:p w:rsidR="00706303" w:rsidRPr="00EF7454" w:rsidRDefault="00706303" w:rsidP="00706303">
      <w:pPr>
        <w:rPr>
          <w:sz w:val="16"/>
        </w:rPr>
      </w:pPr>
      <w:r w:rsidRPr="00EF7454">
        <w:rPr>
          <w:sz w:val="16"/>
        </w:rPr>
        <w:t xml:space="preserve">“A </w:t>
      </w:r>
      <w:r w:rsidRPr="00EF7454">
        <w:rPr>
          <w:rStyle w:val="StyleUnderline"/>
        </w:rPr>
        <w:t>federal data privacy law</w:t>
      </w:r>
      <w:r w:rsidRPr="00EF7454">
        <w:rPr>
          <w:sz w:val="16"/>
        </w:rPr>
        <w:t xml:space="preserve"> must do two things: it </w:t>
      </w:r>
      <w:r w:rsidRPr="00EF7454">
        <w:rPr>
          <w:rStyle w:val="StyleUnderline"/>
        </w:rPr>
        <w:t>must make privacy a consumer right</w:t>
      </w:r>
      <w:r w:rsidRPr="00EF7454">
        <w:rPr>
          <w:sz w:val="16"/>
        </w:rPr>
        <w:t xml:space="preserve">, </w:t>
      </w:r>
      <w:r w:rsidRPr="00EF7454">
        <w:rPr>
          <w:rStyle w:val="StyleUnderline"/>
          <w:highlight w:val="cyan"/>
        </w:rPr>
        <w:t>and</w:t>
      </w:r>
      <w:r w:rsidRPr="00EF7454">
        <w:rPr>
          <w:sz w:val="16"/>
        </w:rPr>
        <w:t xml:space="preserve"> it must </w:t>
      </w:r>
      <w:r w:rsidRPr="00EF7454">
        <w:rPr>
          <w:rStyle w:val="StyleUnderline"/>
          <w:highlight w:val="cyan"/>
        </w:rPr>
        <w:t xml:space="preserve">give consumers the ability to </w:t>
      </w:r>
      <w:r w:rsidRPr="00EF7454">
        <w:rPr>
          <w:rStyle w:val="Emphasis"/>
          <w:highlight w:val="cyan"/>
        </w:rPr>
        <w:t>enforce</w:t>
      </w:r>
      <w:r w:rsidRPr="00EF7454">
        <w:rPr>
          <w:rStyle w:val="StyleUnderline"/>
          <w:highlight w:val="cyan"/>
        </w:rPr>
        <w:t xml:space="preserve"> that right</w:t>
      </w:r>
      <w:r w:rsidRPr="00EF7454">
        <w:rPr>
          <w:sz w:val="16"/>
        </w:rPr>
        <w:t xml:space="preserve">” said Chair Cantwell. "This landmark legislation gives Americans the right to control where their information goes and who can sell it. It </w:t>
      </w:r>
      <w:proofErr w:type="spellStart"/>
      <w:r w:rsidRPr="00EF7454">
        <w:rPr>
          <w:sz w:val="16"/>
        </w:rPr>
        <w:t>reins</w:t>
      </w:r>
      <w:proofErr w:type="spellEnd"/>
      <w:r w:rsidRPr="00EF7454">
        <w:rPr>
          <w:sz w:val="16"/>
        </w:rPr>
        <w:t xml:space="preserve"> in Big Tech by </w:t>
      </w:r>
      <w:r w:rsidRPr="00EF7454">
        <w:rPr>
          <w:rStyle w:val="StyleUnderline"/>
        </w:rPr>
        <w:t>prohibiting them from tracking</w:t>
      </w:r>
      <w:r w:rsidRPr="00EF7454">
        <w:rPr>
          <w:sz w:val="16"/>
        </w:rPr>
        <w:t xml:space="preserve">, </w:t>
      </w:r>
      <w:r w:rsidRPr="00EF7454">
        <w:rPr>
          <w:rStyle w:val="StyleUnderline"/>
        </w:rPr>
        <w:t>predicting</w:t>
      </w:r>
      <w:r w:rsidRPr="00EF7454">
        <w:rPr>
          <w:sz w:val="16"/>
        </w:rPr>
        <w:t xml:space="preserve">, and </w:t>
      </w:r>
      <w:r w:rsidRPr="00EF7454">
        <w:rPr>
          <w:rStyle w:val="StyleUnderline"/>
        </w:rPr>
        <w:t>manipulating people’s</w:t>
      </w:r>
      <w:r w:rsidRPr="00EF7454">
        <w:rPr>
          <w:sz w:val="16"/>
        </w:rPr>
        <w:t xml:space="preserve"> behaviors for profit without their </w:t>
      </w:r>
      <w:r w:rsidRPr="00EF7454">
        <w:rPr>
          <w:rStyle w:val="StyleUnderline"/>
        </w:rPr>
        <w:t>knowledge and consent</w:t>
      </w:r>
      <w:r w:rsidRPr="00EF7454">
        <w:rPr>
          <w:sz w:val="16"/>
        </w:rPr>
        <w:t xml:space="preserve">. Americans </w:t>
      </w:r>
      <w:r w:rsidRPr="00EF7454">
        <w:rPr>
          <w:rStyle w:val="StyleUnderline"/>
        </w:rPr>
        <w:t>overwhelmingly want these rights</w:t>
      </w:r>
      <w:r w:rsidRPr="00EF7454">
        <w:rPr>
          <w:sz w:val="16"/>
        </w:rPr>
        <w:t xml:space="preserve">, and they are looking to us, their </w:t>
      </w:r>
      <w:r w:rsidRPr="00EF7454">
        <w:rPr>
          <w:rStyle w:val="StyleUnderline"/>
        </w:rPr>
        <w:t>elected representatives</w:t>
      </w:r>
      <w:r w:rsidRPr="00EF7454">
        <w:rPr>
          <w:sz w:val="16"/>
        </w:rPr>
        <w:t>, to act" said Chair Rodgers. </w:t>
      </w:r>
    </w:p>
    <w:p w:rsidR="00706303" w:rsidRPr="00EF7454" w:rsidRDefault="00706303" w:rsidP="00706303">
      <w:pPr>
        <w:rPr>
          <w:sz w:val="16"/>
        </w:rPr>
      </w:pPr>
      <w:r w:rsidRPr="00EF7454">
        <w:rPr>
          <w:sz w:val="16"/>
        </w:rPr>
        <w:t>A High-Level Look at the American Privacy Rights Act</w:t>
      </w:r>
    </w:p>
    <w:p w:rsidR="00706303" w:rsidRPr="00EF7454" w:rsidRDefault="00706303" w:rsidP="00706303">
      <w:pPr>
        <w:rPr>
          <w:sz w:val="16"/>
        </w:rPr>
      </w:pPr>
      <w:r w:rsidRPr="00EF7454">
        <w:rPr>
          <w:sz w:val="16"/>
        </w:rPr>
        <w:t>Applicability</w:t>
      </w:r>
    </w:p>
    <w:p w:rsidR="00706303" w:rsidRPr="00EF7454" w:rsidRDefault="00706303" w:rsidP="00706303">
      <w:pPr>
        <w:rPr>
          <w:sz w:val="16"/>
        </w:rPr>
      </w:pPr>
      <w:r w:rsidRPr="00EF7454">
        <w:rPr>
          <w:sz w:val="16"/>
        </w:rPr>
        <w:t xml:space="preserve">In contrast to most current state privacy laws, the </w:t>
      </w:r>
      <w:r w:rsidRPr="00EF7454">
        <w:rPr>
          <w:rStyle w:val="StyleUnderline"/>
        </w:rPr>
        <w:t>APRA would apply to both commercial businesses</w:t>
      </w:r>
      <w:r w:rsidRPr="00EF7454">
        <w:rPr>
          <w:sz w:val="16"/>
        </w:rPr>
        <w:t xml:space="preserve"> as well as </w:t>
      </w:r>
      <w:r w:rsidRPr="00EF7454">
        <w:rPr>
          <w:rStyle w:val="StyleUnderline"/>
        </w:rPr>
        <w:t>nonprofit organizations</w:t>
      </w:r>
      <w:r w:rsidRPr="00EF7454">
        <w:rPr>
          <w:sz w:val="16"/>
        </w:rPr>
        <w:t>. However, “</w:t>
      </w:r>
      <w:r w:rsidRPr="00EF7454">
        <w:rPr>
          <w:rStyle w:val="Emphasis"/>
        </w:rPr>
        <w:t>small businesses</w:t>
      </w:r>
      <w:r w:rsidRPr="00EF7454">
        <w:rPr>
          <w:sz w:val="16"/>
        </w:rPr>
        <w:t xml:space="preserve">,” meaning those businesses with average annual revenue of $40 million or less during the preceding three (3) years that do not collect personal data of more than 200,000 individuals and </w:t>
      </w:r>
      <w:r w:rsidRPr="00EF7454">
        <w:rPr>
          <w:rStyle w:val="StyleUnderline"/>
        </w:rPr>
        <w:t>do not sell personal data</w:t>
      </w:r>
      <w:r w:rsidRPr="00EF7454">
        <w:rPr>
          <w:sz w:val="16"/>
        </w:rPr>
        <w:t xml:space="preserve">, would be </w:t>
      </w:r>
      <w:r w:rsidRPr="00EF7454">
        <w:rPr>
          <w:rStyle w:val="StyleUnderline"/>
        </w:rPr>
        <w:t>exempt from the APRA</w:t>
      </w:r>
      <w:r w:rsidRPr="00EF7454">
        <w:rPr>
          <w:sz w:val="16"/>
        </w:rPr>
        <w:t xml:space="preserve">. The </w:t>
      </w:r>
      <w:r w:rsidRPr="00EF7454">
        <w:rPr>
          <w:rStyle w:val="StyleUnderline"/>
        </w:rPr>
        <w:t>APRA would also not apply to government entities</w:t>
      </w:r>
      <w:r w:rsidRPr="00EF7454">
        <w:rPr>
          <w:sz w:val="16"/>
        </w:rPr>
        <w:t>.</w:t>
      </w:r>
    </w:p>
    <w:p w:rsidR="00706303" w:rsidRPr="00EF7454" w:rsidRDefault="00706303" w:rsidP="00706303">
      <w:pPr>
        <w:rPr>
          <w:sz w:val="16"/>
        </w:rPr>
      </w:pPr>
      <w:r w:rsidRPr="00EF7454">
        <w:rPr>
          <w:sz w:val="16"/>
        </w:rPr>
        <w:t>Consumer Privacy Rights</w:t>
      </w:r>
    </w:p>
    <w:p w:rsidR="00706303" w:rsidRPr="00EF7454" w:rsidRDefault="00706303" w:rsidP="00706303">
      <w:pPr>
        <w:rPr>
          <w:sz w:val="16"/>
        </w:rPr>
      </w:pPr>
      <w:r w:rsidRPr="00EF7454">
        <w:rPr>
          <w:sz w:val="16"/>
        </w:rPr>
        <w:t xml:space="preserve">The </w:t>
      </w:r>
      <w:r w:rsidRPr="00EF7454">
        <w:rPr>
          <w:rStyle w:val="StyleUnderline"/>
        </w:rPr>
        <w:t>APRA</w:t>
      </w:r>
      <w:r w:rsidRPr="00EF7454">
        <w:rPr>
          <w:sz w:val="16"/>
        </w:rPr>
        <w:t xml:space="preserve"> would create a </w:t>
      </w:r>
      <w:r w:rsidRPr="00EF7454">
        <w:rPr>
          <w:rStyle w:val="StyleUnderline"/>
        </w:rPr>
        <w:t>broad set of consumer rights</w:t>
      </w:r>
      <w:r w:rsidRPr="00EF7454">
        <w:rPr>
          <w:sz w:val="16"/>
        </w:rPr>
        <w:t xml:space="preserve"> with respect to their </w:t>
      </w:r>
      <w:r w:rsidRPr="00EF7454">
        <w:rPr>
          <w:rStyle w:val="StyleUnderline"/>
        </w:rPr>
        <w:t>personal data</w:t>
      </w:r>
      <w:r w:rsidRPr="00EF7454">
        <w:rPr>
          <w:sz w:val="16"/>
        </w:rPr>
        <w:t xml:space="preserve"> (referred to as “covered data” in the APRA), including the </w:t>
      </w:r>
      <w:r w:rsidRPr="00EF7454">
        <w:rPr>
          <w:rStyle w:val="StyleUnderline"/>
        </w:rPr>
        <w:t>right to access</w:t>
      </w:r>
      <w:r w:rsidRPr="00EF7454">
        <w:rPr>
          <w:sz w:val="16"/>
        </w:rPr>
        <w:t xml:space="preserve">, </w:t>
      </w:r>
      <w:r w:rsidRPr="00EF7454">
        <w:rPr>
          <w:rStyle w:val="StyleUnderline"/>
        </w:rPr>
        <w:t>correct</w:t>
      </w:r>
      <w:r w:rsidRPr="00EF7454">
        <w:rPr>
          <w:sz w:val="16"/>
        </w:rPr>
        <w:t xml:space="preserve">, </w:t>
      </w:r>
      <w:r w:rsidRPr="00EF7454">
        <w:rPr>
          <w:rStyle w:val="StyleUnderline"/>
        </w:rPr>
        <w:t>delete</w:t>
      </w:r>
      <w:r w:rsidRPr="00EF7454">
        <w:rPr>
          <w:sz w:val="16"/>
        </w:rPr>
        <w:t xml:space="preserve">, and </w:t>
      </w:r>
      <w:r w:rsidRPr="00EF7454">
        <w:rPr>
          <w:rStyle w:val="StyleUnderline"/>
        </w:rPr>
        <w:t>export their data</w:t>
      </w:r>
      <w:r w:rsidRPr="00EF7454">
        <w:rPr>
          <w:sz w:val="16"/>
        </w:rPr>
        <w:t xml:space="preserve">, as well as </w:t>
      </w:r>
      <w:r w:rsidRPr="00EF7454">
        <w:rPr>
          <w:rStyle w:val="StyleUnderline"/>
        </w:rPr>
        <w:t>opt out</w:t>
      </w:r>
      <w:r w:rsidRPr="00EF7454">
        <w:rPr>
          <w:sz w:val="16"/>
        </w:rPr>
        <w:t xml:space="preserve"> of </w:t>
      </w:r>
      <w:r w:rsidRPr="00EF7454">
        <w:rPr>
          <w:rStyle w:val="StyleUnderline"/>
        </w:rPr>
        <w:t>targeted advertising</w:t>
      </w:r>
      <w:r w:rsidRPr="00EF7454">
        <w:rPr>
          <w:sz w:val="16"/>
        </w:rPr>
        <w:t xml:space="preserve"> and </w:t>
      </w:r>
      <w:r w:rsidRPr="00EF7454">
        <w:rPr>
          <w:rStyle w:val="StyleUnderline"/>
        </w:rPr>
        <w:t>data transfers</w:t>
      </w:r>
      <w:r w:rsidRPr="00EF7454">
        <w:rPr>
          <w:sz w:val="16"/>
        </w:rPr>
        <w:t xml:space="preserve">, and would </w:t>
      </w:r>
      <w:r w:rsidRPr="00EF7454">
        <w:rPr>
          <w:rStyle w:val="StyleUnderline"/>
        </w:rPr>
        <w:t>provide individuals</w:t>
      </w:r>
      <w:r w:rsidRPr="00EF7454">
        <w:rPr>
          <w:sz w:val="16"/>
        </w:rPr>
        <w:t xml:space="preserve"> with the right to </w:t>
      </w:r>
      <w:r w:rsidRPr="00EF7454">
        <w:rPr>
          <w:rStyle w:val="StyleUnderline"/>
        </w:rPr>
        <w:t>opt out</w:t>
      </w:r>
      <w:r w:rsidRPr="00EF7454">
        <w:rPr>
          <w:sz w:val="16"/>
        </w:rPr>
        <w:t xml:space="preserve"> of the use of </w:t>
      </w:r>
      <w:r w:rsidRPr="00EF7454">
        <w:rPr>
          <w:rStyle w:val="StyleUnderline"/>
        </w:rPr>
        <w:t>algorithms for consequential decisions</w:t>
      </w:r>
      <w:r w:rsidRPr="00EF7454">
        <w:rPr>
          <w:sz w:val="16"/>
        </w:rPr>
        <w:t>.</w:t>
      </w:r>
    </w:p>
    <w:p w:rsidR="00706303" w:rsidRPr="00EF7454" w:rsidRDefault="00706303" w:rsidP="00706303">
      <w:pPr>
        <w:rPr>
          <w:sz w:val="16"/>
        </w:rPr>
      </w:pPr>
      <w:r w:rsidRPr="00EF7454">
        <w:rPr>
          <w:sz w:val="16"/>
        </w:rPr>
        <w:t>Business Obligations</w:t>
      </w:r>
    </w:p>
    <w:p w:rsidR="00706303" w:rsidRPr="00EF7454" w:rsidRDefault="00706303" w:rsidP="00706303">
      <w:pPr>
        <w:rPr>
          <w:sz w:val="16"/>
        </w:rPr>
      </w:pPr>
      <w:r w:rsidRPr="00EF7454">
        <w:rPr>
          <w:rStyle w:val="StyleUnderline"/>
        </w:rPr>
        <w:t>Covered businesses</w:t>
      </w:r>
      <w:r w:rsidRPr="00EF7454">
        <w:rPr>
          <w:sz w:val="16"/>
        </w:rPr>
        <w:t xml:space="preserve"> would be required to designate one or more employees to serve as a privacy or </w:t>
      </w:r>
      <w:r w:rsidRPr="00EF7454">
        <w:rPr>
          <w:rStyle w:val="StyleUnderline"/>
        </w:rPr>
        <w:t>data security officer</w:t>
      </w:r>
      <w:r w:rsidRPr="00EF7454">
        <w:rPr>
          <w:sz w:val="16"/>
        </w:rPr>
        <w:t xml:space="preserve">, meet </w:t>
      </w:r>
      <w:r w:rsidRPr="00EF7454">
        <w:rPr>
          <w:rStyle w:val="StyleUnderline"/>
        </w:rPr>
        <w:t>transparency</w:t>
      </w:r>
      <w:r w:rsidRPr="00EF7454">
        <w:rPr>
          <w:sz w:val="16"/>
        </w:rPr>
        <w:t xml:space="preserve"> (such as posting detailed privacy policies), </w:t>
      </w:r>
      <w:r w:rsidRPr="00EF7454">
        <w:rPr>
          <w:rStyle w:val="StyleUnderline"/>
        </w:rPr>
        <w:t>data security</w:t>
      </w:r>
      <w:r w:rsidRPr="00EF7454">
        <w:rPr>
          <w:sz w:val="16"/>
        </w:rPr>
        <w:t xml:space="preserve">, and </w:t>
      </w:r>
      <w:r w:rsidRPr="00EF7454">
        <w:rPr>
          <w:rStyle w:val="StyleUnderline"/>
        </w:rPr>
        <w:t xml:space="preserve">data minimization requirements </w:t>
      </w:r>
      <w:r w:rsidRPr="00EF7454">
        <w:rPr>
          <w:sz w:val="16"/>
        </w:rPr>
        <w:t xml:space="preserve">under the </w:t>
      </w:r>
      <w:r w:rsidRPr="00EF7454">
        <w:rPr>
          <w:rStyle w:val="Emphasis"/>
        </w:rPr>
        <w:t>APRA</w:t>
      </w:r>
      <w:r w:rsidRPr="00EF7454">
        <w:rPr>
          <w:sz w:val="16"/>
        </w:rPr>
        <w:t xml:space="preserve">, and would be </w:t>
      </w:r>
      <w:r w:rsidRPr="00EF7454">
        <w:rPr>
          <w:rStyle w:val="StyleUnderline"/>
        </w:rPr>
        <w:t>prohibited from collecting or transferring</w:t>
      </w:r>
      <w:r w:rsidRPr="00EF7454">
        <w:rPr>
          <w:sz w:val="16"/>
        </w:rPr>
        <w:t xml:space="preserve"> “sensitive covered data” (such as biometric or genetic information) to third parties </w:t>
      </w:r>
      <w:r w:rsidRPr="00EF7454">
        <w:rPr>
          <w:rStyle w:val="StyleUnderline"/>
        </w:rPr>
        <w:t>unless the business</w:t>
      </w:r>
      <w:r w:rsidRPr="00EF7454">
        <w:rPr>
          <w:sz w:val="16"/>
        </w:rPr>
        <w:t xml:space="preserve"> first obtained the consumer’s </w:t>
      </w:r>
      <w:r w:rsidRPr="00EF7454">
        <w:rPr>
          <w:rStyle w:val="StyleUnderline"/>
        </w:rPr>
        <w:t>affirmative express consent</w:t>
      </w:r>
      <w:r w:rsidRPr="00EF7454">
        <w:rPr>
          <w:sz w:val="16"/>
        </w:rPr>
        <w:t xml:space="preserve">. The APRA would also </w:t>
      </w:r>
      <w:r w:rsidRPr="00EF7454">
        <w:rPr>
          <w:rStyle w:val="StyleUnderline"/>
        </w:rPr>
        <w:t>prohibit covered businesses</w:t>
      </w:r>
      <w:r w:rsidRPr="00EF7454">
        <w:rPr>
          <w:sz w:val="16"/>
        </w:rPr>
        <w:t xml:space="preserve"> from using consumers’ </w:t>
      </w:r>
      <w:r w:rsidRPr="00EF7454">
        <w:rPr>
          <w:rStyle w:val="StyleUnderline"/>
        </w:rPr>
        <w:t>personal data</w:t>
      </w:r>
      <w:r w:rsidRPr="00EF7454">
        <w:rPr>
          <w:sz w:val="16"/>
        </w:rPr>
        <w:t xml:space="preserve"> to </w:t>
      </w:r>
      <w:r w:rsidRPr="00EF7454">
        <w:rPr>
          <w:rStyle w:val="StyleUnderline"/>
        </w:rPr>
        <w:t>discriminate</w:t>
      </w:r>
      <w:r w:rsidRPr="00EF7454">
        <w:rPr>
          <w:sz w:val="16"/>
        </w:rPr>
        <w:t xml:space="preserve"> against consumers.</w:t>
      </w:r>
    </w:p>
    <w:p w:rsidR="00706303" w:rsidRPr="00EF7454" w:rsidRDefault="00706303" w:rsidP="00706303">
      <w:pPr>
        <w:rPr>
          <w:sz w:val="16"/>
        </w:rPr>
      </w:pPr>
      <w:r w:rsidRPr="00EF7454">
        <w:rPr>
          <w:sz w:val="16"/>
        </w:rPr>
        <w:t xml:space="preserve">Data brokers would be </w:t>
      </w:r>
      <w:r w:rsidRPr="00EF7454">
        <w:rPr>
          <w:rStyle w:val="StyleUnderline"/>
        </w:rPr>
        <w:t>specifically regulated</w:t>
      </w:r>
      <w:r w:rsidRPr="00EF7454">
        <w:rPr>
          <w:sz w:val="16"/>
        </w:rPr>
        <w:t xml:space="preserve"> by the </w:t>
      </w:r>
      <w:r w:rsidRPr="00EF7454">
        <w:rPr>
          <w:rStyle w:val="Emphasis"/>
        </w:rPr>
        <w:t>APRA</w:t>
      </w:r>
      <w:r w:rsidRPr="00EF7454">
        <w:rPr>
          <w:sz w:val="16"/>
        </w:rPr>
        <w:t xml:space="preserve">, and would be required to maintain a </w:t>
      </w:r>
      <w:r w:rsidRPr="00EF7454">
        <w:rPr>
          <w:rStyle w:val="StyleUnderline"/>
        </w:rPr>
        <w:t>public website</w:t>
      </w:r>
      <w:r w:rsidRPr="00EF7454">
        <w:rPr>
          <w:sz w:val="16"/>
        </w:rPr>
        <w:t xml:space="preserve"> that identifies the entity as a </w:t>
      </w:r>
      <w:r w:rsidRPr="00EF7454">
        <w:rPr>
          <w:rStyle w:val="StyleUnderline"/>
        </w:rPr>
        <w:t>data broker</w:t>
      </w:r>
      <w:r w:rsidRPr="00EF7454">
        <w:rPr>
          <w:sz w:val="16"/>
        </w:rPr>
        <w:t xml:space="preserve"> and includes </w:t>
      </w:r>
      <w:r w:rsidRPr="00EF7454">
        <w:rPr>
          <w:rStyle w:val="StyleUnderline"/>
        </w:rPr>
        <w:t>tools for consumers</w:t>
      </w:r>
      <w:r w:rsidRPr="00EF7454">
        <w:rPr>
          <w:sz w:val="16"/>
        </w:rPr>
        <w:t xml:space="preserve"> to exercise their </w:t>
      </w:r>
      <w:r w:rsidRPr="00EF7454">
        <w:rPr>
          <w:rStyle w:val="StyleUnderline"/>
        </w:rPr>
        <w:t>consumer controls and opt-out</w:t>
      </w:r>
      <w:r w:rsidRPr="00EF7454">
        <w:rPr>
          <w:sz w:val="16"/>
        </w:rPr>
        <w:t xml:space="preserve"> rights. The </w:t>
      </w:r>
      <w:r w:rsidRPr="00EF7454">
        <w:rPr>
          <w:rStyle w:val="Emphasis"/>
        </w:rPr>
        <w:t>FTC</w:t>
      </w:r>
      <w:r w:rsidRPr="00EF7454">
        <w:rPr>
          <w:sz w:val="16"/>
        </w:rPr>
        <w:t xml:space="preserve"> would also be directed to create a </w:t>
      </w:r>
      <w:r w:rsidRPr="00EF7454">
        <w:rPr>
          <w:rStyle w:val="StyleUnderline"/>
        </w:rPr>
        <w:t>data broker registry</w:t>
      </w:r>
      <w:r w:rsidRPr="00EF7454">
        <w:rPr>
          <w:sz w:val="16"/>
        </w:rPr>
        <w:t xml:space="preserve"> (with registration requirements for certain data brokers), which would </w:t>
      </w:r>
      <w:r w:rsidRPr="00EF7454">
        <w:rPr>
          <w:rStyle w:val="StyleUnderline"/>
        </w:rPr>
        <w:t>include mechanisms</w:t>
      </w:r>
      <w:r w:rsidRPr="00EF7454">
        <w:rPr>
          <w:sz w:val="16"/>
        </w:rPr>
        <w:t xml:space="preserve"> for consumers to </w:t>
      </w:r>
      <w:r w:rsidRPr="00EF7454">
        <w:rPr>
          <w:rStyle w:val="StyleUnderline"/>
        </w:rPr>
        <w:t>opt-out of collection</w:t>
      </w:r>
      <w:r w:rsidRPr="00EF7454">
        <w:rPr>
          <w:sz w:val="16"/>
        </w:rPr>
        <w:t xml:space="preserve"> of their </w:t>
      </w:r>
      <w:r w:rsidRPr="00EF7454">
        <w:rPr>
          <w:rStyle w:val="StyleUnderline"/>
        </w:rPr>
        <w:t>personal data</w:t>
      </w:r>
      <w:r w:rsidRPr="00EF7454">
        <w:rPr>
          <w:sz w:val="16"/>
        </w:rPr>
        <w:t>.</w:t>
      </w:r>
    </w:p>
    <w:p w:rsidR="00706303" w:rsidRPr="00EF7454" w:rsidRDefault="00706303" w:rsidP="00706303">
      <w:pPr>
        <w:rPr>
          <w:sz w:val="16"/>
        </w:rPr>
      </w:pPr>
      <w:r w:rsidRPr="00EF7454">
        <w:rPr>
          <w:rStyle w:val="StyleUnderline"/>
        </w:rPr>
        <w:t>Enforcement</w:t>
      </w:r>
    </w:p>
    <w:p w:rsidR="00706303" w:rsidRPr="00EF7454" w:rsidRDefault="00706303" w:rsidP="00706303">
      <w:pPr>
        <w:rPr>
          <w:sz w:val="16"/>
        </w:rPr>
      </w:pPr>
      <w:r w:rsidRPr="00EF7454">
        <w:rPr>
          <w:sz w:val="16"/>
        </w:rPr>
        <w:t>FTC: The APRA provides for enforcement by the Federal Trade Commission (FTC), which would be directed to establish a new bureau in order to carry out its enforcement authority under the APRA.</w:t>
      </w:r>
    </w:p>
    <w:p w:rsidR="00706303" w:rsidRPr="00EF7454" w:rsidRDefault="00706303" w:rsidP="00706303">
      <w:pPr>
        <w:rPr>
          <w:sz w:val="16"/>
        </w:rPr>
      </w:pPr>
      <w:r w:rsidRPr="00EF7454">
        <w:rPr>
          <w:sz w:val="16"/>
        </w:rPr>
        <w:t>State Attorneys General: State attorneys general, chief consumer protection officers, and other similar state officers would have authority under the APRA to enforce the APRA.</w:t>
      </w:r>
    </w:p>
    <w:p w:rsidR="00706303" w:rsidRDefault="00706303" w:rsidP="00706303">
      <w:pPr>
        <w:rPr>
          <w:sz w:val="16"/>
        </w:rPr>
      </w:pPr>
      <w:r w:rsidRPr="00EF7454">
        <w:rPr>
          <w:rStyle w:val="StyleUnderline"/>
        </w:rPr>
        <w:t>Private Right of Action</w:t>
      </w:r>
      <w:r w:rsidRPr="00EF7454">
        <w:rPr>
          <w:sz w:val="16"/>
        </w:rPr>
        <w:t xml:space="preserve">: Notably, the </w:t>
      </w:r>
      <w:r w:rsidRPr="00EF7454">
        <w:rPr>
          <w:rStyle w:val="StyleUnderline"/>
          <w:highlight w:val="cyan"/>
        </w:rPr>
        <w:t xml:space="preserve">APRA would </w:t>
      </w:r>
      <w:r w:rsidRPr="00EF7454">
        <w:rPr>
          <w:rStyle w:val="Emphasis"/>
          <w:highlight w:val="cyan"/>
        </w:rPr>
        <w:t>allow</w:t>
      </w:r>
      <w:r w:rsidRPr="00EF7454">
        <w:rPr>
          <w:rStyle w:val="StyleUnderline"/>
          <w:highlight w:val="cyan"/>
        </w:rPr>
        <w:t xml:space="preserve"> individual</w:t>
      </w:r>
      <w:r w:rsidRPr="00EF7454">
        <w:rPr>
          <w:sz w:val="16"/>
        </w:rPr>
        <w:t xml:space="preserve"> </w:t>
      </w:r>
      <w:r w:rsidRPr="00EF7454">
        <w:rPr>
          <w:rStyle w:val="StyleUnderline"/>
        </w:rPr>
        <w:t>consumer</w:t>
      </w:r>
      <w:r w:rsidRPr="00EF7454">
        <w:rPr>
          <w:rStyle w:val="StyleUnderline"/>
          <w:highlight w:val="cyan"/>
        </w:rPr>
        <w:t>s</w:t>
      </w:r>
      <w:r w:rsidRPr="00EF7454">
        <w:rPr>
          <w:sz w:val="16"/>
        </w:rPr>
        <w:t xml:space="preserve"> </w:t>
      </w:r>
      <w:r w:rsidRPr="00EF7454">
        <w:rPr>
          <w:rStyle w:val="StyleUnderline"/>
          <w:highlight w:val="cyan"/>
        </w:rPr>
        <w:t>to file</w:t>
      </w:r>
      <w:r w:rsidRPr="00EF7454">
        <w:rPr>
          <w:rStyle w:val="StyleUnderline"/>
        </w:rPr>
        <w:t xml:space="preserve"> private</w:t>
      </w:r>
      <w:r w:rsidRPr="00EF7454">
        <w:rPr>
          <w:sz w:val="16"/>
        </w:rPr>
        <w:t xml:space="preserve"> </w:t>
      </w:r>
      <w:r w:rsidRPr="00EF7454">
        <w:rPr>
          <w:rStyle w:val="StyleUnderline"/>
          <w:highlight w:val="cyan"/>
        </w:rPr>
        <w:t>lawsuits</w:t>
      </w:r>
      <w:r w:rsidRPr="00EF7454">
        <w:rPr>
          <w:sz w:val="16"/>
        </w:rPr>
        <w:t xml:space="preserve"> </w:t>
      </w:r>
      <w:r w:rsidRPr="00EF7454">
        <w:rPr>
          <w:rStyle w:val="StyleUnderline"/>
          <w:highlight w:val="cyan"/>
        </w:rPr>
        <w:t xml:space="preserve">directly against </w:t>
      </w:r>
      <w:r w:rsidRPr="00EF7454">
        <w:rPr>
          <w:rStyle w:val="StyleUnderline"/>
        </w:rPr>
        <w:t xml:space="preserve">covered </w:t>
      </w:r>
      <w:r w:rsidRPr="00EF7454">
        <w:rPr>
          <w:rStyle w:val="Emphasis"/>
          <w:highlight w:val="cyan"/>
        </w:rPr>
        <w:t>businesses</w:t>
      </w:r>
      <w:r w:rsidRPr="00EF7454">
        <w:rPr>
          <w:sz w:val="16"/>
        </w:rPr>
        <w:t xml:space="preserve"> </w:t>
      </w:r>
      <w:r w:rsidRPr="00EF7454">
        <w:rPr>
          <w:rStyle w:val="StyleUnderline"/>
          <w:highlight w:val="cyan"/>
        </w:rPr>
        <w:t xml:space="preserve">that violate their </w:t>
      </w:r>
      <w:r w:rsidRPr="00EF7454">
        <w:rPr>
          <w:rStyle w:val="Emphasis"/>
          <w:highlight w:val="cyan"/>
        </w:rPr>
        <w:t>rights</w:t>
      </w:r>
      <w:r w:rsidRPr="00EF7454">
        <w:rPr>
          <w:sz w:val="16"/>
        </w:rPr>
        <w:t xml:space="preserve"> under the </w:t>
      </w:r>
      <w:r w:rsidRPr="00EF7454">
        <w:rPr>
          <w:rStyle w:val="Emphasis"/>
        </w:rPr>
        <w:t>APRA</w:t>
      </w:r>
      <w:r w:rsidRPr="00EF7454">
        <w:rPr>
          <w:sz w:val="16"/>
        </w:rPr>
        <w:t xml:space="preserve">, </w:t>
      </w:r>
      <w:r w:rsidRPr="00EF7454">
        <w:rPr>
          <w:rStyle w:val="StyleUnderline"/>
          <w:highlight w:val="cyan"/>
        </w:rPr>
        <w:t>allowing</w:t>
      </w:r>
      <w:r w:rsidRPr="00EF7454">
        <w:rPr>
          <w:sz w:val="16"/>
        </w:rPr>
        <w:t xml:space="preserve"> recovery </w:t>
      </w:r>
      <w:r w:rsidRPr="00EF7454">
        <w:rPr>
          <w:rStyle w:val="StyleUnderline"/>
          <w:highlight w:val="cyan"/>
        </w:rPr>
        <w:t>for</w:t>
      </w:r>
      <w:r w:rsidRPr="00EF7454">
        <w:rPr>
          <w:sz w:val="16"/>
        </w:rPr>
        <w:t xml:space="preserve"> actual damages, </w:t>
      </w:r>
      <w:r w:rsidRPr="00EF7454">
        <w:rPr>
          <w:rStyle w:val="StyleUnderline"/>
          <w:highlight w:val="cyan"/>
        </w:rPr>
        <w:t xml:space="preserve">injunctive </w:t>
      </w:r>
      <w:r w:rsidRPr="00EF7454">
        <w:rPr>
          <w:rStyle w:val="Emphasis"/>
          <w:highlight w:val="cyan"/>
        </w:rPr>
        <w:t>relief</w:t>
      </w:r>
      <w:r w:rsidRPr="00EF7454">
        <w:rPr>
          <w:sz w:val="16"/>
        </w:rPr>
        <w:t xml:space="preserve">, </w:t>
      </w:r>
      <w:r w:rsidRPr="00EF7454">
        <w:rPr>
          <w:rStyle w:val="StyleUnderline"/>
        </w:rPr>
        <w:t>declaratory relief</w:t>
      </w:r>
      <w:r w:rsidRPr="00EF7454">
        <w:rPr>
          <w:sz w:val="16"/>
        </w:rPr>
        <w:t xml:space="preserve">, and reasonable attorney fees and costs. In addition, consumers would be permitted to recover statutory damages consistent with Illinois’ Biometric Information Privacy Act and Genetic Information Privacy Act for an action involving a violation of the affirmative express consent provisions for </w:t>
      </w:r>
      <w:r w:rsidRPr="00EF7454">
        <w:rPr>
          <w:rStyle w:val="StyleUnderline"/>
        </w:rPr>
        <w:t>biometric and genetic information</w:t>
      </w:r>
      <w:r w:rsidRPr="00EF7454">
        <w:rPr>
          <w:sz w:val="16"/>
        </w:rPr>
        <w:t xml:space="preserve"> where the conduct occurred substantially and primarily in Illinois, and California residents would be permitted to recover statutory damages consistent with the California Consumer Privacy Act </w:t>
      </w:r>
      <w:r w:rsidRPr="00EF7454">
        <w:rPr>
          <w:rStyle w:val="StyleUnderline"/>
          <w:highlight w:val="cyan"/>
        </w:rPr>
        <w:t>for</w:t>
      </w:r>
      <w:r w:rsidRPr="00EF7454">
        <w:rPr>
          <w:rStyle w:val="StyleUnderline"/>
        </w:rPr>
        <w:t xml:space="preserve"> certain </w:t>
      </w:r>
      <w:r w:rsidRPr="00EF7454">
        <w:rPr>
          <w:rStyle w:val="Emphasis"/>
          <w:highlight w:val="cyan"/>
        </w:rPr>
        <w:t>data breaches</w:t>
      </w:r>
      <w:r w:rsidRPr="00EF7454">
        <w:rPr>
          <w:sz w:val="16"/>
        </w:rPr>
        <w:t>.</w:t>
      </w:r>
    </w:p>
    <w:p w:rsidR="00706303" w:rsidRDefault="00706303" w:rsidP="00706303">
      <w:pPr>
        <w:rPr>
          <w:sz w:val="16"/>
        </w:rPr>
      </w:pPr>
    </w:p>
    <w:p w:rsidR="00706303" w:rsidRDefault="00706303" w:rsidP="00706303">
      <w:pPr>
        <w:pStyle w:val="Heading4"/>
      </w:pPr>
      <w:r>
        <w:t xml:space="preserve">And FTC guidance is </w:t>
      </w:r>
      <w:r w:rsidRPr="00F3588D">
        <w:rPr>
          <w:u w:val="single"/>
        </w:rPr>
        <w:t>critical</w:t>
      </w:r>
      <w:r>
        <w:t xml:space="preserve"> for data security.</w:t>
      </w:r>
    </w:p>
    <w:p w:rsidR="00706303" w:rsidRDefault="00706303" w:rsidP="00706303">
      <w:r>
        <w:t xml:space="preserve">Scott </w:t>
      </w:r>
      <w:proofErr w:type="spellStart"/>
      <w:r w:rsidRPr="00B62DB6">
        <w:rPr>
          <w:rFonts w:eastAsiaTheme="majorEastAsia" w:cstheme="majorBidi"/>
          <w:b/>
          <w:iCs/>
          <w:sz w:val="26"/>
        </w:rPr>
        <w:t>Sinder</w:t>
      </w:r>
      <w:proofErr w:type="spellEnd"/>
      <w:r w:rsidRPr="00B62DB6">
        <w:rPr>
          <w:rFonts w:eastAsiaTheme="majorEastAsia" w:cstheme="majorBidi"/>
          <w:b/>
          <w:iCs/>
          <w:sz w:val="26"/>
        </w:rPr>
        <w:t xml:space="preserve"> et al. 24</w:t>
      </w:r>
      <w:r w:rsidRPr="00B62DB6">
        <w:t>,</w:t>
      </w:r>
      <w:r>
        <w:t xml:space="preserve"> </w:t>
      </w:r>
      <w:r w:rsidRPr="00F3588D">
        <w:t>represents trade associations and companies, as both a legislative advocate and a litigator, on a wide range of issues in state and federal trial and appellate courts</w:t>
      </w:r>
      <w:r>
        <w:t>, 05/13/2024, “</w:t>
      </w:r>
      <w:r w:rsidRPr="00F3588D">
        <w:t>American Privacy Rights Act: An Overview of the Landmark Privacy Legislation Being Considered by Congress</w:t>
      </w:r>
      <w:r>
        <w:t xml:space="preserve">,” </w:t>
      </w:r>
      <w:r w:rsidRPr="00F3588D">
        <w:t>https://www.steptoe.com/en/news-publications/american-privacy-rights-act-an-overview-of-the-landmark-privacy-legislation-being-considered-by-congress.html</w:t>
      </w:r>
      <w:r>
        <w:t xml:space="preserve">, </w:t>
      </w:r>
      <w:proofErr w:type="spellStart"/>
      <w:r>
        <w:t>avr</w:t>
      </w:r>
      <w:proofErr w:type="spellEnd"/>
    </w:p>
    <w:p w:rsidR="00706303" w:rsidRPr="00F3588D" w:rsidRDefault="00706303" w:rsidP="00706303">
      <w:pPr>
        <w:rPr>
          <w:sz w:val="16"/>
        </w:rPr>
      </w:pPr>
      <w:r w:rsidRPr="00F3588D">
        <w:rPr>
          <w:rStyle w:val="StyleUnderline"/>
          <w:highlight w:val="cyan"/>
        </w:rPr>
        <w:t xml:space="preserve">Under </w:t>
      </w:r>
      <w:r w:rsidRPr="00F3588D">
        <w:rPr>
          <w:rStyle w:val="Emphasis"/>
          <w:highlight w:val="cyan"/>
        </w:rPr>
        <w:t>APRA</w:t>
      </w:r>
      <w:r w:rsidRPr="00F3588D">
        <w:rPr>
          <w:sz w:val="16"/>
        </w:rPr>
        <w:t xml:space="preserve">, similar to CCPA/CPRA, </w:t>
      </w:r>
      <w:r w:rsidRPr="00B62DB6">
        <w:rPr>
          <w:rStyle w:val="StyleUnderline"/>
        </w:rPr>
        <w:t xml:space="preserve">covered </w:t>
      </w:r>
      <w:r w:rsidRPr="00F3588D">
        <w:rPr>
          <w:rStyle w:val="StyleUnderline"/>
          <w:highlight w:val="cyan"/>
        </w:rPr>
        <w:t xml:space="preserve">entities must </w:t>
      </w:r>
      <w:r w:rsidRPr="00F3588D">
        <w:rPr>
          <w:rStyle w:val="StyleUnderline"/>
        </w:rPr>
        <w:t>establish</w:t>
      </w:r>
      <w:r w:rsidRPr="00F3588D">
        <w:rPr>
          <w:sz w:val="16"/>
        </w:rPr>
        <w:t xml:space="preserve">, </w:t>
      </w:r>
      <w:r w:rsidRPr="00B62DB6">
        <w:rPr>
          <w:rStyle w:val="StyleUnderline"/>
        </w:rPr>
        <w:t>implement</w:t>
      </w:r>
      <w:r w:rsidRPr="00F3588D">
        <w:rPr>
          <w:sz w:val="16"/>
        </w:rPr>
        <w:t xml:space="preserve">, and </w:t>
      </w:r>
      <w:r w:rsidRPr="00F3588D">
        <w:rPr>
          <w:rStyle w:val="StyleUnderline"/>
          <w:highlight w:val="cyan"/>
        </w:rPr>
        <w:t xml:space="preserve">maintain data </w:t>
      </w:r>
      <w:r w:rsidRPr="00F3588D">
        <w:rPr>
          <w:rStyle w:val="Emphasis"/>
          <w:highlight w:val="cyan"/>
        </w:rPr>
        <w:t>security</w:t>
      </w:r>
      <w:r w:rsidRPr="00B62DB6">
        <w:rPr>
          <w:rStyle w:val="StyleUnderline"/>
        </w:rPr>
        <w:t xml:space="preserve"> practices</w:t>
      </w:r>
      <w:r w:rsidRPr="00F3588D">
        <w:rPr>
          <w:sz w:val="16"/>
        </w:rPr>
        <w:t xml:space="preserve"> that are </w:t>
      </w:r>
      <w:r w:rsidRPr="00F3588D">
        <w:rPr>
          <w:rStyle w:val="StyleUnderline"/>
          <w:highlight w:val="cyan"/>
        </w:rPr>
        <w:t>appropriate to</w:t>
      </w:r>
      <w:r w:rsidRPr="00F3588D">
        <w:rPr>
          <w:rStyle w:val="StyleUnderline"/>
        </w:rPr>
        <w:t xml:space="preserve"> </w:t>
      </w:r>
      <w:r w:rsidRPr="00F3588D">
        <w:rPr>
          <w:sz w:val="16"/>
        </w:rPr>
        <w:t xml:space="preserve">the </w:t>
      </w:r>
      <w:r w:rsidRPr="00B62DB6">
        <w:rPr>
          <w:rStyle w:val="StyleUnderline"/>
        </w:rPr>
        <w:t xml:space="preserve">entity's </w:t>
      </w:r>
      <w:r w:rsidRPr="00F3588D">
        <w:rPr>
          <w:rStyle w:val="StyleUnderline"/>
          <w:highlight w:val="cyan"/>
        </w:rPr>
        <w:t>size</w:t>
      </w:r>
      <w:r w:rsidRPr="00F3588D">
        <w:rPr>
          <w:sz w:val="16"/>
        </w:rPr>
        <w:t xml:space="preserve">, the nature and scope of the entity's </w:t>
      </w:r>
      <w:r w:rsidRPr="00B62DB6">
        <w:rPr>
          <w:rStyle w:val="StyleUnderline"/>
        </w:rPr>
        <w:t xml:space="preserve">data </w:t>
      </w:r>
      <w:r w:rsidRPr="00F3588D">
        <w:rPr>
          <w:rStyle w:val="StyleUnderline"/>
          <w:highlight w:val="cyan"/>
        </w:rPr>
        <w:t>practices</w:t>
      </w:r>
      <w:r w:rsidRPr="00F3588D">
        <w:rPr>
          <w:sz w:val="16"/>
        </w:rPr>
        <w:t xml:space="preserve">, </w:t>
      </w:r>
      <w:r w:rsidRPr="00B62DB6">
        <w:rPr>
          <w:rStyle w:val="StyleUnderline"/>
        </w:rPr>
        <w:t xml:space="preserve">the </w:t>
      </w:r>
      <w:r w:rsidRPr="00F3588D">
        <w:rPr>
          <w:rStyle w:val="StyleUnderline"/>
          <w:highlight w:val="cyan"/>
        </w:rPr>
        <w:t>volume</w:t>
      </w:r>
      <w:r w:rsidRPr="00F3588D">
        <w:rPr>
          <w:sz w:val="16"/>
        </w:rPr>
        <w:t xml:space="preserve">, </w:t>
      </w:r>
      <w:r w:rsidRPr="00F3588D">
        <w:rPr>
          <w:rStyle w:val="StyleUnderline"/>
          <w:highlight w:val="cyan"/>
        </w:rPr>
        <w:t>nature</w:t>
      </w:r>
      <w:r w:rsidRPr="00F3588D">
        <w:rPr>
          <w:sz w:val="16"/>
        </w:rPr>
        <w:t xml:space="preserve">, </w:t>
      </w:r>
      <w:r w:rsidRPr="00F3588D">
        <w:rPr>
          <w:rStyle w:val="StyleUnderline"/>
          <w:highlight w:val="cyan"/>
        </w:rPr>
        <w:t>and</w:t>
      </w:r>
      <w:r w:rsidRPr="00F3588D">
        <w:rPr>
          <w:sz w:val="16"/>
          <w:highlight w:val="cyan"/>
        </w:rPr>
        <w:t xml:space="preserve"> </w:t>
      </w:r>
      <w:r w:rsidRPr="00F3588D">
        <w:rPr>
          <w:rStyle w:val="Emphasis"/>
          <w:highlight w:val="cyan"/>
        </w:rPr>
        <w:t>sensitivity</w:t>
      </w:r>
      <w:r w:rsidRPr="00F3588D">
        <w:rPr>
          <w:rStyle w:val="StyleUnderline"/>
          <w:highlight w:val="cyan"/>
        </w:rPr>
        <w:t xml:space="preserve"> of the data</w:t>
      </w:r>
      <w:r w:rsidRPr="00F3588D">
        <w:rPr>
          <w:sz w:val="16"/>
        </w:rPr>
        <w:t xml:space="preserve">, and state-of-the-art administrative, technical, and </w:t>
      </w:r>
      <w:r w:rsidRPr="00B62DB6">
        <w:rPr>
          <w:rStyle w:val="StyleUnderline"/>
        </w:rPr>
        <w:t>physical safeguards</w:t>
      </w:r>
      <w:r w:rsidRPr="00F3588D">
        <w:rPr>
          <w:sz w:val="16"/>
        </w:rPr>
        <w:t xml:space="preserve">. The legislation provides a list of </w:t>
      </w:r>
      <w:r w:rsidRPr="00F3588D">
        <w:rPr>
          <w:rStyle w:val="StyleUnderline"/>
        </w:rPr>
        <w:t>specific practices</w:t>
      </w:r>
      <w:r w:rsidRPr="00F3588D">
        <w:rPr>
          <w:sz w:val="16"/>
        </w:rPr>
        <w:t xml:space="preserve"> that covered entities must follow. For example, covered </w:t>
      </w:r>
      <w:r w:rsidRPr="00F3588D">
        <w:rPr>
          <w:rStyle w:val="StyleUnderline"/>
          <w:highlight w:val="cyan"/>
        </w:rPr>
        <w:t>entities must</w:t>
      </w:r>
      <w:r w:rsidRPr="00F3588D">
        <w:rPr>
          <w:sz w:val="16"/>
        </w:rPr>
        <w:t xml:space="preserve"> routinely </w:t>
      </w:r>
      <w:r w:rsidRPr="00F3588D">
        <w:rPr>
          <w:rStyle w:val="Emphasis"/>
          <w:highlight w:val="cyan"/>
        </w:rPr>
        <w:t>identify</w:t>
      </w:r>
      <w:r w:rsidRPr="00F3588D">
        <w:rPr>
          <w:rStyle w:val="StyleUnderline"/>
          <w:highlight w:val="cyan"/>
        </w:rPr>
        <w:t xml:space="preserve"> and </w:t>
      </w:r>
      <w:r w:rsidRPr="00F3588D">
        <w:rPr>
          <w:rStyle w:val="Emphasis"/>
          <w:highlight w:val="cyan"/>
        </w:rPr>
        <w:t>assess</w:t>
      </w:r>
      <w:r w:rsidRPr="00F3588D">
        <w:rPr>
          <w:sz w:val="16"/>
        </w:rPr>
        <w:t xml:space="preserve"> any reasonably </w:t>
      </w:r>
      <w:r w:rsidRPr="00F3588D">
        <w:rPr>
          <w:rStyle w:val="Emphasis"/>
          <w:highlight w:val="cyan"/>
        </w:rPr>
        <w:t>foreseeable</w:t>
      </w:r>
      <w:r w:rsidRPr="00F3588D">
        <w:rPr>
          <w:rStyle w:val="StyleUnderline"/>
          <w:highlight w:val="cyan"/>
        </w:rPr>
        <w:t xml:space="preserve"> risk to each system</w:t>
      </w:r>
      <w:r w:rsidRPr="00F3588D">
        <w:rPr>
          <w:sz w:val="16"/>
        </w:rPr>
        <w:t xml:space="preserve"> maintained by the </w:t>
      </w:r>
      <w:r w:rsidRPr="00B62DB6">
        <w:rPr>
          <w:rStyle w:val="StyleUnderline"/>
        </w:rPr>
        <w:t>covered entity</w:t>
      </w:r>
      <w:r w:rsidRPr="00F3588D">
        <w:rPr>
          <w:sz w:val="16"/>
        </w:rPr>
        <w:t xml:space="preserve"> </w:t>
      </w:r>
      <w:r w:rsidRPr="00F3588D">
        <w:rPr>
          <w:rStyle w:val="StyleUnderline"/>
          <w:highlight w:val="cyan"/>
        </w:rPr>
        <w:t>and</w:t>
      </w:r>
      <w:r w:rsidRPr="00F3588D">
        <w:rPr>
          <w:sz w:val="16"/>
        </w:rPr>
        <w:t xml:space="preserve"> must take preventative and corrective action to </w:t>
      </w:r>
      <w:r w:rsidRPr="00F3588D">
        <w:rPr>
          <w:rStyle w:val="StyleUnderline"/>
          <w:highlight w:val="cyan"/>
        </w:rPr>
        <w:t xml:space="preserve">mitigate any such </w:t>
      </w:r>
      <w:r w:rsidRPr="00F3588D">
        <w:rPr>
          <w:rStyle w:val="Emphasis"/>
          <w:highlight w:val="cyan"/>
        </w:rPr>
        <w:t>risk</w:t>
      </w:r>
      <w:r w:rsidRPr="00F3588D">
        <w:rPr>
          <w:sz w:val="16"/>
        </w:rPr>
        <w:t>.</w:t>
      </w:r>
    </w:p>
    <w:p w:rsidR="00706303" w:rsidRPr="00F3588D" w:rsidRDefault="00706303" w:rsidP="00706303">
      <w:pPr>
        <w:rPr>
          <w:sz w:val="16"/>
        </w:rPr>
      </w:pPr>
      <w:r w:rsidRPr="00F3588D">
        <w:rPr>
          <w:rStyle w:val="StyleUnderline"/>
        </w:rPr>
        <w:t>Enforcement</w:t>
      </w:r>
      <w:r w:rsidRPr="00F3588D">
        <w:rPr>
          <w:sz w:val="16"/>
        </w:rPr>
        <w:t xml:space="preserve"> and Penalties</w:t>
      </w:r>
    </w:p>
    <w:p w:rsidR="00706303" w:rsidRPr="00F3588D" w:rsidRDefault="00706303" w:rsidP="00706303">
      <w:pPr>
        <w:rPr>
          <w:sz w:val="16"/>
        </w:rPr>
      </w:pPr>
      <w:r w:rsidRPr="00F3588D">
        <w:rPr>
          <w:sz w:val="16"/>
        </w:rPr>
        <w:t xml:space="preserve">The draft legislation provides for several enforcement mechanisms, including by the </w:t>
      </w:r>
      <w:r w:rsidRPr="00F3588D">
        <w:rPr>
          <w:rStyle w:val="StyleUnderline"/>
        </w:rPr>
        <w:t>FTC</w:t>
      </w:r>
      <w:r w:rsidRPr="00F3588D">
        <w:rPr>
          <w:sz w:val="16"/>
        </w:rPr>
        <w:t xml:space="preserve">, state attorneys general, and a private right of action. The </w:t>
      </w:r>
      <w:r w:rsidRPr="00F3588D">
        <w:rPr>
          <w:rStyle w:val="StyleUnderline"/>
        </w:rPr>
        <w:t>FTC is directed to establish</w:t>
      </w:r>
      <w:r w:rsidRPr="00F3588D">
        <w:rPr>
          <w:sz w:val="16"/>
        </w:rPr>
        <w:t xml:space="preserve">, within one year after APRA’s enactment, a new bureau to carry out its authority under APRA. </w:t>
      </w:r>
      <w:r w:rsidRPr="00F3588D">
        <w:rPr>
          <w:rStyle w:val="StyleUnderline"/>
        </w:rPr>
        <w:t>APRA also authorizes enforcement</w:t>
      </w:r>
      <w:r w:rsidRPr="00F3588D">
        <w:rPr>
          <w:sz w:val="16"/>
        </w:rPr>
        <w:t xml:space="preserve"> by state </w:t>
      </w:r>
      <w:r w:rsidRPr="00F3588D">
        <w:rPr>
          <w:rStyle w:val="StyleUnderline"/>
        </w:rPr>
        <w:t>attorneys general</w:t>
      </w:r>
      <w:r w:rsidRPr="00F3588D">
        <w:rPr>
          <w:sz w:val="16"/>
        </w:rPr>
        <w:t>, chief consumer protection officers, and other state officers in federal district court.</w:t>
      </w:r>
    </w:p>
    <w:p w:rsidR="00706303" w:rsidRPr="00F3588D" w:rsidRDefault="00706303" w:rsidP="00706303">
      <w:pPr>
        <w:rPr>
          <w:sz w:val="16"/>
        </w:rPr>
      </w:pPr>
      <w:r w:rsidRPr="00F3588D">
        <w:rPr>
          <w:sz w:val="16"/>
        </w:rPr>
        <w:t xml:space="preserve">Notably, </w:t>
      </w:r>
      <w:r w:rsidRPr="00F3588D">
        <w:rPr>
          <w:rStyle w:val="Emphasis"/>
          <w:highlight w:val="cyan"/>
        </w:rPr>
        <w:t>APRA</w:t>
      </w:r>
      <w:r w:rsidRPr="00F3588D">
        <w:rPr>
          <w:rStyle w:val="StyleUnderline"/>
          <w:highlight w:val="cyan"/>
        </w:rPr>
        <w:t xml:space="preserve"> allows individuals to initiate a civil </w:t>
      </w:r>
      <w:r w:rsidRPr="00F3588D">
        <w:rPr>
          <w:rStyle w:val="Emphasis"/>
          <w:highlight w:val="cyan"/>
        </w:rPr>
        <w:t>action</w:t>
      </w:r>
      <w:r w:rsidRPr="00F3588D">
        <w:rPr>
          <w:sz w:val="16"/>
        </w:rPr>
        <w:t xml:space="preserve"> </w:t>
      </w:r>
      <w:r w:rsidRPr="00F3588D">
        <w:rPr>
          <w:rStyle w:val="StyleUnderline"/>
          <w:highlight w:val="cyan"/>
        </w:rPr>
        <w:t xml:space="preserve">against an entity that </w:t>
      </w:r>
      <w:r w:rsidRPr="00F3588D">
        <w:rPr>
          <w:rStyle w:val="Emphasis"/>
          <w:highlight w:val="cyan"/>
        </w:rPr>
        <w:t>violates</w:t>
      </w:r>
      <w:r w:rsidRPr="00F3588D">
        <w:rPr>
          <w:rStyle w:val="StyleUnderline"/>
          <w:highlight w:val="cyan"/>
        </w:rPr>
        <w:t xml:space="preserve"> their rights</w:t>
      </w:r>
      <w:r w:rsidRPr="00F3588D">
        <w:rPr>
          <w:sz w:val="16"/>
        </w:rPr>
        <w:t xml:space="preserve">. In such cases, </w:t>
      </w:r>
      <w:r w:rsidRPr="00F3588D">
        <w:rPr>
          <w:rStyle w:val="StyleUnderline"/>
          <w:highlight w:val="cyan"/>
        </w:rPr>
        <w:t>individuals may recover actual damages</w:t>
      </w:r>
      <w:r w:rsidRPr="00F3588D">
        <w:rPr>
          <w:sz w:val="16"/>
        </w:rPr>
        <w:t xml:space="preserve">, </w:t>
      </w:r>
      <w:r w:rsidRPr="00F3588D">
        <w:rPr>
          <w:rStyle w:val="StyleUnderline"/>
          <w:highlight w:val="cyan"/>
        </w:rPr>
        <w:t>injunctive relief</w:t>
      </w:r>
      <w:r w:rsidRPr="00F3588D">
        <w:rPr>
          <w:sz w:val="16"/>
        </w:rPr>
        <w:t xml:space="preserve">, </w:t>
      </w:r>
      <w:r w:rsidRPr="00F3588D">
        <w:rPr>
          <w:rStyle w:val="StyleUnderline"/>
          <w:highlight w:val="cyan"/>
        </w:rPr>
        <w:t>declaratory relief</w:t>
      </w:r>
      <w:r w:rsidRPr="00F3588D">
        <w:rPr>
          <w:sz w:val="16"/>
        </w:rPr>
        <w:t xml:space="preserve">, </w:t>
      </w:r>
      <w:r w:rsidRPr="00F3588D">
        <w:rPr>
          <w:rStyle w:val="StyleUnderline"/>
          <w:highlight w:val="cyan"/>
        </w:rPr>
        <w:t>and</w:t>
      </w:r>
      <w:r w:rsidRPr="00F3588D">
        <w:rPr>
          <w:sz w:val="16"/>
        </w:rPr>
        <w:t xml:space="preserve"> reasonable attorney </w:t>
      </w:r>
      <w:r w:rsidRPr="00F3588D">
        <w:rPr>
          <w:rStyle w:val="StyleUnderline"/>
          <w:highlight w:val="cyan"/>
        </w:rPr>
        <w:t>fees and costs</w:t>
      </w:r>
      <w:r w:rsidRPr="00F3588D">
        <w:rPr>
          <w:sz w:val="16"/>
        </w:rPr>
        <w:t>. Individuals also retain the right to sue under Illinois's Biometric Information Privacy Act, and Genetic Information Act, and the California Privacy Rights Act. The legislation provides entities with a 30-day period to cure prior to lawsuits seeking injunctive relief and a 30-day notice period prior to lawsuits seeking actual damages. However, the 30-day cure and notice periods do not apply in actions involving a substantial privacy harm.</w:t>
      </w:r>
    </w:p>
    <w:p w:rsidR="00706303" w:rsidRPr="00F3588D" w:rsidRDefault="00706303" w:rsidP="00706303">
      <w:pPr>
        <w:rPr>
          <w:sz w:val="16"/>
        </w:rPr>
      </w:pPr>
      <w:r w:rsidRPr="00F3588D">
        <w:rPr>
          <w:rStyle w:val="StyleUnderline"/>
        </w:rPr>
        <w:t>APRA's private right of action goes well beyond current privacy laws</w:t>
      </w:r>
      <w:r w:rsidRPr="00F3588D">
        <w:rPr>
          <w:sz w:val="16"/>
        </w:rPr>
        <w:t xml:space="preserve"> in the </w:t>
      </w:r>
      <w:r w:rsidRPr="00F3588D">
        <w:rPr>
          <w:rStyle w:val="Emphasis"/>
        </w:rPr>
        <w:t>U</w:t>
      </w:r>
      <w:r w:rsidRPr="00F3588D">
        <w:rPr>
          <w:sz w:val="16"/>
        </w:rPr>
        <w:t xml:space="preserve">nited </w:t>
      </w:r>
      <w:r w:rsidRPr="00F3588D">
        <w:rPr>
          <w:rStyle w:val="Emphasis"/>
        </w:rPr>
        <w:t>S</w:t>
      </w:r>
      <w:r w:rsidRPr="00F3588D">
        <w:rPr>
          <w:sz w:val="16"/>
        </w:rPr>
        <w:t>tates, whether the GLBA or nearly all state privacy statutes that do not permit private actions. Indeed, APRA's private right of action surpasses the private right of actions in CCPA and CPRA, each of which only permits private actions for breaches of data security requirements. </w:t>
      </w:r>
    </w:p>
    <w:p w:rsidR="00706303" w:rsidRPr="00F3588D" w:rsidRDefault="00706303" w:rsidP="00706303">
      <w:pPr>
        <w:rPr>
          <w:sz w:val="16"/>
        </w:rPr>
      </w:pPr>
      <w:r w:rsidRPr="00F3588D">
        <w:rPr>
          <w:sz w:val="16"/>
        </w:rPr>
        <w:t>FTC Regulations</w:t>
      </w:r>
    </w:p>
    <w:p w:rsidR="00706303" w:rsidRPr="00F3588D" w:rsidRDefault="00706303" w:rsidP="00706303">
      <w:pPr>
        <w:rPr>
          <w:sz w:val="16"/>
        </w:rPr>
      </w:pPr>
      <w:r w:rsidRPr="00F3588D">
        <w:rPr>
          <w:sz w:val="16"/>
        </w:rPr>
        <w:t xml:space="preserve">If enacted, </w:t>
      </w:r>
      <w:r w:rsidRPr="00F3588D">
        <w:rPr>
          <w:rStyle w:val="StyleUnderline"/>
          <w:highlight w:val="cyan"/>
        </w:rPr>
        <w:t>the FTC will</w:t>
      </w:r>
      <w:r w:rsidRPr="00F3588D">
        <w:rPr>
          <w:sz w:val="16"/>
        </w:rPr>
        <w:t xml:space="preserve"> be required to </w:t>
      </w:r>
      <w:r w:rsidRPr="00F3588D">
        <w:rPr>
          <w:rStyle w:val="StyleUnderline"/>
          <w:highlight w:val="cyan"/>
        </w:rPr>
        <w:t xml:space="preserve">issue guidance on </w:t>
      </w:r>
      <w:r w:rsidRPr="00F3588D">
        <w:rPr>
          <w:rStyle w:val="StyleUnderline"/>
        </w:rPr>
        <w:t>several aspects</w:t>
      </w:r>
      <w:r w:rsidRPr="00F3588D">
        <w:rPr>
          <w:sz w:val="16"/>
        </w:rPr>
        <w:t xml:space="preserve"> of the </w:t>
      </w:r>
      <w:r w:rsidRPr="00F3588D">
        <w:rPr>
          <w:rStyle w:val="StyleUnderline"/>
        </w:rPr>
        <w:t>legislation</w:t>
      </w:r>
      <w:r w:rsidRPr="00F3588D">
        <w:rPr>
          <w:sz w:val="16"/>
        </w:rPr>
        <w:t xml:space="preserve">, including </w:t>
      </w:r>
      <w:r w:rsidRPr="00F3588D">
        <w:rPr>
          <w:rStyle w:val="StyleUnderline"/>
          <w:highlight w:val="cyan"/>
        </w:rPr>
        <w:t xml:space="preserve">compliance with due </w:t>
      </w:r>
      <w:r w:rsidRPr="00F3588D">
        <w:rPr>
          <w:rStyle w:val="Emphasis"/>
          <w:highlight w:val="cyan"/>
        </w:rPr>
        <w:t>diligence</w:t>
      </w:r>
      <w:r w:rsidRPr="00F3588D">
        <w:rPr>
          <w:sz w:val="16"/>
        </w:rPr>
        <w:t xml:space="preserve"> requirements, </w:t>
      </w:r>
      <w:r w:rsidRPr="00F3588D">
        <w:rPr>
          <w:rStyle w:val="StyleUnderline"/>
          <w:highlight w:val="cyan"/>
        </w:rPr>
        <w:t xml:space="preserve">compliance with </w:t>
      </w:r>
      <w:r w:rsidRPr="00F3588D">
        <w:rPr>
          <w:rStyle w:val="Emphasis"/>
          <w:highlight w:val="cyan"/>
        </w:rPr>
        <w:t>opt-out</w:t>
      </w:r>
      <w:r w:rsidRPr="00F3588D">
        <w:rPr>
          <w:rStyle w:val="StyleUnderline"/>
          <w:highlight w:val="cyan"/>
        </w:rPr>
        <w:t xml:space="preserve"> rights</w:t>
      </w:r>
      <w:r w:rsidRPr="00F3588D">
        <w:rPr>
          <w:sz w:val="16"/>
        </w:rPr>
        <w:t xml:space="preserve"> for consequential decisions, the </w:t>
      </w:r>
      <w:r w:rsidRPr="00F3588D">
        <w:rPr>
          <w:rStyle w:val="StyleUnderline"/>
          <w:highlight w:val="cyan"/>
        </w:rPr>
        <w:t xml:space="preserve">scope of the </w:t>
      </w:r>
      <w:r w:rsidRPr="00F3588D">
        <w:rPr>
          <w:rStyle w:val="Emphasis"/>
          <w:highlight w:val="cyan"/>
        </w:rPr>
        <w:t>preemption</w:t>
      </w:r>
      <w:r w:rsidRPr="00F3588D">
        <w:rPr>
          <w:rStyle w:val="StyleUnderline"/>
          <w:highlight w:val="cyan"/>
        </w:rPr>
        <w:t xml:space="preserve"> provisions</w:t>
      </w:r>
      <w:r w:rsidRPr="00F3588D">
        <w:rPr>
          <w:sz w:val="16"/>
        </w:rPr>
        <w:t xml:space="preserve">, </w:t>
      </w:r>
      <w:r w:rsidRPr="00F3588D">
        <w:rPr>
          <w:rStyle w:val="StyleUnderline"/>
          <w:highlight w:val="cyan"/>
        </w:rPr>
        <w:t>and</w:t>
      </w:r>
      <w:r w:rsidRPr="00F3588D">
        <w:rPr>
          <w:sz w:val="16"/>
        </w:rPr>
        <w:t xml:space="preserve"> the </w:t>
      </w:r>
      <w:r w:rsidRPr="00F3588D">
        <w:rPr>
          <w:rStyle w:val="StyleUnderline"/>
          <w:highlight w:val="cyan"/>
        </w:rPr>
        <w:t xml:space="preserve">breadth of the data </w:t>
      </w:r>
      <w:r w:rsidRPr="00F3588D">
        <w:rPr>
          <w:rStyle w:val="Emphasis"/>
          <w:highlight w:val="cyan"/>
        </w:rPr>
        <w:t>disclosures</w:t>
      </w:r>
      <w:r w:rsidRPr="00F3588D">
        <w:rPr>
          <w:sz w:val="16"/>
        </w:rPr>
        <w:t xml:space="preserve"> necessary for </w:t>
      </w:r>
      <w:r w:rsidRPr="00F3588D">
        <w:rPr>
          <w:rStyle w:val="StyleUnderline"/>
        </w:rPr>
        <w:t>required short-form privacy notices</w:t>
      </w:r>
      <w:r w:rsidRPr="00F3588D">
        <w:rPr>
          <w:sz w:val="16"/>
        </w:rPr>
        <w:t>.</w:t>
      </w:r>
    </w:p>
    <w:p w:rsidR="00706303" w:rsidRPr="00EF7454" w:rsidRDefault="00706303" w:rsidP="00706303">
      <w:pPr>
        <w:rPr>
          <w:sz w:val="16"/>
        </w:rPr>
      </w:pPr>
    </w:p>
    <w:p w:rsidR="00706303" w:rsidRPr="00087507" w:rsidRDefault="00706303" w:rsidP="00706303">
      <w:pPr>
        <w:pStyle w:val="Heading3"/>
      </w:pPr>
      <w:r>
        <w:t>Rule of Law---N-UQ---1NC</w:t>
      </w:r>
    </w:p>
    <w:p w:rsidR="00706303" w:rsidRDefault="00706303" w:rsidP="00706303">
      <w:pPr>
        <w:pStyle w:val="Heading4"/>
      </w:pPr>
      <w:r w:rsidRPr="00087507">
        <w:t xml:space="preserve">Trump obliterates the rule of law---he is the </w:t>
      </w:r>
      <w:r w:rsidRPr="00B62DB6">
        <w:rPr>
          <w:u w:val="single"/>
        </w:rPr>
        <w:t>biggest</w:t>
      </w:r>
      <w:r w:rsidRPr="00087507">
        <w:t xml:space="preserve"> alt cause.</w:t>
      </w:r>
    </w:p>
    <w:p w:rsidR="00706303" w:rsidRPr="00087507" w:rsidRDefault="00706303" w:rsidP="00706303">
      <w:r w:rsidRPr="00087507">
        <w:t xml:space="preserve">Edward </w:t>
      </w:r>
      <w:proofErr w:type="spellStart"/>
      <w:r w:rsidRPr="00087507">
        <w:rPr>
          <w:rFonts w:eastAsiaTheme="majorEastAsia" w:cstheme="majorBidi"/>
          <w:b/>
          <w:iCs/>
          <w:sz w:val="26"/>
        </w:rPr>
        <w:t>Lempinen</w:t>
      </w:r>
      <w:proofErr w:type="spellEnd"/>
      <w:r w:rsidRPr="00087507">
        <w:rPr>
          <w:rFonts w:eastAsiaTheme="majorEastAsia" w:cstheme="majorBidi"/>
          <w:b/>
          <w:iCs/>
          <w:sz w:val="26"/>
        </w:rPr>
        <w:t xml:space="preserve"> 24</w:t>
      </w:r>
      <w:r w:rsidRPr="00087507">
        <w:t xml:space="preserve">, writer and media relations specialist with the UC Berkeley Office of Communications and Public Affairs, 07/02/2024, “High court ruling on presidential immunity threatens the rule of law, scholars warn,” https://news.berkeley.edu/2024/07/02/high-court-ruling-on-presidential-immunity-threatens-the-rule-of-law-scholars-warn/, </w:t>
      </w:r>
      <w:proofErr w:type="spellStart"/>
      <w:r w:rsidRPr="00087507">
        <w:t>avr</w:t>
      </w:r>
      <w:proofErr w:type="spellEnd"/>
    </w:p>
    <w:p w:rsidR="00706303" w:rsidRPr="00087507" w:rsidRDefault="00706303" w:rsidP="00706303">
      <w:r w:rsidRPr="00087507">
        <w:t>A U.S. Supreme Court decision Monday granting presidents broad immunity from prosecution gives those leaders the power to commit crimes under the guise of official action, posing a direct threat to democracy and the rule of law, UC Berkeley scholars said. </w:t>
      </w:r>
    </w:p>
    <w:p w:rsidR="00706303" w:rsidRPr="00087507" w:rsidRDefault="00706303" w:rsidP="00706303">
      <w:r w:rsidRPr="00087507">
        <w:t>In a 6-3 ruling, the high court’s conservative majority found that the nation’s chief executive cannot be held legally liable for actions taken within the scope of official, core constitutional duties. Further, the justices ruled, courts cannot explore a president’s motives when assessing whether a president had broken the law. </w:t>
      </w:r>
    </w:p>
    <w:p w:rsidR="00706303" w:rsidRPr="00087507" w:rsidRDefault="00706303" w:rsidP="00706303">
      <w:r w:rsidRPr="00087507">
        <w:t>In effect, the scholars said, the court put the president largely above the law in a way that was never written into the U.S. Constitution or established in more than 200 years of legal precedent. That could precipitate a crisis in the near term, they said, if former President Donald Trump wins re-election in November and uses the new protections with impunity to pursue his political opponents. </w:t>
      </w:r>
    </w:p>
    <w:p w:rsidR="00706303" w:rsidRPr="00087507" w:rsidRDefault="00706303" w:rsidP="00706303">
      <w:r w:rsidRPr="00087507">
        <w:t>“I didn’t expect such a broad definition of absolute immunity for a president for criminal acts,” said Berkeley Law Dean Erwin Chemerinsky, one of the nation’s preeminent constitutional scholars. “While the court leaves many issues unresolved, it is a dramatic and stunning affirmation of broad, absolute immunity for a president.” </w:t>
      </w:r>
    </w:p>
    <w:p w:rsidR="00706303" w:rsidRPr="00087507" w:rsidRDefault="00706303" w:rsidP="00706303">
      <w:r w:rsidRPr="00087507">
        <w:t xml:space="preserve">Berkeley political scientist Terri </w:t>
      </w:r>
      <w:proofErr w:type="spellStart"/>
      <w:r w:rsidRPr="00087507">
        <w:t>Bimes</w:t>
      </w:r>
      <w:proofErr w:type="spellEnd"/>
      <w:r w:rsidRPr="00087507">
        <w:t>, a scholar in the history and operation of the U.S. presidency, called the court’s ruling “dangerous.” </w:t>
      </w:r>
    </w:p>
    <w:p w:rsidR="00706303" w:rsidRPr="00087507" w:rsidRDefault="00706303" w:rsidP="00706303">
      <w:r w:rsidRPr="00087507">
        <w:t xml:space="preserve">“The decision seems to permit the president to use the power of the office to commit acts that are illegal, that are criminal,” </w:t>
      </w:r>
      <w:proofErr w:type="spellStart"/>
      <w:r w:rsidRPr="00087507">
        <w:t>Bimes</w:t>
      </w:r>
      <w:proofErr w:type="spellEnd"/>
      <w:r w:rsidRPr="00087507">
        <w:t xml:space="preserve"> said. “The fact that these actions are being taken in the name of the presidency, that they’re official acts, makes them immune from prosecution. That is really problematic.” </w:t>
      </w:r>
    </w:p>
    <w:p w:rsidR="00706303" w:rsidRPr="00087507" w:rsidRDefault="00706303" w:rsidP="00706303">
      <w:r w:rsidRPr="00087507">
        <w:t>Broadly considered, they said, the Supreme Court’s ruling could fundamentally change the presidency, dramatically increasing its power and making the nation more vulnerable to authoritarian leaders who might pursue power by any means necessary. </w:t>
      </w:r>
    </w:p>
    <w:p w:rsidR="00706303" w:rsidRPr="00087507" w:rsidRDefault="00706303" w:rsidP="00706303">
      <w:r w:rsidRPr="00087507">
        <w:t>The ruling issued Monday was the culmination of a Supreme Court term in which the court majority advanced a range of conservative and right-wing interests: on gun rights, environmental protection, and on the federal system that regulates everything from health care to food safety and climate change.</w:t>
      </w:r>
    </w:p>
    <w:p w:rsidR="00706303" w:rsidRPr="00087507" w:rsidRDefault="00706303" w:rsidP="00706303">
      <w:r w:rsidRPr="00087507">
        <w:t>The case of Trump v. United States arose after the former president was indicted in federal court for using a variety of legal maneuvers and political arm-twisting in an effort to overturn his loss to Democrat Joe Biden in the 2020 election. </w:t>
      </w:r>
    </w:p>
    <w:p w:rsidR="00706303" w:rsidRPr="00087507" w:rsidRDefault="00706303" w:rsidP="00706303">
      <w:r w:rsidRPr="00087507">
        <w:t xml:space="preserve">Trump sought to dismiss the indictments, arguing that he had absolute immunity because he was acting in his official capacity as president. But both the </w:t>
      </w:r>
      <w:proofErr w:type="gramStart"/>
      <w:r w:rsidRPr="00087507">
        <w:t>U.S..</w:t>
      </w:r>
      <w:proofErr w:type="gramEnd"/>
      <w:r w:rsidRPr="00087507">
        <w:t xml:space="preserve"> District Court and the U.S. Court of Appeals rejected his arguments, saying that presidents are not above the law. </w:t>
      </w:r>
    </w:p>
    <w:p w:rsidR="00706303" w:rsidRPr="00087507" w:rsidRDefault="00706303" w:rsidP="00706303">
      <w:r w:rsidRPr="00087507">
        <w:t>For Trump, a legal win — and a political win </w:t>
      </w:r>
    </w:p>
    <w:p w:rsidR="00706303" w:rsidRPr="00087507" w:rsidRDefault="00706303" w:rsidP="00706303">
      <w:r w:rsidRPr="00087507">
        <w:t>The Supreme Court’s majority — with three of the six conservatives appointed in Trump’s single term — determined that a president of any party needs assurance of broad immunity to carry out decisions without fear of political retaliation. </w:t>
      </w:r>
    </w:p>
    <w:p w:rsidR="00706303" w:rsidRPr="00087507" w:rsidRDefault="00706303" w:rsidP="00706303">
      <w:r w:rsidRPr="00087507">
        <w:t>If the president were to call out the Navy Seals to assassinate a political rival, since he’s using his power as commander in chief, that would be absolute immunity.</w:t>
      </w:r>
    </w:p>
    <w:p w:rsidR="00706303" w:rsidRPr="00087507" w:rsidRDefault="00706303" w:rsidP="00706303">
      <w:r w:rsidRPr="00087507">
        <w:t>Erwin Chemerinsky</w:t>
      </w:r>
    </w:p>
    <w:p w:rsidR="00706303" w:rsidRPr="00087507" w:rsidRDefault="00706303" w:rsidP="00706303">
      <w:r w:rsidRPr="00087507">
        <w:t>Yesterday’s ruling gave presidents immunity for official acts, and said explicitly that the president’s motives were not relevant as they usually would be in a criminal prosecution. </w:t>
      </w:r>
    </w:p>
    <w:p w:rsidR="00706303" w:rsidRPr="00087507" w:rsidRDefault="00706303" w:rsidP="00706303">
      <w:r w:rsidRPr="00087507">
        <w:t>“If the president were to call out the Navy Seals to assassinate a political rival, since he’s using his power as commander in chief, that would be absolute immunity,” Chemerinsky explained. “The president could use the Department of Justice to seek retribution and engage in politically motivated prosecutions — that would be protected by absolute immunity. </w:t>
      </w:r>
    </w:p>
    <w:p w:rsidR="00706303" w:rsidRPr="00087507" w:rsidRDefault="00706303" w:rsidP="00706303">
      <w:r w:rsidRPr="00087507">
        <w:t>“There’s certainly a gray area in terms of things that are at the outer reaches of a president’s power. But even there, the Supreme Court says there’s presumptive absolute immunity.” </w:t>
      </w:r>
    </w:p>
    <w:p w:rsidR="00706303" w:rsidRPr="00087507" w:rsidRDefault="00706303" w:rsidP="00706303">
      <w:r w:rsidRPr="00087507">
        <w:t xml:space="preserve">In Trump’s specific case, that would seem to remove legal liability for pressuring Mike Pence, when he was vice </w:t>
      </w:r>
      <w:proofErr w:type="gramStart"/>
      <w:r w:rsidRPr="00087507">
        <w:t>president,  to</w:t>
      </w:r>
      <w:proofErr w:type="gramEnd"/>
      <w:r w:rsidRPr="00087507">
        <w:t xml:space="preserve"> not certify the 2020 election, Chemerinsky said, or for urging supporters to march on the Capitol as the certification was taking place. </w:t>
      </w:r>
    </w:p>
    <w:p w:rsidR="00706303" w:rsidRPr="00087507" w:rsidRDefault="00706303" w:rsidP="00706303">
      <w:r w:rsidRPr="00087507">
        <w:t>Berkeley scholars suggested that new U.S. Supreme Court ruling would give a re-elected President Donald Trump wide authority to engage in corrupt, anti-democratic behavior.</w:t>
      </w:r>
    </w:p>
    <w:p w:rsidR="00706303" w:rsidRPr="00087507" w:rsidRDefault="00706303" w:rsidP="00706303">
      <w:r w:rsidRPr="00087507">
        <w:t>The court suggested Trump’s efforts to pressure state officials to change the vote outcome in their states might not have been an official act, because it was not part of his official duties. It sent the case back to the District Court to reassess the indictments, all but assuring that the cases would not be resolved before this November’s election. </w:t>
      </w:r>
    </w:p>
    <w:p w:rsidR="00706303" w:rsidRPr="00087507" w:rsidRDefault="00706303" w:rsidP="00706303">
      <w:r w:rsidRPr="00087507">
        <w:t>Fears of a president unleashed and unrestrained</w:t>
      </w:r>
    </w:p>
    <w:p w:rsidR="00706303" w:rsidRPr="00087507" w:rsidRDefault="00706303" w:rsidP="00706303">
      <w:r w:rsidRPr="00087507">
        <w:t xml:space="preserve">The outcome left both Chemerinsky and </w:t>
      </w:r>
      <w:proofErr w:type="spellStart"/>
      <w:r w:rsidRPr="00087507">
        <w:t>Bimes</w:t>
      </w:r>
      <w:proofErr w:type="spellEnd"/>
      <w:r w:rsidRPr="00087507">
        <w:t xml:space="preserve"> worried about how the former president would proceed if he’s re-elected. </w:t>
      </w:r>
    </w:p>
    <w:p w:rsidR="00706303" w:rsidRPr="00087507" w:rsidRDefault="00706303" w:rsidP="00706303">
      <w:r w:rsidRPr="00087507">
        <w:t>This ruling seems to suggest that if the president is acting in his official capacity, then it’s OK to engage in election subversion. … I think that’s dangerous.</w:t>
      </w:r>
    </w:p>
    <w:p w:rsidR="00706303" w:rsidRPr="00087507" w:rsidRDefault="00706303" w:rsidP="00706303">
      <w:r w:rsidRPr="00087507">
        <w:t xml:space="preserve">Terri </w:t>
      </w:r>
      <w:proofErr w:type="spellStart"/>
      <w:r w:rsidRPr="00087507">
        <w:t>Bimes</w:t>
      </w:r>
      <w:proofErr w:type="spellEnd"/>
    </w:p>
    <w:p w:rsidR="00706303" w:rsidRPr="00087507" w:rsidRDefault="00706303" w:rsidP="00706303">
      <w:r w:rsidRPr="00087507">
        <w:t>Said Chemerinsky: “When it comes to Donald Trump, who has threatened to use the Justice Department for retribution, he now knows that no matter how baseless his political motive, he has absolute immunity.” </w:t>
      </w:r>
    </w:p>
    <w:p w:rsidR="00706303" w:rsidRPr="00087507" w:rsidRDefault="00706303" w:rsidP="00706303">
      <w:r w:rsidRPr="00087507">
        <w:t>For example, if he is returned to the White House, he could order the Justice Department to drop the investigation. Or he could pardon himself. </w:t>
      </w:r>
    </w:p>
    <w:p w:rsidR="00706303" w:rsidRPr="00087507" w:rsidRDefault="00706303" w:rsidP="00706303">
      <w:r w:rsidRPr="00087507">
        <w:t xml:space="preserve">“If he does win,” </w:t>
      </w:r>
      <w:proofErr w:type="spellStart"/>
      <w:r w:rsidRPr="00087507">
        <w:t>Bimes</w:t>
      </w:r>
      <w:proofErr w:type="spellEnd"/>
      <w:r w:rsidRPr="00087507">
        <w:t xml:space="preserve"> said, “in his second term, we could see a power-hungry Donald Trump unleashed from norms and really pushing to make the presidential office his own, and to do his own bidding.</w:t>
      </w:r>
    </w:p>
    <w:p w:rsidR="00706303" w:rsidRPr="00087507" w:rsidRDefault="00706303" w:rsidP="00706303">
      <w:r w:rsidRPr="00087507">
        <w:t>“This ruling seems to suggest that if the president is acting in his official capacity, then it’s OK to engage in election subversion. … I think that’s dangerous.”</w:t>
      </w:r>
    </w:p>
    <w:p w:rsidR="00706303" w:rsidRPr="00087507" w:rsidRDefault="00706303" w:rsidP="00706303">
      <w:r w:rsidRPr="00087507">
        <w:t xml:space="preserve">More broadly, </w:t>
      </w:r>
      <w:proofErr w:type="spellStart"/>
      <w:r w:rsidRPr="00087507">
        <w:t>Bimes</w:t>
      </w:r>
      <w:proofErr w:type="spellEnd"/>
      <w:r w:rsidRPr="00087507">
        <w:t xml:space="preserve"> worried that the court’s decision could transform the office and the power of the presidency far beyond Trump, giving the president enormous powers never before defined or enumerated in the Constitution. </w:t>
      </w:r>
    </w:p>
    <w:p w:rsidR="00706303" w:rsidRPr="00087507" w:rsidRDefault="00706303" w:rsidP="00706303">
      <w:r w:rsidRPr="00087507">
        <w:t>That wasn’t the ideal imagined by the nation’s founders, she said. In the early days of the nation, the president was expected to be a leader of elevated integrity. </w:t>
      </w:r>
    </w:p>
    <w:p w:rsidR="00706303" w:rsidRPr="00087507" w:rsidRDefault="00706303" w:rsidP="00706303">
      <w:r w:rsidRPr="00087507">
        <w:t>“They just fought the Revolutionary War against King George III,” she recounted. “They didn’t want a monarch. They didn’t want an executive who was above the law.” </w:t>
      </w:r>
    </w:p>
    <w:p w:rsidR="00706303" w:rsidRPr="00087507" w:rsidRDefault="00706303" w:rsidP="00706303">
      <w:r w:rsidRPr="00087507">
        <w:t>Instead, the founders envisioned a sort of “patriot king,” she explained, “a president who would be above the fray, who would not be engaged in factional conflicts, would not be going after his enemies.” </w:t>
      </w:r>
    </w:p>
    <w:p w:rsidR="00706303" w:rsidRPr="00087507" w:rsidRDefault="00706303" w:rsidP="00706303">
      <w:r w:rsidRPr="00087507">
        <w:t>At the same time, she continued, “there was this idea that Congress was more powerful than the presidency. It was the president who should be deferential to the Congress. That’s no longer the case.” </w:t>
      </w:r>
    </w:p>
    <w:p w:rsidR="00706303" w:rsidRPr="00087507" w:rsidRDefault="00706303" w:rsidP="00706303">
      <w:r w:rsidRPr="00087507">
        <w:t>If the courts don’t restrain a rogue president, who will?</w:t>
      </w:r>
    </w:p>
    <w:p w:rsidR="00706303" w:rsidRPr="00087507" w:rsidRDefault="00706303" w:rsidP="00706303">
      <w:r w:rsidRPr="00087507">
        <w:t>In modern times, the presidency has accumulated more power — enough to make the office practically independent of Congress and of political parties. The personal character and integrity of the president becomes essential, and without that, there are fewer constraints on unethical or corrupt actions.</w:t>
      </w:r>
    </w:p>
    <w:p w:rsidR="00706303" w:rsidRPr="00087507" w:rsidRDefault="00706303" w:rsidP="00706303">
      <w:r w:rsidRPr="00087507">
        <w:t xml:space="preserve">“It’s more of a personal office,” </w:t>
      </w:r>
      <w:proofErr w:type="spellStart"/>
      <w:r w:rsidRPr="00087507">
        <w:t>Bimes</w:t>
      </w:r>
      <w:proofErr w:type="spellEnd"/>
      <w:r w:rsidRPr="00087507">
        <w:t xml:space="preserve"> said. “The president can use all the powers of the presidency for whatever he wants.” </w:t>
      </w:r>
    </w:p>
    <w:p w:rsidR="00706303" w:rsidRPr="00087507" w:rsidRDefault="00706303" w:rsidP="00706303">
      <w:r w:rsidRPr="00087507">
        <w:t xml:space="preserve">That also separates the president from accountability. Trump and his allies have been able to undermine the electoral process through constant, false claims of fraud, </w:t>
      </w:r>
      <w:proofErr w:type="spellStart"/>
      <w:r w:rsidRPr="00087507">
        <w:t>Bimes</w:t>
      </w:r>
      <w:proofErr w:type="spellEnd"/>
      <w:r w:rsidRPr="00087507">
        <w:t xml:space="preserve"> said. She called the impeachment process “broken,” and said that in a time of bitter political division, it is insufficient to check even egregious misbehavior. </w:t>
      </w:r>
    </w:p>
    <w:p w:rsidR="00706303" w:rsidRPr="00087507" w:rsidRDefault="00706303" w:rsidP="00706303">
      <w:r w:rsidRPr="00087507">
        <w:t>“</w:t>
      </w:r>
      <w:proofErr w:type="gramStart"/>
      <w:r w:rsidRPr="00087507">
        <w:t>So</w:t>
      </w:r>
      <w:proofErr w:type="gramEnd"/>
      <w:r w:rsidRPr="00087507">
        <w:t xml:space="preserve"> we really need the courts to step in to help control the president, to make the president more accountable,” she said. </w:t>
      </w:r>
    </w:p>
    <w:p w:rsidR="00706303" w:rsidRPr="00087507" w:rsidRDefault="00706303" w:rsidP="00706303">
      <w:r w:rsidRPr="00087507">
        <w:t>“Now I’m not so sure that we can rely on that — I’m not confident. I’m worried about our democracy because of the character of Donald Trump.”</w:t>
      </w:r>
    </w:p>
    <w:p w:rsidR="00706303" w:rsidRDefault="00706303" w:rsidP="00706303">
      <w:pPr>
        <w:pStyle w:val="Heading3"/>
      </w:pPr>
      <w:bookmarkStart w:id="0" w:name="_page_24_0"/>
      <w:r>
        <w:t>2NC---AMR---PASTEUR Act</w:t>
      </w:r>
    </w:p>
    <w:p w:rsidR="00706303" w:rsidRDefault="00706303" w:rsidP="00706303">
      <w:pPr>
        <w:pStyle w:val="Heading4"/>
      </w:pPr>
      <w:r>
        <w:t xml:space="preserve">The PASTEUR Act solves by creating </w:t>
      </w:r>
      <w:r w:rsidRPr="007C4177">
        <w:rPr>
          <w:u w:val="single"/>
        </w:rPr>
        <w:t>unique</w:t>
      </w:r>
      <w:r>
        <w:t xml:space="preserve"> market incentives.</w:t>
      </w:r>
    </w:p>
    <w:p w:rsidR="00706303" w:rsidRPr="007C4177" w:rsidRDefault="00706303" w:rsidP="00706303">
      <w:proofErr w:type="spellStart"/>
      <w:r w:rsidRPr="00400606">
        <w:t>Sevahn</w:t>
      </w:r>
      <w:proofErr w:type="spellEnd"/>
      <w:r w:rsidRPr="00400606">
        <w:t xml:space="preserve"> </w:t>
      </w:r>
      <w:r w:rsidRPr="00400606">
        <w:rPr>
          <w:rFonts w:eastAsiaTheme="majorEastAsia" w:cstheme="majorBidi"/>
          <w:b/>
          <w:iCs/>
          <w:sz w:val="26"/>
        </w:rPr>
        <w:t>Vorperian</w:t>
      </w:r>
      <w:r w:rsidRPr="00400606">
        <w:t xml:space="preserve"> and Stephen </w:t>
      </w:r>
      <w:r w:rsidRPr="00400606">
        <w:rPr>
          <w:rFonts w:eastAsiaTheme="majorEastAsia" w:cstheme="majorBidi"/>
          <w:b/>
          <w:iCs/>
          <w:sz w:val="26"/>
        </w:rPr>
        <w:t>Quake 2</w:t>
      </w:r>
      <w:r w:rsidRPr="007C4177">
        <w:rPr>
          <w:rFonts w:eastAsiaTheme="majorEastAsia" w:cstheme="majorBidi"/>
          <w:b/>
          <w:iCs/>
          <w:sz w:val="26"/>
        </w:rPr>
        <w:t>1</w:t>
      </w:r>
      <w:r w:rsidRPr="007C4177">
        <w:t>,</w:t>
      </w:r>
      <w:r>
        <w:t xml:space="preserve"> </w:t>
      </w:r>
      <w:r w:rsidRPr="007C4177">
        <w:t>Department of Chemical Engineering</w:t>
      </w:r>
      <w:r>
        <w:t xml:space="preserve"> at</w:t>
      </w:r>
      <w:r w:rsidRPr="007C4177">
        <w:t> Stanford University</w:t>
      </w:r>
      <w:r>
        <w:t xml:space="preserve">, </w:t>
      </w:r>
      <w:r w:rsidRPr="007C4177">
        <w:t xml:space="preserve">Professor of Bioengineering and Professor of Applied Physics at Stanford University and co-President of the Chan Zuckerberg </w:t>
      </w:r>
      <w:proofErr w:type="spellStart"/>
      <w:r w:rsidRPr="007C4177">
        <w:t>Biohub</w:t>
      </w:r>
      <w:proofErr w:type="spellEnd"/>
      <w:r>
        <w:t>, 05/25/2021, “</w:t>
      </w:r>
      <w:r w:rsidRPr="007C4177">
        <w:t>The PASTEUR Act can help win the war against superbugs</w:t>
      </w:r>
      <w:r>
        <w:t xml:space="preserve">,” </w:t>
      </w:r>
      <w:r w:rsidRPr="007C4177">
        <w:t>https://www.statnews.com/2021/06/25/pasteur-act-help-fight-superbugs-antimicrobial-resistance/</w:t>
      </w:r>
      <w:r>
        <w:t xml:space="preserve">, </w:t>
      </w:r>
      <w:proofErr w:type="spellStart"/>
      <w:r>
        <w:t>avr</w:t>
      </w:r>
      <w:proofErr w:type="spellEnd"/>
    </w:p>
    <w:p w:rsidR="00706303" w:rsidRPr="004A259B" w:rsidRDefault="00706303" w:rsidP="00706303">
      <w:pPr>
        <w:rPr>
          <w:sz w:val="16"/>
        </w:rPr>
      </w:pPr>
      <w:r w:rsidRPr="004A259B">
        <w:rPr>
          <w:sz w:val="16"/>
        </w:rPr>
        <w:t xml:space="preserve">The </w:t>
      </w:r>
      <w:r w:rsidRPr="00400606">
        <w:rPr>
          <w:rStyle w:val="Emphasis"/>
          <w:highlight w:val="cyan"/>
        </w:rPr>
        <w:t>PASTEUR</w:t>
      </w:r>
      <w:r w:rsidRPr="00400606">
        <w:rPr>
          <w:rStyle w:val="StyleUnderline"/>
          <w:highlight w:val="cyan"/>
        </w:rPr>
        <w:t xml:space="preserve"> Act</w:t>
      </w:r>
      <w:r w:rsidRPr="004A259B">
        <w:rPr>
          <w:sz w:val="16"/>
        </w:rPr>
        <w:t xml:space="preserve"> (H.R. 8920 and S. 4760), a </w:t>
      </w:r>
      <w:r w:rsidRPr="00400606">
        <w:rPr>
          <w:rStyle w:val="Emphasis"/>
        </w:rPr>
        <w:t>bipartisan</w:t>
      </w:r>
      <w:r w:rsidRPr="004A259B">
        <w:rPr>
          <w:sz w:val="16"/>
        </w:rPr>
        <w:t xml:space="preserve"> bill </w:t>
      </w:r>
      <w:r w:rsidRPr="00400606">
        <w:rPr>
          <w:rStyle w:val="StyleUnderline"/>
        </w:rPr>
        <w:t>cosponsored</w:t>
      </w:r>
      <w:r w:rsidRPr="004A259B">
        <w:rPr>
          <w:sz w:val="16"/>
        </w:rPr>
        <w:t xml:space="preserve"> by Sens. Michael Bennet (D-Colo.) and Todd Young (R-Ind.) and Reps. Mike Doyle (D-Pa.) and Drew Ferguson (R-Ga.), would implement a version of this model.</w:t>
      </w:r>
    </w:p>
    <w:p w:rsidR="00706303" w:rsidRPr="004A259B" w:rsidRDefault="00706303" w:rsidP="00706303">
      <w:pPr>
        <w:rPr>
          <w:sz w:val="16"/>
        </w:rPr>
      </w:pPr>
      <w:r w:rsidRPr="00400606">
        <w:rPr>
          <w:rStyle w:val="StyleUnderline"/>
        </w:rPr>
        <w:t>Under the PASTEUR Act</w:t>
      </w:r>
      <w:r w:rsidRPr="004A259B">
        <w:rPr>
          <w:sz w:val="16"/>
        </w:rPr>
        <w:t xml:space="preserve">, the </w:t>
      </w:r>
      <w:r w:rsidRPr="00400606">
        <w:rPr>
          <w:rStyle w:val="StyleUnderline"/>
        </w:rPr>
        <w:t>federal government</w:t>
      </w:r>
      <w:r w:rsidRPr="004A259B">
        <w:rPr>
          <w:sz w:val="16"/>
        </w:rPr>
        <w:t xml:space="preserve"> </w:t>
      </w:r>
      <w:r w:rsidRPr="00400606">
        <w:rPr>
          <w:rStyle w:val="StyleUnderline"/>
          <w:highlight w:val="cyan"/>
        </w:rPr>
        <w:t xml:space="preserve">would create </w:t>
      </w:r>
      <w:r w:rsidRPr="00400606">
        <w:rPr>
          <w:rStyle w:val="StyleUnderline"/>
        </w:rPr>
        <w:t>market</w:t>
      </w:r>
      <w:r w:rsidRPr="00400606">
        <w:rPr>
          <w:rStyle w:val="StyleUnderline"/>
          <w:highlight w:val="cyan"/>
        </w:rPr>
        <w:t xml:space="preserve"> </w:t>
      </w:r>
      <w:r w:rsidRPr="00400606">
        <w:rPr>
          <w:rStyle w:val="Emphasis"/>
          <w:highlight w:val="cyan"/>
        </w:rPr>
        <w:t>incentives</w:t>
      </w:r>
      <w:r w:rsidRPr="004A259B">
        <w:rPr>
          <w:sz w:val="16"/>
        </w:rPr>
        <w:t xml:space="preserve"> </w:t>
      </w:r>
      <w:r w:rsidRPr="00400606">
        <w:rPr>
          <w:rStyle w:val="StyleUnderline"/>
          <w:highlight w:val="cyan"/>
        </w:rPr>
        <w:t>for</w:t>
      </w:r>
      <w:r w:rsidRPr="004A259B">
        <w:rPr>
          <w:sz w:val="16"/>
        </w:rPr>
        <w:t xml:space="preserve"> the </w:t>
      </w:r>
      <w:r w:rsidRPr="00400606">
        <w:rPr>
          <w:rStyle w:val="StyleUnderline"/>
          <w:highlight w:val="cyan"/>
        </w:rPr>
        <w:t xml:space="preserve">development of </w:t>
      </w:r>
      <w:r w:rsidRPr="00400606">
        <w:rPr>
          <w:rStyle w:val="StyleUnderline"/>
        </w:rPr>
        <w:t xml:space="preserve">lifesaving </w:t>
      </w:r>
      <w:r w:rsidRPr="00400606">
        <w:rPr>
          <w:rStyle w:val="Emphasis"/>
          <w:highlight w:val="cyan"/>
        </w:rPr>
        <w:t>antimicrobial drugs</w:t>
      </w:r>
      <w:r w:rsidRPr="004A259B">
        <w:rPr>
          <w:sz w:val="16"/>
        </w:rPr>
        <w:t xml:space="preserve">. </w:t>
      </w:r>
      <w:r w:rsidRPr="00400606">
        <w:rPr>
          <w:rStyle w:val="StyleUnderline"/>
          <w:highlight w:val="cyan"/>
        </w:rPr>
        <w:t>Developers</w:t>
      </w:r>
      <w:r w:rsidRPr="004A259B">
        <w:rPr>
          <w:sz w:val="16"/>
        </w:rPr>
        <w:t xml:space="preserve"> </w:t>
      </w:r>
      <w:r w:rsidRPr="00400606">
        <w:rPr>
          <w:rStyle w:val="StyleUnderline"/>
        </w:rPr>
        <w:t xml:space="preserve">would be </w:t>
      </w:r>
      <w:r w:rsidRPr="00400606">
        <w:rPr>
          <w:rStyle w:val="StyleUnderline"/>
          <w:highlight w:val="cyan"/>
        </w:rPr>
        <w:t>paid contractually</w:t>
      </w:r>
      <w:r w:rsidRPr="004A259B">
        <w:rPr>
          <w:sz w:val="16"/>
        </w:rPr>
        <w:t xml:space="preserve"> agreed-upon amounts </w:t>
      </w:r>
      <w:r w:rsidRPr="00400606">
        <w:rPr>
          <w:rStyle w:val="StyleUnderline"/>
          <w:highlight w:val="cyan"/>
        </w:rPr>
        <w:t>annually</w:t>
      </w:r>
      <w:r w:rsidRPr="004A259B">
        <w:rPr>
          <w:sz w:val="16"/>
        </w:rPr>
        <w:t xml:space="preserve">, for a duration ranging from five years </w:t>
      </w:r>
      <w:r w:rsidRPr="00400606">
        <w:rPr>
          <w:rStyle w:val="StyleUnderline"/>
          <w:highlight w:val="cyan"/>
        </w:rPr>
        <w:t xml:space="preserve">up to the </w:t>
      </w:r>
      <w:r w:rsidRPr="00400606">
        <w:rPr>
          <w:rStyle w:val="Emphasis"/>
          <w:highlight w:val="cyan"/>
        </w:rPr>
        <w:t>antimicrobial’s</w:t>
      </w:r>
      <w:r w:rsidRPr="00400606">
        <w:rPr>
          <w:rStyle w:val="StyleUnderline"/>
          <w:highlight w:val="cyan"/>
        </w:rPr>
        <w:t xml:space="preserve"> patent life</w:t>
      </w:r>
      <w:r w:rsidRPr="004A259B">
        <w:rPr>
          <w:sz w:val="16"/>
        </w:rPr>
        <w:t xml:space="preserve">. The subscription </w:t>
      </w:r>
      <w:r w:rsidRPr="00400606">
        <w:rPr>
          <w:rStyle w:val="StyleUnderline"/>
        </w:rPr>
        <w:t>contract eligibility</w:t>
      </w:r>
      <w:r w:rsidRPr="004A259B">
        <w:rPr>
          <w:sz w:val="16"/>
        </w:rPr>
        <w:t xml:space="preserve"> and value would be </w:t>
      </w:r>
      <w:r w:rsidRPr="00400606">
        <w:rPr>
          <w:rStyle w:val="StyleUnderline"/>
        </w:rPr>
        <w:t>based on the clinical need</w:t>
      </w:r>
      <w:r w:rsidRPr="004A259B">
        <w:rPr>
          <w:sz w:val="16"/>
        </w:rPr>
        <w:t xml:space="preserve"> and </w:t>
      </w:r>
      <w:r w:rsidRPr="00400606">
        <w:rPr>
          <w:rStyle w:val="StyleUnderline"/>
        </w:rPr>
        <w:t>novelty of the drug</w:t>
      </w:r>
      <w:r w:rsidRPr="004A259B">
        <w:rPr>
          <w:sz w:val="16"/>
        </w:rPr>
        <w:t>.</w:t>
      </w:r>
    </w:p>
    <w:p w:rsidR="00706303" w:rsidRPr="004A259B" w:rsidRDefault="00706303" w:rsidP="00706303">
      <w:pPr>
        <w:rPr>
          <w:sz w:val="16"/>
        </w:rPr>
      </w:pPr>
      <w:r w:rsidRPr="004A259B">
        <w:rPr>
          <w:sz w:val="16"/>
        </w:rPr>
        <w:t xml:space="preserve">Specifically, such </w:t>
      </w:r>
      <w:r w:rsidRPr="00400606">
        <w:rPr>
          <w:rStyle w:val="StyleUnderline"/>
          <w:highlight w:val="cyan"/>
        </w:rPr>
        <w:t>contracts</w:t>
      </w:r>
      <w:r w:rsidRPr="004A259B">
        <w:rPr>
          <w:sz w:val="16"/>
        </w:rPr>
        <w:t xml:space="preserve"> would </w:t>
      </w:r>
      <w:r w:rsidRPr="00400606">
        <w:rPr>
          <w:rStyle w:val="StyleUnderline"/>
          <w:highlight w:val="cyan"/>
        </w:rPr>
        <w:t>promote</w:t>
      </w:r>
      <w:r w:rsidRPr="004A259B">
        <w:rPr>
          <w:sz w:val="16"/>
        </w:rPr>
        <w:t xml:space="preserve"> the </w:t>
      </w:r>
      <w:r w:rsidRPr="00400606">
        <w:rPr>
          <w:rStyle w:val="StyleUnderline"/>
          <w:highlight w:val="cyan"/>
        </w:rPr>
        <w:t>development of antimicrobials against</w:t>
      </w:r>
      <w:r w:rsidRPr="004A259B">
        <w:rPr>
          <w:sz w:val="16"/>
        </w:rPr>
        <w:t xml:space="preserve"> the most </w:t>
      </w:r>
      <w:r w:rsidRPr="00400606">
        <w:rPr>
          <w:rStyle w:val="StyleUnderline"/>
        </w:rPr>
        <w:t>threatening</w:t>
      </w:r>
      <w:r w:rsidRPr="004A259B">
        <w:rPr>
          <w:sz w:val="16"/>
        </w:rPr>
        <w:t xml:space="preserve"> </w:t>
      </w:r>
      <w:r w:rsidRPr="00400606">
        <w:rPr>
          <w:rStyle w:val="Emphasis"/>
          <w:highlight w:val="cyan"/>
        </w:rPr>
        <w:t>superbugs</w:t>
      </w:r>
      <w:r w:rsidRPr="004A259B">
        <w:rPr>
          <w:sz w:val="16"/>
        </w:rPr>
        <w:t xml:space="preserve"> identified by the </w:t>
      </w:r>
      <w:r w:rsidRPr="00400606">
        <w:rPr>
          <w:rStyle w:val="Emphasis"/>
        </w:rPr>
        <w:t>C</w:t>
      </w:r>
      <w:r w:rsidRPr="00400606">
        <w:rPr>
          <w:rStyle w:val="StyleUnderline"/>
        </w:rPr>
        <w:t>enters</w:t>
      </w:r>
      <w:r w:rsidRPr="004A259B">
        <w:rPr>
          <w:sz w:val="16"/>
        </w:rPr>
        <w:t xml:space="preserve"> for </w:t>
      </w:r>
      <w:r w:rsidRPr="00400606">
        <w:rPr>
          <w:rStyle w:val="Emphasis"/>
        </w:rPr>
        <w:t>D</w:t>
      </w:r>
      <w:r w:rsidRPr="00400606">
        <w:rPr>
          <w:rStyle w:val="StyleUnderline"/>
        </w:rPr>
        <w:t>isease</w:t>
      </w:r>
      <w:r w:rsidRPr="004A259B">
        <w:rPr>
          <w:sz w:val="16"/>
        </w:rPr>
        <w:t xml:space="preserve"> </w:t>
      </w:r>
      <w:r w:rsidRPr="00400606">
        <w:rPr>
          <w:rStyle w:val="Emphasis"/>
        </w:rPr>
        <w:t>C</w:t>
      </w:r>
      <w:r w:rsidRPr="00400606">
        <w:rPr>
          <w:rStyle w:val="StyleUnderline"/>
        </w:rPr>
        <w:t>ontrol</w:t>
      </w:r>
      <w:r w:rsidRPr="004A259B">
        <w:rPr>
          <w:sz w:val="16"/>
        </w:rPr>
        <w:t xml:space="preserve"> and Prevention, including Candida auris, a fungus, and bacteria such as carbapenem-resistant Acinetobacter and </w:t>
      </w:r>
      <w:proofErr w:type="spellStart"/>
      <w:r w:rsidRPr="004A259B">
        <w:rPr>
          <w:sz w:val="16"/>
        </w:rPr>
        <w:t>Clostridioides</w:t>
      </w:r>
      <w:proofErr w:type="spellEnd"/>
      <w:r w:rsidRPr="004A259B">
        <w:rPr>
          <w:sz w:val="16"/>
        </w:rPr>
        <w:t xml:space="preserve"> difficile. Additionally, </w:t>
      </w:r>
      <w:r w:rsidRPr="00400606">
        <w:rPr>
          <w:rStyle w:val="StyleUnderline"/>
          <w:highlight w:val="cyan"/>
        </w:rPr>
        <w:t>PASTEUR</w:t>
      </w:r>
      <w:r w:rsidRPr="004A259B">
        <w:rPr>
          <w:sz w:val="16"/>
        </w:rPr>
        <w:t xml:space="preserve"> contracts </w:t>
      </w:r>
      <w:r w:rsidRPr="00400606">
        <w:rPr>
          <w:rStyle w:val="StyleUnderline"/>
          <w:highlight w:val="cyan"/>
        </w:rPr>
        <w:t>would incentivize</w:t>
      </w:r>
      <w:r w:rsidRPr="004A259B">
        <w:rPr>
          <w:sz w:val="16"/>
        </w:rPr>
        <w:t xml:space="preserve"> the </w:t>
      </w:r>
      <w:r w:rsidRPr="00400606">
        <w:rPr>
          <w:rStyle w:val="StyleUnderline"/>
        </w:rPr>
        <w:t>development</w:t>
      </w:r>
      <w:r w:rsidRPr="004A259B">
        <w:rPr>
          <w:sz w:val="16"/>
        </w:rPr>
        <w:t xml:space="preserve"> of </w:t>
      </w:r>
      <w:r w:rsidRPr="00400606">
        <w:rPr>
          <w:rStyle w:val="StyleUnderline"/>
          <w:highlight w:val="cyan"/>
        </w:rPr>
        <w:t xml:space="preserve">antimicrobials with novel </w:t>
      </w:r>
      <w:r w:rsidRPr="00400606">
        <w:rPr>
          <w:rStyle w:val="Emphasis"/>
          <w:highlight w:val="cyan"/>
        </w:rPr>
        <w:t>mechanisms</w:t>
      </w:r>
      <w:r w:rsidRPr="004A259B">
        <w:rPr>
          <w:sz w:val="16"/>
        </w:rPr>
        <w:t xml:space="preserve"> of action </w:t>
      </w:r>
      <w:r w:rsidRPr="00400606">
        <w:rPr>
          <w:rStyle w:val="StyleUnderline"/>
          <w:highlight w:val="cyan"/>
        </w:rPr>
        <w:t xml:space="preserve">and </w:t>
      </w:r>
      <w:r w:rsidRPr="00400606">
        <w:rPr>
          <w:rStyle w:val="StyleUnderline"/>
        </w:rPr>
        <w:t>novel</w:t>
      </w:r>
      <w:r w:rsidRPr="00400606">
        <w:rPr>
          <w:rStyle w:val="StyleUnderline"/>
          <w:highlight w:val="cyan"/>
        </w:rPr>
        <w:t xml:space="preserve"> </w:t>
      </w:r>
      <w:r w:rsidRPr="00400606">
        <w:rPr>
          <w:rStyle w:val="Emphasis"/>
          <w:highlight w:val="cyan"/>
        </w:rPr>
        <w:t>structure</w:t>
      </w:r>
      <w:r w:rsidRPr="004A259B">
        <w:rPr>
          <w:sz w:val="16"/>
        </w:rPr>
        <w:t xml:space="preserve">, creating a </w:t>
      </w:r>
      <w:r w:rsidRPr="00400606">
        <w:rPr>
          <w:rStyle w:val="StyleUnderline"/>
        </w:rPr>
        <w:t>powerful arsenal against superbugs</w:t>
      </w:r>
      <w:r w:rsidRPr="004A259B">
        <w:rPr>
          <w:sz w:val="16"/>
        </w:rPr>
        <w:t xml:space="preserve">, which </w:t>
      </w:r>
      <w:r w:rsidRPr="00400606">
        <w:rPr>
          <w:rStyle w:val="StyleUnderline"/>
        </w:rPr>
        <w:t>currently</w:t>
      </w:r>
      <w:r w:rsidRPr="004A259B">
        <w:rPr>
          <w:sz w:val="16"/>
        </w:rPr>
        <w:t xml:space="preserve"> have </w:t>
      </w:r>
      <w:r w:rsidRPr="00400606">
        <w:rPr>
          <w:rStyle w:val="StyleUnderline"/>
        </w:rPr>
        <w:t xml:space="preserve">limited treatment </w:t>
      </w:r>
      <w:r w:rsidRPr="00400606">
        <w:rPr>
          <w:rStyle w:val="Emphasis"/>
        </w:rPr>
        <w:t>options</w:t>
      </w:r>
      <w:r w:rsidRPr="004A259B">
        <w:rPr>
          <w:sz w:val="16"/>
        </w:rPr>
        <w:t>.</w:t>
      </w:r>
    </w:p>
    <w:p w:rsidR="00706303" w:rsidRPr="004A259B" w:rsidRDefault="00706303" w:rsidP="00706303">
      <w:pPr>
        <w:rPr>
          <w:sz w:val="16"/>
        </w:rPr>
      </w:pPr>
      <w:r w:rsidRPr="00400606">
        <w:rPr>
          <w:rStyle w:val="StyleUnderline"/>
        </w:rPr>
        <w:t>Under</w:t>
      </w:r>
      <w:r w:rsidRPr="004A259B">
        <w:rPr>
          <w:sz w:val="16"/>
        </w:rPr>
        <w:t xml:space="preserve"> this model, </w:t>
      </w:r>
      <w:r w:rsidRPr="00400606">
        <w:rPr>
          <w:rStyle w:val="StyleUnderline"/>
          <w:highlight w:val="cyan"/>
        </w:rPr>
        <w:t xml:space="preserve">patients covered by federal </w:t>
      </w:r>
      <w:r w:rsidRPr="00400606">
        <w:rPr>
          <w:rStyle w:val="Emphasis"/>
          <w:highlight w:val="cyan"/>
        </w:rPr>
        <w:t>insurance</w:t>
      </w:r>
      <w:r w:rsidRPr="004A259B">
        <w:rPr>
          <w:sz w:val="16"/>
        </w:rPr>
        <w:t xml:space="preserve"> programs like </w:t>
      </w:r>
      <w:r w:rsidRPr="00400606">
        <w:rPr>
          <w:rStyle w:val="StyleUnderline"/>
        </w:rPr>
        <w:t>Medicare or Medicaid</w:t>
      </w:r>
      <w:r w:rsidRPr="004A259B">
        <w:rPr>
          <w:sz w:val="16"/>
        </w:rPr>
        <w:t xml:space="preserve"> </w:t>
      </w:r>
      <w:r w:rsidRPr="00400606">
        <w:rPr>
          <w:rStyle w:val="StyleUnderline"/>
          <w:highlight w:val="cyan"/>
        </w:rPr>
        <w:t xml:space="preserve">would have access to these drugs at no </w:t>
      </w:r>
      <w:r w:rsidRPr="00400606">
        <w:rPr>
          <w:rStyle w:val="Emphasis"/>
          <w:highlight w:val="cyan"/>
        </w:rPr>
        <w:t>additional</w:t>
      </w:r>
      <w:r w:rsidRPr="00400606">
        <w:rPr>
          <w:rStyle w:val="StyleUnderline"/>
          <w:highlight w:val="cyan"/>
        </w:rPr>
        <w:t xml:space="preserve"> cost</w:t>
      </w:r>
      <w:r w:rsidRPr="004A259B">
        <w:rPr>
          <w:sz w:val="16"/>
        </w:rPr>
        <w:t xml:space="preserve"> to the government. It is </w:t>
      </w:r>
      <w:r w:rsidRPr="00400606">
        <w:rPr>
          <w:rStyle w:val="StyleUnderline"/>
        </w:rPr>
        <w:t>important</w:t>
      </w:r>
      <w:r w:rsidRPr="004A259B">
        <w:rPr>
          <w:sz w:val="16"/>
        </w:rPr>
        <w:t xml:space="preserve"> to note that this is </w:t>
      </w:r>
      <w:r w:rsidRPr="00400606">
        <w:rPr>
          <w:rStyle w:val="Emphasis"/>
        </w:rPr>
        <w:t>not</w:t>
      </w:r>
      <w:r w:rsidRPr="00400606">
        <w:rPr>
          <w:rStyle w:val="StyleUnderline"/>
        </w:rPr>
        <w:t xml:space="preserve"> a giveaway to </w:t>
      </w:r>
      <w:r w:rsidRPr="00400606">
        <w:rPr>
          <w:rStyle w:val="Emphasis"/>
        </w:rPr>
        <w:t>big pharma</w:t>
      </w:r>
      <w:r w:rsidRPr="00400606">
        <w:rPr>
          <w:rStyle w:val="StyleUnderline"/>
        </w:rPr>
        <w:t>ceutical</w:t>
      </w:r>
      <w:r w:rsidRPr="004A259B">
        <w:rPr>
          <w:sz w:val="16"/>
        </w:rPr>
        <w:t xml:space="preserve"> companies </w:t>
      </w:r>
      <w:r w:rsidRPr="00400606">
        <w:rPr>
          <w:rStyle w:val="StyleUnderline"/>
        </w:rPr>
        <w:t>because 95% of antimicrobials</w:t>
      </w:r>
      <w:r w:rsidRPr="004A259B">
        <w:rPr>
          <w:sz w:val="16"/>
        </w:rPr>
        <w:t xml:space="preserve"> are </w:t>
      </w:r>
      <w:r w:rsidRPr="00400606">
        <w:rPr>
          <w:rStyle w:val="StyleUnderline"/>
        </w:rPr>
        <w:t>developed</w:t>
      </w:r>
      <w:r w:rsidRPr="004A259B">
        <w:rPr>
          <w:sz w:val="16"/>
        </w:rPr>
        <w:t xml:space="preserve"> by </w:t>
      </w:r>
      <w:r w:rsidRPr="00400606">
        <w:rPr>
          <w:rStyle w:val="Emphasis"/>
        </w:rPr>
        <w:t>small companies</w:t>
      </w:r>
      <w:r w:rsidRPr="004A259B">
        <w:rPr>
          <w:sz w:val="16"/>
        </w:rPr>
        <w:t>.</w:t>
      </w:r>
    </w:p>
    <w:p w:rsidR="00706303" w:rsidRPr="004A259B" w:rsidRDefault="00706303" w:rsidP="00706303">
      <w:pPr>
        <w:rPr>
          <w:rFonts w:ascii="Symbol" w:eastAsia="Symbol" w:hAnsi="Symbol" w:cs="Symbol"/>
          <w:color w:val="000000"/>
          <w:sz w:val="16"/>
          <w:szCs w:val="20"/>
        </w:rPr>
      </w:pPr>
      <w:r w:rsidRPr="00400606">
        <w:rPr>
          <w:rStyle w:val="StyleUnderline"/>
          <w:highlight w:val="cyan"/>
        </w:rPr>
        <w:t>This approach would position</w:t>
      </w:r>
      <w:r w:rsidRPr="004A259B">
        <w:rPr>
          <w:sz w:val="16"/>
        </w:rPr>
        <w:t xml:space="preserve"> the </w:t>
      </w:r>
      <w:r w:rsidRPr="00400606">
        <w:rPr>
          <w:rStyle w:val="Emphasis"/>
          <w:highlight w:val="cyan"/>
        </w:rPr>
        <w:t>U.S.</w:t>
      </w:r>
      <w:r w:rsidRPr="004A259B">
        <w:rPr>
          <w:sz w:val="16"/>
        </w:rPr>
        <w:t xml:space="preserve"> </w:t>
      </w:r>
      <w:r w:rsidRPr="00400606">
        <w:rPr>
          <w:rStyle w:val="StyleUnderline"/>
          <w:highlight w:val="cyan"/>
        </w:rPr>
        <w:t xml:space="preserve">as a leader in pandemic </w:t>
      </w:r>
      <w:r w:rsidRPr="00400606">
        <w:rPr>
          <w:rStyle w:val="Emphasis"/>
          <w:highlight w:val="cyan"/>
        </w:rPr>
        <w:t>preparedness</w:t>
      </w:r>
      <w:r w:rsidRPr="004A259B">
        <w:rPr>
          <w:sz w:val="16"/>
        </w:rPr>
        <w:t xml:space="preserve"> and in the </w:t>
      </w:r>
      <w:r w:rsidRPr="00400606">
        <w:rPr>
          <w:rStyle w:val="StyleUnderline"/>
        </w:rPr>
        <w:t>development of drugs with global health importance</w:t>
      </w:r>
      <w:r w:rsidRPr="004A259B">
        <w:rPr>
          <w:sz w:val="16"/>
        </w:rPr>
        <w:t xml:space="preserve">. House Speaker Nancy Pelosi and Senate Majority Leader Chuck Schumer should help </w:t>
      </w:r>
      <w:r w:rsidRPr="00400606">
        <w:rPr>
          <w:rStyle w:val="StyleUnderline"/>
        </w:rPr>
        <w:t>pass the PASTEUR</w:t>
      </w:r>
      <w:r w:rsidRPr="004A259B">
        <w:rPr>
          <w:sz w:val="16"/>
        </w:rPr>
        <w:t xml:space="preserve"> </w:t>
      </w:r>
      <w:r w:rsidRPr="00400606">
        <w:rPr>
          <w:rStyle w:val="StyleUnderline"/>
        </w:rPr>
        <w:t>Act</w:t>
      </w:r>
      <w:r w:rsidRPr="004A259B">
        <w:rPr>
          <w:sz w:val="16"/>
        </w:rPr>
        <w:t xml:space="preserve">, and the Biden administration should favor </w:t>
      </w:r>
      <w:r w:rsidRPr="00400606">
        <w:rPr>
          <w:rStyle w:val="Emphasis"/>
        </w:rPr>
        <w:t>a</w:t>
      </w:r>
      <w:r w:rsidRPr="00400606">
        <w:rPr>
          <w:rStyle w:val="StyleUnderline"/>
        </w:rPr>
        <w:t>nti</w:t>
      </w:r>
      <w:r w:rsidRPr="00400606">
        <w:rPr>
          <w:rStyle w:val="Emphasis"/>
        </w:rPr>
        <w:t>m</w:t>
      </w:r>
      <w:r w:rsidRPr="00400606">
        <w:rPr>
          <w:rStyle w:val="StyleUnderline"/>
        </w:rPr>
        <w:t xml:space="preserve">icrobial </w:t>
      </w:r>
      <w:r w:rsidRPr="00400606">
        <w:rPr>
          <w:rStyle w:val="Emphasis"/>
        </w:rPr>
        <w:t>r</w:t>
      </w:r>
      <w:r w:rsidRPr="00400606">
        <w:rPr>
          <w:rStyle w:val="StyleUnderline"/>
        </w:rPr>
        <w:t>esistance</w:t>
      </w:r>
      <w:r w:rsidRPr="004A259B">
        <w:rPr>
          <w:sz w:val="16"/>
        </w:rPr>
        <w:t xml:space="preserve"> in its </w:t>
      </w:r>
      <w:r w:rsidRPr="00400606">
        <w:rPr>
          <w:rStyle w:val="StyleUnderline"/>
        </w:rPr>
        <w:t>pandemic preparedness</w:t>
      </w:r>
      <w:r w:rsidRPr="004A259B">
        <w:rPr>
          <w:sz w:val="16"/>
        </w:rPr>
        <w:t xml:space="preserve"> strategy.</w:t>
      </w:r>
      <w:bookmarkEnd w:id="0"/>
      <w:r w:rsidRPr="004A259B">
        <w:rPr>
          <w:rFonts w:ascii="Symbol" w:eastAsia="Symbol" w:hAnsi="Symbol" w:cs="Symbol"/>
          <w:color w:val="000000"/>
          <w:sz w:val="16"/>
          <w:szCs w:val="20"/>
        </w:rPr>
        <w:t></w:t>
      </w:r>
    </w:p>
    <w:p w:rsidR="00706303" w:rsidRDefault="00706303" w:rsidP="00706303">
      <w:pPr>
        <w:rPr>
          <w:rFonts w:ascii="Symbol" w:eastAsia="Symbol" w:hAnsi="Symbol" w:cs="Symbol"/>
          <w:color w:val="000000"/>
          <w:sz w:val="20"/>
          <w:szCs w:val="20"/>
        </w:rPr>
      </w:pPr>
    </w:p>
    <w:p w:rsidR="00706303" w:rsidRPr="00981ADE" w:rsidRDefault="00706303" w:rsidP="00706303">
      <w:pPr>
        <w:pStyle w:val="Heading4"/>
      </w:pPr>
      <w:r w:rsidRPr="00981ADE">
        <w:t>It</w:t>
      </w:r>
      <w:r>
        <w:t xml:space="preserve"> is also critical for preserving </w:t>
      </w:r>
      <w:r w:rsidRPr="00981ADE">
        <w:rPr>
          <w:u w:val="single"/>
        </w:rPr>
        <w:t>appropriate</w:t>
      </w:r>
      <w:r>
        <w:t xml:space="preserve"> use of </w:t>
      </w:r>
      <w:r w:rsidRPr="00981ADE">
        <w:rPr>
          <w:u w:val="single"/>
        </w:rPr>
        <w:t>current</w:t>
      </w:r>
      <w:r>
        <w:t xml:space="preserve"> antibiotics.</w:t>
      </w:r>
    </w:p>
    <w:p w:rsidR="00706303" w:rsidRPr="007C4177" w:rsidRDefault="00706303" w:rsidP="00706303">
      <w:r>
        <w:t xml:space="preserve">David </w:t>
      </w:r>
      <w:r w:rsidRPr="00981ADE">
        <w:rPr>
          <w:rStyle w:val="Style13ptBold"/>
        </w:rPr>
        <w:t>Hyun 23</w:t>
      </w:r>
      <w:r>
        <w:t xml:space="preserve">, </w:t>
      </w:r>
      <w:r w:rsidRPr="007C4177">
        <w:t>M.D., directs Pew</w:t>
      </w:r>
      <w:r>
        <w:t xml:space="preserve"> Charitable Trusts</w:t>
      </w:r>
      <w:r w:rsidRPr="007C4177">
        <w:t>’ antibiotic resistance project,</w:t>
      </w:r>
      <w:r>
        <w:t xml:space="preserve"> 04/27/2023, “</w:t>
      </w:r>
      <w:r w:rsidRPr="002C2060">
        <w:t>Organizations Focused on Fight Against Superbugs Celebrate Reintroduction of the PASTEUR Act</w:t>
      </w:r>
      <w:r>
        <w:t xml:space="preserve">,” </w:t>
      </w:r>
      <w:r w:rsidRPr="002C2060">
        <w:t>https://www.pewtrusts.org/en/about/news-room/press-releases-and-statements/2023/04/27/organizations-focused-on-fight-against-superbugs-celebrate-reintroduction-of-the-pasteur-act</w:t>
      </w:r>
      <w:r>
        <w:t xml:space="preserve">, </w:t>
      </w:r>
      <w:proofErr w:type="spellStart"/>
      <w:r>
        <w:t>avr</w:t>
      </w:r>
      <w:proofErr w:type="spellEnd"/>
    </w:p>
    <w:p w:rsidR="00706303" w:rsidRPr="004A259B" w:rsidRDefault="00706303" w:rsidP="00706303">
      <w:pPr>
        <w:rPr>
          <w:sz w:val="16"/>
        </w:rPr>
      </w:pPr>
      <w:r w:rsidRPr="004A259B">
        <w:rPr>
          <w:sz w:val="16"/>
        </w:rPr>
        <w:t xml:space="preserve">Today, </w:t>
      </w:r>
      <w:r w:rsidRPr="002C2060">
        <w:rPr>
          <w:rStyle w:val="StyleUnderline"/>
        </w:rPr>
        <w:t>five prominent</w:t>
      </w:r>
      <w:r w:rsidRPr="004A259B">
        <w:rPr>
          <w:sz w:val="16"/>
        </w:rPr>
        <w:t xml:space="preserve"> national </w:t>
      </w:r>
      <w:r w:rsidRPr="002C2060">
        <w:rPr>
          <w:rStyle w:val="StyleUnderline"/>
        </w:rPr>
        <w:t>organizations</w:t>
      </w:r>
      <w:r w:rsidRPr="004A259B">
        <w:rPr>
          <w:sz w:val="16"/>
        </w:rPr>
        <w:t xml:space="preserve">—the </w:t>
      </w:r>
      <w:r w:rsidRPr="002C2060">
        <w:rPr>
          <w:rStyle w:val="StyleUnderline"/>
        </w:rPr>
        <w:t>Biotechnology Innovation Organization</w:t>
      </w:r>
      <w:r w:rsidRPr="004A259B">
        <w:rPr>
          <w:sz w:val="16"/>
        </w:rPr>
        <w:t xml:space="preserve">, the </w:t>
      </w:r>
      <w:r w:rsidRPr="002C2060">
        <w:rPr>
          <w:rStyle w:val="StyleUnderline"/>
        </w:rPr>
        <w:t>Cystic Fibrosis Foundation</w:t>
      </w:r>
      <w:r w:rsidRPr="004A259B">
        <w:rPr>
          <w:sz w:val="16"/>
        </w:rPr>
        <w:t xml:space="preserve">, the </w:t>
      </w:r>
      <w:r w:rsidRPr="002C2060">
        <w:rPr>
          <w:rStyle w:val="StyleUnderline"/>
        </w:rPr>
        <w:t>Infectious Diseases Society of America</w:t>
      </w:r>
      <w:r w:rsidRPr="004A259B">
        <w:rPr>
          <w:sz w:val="16"/>
        </w:rPr>
        <w:t xml:space="preserve">, the </w:t>
      </w:r>
      <w:r w:rsidRPr="002C2060">
        <w:rPr>
          <w:rStyle w:val="StyleUnderline"/>
        </w:rPr>
        <w:t>Partnership to Fight Infectious Disease</w:t>
      </w:r>
      <w:r w:rsidRPr="004A259B">
        <w:rPr>
          <w:sz w:val="16"/>
        </w:rPr>
        <w:t xml:space="preserve">, and </w:t>
      </w:r>
      <w:r w:rsidRPr="002C2060">
        <w:rPr>
          <w:rStyle w:val="StyleUnderline"/>
        </w:rPr>
        <w:t>The Pew Charitable Trusts</w:t>
      </w:r>
      <w:r w:rsidRPr="004A259B">
        <w:rPr>
          <w:sz w:val="16"/>
        </w:rPr>
        <w:t>—issued the following statement in response to the reintroduction of the Pioneering Antimicrobial Subscriptions to End Upsurging Resistance (</w:t>
      </w:r>
      <w:r w:rsidRPr="002C2060">
        <w:rPr>
          <w:rStyle w:val="Emphasis"/>
        </w:rPr>
        <w:t>PASTEUR</w:t>
      </w:r>
      <w:r w:rsidRPr="004A259B">
        <w:rPr>
          <w:sz w:val="16"/>
        </w:rPr>
        <w:t>) Act:</w:t>
      </w:r>
    </w:p>
    <w:p w:rsidR="00706303" w:rsidRPr="004A259B" w:rsidRDefault="00706303" w:rsidP="00706303">
      <w:pPr>
        <w:rPr>
          <w:sz w:val="16"/>
        </w:rPr>
      </w:pPr>
      <w:r w:rsidRPr="004A259B">
        <w:rPr>
          <w:sz w:val="16"/>
        </w:rPr>
        <w:t xml:space="preserve">The </w:t>
      </w:r>
      <w:r w:rsidRPr="002C2060">
        <w:rPr>
          <w:rStyle w:val="StyleUnderline"/>
        </w:rPr>
        <w:t xml:space="preserve">reintroduction of </w:t>
      </w:r>
      <w:r w:rsidRPr="002C2060">
        <w:rPr>
          <w:rStyle w:val="StyleUnderline"/>
          <w:highlight w:val="cyan"/>
        </w:rPr>
        <w:t>the bipartisan </w:t>
      </w:r>
      <w:r w:rsidRPr="002C2060">
        <w:rPr>
          <w:rStyle w:val="Emphasis"/>
          <w:highlight w:val="cyan"/>
        </w:rPr>
        <w:t>PASTEUR</w:t>
      </w:r>
      <w:r w:rsidRPr="002C2060">
        <w:rPr>
          <w:rStyle w:val="StyleUnderline"/>
          <w:highlight w:val="cyan"/>
        </w:rPr>
        <w:t xml:space="preserve"> Act</w:t>
      </w:r>
      <w:r w:rsidRPr="004A259B">
        <w:rPr>
          <w:sz w:val="16"/>
        </w:rPr>
        <w:t xml:space="preserve"> by the </w:t>
      </w:r>
      <w:r w:rsidRPr="002C2060">
        <w:rPr>
          <w:rStyle w:val="StyleUnderline"/>
        </w:rPr>
        <w:t>U.S House of Representatives and the Senate</w:t>
      </w:r>
      <w:r w:rsidRPr="004A259B">
        <w:rPr>
          <w:sz w:val="16"/>
        </w:rPr>
        <w:t xml:space="preserve"> </w:t>
      </w:r>
      <w:r w:rsidRPr="002C2060">
        <w:rPr>
          <w:rStyle w:val="StyleUnderline"/>
          <w:highlight w:val="cyan"/>
        </w:rPr>
        <w:t>is a critical step forward to address</w:t>
      </w:r>
      <w:r w:rsidRPr="002C2060">
        <w:rPr>
          <w:rStyle w:val="StyleUnderline"/>
        </w:rPr>
        <w:t xml:space="preserve"> the </w:t>
      </w:r>
      <w:r w:rsidRPr="002C2060">
        <w:rPr>
          <w:rStyle w:val="Emphasis"/>
          <w:highlight w:val="cyan"/>
        </w:rPr>
        <w:t>a</w:t>
      </w:r>
      <w:r w:rsidRPr="002C2060">
        <w:rPr>
          <w:rStyle w:val="StyleUnderline"/>
        </w:rPr>
        <w:t>nti</w:t>
      </w:r>
      <w:r w:rsidRPr="002C2060">
        <w:rPr>
          <w:rStyle w:val="Emphasis"/>
          <w:highlight w:val="cyan"/>
        </w:rPr>
        <w:t>m</w:t>
      </w:r>
      <w:r w:rsidRPr="002C2060">
        <w:rPr>
          <w:rStyle w:val="StyleUnderline"/>
        </w:rPr>
        <w:t xml:space="preserve">icrobial </w:t>
      </w:r>
      <w:r w:rsidRPr="002C2060">
        <w:rPr>
          <w:rStyle w:val="Emphasis"/>
          <w:highlight w:val="cyan"/>
        </w:rPr>
        <w:t>r</w:t>
      </w:r>
      <w:r w:rsidRPr="002C2060">
        <w:rPr>
          <w:rStyle w:val="StyleUnderline"/>
        </w:rPr>
        <w:t xml:space="preserve">esistance </w:t>
      </w:r>
      <w:r w:rsidRPr="002C2060">
        <w:rPr>
          <w:rStyle w:val="StyleUnderline"/>
          <w:highlight w:val="cyan"/>
        </w:rPr>
        <w:t>crisis</w:t>
      </w:r>
      <w:r w:rsidRPr="004A259B">
        <w:rPr>
          <w:sz w:val="16"/>
        </w:rPr>
        <w:t xml:space="preserve"> that threatens the </w:t>
      </w:r>
      <w:r w:rsidRPr="002C2060">
        <w:rPr>
          <w:rStyle w:val="StyleUnderline"/>
        </w:rPr>
        <w:t>public health</w:t>
      </w:r>
      <w:r w:rsidRPr="004A259B">
        <w:rPr>
          <w:sz w:val="16"/>
        </w:rPr>
        <w:t xml:space="preserve"> </w:t>
      </w:r>
      <w:r w:rsidRPr="002C2060">
        <w:rPr>
          <w:rStyle w:val="StyleUnderline"/>
        </w:rPr>
        <w:t xml:space="preserve">and U.S. </w:t>
      </w:r>
      <w:r w:rsidRPr="002C2060">
        <w:rPr>
          <w:rStyle w:val="Emphasis"/>
        </w:rPr>
        <w:t>national</w:t>
      </w:r>
      <w:r w:rsidRPr="002C2060">
        <w:rPr>
          <w:rStyle w:val="StyleUnderline"/>
        </w:rPr>
        <w:t xml:space="preserve"> security</w:t>
      </w:r>
      <w:r w:rsidRPr="004A259B">
        <w:rPr>
          <w:sz w:val="16"/>
        </w:rPr>
        <w:t xml:space="preserve"> and </w:t>
      </w:r>
      <w:r w:rsidRPr="002C2060">
        <w:rPr>
          <w:rStyle w:val="StyleUnderline"/>
        </w:rPr>
        <w:t>preparedness</w:t>
      </w:r>
      <w:r w:rsidRPr="004A259B">
        <w:rPr>
          <w:sz w:val="16"/>
        </w:rPr>
        <w:t xml:space="preserve">. We applaud the efforts of Senators Michael Bennet (D-CO) and Todd Young (R-IN) and Representatives Drew Ferguson (R-GA) and Scott Peters (D-CA) to keep this vital issue a </w:t>
      </w:r>
      <w:r w:rsidRPr="002C2060">
        <w:rPr>
          <w:rStyle w:val="StyleUnderline"/>
        </w:rPr>
        <w:t>key priority for congressional action this year</w:t>
      </w:r>
      <w:r w:rsidRPr="004A259B">
        <w:rPr>
          <w:sz w:val="16"/>
        </w:rPr>
        <w:t>.</w:t>
      </w:r>
    </w:p>
    <w:p w:rsidR="00706303" w:rsidRPr="004A259B" w:rsidRDefault="00706303" w:rsidP="00706303">
      <w:pPr>
        <w:rPr>
          <w:sz w:val="16"/>
        </w:rPr>
      </w:pPr>
      <w:r w:rsidRPr="004A259B">
        <w:rPr>
          <w:sz w:val="16"/>
        </w:rPr>
        <w:t xml:space="preserve">Initially introduced in the 116th Congress, </w:t>
      </w:r>
      <w:r w:rsidRPr="002C2060">
        <w:rPr>
          <w:rStyle w:val="StyleUnderline"/>
          <w:highlight w:val="cyan"/>
        </w:rPr>
        <w:t>PASTEUR</w:t>
      </w:r>
      <w:r w:rsidRPr="004A259B">
        <w:rPr>
          <w:sz w:val="16"/>
        </w:rPr>
        <w:t xml:space="preserve"> has gained broad, </w:t>
      </w:r>
      <w:r w:rsidRPr="002C2060">
        <w:rPr>
          <w:rStyle w:val="Emphasis"/>
        </w:rPr>
        <w:t>bipartisan</w:t>
      </w:r>
      <w:r w:rsidRPr="004A259B">
        <w:rPr>
          <w:sz w:val="16"/>
        </w:rPr>
        <w:t xml:space="preserve"> support because of </w:t>
      </w:r>
      <w:r w:rsidRPr="002C2060">
        <w:rPr>
          <w:rStyle w:val="StyleUnderline"/>
        </w:rPr>
        <w:t>its balanced approach</w:t>
      </w:r>
      <w:r w:rsidRPr="004A259B">
        <w:rPr>
          <w:sz w:val="16"/>
        </w:rPr>
        <w:t xml:space="preserve"> to </w:t>
      </w:r>
      <w:r w:rsidRPr="002C2060">
        <w:rPr>
          <w:rStyle w:val="Emphasis"/>
          <w:highlight w:val="cyan"/>
        </w:rPr>
        <w:t>catalyze</w:t>
      </w:r>
      <w:r w:rsidRPr="002C2060">
        <w:rPr>
          <w:rStyle w:val="StyleUnderline"/>
          <w:highlight w:val="cyan"/>
        </w:rPr>
        <w:t xml:space="preserve"> the development of</w:t>
      </w:r>
      <w:r w:rsidRPr="002C2060">
        <w:rPr>
          <w:rStyle w:val="StyleUnderline"/>
        </w:rPr>
        <w:t xml:space="preserve"> urgently needed </w:t>
      </w:r>
      <w:r w:rsidRPr="002C2060">
        <w:rPr>
          <w:rStyle w:val="StyleUnderline"/>
          <w:highlight w:val="cyan"/>
        </w:rPr>
        <w:t>antibiotics</w:t>
      </w:r>
      <w:r w:rsidRPr="004A259B">
        <w:rPr>
          <w:sz w:val="16"/>
        </w:rPr>
        <w:t xml:space="preserve"> and antifungals </w:t>
      </w:r>
      <w:r w:rsidRPr="002C2060">
        <w:rPr>
          <w:rStyle w:val="StyleUnderline"/>
          <w:highlight w:val="cyan"/>
        </w:rPr>
        <w:t>while</w:t>
      </w:r>
      <w:r w:rsidRPr="004A259B">
        <w:rPr>
          <w:sz w:val="16"/>
        </w:rPr>
        <w:t xml:space="preserve"> also </w:t>
      </w:r>
      <w:r w:rsidRPr="002C2060">
        <w:rPr>
          <w:rStyle w:val="StyleUnderline"/>
          <w:highlight w:val="cyan"/>
        </w:rPr>
        <w:t>supporting appropriate use of existing</w:t>
      </w:r>
      <w:r w:rsidRPr="002C2060">
        <w:rPr>
          <w:rStyle w:val="StyleUnderline"/>
        </w:rPr>
        <w:t xml:space="preserve"> </w:t>
      </w:r>
      <w:r w:rsidRPr="002C2060">
        <w:rPr>
          <w:rStyle w:val="Emphasis"/>
          <w:highlight w:val="cyan"/>
        </w:rPr>
        <w:t>medications</w:t>
      </w:r>
      <w:r w:rsidRPr="004A259B">
        <w:rPr>
          <w:sz w:val="16"/>
        </w:rPr>
        <w:t xml:space="preserve">, </w:t>
      </w:r>
      <w:r w:rsidRPr="002C2060">
        <w:rPr>
          <w:rStyle w:val="StyleUnderline"/>
          <w:highlight w:val="cyan"/>
        </w:rPr>
        <w:t>which is key to</w:t>
      </w:r>
      <w:r w:rsidRPr="004A259B">
        <w:rPr>
          <w:sz w:val="16"/>
        </w:rPr>
        <w:t xml:space="preserve"> preserving their efficacy and </w:t>
      </w:r>
      <w:r w:rsidRPr="002C2060">
        <w:rPr>
          <w:rStyle w:val="StyleUnderline"/>
          <w:highlight w:val="cyan"/>
        </w:rPr>
        <w:t xml:space="preserve">slowing the spread of </w:t>
      </w:r>
      <w:r w:rsidRPr="002C2060">
        <w:rPr>
          <w:rStyle w:val="StyleUnderline"/>
        </w:rPr>
        <w:t>dangerous</w:t>
      </w:r>
      <w:r w:rsidRPr="004A259B">
        <w:rPr>
          <w:sz w:val="16"/>
        </w:rPr>
        <w:t xml:space="preserve">, </w:t>
      </w:r>
      <w:r w:rsidRPr="002C2060">
        <w:rPr>
          <w:rStyle w:val="StyleUnderline"/>
        </w:rPr>
        <w:t>drug-resistant</w:t>
      </w:r>
      <w:r w:rsidRPr="004A259B">
        <w:rPr>
          <w:sz w:val="16"/>
        </w:rPr>
        <w:t xml:space="preserve"> </w:t>
      </w:r>
      <w:r w:rsidRPr="002C2060">
        <w:rPr>
          <w:rStyle w:val="Emphasis"/>
          <w:highlight w:val="cyan"/>
        </w:rPr>
        <w:t>superbugs</w:t>
      </w:r>
      <w:r w:rsidRPr="004A259B">
        <w:rPr>
          <w:sz w:val="16"/>
        </w:rPr>
        <w:t xml:space="preserve">. Before the end of the </w:t>
      </w:r>
      <w:r w:rsidRPr="002C2060">
        <w:rPr>
          <w:rStyle w:val="StyleUnderline"/>
        </w:rPr>
        <w:t>last Congress</w:t>
      </w:r>
      <w:r w:rsidRPr="004A259B">
        <w:rPr>
          <w:sz w:val="16"/>
        </w:rPr>
        <w:t xml:space="preserve">, the bill had the support of more than 70 House and Senate co-sponsors. Earlier this year, President Joseph R. </w:t>
      </w:r>
      <w:r w:rsidRPr="002C2060">
        <w:rPr>
          <w:rStyle w:val="StyleUnderline"/>
          <w:highlight w:val="cyan"/>
        </w:rPr>
        <w:t>Biden</w:t>
      </w:r>
      <w:r w:rsidRPr="004A259B">
        <w:rPr>
          <w:sz w:val="16"/>
        </w:rPr>
        <w:t xml:space="preserve"> Jr.’s administration </w:t>
      </w:r>
      <w:r w:rsidRPr="002C2060">
        <w:rPr>
          <w:rStyle w:val="StyleUnderline"/>
          <w:highlight w:val="cyan"/>
        </w:rPr>
        <w:t xml:space="preserve">urged Congress to </w:t>
      </w:r>
      <w:r w:rsidRPr="002C2060">
        <w:rPr>
          <w:rStyle w:val="Emphasis"/>
          <w:highlight w:val="cyan"/>
        </w:rPr>
        <w:t>pass</w:t>
      </w:r>
      <w:r w:rsidRPr="002C2060">
        <w:rPr>
          <w:rStyle w:val="StyleUnderline"/>
          <w:highlight w:val="cyan"/>
        </w:rPr>
        <w:t xml:space="preserve"> this</w:t>
      </w:r>
      <w:r w:rsidRPr="004A259B">
        <w:rPr>
          <w:sz w:val="16"/>
        </w:rPr>
        <w:t xml:space="preserve"> type of policy, while more than 230 organizations representing </w:t>
      </w:r>
      <w:r w:rsidRPr="002C2060">
        <w:rPr>
          <w:rStyle w:val="StyleUnderline"/>
        </w:rPr>
        <w:t>health care providers</w:t>
      </w:r>
      <w:r w:rsidRPr="004A259B">
        <w:rPr>
          <w:sz w:val="16"/>
        </w:rPr>
        <w:t xml:space="preserve">, </w:t>
      </w:r>
      <w:r w:rsidRPr="002C2060">
        <w:rPr>
          <w:rStyle w:val="StyleUnderline"/>
        </w:rPr>
        <w:t>public health professionals</w:t>
      </w:r>
      <w:r w:rsidRPr="004A259B">
        <w:rPr>
          <w:sz w:val="16"/>
        </w:rPr>
        <w:t xml:space="preserve">, </w:t>
      </w:r>
      <w:r w:rsidRPr="002C2060">
        <w:rPr>
          <w:rStyle w:val="StyleUnderline"/>
        </w:rPr>
        <w:t>scientists</w:t>
      </w:r>
      <w:r w:rsidRPr="004A259B">
        <w:rPr>
          <w:sz w:val="16"/>
        </w:rPr>
        <w:t xml:space="preserve">, </w:t>
      </w:r>
      <w:r w:rsidRPr="002C2060">
        <w:rPr>
          <w:rStyle w:val="StyleUnderline"/>
        </w:rPr>
        <w:t>patients</w:t>
      </w:r>
      <w:r w:rsidRPr="004A259B">
        <w:rPr>
          <w:sz w:val="16"/>
        </w:rPr>
        <w:t xml:space="preserve">, and the </w:t>
      </w:r>
      <w:r w:rsidRPr="002C2060">
        <w:rPr>
          <w:rStyle w:val="StyleUnderline"/>
          <w:highlight w:val="cyan"/>
        </w:rPr>
        <w:t>pharma</w:t>
      </w:r>
      <w:r w:rsidRPr="002C2060">
        <w:rPr>
          <w:rStyle w:val="StyleUnderline"/>
        </w:rPr>
        <w:t xml:space="preserve">ceutical </w:t>
      </w:r>
      <w:r w:rsidRPr="002C2060">
        <w:rPr>
          <w:rStyle w:val="StyleUnderline"/>
          <w:highlight w:val="cyan"/>
        </w:rPr>
        <w:t>and diagnostics</w:t>
      </w:r>
      <w:r w:rsidRPr="004A259B">
        <w:rPr>
          <w:sz w:val="16"/>
        </w:rPr>
        <w:t xml:space="preserve"> </w:t>
      </w:r>
      <w:r w:rsidRPr="002C2060">
        <w:rPr>
          <w:rStyle w:val="StyleUnderline"/>
        </w:rPr>
        <w:t xml:space="preserve">industries </w:t>
      </w:r>
      <w:r w:rsidRPr="002C2060">
        <w:rPr>
          <w:rStyle w:val="StyleUnderline"/>
          <w:highlight w:val="cyan"/>
        </w:rPr>
        <w:t>joined</w:t>
      </w:r>
      <w:r w:rsidRPr="004A259B">
        <w:rPr>
          <w:sz w:val="16"/>
        </w:rPr>
        <w:t xml:space="preserve"> in a letter to </w:t>
      </w:r>
      <w:r w:rsidRPr="002C2060">
        <w:rPr>
          <w:rStyle w:val="StyleUnderline"/>
        </w:rPr>
        <w:t>congressional leaders </w:t>
      </w:r>
      <w:r w:rsidRPr="002C2060">
        <w:rPr>
          <w:rStyle w:val="StyleUnderline"/>
          <w:highlight w:val="cyan"/>
        </w:rPr>
        <w:t>calling</w:t>
      </w:r>
      <w:r w:rsidRPr="002C2060">
        <w:rPr>
          <w:rStyle w:val="StyleUnderline"/>
        </w:rPr>
        <w:t xml:space="preserve"> </w:t>
      </w:r>
      <w:r w:rsidRPr="002C2060">
        <w:rPr>
          <w:rStyle w:val="StyleUnderline"/>
          <w:highlight w:val="cyan"/>
        </w:rPr>
        <w:t>for</w:t>
      </w:r>
      <w:r w:rsidRPr="004A259B">
        <w:rPr>
          <w:sz w:val="16"/>
        </w:rPr>
        <w:t xml:space="preserve"> the </w:t>
      </w:r>
      <w:r w:rsidRPr="002C2060">
        <w:rPr>
          <w:rStyle w:val="StyleUnderline"/>
          <w:highlight w:val="cyan"/>
        </w:rPr>
        <w:t xml:space="preserve">passage of </w:t>
      </w:r>
      <w:r w:rsidRPr="002C2060">
        <w:rPr>
          <w:rStyle w:val="Emphasis"/>
          <w:highlight w:val="cyan"/>
        </w:rPr>
        <w:t>PASTEUR</w:t>
      </w:r>
      <w:r w:rsidRPr="004A259B">
        <w:rPr>
          <w:sz w:val="16"/>
        </w:rPr>
        <w:t xml:space="preserve"> </w:t>
      </w:r>
      <w:r w:rsidRPr="004A259B">
        <w:rPr>
          <w:u w:val="single"/>
        </w:rPr>
        <w:t>as soon as possible</w:t>
      </w:r>
      <w:r w:rsidRPr="004A259B">
        <w:rPr>
          <w:sz w:val="16"/>
        </w:rPr>
        <w:t>.</w:t>
      </w:r>
    </w:p>
    <w:p w:rsidR="00706303" w:rsidRPr="004A259B" w:rsidRDefault="00706303" w:rsidP="00706303">
      <w:pPr>
        <w:rPr>
          <w:sz w:val="16"/>
        </w:rPr>
      </w:pPr>
      <w:r w:rsidRPr="00981ADE">
        <w:rPr>
          <w:rStyle w:val="Emphasis"/>
          <w:highlight w:val="cyan"/>
        </w:rPr>
        <w:t>A</w:t>
      </w:r>
      <w:r w:rsidRPr="00981ADE">
        <w:rPr>
          <w:rStyle w:val="StyleUnderline"/>
        </w:rPr>
        <w:t>nti</w:t>
      </w:r>
      <w:r w:rsidRPr="00981ADE">
        <w:rPr>
          <w:rStyle w:val="Emphasis"/>
          <w:highlight w:val="cyan"/>
        </w:rPr>
        <w:t>m</w:t>
      </w:r>
      <w:r w:rsidRPr="00981ADE">
        <w:rPr>
          <w:rStyle w:val="StyleUnderline"/>
        </w:rPr>
        <w:t xml:space="preserve">icrobial </w:t>
      </w:r>
      <w:r w:rsidRPr="00981ADE">
        <w:rPr>
          <w:rStyle w:val="Emphasis"/>
          <w:highlight w:val="cyan"/>
        </w:rPr>
        <w:t>r</w:t>
      </w:r>
      <w:r w:rsidRPr="00981ADE">
        <w:rPr>
          <w:rStyle w:val="StyleUnderline"/>
        </w:rPr>
        <w:t>esistance</w:t>
      </w:r>
      <w:r w:rsidRPr="004A259B">
        <w:rPr>
          <w:sz w:val="16"/>
        </w:rPr>
        <w:t xml:space="preserve"> </w:t>
      </w:r>
      <w:r w:rsidRPr="00981ADE">
        <w:rPr>
          <w:rStyle w:val="StyleUnderline"/>
          <w:highlight w:val="cyan"/>
        </w:rPr>
        <w:t>is not</w:t>
      </w:r>
      <w:r w:rsidRPr="004A259B">
        <w:rPr>
          <w:sz w:val="16"/>
        </w:rPr>
        <w:t xml:space="preserve"> a </w:t>
      </w:r>
      <w:r w:rsidRPr="00981ADE">
        <w:rPr>
          <w:rStyle w:val="Emphasis"/>
          <w:highlight w:val="cyan"/>
        </w:rPr>
        <w:t>partisan</w:t>
      </w:r>
      <w:r w:rsidRPr="004A259B">
        <w:rPr>
          <w:sz w:val="16"/>
        </w:rPr>
        <w:t xml:space="preserve"> issue. It is an increasingly challenging public </w:t>
      </w:r>
      <w:r w:rsidRPr="00981ADE">
        <w:rPr>
          <w:rStyle w:val="StyleUnderline"/>
        </w:rPr>
        <w:t>health emergency</w:t>
      </w:r>
      <w:r w:rsidRPr="004A259B">
        <w:rPr>
          <w:sz w:val="16"/>
        </w:rPr>
        <w:t xml:space="preserve"> that </w:t>
      </w:r>
      <w:r w:rsidRPr="00981ADE">
        <w:rPr>
          <w:rStyle w:val="StyleUnderline"/>
        </w:rPr>
        <w:t>reverberates far beyond</w:t>
      </w:r>
      <w:r w:rsidRPr="004A259B">
        <w:rPr>
          <w:sz w:val="16"/>
        </w:rPr>
        <w:t xml:space="preserve"> just healthcare settings. Every 15 minutes, a person in the United States dies from an infection resistant to treatment with </w:t>
      </w:r>
      <w:r w:rsidRPr="00981ADE">
        <w:rPr>
          <w:rStyle w:val="StyleUnderline"/>
        </w:rPr>
        <w:t>existing antimicrobial drugs</w:t>
      </w:r>
      <w:r w:rsidRPr="004A259B">
        <w:rPr>
          <w:sz w:val="16"/>
        </w:rPr>
        <w:t>. This means that since PASTEUR’s last introduction on June 16, 2021, more than 64,000 Americans have died because they did not have adequate medications to treat their infections.</w:t>
      </w:r>
    </w:p>
    <w:p w:rsidR="00706303" w:rsidRPr="004A259B" w:rsidRDefault="00706303" w:rsidP="00706303">
      <w:r w:rsidRPr="004A259B">
        <w:t> </w:t>
      </w:r>
    </w:p>
    <w:p w:rsidR="00706303" w:rsidRPr="00801991" w:rsidRDefault="00706303" w:rsidP="00706303">
      <w:r w:rsidRPr="00801991">
        <w:br/>
      </w:r>
    </w:p>
    <w:p w:rsidR="00706303" w:rsidRPr="004A259B" w:rsidRDefault="00706303" w:rsidP="00706303"/>
    <w:p w:rsidR="00706303" w:rsidRPr="005E722C" w:rsidRDefault="00706303" w:rsidP="00706303"/>
    <w:p w:rsidR="00706303" w:rsidRPr="007C4177" w:rsidRDefault="00706303" w:rsidP="00706303">
      <w:pPr>
        <w:pStyle w:val="Heading3"/>
      </w:pPr>
      <w:r>
        <w:t>2NC---Date Breaches---xxx</w:t>
      </w:r>
    </w:p>
    <w:p w:rsidR="00706303" w:rsidRDefault="00706303" w:rsidP="00706303">
      <w:pPr>
        <w:pStyle w:val="Heading1"/>
      </w:pPr>
      <w:r>
        <w:t xml:space="preserve">Cards </w:t>
      </w:r>
      <w:proofErr w:type="spellStart"/>
      <w:r>
        <w:t>bieing</w:t>
      </w:r>
      <w:proofErr w:type="spellEnd"/>
      <w:r>
        <w:t xml:space="preserve"> cut</w:t>
      </w:r>
    </w:p>
    <w:p w:rsidR="00706303" w:rsidRDefault="00706303" w:rsidP="00706303">
      <w:pPr>
        <w:pStyle w:val="Heading4"/>
      </w:pPr>
      <w:r>
        <w:t>Card</w:t>
      </w:r>
    </w:p>
    <w:p w:rsidR="00706303" w:rsidRDefault="00706303" w:rsidP="00706303">
      <w:r w:rsidRPr="00E46250">
        <w:rPr>
          <w:rStyle w:val="Style13ptBold"/>
        </w:rPr>
        <w:t>Thomas 16</w:t>
      </w:r>
      <w:r w:rsidRPr="005252DF">
        <w:t xml:space="preserve"> (Michael Thomas; "Court: One Sale Is Enough to Show Trademark Use in Commerce", 11-28-2016, Creative Vision Legal, https://www.creativevisionlegal.com/court-one-sale-is-enough-to-show-trademark-use-in-commerce/, DOA: 7-19-2024)//ATJ</w:t>
      </w:r>
    </w:p>
    <w:p w:rsidR="00706303" w:rsidRDefault="00706303" w:rsidP="00706303">
      <w:r>
        <w:t>Clients seeking trademark registrations often ask how much use of a mark in interstate commerce is needed for success. Earlier this month the Federal Circuit answered that question when it reversed a decision by the Trademark Trial and Appeal Board (“TTAB”) that cancelled a trademark of a church in Zion, Illinois at the behest of apparel giant Adidas.</w:t>
      </w:r>
    </w:p>
    <w:p w:rsidR="00706303" w:rsidRDefault="00706303" w:rsidP="00706303">
      <w:r>
        <w:t>Trademark registration applicants submit evidence of “bona fide use of the mark in interstate commerce,” which generally means commercial use of the mark between two states. The bona fide use must be in the ordinary course of trade, and not a transaction made merely to reserve a right in a mark.</w:t>
      </w:r>
    </w:p>
    <w:p w:rsidR="00706303" w:rsidRDefault="00706303" w:rsidP="00706303">
      <w:r>
        <w:t>Adidas suffered a rejection of its application in 2009 for the phrase “</w:t>
      </w:r>
      <w:proofErr w:type="spellStart"/>
      <w:r>
        <w:t>Adizero</w:t>
      </w:r>
      <w:proofErr w:type="spellEnd"/>
      <w:r>
        <w:t>” based on a likelihood of confusion with the existing mark “Add a Zero.” The “Add a Zero” mark is used on caps and other apparel sold by the Christian Faith Fellowship Church. With the attitude of any Goliath, Adidas decided to file a cancellation proceeding instead of starting from the creative drawing board with a new mark.</w:t>
      </w:r>
    </w:p>
    <w:p w:rsidR="00706303" w:rsidRDefault="00706303" w:rsidP="00706303">
      <w:r>
        <w:t>In the cancellation proceeding the TTAB rejected the Church’s evidence of the sale of two “ADD A ZERO” hats to a Wisconsin resident for $38.34 before the date of filing, and held that the one sale of the goods was de minimis and “insufficient to show use that affects interstate commerce.”</w:t>
      </w:r>
    </w:p>
    <w:p w:rsidR="00706303" w:rsidRDefault="00706303" w:rsidP="00706303">
      <w:r>
        <w:t>On appeal, the cancellation was reversed. The court first looked at the meaning of “commerce” in relation to trademark registration and held that the Lanham Act defines “commerce” as “all commerce which may lawfully be regulated by Congress.” The court also said that it previously refused to adopt a de minimis test for the “use in commerce” requirement, and that the TTAB’s reliance on any precedent requiring a trademark registration applicant to engage in commercial activity beyond the Commerce Clause’s minimum threshold was in error.</w:t>
      </w:r>
    </w:p>
    <w:p w:rsidR="00706303" w:rsidRDefault="00706303" w:rsidP="00706303">
      <w:r>
        <w:t>The take away for small business owners: when goods are involved in a trademark registration, it is the quality, not the quantity, of the commercial activity that matters. Make sure that the evidence of use offered was not a sham transaction consummated outside of the ordinary course of business and done only while attempting to secure the mark.</w:t>
      </w:r>
    </w:p>
    <w:p w:rsidR="00706303" w:rsidRPr="00706303" w:rsidRDefault="00706303" w:rsidP="00706303"/>
    <w:sectPr w:rsidR="00706303" w:rsidRPr="007063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A577B" w:rsidRDefault="002A577B" w:rsidP="00066D2C">
      <w:pPr>
        <w:spacing w:after="0" w:line="240" w:lineRule="auto"/>
      </w:pPr>
      <w:r>
        <w:separator/>
      </w:r>
    </w:p>
  </w:endnote>
  <w:endnote w:type="continuationSeparator" w:id="0">
    <w:p w:rsidR="002A577B" w:rsidRDefault="002A577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A577B" w:rsidRDefault="002A577B" w:rsidP="00066D2C">
      <w:pPr>
        <w:spacing w:after="0" w:line="240" w:lineRule="auto"/>
      </w:pPr>
      <w:r>
        <w:separator/>
      </w:r>
    </w:p>
  </w:footnote>
  <w:footnote w:type="continuationSeparator" w:id="0">
    <w:p w:rsidR="002A577B" w:rsidRDefault="002A577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47F2351"/>
    <w:multiLevelType w:val="hybridMultilevel"/>
    <w:tmpl w:val="D7C89EF2"/>
    <w:lvl w:ilvl="0" w:tplc="EB7459D0">
      <w:start w:val="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C9152E"/>
    <w:multiLevelType w:val="hybridMultilevel"/>
    <w:tmpl w:val="23FAB9D8"/>
    <w:lvl w:ilvl="0" w:tplc="A1D26506">
      <w:start w:val="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12414252">
    <w:abstractNumId w:val="15"/>
  </w:num>
  <w:num w:numId="46" w16cid:durableId="21455437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06303"/>
    <w:rsid w:val="00001C7E"/>
    <w:rsid w:val="0000487C"/>
    <w:rsid w:val="00011FEF"/>
    <w:rsid w:val="00013C8B"/>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7B"/>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30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B2"/>
    <w:rsid w:val="00EC06EA"/>
    <w:rsid w:val="00EC2660"/>
    <w:rsid w:val="00EC3057"/>
    <w:rsid w:val="00EC47C5"/>
    <w:rsid w:val="00ED087B"/>
    <w:rsid w:val="00ED0E68"/>
    <w:rsid w:val="00ED1EA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DADA737F-D45D-F345-A217-CF238D5B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6303"/>
    <w:rPr>
      <w:rFonts w:ascii="Calibri" w:hAnsi="Calibri" w:cs="Calibri"/>
    </w:rPr>
  </w:style>
  <w:style w:type="paragraph" w:styleId="Heading1">
    <w:name w:val="heading 1"/>
    <w:aliases w:val="Pocket"/>
    <w:basedOn w:val="Normal"/>
    <w:next w:val="Normal"/>
    <w:link w:val="Heading1Char"/>
    <w:qFormat/>
    <w:rsid w:val="007063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63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har Char"/>
    <w:basedOn w:val="Normal"/>
    <w:next w:val="Normal"/>
    <w:link w:val="Heading3Char"/>
    <w:uiPriority w:val="2"/>
    <w:qFormat/>
    <w:rsid w:val="007063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063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63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63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630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0630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06303"/>
    <w:rPr>
      <w:color w:val="auto"/>
      <w:u w:val="none"/>
    </w:rPr>
  </w:style>
  <w:style w:type="character" w:customStyle="1" w:styleId="Heading1Char">
    <w:name w:val="Heading 1 Char"/>
    <w:aliases w:val="Pocket Char"/>
    <w:basedOn w:val="DefaultParagraphFont"/>
    <w:link w:val="Heading1"/>
    <w:rsid w:val="007063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6303"/>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7063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063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6303"/>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706303"/>
    <w:rPr>
      <w:b w:val="0"/>
      <w:sz w:val="22"/>
      <w:u w:val="single"/>
    </w:rPr>
  </w:style>
  <w:style w:type="character" w:styleId="Strong">
    <w:name w:val="Strong"/>
    <w:basedOn w:val="DefaultParagraphFont"/>
    <w:uiPriority w:val="22"/>
    <w:semiHidden/>
    <w:qFormat/>
    <w:rsid w:val="00706303"/>
    <w:rPr>
      <w:b/>
      <w:bCs/>
    </w:rPr>
  </w:style>
  <w:style w:type="character" w:styleId="BookTitle">
    <w:name w:val="Book Title"/>
    <w:basedOn w:val="DefaultParagraphFont"/>
    <w:uiPriority w:val="33"/>
    <w:semiHidden/>
    <w:qFormat/>
    <w:rsid w:val="00706303"/>
    <w:rPr>
      <w:b/>
      <w:bCs/>
      <w:i/>
      <w:iCs/>
      <w:spacing w:val="5"/>
    </w:rPr>
  </w:style>
  <w:style w:type="character" w:customStyle="1" w:styleId="Heading5Char">
    <w:name w:val="Heading 5 Char"/>
    <w:basedOn w:val="DefaultParagraphFont"/>
    <w:link w:val="Heading5"/>
    <w:uiPriority w:val="9"/>
    <w:semiHidden/>
    <w:rsid w:val="007063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6303"/>
  </w:style>
  <w:style w:type="paragraph" w:styleId="Header">
    <w:name w:val="header"/>
    <w:basedOn w:val="Normal"/>
    <w:link w:val="HeaderChar"/>
    <w:uiPriority w:val="99"/>
    <w:semiHidden/>
    <w:rsid w:val="007063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6303"/>
    <w:rPr>
      <w:rFonts w:ascii="Calibri" w:hAnsi="Calibri" w:cs="Calibri"/>
    </w:rPr>
  </w:style>
  <w:style w:type="paragraph" w:styleId="Footer">
    <w:name w:val="footer"/>
    <w:basedOn w:val="Normal"/>
    <w:link w:val="FooterChar"/>
    <w:uiPriority w:val="99"/>
    <w:semiHidden/>
    <w:rsid w:val="007063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6303"/>
    <w:rPr>
      <w:rFonts w:ascii="Calibri" w:hAnsi="Calibri" w:cs="Calibri"/>
    </w:rPr>
  </w:style>
  <w:style w:type="paragraph" w:styleId="BodyText">
    <w:name w:val="Body Text"/>
    <w:basedOn w:val="Normal"/>
    <w:link w:val="BodyTextChar"/>
    <w:uiPriority w:val="99"/>
    <w:semiHidden/>
    <w:unhideWhenUsed/>
    <w:rsid w:val="00706303"/>
    <w:pPr>
      <w:spacing w:after="120"/>
    </w:pPr>
  </w:style>
  <w:style w:type="character" w:customStyle="1" w:styleId="BodyTextChar">
    <w:name w:val="Body Text Char"/>
    <w:basedOn w:val="DefaultParagraphFont"/>
    <w:link w:val="BodyText"/>
    <w:uiPriority w:val="99"/>
    <w:semiHidden/>
    <w:rsid w:val="00706303"/>
    <w:rPr>
      <w:rFonts w:ascii="Calibri" w:hAnsi="Calibri" w:cs="Calibri"/>
    </w:rPr>
  </w:style>
  <w:style w:type="paragraph" w:styleId="NoSpacing">
    <w:name w:val="No Spacing"/>
    <w:link w:val="NoSpacingChar"/>
    <w:uiPriority w:val="99"/>
    <w:semiHidden/>
    <w:unhideWhenUsed/>
    <w:qFormat/>
    <w:rsid w:val="0070630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06303"/>
    <w:rPr>
      <w:rFonts w:ascii="Calibri" w:hAnsi="Calibri" w:cs="Calibri"/>
    </w:rPr>
  </w:style>
  <w:style w:type="character" w:styleId="Hyperlink">
    <w:name w:val="Hyperlink"/>
    <w:basedOn w:val="DefaultParagraphFont"/>
    <w:uiPriority w:val="99"/>
    <w:unhideWhenUsed/>
    <w:rsid w:val="00706303"/>
    <w:rPr>
      <w:color w:val="0563C1" w:themeColor="hyperlink"/>
      <w:u w:val="single"/>
    </w:rPr>
  </w:style>
  <w:style w:type="character" w:styleId="UnresolvedMention">
    <w:name w:val="Unresolved Mention"/>
    <w:basedOn w:val="DefaultParagraphFont"/>
    <w:uiPriority w:val="99"/>
    <w:semiHidden/>
    <w:unhideWhenUsed/>
    <w:rsid w:val="00706303"/>
    <w:rPr>
      <w:color w:val="605E5C"/>
      <w:shd w:val="clear" w:color="auto" w:fill="E1DFDD"/>
    </w:rPr>
  </w:style>
  <w:style w:type="paragraph" w:customStyle="1" w:styleId="Analytics">
    <w:name w:val="Analytics"/>
    <w:basedOn w:val="Heading4"/>
    <w:link w:val="AnalyticsChar"/>
    <w:autoRedefine/>
    <w:uiPriority w:val="5"/>
    <w:qFormat/>
    <w:rsid w:val="00706303"/>
    <w:pPr>
      <w:spacing w:after="40"/>
    </w:pPr>
    <w:rPr>
      <w:color w:val="000000" w:themeColor="text1"/>
    </w:rPr>
  </w:style>
  <w:style w:type="character" w:customStyle="1" w:styleId="AnalyticsChar">
    <w:name w:val="Analytics Char"/>
    <w:basedOn w:val="DefaultParagraphFont"/>
    <w:link w:val="Analytics"/>
    <w:uiPriority w:val="5"/>
    <w:rsid w:val="00706303"/>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706303"/>
    <w:pPr>
      <w:spacing w:after="0"/>
    </w:pPr>
    <w:rPr>
      <w:b/>
      <w:color w:val="000000" w:themeColor="text1"/>
      <w:sz w:val="26"/>
    </w:rPr>
  </w:style>
  <w:style w:type="character" w:customStyle="1" w:styleId="AnalyticssChar">
    <w:name w:val="Analyticss Char"/>
    <w:basedOn w:val="DefaultParagraphFont"/>
    <w:link w:val="Analyticss"/>
    <w:uiPriority w:val="5"/>
    <w:rsid w:val="00706303"/>
    <w:rPr>
      <w:rFonts w:ascii="Calibri" w:hAnsi="Calibri" w:cs="Calibri"/>
      <w:b/>
      <w:color w:val="000000" w:themeColor="text1"/>
      <w:sz w:val="26"/>
    </w:rPr>
  </w:style>
  <w:style w:type="paragraph" w:styleId="ListParagraph">
    <w:name w:val="List Paragraph"/>
    <w:basedOn w:val="Normal"/>
    <w:uiPriority w:val="34"/>
    <w:qFormat/>
    <w:rsid w:val="00706303"/>
    <w:pPr>
      <w:ind w:left="720"/>
      <w:contextualSpacing/>
    </w:pPr>
  </w:style>
  <w:style w:type="paragraph" w:customStyle="1" w:styleId="textbold">
    <w:name w:val="text bold"/>
    <w:basedOn w:val="Normal"/>
    <w:link w:val="Emphasis"/>
    <w:uiPriority w:val="8"/>
    <w:qFormat/>
    <w:rsid w:val="00706303"/>
    <w:pPr>
      <w:pBdr>
        <w:top w:val="single" w:sz="4" w:space="0" w:color="auto"/>
        <w:left w:val="single" w:sz="4" w:space="0" w:color="auto"/>
        <w:bottom w:val="single" w:sz="4" w:space="0" w:color="auto"/>
        <w:right w:val="single" w:sz="4" w:space="0" w:color="auto"/>
      </w:pBdr>
      <w:spacing w:after="0" w:line="240"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10433</Words>
  <Characters>59469</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1</cp:revision>
  <dcterms:created xsi:type="dcterms:W3CDTF">2024-07-24T01:24:00Z</dcterms:created>
  <dcterms:modified xsi:type="dcterms:W3CDTF">2024-07-24T01:26:00Z</dcterms:modified>
</cp:coreProperties>
</file>