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8F0BD" w14:textId="11901F5A" w:rsidR="005D388F" w:rsidRDefault="008F567E" w:rsidP="008F567E">
      <w:pPr>
        <w:pStyle w:val="Heading1"/>
      </w:pPr>
      <w:r>
        <w:t>CP</w:t>
      </w:r>
      <w:r w:rsidR="0062140C">
        <w:t>---ITC</w:t>
      </w:r>
      <w:r>
        <w:t>---HHIRS</w:t>
      </w:r>
    </w:p>
    <w:p w14:paraId="7FD7118B" w14:textId="1B041FDF" w:rsidR="008F567E" w:rsidRDefault="008F567E" w:rsidP="008F567E">
      <w:pPr>
        <w:pStyle w:val="Heading2"/>
      </w:pPr>
      <w:r>
        <w:t>Notes</w:t>
      </w:r>
    </w:p>
    <w:p w14:paraId="417E47CC" w14:textId="77777777" w:rsidR="00BA0D76" w:rsidRDefault="00467546" w:rsidP="00FC316F">
      <w:r>
        <w:t xml:space="preserve">Process counterplan, it’s pretty self explanatory --- does the plan using the US international trade commission to enforce instead of the USPTO/ USFG litigation. </w:t>
      </w:r>
      <w:r w:rsidR="00BA0D76">
        <w:t>Solves because the ITC is much more efficient and faster than this litigation. There is definitely a competitiveness debate to be had insofar as the mutual exclusivity of the CP---evenly debated, it’s probably neg but could really go either way.</w:t>
      </w:r>
    </w:p>
    <w:p w14:paraId="0EF66E8D" w14:textId="77777777" w:rsidR="00BA0D76" w:rsidRDefault="00BA0D76" w:rsidP="00FC316F">
      <w:r>
        <w:t xml:space="preserve">Net benefits are pretty good, you can probably slap any NB from WTO/ Treaties into the counterplan and it would work reasonably well. </w:t>
      </w:r>
    </w:p>
    <w:p w14:paraId="4F997FE3" w14:textId="77777777" w:rsidR="00BA0D76" w:rsidRDefault="00BA0D76" w:rsidP="00FC316F">
      <w:pPr>
        <w:rPr>
          <w:b/>
          <w:bCs/>
        </w:rPr>
      </w:pPr>
      <w:r>
        <w:rPr>
          <w:b/>
          <w:bCs/>
        </w:rPr>
        <w:t>What is the USITC?</w:t>
      </w:r>
    </w:p>
    <w:p w14:paraId="5B5DB0A8" w14:textId="77777777" w:rsidR="00D36207" w:rsidRDefault="00D36207" w:rsidP="00FC316F">
      <w:r>
        <w:t>International trade organization which aligns foreign policy, “fixes” the harmonized tariff schedule and other trade-y things.</w:t>
      </w:r>
    </w:p>
    <w:p w14:paraId="01F5FFE5" w14:textId="6FB8B30C" w:rsidR="005F4AD8" w:rsidRDefault="00D36207" w:rsidP="00D36207">
      <w:pPr>
        <w:pStyle w:val="Heading4"/>
        <w:rPr>
          <w:sz w:val="22"/>
        </w:rPr>
      </w:pPr>
      <w:r w:rsidRPr="00D36207">
        <w:rPr>
          <w:sz w:val="22"/>
        </w:rPr>
        <w:t>TLDR---</w:t>
      </w:r>
      <w:r>
        <w:rPr>
          <w:sz w:val="22"/>
        </w:rPr>
        <w:t>International trade agency does plan instead of USFG</w:t>
      </w:r>
    </w:p>
    <w:p w14:paraId="4C3BC6E2" w14:textId="3299FE1B" w:rsidR="00F93E30" w:rsidRPr="00D36207" w:rsidRDefault="005F4AD8" w:rsidP="005F4AD8">
      <w:pPr>
        <w:pStyle w:val="Heading4"/>
        <w:numPr>
          <w:ilvl w:val="0"/>
          <w:numId w:val="46"/>
        </w:numPr>
        <w:rPr>
          <w:sz w:val="22"/>
        </w:rPr>
      </w:pPr>
      <w:r>
        <w:rPr>
          <w:b w:val="0"/>
          <w:bCs/>
          <w:sz w:val="22"/>
        </w:rPr>
        <w:t>Sid Kohli, Henry Su, John Masterson, Beatrix Hopkins, Artem Raievskyi, Nayana Nag, and everyone else who contributed to the file</w:t>
      </w:r>
      <w:r w:rsidR="00F93E30" w:rsidRPr="00D36207">
        <w:rPr>
          <w:sz w:val="22"/>
        </w:rPr>
        <w:br/>
      </w:r>
    </w:p>
    <w:p w14:paraId="49046FDE" w14:textId="658B130C" w:rsidR="008F567E" w:rsidRDefault="00EC2BC2" w:rsidP="008F567E">
      <w:pPr>
        <w:pStyle w:val="Heading1"/>
      </w:pPr>
      <w:r>
        <w:t>1NC</w:t>
      </w:r>
    </w:p>
    <w:p w14:paraId="76C715D8" w14:textId="2AD8A48F" w:rsidR="008F709D" w:rsidRPr="004F2678" w:rsidRDefault="008F709D" w:rsidP="008F709D">
      <w:pPr>
        <w:pStyle w:val="Heading3"/>
        <w:rPr>
          <w:rFonts w:cs="Calibri"/>
        </w:rPr>
      </w:pPr>
      <w:r>
        <w:rPr>
          <w:rFonts w:cs="Calibri"/>
        </w:rPr>
        <w:t>1NC---</w:t>
      </w:r>
      <w:r w:rsidRPr="004F2678">
        <w:rPr>
          <w:rFonts w:cs="Calibri"/>
        </w:rPr>
        <w:t>OFF</w:t>
      </w:r>
    </w:p>
    <w:p w14:paraId="28A7EFA2" w14:textId="24606EB2" w:rsidR="00AA2C1D" w:rsidRDefault="00AA2C1D" w:rsidP="008F709D">
      <w:pPr>
        <w:pStyle w:val="Heading4"/>
        <w:rPr>
          <w:rFonts w:cs="Calibri"/>
        </w:rPr>
      </w:pPr>
      <w:r w:rsidRPr="00AA2C1D">
        <w:rPr>
          <w:rFonts w:cs="Calibri"/>
        </w:rPr>
        <w:t>The United States federal government should designate the International Trade Commission the exclusive authority to enforce [</w:t>
      </w:r>
      <w:r>
        <w:rPr>
          <w:rFonts w:cs="Calibri"/>
        </w:rPr>
        <w:t>plan</w:t>
      </w:r>
      <w:r w:rsidRPr="00AA2C1D">
        <w:rPr>
          <w:rFonts w:cs="Calibri"/>
        </w:rPr>
        <w:t>].</w:t>
      </w:r>
    </w:p>
    <w:p w14:paraId="10F295CF" w14:textId="4DA0EE85" w:rsidR="008F709D" w:rsidRPr="004F2678" w:rsidRDefault="008F709D" w:rsidP="008F709D">
      <w:pPr>
        <w:pStyle w:val="Heading4"/>
        <w:rPr>
          <w:rFonts w:cs="Calibri"/>
        </w:rPr>
      </w:pPr>
      <w:r w:rsidRPr="004F2678">
        <w:rPr>
          <w:rFonts w:cs="Calibri"/>
        </w:rPr>
        <w:t xml:space="preserve">The counterplan solves, it has the ITC become a specialized IPR division that which reduces costs and length of IP disputes, aligns trade and foreign policy, and resolve public discontent </w:t>
      </w:r>
    </w:p>
    <w:p w14:paraId="4569F1F4" w14:textId="77777777" w:rsidR="008F709D" w:rsidRPr="004F2678" w:rsidRDefault="008F709D" w:rsidP="008F709D">
      <w:r w:rsidRPr="004F2678">
        <w:t xml:space="preserve">Linda </w:t>
      </w:r>
      <w:r w:rsidRPr="004F2678">
        <w:rPr>
          <w:rStyle w:val="Style13ptBold"/>
        </w:rPr>
        <w:t>Sun 19</w:t>
      </w:r>
      <w:r w:rsidRPr="004F2678">
        <w:t>, Northwestern University Pritzker School of Law, J.D., 2020, “The ITC Is Here To Stay: A Defense of the International Trade Commission’s Role in Patent Law,” 17 NW. J. Tech. &amp; Intell. Prop. 137//susu</w:t>
      </w:r>
    </w:p>
    <w:p w14:paraId="0C73E99F" w14:textId="77777777" w:rsidR="008F709D" w:rsidRPr="004F2678" w:rsidRDefault="008F709D" w:rsidP="008F709D">
      <w:pPr>
        <w:rPr>
          <w:sz w:val="16"/>
          <w:szCs w:val="16"/>
        </w:rPr>
      </w:pPr>
      <w:r w:rsidRPr="004F2678">
        <w:rPr>
          <w:sz w:val="16"/>
          <w:szCs w:val="16"/>
        </w:rPr>
        <w:t>A. The ITC as a Patent Specialized Court</w:t>
      </w:r>
    </w:p>
    <w:p w14:paraId="55D63348" w14:textId="77777777" w:rsidR="008F709D" w:rsidRPr="004F2678" w:rsidRDefault="008F709D" w:rsidP="008F709D">
      <w:pPr>
        <w:rPr>
          <w:u w:val="single"/>
        </w:rPr>
      </w:pPr>
      <w:r w:rsidRPr="004F2678">
        <w:rPr>
          <w:u w:val="single"/>
        </w:rPr>
        <w:t xml:space="preserve">The </w:t>
      </w:r>
      <w:r w:rsidRPr="004F2678">
        <w:rPr>
          <w:b/>
          <w:bCs/>
          <w:highlight w:val="cyan"/>
          <w:u w:val="single"/>
        </w:rPr>
        <w:t>ITC</w:t>
      </w:r>
      <w:r w:rsidRPr="004F2678">
        <w:rPr>
          <w:highlight w:val="cyan"/>
          <w:u w:val="single"/>
        </w:rPr>
        <w:t xml:space="preserve"> provides </w:t>
      </w:r>
      <w:r w:rsidRPr="004F2678">
        <w:rPr>
          <w:u w:val="single"/>
        </w:rPr>
        <w:t xml:space="preserve">a </w:t>
      </w:r>
      <w:r w:rsidRPr="004F2678">
        <w:rPr>
          <w:highlight w:val="cyan"/>
          <w:u w:val="single"/>
        </w:rPr>
        <w:t xml:space="preserve">unique </w:t>
      </w:r>
      <w:r w:rsidRPr="004F2678">
        <w:rPr>
          <w:b/>
          <w:bCs/>
          <w:u w:val="single"/>
        </w:rPr>
        <w:t>patent-</w:t>
      </w:r>
      <w:r w:rsidRPr="004F2678">
        <w:rPr>
          <w:b/>
          <w:bCs/>
          <w:highlight w:val="cyan"/>
          <w:u w:val="single"/>
        </w:rPr>
        <w:t xml:space="preserve">specialized </w:t>
      </w:r>
      <w:r w:rsidRPr="004F2678">
        <w:rPr>
          <w:b/>
          <w:bCs/>
          <w:u w:val="single"/>
        </w:rPr>
        <w:t>trial court</w:t>
      </w:r>
      <w:r w:rsidRPr="004F2678">
        <w:rPr>
          <w:u w:val="single"/>
        </w:rPr>
        <w:t xml:space="preserve"> </w:t>
      </w:r>
      <w:r w:rsidRPr="004F2678">
        <w:rPr>
          <w:highlight w:val="cyan"/>
          <w:u w:val="single"/>
        </w:rPr>
        <w:t xml:space="preserve">perspective </w:t>
      </w:r>
      <w:r w:rsidRPr="004F2678">
        <w:rPr>
          <w:u w:val="single"/>
        </w:rPr>
        <w:t xml:space="preserve">on patent law </w:t>
      </w:r>
      <w:r w:rsidRPr="004F2678">
        <w:rPr>
          <w:highlight w:val="cyan"/>
          <w:u w:val="single"/>
        </w:rPr>
        <w:t xml:space="preserve">that is percolated to the </w:t>
      </w:r>
      <w:r w:rsidRPr="004F2678">
        <w:rPr>
          <w:b/>
          <w:bCs/>
          <w:highlight w:val="cyan"/>
          <w:u w:val="single"/>
        </w:rPr>
        <w:t>Federal Circuit</w:t>
      </w:r>
      <w:r w:rsidRPr="004F2678">
        <w:rPr>
          <w:highlight w:val="cyan"/>
          <w:u w:val="single"/>
        </w:rPr>
        <w:t xml:space="preserve"> </w:t>
      </w:r>
      <w:r w:rsidRPr="004F2678">
        <w:rPr>
          <w:u w:val="single"/>
        </w:rPr>
        <w:t>and Supreme Court.</w:t>
      </w:r>
    </w:p>
    <w:p w14:paraId="157A25AE" w14:textId="77777777" w:rsidR="008F709D" w:rsidRPr="004F2678" w:rsidRDefault="008F709D" w:rsidP="008F709D">
      <w:r w:rsidRPr="004F2678">
        <w:rPr>
          <w:highlight w:val="cyan"/>
          <w:u w:val="single"/>
        </w:rPr>
        <w:t xml:space="preserve">In a </w:t>
      </w:r>
      <w:r w:rsidRPr="004F2678">
        <w:rPr>
          <w:b/>
          <w:bCs/>
          <w:highlight w:val="cyan"/>
          <w:u w:val="single"/>
        </w:rPr>
        <w:t>highly technical area</w:t>
      </w:r>
      <w:r w:rsidRPr="004F2678">
        <w:rPr>
          <w:highlight w:val="cyan"/>
          <w:u w:val="single"/>
        </w:rPr>
        <w:t xml:space="preserve"> </w:t>
      </w:r>
      <w:r w:rsidRPr="004F2678">
        <w:rPr>
          <w:u w:val="single"/>
        </w:rPr>
        <w:t xml:space="preserve">of law </w:t>
      </w:r>
      <w:r w:rsidRPr="004F2678">
        <w:rPr>
          <w:highlight w:val="cyan"/>
          <w:u w:val="single"/>
        </w:rPr>
        <w:t xml:space="preserve">such as </w:t>
      </w:r>
      <w:r w:rsidRPr="004F2678">
        <w:rPr>
          <w:u w:val="single"/>
        </w:rPr>
        <w:t>patent law, an understanding of the science and technology behind the patents at issue can be critical to making a fair and correct ruling</w:t>
      </w:r>
      <w:r w:rsidRPr="004F2678">
        <w:t>.</w:t>
      </w:r>
      <w:r w:rsidRPr="004F2678">
        <w:rPr>
          <w:sz w:val="16"/>
          <w:szCs w:val="16"/>
        </w:rPr>
        <w:t xml:space="preserve">106 </w:t>
      </w:r>
      <w:r w:rsidRPr="004F2678">
        <w:rPr>
          <w:u w:val="single"/>
        </w:rPr>
        <w:t xml:space="preserve">Specialized </w:t>
      </w:r>
      <w:r w:rsidRPr="004F2678">
        <w:rPr>
          <w:highlight w:val="cyan"/>
          <w:u w:val="single"/>
        </w:rPr>
        <w:t>i</w:t>
      </w:r>
      <w:r w:rsidRPr="004F2678">
        <w:rPr>
          <w:u w:val="single"/>
        </w:rPr>
        <w:t xml:space="preserve">ntellectual </w:t>
      </w:r>
      <w:r w:rsidRPr="004F2678">
        <w:rPr>
          <w:highlight w:val="cyan"/>
          <w:u w:val="single"/>
        </w:rPr>
        <w:t>p</w:t>
      </w:r>
      <w:r w:rsidRPr="004F2678">
        <w:rPr>
          <w:u w:val="single"/>
        </w:rPr>
        <w:t>roperty</w:t>
      </w:r>
      <w:r w:rsidRPr="004F2678">
        <w:rPr>
          <w:sz w:val="16"/>
          <w:szCs w:val="16"/>
        </w:rPr>
        <w:t xml:space="preserve"> courts may be “better equipped to keep pace with and adapt to dynamic developments in [intellectual property] law,” and can develop rules that are tailored to intellectual property disputes.107</w:t>
      </w:r>
      <w:r w:rsidRPr="004F2678">
        <w:t xml:space="preserve"> </w:t>
      </w:r>
      <w:r w:rsidRPr="004F2678">
        <w:rPr>
          <w:b/>
          <w:bCs/>
          <w:highlight w:val="cyan"/>
          <w:u w:val="single"/>
        </w:rPr>
        <w:t>Specialized judges</w:t>
      </w:r>
      <w:r w:rsidRPr="004F2678">
        <w:rPr>
          <w:highlight w:val="cyan"/>
          <w:u w:val="single"/>
        </w:rPr>
        <w:t xml:space="preserve"> would be</w:t>
      </w:r>
      <w:r w:rsidRPr="004F2678">
        <w:rPr>
          <w:u w:val="single"/>
        </w:rPr>
        <w:t xml:space="preserve">come </w:t>
      </w:r>
      <w:r w:rsidRPr="004F2678">
        <w:rPr>
          <w:highlight w:val="cyan"/>
          <w:u w:val="single"/>
        </w:rPr>
        <w:t xml:space="preserve">more proficient </w:t>
      </w:r>
      <w:r w:rsidRPr="004F2678">
        <w:rPr>
          <w:u w:val="single"/>
        </w:rPr>
        <w:t xml:space="preserve">in </w:t>
      </w:r>
      <w:r w:rsidRPr="004F2678">
        <w:rPr>
          <w:b/>
          <w:bCs/>
          <w:u w:val="single"/>
        </w:rPr>
        <w:t>patent l</w:t>
      </w:r>
      <w:r w:rsidRPr="004F2678">
        <w:rPr>
          <w:u w:val="single"/>
        </w:rPr>
        <w:t xml:space="preserve">aw, which would “likely </w:t>
      </w:r>
      <w:r w:rsidRPr="004F2678">
        <w:rPr>
          <w:highlight w:val="cyan"/>
          <w:u w:val="single"/>
        </w:rPr>
        <w:t>reduce the cost and length</w:t>
      </w:r>
      <w:r w:rsidRPr="004F2678">
        <w:t xml:space="preserve">” </w:t>
      </w:r>
      <w:r w:rsidRPr="004F2678">
        <w:rPr>
          <w:sz w:val="16"/>
          <w:szCs w:val="16"/>
        </w:rPr>
        <w:t>of trials.108 For these reasons, many industrial nations have specialized patent trial courts or panels.109 For example,</w:t>
      </w:r>
      <w:r w:rsidRPr="004F2678">
        <w:t xml:space="preserve"> </w:t>
      </w:r>
      <w:r w:rsidRPr="004F2678">
        <w:rPr>
          <w:highlight w:val="cyan"/>
          <w:u w:val="single"/>
        </w:rPr>
        <w:t xml:space="preserve">Japan has specialized divisions </w:t>
      </w:r>
      <w:r w:rsidRPr="004F2678">
        <w:rPr>
          <w:u w:val="single"/>
        </w:rPr>
        <w:t xml:space="preserve">of district and appeals courts that handle intellectual property matters.110 </w:t>
      </w:r>
      <w:r w:rsidRPr="004F2678">
        <w:rPr>
          <w:highlight w:val="cyan"/>
          <w:u w:val="single"/>
        </w:rPr>
        <w:t xml:space="preserve">Greece staffs </w:t>
      </w:r>
      <w:r w:rsidRPr="004F2678">
        <w:rPr>
          <w:u w:val="single"/>
        </w:rPr>
        <w:t xml:space="preserve">their </w:t>
      </w:r>
      <w:r w:rsidRPr="004F2678">
        <w:rPr>
          <w:b/>
          <w:bCs/>
          <w:highlight w:val="cyan"/>
          <w:u w:val="single"/>
        </w:rPr>
        <w:t>Specialized I</w:t>
      </w:r>
      <w:r w:rsidRPr="004F2678">
        <w:rPr>
          <w:b/>
          <w:bCs/>
          <w:u w:val="single"/>
        </w:rPr>
        <w:t xml:space="preserve">ntellectual </w:t>
      </w:r>
      <w:r w:rsidRPr="004F2678">
        <w:rPr>
          <w:b/>
          <w:bCs/>
          <w:highlight w:val="cyan"/>
          <w:u w:val="single"/>
        </w:rPr>
        <w:t>P</w:t>
      </w:r>
      <w:r w:rsidRPr="004F2678">
        <w:rPr>
          <w:b/>
          <w:bCs/>
          <w:u w:val="single"/>
        </w:rPr>
        <w:t xml:space="preserve">roperty </w:t>
      </w:r>
      <w:r w:rsidRPr="004F2678">
        <w:rPr>
          <w:b/>
          <w:bCs/>
          <w:highlight w:val="cyan"/>
          <w:u w:val="single"/>
        </w:rPr>
        <w:t>R</w:t>
      </w:r>
      <w:r w:rsidRPr="004F2678">
        <w:rPr>
          <w:b/>
          <w:bCs/>
          <w:u w:val="single"/>
        </w:rPr>
        <w:t xml:space="preserve">ight </w:t>
      </w:r>
      <w:r w:rsidRPr="004F2678">
        <w:rPr>
          <w:b/>
          <w:bCs/>
          <w:highlight w:val="cyan"/>
          <w:u w:val="single"/>
        </w:rPr>
        <w:t>Divisions</w:t>
      </w:r>
      <w:r w:rsidRPr="004F2678">
        <w:rPr>
          <w:highlight w:val="cyan"/>
          <w:u w:val="single"/>
        </w:rPr>
        <w:t xml:space="preserve"> </w:t>
      </w:r>
      <w:r w:rsidRPr="004F2678">
        <w:rPr>
          <w:u w:val="single"/>
        </w:rPr>
        <w:t>with judges with expertise in intellectual property rights</w:t>
      </w:r>
      <w:r w:rsidRPr="004F2678">
        <w:t xml:space="preserve">.111 </w:t>
      </w:r>
      <w:r w:rsidRPr="004F2678">
        <w:rPr>
          <w:sz w:val="16"/>
          <w:szCs w:val="16"/>
        </w:rPr>
        <w:t>A 2012 study on specialized intellectual property courts conducted by the International Intellectual Property Institute and the</w:t>
      </w:r>
      <w:r w:rsidRPr="004F2678">
        <w:t xml:space="preserve"> </w:t>
      </w:r>
      <w:r w:rsidRPr="004F2678">
        <w:rPr>
          <w:b/>
          <w:bCs/>
          <w:highlight w:val="cyan"/>
          <w:u w:val="single"/>
        </w:rPr>
        <w:t>USPTO</w:t>
      </w:r>
      <w:r w:rsidRPr="004F2678">
        <w:rPr>
          <w:highlight w:val="cyan"/>
          <w:u w:val="single"/>
        </w:rPr>
        <w:t xml:space="preserve"> found </w:t>
      </w:r>
      <w:r w:rsidRPr="004F2678">
        <w:rPr>
          <w:u w:val="single"/>
        </w:rPr>
        <w:t xml:space="preserve">that </w:t>
      </w:r>
      <w:r w:rsidRPr="004F2678">
        <w:rPr>
          <w:b/>
          <w:bCs/>
          <w:highlight w:val="cyan"/>
          <w:u w:val="single"/>
        </w:rPr>
        <w:t xml:space="preserve">specialized </w:t>
      </w:r>
      <w:r w:rsidRPr="004F2678">
        <w:rPr>
          <w:b/>
          <w:bCs/>
          <w:u w:val="single"/>
        </w:rPr>
        <w:t xml:space="preserve">intellectual property </w:t>
      </w:r>
      <w:r w:rsidRPr="004F2678">
        <w:rPr>
          <w:b/>
          <w:bCs/>
          <w:highlight w:val="cyan"/>
          <w:u w:val="single"/>
        </w:rPr>
        <w:t>courts</w:t>
      </w:r>
      <w:r w:rsidRPr="004F2678">
        <w:rPr>
          <w:highlight w:val="cyan"/>
          <w:u w:val="single"/>
        </w:rPr>
        <w:t xml:space="preserve"> </w:t>
      </w:r>
      <w:r w:rsidRPr="004F2678">
        <w:rPr>
          <w:u w:val="single"/>
        </w:rPr>
        <w:t xml:space="preserve">“often </w:t>
      </w:r>
      <w:r w:rsidRPr="004F2678">
        <w:rPr>
          <w:highlight w:val="cyan"/>
          <w:u w:val="single"/>
        </w:rPr>
        <w:t>make quicker and more effective decisions</w:t>
      </w:r>
      <w:r w:rsidRPr="004F2678">
        <w:rPr>
          <w:highlight w:val="cyan"/>
        </w:rPr>
        <w:t>.”</w:t>
      </w:r>
      <w:r w:rsidRPr="004F2678">
        <w:t>112</w:t>
      </w:r>
    </w:p>
    <w:p w14:paraId="0A04337F" w14:textId="77777777" w:rsidR="008F709D" w:rsidRPr="004F2678" w:rsidRDefault="008F709D" w:rsidP="008F709D">
      <w:r w:rsidRPr="004F2678">
        <w:rPr>
          <w:u w:val="single"/>
        </w:rPr>
        <w:t>The ITC can be viewed as a patent-specialized trial court because of its similarities to specialized trial courts</w:t>
      </w:r>
      <w:r w:rsidRPr="004F2678">
        <w:t xml:space="preserve">: </w:t>
      </w:r>
      <w:r w:rsidRPr="004F2678">
        <w:rPr>
          <w:sz w:val="16"/>
          <w:szCs w:val="16"/>
        </w:rPr>
        <w:t>almost all of the ITC’s cases are patent infringement violations.113 Although the administrative law judges of the ITC have a variety of backgrounds, they “acquire extensive experience in patent law and are widely regarded as experts.”114 While the PTAB is also patent-specialized, it is more limited than the ITC in the type of issues it can hear.115 The presence of the ITC provides the benefits of a patentspecialized court within the larger framework of percolation.</w:t>
      </w:r>
    </w:p>
    <w:p w14:paraId="5E3833DA" w14:textId="77777777" w:rsidR="008F709D" w:rsidRPr="004F2678" w:rsidRDefault="008F709D" w:rsidP="008F709D">
      <w:pPr>
        <w:rPr>
          <w:sz w:val="16"/>
        </w:rPr>
      </w:pPr>
      <w:r w:rsidRPr="004F2678">
        <w:rPr>
          <w:sz w:val="16"/>
        </w:rPr>
        <w:t>B. The ITC Provides a Trade and Policy Perspective</w:t>
      </w:r>
    </w:p>
    <w:p w14:paraId="2D2A0C30" w14:textId="77777777" w:rsidR="008F709D" w:rsidRPr="004F2678" w:rsidRDefault="008F709D" w:rsidP="008F709D">
      <w:pPr>
        <w:rPr>
          <w:sz w:val="16"/>
        </w:rPr>
      </w:pPr>
      <w:r w:rsidRPr="004F2678">
        <w:rPr>
          <w:rStyle w:val="StyleUnderline"/>
          <w:highlight w:val="cyan"/>
        </w:rPr>
        <w:t>With</w:t>
      </w:r>
      <w:r w:rsidRPr="004F2678">
        <w:rPr>
          <w:rStyle w:val="StyleUnderline"/>
        </w:rPr>
        <w:t xml:space="preserve"> its </w:t>
      </w:r>
      <w:r w:rsidRPr="004F2678">
        <w:rPr>
          <w:rStyle w:val="StyleUnderline"/>
          <w:highlight w:val="cyan"/>
        </w:rPr>
        <w:t xml:space="preserve">basis in </w:t>
      </w:r>
      <w:r w:rsidRPr="004F2678">
        <w:rPr>
          <w:rStyle w:val="Emphasis"/>
          <w:highlight w:val="cyan"/>
        </w:rPr>
        <w:t>international trade regulation</w:t>
      </w:r>
      <w:r w:rsidRPr="004F2678">
        <w:rPr>
          <w:rStyle w:val="StyleUnderline"/>
          <w:highlight w:val="cyan"/>
        </w:rPr>
        <w:t xml:space="preserve">, the ITC puts a </w:t>
      </w:r>
      <w:r w:rsidRPr="004F2678">
        <w:rPr>
          <w:rStyle w:val="Emphasis"/>
          <w:highlight w:val="cyan"/>
        </w:rPr>
        <w:t>policy</w:t>
      </w:r>
      <w:r w:rsidRPr="004F2678">
        <w:rPr>
          <w:rStyle w:val="StyleUnderline"/>
          <w:highlight w:val="cyan"/>
        </w:rPr>
        <w:t xml:space="preserve"> and </w:t>
      </w:r>
      <w:r w:rsidRPr="004F2678">
        <w:rPr>
          <w:rStyle w:val="Emphasis"/>
          <w:highlight w:val="cyan"/>
        </w:rPr>
        <w:t>trade lens</w:t>
      </w:r>
      <w:r w:rsidRPr="004F2678">
        <w:rPr>
          <w:rStyle w:val="StyleUnderline"/>
          <w:highlight w:val="cyan"/>
        </w:rPr>
        <w:t xml:space="preserve"> on</w:t>
      </w:r>
      <w:r w:rsidRPr="004F2678">
        <w:rPr>
          <w:sz w:val="16"/>
        </w:rPr>
        <w:t xml:space="preserve"> patent </w:t>
      </w:r>
      <w:r w:rsidRPr="004F2678">
        <w:rPr>
          <w:rStyle w:val="Emphasis"/>
          <w:highlight w:val="cyan"/>
        </w:rPr>
        <w:t>law</w:t>
      </w:r>
      <w:r w:rsidRPr="004F2678">
        <w:rPr>
          <w:rStyle w:val="StyleUnderline"/>
        </w:rPr>
        <w:t xml:space="preserve">. </w:t>
      </w:r>
      <w:r w:rsidRPr="004F2678">
        <w:rPr>
          <w:rStyle w:val="StyleUnderline"/>
          <w:highlight w:val="cyan"/>
        </w:rPr>
        <w:t xml:space="preserve">By being a </w:t>
      </w:r>
      <w:r w:rsidRPr="004F2678">
        <w:rPr>
          <w:rStyle w:val="Emphasis"/>
          <w:highlight w:val="cyan"/>
        </w:rPr>
        <w:t>part</w:t>
      </w:r>
      <w:r w:rsidRPr="004F2678">
        <w:rPr>
          <w:sz w:val="16"/>
          <w:highlight w:val="cyan"/>
        </w:rPr>
        <w:t xml:space="preserve"> </w:t>
      </w:r>
      <w:r w:rsidRPr="004F2678">
        <w:rPr>
          <w:rStyle w:val="StyleUnderline"/>
          <w:highlight w:val="cyan"/>
        </w:rPr>
        <w:t>of the</w:t>
      </w:r>
      <w:r w:rsidRPr="004F2678">
        <w:rPr>
          <w:sz w:val="16"/>
          <w:highlight w:val="cyan"/>
        </w:rPr>
        <w:t xml:space="preserve"> </w:t>
      </w:r>
      <w:r w:rsidRPr="004F2678">
        <w:rPr>
          <w:rStyle w:val="Emphasis"/>
          <w:highlight w:val="cyan"/>
        </w:rPr>
        <w:t>large</w:t>
      </w:r>
      <w:r w:rsidRPr="004F2678">
        <w:rPr>
          <w:sz w:val="16"/>
        </w:rPr>
        <w:t xml:space="preserve"> patent law </w:t>
      </w:r>
      <w:r w:rsidRPr="004F2678">
        <w:rPr>
          <w:rStyle w:val="Emphasis"/>
          <w:highlight w:val="cyan"/>
        </w:rPr>
        <w:t>landscape</w:t>
      </w:r>
      <w:r w:rsidRPr="004F2678">
        <w:rPr>
          <w:rStyle w:val="StyleUnderline"/>
        </w:rPr>
        <w:t xml:space="preserve">, the ITC </w:t>
      </w:r>
      <w:r w:rsidRPr="004F2678">
        <w:rPr>
          <w:rStyle w:val="StyleUnderline"/>
          <w:highlight w:val="cyan"/>
        </w:rPr>
        <w:t xml:space="preserve">allows </w:t>
      </w:r>
      <w:r w:rsidRPr="004F2678">
        <w:rPr>
          <w:rStyle w:val="Emphasis"/>
          <w:highlight w:val="cyan"/>
        </w:rPr>
        <w:t>views</w:t>
      </w:r>
      <w:r w:rsidRPr="004F2678">
        <w:rPr>
          <w:sz w:val="16"/>
        </w:rPr>
        <w:t xml:space="preserve"> </w:t>
      </w:r>
      <w:r w:rsidRPr="004F2678">
        <w:rPr>
          <w:rStyle w:val="StyleUnderline"/>
        </w:rPr>
        <w:t>of</w:t>
      </w:r>
      <w:r w:rsidRPr="004F2678">
        <w:rPr>
          <w:sz w:val="16"/>
        </w:rPr>
        <w:t xml:space="preserve"> patent </w:t>
      </w:r>
      <w:r w:rsidRPr="004F2678">
        <w:rPr>
          <w:rStyle w:val="StyleUnderline"/>
        </w:rPr>
        <w:t xml:space="preserve">law </w:t>
      </w:r>
      <w:r w:rsidRPr="004F2678">
        <w:rPr>
          <w:rStyle w:val="Emphasis"/>
          <w:highlight w:val="cyan"/>
        </w:rPr>
        <w:t>influenced</w:t>
      </w:r>
      <w:r w:rsidRPr="004F2678">
        <w:rPr>
          <w:sz w:val="16"/>
          <w:highlight w:val="cyan"/>
        </w:rPr>
        <w:t xml:space="preserve"> </w:t>
      </w:r>
      <w:r w:rsidRPr="004F2678">
        <w:rPr>
          <w:rStyle w:val="StyleUnderline"/>
          <w:highlight w:val="cyan"/>
        </w:rPr>
        <w:t>by</w:t>
      </w:r>
      <w:r w:rsidRPr="004F2678">
        <w:rPr>
          <w:sz w:val="16"/>
        </w:rPr>
        <w:t xml:space="preserve"> public </w:t>
      </w:r>
      <w:r w:rsidRPr="004F2678">
        <w:rPr>
          <w:rStyle w:val="Emphasis"/>
          <w:highlight w:val="cyan"/>
        </w:rPr>
        <w:t>policy</w:t>
      </w:r>
      <w:r w:rsidRPr="004F2678">
        <w:rPr>
          <w:sz w:val="16"/>
        </w:rPr>
        <w:t xml:space="preserve"> </w:t>
      </w:r>
      <w:r w:rsidRPr="004F2678">
        <w:rPr>
          <w:rStyle w:val="StyleUnderline"/>
        </w:rPr>
        <w:t>and</w:t>
      </w:r>
      <w:r w:rsidRPr="004F2678">
        <w:rPr>
          <w:sz w:val="16"/>
        </w:rPr>
        <w:t xml:space="preserve"> </w:t>
      </w:r>
      <w:r w:rsidRPr="004F2678">
        <w:rPr>
          <w:rStyle w:val="Emphasis"/>
        </w:rPr>
        <w:t>trade</w:t>
      </w:r>
      <w:r w:rsidRPr="004F2678">
        <w:rPr>
          <w:sz w:val="16"/>
        </w:rPr>
        <w:t xml:space="preserve"> </w:t>
      </w:r>
      <w:r w:rsidRPr="004F2678">
        <w:rPr>
          <w:rStyle w:val="StyleUnderline"/>
          <w:highlight w:val="cyan"/>
        </w:rPr>
        <w:t>to</w:t>
      </w:r>
      <w:r w:rsidRPr="004F2678">
        <w:rPr>
          <w:sz w:val="16"/>
          <w:highlight w:val="cyan"/>
        </w:rPr>
        <w:t xml:space="preserve"> </w:t>
      </w:r>
      <w:r w:rsidRPr="004F2678">
        <w:rPr>
          <w:rStyle w:val="Emphasis"/>
          <w:highlight w:val="cyan"/>
        </w:rPr>
        <w:t>percolate</w:t>
      </w:r>
      <w:r w:rsidRPr="004F2678">
        <w:rPr>
          <w:rStyle w:val="StyleUnderline"/>
        </w:rPr>
        <w:t xml:space="preserve">. This </w:t>
      </w:r>
      <w:r w:rsidRPr="004F2678">
        <w:rPr>
          <w:rStyle w:val="Emphasis"/>
          <w:highlight w:val="cyan"/>
        </w:rPr>
        <w:t>broadens</w:t>
      </w:r>
      <w:r w:rsidRPr="004F2678">
        <w:rPr>
          <w:rStyle w:val="Emphasis"/>
        </w:rPr>
        <w:t xml:space="preserve"> how </w:t>
      </w:r>
      <w:r w:rsidRPr="004F2678">
        <w:rPr>
          <w:rStyle w:val="Emphasis"/>
          <w:highlight w:val="cyan"/>
        </w:rPr>
        <w:t>decisions</w:t>
      </w:r>
      <w:r w:rsidRPr="004F2678">
        <w:rPr>
          <w:rStyle w:val="Emphasis"/>
        </w:rPr>
        <w:t xml:space="preserve"> are made</w:t>
      </w:r>
      <w:r w:rsidRPr="004F2678">
        <w:rPr>
          <w:sz w:val="16"/>
        </w:rPr>
        <w:t xml:space="preserve"> </w:t>
      </w:r>
      <w:r w:rsidRPr="004F2678">
        <w:rPr>
          <w:rStyle w:val="StyleUnderline"/>
          <w:highlight w:val="cyan"/>
        </w:rPr>
        <w:t>and decreases</w:t>
      </w:r>
      <w:r w:rsidRPr="004F2678">
        <w:rPr>
          <w:rStyle w:val="StyleUnderline"/>
        </w:rPr>
        <w:t xml:space="preserve"> the chance of a</w:t>
      </w:r>
      <w:r w:rsidRPr="004F2678">
        <w:rPr>
          <w:sz w:val="16"/>
        </w:rPr>
        <w:t xml:space="preserve"> </w:t>
      </w:r>
      <w:r w:rsidRPr="004F2678">
        <w:rPr>
          <w:rStyle w:val="Emphasis"/>
        </w:rPr>
        <w:t>“</w:t>
      </w:r>
      <w:r w:rsidRPr="004F2678">
        <w:rPr>
          <w:rStyle w:val="Emphasis"/>
          <w:highlight w:val="cyan"/>
        </w:rPr>
        <w:t>tunnel vision</w:t>
      </w:r>
      <w:r w:rsidRPr="004F2678">
        <w:rPr>
          <w:rStyle w:val="Emphasis"/>
        </w:rPr>
        <w:t>” view of</w:t>
      </w:r>
      <w:r w:rsidRPr="004F2678">
        <w:rPr>
          <w:sz w:val="16"/>
        </w:rPr>
        <w:t xml:space="preserve"> patent </w:t>
      </w:r>
      <w:r w:rsidRPr="004F2678">
        <w:rPr>
          <w:rStyle w:val="Emphasis"/>
        </w:rPr>
        <w:t>law</w:t>
      </w:r>
      <w:r w:rsidRPr="004F2678">
        <w:rPr>
          <w:sz w:val="16"/>
        </w:rPr>
        <w:t>.116</w:t>
      </w:r>
    </w:p>
    <w:p w14:paraId="412246AF" w14:textId="77777777" w:rsidR="008F709D" w:rsidRPr="004F2678" w:rsidRDefault="008F709D" w:rsidP="008F709D">
      <w:pPr>
        <w:rPr>
          <w:sz w:val="16"/>
        </w:rPr>
      </w:pPr>
      <w:r w:rsidRPr="004F2678">
        <w:rPr>
          <w:rStyle w:val="StyleUnderline"/>
        </w:rPr>
        <w:t>Congress</w:t>
      </w:r>
      <w:r w:rsidRPr="004F2678">
        <w:rPr>
          <w:sz w:val="16"/>
        </w:rPr>
        <w:t xml:space="preserve"> </w:t>
      </w:r>
      <w:r w:rsidRPr="004F2678">
        <w:rPr>
          <w:rStyle w:val="Emphasis"/>
        </w:rPr>
        <w:t>specifically instructed the ITC to consider</w:t>
      </w:r>
      <w:r w:rsidRPr="004F2678">
        <w:rPr>
          <w:sz w:val="16"/>
        </w:rPr>
        <w:t xml:space="preserve"> the </w:t>
      </w:r>
      <w:r w:rsidRPr="004F2678">
        <w:rPr>
          <w:rStyle w:val="Emphasis"/>
          <w:highlight w:val="cyan"/>
        </w:rPr>
        <w:t>public policy</w:t>
      </w:r>
      <w:r w:rsidRPr="004F2678">
        <w:rPr>
          <w:rStyle w:val="Emphasis"/>
        </w:rPr>
        <w:t xml:space="preserve"> of promoting free competition</w:t>
      </w:r>
      <w:r w:rsidRPr="004F2678">
        <w:rPr>
          <w:rStyle w:val="StyleUnderline"/>
        </w:rPr>
        <w:t xml:space="preserve">, which “suggests that Congress </w:t>
      </w:r>
      <w:r w:rsidRPr="004F2678">
        <w:rPr>
          <w:rStyle w:val="Emphasis"/>
          <w:highlight w:val="cyan"/>
        </w:rPr>
        <w:t>want</w:t>
      </w:r>
      <w:r w:rsidRPr="004F2678">
        <w:rPr>
          <w:rStyle w:val="StyleUnderline"/>
        </w:rPr>
        <w:t>ed the ITC to use a</w:t>
      </w:r>
      <w:r w:rsidRPr="004F2678">
        <w:rPr>
          <w:sz w:val="16"/>
        </w:rPr>
        <w:t xml:space="preserve"> </w:t>
      </w:r>
      <w:r w:rsidRPr="004F2678">
        <w:rPr>
          <w:rStyle w:val="Emphasis"/>
          <w:highlight w:val="cyan"/>
        </w:rPr>
        <w:t>nuance</w:t>
      </w:r>
      <w:r w:rsidRPr="004F2678">
        <w:rPr>
          <w:rStyle w:val="StyleUnderline"/>
        </w:rPr>
        <w:t>d approach</w:t>
      </w:r>
      <w:r w:rsidRPr="004F2678">
        <w:rPr>
          <w:sz w:val="16"/>
        </w:rPr>
        <w:t xml:space="preserve"> in determining patent validity and enforceability, with a focus on protecting U.S. businesses from the negative side-effects of free trade.”117 </w:t>
      </w:r>
      <w:r w:rsidRPr="004F2678">
        <w:rPr>
          <w:rStyle w:val="StyleUnderline"/>
        </w:rPr>
        <w:t xml:space="preserve">The </w:t>
      </w:r>
      <w:r w:rsidRPr="004F2678">
        <w:rPr>
          <w:rStyle w:val="StyleUnderline"/>
          <w:highlight w:val="cyan"/>
        </w:rPr>
        <w:t>ITC has</w:t>
      </w:r>
      <w:r w:rsidRPr="004F2678">
        <w:rPr>
          <w:sz w:val="16"/>
        </w:rPr>
        <w:t xml:space="preserve"> </w:t>
      </w:r>
      <w:r w:rsidRPr="004F2678">
        <w:rPr>
          <w:rStyle w:val="Emphasis"/>
        </w:rPr>
        <w:t>unique</w:t>
      </w:r>
      <w:r w:rsidRPr="004F2678">
        <w:rPr>
          <w:sz w:val="16"/>
        </w:rPr>
        <w:t xml:space="preserve"> trade </w:t>
      </w:r>
      <w:r w:rsidRPr="004F2678">
        <w:rPr>
          <w:rStyle w:val="Emphasis"/>
          <w:highlight w:val="cyan"/>
        </w:rPr>
        <w:t>expertise</w:t>
      </w:r>
      <w:r w:rsidRPr="004F2678">
        <w:rPr>
          <w:rStyle w:val="StyleUnderline"/>
        </w:rPr>
        <w:t xml:space="preserve">; the agency </w:t>
      </w:r>
      <w:r w:rsidRPr="004F2678">
        <w:rPr>
          <w:rStyle w:val="StyleUnderline"/>
          <w:highlight w:val="cyan"/>
        </w:rPr>
        <w:t xml:space="preserve">investigates </w:t>
      </w:r>
      <w:r w:rsidRPr="004F2678">
        <w:rPr>
          <w:rStyle w:val="Emphasis"/>
          <w:highlight w:val="cyan"/>
        </w:rPr>
        <w:t>trade</w:t>
      </w:r>
      <w:r w:rsidRPr="004F2678">
        <w:rPr>
          <w:rStyle w:val="StyleUnderline"/>
        </w:rPr>
        <w:t xml:space="preserve"> issues from </w:t>
      </w:r>
      <w:r w:rsidRPr="004F2678">
        <w:rPr>
          <w:rStyle w:val="Emphasis"/>
        </w:rPr>
        <w:t>dumping to tariffs</w:t>
      </w:r>
      <w:r w:rsidRPr="004F2678">
        <w:rPr>
          <w:sz w:val="16"/>
        </w:rPr>
        <w:t xml:space="preserve"> </w:t>
      </w:r>
      <w:r w:rsidRPr="004F2678">
        <w:rPr>
          <w:rStyle w:val="StyleUnderline"/>
        </w:rPr>
        <w:t xml:space="preserve">and </w:t>
      </w:r>
      <w:r w:rsidRPr="004F2678">
        <w:rPr>
          <w:rStyle w:val="StyleUnderline"/>
          <w:highlight w:val="cyan"/>
        </w:rPr>
        <w:t>possesses</w:t>
      </w:r>
      <w:r w:rsidRPr="004F2678">
        <w:rPr>
          <w:sz w:val="16"/>
          <w:highlight w:val="cyan"/>
        </w:rPr>
        <w:t xml:space="preserve"> </w:t>
      </w:r>
      <w:r w:rsidRPr="004F2678">
        <w:rPr>
          <w:rStyle w:val="Emphasis"/>
          <w:highlight w:val="cyan"/>
        </w:rPr>
        <w:t>broad knowledge</w:t>
      </w:r>
      <w:r w:rsidRPr="004F2678">
        <w:rPr>
          <w:sz w:val="16"/>
          <w:highlight w:val="cyan"/>
        </w:rPr>
        <w:t xml:space="preserve"> </w:t>
      </w:r>
      <w:r w:rsidRPr="004F2678">
        <w:rPr>
          <w:rStyle w:val="StyleUnderline"/>
          <w:highlight w:val="cyan"/>
        </w:rPr>
        <w:t>about</w:t>
      </w:r>
      <w:r w:rsidRPr="004F2678">
        <w:rPr>
          <w:sz w:val="16"/>
        </w:rPr>
        <w:t xml:space="preserve"> trade </w:t>
      </w:r>
      <w:r w:rsidRPr="004F2678">
        <w:rPr>
          <w:rStyle w:val="StyleUnderline"/>
          <w:highlight w:val="cyan"/>
        </w:rPr>
        <w:t>practices</w:t>
      </w:r>
      <w:r w:rsidRPr="004F2678">
        <w:rPr>
          <w:rStyle w:val="StyleUnderline"/>
        </w:rPr>
        <w:t xml:space="preserve"> that harm U.S. companies</w:t>
      </w:r>
      <w:r w:rsidRPr="004F2678">
        <w:rPr>
          <w:sz w:val="16"/>
        </w:rPr>
        <w:t xml:space="preserve">.118 </w:t>
      </w:r>
      <w:r w:rsidRPr="004F2678">
        <w:rPr>
          <w:rStyle w:val="StyleUnderline"/>
          <w:highlight w:val="cyan"/>
        </w:rPr>
        <w:t>This</w:t>
      </w:r>
      <w:r w:rsidRPr="004F2678">
        <w:rPr>
          <w:sz w:val="16"/>
        </w:rPr>
        <w:t xml:space="preserve"> </w:t>
      </w:r>
      <w:r w:rsidRPr="004F2678">
        <w:rPr>
          <w:rStyle w:val="Emphasis"/>
        </w:rPr>
        <w:t>broad base of information</w:t>
      </w:r>
      <w:r w:rsidRPr="004F2678">
        <w:rPr>
          <w:sz w:val="16"/>
        </w:rPr>
        <w:t xml:space="preserve"> </w:t>
      </w:r>
      <w:r w:rsidRPr="004F2678">
        <w:rPr>
          <w:rStyle w:val="StyleUnderline"/>
          <w:highlight w:val="cyan"/>
        </w:rPr>
        <w:t>is</w:t>
      </w:r>
      <w:r w:rsidRPr="004F2678">
        <w:rPr>
          <w:sz w:val="16"/>
          <w:highlight w:val="cyan"/>
        </w:rPr>
        <w:t xml:space="preserve"> </w:t>
      </w:r>
      <w:r w:rsidRPr="004F2678">
        <w:rPr>
          <w:rStyle w:val="Emphasis"/>
          <w:highlight w:val="cyan"/>
        </w:rPr>
        <w:t>utilized</w:t>
      </w:r>
      <w:r w:rsidRPr="004F2678">
        <w:rPr>
          <w:rStyle w:val="Emphasis"/>
        </w:rPr>
        <w:t xml:space="preserve"> by the ITC</w:t>
      </w:r>
      <w:r w:rsidRPr="004F2678">
        <w:rPr>
          <w:sz w:val="16"/>
        </w:rPr>
        <w:t xml:space="preserve"> </w:t>
      </w:r>
      <w:r w:rsidRPr="004F2678">
        <w:rPr>
          <w:rStyle w:val="StyleUnderline"/>
          <w:highlight w:val="cyan"/>
        </w:rPr>
        <w:t>in</w:t>
      </w:r>
      <w:r w:rsidRPr="004F2678">
        <w:rPr>
          <w:rStyle w:val="StyleUnderline"/>
        </w:rPr>
        <w:t xml:space="preserve"> its </w:t>
      </w:r>
      <w:r w:rsidRPr="004F2678">
        <w:rPr>
          <w:rStyle w:val="StyleUnderline"/>
          <w:highlight w:val="cyan"/>
        </w:rPr>
        <w:t>determinations of</w:t>
      </w:r>
      <w:r w:rsidRPr="004F2678">
        <w:rPr>
          <w:sz w:val="16"/>
        </w:rPr>
        <w:t xml:space="preserve"> patent validity and </w:t>
      </w:r>
      <w:r w:rsidRPr="004F2678">
        <w:rPr>
          <w:rStyle w:val="StyleUnderline"/>
          <w:highlight w:val="cyan"/>
        </w:rPr>
        <w:t>remedies</w:t>
      </w:r>
      <w:r w:rsidRPr="004F2678">
        <w:rPr>
          <w:rStyle w:val="StyleUnderline"/>
        </w:rPr>
        <w:t>. In fact, the law</w:t>
      </w:r>
      <w:r w:rsidRPr="004F2678">
        <w:rPr>
          <w:sz w:val="16"/>
        </w:rPr>
        <w:t xml:space="preserve"> </w:t>
      </w:r>
      <w:r w:rsidRPr="004F2678">
        <w:rPr>
          <w:rStyle w:val="Emphasis"/>
        </w:rPr>
        <w:t>requires</w:t>
      </w:r>
      <w:r w:rsidRPr="004F2678">
        <w:rPr>
          <w:sz w:val="16"/>
        </w:rPr>
        <w:t xml:space="preserve"> </w:t>
      </w:r>
      <w:r w:rsidRPr="004F2678">
        <w:rPr>
          <w:rStyle w:val="StyleUnderline"/>
        </w:rPr>
        <w:t>the ITC to utilize this information. For example, before implementing an exclusion order, the ITC is required to consider whether the exclusion order is “</w:t>
      </w:r>
      <w:r w:rsidRPr="004F2678">
        <w:rPr>
          <w:rStyle w:val="Emphasis"/>
        </w:rPr>
        <w:t>inconsistent with the public interest</w:t>
      </w:r>
      <w:r w:rsidRPr="004F2678">
        <w:rPr>
          <w:rStyle w:val="StyleUnderline"/>
        </w:rPr>
        <w:t>, with</w:t>
      </w:r>
      <w:r w:rsidRPr="004F2678">
        <w:rPr>
          <w:sz w:val="16"/>
        </w:rPr>
        <w:t xml:space="preserve"> </w:t>
      </w:r>
      <w:r w:rsidRPr="004F2678">
        <w:rPr>
          <w:rStyle w:val="Emphasis"/>
        </w:rPr>
        <w:t>input</w:t>
      </w:r>
      <w:r w:rsidRPr="004F2678">
        <w:rPr>
          <w:sz w:val="16"/>
        </w:rPr>
        <w:t xml:space="preserve"> </w:t>
      </w:r>
      <w:r w:rsidRPr="004F2678">
        <w:rPr>
          <w:rStyle w:val="StyleUnderline"/>
        </w:rPr>
        <w:t>from</w:t>
      </w:r>
      <w:r w:rsidRPr="004F2678">
        <w:rPr>
          <w:sz w:val="16"/>
        </w:rPr>
        <w:t xml:space="preserve"> </w:t>
      </w:r>
      <w:r w:rsidRPr="004F2678">
        <w:rPr>
          <w:rStyle w:val="Emphasis"/>
        </w:rPr>
        <w:t>other regulatory agencies.”</w:t>
      </w:r>
      <w:r w:rsidRPr="004F2678">
        <w:rPr>
          <w:sz w:val="16"/>
        </w:rPr>
        <w:t xml:space="preserve">119 </w:t>
      </w:r>
      <w:r w:rsidRPr="004F2678">
        <w:rPr>
          <w:rStyle w:val="StyleUnderline"/>
        </w:rPr>
        <w:t xml:space="preserve">The </w:t>
      </w:r>
      <w:r w:rsidRPr="004F2678">
        <w:rPr>
          <w:rStyle w:val="StyleUnderline"/>
          <w:highlight w:val="cyan"/>
        </w:rPr>
        <w:t>ITC</w:t>
      </w:r>
      <w:r w:rsidRPr="004F2678">
        <w:rPr>
          <w:rStyle w:val="StyleUnderline"/>
        </w:rPr>
        <w:t xml:space="preserve"> is </w:t>
      </w:r>
      <w:r w:rsidRPr="004F2678">
        <w:rPr>
          <w:rStyle w:val="StyleUnderline"/>
          <w:highlight w:val="cyan"/>
        </w:rPr>
        <w:t>also</w:t>
      </w:r>
      <w:r w:rsidRPr="004F2678">
        <w:rPr>
          <w:rStyle w:val="StyleUnderline"/>
        </w:rPr>
        <w:t xml:space="preserve"> able to </w:t>
      </w:r>
      <w:r w:rsidRPr="004F2678">
        <w:rPr>
          <w:rStyle w:val="StyleUnderline"/>
          <w:highlight w:val="cyan"/>
        </w:rPr>
        <w:t xml:space="preserve">order </w:t>
      </w:r>
      <w:r w:rsidRPr="004F2678">
        <w:rPr>
          <w:rStyle w:val="Emphasis"/>
          <w:highlight w:val="cyan"/>
        </w:rPr>
        <w:t>public hearings</w:t>
      </w:r>
      <w:r w:rsidRPr="004F2678">
        <w:rPr>
          <w:sz w:val="16"/>
        </w:rPr>
        <w:t xml:space="preserve"> </w:t>
      </w:r>
      <w:r w:rsidRPr="004F2678">
        <w:rPr>
          <w:rStyle w:val="StyleUnderline"/>
        </w:rPr>
        <w:t>to</w:t>
      </w:r>
      <w:r w:rsidRPr="004F2678">
        <w:rPr>
          <w:sz w:val="16"/>
        </w:rPr>
        <w:t xml:space="preserve"> </w:t>
      </w:r>
      <w:r w:rsidRPr="004F2678">
        <w:rPr>
          <w:rStyle w:val="Emphasis"/>
        </w:rPr>
        <w:t>determine</w:t>
      </w:r>
      <w:r w:rsidRPr="004F2678">
        <w:rPr>
          <w:sz w:val="16"/>
        </w:rPr>
        <w:t xml:space="preserve"> </w:t>
      </w:r>
      <w:r w:rsidRPr="004F2678">
        <w:rPr>
          <w:rStyle w:val="StyleUnderline"/>
        </w:rPr>
        <w:t>whether such exclusion orders would harm the public.</w:t>
      </w:r>
      <w:r w:rsidRPr="004F2678">
        <w:rPr>
          <w:sz w:val="16"/>
        </w:rPr>
        <w:t xml:space="preserve">120 </w:t>
      </w:r>
      <w:r w:rsidRPr="004F2678">
        <w:rPr>
          <w:rStyle w:val="StyleUnderline"/>
          <w:highlight w:val="cyan"/>
        </w:rPr>
        <w:t>In contrast</w:t>
      </w:r>
      <w:r w:rsidRPr="004F2678">
        <w:rPr>
          <w:sz w:val="16"/>
        </w:rPr>
        <w:t xml:space="preserve">, district </w:t>
      </w:r>
      <w:r w:rsidRPr="004F2678">
        <w:rPr>
          <w:rStyle w:val="Emphasis"/>
          <w:highlight w:val="cyan"/>
        </w:rPr>
        <w:t>courts</w:t>
      </w:r>
      <w:r w:rsidRPr="004F2678">
        <w:rPr>
          <w:sz w:val="16"/>
          <w:highlight w:val="cyan"/>
        </w:rPr>
        <w:t xml:space="preserve"> </w:t>
      </w:r>
      <w:r w:rsidRPr="004F2678">
        <w:rPr>
          <w:rStyle w:val="StyleUnderline"/>
          <w:highlight w:val="cyan"/>
        </w:rPr>
        <w:t>are</w:t>
      </w:r>
      <w:r w:rsidRPr="004F2678">
        <w:rPr>
          <w:sz w:val="16"/>
          <w:highlight w:val="cyan"/>
        </w:rPr>
        <w:t xml:space="preserve"> </w:t>
      </w:r>
      <w:r w:rsidRPr="004F2678">
        <w:rPr>
          <w:rStyle w:val="Emphasis"/>
          <w:sz w:val="28"/>
          <w:szCs w:val="28"/>
          <w:highlight w:val="cyan"/>
        </w:rPr>
        <w:t>not equipped or required to consider issues of</w:t>
      </w:r>
      <w:r w:rsidRPr="004F2678">
        <w:rPr>
          <w:rStyle w:val="Emphasis"/>
          <w:sz w:val="28"/>
          <w:szCs w:val="28"/>
        </w:rPr>
        <w:t xml:space="preserve"> trade and </w:t>
      </w:r>
      <w:r w:rsidRPr="004F2678">
        <w:rPr>
          <w:rStyle w:val="Emphasis"/>
          <w:sz w:val="28"/>
          <w:szCs w:val="28"/>
          <w:highlight w:val="cyan"/>
        </w:rPr>
        <w:t>foreign policy</w:t>
      </w:r>
      <w:r w:rsidRPr="004F2678">
        <w:rPr>
          <w:sz w:val="16"/>
        </w:rPr>
        <w:t>.121</w:t>
      </w:r>
    </w:p>
    <w:p w14:paraId="5AFE78B8" w14:textId="77777777" w:rsidR="008F709D" w:rsidRPr="004F2678" w:rsidRDefault="008F709D" w:rsidP="008F709D">
      <w:pPr>
        <w:rPr>
          <w:sz w:val="16"/>
        </w:rPr>
      </w:pPr>
      <w:r w:rsidRPr="004F2678">
        <w:rPr>
          <w:sz w:val="16"/>
        </w:rPr>
        <w:t>A unique element of Section 337 proceedings is the participation of an investigative attorney (or “staff attorney”) from the Office of Unfair Import Investigations.122 Each proceeding has a staff attorney who “participates in discovery, motions, and trial, creating a different case dynamic than that experienced in district court.”123 The staff attorney is a full party to the investigation and “functions as an independent litigant representing the public interest.”124 The addition of a neutral party who advocates for free trade adds a unique perspective to ITC proceedings.</w:t>
      </w:r>
    </w:p>
    <w:p w14:paraId="6F6A202E" w14:textId="77777777" w:rsidR="008F709D" w:rsidRPr="004F2678" w:rsidRDefault="008F709D" w:rsidP="008F709D">
      <w:pPr>
        <w:rPr>
          <w:sz w:val="16"/>
        </w:rPr>
      </w:pPr>
      <w:r w:rsidRPr="004F2678">
        <w:rPr>
          <w:sz w:val="16"/>
        </w:rPr>
        <w:t xml:space="preserve">In addition, </w:t>
      </w:r>
      <w:r w:rsidRPr="004F2678">
        <w:rPr>
          <w:rStyle w:val="StyleUnderline"/>
          <w:highlight w:val="cyan"/>
        </w:rPr>
        <w:t>the President has</w:t>
      </w:r>
      <w:r w:rsidRPr="004F2678">
        <w:rPr>
          <w:rStyle w:val="StyleUnderline"/>
        </w:rPr>
        <w:t xml:space="preserve"> the </w:t>
      </w:r>
      <w:r w:rsidRPr="004F2678">
        <w:rPr>
          <w:rStyle w:val="StyleUnderline"/>
          <w:highlight w:val="cyan"/>
        </w:rPr>
        <w:t xml:space="preserve">authority to </w:t>
      </w:r>
      <w:r w:rsidRPr="004F2678">
        <w:rPr>
          <w:rStyle w:val="Emphasis"/>
          <w:highlight w:val="cyan"/>
        </w:rPr>
        <w:t>veto injunctions</w:t>
      </w:r>
      <w:r w:rsidRPr="004F2678">
        <w:rPr>
          <w:rStyle w:val="Emphasis"/>
        </w:rPr>
        <w:t xml:space="preserve"> issued </w:t>
      </w:r>
      <w:r w:rsidRPr="004F2678">
        <w:rPr>
          <w:rStyle w:val="Emphasis"/>
          <w:highlight w:val="cyan"/>
        </w:rPr>
        <w:t>under</w:t>
      </w:r>
      <w:r w:rsidRPr="004F2678">
        <w:rPr>
          <w:rStyle w:val="Emphasis"/>
        </w:rPr>
        <w:t xml:space="preserve"> Section </w:t>
      </w:r>
      <w:r w:rsidRPr="004F2678">
        <w:rPr>
          <w:rStyle w:val="Emphasis"/>
          <w:highlight w:val="cyan"/>
        </w:rPr>
        <w:t>337</w:t>
      </w:r>
      <w:r w:rsidRPr="004F2678">
        <w:rPr>
          <w:sz w:val="16"/>
        </w:rPr>
        <w:t xml:space="preserve"> proceedings </w:t>
      </w:r>
      <w:r w:rsidRPr="004F2678">
        <w:rPr>
          <w:rStyle w:val="StyleUnderline"/>
          <w:highlight w:val="cyan"/>
        </w:rPr>
        <w:t>based on</w:t>
      </w:r>
      <w:r w:rsidRPr="004F2678">
        <w:rPr>
          <w:rStyle w:val="StyleUnderline"/>
        </w:rPr>
        <w:t xml:space="preserve"> policy reasons</w:t>
      </w:r>
      <w:r w:rsidRPr="004F2678">
        <w:rPr>
          <w:sz w:val="16"/>
        </w:rPr>
        <w:t xml:space="preserve">.125 </w:t>
      </w:r>
      <w:r w:rsidRPr="004F2678">
        <w:rPr>
          <w:rStyle w:val="StyleUnderline"/>
        </w:rPr>
        <w:t>These</w:t>
      </w:r>
      <w:r w:rsidRPr="004F2678">
        <w:rPr>
          <w:sz w:val="16"/>
        </w:rPr>
        <w:t xml:space="preserve"> policy reasons </w:t>
      </w:r>
      <w:r w:rsidRPr="004F2678">
        <w:rPr>
          <w:rStyle w:val="StyleUnderline"/>
        </w:rPr>
        <w:t>include</w:t>
      </w:r>
      <w:r w:rsidRPr="004F2678">
        <w:rPr>
          <w:sz w:val="16"/>
        </w:rPr>
        <w:t xml:space="preserve">: “(1) </w:t>
      </w:r>
      <w:r w:rsidRPr="004F2678">
        <w:rPr>
          <w:rStyle w:val="StyleUnderline"/>
        </w:rPr>
        <w:t>public health and welfare</w:t>
      </w:r>
      <w:r w:rsidRPr="004F2678">
        <w:rPr>
          <w:sz w:val="16"/>
        </w:rPr>
        <w:t xml:space="preserve">; (2) </w:t>
      </w:r>
      <w:r w:rsidRPr="004F2678">
        <w:rPr>
          <w:rStyle w:val="Emphasis"/>
        </w:rPr>
        <w:t>competitive conditions</w:t>
      </w:r>
      <w:r w:rsidRPr="004F2678">
        <w:rPr>
          <w:sz w:val="16"/>
        </w:rPr>
        <w:t xml:space="preserve"> </w:t>
      </w:r>
      <w:r w:rsidRPr="004F2678">
        <w:rPr>
          <w:rStyle w:val="StyleUnderline"/>
        </w:rPr>
        <w:t>in the U.S. economy</w:t>
      </w:r>
      <w:r w:rsidRPr="004F2678">
        <w:rPr>
          <w:sz w:val="16"/>
        </w:rPr>
        <w:t xml:space="preserve">; (3) </w:t>
      </w:r>
      <w:r w:rsidRPr="004F2678">
        <w:rPr>
          <w:rStyle w:val="StyleUnderline"/>
        </w:rPr>
        <w:t xml:space="preserve">production of </w:t>
      </w:r>
      <w:r w:rsidRPr="004F2678">
        <w:rPr>
          <w:rStyle w:val="Emphasis"/>
        </w:rPr>
        <w:t>competitive articles</w:t>
      </w:r>
      <w:r w:rsidRPr="004F2678">
        <w:rPr>
          <w:sz w:val="16"/>
        </w:rPr>
        <w:t xml:space="preserve"> in the United States; (4) </w:t>
      </w:r>
      <w:r w:rsidRPr="004F2678">
        <w:rPr>
          <w:rStyle w:val="StyleUnderline"/>
        </w:rPr>
        <w:t xml:space="preserve">U.S. </w:t>
      </w:r>
      <w:r w:rsidRPr="004F2678">
        <w:rPr>
          <w:rStyle w:val="Emphasis"/>
        </w:rPr>
        <w:t>consumers</w:t>
      </w:r>
      <w:r w:rsidRPr="004F2678">
        <w:rPr>
          <w:sz w:val="16"/>
        </w:rPr>
        <w:t xml:space="preserve">; </w:t>
      </w:r>
      <w:r w:rsidRPr="004F2678">
        <w:rPr>
          <w:rStyle w:val="StyleUnderline"/>
        </w:rPr>
        <w:t>and</w:t>
      </w:r>
      <w:r w:rsidRPr="004F2678">
        <w:rPr>
          <w:sz w:val="16"/>
        </w:rPr>
        <w:t xml:space="preserve"> (5) </w:t>
      </w:r>
      <w:r w:rsidRPr="004F2678">
        <w:rPr>
          <w:rStyle w:val="Emphasis"/>
        </w:rPr>
        <w:t xml:space="preserve">U.S. </w:t>
      </w:r>
      <w:r w:rsidRPr="004F2678">
        <w:rPr>
          <w:rStyle w:val="Emphasis"/>
          <w:highlight w:val="cyan"/>
        </w:rPr>
        <w:t>foreign relations</w:t>
      </w:r>
      <w:r w:rsidRPr="004F2678">
        <w:rPr>
          <w:rStyle w:val="Emphasis"/>
        </w:rPr>
        <w:t>, economic and political</w:t>
      </w:r>
      <w:r w:rsidRPr="004F2678">
        <w:rPr>
          <w:sz w:val="16"/>
        </w:rPr>
        <w:t xml:space="preserve">.”126 </w:t>
      </w:r>
      <w:r w:rsidRPr="004F2678">
        <w:rPr>
          <w:rStyle w:val="StyleUnderline"/>
        </w:rPr>
        <w:t xml:space="preserve">The President’s decision </w:t>
      </w:r>
      <w:r w:rsidRPr="004F2678">
        <w:rPr>
          <w:rStyle w:val="Emphasis"/>
        </w:rPr>
        <w:t>cannot be appealed</w:t>
      </w:r>
      <w:r w:rsidRPr="004F2678">
        <w:rPr>
          <w:sz w:val="16"/>
        </w:rPr>
        <w:t xml:space="preserve"> to the Federal Circuit.127 </w:t>
      </w:r>
      <w:r w:rsidRPr="004F2678">
        <w:rPr>
          <w:rStyle w:val="StyleUnderline"/>
        </w:rPr>
        <w:t xml:space="preserve">The fact that the President can veto ITC decisions </w:t>
      </w:r>
      <w:r w:rsidRPr="004F2678">
        <w:rPr>
          <w:rStyle w:val="StyleUnderline"/>
          <w:highlight w:val="cyan"/>
        </w:rPr>
        <w:t>makes</w:t>
      </w:r>
      <w:r w:rsidRPr="004F2678">
        <w:rPr>
          <w:rStyle w:val="StyleUnderline"/>
        </w:rPr>
        <w:t xml:space="preserve"> the </w:t>
      </w:r>
      <w:r w:rsidRPr="004F2678">
        <w:rPr>
          <w:rStyle w:val="Emphasis"/>
          <w:highlight w:val="cyan"/>
        </w:rPr>
        <w:t>ITC</w:t>
      </w:r>
      <w:r w:rsidRPr="004F2678">
        <w:rPr>
          <w:rStyle w:val="Emphasis"/>
        </w:rPr>
        <w:t xml:space="preserve"> a </w:t>
      </w:r>
      <w:r w:rsidRPr="004F2678">
        <w:rPr>
          <w:rStyle w:val="Emphasis"/>
          <w:highlight w:val="cyan"/>
        </w:rPr>
        <w:t>better-positioned</w:t>
      </w:r>
      <w:r w:rsidRPr="004F2678">
        <w:rPr>
          <w:rStyle w:val="Emphasis"/>
        </w:rPr>
        <w:t xml:space="preserve"> forum </w:t>
      </w:r>
      <w:r w:rsidRPr="004F2678">
        <w:rPr>
          <w:rStyle w:val="Emphasis"/>
          <w:highlight w:val="cyan"/>
        </w:rPr>
        <w:t>to make policy</w:t>
      </w:r>
      <w:r w:rsidRPr="004F2678">
        <w:rPr>
          <w:rStyle w:val="Emphasis"/>
        </w:rPr>
        <w:t xml:space="preserve"> decisions as </w:t>
      </w:r>
      <w:r w:rsidRPr="004F2678">
        <w:rPr>
          <w:rStyle w:val="Emphasis"/>
          <w:highlight w:val="cyan"/>
        </w:rPr>
        <w:t>compared to</w:t>
      </w:r>
      <w:r w:rsidRPr="004F2678">
        <w:rPr>
          <w:rStyle w:val="Emphasis"/>
        </w:rPr>
        <w:t xml:space="preserve"> district </w:t>
      </w:r>
      <w:r w:rsidRPr="004F2678">
        <w:rPr>
          <w:rStyle w:val="Emphasis"/>
          <w:highlight w:val="cyan"/>
        </w:rPr>
        <w:t>courts</w:t>
      </w:r>
      <w:r w:rsidRPr="004F2678">
        <w:rPr>
          <w:sz w:val="16"/>
        </w:rPr>
        <w:t xml:space="preserve">, </w:t>
      </w:r>
      <w:r w:rsidRPr="004F2678">
        <w:rPr>
          <w:rStyle w:val="StyleUnderline"/>
        </w:rPr>
        <w:t xml:space="preserve">which are </w:t>
      </w:r>
      <w:r w:rsidRPr="004F2678">
        <w:rPr>
          <w:rStyle w:val="Emphasis"/>
          <w:highlight w:val="cyan"/>
        </w:rPr>
        <w:t>not</w:t>
      </w:r>
      <w:r w:rsidRPr="004F2678">
        <w:rPr>
          <w:rStyle w:val="StyleUnderline"/>
          <w:highlight w:val="cyan"/>
        </w:rPr>
        <w:t xml:space="preserve"> under</w:t>
      </w:r>
      <w:r w:rsidRPr="004F2678">
        <w:rPr>
          <w:rStyle w:val="StyleUnderline"/>
        </w:rPr>
        <w:t xml:space="preserve"> the </w:t>
      </w:r>
      <w:r w:rsidRPr="004F2678">
        <w:rPr>
          <w:rStyle w:val="StyleUnderline"/>
          <w:highlight w:val="cyan"/>
        </w:rPr>
        <w:t>executive</w:t>
      </w:r>
      <w:r w:rsidRPr="004F2678">
        <w:rPr>
          <w:rStyle w:val="StyleUnderline"/>
        </w:rPr>
        <w:t xml:space="preserve"> branch’s </w:t>
      </w:r>
      <w:r w:rsidRPr="004F2678">
        <w:rPr>
          <w:rStyle w:val="StyleUnderline"/>
          <w:highlight w:val="cyan"/>
        </w:rPr>
        <w:t>purview</w:t>
      </w:r>
      <w:r w:rsidRPr="004F2678">
        <w:rPr>
          <w:rStyle w:val="StyleUnderline"/>
        </w:rPr>
        <w:t>.</w:t>
      </w:r>
      <w:r w:rsidRPr="004F2678">
        <w:rPr>
          <w:sz w:val="16"/>
        </w:rPr>
        <w:t xml:space="preserve">128 </w:t>
      </w:r>
      <w:r w:rsidRPr="004F2678">
        <w:rPr>
          <w:rStyle w:val="StyleUnderline"/>
          <w:highlight w:val="cyan"/>
        </w:rPr>
        <w:t>Therefore</w:t>
      </w:r>
      <w:r w:rsidRPr="004F2678">
        <w:rPr>
          <w:rStyle w:val="StyleUnderline"/>
        </w:rPr>
        <w:t xml:space="preserve">, the </w:t>
      </w:r>
      <w:r w:rsidRPr="004F2678">
        <w:rPr>
          <w:rStyle w:val="StyleUnderline"/>
          <w:highlight w:val="cyan"/>
        </w:rPr>
        <w:t>ITC</w:t>
      </w:r>
      <w:r w:rsidRPr="004F2678">
        <w:rPr>
          <w:rStyle w:val="StyleUnderline"/>
        </w:rPr>
        <w:t xml:space="preserve"> is able to </w:t>
      </w:r>
      <w:r w:rsidRPr="004F2678">
        <w:rPr>
          <w:rStyle w:val="StyleUnderline"/>
          <w:highlight w:val="cyan"/>
        </w:rPr>
        <w:t xml:space="preserve">incorporate </w:t>
      </w:r>
      <w:r w:rsidRPr="004F2678">
        <w:rPr>
          <w:rStyle w:val="Emphasis"/>
          <w:highlight w:val="cyan"/>
        </w:rPr>
        <w:t>more policy considerations</w:t>
      </w:r>
      <w:r w:rsidRPr="004F2678">
        <w:rPr>
          <w:sz w:val="16"/>
        </w:rPr>
        <w:t xml:space="preserve"> into its patent cases </w:t>
      </w:r>
      <w:r w:rsidRPr="004F2678">
        <w:rPr>
          <w:rStyle w:val="StyleUnderline"/>
          <w:highlight w:val="cyan"/>
        </w:rPr>
        <w:t>without</w:t>
      </w:r>
      <w:r w:rsidRPr="004F2678">
        <w:rPr>
          <w:rStyle w:val="StyleUnderline"/>
        </w:rPr>
        <w:t xml:space="preserve"> the same </w:t>
      </w:r>
      <w:r w:rsidRPr="004F2678">
        <w:rPr>
          <w:rStyle w:val="Emphasis"/>
          <w:highlight w:val="cyan"/>
        </w:rPr>
        <w:t>decision costs</w:t>
      </w:r>
      <w:r w:rsidRPr="004F2678">
        <w:rPr>
          <w:rStyle w:val="StyleUnderline"/>
        </w:rPr>
        <w:t xml:space="preserve"> of district courts. At times, a Presidential veto results in a narrowed or altered remedy</w:t>
      </w:r>
      <w:r w:rsidRPr="004F2678">
        <w:rPr>
          <w:sz w:val="16"/>
        </w:rPr>
        <w:t xml:space="preserve"> from the ITC.129 </w:t>
      </w:r>
      <w:r w:rsidRPr="004F2678">
        <w:rPr>
          <w:rStyle w:val="StyleUnderline"/>
        </w:rPr>
        <w:t xml:space="preserve">Incorporating the President’s point of view adds another dimension to ITC patent decisions that sets them apart from district court decisions. Thus, the ITC </w:t>
      </w:r>
      <w:r w:rsidRPr="004F2678">
        <w:rPr>
          <w:rStyle w:val="StyleUnderline"/>
          <w:highlight w:val="cyan"/>
        </w:rPr>
        <w:t>adds</w:t>
      </w:r>
      <w:r w:rsidRPr="004F2678">
        <w:rPr>
          <w:rStyle w:val="StyleUnderline"/>
        </w:rPr>
        <w:t xml:space="preserve"> </w:t>
      </w:r>
      <w:r w:rsidRPr="004F2678">
        <w:rPr>
          <w:rStyle w:val="Emphasis"/>
        </w:rPr>
        <w:t>diversity</w:t>
      </w:r>
      <w:r w:rsidRPr="004F2678">
        <w:rPr>
          <w:sz w:val="16"/>
        </w:rPr>
        <w:t xml:space="preserve"> </w:t>
      </w:r>
      <w:r w:rsidRPr="004F2678">
        <w:rPr>
          <w:rStyle w:val="StyleUnderline"/>
        </w:rPr>
        <w:t>and</w:t>
      </w:r>
      <w:r w:rsidRPr="004F2678">
        <w:rPr>
          <w:sz w:val="16"/>
        </w:rPr>
        <w:t xml:space="preserve"> </w:t>
      </w:r>
      <w:r w:rsidRPr="004F2678">
        <w:rPr>
          <w:rStyle w:val="Emphasis"/>
          <w:highlight w:val="cyan"/>
        </w:rPr>
        <w:t>important public interest considerations</w:t>
      </w:r>
      <w:r w:rsidRPr="004F2678">
        <w:rPr>
          <w:sz w:val="16"/>
        </w:rPr>
        <w:t xml:space="preserve"> to the body of patent law doctrine that informs the Federal Circuit and Supreme Court.</w:t>
      </w:r>
    </w:p>
    <w:p w14:paraId="55616FC8" w14:textId="77777777" w:rsidR="008F709D" w:rsidRPr="004F2678" w:rsidRDefault="008F709D" w:rsidP="008F709D">
      <w:pPr>
        <w:rPr>
          <w:sz w:val="12"/>
        </w:rPr>
      </w:pPr>
      <w:r w:rsidRPr="004F2678">
        <w:rPr>
          <w:sz w:val="12"/>
        </w:rPr>
        <w:t>C. Flexibility of the ITC</w:t>
      </w:r>
    </w:p>
    <w:p w14:paraId="160A3B3A" w14:textId="77777777" w:rsidR="008F709D" w:rsidRPr="004F2678" w:rsidRDefault="008F709D" w:rsidP="008F709D">
      <w:pPr>
        <w:rPr>
          <w:u w:val="single"/>
        </w:rPr>
      </w:pPr>
      <w:r w:rsidRPr="004F2678">
        <w:t>The ITC and its processes have been substantively amended since the ITC’s inception. W</w:t>
      </w:r>
      <w:r w:rsidRPr="004F2678">
        <w:rPr>
          <w:u w:val="single"/>
        </w:rPr>
        <w:t xml:space="preserve">ith each change, the ITC has become better suited to </w:t>
      </w:r>
      <w:r w:rsidRPr="004F2678">
        <w:rPr>
          <w:b/>
          <w:bCs/>
          <w:u w:val="single"/>
        </w:rPr>
        <w:t>address patent issues</w:t>
      </w:r>
      <w:r w:rsidRPr="004F2678">
        <w:rPr>
          <w:u w:val="single"/>
        </w:rPr>
        <w:t>. The flexibility of the ITC contributes to its important presence in the patent law landscape.</w:t>
      </w:r>
    </w:p>
    <w:p w14:paraId="218EE54E" w14:textId="77777777" w:rsidR="008F709D" w:rsidRPr="004F2678" w:rsidRDefault="008F709D" w:rsidP="008F709D">
      <w:pPr>
        <w:rPr>
          <w:sz w:val="12"/>
        </w:rPr>
      </w:pPr>
      <w:r w:rsidRPr="004F2678">
        <w:rPr>
          <w:sz w:val="12"/>
        </w:rPr>
        <w:t>Prior to the 1980’s, a patent holder had to show both infringement and economic injury to a domestic industry in order to qualify for a Section 337 investigation.130 This meant universities and small companies were excluded from ITC proceedings because they did not engage in manufacturing.131 In response, Congress passed the 1988 Omnibus Trade and Competitiveness Act that relaxed the domestic industry and injury requirements.132 Section 337 was amended to no longer require injury and to consider licensing as a form of industry.133</w:t>
      </w:r>
    </w:p>
    <w:p w14:paraId="01FFB4E3" w14:textId="77777777" w:rsidR="008F709D" w:rsidRPr="004F2678" w:rsidRDefault="008F709D" w:rsidP="008F709D">
      <w:pPr>
        <w:rPr>
          <w:sz w:val="12"/>
        </w:rPr>
      </w:pPr>
      <w:r w:rsidRPr="004F2678">
        <w:rPr>
          <w:sz w:val="12"/>
        </w:rPr>
        <w:t>In response to a General Agreement on Tariffs and Trade (GATT) ruling that found Section 337 to violate international law, Congress changed Section 337 to loosen time limits, allow counterclaims, allow stays of district court litigation, and increase requirements for general exclusion orders in 1994.134 This allowed the ITC to provide general exclusion orders when warranted while easing GATT concerns over the differences between district court and ITC remedies.135</w:t>
      </w:r>
    </w:p>
    <w:p w14:paraId="49CB09E2" w14:textId="77777777" w:rsidR="008F709D" w:rsidRPr="004F2678" w:rsidRDefault="008F709D" w:rsidP="008F709D">
      <w:pPr>
        <w:rPr>
          <w:sz w:val="12"/>
        </w:rPr>
      </w:pPr>
      <w:r w:rsidRPr="004F2678">
        <w:rPr>
          <w:sz w:val="12"/>
        </w:rPr>
        <w:t>The eBay injunction standard addressed the problem of patent assertion entity or patent troll claims in district courts.136 However, applying eBay to the ITC would make the ITC redundant and leave it unable to appropriately address unfair trade practices.137 Instead, the ITC used a “more trade forum-appropriate lever.”138 In 2014, the ITC tightened its domestic industry standards, which reduced the number of patent assertion entities filing Section 337 cases.139 The Commission reversed decades of practice, ruling that to fulfill the domestic industry requirement based on licensing, a complainant must produce an article that practices the asserted patent.140 Further, the Commission held that to fulfill the domestic industry requirement based on research and development activities, a complainant must prove that there is a nexus between the U.S. based research and development and the asserted patent.141 In response, patent assertion entities started to work around the new domestic industry standards: they would sue a company, settle, provide a license to the company, and then subpoena the company to provide documentation in the Section 337 proceeding to show the patent assertion entity satisfies the domestic industry requirement. In response, Congress has introduced the “Trade Protection, Not Troll Protection” bill.142 The bill tightens the domestic industry requirement again such that any licensing must lead to a product; licensing that happens after a product already exists is not sufficient.143 In addition, any licensees who provide proof of domestic industry must join the ITC case voluntarily, preventing the “domestic industry by subpoena” problem.144 In sum, the ITC has proven through its history that it has the ability to adapt to an evolving patent landscape.</w:t>
      </w:r>
    </w:p>
    <w:p w14:paraId="0D46FD65" w14:textId="77777777" w:rsidR="008F709D" w:rsidRPr="004F2678" w:rsidRDefault="008F709D" w:rsidP="008F709D">
      <w:pPr>
        <w:rPr>
          <w:sz w:val="12"/>
        </w:rPr>
      </w:pPr>
      <w:r w:rsidRPr="004F2678">
        <w:rPr>
          <w:sz w:val="12"/>
        </w:rPr>
        <w:t xml:space="preserve">CONCLUSION </w:t>
      </w:r>
    </w:p>
    <w:p w14:paraId="7773D172" w14:textId="77777777" w:rsidR="008F709D" w:rsidRPr="004F2678" w:rsidRDefault="008F709D" w:rsidP="008F709D">
      <w:pPr>
        <w:rPr>
          <w:sz w:val="12"/>
        </w:rPr>
      </w:pPr>
      <w:r w:rsidRPr="004F2678">
        <w:rPr>
          <w:u w:val="single"/>
        </w:rPr>
        <w:t xml:space="preserve">Critics overlook the pro-utilitarian aspects of the </w:t>
      </w:r>
      <w:r w:rsidRPr="004F2678">
        <w:rPr>
          <w:highlight w:val="cyan"/>
          <w:u w:val="single"/>
        </w:rPr>
        <w:t xml:space="preserve">ITC as a </w:t>
      </w:r>
      <w:r w:rsidRPr="004F2678">
        <w:rPr>
          <w:b/>
          <w:bCs/>
          <w:u w:val="single"/>
        </w:rPr>
        <w:t xml:space="preserve">patent </w:t>
      </w:r>
      <w:r w:rsidRPr="004F2678">
        <w:rPr>
          <w:b/>
          <w:bCs/>
          <w:highlight w:val="cyan"/>
          <w:u w:val="single"/>
        </w:rPr>
        <w:t>litigation venue</w:t>
      </w:r>
      <w:r w:rsidRPr="004F2678">
        <w:rPr>
          <w:u w:val="single"/>
        </w:rPr>
        <w:t xml:space="preserve">. The jurisdiction, lack of jury, fast proceedings, and remedies provided by the Commission </w:t>
      </w:r>
      <w:r w:rsidRPr="004F2678">
        <w:rPr>
          <w:highlight w:val="cyan"/>
          <w:u w:val="single"/>
        </w:rPr>
        <w:t xml:space="preserve">protect </w:t>
      </w:r>
      <w:r w:rsidRPr="004F2678">
        <w:rPr>
          <w:b/>
          <w:bCs/>
          <w:highlight w:val="cyan"/>
          <w:u w:val="single"/>
        </w:rPr>
        <w:t>incentives for innovation</w:t>
      </w:r>
      <w:r w:rsidRPr="004F2678">
        <w:t xml:space="preserve">. </w:t>
      </w:r>
      <w:r w:rsidRPr="004F2678">
        <w:rPr>
          <w:sz w:val="12"/>
        </w:rPr>
        <w:t>In addition, the ITC provides important patent-specialized and trade-focused viewpoints that add to the development of substantive patent law doctrine. Overall, the procedural and substantive advantages of the Commission establish it as an important player in U.S. patent law. As long as it continues to be flexible and react appropriately to changes in patent law, the ITC is here to stay.</w:t>
      </w:r>
    </w:p>
    <w:p w14:paraId="313706BD" w14:textId="77777777" w:rsidR="008F709D" w:rsidRPr="004F2678" w:rsidRDefault="008F709D" w:rsidP="008F709D">
      <w:pPr>
        <w:pStyle w:val="Heading4"/>
        <w:rPr>
          <w:rFonts w:cs="Calibri"/>
        </w:rPr>
      </w:pPr>
      <w:r w:rsidRPr="004F2678">
        <w:rPr>
          <w:rFonts w:cs="Calibri"/>
        </w:rPr>
        <w:t>Trade wars go nuclear.</w:t>
      </w:r>
    </w:p>
    <w:p w14:paraId="270A51F6" w14:textId="77777777" w:rsidR="008F709D" w:rsidRPr="004F2678" w:rsidRDefault="008F709D" w:rsidP="008F709D">
      <w:r w:rsidRPr="004F2678">
        <w:rPr>
          <w:rStyle w:val="Style13ptBold"/>
        </w:rPr>
        <w:t>Hillman 18</w:t>
      </w:r>
      <w:r w:rsidRPr="004F2678">
        <w:t xml:space="preserve"> Jonathan E. Hillman 18 [a fellow with the Simon Chair in Political Economy at the Center for Strategic and International Studies in Washington, D.C., and a former policy adviser to the U.S. trade representative.] 3-20-2018, "Trade Wars and Real Wars," CSIS (Center for Strategic and International Studies), https://www.csis.org/analysis/trade-wars-and-real-wars//susu</w:t>
      </w:r>
    </w:p>
    <w:p w14:paraId="51F700EA" w14:textId="77777777" w:rsidR="008F709D" w:rsidRPr="004F2678" w:rsidRDefault="008F709D" w:rsidP="008F709D">
      <w:pPr>
        <w:rPr>
          <w:sz w:val="14"/>
        </w:rPr>
      </w:pPr>
      <w:r w:rsidRPr="004F2678">
        <w:rPr>
          <w:sz w:val="14"/>
        </w:rPr>
        <w:t xml:space="preserve">The world is rudely awakening to the dangers of President Donald Trump’s tariffs. Markets are correcting. Countries and industries are scrambling for exemptions. Economists now see greater downside than upside to growth projections for the U.S. economy this year. But the </w:t>
      </w:r>
      <w:r w:rsidRPr="004F2678">
        <w:rPr>
          <w:rStyle w:val="Emphasis"/>
        </w:rPr>
        <w:t>hazards</w:t>
      </w:r>
      <w:r w:rsidRPr="004F2678">
        <w:rPr>
          <w:rStyle w:val="StyleUnderline"/>
        </w:rPr>
        <w:t xml:space="preserve"> could be even </w:t>
      </w:r>
      <w:r w:rsidRPr="004F2678">
        <w:rPr>
          <w:rStyle w:val="Emphasis"/>
        </w:rPr>
        <w:t xml:space="preserve">greater than anyone wants to admit. </w:t>
      </w:r>
      <w:r w:rsidRPr="004F2678">
        <w:rPr>
          <w:rStyle w:val="StyleUnderline"/>
          <w:highlight w:val="cyan"/>
        </w:rPr>
        <w:t>As protectionist sentiment rises, so does</w:t>
      </w:r>
      <w:r w:rsidRPr="004F2678">
        <w:rPr>
          <w:rStyle w:val="StyleUnderline"/>
        </w:rPr>
        <w:t xml:space="preserve"> the risk of </w:t>
      </w:r>
      <w:r w:rsidRPr="004F2678">
        <w:rPr>
          <w:rStyle w:val="Emphasis"/>
          <w:highlight w:val="cyan"/>
        </w:rPr>
        <w:t>war</w:t>
      </w:r>
      <w:r w:rsidRPr="004F2678">
        <w:rPr>
          <w:rStyle w:val="Emphasis"/>
        </w:rPr>
        <w:t xml:space="preserve">. </w:t>
      </w:r>
      <w:r w:rsidRPr="004F2678">
        <w:rPr>
          <w:rStyle w:val="StyleUnderline"/>
          <w:highlight w:val="cyan"/>
        </w:rPr>
        <w:t>The link</w:t>
      </w:r>
      <w:r w:rsidRPr="004F2678">
        <w:rPr>
          <w:rStyle w:val="StyleUnderline"/>
        </w:rPr>
        <w:t xml:space="preserve"> between international commerce and peace has been apparent for so long that it </w:t>
      </w:r>
      <w:r w:rsidRPr="004F2678">
        <w:rPr>
          <w:rStyle w:val="StyleUnderline"/>
          <w:highlight w:val="cyan"/>
        </w:rPr>
        <w:t xml:space="preserve">is </w:t>
      </w:r>
      <w:r w:rsidRPr="004F2678">
        <w:rPr>
          <w:rStyle w:val="StyleUnderline"/>
        </w:rPr>
        <w:t>sometimes</w:t>
      </w:r>
      <w:r w:rsidRPr="004F2678">
        <w:rPr>
          <w:rStyle w:val="StyleUnderline"/>
          <w:highlight w:val="cyan"/>
        </w:rPr>
        <w:t xml:space="preserve"> </w:t>
      </w:r>
      <w:r w:rsidRPr="004F2678">
        <w:rPr>
          <w:rStyle w:val="Emphasis"/>
          <w:highlight w:val="cyan"/>
        </w:rPr>
        <w:t>taken for granted</w:t>
      </w:r>
      <w:r w:rsidRPr="004F2678">
        <w:rPr>
          <w:sz w:val="14"/>
        </w:rPr>
        <w:t>. As the German philosopher Immanuel Kant wrote in his 1795 essay, Perpetual Peace, “</w:t>
      </w:r>
      <w:r w:rsidRPr="004F2678">
        <w:rPr>
          <w:rStyle w:val="StyleUnderline"/>
        </w:rPr>
        <w:t>The spirit of trade cannot coexist with war</w:t>
      </w:r>
      <w:r w:rsidRPr="004F2678">
        <w:rPr>
          <w:sz w:val="14"/>
        </w:rPr>
        <w:t xml:space="preserve">, and sooner or later this spirit dominates every people.” That sounds like wide-eyed optimism, but </w:t>
      </w:r>
      <w:r w:rsidRPr="004F2678">
        <w:rPr>
          <w:rStyle w:val="StyleUnderline"/>
        </w:rPr>
        <w:t>the underlying logic is narrow self-interest</w:t>
      </w:r>
      <w:r w:rsidRPr="004F2678">
        <w:rPr>
          <w:sz w:val="14"/>
        </w:rPr>
        <w:t xml:space="preserve">. Nations are reluctant to jeopardize benefits from international commerce, especially when their leaders are bullish about future gains. </w:t>
      </w:r>
      <w:r w:rsidRPr="004F2678">
        <w:rPr>
          <w:rStyle w:val="StyleUnderline"/>
        </w:rPr>
        <w:t>Greater trade and investment cannot guarantee peace, but</w:t>
      </w:r>
      <w:r w:rsidRPr="004F2678">
        <w:rPr>
          <w:rStyle w:val="Emphasis"/>
        </w:rPr>
        <w:t xml:space="preserve"> it raises the cost of going to war. </w:t>
      </w:r>
      <w:r w:rsidRPr="004F2678">
        <w:rPr>
          <w:rStyle w:val="StyleUnderline"/>
        </w:rPr>
        <w:t>World War I appeared to toss that idea out</w:t>
      </w:r>
      <w:r w:rsidRPr="004F2678">
        <w:rPr>
          <w:sz w:val="14"/>
        </w:rPr>
        <w:t xml:space="preserve"> and set history’s dustbin ablaze. Prior to the war, globalization was racing along. Between 1870 and 1914, trade rose to 8.2 percent of global gross domestic product. “</w:t>
      </w:r>
      <w:r w:rsidRPr="004F2678">
        <w:rPr>
          <w:rStyle w:val="StyleUnderline"/>
        </w:rPr>
        <w:t xml:space="preserve">The </w:t>
      </w:r>
      <w:r w:rsidRPr="004F2678">
        <w:rPr>
          <w:rStyle w:val="StyleUnderline"/>
          <w:highlight w:val="cyan"/>
        </w:rPr>
        <w:t>complexity of modern finance makes New York dependent on London</w:t>
      </w:r>
      <w:r w:rsidRPr="004F2678">
        <w:rPr>
          <w:rStyle w:val="StyleUnderline"/>
        </w:rPr>
        <w:t xml:space="preserve">, London </w:t>
      </w:r>
      <w:r w:rsidRPr="004F2678">
        <w:rPr>
          <w:rStyle w:val="StyleUnderline"/>
          <w:highlight w:val="cyan"/>
        </w:rPr>
        <w:t>upon Paris</w:t>
      </w:r>
      <w:r w:rsidRPr="004F2678">
        <w:rPr>
          <w:rStyle w:val="StyleUnderline"/>
        </w:rPr>
        <w:t xml:space="preserve">, Paris </w:t>
      </w:r>
      <w:r w:rsidRPr="004F2678">
        <w:rPr>
          <w:rStyle w:val="StyleUnderline"/>
          <w:highlight w:val="cyan"/>
        </w:rPr>
        <w:t>upon Berlin</w:t>
      </w:r>
      <w:r w:rsidRPr="004F2678">
        <w:rPr>
          <w:rStyle w:val="StyleUnderline"/>
        </w:rPr>
        <w:t>, to a greater degree than has ever yet been the case in history,”</w:t>
      </w:r>
      <w:r w:rsidRPr="004F2678">
        <w:rPr>
          <w:sz w:val="14"/>
        </w:rPr>
        <w:t xml:space="preserve"> Norman Angell wrote in The Great Illusion, his 1910 opus that declared war obsolete. But </w:t>
      </w:r>
      <w:r w:rsidRPr="004F2678">
        <w:rPr>
          <w:rStyle w:val="Emphasis"/>
          <w:highlight w:val="cyan"/>
        </w:rPr>
        <w:t>Germany’s aggression proves</w:t>
      </w:r>
      <w:r w:rsidRPr="004F2678">
        <w:rPr>
          <w:rStyle w:val="Emphasis"/>
        </w:rPr>
        <w:t xml:space="preserve"> the point</w:t>
      </w:r>
      <w:r w:rsidRPr="004F2678">
        <w:rPr>
          <w:sz w:val="14"/>
        </w:rPr>
        <w:t xml:space="preserve">. </w:t>
      </w:r>
      <w:r w:rsidRPr="004F2678">
        <w:rPr>
          <w:rStyle w:val="StyleUnderline"/>
        </w:rPr>
        <w:t>German leaders believed the economic environment was turning against them</w:t>
      </w:r>
      <w:r w:rsidRPr="004F2678">
        <w:rPr>
          <w:sz w:val="14"/>
        </w:rPr>
        <w:t xml:space="preserve">, as the political scientist Dale Copeland has shown. </w:t>
      </w:r>
      <w:r w:rsidRPr="004F2678">
        <w:rPr>
          <w:rStyle w:val="StyleUnderline"/>
        </w:rPr>
        <w:t>With protectionist policies ascendant</w:t>
      </w:r>
      <w:r w:rsidRPr="004F2678">
        <w:rPr>
          <w:sz w:val="14"/>
        </w:rPr>
        <w:t>—in Britain and its colonies and in the United States, France, and Russia—</w:t>
      </w:r>
      <w:r w:rsidRPr="004F2678">
        <w:rPr>
          <w:rStyle w:val="StyleUnderline"/>
          <w:highlight w:val="cyan"/>
        </w:rPr>
        <w:t>Germany feared being squeezed out of global markets</w:t>
      </w:r>
      <w:r w:rsidRPr="004F2678">
        <w:rPr>
          <w:sz w:val="14"/>
        </w:rPr>
        <w:t xml:space="preserve">. </w:t>
      </w:r>
      <w:r w:rsidRPr="004F2678">
        <w:rPr>
          <w:rStyle w:val="StyleUnderline"/>
        </w:rPr>
        <w:t>These</w:t>
      </w:r>
      <w:r w:rsidRPr="004F2678">
        <w:rPr>
          <w:sz w:val="14"/>
        </w:rPr>
        <w:t xml:space="preserve"> </w:t>
      </w:r>
      <w:r w:rsidRPr="004F2678">
        <w:rPr>
          <w:rStyle w:val="Emphasis"/>
          <w:highlight w:val="cyan"/>
        </w:rPr>
        <w:t>falling</w:t>
      </w:r>
      <w:r w:rsidRPr="004F2678">
        <w:rPr>
          <w:sz w:val="14"/>
        </w:rPr>
        <w:t xml:space="preserve"> trade </w:t>
      </w:r>
      <w:r w:rsidRPr="004F2678">
        <w:rPr>
          <w:rStyle w:val="Emphasis"/>
          <w:highlight w:val="cyan"/>
        </w:rPr>
        <w:t>expectations made war</w:t>
      </w:r>
      <w:r w:rsidRPr="004F2678">
        <w:rPr>
          <w:rStyle w:val="Emphasis"/>
        </w:rPr>
        <w:t xml:space="preserve"> a </w:t>
      </w:r>
      <w:r w:rsidRPr="004F2678">
        <w:rPr>
          <w:rStyle w:val="Emphasis"/>
          <w:highlight w:val="cyan"/>
        </w:rPr>
        <w:t>more attractive</w:t>
      </w:r>
      <w:r w:rsidRPr="004F2678">
        <w:rPr>
          <w:rStyle w:val="Emphasis"/>
        </w:rPr>
        <w:t xml:space="preserve"> avenue</w:t>
      </w:r>
      <w:r w:rsidRPr="004F2678">
        <w:rPr>
          <w:sz w:val="14"/>
        </w:rPr>
        <w:t xml:space="preserve"> for revising the status quo. As Trump weighs additional protectionist measures, </w:t>
      </w:r>
      <w:r w:rsidRPr="004F2678">
        <w:rPr>
          <w:rStyle w:val="Emphasis"/>
          <w:highlight w:val="cyan"/>
        </w:rPr>
        <w:t>a similar gap is emerging</w:t>
      </w:r>
      <w:r w:rsidRPr="004F2678">
        <w:rPr>
          <w:sz w:val="14"/>
        </w:rPr>
        <w:t xml:space="preserve"> between assumptions about globalization and expectations about trade. Norman Angell might feel at home today in Silicon Valley or on Wall Street, where the prevailing assumption is that the world will only become more connected. But historically, globalization has been a roller coaster rather than a smooth sail. </w:t>
      </w:r>
      <w:r w:rsidRPr="004F2678">
        <w:rPr>
          <w:rStyle w:val="StyleUnderline"/>
        </w:rPr>
        <w:t xml:space="preserve">After World War I, it took more than six decades for global trade and investment flows to recover. Proponents of global connectivity would be wise to speak up sooner rather than later. </w:t>
      </w:r>
      <w:r w:rsidRPr="004F2678">
        <w:rPr>
          <w:sz w:val="14"/>
        </w:rPr>
        <w:t xml:space="preserve">Equally troubling is that trade and investment expectations are starting to sour. Thirty percent of fund managers say </w:t>
      </w:r>
      <w:r w:rsidRPr="004F2678">
        <w:rPr>
          <w:rStyle w:val="StyleUnderline"/>
          <w:highlight w:val="cyan"/>
        </w:rPr>
        <w:t>a trade war poses the greatest risk to markets</w:t>
      </w:r>
      <w:r w:rsidRPr="004F2678">
        <w:rPr>
          <w:sz w:val="14"/>
        </w:rPr>
        <w:t xml:space="preserve">. A majority of American voters believe a trade war is likely. Sovereign investors are cutting their exposure to U.S. assets. Competitors and partners alike warn against Trump’s tariffs. Gone are any illusions that the president will not follow through on the spirit of his protectionist promises. These are early and minor bumps in what could be a long and much more dramatic ride. </w:t>
      </w:r>
      <w:r w:rsidRPr="004F2678">
        <w:rPr>
          <w:rStyle w:val="StyleUnderline"/>
        </w:rPr>
        <w:t xml:space="preserve">Tit-for-tat trade </w:t>
      </w:r>
      <w:r w:rsidRPr="004F2678">
        <w:rPr>
          <w:rStyle w:val="StyleUnderline"/>
          <w:highlight w:val="cyan"/>
        </w:rPr>
        <w:t>actions could</w:t>
      </w:r>
      <w:r w:rsidRPr="004F2678">
        <w:rPr>
          <w:rStyle w:val="StyleUnderline"/>
        </w:rPr>
        <w:t xml:space="preserve"> </w:t>
      </w:r>
      <w:r w:rsidRPr="004F2678">
        <w:rPr>
          <w:rStyle w:val="StyleUnderline"/>
          <w:highlight w:val="cyan"/>
        </w:rPr>
        <w:t xml:space="preserve">spiral </w:t>
      </w:r>
      <w:r w:rsidRPr="004F2678">
        <w:rPr>
          <w:rStyle w:val="StyleUnderline"/>
        </w:rPr>
        <w:t xml:space="preserve">out of the economic realm and </w:t>
      </w:r>
      <w:r w:rsidRPr="004F2678">
        <w:rPr>
          <w:rStyle w:val="StyleUnderline"/>
          <w:highlight w:val="cyan"/>
        </w:rPr>
        <w:t xml:space="preserve">into </w:t>
      </w:r>
      <w:r w:rsidRPr="004F2678">
        <w:rPr>
          <w:rStyle w:val="Emphasis"/>
          <w:highlight w:val="cyan"/>
        </w:rPr>
        <w:t>military confrontation</w:t>
      </w:r>
      <w:r w:rsidRPr="004F2678">
        <w:rPr>
          <w:sz w:val="14"/>
        </w:rPr>
        <w:t xml:space="preserve">. But </w:t>
      </w:r>
      <w:r w:rsidRPr="004F2678">
        <w:rPr>
          <w:rStyle w:val="StyleUnderline"/>
        </w:rPr>
        <w:t>the greater danger could be less direct and more insidious</w:t>
      </w:r>
      <w:r w:rsidRPr="004F2678">
        <w:rPr>
          <w:sz w:val="14"/>
        </w:rPr>
        <w:t xml:space="preserve">: </w:t>
      </w:r>
      <w:r w:rsidRPr="004F2678">
        <w:rPr>
          <w:rStyle w:val="StyleUnderline"/>
        </w:rPr>
        <w:t xml:space="preserve">a general </w:t>
      </w:r>
      <w:r w:rsidRPr="004F2678">
        <w:rPr>
          <w:rStyle w:val="StyleUnderline"/>
          <w:highlight w:val="cyan"/>
        </w:rPr>
        <w:t xml:space="preserve">weakening </w:t>
      </w:r>
      <w:r w:rsidRPr="004F2678">
        <w:rPr>
          <w:rStyle w:val="StyleUnderline"/>
        </w:rPr>
        <w:t xml:space="preserve">of </w:t>
      </w:r>
      <w:r w:rsidRPr="004F2678">
        <w:rPr>
          <w:rStyle w:val="StyleUnderline"/>
          <w:highlight w:val="cyan"/>
        </w:rPr>
        <w:t>economic incentives</w:t>
      </w:r>
      <w:r w:rsidRPr="004F2678">
        <w:rPr>
          <w:rStyle w:val="StyleUnderline"/>
        </w:rPr>
        <w:t xml:space="preserve"> for keeping the peace among major powers</w:t>
      </w:r>
      <w:r w:rsidRPr="004F2678">
        <w:rPr>
          <w:rStyle w:val="Emphasis"/>
        </w:rPr>
        <w:t>.</w:t>
      </w:r>
      <w:r w:rsidRPr="004F2678">
        <w:rPr>
          <w:sz w:val="14"/>
        </w:rPr>
        <w:t xml:space="preserve"> That </w:t>
      </w:r>
      <w:r w:rsidRPr="004F2678">
        <w:rPr>
          <w:rStyle w:val="Emphasis"/>
          <w:highlight w:val="cyan"/>
        </w:rPr>
        <w:t>raises the risk</w:t>
      </w:r>
      <w:r w:rsidRPr="004F2678">
        <w:rPr>
          <w:rStyle w:val="StyleUnderline"/>
        </w:rPr>
        <w:t xml:space="preserve"> that </w:t>
      </w:r>
      <w:r w:rsidRPr="004F2678">
        <w:rPr>
          <w:rStyle w:val="Emphasis"/>
          <w:highlight w:val="cyan"/>
        </w:rPr>
        <w:t>miscalc</w:t>
      </w:r>
      <w:r w:rsidRPr="004F2678">
        <w:rPr>
          <w:rStyle w:val="StyleUnderline"/>
        </w:rPr>
        <w:t xml:space="preserve">ulation </w:t>
      </w:r>
      <w:r w:rsidRPr="004F2678">
        <w:rPr>
          <w:rStyle w:val="StyleUnderline"/>
          <w:highlight w:val="cyan"/>
        </w:rPr>
        <w:t>leads to escalation</w:t>
      </w:r>
      <w:r w:rsidRPr="004F2678">
        <w:rPr>
          <w:rStyle w:val="StyleUnderline"/>
        </w:rPr>
        <w:t>—</w:t>
      </w:r>
      <w:r w:rsidRPr="004F2678">
        <w:rPr>
          <w:rStyle w:val="StyleUnderline"/>
          <w:highlight w:val="cyan"/>
        </w:rPr>
        <w:t>in the</w:t>
      </w:r>
      <w:r w:rsidRPr="004F2678">
        <w:rPr>
          <w:rStyle w:val="StyleUnderline"/>
        </w:rPr>
        <w:t xml:space="preserve"> </w:t>
      </w:r>
      <w:r w:rsidRPr="004F2678">
        <w:rPr>
          <w:rStyle w:val="Emphasis"/>
          <w:highlight w:val="cyan"/>
        </w:rPr>
        <w:t>S</w:t>
      </w:r>
      <w:r w:rsidRPr="004F2678">
        <w:rPr>
          <w:rStyle w:val="StyleUnderline"/>
        </w:rPr>
        <w:t xml:space="preserve">outh </w:t>
      </w:r>
      <w:r w:rsidRPr="004F2678">
        <w:rPr>
          <w:rStyle w:val="Emphasis"/>
          <w:highlight w:val="cyan"/>
        </w:rPr>
        <w:t>C</w:t>
      </w:r>
      <w:r w:rsidRPr="004F2678">
        <w:rPr>
          <w:rStyle w:val="StyleUnderline"/>
        </w:rPr>
        <w:t xml:space="preserve">hina </w:t>
      </w:r>
      <w:r w:rsidRPr="004F2678">
        <w:rPr>
          <w:rStyle w:val="Emphasis"/>
          <w:highlight w:val="cyan"/>
        </w:rPr>
        <w:t>S</w:t>
      </w:r>
      <w:r w:rsidRPr="004F2678">
        <w:rPr>
          <w:rStyle w:val="StyleUnderline"/>
        </w:rPr>
        <w:t xml:space="preserve">ea, the </w:t>
      </w:r>
      <w:r w:rsidRPr="004F2678">
        <w:rPr>
          <w:rStyle w:val="Emphasis"/>
          <w:highlight w:val="cyan"/>
        </w:rPr>
        <w:t>Korea</w:t>
      </w:r>
      <w:r w:rsidRPr="004F2678">
        <w:rPr>
          <w:rStyle w:val="Emphasis"/>
        </w:rPr>
        <w:t>n peninsula</w:t>
      </w:r>
      <w:r w:rsidRPr="004F2678">
        <w:rPr>
          <w:rStyle w:val="StyleUnderline"/>
          <w:highlight w:val="cyan"/>
        </w:rPr>
        <w:t xml:space="preserve">, or </w:t>
      </w:r>
      <w:r w:rsidRPr="004F2678">
        <w:rPr>
          <w:rStyle w:val="Emphasis"/>
          <w:highlight w:val="cyan"/>
        </w:rPr>
        <w:t>elsewhere</w:t>
      </w:r>
      <w:r w:rsidRPr="004F2678">
        <w:rPr>
          <w:sz w:val="14"/>
        </w:rPr>
        <w:t xml:space="preserve">. It is impossible to say whether conflict will ignite, let alone when and how. But </w:t>
      </w:r>
      <w:r w:rsidRPr="004F2678">
        <w:rPr>
          <w:rStyle w:val="StyleUnderline"/>
        </w:rPr>
        <w:t>it is easy to see how rising protectionism</w:t>
      </w:r>
      <w:r w:rsidRPr="004F2678">
        <w:rPr>
          <w:sz w:val="14"/>
        </w:rPr>
        <w:t xml:space="preserve">, </w:t>
      </w:r>
      <w:r w:rsidRPr="004F2678">
        <w:rPr>
          <w:rStyle w:val="StyleUnderline"/>
        </w:rPr>
        <w:t>actual and expected</w:t>
      </w:r>
      <w:r w:rsidRPr="004F2678">
        <w:rPr>
          <w:sz w:val="14"/>
        </w:rPr>
        <w:t xml:space="preserve">, can </w:t>
      </w:r>
      <w:r w:rsidRPr="004F2678">
        <w:rPr>
          <w:rStyle w:val="StyleUnderline"/>
        </w:rPr>
        <w:t>poison international relations</w:t>
      </w:r>
      <w:r w:rsidRPr="004F2678">
        <w:rPr>
          <w:sz w:val="14"/>
        </w:rPr>
        <w:t>. Any honest reckoning of Trump’s trade policies must take these risks into account.</w:t>
      </w:r>
    </w:p>
    <w:p w14:paraId="64C86492" w14:textId="77777777" w:rsidR="008F709D" w:rsidRPr="008F709D" w:rsidRDefault="008F709D" w:rsidP="008F709D"/>
    <w:p w14:paraId="1A7E9DC2" w14:textId="237A16BA" w:rsidR="00EC2BC2" w:rsidRDefault="00EC2BC2" w:rsidP="00EC2BC2">
      <w:pPr>
        <w:pStyle w:val="Heading1"/>
      </w:pPr>
      <w:r>
        <w:t>2NC</w:t>
      </w:r>
    </w:p>
    <w:p w14:paraId="5BACCCCF" w14:textId="4EE6AEC2" w:rsidR="00A850A1" w:rsidRDefault="00A850A1" w:rsidP="00EC2BC2">
      <w:pPr>
        <w:pStyle w:val="Heading2"/>
      </w:pPr>
      <w:r>
        <w:t>Net Benefit</w:t>
      </w:r>
    </w:p>
    <w:p w14:paraId="0D7CACC0" w14:textId="3AF6BF7B" w:rsidR="00A850A1" w:rsidRPr="00A850A1" w:rsidRDefault="00773EB8" w:rsidP="00A850A1">
      <w:pPr>
        <w:pStyle w:val="Heading3"/>
      </w:pPr>
      <w:r>
        <w:t>NB</w:t>
      </w:r>
      <w:r w:rsidR="00A850A1">
        <w:t>---Biodiversity</w:t>
      </w:r>
      <w:r w:rsidR="00703997">
        <w:t>---2NC</w:t>
      </w:r>
    </w:p>
    <w:p w14:paraId="10FB7421" w14:textId="77777777" w:rsidR="00A850A1" w:rsidRPr="004F2678" w:rsidRDefault="00A850A1" w:rsidP="00A850A1">
      <w:pPr>
        <w:pStyle w:val="Heading4"/>
        <w:rPr>
          <w:rFonts w:cs="Calibri"/>
        </w:rPr>
      </w:pPr>
      <w:r w:rsidRPr="004F2678">
        <w:rPr>
          <w:rFonts w:cs="Calibri"/>
        </w:rPr>
        <w:t xml:space="preserve">ITC is key to </w:t>
      </w:r>
      <w:r w:rsidRPr="004F2678">
        <w:rPr>
          <w:rFonts w:cs="Calibri"/>
          <w:u w:val="single"/>
        </w:rPr>
        <w:t>environmental law</w:t>
      </w:r>
      <w:r w:rsidRPr="004F2678">
        <w:rPr>
          <w:rFonts w:cs="Calibri"/>
        </w:rPr>
        <w:t xml:space="preserve"> compliance, </w:t>
      </w:r>
      <w:r w:rsidRPr="004F2678">
        <w:rPr>
          <w:rFonts w:cs="Calibri"/>
          <w:u w:val="single"/>
        </w:rPr>
        <w:t>timber</w:t>
      </w:r>
      <w:r w:rsidRPr="004F2678">
        <w:rPr>
          <w:rFonts w:cs="Calibri"/>
        </w:rPr>
        <w:t xml:space="preserve"> regs, </w:t>
      </w:r>
      <w:r w:rsidRPr="004F2678">
        <w:rPr>
          <w:rFonts w:cs="Calibri"/>
          <w:u w:val="single"/>
        </w:rPr>
        <w:t>wildlife</w:t>
      </w:r>
      <w:r w:rsidRPr="004F2678">
        <w:rPr>
          <w:rFonts w:cs="Calibri"/>
        </w:rPr>
        <w:t xml:space="preserve"> trafficking, and </w:t>
      </w:r>
      <w:r w:rsidRPr="004F2678">
        <w:rPr>
          <w:rFonts w:cs="Calibri"/>
          <w:u w:val="single"/>
        </w:rPr>
        <w:t>conflict minerals</w:t>
      </w:r>
      <w:r w:rsidRPr="004F2678">
        <w:rPr>
          <w:rFonts w:cs="Calibri"/>
        </w:rPr>
        <w:t xml:space="preserve">. </w:t>
      </w:r>
    </w:p>
    <w:p w14:paraId="19A2D408" w14:textId="77777777" w:rsidR="00A850A1" w:rsidRPr="004F2678" w:rsidRDefault="00A850A1" w:rsidP="00A850A1">
      <w:r w:rsidRPr="004F2678">
        <w:t xml:space="preserve">Beau </w:t>
      </w:r>
      <w:r w:rsidRPr="004F2678">
        <w:rPr>
          <w:b/>
          <w:sz w:val="26"/>
          <w:szCs w:val="26"/>
        </w:rPr>
        <w:t>Jackson &amp;</w:t>
      </w:r>
      <w:r w:rsidRPr="004F2678">
        <w:t xml:space="preserve"> Michael </w:t>
      </w:r>
      <w:r w:rsidRPr="004F2678">
        <w:rPr>
          <w:b/>
          <w:sz w:val="26"/>
          <w:szCs w:val="26"/>
        </w:rPr>
        <w:t>Buckler 15</w:t>
      </w:r>
      <w:r w:rsidRPr="004F2678">
        <w:t>. Beau Jackson is an associate in Adduci Mastriani &amp; Schaumberg's Washington, D.C., office. Michael Buckler is the CEO and general counsel of Village X Inc., a nonprofit that crowd funds donations to community-led projects with quantifiable impacts in developing countries and provides live picture updates of project impacts. 10-21-15. “Unfair Trade Practice? Prove It Under Section 337.” Law360. https://www.law360.com/articles/713250/unfair-trade-practice-prove-it-under-section-337//susu</w:t>
      </w:r>
    </w:p>
    <w:p w14:paraId="16ACF9AC" w14:textId="77777777" w:rsidR="00A850A1" w:rsidRPr="004F2678" w:rsidRDefault="00A850A1" w:rsidP="00A850A1">
      <w:pPr>
        <w:rPr>
          <w:sz w:val="16"/>
        </w:rPr>
      </w:pPr>
      <w:r w:rsidRPr="004F2678">
        <w:rPr>
          <w:sz w:val="16"/>
        </w:rPr>
        <w:t xml:space="preserve">Ninety percent of seafood consumed in the United States is imported. Could a U.S. seafood company prohibit the importation of a Thai competitor’s illegally harvested fish? The vast majority of apparel sold in the United States is imported. Could a clothing company exclude from the U.S. market garments that a competitor in Vietnam made with illegal child labor? The answer to these questions is yes: </w:t>
      </w:r>
      <w:r w:rsidRPr="004F2678">
        <w:rPr>
          <w:rStyle w:val="StyleUnderline"/>
        </w:rPr>
        <w:t xml:space="preserve">Section </w:t>
      </w:r>
      <w:r w:rsidRPr="004F2678">
        <w:rPr>
          <w:rStyle w:val="Emphasis"/>
          <w:highlight w:val="cyan"/>
        </w:rPr>
        <w:t>337</w:t>
      </w:r>
      <w:r w:rsidRPr="004F2678">
        <w:rPr>
          <w:rStyle w:val="StyleUnderline"/>
        </w:rPr>
        <w:t xml:space="preserve"> of the Tariff Act of 1930 — a trade statute administered by the U.S. International Trade Commission — </w:t>
      </w:r>
      <w:r w:rsidRPr="004F2678">
        <w:rPr>
          <w:rStyle w:val="StyleUnderline"/>
          <w:highlight w:val="cyan"/>
        </w:rPr>
        <w:t>could be</w:t>
      </w:r>
      <w:r w:rsidRPr="004F2678">
        <w:rPr>
          <w:rStyle w:val="StyleUnderline"/>
        </w:rPr>
        <w:t xml:space="preserve"> an</w:t>
      </w:r>
      <w:r w:rsidRPr="004F2678">
        <w:rPr>
          <w:sz w:val="16"/>
        </w:rPr>
        <w:t xml:space="preserve"> </w:t>
      </w:r>
      <w:r w:rsidRPr="004F2678">
        <w:rPr>
          <w:rStyle w:val="Emphasis"/>
          <w:highlight w:val="cyan"/>
        </w:rPr>
        <w:t>effective</w:t>
      </w:r>
      <w:r w:rsidRPr="004F2678">
        <w:rPr>
          <w:rStyle w:val="Emphasis"/>
        </w:rPr>
        <w:t xml:space="preserve"> weapon</w:t>
      </w:r>
      <w:r w:rsidRPr="004F2678">
        <w:rPr>
          <w:sz w:val="16"/>
        </w:rPr>
        <w:t xml:space="preserve"> </w:t>
      </w:r>
      <w:r w:rsidRPr="004F2678">
        <w:rPr>
          <w:rStyle w:val="StyleUnderline"/>
          <w:highlight w:val="cyan"/>
        </w:rPr>
        <w:t>against</w:t>
      </w:r>
      <w:r w:rsidRPr="004F2678">
        <w:rPr>
          <w:sz w:val="16"/>
        </w:rPr>
        <w:t xml:space="preserve"> these and other </w:t>
      </w:r>
      <w:r w:rsidRPr="004F2678">
        <w:rPr>
          <w:rStyle w:val="Emphasis"/>
          <w:highlight w:val="cyan"/>
        </w:rPr>
        <w:t>unlawful</w:t>
      </w:r>
      <w:r w:rsidRPr="004F2678">
        <w:rPr>
          <w:rStyle w:val="Emphasis"/>
        </w:rPr>
        <w:t xml:space="preserve"> trade </w:t>
      </w:r>
      <w:r w:rsidRPr="004F2678">
        <w:rPr>
          <w:rStyle w:val="Emphasis"/>
          <w:highlight w:val="cyan"/>
        </w:rPr>
        <w:t>practices</w:t>
      </w:r>
      <w:r w:rsidRPr="004F2678">
        <w:rPr>
          <w:sz w:val="16"/>
        </w:rPr>
        <w:t xml:space="preserve">. </w:t>
      </w:r>
      <w:r w:rsidRPr="004F2678">
        <w:rPr>
          <w:rStyle w:val="StyleUnderline"/>
        </w:rPr>
        <w:t xml:space="preserve">Although Section 337 is best known as an intellectual property enforcement mechanism, the statute exists to protect U.S. industries and the American public from </w:t>
      </w:r>
      <w:r w:rsidRPr="004F2678">
        <w:rPr>
          <w:rStyle w:val="StyleUnderline"/>
          <w:highlight w:val="cyan"/>
        </w:rPr>
        <w:t>a</w:t>
      </w:r>
      <w:r w:rsidRPr="004F2678">
        <w:rPr>
          <w:sz w:val="16"/>
          <w:highlight w:val="cyan"/>
        </w:rPr>
        <w:t xml:space="preserve"> </w:t>
      </w:r>
      <w:r w:rsidRPr="004F2678">
        <w:rPr>
          <w:rStyle w:val="Emphasis"/>
          <w:highlight w:val="cyan"/>
        </w:rPr>
        <w:t>range</w:t>
      </w:r>
      <w:r w:rsidRPr="004F2678">
        <w:rPr>
          <w:rStyle w:val="Emphasis"/>
        </w:rPr>
        <w:t xml:space="preserve"> of unfair acts</w:t>
      </w:r>
      <w:r w:rsidRPr="004F2678">
        <w:rPr>
          <w:rStyle w:val="StyleUnderline"/>
        </w:rPr>
        <w:t>. The language</w:t>
      </w:r>
      <w:r w:rsidRPr="004F2678">
        <w:rPr>
          <w:sz w:val="16"/>
        </w:rPr>
        <w:t xml:space="preserve"> of Section 337(a)(1)(A) — “[u]nfair methods of competition and unfair acts” incident to the importation of products — </w:t>
      </w:r>
      <w:r w:rsidRPr="004F2678">
        <w:rPr>
          <w:rStyle w:val="StyleUnderline"/>
        </w:rPr>
        <w:t>is</w:t>
      </w:r>
      <w:r w:rsidRPr="004F2678">
        <w:rPr>
          <w:sz w:val="16"/>
        </w:rPr>
        <w:t xml:space="preserve"> </w:t>
      </w:r>
      <w:r w:rsidRPr="004F2678">
        <w:rPr>
          <w:rStyle w:val="Emphasis"/>
          <w:highlight w:val="cyan"/>
        </w:rPr>
        <w:t>profoundly broad</w:t>
      </w:r>
      <w:r w:rsidRPr="004F2678">
        <w:rPr>
          <w:sz w:val="16"/>
        </w:rPr>
        <w:t xml:space="preserve">, and “unfairness” is not defined in the statute or its legislative history.[1] The ITC has </w:t>
      </w:r>
      <w:r w:rsidRPr="004F2678">
        <w:rPr>
          <w:rStyle w:val="Emphasis"/>
          <w:highlight w:val="cyan"/>
        </w:rPr>
        <w:t>already</w:t>
      </w:r>
      <w:r w:rsidRPr="004F2678">
        <w:rPr>
          <w:sz w:val="16"/>
        </w:rPr>
        <w:t xml:space="preserve"> </w:t>
      </w:r>
      <w:r w:rsidRPr="004F2678">
        <w:rPr>
          <w:rStyle w:val="StyleUnderline"/>
        </w:rPr>
        <w:t>construed</w:t>
      </w:r>
      <w:r w:rsidRPr="004F2678">
        <w:rPr>
          <w:sz w:val="16"/>
        </w:rPr>
        <w:t xml:space="preserve"> unfairness </w:t>
      </w:r>
      <w:r w:rsidRPr="004F2678">
        <w:rPr>
          <w:rStyle w:val="StyleUnderline"/>
        </w:rPr>
        <w:t xml:space="preserve">to </w:t>
      </w:r>
      <w:r w:rsidRPr="004F2678">
        <w:rPr>
          <w:rStyle w:val="StyleUnderline"/>
          <w:highlight w:val="cyan"/>
        </w:rPr>
        <w:t>include</w:t>
      </w:r>
      <w:r w:rsidRPr="004F2678">
        <w:rPr>
          <w:rStyle w:val="StyleUnderline"/>
        </w:rPr>
        <w:t xml:space="preserve"> misappropriation of </w:t>
      </w:r>
      <w:r w:rsidRPr="004F2678">
        <w:rPr>
          <w:rStyle w:val="Emphasis"/>
          <w:highlight w:val="cyan"/>
        </w:rPr>
        <w:t>trade secrets</w:t>
      </w:r>
      <w:r w:rsidRPr="004F2678">
        <w:rPr>
          <w:rStyle w:val="StyleUnderline"/>
        </w:rPr>
        <w:t xml:space="preserve">, false </w:t>
      </w:r>
      <w:r w:rsidRPr="004F2678">
        <w:rPr>
          <w:rStyle w:val="Emphasis"/>
          <w:highlight w:val="cyan"/>
        </w:rPr>
        <w:t>designation of origin</w:t>
      </w:r>
      <w:r w:rsidRPr="004F2678">
        <w:rPr>
          <w:rStyle w:val="StyleUnderline"/>
        </w:rPr>
        <w:t>, false</w:t>
      </w:r>
      <w:r w:rsidRPr="004F2678">
        <w:rPr>
          <w:sz w:val="16"/>
        </w:rPr>
        <w:t xml:space="preserve"> </w:t>
      </w:r>
      <w:r w:rsidRPr="004F2678">
        <w:rPr>
          <w:rStyle w:val="Emphasis"/>
          <w:highlight w:val="cyan"/>
        </w:rPr>
        <w:t>labeling</w:t>
      </w:r>
      <w:r w:rsidRPr="004F2678">
        <w:rPr>
          <w:sz w:val="16"/>
        </w:rPr>
        <w:t xml:space="preserve">, </w:t>
      </w:r>
      <w:r w:rsidRPr="004F2678">
        <w:rPr>
          <w:rStyle w:val="StyleUnderline"/>
        </w:rPr>
        <w:t>false</w:t>
      </w:r>
      <w:r w:rsidRPr="004F2678">
        <w:rPr>
          <w:sz w:val="16"/>
        </w:rPr>
        <w:t xml:space="preserve"> </w:t>
      </w:r>
      <w:r w:rsidRPr="004F2678">
        <w:rPr>
          <w:rStyle w:val="Emphasis"/>
          <w:highlight w:val="cyan"/>
        </w:rPr>
        <w:t>ad</w:t>
      </w:r>
      <w:r w:rsidRPr="004F2678">
        <w:rPr>
          <w:rStyle w:val="StyleUnderline"/>
        </w:rPr>
        <w:t>verti</w:t>
      </w:r>
      <w:r w:rsidRPr="004F2678">
        <w:rPr>
          <w:rStyle w:val="Emphasis"/>
          <w:highlight w:val="cyan"/>
        </w:rPr>
        <w:t>s</w:t>
      </w:r>
      <w:r w:rsidRPr="004F2678">
        <w:rPr>
          <w:rStyle w:val="StyleUnderline"/>
        </w:rPr>
        <w:t xml:space="preserve">ing, violation of the Digital Millennium </w:t>
      </w:r>
      <w:r w:rsidRPr="004F2678">
        <w:rPr>
          <w:rStyle w:val="Emphasis"/>
          <w:highlight w:val="cyan"/>
        </w:rPr>
        <w:t>Copyright</w:t>
      </w:r>
      <w:r w:rsidRPr="004F2678">
        <w:rPr>
          <w:rStyle w:val="StyleUnderline"/>
        </w:rPr>
        <w:t xml:space="preserve"> Act</w:t>
      </w:r>
      <w:r w:rsidRPr="004F2678">
        <w:rPr>
          <w:sz w:val="16"/>
        </w:rPr>
        <w:t xml:space="preserve"> </w:t>
      </w:r>
      <w:r w:rsidRPr="004F2678">
        <w:rPr>
          <w:rStyle w:val="StyleUnderline"/>
          <w:highlight w:val="cyan"/>
        </w:rPr>
        <w:t xml:space="preserve">and </w:t>
      </w:r>
      <w:r w:rsidRPr="004F2678">
        <w:rPr>
          <w:rStyle w:val="Emphasis"/>
          <w:highlight w:val="cyan"/>
        </w:rPr>
        <w:t>antitrust</w:t>
      </w:r>
      <w:r w:rsidRPr="004F2678">
        <w:rPr>
          <w:sz w:val="16"/>
        </w:rPr>
        <w:t xml:space="preserve"> violations.[2] </w:t>
      </w:r>
      <w:r w:rsidRPr="004F2678">
        <w:rPr>
          <w:rStyle w:val="StyleUnderline"/>
        </w:rPr>
        <w:t xml:space="preserve">Section 337 </w:t>
      </w:r>
      <w:r w:rsidRPr="004F2678">
        <w:rPr>
          <w:rStyle w:val="StyleUnderline"/>
          <w:highlight w:val="cyan"/>
        </w:rPr>
        <w:t>rewards</w:t>
      </w:r>
      <w:r w:rsidRPr="004F2678">
        <w:rPr>
          <w:rStyle w:val="StyleUnderline"/>
        </w:rPr>
        <w:t xml:space="preserve"> successful </w:t>
      </w:r>
      <w:r w:rsidRPr="004F2678">
        <w:rPr>
          <w:rStyle w:val="StyleUnderline"/>
          <w:highlight w:val="cyan"/>
        </w:rPr>
        <w:t>complainants with</w:t>
      </w:r>
      <w:r w:rsidRPr="004F2678">
        <w:rPr>
          <w:rStyle w:val="StyleUnderline"/>
        </w:rPr>
        <w:t xml:space="preserve"> a powerful remedy: an</w:t>
      </w:r>
      <w:r w:rsidRPr="004F2678">
        <w:rPr>
          <w:sz w:val="16"/>
        </w:rPr>
        <w:t xml:space="preserve"> </w:t>
      </w:r>
      <w:r w:rsidRPr="004F2678">
        <w:rPr>
          <w:rStyle w:val="Emphasis"/>
          <w:highlight w:val="cyan"/>
        </w:rPr>
        <w:t>exclusion</w:t>
      </w:r>
      <w:r w:rsidRPr="004F2678">
        <w:rPr>
          <w:rStyle w:val="Emphasis"/>
        </w:rPr>
        <w:t xml:space="preserve"> order</w:t>
      </w:r>
      <w:r w:rsidRPr="004F2678">
        <w:rPr>
          <w:sz w:val="16"/>
        </w:rPr>
        <w:t xml:space="preserve"> </w:t>
      </w:r>
      <w:r w:rsidRPr="004F2678">
        <w:rPr>
          <w:rStyle w:val="StyleUnderline"/>
        </w:rPr>
        <w:t xml:space="preserve">blocking the importation of goods associated with the unfairness. The ITC may also issue cease and desist orders that prohibit respondents from </w:t>
      </w:r>
      <w:r w:rsidRPr="004F2678">
        <w:rPr>
          <w:rStyle w:val="Emphasis"/>
        </w:rPr>
        <w:t>marketing</w:t>
      </w:r>
      <w:r w:rsidRPr="004F2678">
        <w:rPr>
          <w:rStyle w:val="StyleUnderline"/>
        </w:rPr>
        <w:t xml:space="preserve">, </w:t>
      </w:r>
      <w:r w:rsidRPr="004F2678">
        <w:rPr>
          <w:rStyle w:val="Emphasis"/>
        </w:rPr>
        <w:t>distributing</w:t>
      </w:r>
      <w:r w:rsidRPr="004F2678">
        <w:rPr>
          <w:sz w:val="16"/>
        </w:rPr>
        <w:t xml:space="preserve"> </w:t>
      </w:r>
      <w:r w:rsidRPr="004F2678">
        <w:rPr>
          <w:rStyle w:val="StyleUnderline"/>
        </w:rPr>
        <w:t>or</w:t>
      </w:r>
      <w:r w:rsidRPr="004F2678">
        <w:rPr>
          <w:sz w:val="16"/>
        </w:rPr>
        <w:t xml:space="preserve"> </w:t>
      </w:r>
      <w:r w:rsidRPr="004F2678">
        <w:rPr>
          <w:rStyle w:val="Emphasis"/>
        </w:rPr>
        <w:t>selling</w:t>
      </w:r>
      <w:r w:rsidRPr="004F2678">
        <w:rPr>
          <w:sz w:val="16"/>
        </w:rPr>
        <w:t xml:space="preserve"> products </w:t>
      </w:r>
      <w:r w:rsidRPr="004F2678">
        <w:rPr>
          <w:rStyle w:val="StyleUnderline"/>
        </w:rPr>
        <w:t xml:space="preserve">in the </w:t>
      </w:r>
      <w:r w:rsidRPr="004F2678">
        <w:rPr>
          <w:rStyle w:val="Emphasis"/>
        </w:rPr>
        <w:t>U</w:t>
      </w:r>
      <w:r w:rsidRPr="004F2678">
        <w:rPr>
          <w:sz w:val="16"/>
        </w:rPr>
        <w:t xml:space="preserve">nited </w:t>
      </w:r>
      <w:r w:rsidRPr="004F2678">
        <w:rPr>
          <w:rStyle w:val="Emphasis"/>
        </w:rPr>
        <w:t>S</w:t>
      </w:r>
      <w:r w:rsidRPr="004F2678">
        <w:rPr>
          <w:sz w:val="16"/>
        </w:rPr>
        <w:t xml:space="preserve">tates. </w:t>
      </w:r>
      <w:r w:rsidRPr="004F2678">
        <w:rPr>
          <w:rStyle w:val="StyleUnderline"/>
        </w:rPr>
        <w:t xml:space="preserve">Section 337’s reach is international and its adjudication is </w:t>
      </w:r>
      <w:r w:rsidRPr="004F2678">
        <w:rPr>
          <w:rStyle w:val="Emphasis"/>
        </w:rPr>
        <w:t>fast</w:t>
      </w:r>
      <w:r w:rsidRPr="004F2678">
        <w:rPr>
          <w:rStyle w:val="StyleUnderline"/>
        </w:rPr>
        <w:t xml:space="preserve">, making the ITC a </w:t>
      </w:r>
      <w:r w:rsidRPr="004F2678">
        <w:rPr>
          <w:rStyle w:val="Emphasis"/>
        </w:rPr>
        <w:t>compelling venue</w:t>
      </w:r>
      <w:r w:rsidRPr="004F2678">
        <w:rPr>
          <w:sz w:val="16"/>
        </w:rPr>
        <w:t xml:space="preserve"> for a company or interest group opposed to an unlawful practice overseas that affects the United States through trade.[3] Upon institution of an investigation, a complainant can immediately serve the respondents — domestic and foreign — with discovery requests seeking information about their business practices. Respondents failing to appear can be held in default. </w:t>
      </w:r>
      <w:r w:rsidRPr="004F2678">
        <w:rPr>
          <w:rStyle w:val="StyleUnderline"/>
        </w:rPr>
        <w:t xml:space="preserve">In this way, Section 337 </w:t>
      </w:r>
      <w:r w:rsidRPr="004F2678">
        <w:rPr>
          <w:rStyle w:val="StyleUnderline"/>
          <w:highlight w:val="cyan"/>
        </w:rPr>
        <w:t xml:space="preserve">can leverage the </w:t>
      </w:r>
      <w:r w:rsidRPr="004F2678">
        <w:rPr>
          <w:rStyle w:val="Emphasis"/>
          <w:highlight w:val="cyan"/>
        </w:rPr>
        <w:t>appeal of the U.S. marketplace</w:t>
      </w:r>
      <w:r w:rsidRPr="004F2678">
        <w:rPr>
          <w:rStyle w:val="StyleUnderline"/>
          <w:highlight w:val="cyan"/>
        </w:rPr>
        <w:t xml:space="preserve"> to promote </w:t>
      </w:r>
      <w:r w:rsidRPr="004F2678">
        <w:rPr>
          <w:rStyle w:val="Emphasis"/>
          <w:highlight w:val="cyan"/>
        </w:rPr>
        <w:t>fairer</w:t>
      </w:r>
      <w:r w:rsidRPr="004F2678">
        <w:rPr>
          <w:rStyle w:val="StyleUnderline"/>
        </w:rPr>
        <w:t xml:space="preserve"> and freer </w:t>
      </w:r>
      <w:r w:rsidRPr="004F2678">
        <w:rPr>
          <w:rStyle w:val="Emphasis"/>
          <w:highlight w:val="cyan"/>
        </w:rPr>
        <w:t>markets</w:t>
      </w:r>
      <w:r w:rsidRPr="004F2678">
        <w:rPr>
          <w:rStyle w:val="StyleUnderline"/>
        </w:rPr>
        <w:t xml:space="preserve"> worldwide. </w:t>
      </w:r>
      <w:r w:rsidRPr="004F2678">
        <w:rPr>
          <w:sz w:val="12"/>
        </w:rPr>
        <w:t xml:space="preserve">Prevailing on Non-IP Claims Under Section 337 To establish a prima facie case under Section 337(a)(1)(A), a complainant must demonstrate: (1) unfair methods of competition or unfair acts; (2) relating to imported merchandise; and (3) injury to a U.S. industry from such imports. Unfair Methods or Acts “What is unfair under Section 337(a)(1)(A)?” is a threshold question for any entity seeking to use the statute to challenge imports that do not infringe statutory IP. Notably, the Senate report accompanying the original passage of the statute explained that “[t]he provision relating to unfair methods of competition in the importation of goods is broad enough to prevent every type and form of unfair practice and is, therefore, a more adequate protection to American industry than any antidumping statute the country has ever had.”[4] The predecessor court to the U.S. Court of Appeals for the Federal Circuit recognized that Section 337’s prohibitions are: broad and inclusive and should not be held to be limited to acts coming within the technical definition of unfair methods of competition as applied in some decisions. The importation of articles may involve questions which differ materially from any arising in purely domestic competition, and it is evident from the language used that Congress intended to allow wide discretion in determining what practices are to be regarded as unfair.[5] The ITC has intervened where alleged unfairness in the importation of articles threatens “the assurance of competitive conditions in the United States economy,”[6] even for the purpose of halting such unfairness in its incipiency.[7] In light of its broad scope as written and interpreted, Section 337(a)(1)(A) is practically unbounded. Bottom line: If unfair methods or acts overseas threaten the free and fair operation of the U.S. marketplace, Section 337 may apply. For example, it would be unfair for a Malaysian manufacturer exporting to the United States to pay its workers a wage so low that it violates Malaysian law. Nexus Between Unfairness and Importation As the ITC has explained: It is obvious from our traditional role, not to mention our remedial provisions, that Congress intended Section 337 to attack only unfair trade practices which relate to imported products. It then becomes crucial to discern some nexus between unfair methods or acts and importation before this commission has power to act. A Chinese company manufacturing widgets for the U.S. market would engage in unfairness by defrauding its suppliers into providing it goods and services for free, and such fraud might allow the manufacturer to import the widgets into the United States at an artificially low price. Yet, if the manufacturer pocketed the ill-gotten gains and imported the widgets into the United States at a fair price, the unfairness, while unfortunate for the foreign suppliers, would be too removed from the United States to justify Section 337’s involvement. Likewise, if a U.S. retailer of the Chinese manufacturer’s widgets committed fraud only in the post-importation sale of widgets, Americans might suffer, but the ITC would stand idle, deferring to the jurisdiction of U.S. federal and state courts. Bottom line: A complainant must connect the alleged unfairness to the importation of articles. For example, show that underpaid workers produced the imported goods, allowing the goods to be sold in the United States at an artificially low price. Injury to a U.S. Industry A complainant under Section 337(a)(1)(A) must have a domestic industry that is the target of the unfair methods or acts. “The commission does not adhere to any rigid formula in determining the scope of the domestic industry as it is not precisely defined in the statute, but will examine each case in light of the realities of the marketplace.”[8] Generally speaking, a company with U.S. employees that expends resources in the United States — whether on manufacturing, customer service, research and development, etc. — should be able to establish a domestic industry under Section 337(a)(1)(A). A complainant must then show substantial injury from the unfairness — either real or threatened. The ITC's injury determinations tend to focus on five factors: (1) the respondent’s volume of imports and penetration into the market; (2) the complainant’s lost sales; (3) underselling by the respondent; (4) the complainant’s declining production, profitability and sales; and (5) harm to goodwill and reputation.[9] The ITC considers three additional criteria in assessing threat of substantial injury: (1) foreign cost advantages and production capacity; (2) the ability of the imported product to undersell the complainant’s product; or (3) substantial foreign manufacturing capacity combined with the respondent’s intention to penetrate the U.S. market.[10] While showing injury (or threat thereof) can entail complex economic analyses, in practice, the ITC has not imposed a high threshold for satisfying this element of Section 337(a)(1)(A). Bottom line: Connect the unfairness to real or threatened injury. For example, show that the goods imported at an artificially low price have or will likely erode the market share of a company operating in the U.S. market, regardless of whether that company manufactures here. Hypothetical Cases Under Section 337 </w:t>
      </w:r>
      <w:r w:rsidRPr="004F2678">
        <w:rPr>
          <w:rStyle w:val="Emphasis"/>
          <w:highlight w:val="cyan"/>
        </w:rPr>
        <w:t>Conflict Minerals</w:t>
      </w:r>
      <w:r w:rsidRPr="004F2678">
        <w:rPr>
          <w:sz w:val="16"/>
        </w:rPr>
        <w:t xml:space="preserve"> Many U.S. consumers would be surprised to learn that </w:t>
      </w:r>
      <w:r w:rsidRPr="004F2678">
        <w:rPr>
          <w:rStyle w:val="StyleUnderline"/>
        </w:rPr>
        <w:t>the</w:t>
      </w:r>
      <w:r w:rsidRPr="004F2678">
        <w:rPr>
          <w:sz w:val="16"/>
        </w:rPr>
        <w:t xml:space="preserve">ir </w:t>
      </w:r>
      <w:r w:rsidRPr="004F2678">
        <w:rPr>
          <w:rStyle w:val="StyleUnderline"/>
        </w:rPr>
        <w:t>smartphone or gaming system may contain</w:t>
      </w:r>
      <w:r w:rsidRPr="004F2678">
        <w:rPr>
          <w:sz w:val="16"/>
        </w:rPr>
        <w:t xml:space="preserve"> </w:t>
      </w:r>
      <w:r w:rsidRPr="004F2678">
        <w:rPr>
          <w:rStyle w:val="StyleUnderline"/>
        </w:rPr>
        <w:t xml:space="preserve">raw materials </w:t>
      </w:r>
      <w:r w:rsidRPr="004F2678">
        <w:rPr>
          <w:rStyle w:val="StyleUnderline"/>
          <w:highlight w:val="cyan"/>
        </w:rPr>
        <w:t xml:space="preserve">mined by </w:t>
      </w:r>
      <w:r w:rsidRPr="004F2678">
        <w:rPr>
          <w:rStyle w:val="Emphasis"/>
          <w:highlight w:val="cyan"/>
        </w:rPr>
        <w:t>militias</w:t>
      </w:r>
      <w:r w:rsidRPr="004F2678">
        <w:rPr>
          <w:rStyle w:val="StyleUnderline"/>
        </w:rPr>
        <w:t xml:space="preserve"> in war-torn countries. In August 2012, </w:t>
      </w:r>
      <w:r w:rsidRPr="004F2678">
        <w:rPr>
          <w:rStyle w:val="StyleUnderline"/>
          <w:highlight w:val="cyan"/>
        </w:rPr>
        <w:t>the</w:t>
      </w:r>
      <w:r w:rsidRPr="004F2678">
        <w:rPr>
          <w:sz w:val="16"/>
        </w:rPr>
        <w:t xml:space="preserve"> U.S. </w:t>
      </w:r>
      <w:r w:rsidRPr="004F2678">
        <w:rPr>
          <w:rStyle w:val="Emphasis"/>
          <w:highlight w:val="cyan"/>
        </w:rPr>
        <w:t>S</w:t>
      </w:r>
      <w:r w:rsidRPr="004F2678">
        <w:rPr>
          <w:sz w:val="16"/>
        </w:rPr>
        <w:t xml:space="preserve">ecurities and </w:t>
      </w:r>
      <w:r w:rsidRPr="004F2678">
        <w:rPr>
          <w:rStyle w:val="Emphasis"/>
          <w:highlight w:val="cyan"/>
        </w:rPr>
        <w:t>E</w:t>
      </w:r>
      <w:r w:rsidRPr="004F2678">
        <w:rPr>
          <w:sz w:val="16"/>
        </w:rPr>
        <w:t xml:space="preserve">xchange </w:t>
      </w:r>
      <w:r w:rsidRPr="004F2678">
        <w:rPr>
          <w:rStyle w:val="Emphasis"/>
          <w:highlight w:val="cyan"/>
        </w:rPr>
        <w:t>C</w:t>
      </w:r>
      <w:r w:rsidRPr="004F2678">
        <w:rPr>
          <w:sz w:val="16"/>
        </w:rPr>
        <w:t xml:space="preserve">ommission issued a rule </w:t>
      </w:r>
      <w:r w:rsidRPr="004F2678">
        <w:rPr>
          <w:rStyle w:val="StyleUnderline"/>
        </w:rPr>
        <w:t>implementing</w:t>
      </w:r>
      <w:r w:rsidRPr="004F2678">
        <w:rPr>
          <w:sz w:val="16"/>
        </w:rPr>
        <w:t xml:space="preserve"> Section 1502 of the </w:t>
      </w:r>
      <w:r w:rsidRPr="004F2678">
        <w:rPr>
          <w:rStyle w:val="Emphasis"/>
        </w:rPr>
        <w:t>Dodd-Frank</w:t>
      </w:r>
      <w:r w:rsidRPr="004F2678">
        <w:rPr>
          <w:sz w:val="16"/>
        </w:rPr>
        <w:t xml:space="preserve"> Act, </w:t>
      </w:r>
      <w:r w:rsidRPr="004F2678">
        <w:rPr>
          <w:rStyle w:val="Emphasis"/>
          <w:highlight w:val="cyan"/>
        </w:rPr>
        <w:t>requir</w:t>
      </w:r>
      <w:r w:rsidRPr="004F2678">
        <w:rPr>
          <w:rStyle w:val="StyleUnderline"/>
        </w:rPr>
        <w:t xml:space="preserve">ing all publicly traded </w:t>
      </w:r>
      <w:r w:rsidRPr="004F2678">
        <w:rPr>
          <w:rStyle w:val="StyleUnderline"/>
          <w:highlight w:val="cyan"/>
        </w:rPr>
        <w:t>companies to</w:t>
      </w:r>
      <w:r w:rsidRPr="004F2678">
        <w:rPr>
          <w:sz w:val="16"/>
          <w:highlight w:val="cyan"/>
        </w:rPr>
        <w:t xml:space="preserve"> </w:t>
      </w:r>
      <w:r w:rsidRPr="004F2678">
        <w:rPr>
          <w:rStyle w:val="Emphasis"/>
          <w:highlight w:val="cyan"/>
        </w:rPr>
        <w:t>disclose</w:t>
      </w:r>
      <w:r w:rsidRPr="004F2678">
        <w:rPr>
          <w:sz w:val="16"/>
        </w:rPr>
        <w:t xml:space="preserve"> their </w:t>
      </w:r>
      <w:r w:rsidRPr="004F2678">
        <w:rPr>
          <w:rStyle w:val="Emphasis"/>
        </w:rPr>
        <w:t>use of</w:t>
      </w:r>
      <w:r w:rsidRPr="004F2678">
        <w:rPr>
          <w:sz w:val="16"/>
        </w:rPr>
        <w:t xml:space="preserve"> certain </w:t>
      </w:r>
      <w:r w:rsidRPr="004F2678">
        <w:rPr>
          <w:rStyle w:val="Emphasis"/>
          <w:highlight w:val="cyan"/>
        </w:rPr>
        <w:t>minerals</w:t>
      </w:r>
      <w:r w:rsidRPr="004F2678">
        <w:rPr>
          <w:rStyle w:val="Emphasis"/>
        </w:rPr>
        <w:t xml:space="preserve"> associated with conflict</w:t>
      </w:r>
      <w:r w:rsidRPr="004F2678">
        <w:rPr>
          <w:sz w:val="16"/>
        </w:rPr>
        <w:t xml:space="preserve"> </w:t>
      </w:r>
      <w:r w:rsidRPr="004F2678">
        <w:rPr>
          <w:rStyle w:val="StyleUnderline"/>
        </w:rPr>
        <w:t>and used in</w:t>
      </w:r>
      <w:r w:rsidRPr="004F2678">
        <w:rPr>
          <w:sz w:val="16"/>
        </w:rPr>
        <w:t xml:space="preserve"> </w:t>
      </w:r>
      <w:r w:rsidRPr="004F2678">
        <w:rPr>
          <w:rStyle w:val="Emphasis"/>
        </w:rPr>
        <w:t>consumer goods</w:t>
      </w:r>
      <w:r w:rsidRPr="004F2678">
        <w:rPr>
          <w:sz w:val="16"/>
        </w:rPr>
        <w:t xml:space="preserve">.[11] </w:t>
      </w:r>
      <w:r w:rsidRPr="004F2678">
        <w:rPr>
          <w:rStyle w:val="StyleUnderline"/>
          <w:highlight w:val="cyan"/>
        </w:rPr>
        <w:t xml:space="preserve">Failure to </w:t>
      </w:r>
      <w:r w:rsidRPr="004F2678">
        <w:rPr>
          <w:rStyle w:val="Emphasis"/>
          <w:highlight w:val="cyan"/>
        </w:rPr>
        <w:t>comply</w:t>
      </w:r>
      <w:r w:rsidRPr="004F2678">
        <w:rPr>
          <w:sz w:val="16"/>
        </w:rPr>
        <w:t xml:space="preserve"> </w:t>
      </w:r>
      <w:r w:rsidRPr="004F2678">
        <w:rPr>
          <w:rStyle w:val="StyleUnderline"/>
        </w:rPr>
        <w:t xml:space="preserve">could </w:t>
      </w:r>
      <w:r w:rsidRPr="004F2678">
        <w:rPr>
          <w:rStyle w:val="StyleUnderline"/>
          <w:highlight w:val="cyan"/>
        </w:rPr>
        <w:t>give rise to</w:t>
      </w:r>
      <w:r w:rsidRPr="004F2678">
        <w:rPr>
          <w:rStyle w:val="StyleUnderline"/>
        </w:rPr>
        <w:t xml:space="preserve"> a Section </w:t>
      </w:r>
      <w:r w:rsidRPr="004F2678">
        <w:rPr>
          <w:rStyle w:val="Emphasis"/>
          <w:highlight w:val="cyan"/>
        </w:rPr>
        <w:t>337 action</w:t>
      </w:r>
      <w:r w:rsidRPr="004F2678">
        <w:rPr>
          <w:rStyle w:val="StyleUnderline"/>
        </w:rPr>
        <w:t>, to the extent companies save money by not complying and, thus, are able to import and sell products to U.S. consumers at prices below those of their competitors</w:t>
      </w:r>
      <w:r w:rsidRPr="004F2678">
        <w:rPr>
          <w:sz w:val="16"/>
        </w:rPr>
        <w:t xml:space="preserve"> who expend resources complying with the law. </w:t>
      </w:r>
      <w:r w:rsidRPr="004F2678">
        <w:rPr>
          <w:rStyle w:val="StyleUnderline"/>
        </w:rPr>
        <w:t>Another “unfair act” that could potentially trigger this type of case is the acquisition and use of conflict minerals in derogation of a</w:t>
      </w:r>
      <w:r w:rsidRPr="004F2678">
        <w:rPr>
          <w:sz w:val="16"/>
        </w:rPr>
        <w:t xml:space="preserve"> </w:t>
      </w:r>
      <w:r w:rsidRPr="004F2678">
        <w:rPr>
          <w:rStyle w:val="Emphasis"/>
        </w:rPr>
        <w:t>foreign sovereign’s law</w:t>
      </w:r>
      <w:r w:rsidRPr="004F2678">
        <w:rPr>
          <w:sz w:val="16"/>
        </w:rPr>
        <w:t xml:space="preserve">. In February 2012, the government of the Democratic Republic of the Congo codified a requirement that all mining and mineral trading companies operating in the country perform supply chain due diligence to ensure their purchases are not supporting warring parties in that country. </w:t>
      </w:r>
      <w:r w:rsidRPr="004F2678">
        <w:rPr>
          <w:rStyle w:val="StyleUnderline"/>
        </w:rPr>
        <w:t xml:space="preserve">In theory, Section 337 </w:t>
      </w:r>
      <w:r w:rsidRPr="004F2678">
        <w:rPr>
          <w:rStyle w:val="StyleUnderline"/>
          <w:highlight w:val="cyan"/>
        </w:rPr>
        <w:t xml:space="preserve">could </w:t>
      </w:r>
      <w:r w:rsidRPr="004F2678">
        <w:rPr>
          <w:rStyle w:val="Emphasis"/>
          <w:highlight w:val="cyan"/>
        </w:rPr>
        <w:t>reach companies</w:t>
      </w:r>
      <w:r w:rsidRPr="004F2678">
        <w:rPr>
          <w:rStyle w:val="Emphasis"/>
        </w:rPr>
        <w:t xml:space="preserve"> trading in certain minerals mined </w:t>
      </w:r>
      <w:r w:rsidRPr="004F2678">
        <w:rPr>
          <w:rStyle w:val="Emphasis"/>
          <w:highlight w:val="cyan"/>
        </w:rPr>
        <w:t>in Congo</w:t>
      </w:r>
      <w:r w:rsidRPr="004F2678">
        <w:rPr>
          <w:sz w:val="16"/>
          <w:highlight w:val="cyan"/>
        </w:rPr>
        <w:t xml:space="preserve"> </w:t>
      </w:r>
      <w:r w:rsidRPr="004F2678">
        <w:rPr>
          <w:rStyle w:val="StyleUnderline"/>
          <w:highlight w:val="cyan"/>
        </w:rPr>
        <w:t>without</w:t>
      </w:r>
      <w:r w:rsidRPr="004F2678">
        <w:rPr>
          <w:rStyle w:val="StyleUnderline"/>
        </w:rPr>
        <w:t xml:space="preserve"> performing the required</w:t>
      </w:r>
      <w:r w:rsidRPr="004F2678">
        <w:rPr>
          <w:sz w:val="16"/>
        </w:rPr>
        <w:t xml:space="preserve"> </w:t>
      </w:r>
      <w:r w:rsidRPr="004F2678">
        <w:rPr>
          <w:rStyle w:val="Emphasis"/>
          <w:highlight w:val="cyan"/>
        </w:rPr>
        <w:t>Congolese compliance</w:t>
      </w:r>
      <w:r w:rsidRPr="004F2678">
        <w:rPr>
          <w:rStyle w:val="StyleUnderline"/>
        </w:rPr>
        <w:t xml:space="preserve">, where those activities result in an importation into the </w:t>
      </w:r>
      <w:r w:rsidRPr="004F2678">
        <w:rPr>
          <w:rStyle w:val="Emphasis"/>
        </w:rPr>
        <w:t>U</w:t>
      </w:r>
      <w:r w:rsidRPr="004F2678">
        <w:rPr>
          <w:sz w:val="16"/>
        </w:rPr>
        <w:t xml:space="preserve">nited </w:t>
      </w:r>
      <w:r w:rsidRPr="004F2678">
        <w:rPr>
          <w:rStyle w:val="Emphasis"/>
        </w:rPr>
        <w:t>S</w:t>
      </w:r>
      <w:r w:rsidRPr="004F2678">
        <w:rPr>
          <w:sz w:val="16"/>
        </w:rPr>
        <w:t xml:space="preserve">tates. </w:t>
      </w:r>
      <w:r w:rsidRPr="004F2678">
        <w:rPr>
          <w:sz w:val="12"/>
        </w:rPr>
        <w:t xml:space="preserve">Child Labor The illegality of child labor is widely recognized. The United Nations Convention on the Rights of the Child recites basic human rights for all children, including the right to protection from economic exploitation.[12] Additionally, the Minimum Age Convention requires countries to ensure that children below a certain minimum age (which varies depending on the activity) are not employed.[13] Section 337 may be well-situated for claims based on the importation of articles produced with child labor in contravention of these treaties. A violation of the national labor laws of the country-of-origin of imported goods could also trigger a Section 337 case. Indeed, “nations that violate [their own] fair labor laws and accepted standards ... [can] accrue an unfairly gained competitive advantage through unfair reduction of the cost of labor, a major input in the cost of production, thereby distorting trade.”[14] This practice has been labeled “social dumping,” defined as the “export of products that owe their competitiveness to low labor standards.”[15] A Section 337 investigation could improve standards for child workers in poor countries by threatening import-driven segments of the U.S. marketplace that traffic in goods made by such children. </w:t>
      </w:r>
      <w:r w:rsidRPr="004F2678">
        <w:rPr>
          <w:rStyle w:val="Emphasis"/>
        </w:rPr>
        <w:t>Environmental Degradation</w:t>
      </w:r>
      <w:r w:rsidRPr="004F2678">
        <w:rPr>
          <w:sz w:val="16"/>
        </w:rPr>
        <w:t xml:space="preserve"> </w:t>
      </w:r>
      <w:r w:rsidRPr="004F2678">
        <w:rPr>
          <w:rStyle w:val="StyleUnderline"/>
          <w:highlight w:val="cyan"/>
        </w:rPr>
        <w:t xml:space="preserve">The </w:t>
      </w:r>
      <w:r w:rsidRPr="004F2678">
        <w:rPr>
          <w:rStyle w:val="Emphasis"/>
          <w:highlight w:val="cyan"/>
        </w:rPr>
        <w:t>Lacey Act</w:t>
      </w:r>
      <w:r w:rsidRPr="004F2678">
        <w:rPr>
          <w:rStyle w:val="StyleUnderline"/>
          <w:highlight w:val="cyan"/>
        </w:rPr>
        <w:t xml:space="preserve"> is</w:t>
      </w:r>
      <w:r w:rsidRPr="004F2678">
        <w:rPr>
          <w:rStyle w:val="StyleUnderline"/>
        </w:rPr>
        <w:t xml:space="preserve"> a </w:t>
      </w:r>
      <w:r w:rsidRPr="004F2678">
        <w:rPr>
          <w:rStyle w:val="StyleUnderline"/>
          <w:highlight w:val="cyan"/>
        </w:rPr>
        <w:t>powerful</w:t>
      </w:r>
      <w:r w:rsidRPr="004F2678">
        <w:rPr>
          <w:rStyle w:val="StyleUnderline"/>
        </w:rPr>
        <w:t xml:space="preserve"> weapon </w:t>
      </w:r>
      <w:r w:rsidRPr="004F2678">
        <w:rPr>
          <w:rStyle w:val="StyleUnderline"/>
          <w:highlight w:val="cyan"/>
        </w:rPr>
        <w:t xml:space="preserve">for </w:t>
      </w:r>
      <w:r w:rsidRPr="004F2678">
        <w:rPr>
          <w:rStyle w:val="Emphasis"/>
          <w:highlight w:val="cyan"/>
        </w:rPr>
        <w:t>demonstrating unfairness</w:t>
      </w:r>
      <w:r w:rsidRPr="004F2678">
        <w:rPr>
          <w:sz w:val="16"/>
        </w:rPr>
        <w:t xml:space="preserve"> </w:t>
      </w:r>
      <w:r w:rsidRPr="004F2678">
        <w:rPr>
          <w:rStyle w:val="StyleUnderline"/>
        </w:rPr>
        <w:t xml:space="preserve">related to importation. Incredibly broad, the Lacey Act </w:t>
      </w:r>
      <w:r w:rsidRPr="004F2678">
        <w:rPr>
          <w:rStyle w:val="StyleUnderline"/>
          <w:highlight w:val="cyan"/>
        </w:rPr>
        <w:t>makes it</w:t>
      </w:r>
      <w:r w:rsidRPr="004F2678">
        <w:rPr>
          <w:sz w:val="16"/>
          <w:highlight w:val="cyan"/>
        </w:rPr>
        <w:t xml:space="preserve"> </w:t>
      </w:r>
      <w:r w:rsidRPr="004F2678">
        <w:rPr>
          <w:rStyle w:val="Emphasis"/>
          <w:highlight w:val="cyan"/>
        </w:rPr>
        <w:t>unlawful</w:t>
      </w:r>
      <w:r w:rsidRPr="004F2678">
        <w:rPr>
          <w:sz w:val="16"/>
          <w:highlight w:val="cyan"/>
        </w:rPr>
        <w:t xml:space="preserve"> </w:t>
      </w:r>
      <w:r w:rsidRPr="004F2678">
        <w:rPr>
          <w:rStyle w:val="StyleUnderline"/>
          <w:highlight w:val="cyan"/>
        </w:rPr>
        <w:t xml:space="preserve">— and thus </w:t>
      </w:r>
      <w:r w:rsidRPr="004F2678">
        <w:rPr>
          <w:rStyle w:val="Emphasis"/>
          <w:highlight w:val="cyan"/>
        </w:rPr>
        <w:t>unfair</w:t>
      </w:r>
      <w:r w:rsidRPr="004F2678">
        <w:rPr>
          <w:sz w:val="16"/>
        </w:rPr>
        <w:t xml:space="preserve"> </w:t>
      </w:r>
      <w:r w:rsidRPr="004F2678">
        <w:rPr>
          <w:rStyle w:val="StyleUnderline"/>
        </w:rPr>
        <w:t xml:space="preserve">when undertaken for business advantage — </w:t>
      </w:r>
      <w:r w:rsidRPr="004F2678">
        <w:rPr>
          <w:rStyle w:val="StyleUnderline"/>
          <w:highlight w:val="cyan"/>
        </w:rPr>
        <w:t>“to import</w:t>
      </w:r>
      <w:r w:rsidRPr="004F2678">
        <w:rPr>
          <w:rStyle w:val="StyleUnderline"/>
        </w:rPr>
        <w:t xml:space="preserve">, export, transport, sell, receive, acquire, or purchase in interstate or foreign commerce ... </w:t>
      </w:r>
      <w:r w:rsidRPr="004F2678">
        <w:rPr>
          <w:rStyle w:val="StyleUnderline"/>
          <w:highlight w:val="cyan"/>
        </w:rPr>
        <w:t>any</w:t>
      </w:r>
      <w:r w:rsidRPr="004F2678">
        <w:rPr>
          <w:sz w:val="16"/>
          <w:highlight w:val="cyan"/>
        </w:rPr>
        <w:t xml:space="preserve"> </w:t>
      </w:r>
      <w:r w:rsidRPr="004F2678">
        <w:rPr>
          <w:rStyle w:val="Emphasis"/>
          <w:highlight w:val="cyan"/>
        </w:rPr>
        <w:t>fish</w:t>
      </w:r>
      <w:r w:rsidRPr="004F2678">
        <w:rPr>
          <w:sz w:val="16"/>
        </w:rPr>
        <w:t xml:space="preserve"> </w:t>
      </w:r>
      <w:r w:rsidRPr="004F2678">
        <w:rPr>
          <w:rStyle w:val="StyleUnderline"/>
        </w:rPr>
        <w:t>or</w:t>
      </w:r>
      <w:r w:rsidRPr="004F2678">
        <w:rPr>
          <w:sz w:val="16"/>
        </w:rPr>
        <w:t xml:space="preserve"> </w:t>
      </w:r>
      <w:r w:rsidRPr="004F2678">
        <w:rPr>
          <w:rStyle w:val="Emphasis"/>
          <w:highlight w:val="cyan"/>
        </w:rPr>
        <w:t>wildlife</w:t>
      </w:r>
      <w:r w:rsidRPr="004F2678">
        <w:rPr>
          <w:sz w:val="16"/>
        </w:rPr>
        <w:t xml:space="preserve">[,] ... </w:t>
      </w:r>
      <w:r w:rsidRPr="004F2678">
        <w:rPr>
          <w:rStyle w:val="StyleUnderline"/>
        </w:rPr>
        <w:t>any</w:t>
      </w:r>
      <w:r w:rsidRPr="004F2678">
        <w:rPr>
          <w:sz w:val="16"/>
        </w:rPr>
        <w:t xml:space="preserve"> </w:t>
      </w:r>
      <w:r w:rsidRPr="004F2678">
        <w:rPr>
          <w:rStyle w:val="Emphasis"/>
          <w:highlight w:val="cyan"/>
        </w:rPr>
        <w:t>plant</w:t>
      </w:r>
      <w:r w:rsidRPr="004F2678">
        <w:rPr>
          <w:sz w:val="16"/>
        </w:rPr>
        <w:t xml:space="preserve">,” </w:t>
      </w:r>
      <w:r w:rsidRPr="004F2678">
        <w:rPr>
          <w:rStyle w:val="StyleUnderline"/>
        </w:rPr>
        <w:t>or</w:t>
      </w:r>
      <w:r w:rsidRPr="004F2678">
        <w:rPr>
          <w:sz w:val="16"/>
        </w:rPr>
        <w:t xml:space="preserve"> “any </w:t>
      </w:r>
      <w:r w:rsidRPr="004F2678">
        <w:rPr>
          <w:rStyle w:val="Emphasis"/>
        </w:rPr>
        <w:t>prohibited wildlife species</w:t>
      </w:r>
      <w:r w:rsidRPr="004F2678">
        <w:rPr>
          <w:sz w:val="16"/>
        </w:rPr>
        <w:t>” that has been “</w:t>
      </w:r>
      <w:r w:rsidRPr="004F2678">
        <w:rPr>
          <w:rStyle w:val="StyleUnderline"/>
        </w:rPr>
        <w:t xml:space="preserve">taken, possessed, transported, or </w:t>
      </w:r>
      <w:r w:rsidRPr="004F2678">
        <w:rPr>
          <w:rStyle w:val="StyleUnderline"/>
          <w:highlight w:val="cyan"/>
        </w:rPr>
        <w:t>sold in violation</w:t>
      </w:r>
      <w:r w:rsidRPr="004F2678">
        <w:rPr>
          <w:rStyle w:val="StyleUnderline"/>
        </w:rPr>
        <w:t xml:space="preserve"> of any law or regulation of any state</w:t>
      </w:r>
      <w:r w:rsidRPr="004F2678">
        <w:rPr>
          <w:sz w:val="16"/>
        </w:rPr>
        <w:t xml:space="preserve"> </w:t>
      </w:r>
      <w:r w:rsidRPr="004F2678">
        <w:rPr>
          <w:rStyle w:val="StyleUnderline"/>
        </w:rPr>
        <w:t xml:space="preserve">or in violation of any </w:t>
      </w:r>
      <w:r w:rsidRPr="004F2678">
        <w:rPr>
          <w:rStyle w:val="Emphasis"/>
        </w:rPr>
        <w:t>foreign law</w:t>
      </w:r>
      <w:r w:rsidRPr="004F2678">
        <w:rPr>
          <w:sz w:val="16"/>
        </w:rPr>
        <w:t xml:space="preserve">.”[16] </w:t>
      </w:r>
      <w:r w:rsidRPr="004F2678">
        <w:rPr>
          <w:rStyle w:val="StyleUnderline"/>
        </w:rPr>
        <w:t>“Taken” encompasses “captured, killed, or collected and, with respect to a plant, also means harvested, cut, logged, or removed.”</w:t>
      </w:r>
      <w:r w:rsidRPr="004F2678">
        <w:rPr>
          <w:sz w:val="16"/>
        </w:rPr>
        <w:t xml:space="preserve">[17] </w:t>
      </w:r>
      <w:r w:rsidRPr="004F2678">
        <w:rPr>
          <w:rStyle w:val="StyleUnderline"/>
        </w:rPr>
        <w:t xml:space="preserve">Collectively, these terms encompass an enormous number of product lines of the Harmonized Tariff Schedule of the United States. A </w:t>
      </w:r>
      <w:r w:rsidRPr="004F2678">
        <w:rPr>
          <w:rStyle w:val="Emphasis"/>
        </w:rPr>
        <w:t>Section 337 investigation</w:t>
      </w:r>
      <w:r w:rsidRPr="004F2678">
        <w:rPr>
          <w:rStyle w:val="StyleUnderline"/>
        </w:rPr>
        <w:t xml:space="preserve"> could be premised on the unfair act of importing an article in </w:t>
      </w:r>
      <w:r w:rsidRPr="004F2678">
        <w:rPr>
          <w:rStyle w:val="Emphasis"/>
        </w:rPr>
        <w:t>violation of the Lacey Act</w:t>
      </w:r>
      <w:r w:rsidRPr="004F2678">
        <w:rPr>
          <w:rStyle w:val="StyleUnderline"/>
        </w:rPr>
        <w:t xml:space="preserve">. Such a case would likely involve an allegation that the complainant’s </w:t>
      </w:r>
      <w:r w:rsidRPr="004F2678">
        <w:rPr>
          <w:rStyle w:val="StyleUnderline"/>
          <w:highlight w:val="cyan"/>
        </w:rPr>
        <w:t>competitors</w:t>
      </w:r>
      <w:r w:rsidRPr="004F2678">
        <w:rPr>
          <w:rStyle w:val="StyleUnderline"/>
        </w:rPr>
        <w:t xml:space="preserve"> have </w:t>
      </w:r>
      <w:r w:rsidRPr="004F2678">
        <w:rPr>
          <w:rStyle w:val="Emphasis"/>
          <w:highlight w:val="cyan"/>
        </w:rPr>
        <w:t>flouted U.S. or foreign environmental law</w:t>
      </w:r>
      <w:r w:rsidRPr="004F2678">
        <w:rPr>
          <w:sz w:val="16"/>
          <w:highlight w:val="cyan"/>
        </w:rPr>
        <w:t xml:space="preserve"> </w:t>
      </w:r>
      <w:r w:rsidRPr="004F2678">
        <w:rPr>
          <w:rStyle w:val="StyleUnderline"/>
          <w:highlight w:val="cyan"/>
        </w:rPr>
        <w:t>for</w:t>
      </w:r>
      <w:r w:rsidRPr="004F2678">
        <w:rPr>
          <w:rStyle w:val="StyleUnderline"/>
        </w:rPr>
        <w:t xml:space="preserve"> the purpose of </w:t>
      </w:r>
      <w:r w:rsidRPr="004F2678">
        <w:rPr>
          <w:rStyle w:val="StyleUnderline"/>
          <w:highlight w:val="cyan"/>
        </w:rPr>
        <w:t>bringing a commodity</w:t>
      </w:r>
      <w:r w:rsidRPr="004F2678">
        <w:rPr>
          <w:rStyle w:val="StyleUnderline"/>
        </w:rPr>
        <w:t xml:space="preserve"> to market </w:t>
      </w:r>
      <w:r w:rsidRPr="004F2678">
        <w:rPr>
          <w:rStyle w:val="StyleUnderline"/>
          <w:highlight w:val="cyan"/>
        </w:rPr>
        <w:t>at an artificially low price</w:t>
      </w:r>
      <w:r w:rsidRPr="004F2678">
        <w:rPr>
          <w:sz w:val="16"/>
        </w:rPr>
        <w:t xml:space="preserve">. For example, </w:t>
      </w:r>
      <w:r w:rsidRPr="004F2678">
        <w:rPr>
          <w:rStyle w:val="StyleUnderline"/>
        </w:rPr>
        <w:t xml:space="preserve">companies could be accused of importing </w:t>
      </w:r>
      <w:r w:rsidRPr="004F2678">
        <w:rPr>
          <w:rStyle w:val="Emphasis"/>
        </w:rPr>
        <w:t>seafood</w:t>
      </w:r>
      <w:r w:rsidRPr="004F2678">
        <w:rPr>
          <w:rStyle w:val="StyleUnderline"/>
        </w:rPr>
        <w:t xml:space="preserve"> caught in prohibited waters or in violation of conservation treaties</w:t>
      </w:r>
      <w:r w:rsidRPr="004F2678">
        <w:rPr>
          <w:sz w:val="16"/>
        </w:rPr>
        <w:t xml:space="preserve">, [18] </w:t>
      </w:r>
      <w:r w:rsidRPr="004F2678">
        <w:rPr>
          <w:rStyle w:val="StyleUnderline"/>
        </w:rPr>
        <w:t xml:space="preserve">or of importing </w:t>
      </w:r>
      <w:r w:rsidRPr="004F2678">
        <w:rPr>
          <w:rStyle w:val="Emphasis"/>
        </w:rPr>
        <w:t>lumber</w:t>
      </w:r>
      <w:r w:rsidRPr="004F2678">
        <w:rPr>
          <w:rStyle w:val="StyleUnderline"/>
        </w:rPr>
        <w:t xml:space="preserve"> harvested in protected forests. </w:t>
      </w:r>
      <w:r w:rsidRPr="004F2678">
        <w:rPr>
          <w:sz w:val="12"/>
        </w:rPr>
        <w:t xml:space="preserve">Food and Drug Safety Only 2 percent of U.S. seafood imports are inspected by the U.S. Food and Drug Administration before entering the U.S. market.[19] One public interest group found that 33 percent of samples were mislabeled and thus sold to unsuspecting consumers under false, and potentially dangerous, pretenses.[20] Sushi vendors and grocery stores were businesses found most likely to sell mislabeled food. A U.S. seafood company could use Section 337 to challenge the importation of competing, mislabeled fish. U.S. drug products are increasingly imported from emerging economies, such as India and China, yet the FDA cannot conduct sufficient oversight of foreign plants to ensure compliance with U.S. law. [21] To offer competitive pricing and gain market share at the expense of compliant companies, some overseas plants have abdicated good manufacturing practices and, consequently, caused adulteration of the U.S. drug supply. Drug companies who follow the law could use Section 337 to combat the importation of competing drugs made in substandard facilities, thereby protecting U.S. consumers from unsafe medicines. Conclusion Section 337 is a powerful trade remedy administered by a nimble, expert agency. Whether a company or interest group can employ the statute to redress non-IP claims depends on the legal and factual contours of each alleged infraction. </w:t>
      </w:r>
      <w:r w:rsidRPr="004F2678">
        <w:rPr>
          <w:rStyle w:val="StyleUnderline"/>
        </w:rPr>
        <w:t>If a complainant can establish a</w:t>
      </w:r>
      <w:r w:rsidRPr="004F2678">
        <w:rPr>
          <w:sz w:val="16"/>
        </w:rPr>
        <w:t xml:space="preserve"> prima face </w:t>
      </w:r>
      <w:r w:rsidRPr="004F2678">
        <w:rPr>
          <w:rStyle w:val="StyleUnderline"/>
        </w:rPr>
        <w:t>case</w:t>
      </w:r>
      <w:r w:rsidRPr="004F2678">
        <w:rPr>
          <w:sz w:val="16"/>
        </w:rPr>
        <w:t xml:space="preserve"> — </w:t>
      </w:r>
      <w:r w:rsidRPr="004F2678">
        <w:rPr>
          <w:rStyle w:val="StyleUnderline"/>
        </w:rPr>
        <w:t>unfair acts or methods of competition, nexus between unfairness and importation and injury to a domestic industry</w:t>
      </w:r>
      <w:r w:rsidRPr="004F2678">
        <w:rPr>
          <w:sz w:val="16"/>
        </w:rPr>
        <w:t xml:space="preserve"> — </w:t>
      </w:r>
      <w:r w:rsidRPr="004F2678">
        <w:rPr>
          <w:rStyle w:val="StyleUnderline"/>
          <w:highlight w:val="cyan"/>
        </w:rPr>
        <w:t xml:space="preserve">the ITC is an </w:t>
      </w:r>
      <w:r w:rsidRPr="004F2678">
        <w:rPr>
          <w:rStyle w:val="Emphasis"/>
          <w:highlight w:val="cyan"/>
        </w:rPr>
        <w:t>excellent forum</w:t>
      </w:r>
      <w:r w:rsidRPr="004F2678">
        <w:rPr>
          <w:sz w:val="16"/>
        </w:rPr>
        <w:t xml:space="preserve"> </w:t>
      </w:r>
      <w:r w:rsidRPr="004F2678">
        <w:rPr>
          <w:rStyle w:val="StyleUnderline"/>
        </w:rPr>
        <w:t xml:space="preserve">in which </w:t>
      </w:r>
      <w:r w:rsidRPr="004F2678">
        <w:rPr>
          <w:rStyle w:val="StyleUnderline"/>
          <w:highlight w:val="cyan"/>
        </w:rPr>
        <w:t>to</w:t>
      </w:r>
      <w:r w:rsidRPr="004F2678">
        <w:rPr>
          <w:rStyle w:val="StyleUnderline"/>
        </w:rPr>
        <w:t xml:space="preserve"> challenge harmful trade practices and, hopefully, </w:t>
      </w:r>
      <w:r w:rsidRPr="004F2678">
        <w:rPr>
          <w:rStyle w:val="StyleUnderline"/>
          <w:highlight w:val="cyan"/>
        </w:rPr>
        <w:t>make the world</w:t>
      </w:r>
      <w:r w:rsidRPr="004F2678">
        <w:rPr>
          <w:rStyle w:val="StyleUnderline"/>
        </w:rPr>
        <w:t xml:space="preserve"> a</w:t>
      </w:r>
      <w:r w:rsidRPr="004F2678">
        <w:rPr>
          <w:sz w:val="16"/>
        </w:rPr>
        <w:t xml:space="preserve"> </w:t>
      </w:r>
      <w:r w:rsidRPr="004F2678">
        <w:rPr>
          <w:rStyle w:val="Emphasis"/>
          <w:highlight w:val="cyan"/>
        </w:rPr>
        <w:t>more equitable</w:t>
      </w:r>
      <w:r w:rsidRPr="004F2678">
        <w:rPr>
          <w:rStyle w:val="Emphasis"/>
        </w:rPr>
        <w:t xml:space="preserve"> place</w:t>
      </w:r>
      <w:r w:rsidRPr="004F2678">
        <w:rPr>
          <w:sz w:val="16"/>
        </w:rPr>
        <w:t>.</w:t>
      </w:r>
    </w:p>
    <w:p w14:paraId="04F2E8E5" w14:textId="77777777" w:rsidR="00A850A1" w:rsidRPr="004F2678" w:rsidRDefault="00A850A1" w:rsidP="00A850A1">
      <w:pPr>
        <w:pStyle w:val="Heading4"/>
        <w:rPr>
          <w:rFonts w:cs="Calibri"/>
        </w:rPr>
      </w:pPr>
      <w:r w:rsidRPr="004F2678">
        <w:rPr>
          <w:rFonts w:cs="Calibri"/>
        </w:rPr>
        <w:t xml:space="preserve">Timber and conflict minerals cause deforestation and extinction---DRC’s a key hotspot. </w:t>
      </w:r>
    </w:p>
    <w:p w14:paraId="75DD4F83" w14:textId="77777777" w:rsidR="00A850A1" w:rsidRPr="004F2678" w:rsidRDefault="00A850A1" w:rsidP="00A850A1">
      <w:r w:rsidRPr="004F2678">
        <w:t xml:space="preserve">Richard </w:t>
      </w:r>
      <w:r w:rsidRPr="004F2678">
        <w:rPr>
          <w:b/>
          <w:sz w:val="26"/>
          <w:szCs w:val="26"/>
        </w:rPr>
        <w:t>Milburn 16</w:t>
      </w:r>
      <w:r w:rsidRPr="004F2678">
        <w:t>. PhD candidate and Director of the Congo Research Group within the Marjan Centre for the Study of Conflict and Conservation, Department of War Studies, King's College London. 03/09/2016. “Gorillas and Guerrillas: Environment and Conflict in the Democratic Republic of Congo.” Environmental Crime and Social Conflict: Contemporary and Emerging Issues, Routledge.//susu</w:t>
      </w:r>
    </w:p>
    <w:p w14:paraId="464048E1" w14:textId="77777777" w:rsidR="00A850A1" w:rsidRPr="004F2678" w:rsidRDefault="00A850A1" w:rsidP="00A850A1">
      <w:pPr>
        <w:rPr>
          <w:sz w:val="16"/>
        </w:rPr>
      </w:pPr>
      <w:r w:rsidRPr="004F2678">
        <w:rPr>
          <w:sz w:val="16"/>
        </w:rPr>
        <w:t xml:space="preserve">Introduction </w:t>
      </w:r>
      <w:r w:rsidRPr="004F2678">
        <w:rPr>
          <w:rStyle w:val="StyleUnderline"/>
          <w:highlight w:val="cyan"/>
        </w:rPr>
        <w:t>The</w:t>
      </w:r>
      <w:r w:rsidRPr="004F2678">
        <w:rPr>
          <w:sz w:val="16"/>
        </w:rPr>
        <w:t xml:space="preserve"> Democratic Republic of Congo (</w:t>
      </w:r>
      <w:r w:rsidRPr="004F2678">
        <w:rPr>
          <w:rStyle w:val="Emphasis"/>
          <w:highlight w:val="cyan"/>
        </w:rPr>
        <w:t>DRC</w:t>
      </w:r>
      <w:r w:rsidRPr="004F2678">
        <w:rPr>
          <w:sz w:val="16"/>
        </w:rPr>
        <w:t xml:space="preserve">) </w:t>
      </w:r>
      <w:r w:rsidRPr="004F2678">
        <w:rPr>
          <w:rStyle w:val="StyleUnderline"/>
        </w:rPr>
        <w:t>has been endowed with a</w:t>
      </w:r>
      <w:r w:rsidRPr="004F2678">
        <w:rPr>
          <w:sz w:val="16"/>
        </w:rPr>
        <w:t xml:space="preserve"> </w:t>
      </w:r>
      <w:r w:rsidRPr="004F2678">
        <w:rPr>
          <w:rStyle w:val="Emphasis"/>
          <w:highlight w:val="cyan"/>
        </w:rPr>
        <w:t>wealth of biod</w:t>
      </w:r>
      <w:r w:rsidRPr="004F2678">
        <w:rPr>
          <w:rStyle w:val="StyleUnderline"/>
        </w:rPr>
        <w:t>iversity and</w:t>
      </w:r>
      <w:r w:rsidRPr="004F2678">
        <w:rPr>
          <w:sz w:val="16"/>
        </w:rPr>
        <w:t xml:space="preserve"> natural </w:t>
      </w:r>
      <w:r w:rsidRPr="004F2678">
        <w:rPr>
          <w:rStyle w:val="Emphasis"/>
        </w:rPr>
        <w:t>resources</w:t>
      </w:r>
      <w:r w:rsidRPr="004F2678">
        <w:rPr>
          <w:rStyle w:val="StyleUnderline"/>
        </w:rPr>
        <w:t xml:space="preserve">, including the world’s </w:t>
      </w:r>
      <w:r w:rsidRPr="004F2678">
        <w:rPr>
          <w:rStyle w:val="Emphasis"/>
        </w:rPr>
        <w:t>second largest tropical rainforest</w:t>
      </w:r>
      <w:r w:rsidRPr="004F2678">
        <w:rPr>
          <w:rStyle w:val="StyleUnderline"/>
        </w:rPr>
        <w:t xml:space="preserve">, </w:t>
      </w:r>
      <w:r w:rsidRPr="004F2678">
        <w:rPr>
          <w:rStyle w:val="Emphasis"/>
          <w:highlight w:val="cyan"/>
        </w:rPr>
        <w:t>mak</w:t>
      </w:r>
      <w:r w:rsidRPr="004F2678">
        <w:rPr>
          <w:rStyle w:val="StyleUnderline"/>
        </w:rPr>
        <w:t xml:space="preserve">ing </w:t>
      </w:r>
      <w:r w:rsidRPr="004F2678">
        <w:rPr>
          <w:rStyle w:val="StyleUnderline"/>
          <w:highlight w:val="cyan"/>
        </w:rPr>
        <w:t>it</w:t>
      </w:r>
      <w:r w:rsidRPr="004F2678">
        <w:rPr>
          <w:sz w:val="16"/>
        </w:rPr>
        <w:t xml:space="preserve"> one of </w:t>
      </w:r>
      <w:r w:rsidRPr="004F2678">
        <w:rPr>
          <w:rStyle w:val="StyleUnderline"/>
          <w:highlight w:val="cyan"/>
        </w:rPr>
        <w:t>the</w:t>
      </w:r>
      <w:r w:rsidRPr="004F2678">
        <w:rPr>
          <w:sz w:val="16"/>
        </w:rPr>
        <w:t xml:space="preserve"> two </w:t>
      </w:r>
      <w:r w:rsidRPr="004F2678">
        <w:rPr>
          <w:rStyle w:val="Emphasis"/>
          <w:highlight w:val="cyan"/>
        </w:rPr>
        <w:t>great ‘lungs of the earth’</w:t>
      </w:r>
      <w:r w:rsidRPr="004F2678">
        <w:rPr>
          <w:sz w:val="12"/>
        </w:rPr>
        <w:t xml:space="preserve"> along with the Amazon (Seyler et al. 2010). The country has also been blighted by almost two decades of armed conflict since the spill over from the Rwandan Genocide in 1994 led to an invasion of the DRC in 1996 (see Brisman and South 2013; South and Brisman 2013). Intra- and inter-state conflict has continued since then, including what has been termed ‘Africa’s World War’ (Prunier 2009; Stearns 2011), as well as the recent M23 rebellion in North Kivu. The DRC therefore makes an excellent case study to examine the interaction between the environment, natural resource wealth and conflict. While this interaction has attracted some headline news coverage, reporting has tended to focus on natural resources such as coltan, gold and diamonds, and far less so on nature itself, in the form of wildlife and forestry. The interaction of these living resources and conflict has generally been significantly overlooked. There is a need for the exploitation of ‘nature’ and of ‘natural resources’ to each be studied in their own right. The intention of this chapter is to examine specific issues relating to nature conservation and conflict in the DRC. For too long, the living environment has taken a back seat in studies about conflict, and has usually received attention only from those with a conservationist focus, who have tended to examine the impact of conflict on the environment, rather than the role the environment could play in contributing to conflict (see, e.g., Brisman and South 2013; Clark 2013; Shambaugh et al. 2001). The emergence of green criminology and the growing appreciation of the security threat posed by the illegal wildlife trade and climate change have both helped to rectify this, but there is still a need to mainstream the study of the living environment into conflict studies (Milburn 2012). The chapter begins with a more detailed explanation for the focus on the living environment before examining the different conflicts that have taken place in the DRC and their impacts. The chapter demonstrates that while such impacts have been predominantly detrimental, in some places, particularly with regard to forestry, conflict has simultaneously – and somewhat perversely – acted as effective means of conservation. The chapter then reviews the way in which environmental resources have sustained conflict in the DRC by providing the means for funding of rebel groups and creating incentives to maintain instability. Finally, the chapter examines an often-overlooked area – the impact the environment can have in promoting peacebuilding and post-conflict recovery. It evaluates the environmental peacebuilding work undertaken in the DRC to date and presents further potential approaches that could help to both improve security and protect the environment from unsustainable exploitation. Nature, Not Natural Resources The living environment is often relegated to a low position of importance, subsumed by resources such as diamonds whose role in contributing to conflict is well-known, well studied and well-reported (e.g., Brisman and South 2013; Clark 2013; South and Brisman 2013). Because the living environment does not seem to offer the same potential for monetary profit as some other sources of wealth, such as precious metals and minerals, it is often relegated to a lower position of importance and so the interaction of the living environment and conflict is overlooked. While the living environment could simply receive further study in conjunction with the topic of natural resources, three key distinctions between the living environment and natural resources warrant a separate study focus: first, the renewable nature of the living environment that offers long-term value; second, the valuable ecosystem services provided by the living environment; and third, simply because the living environment has been overlooked for so long, it requires separate study to establish its importance in the study of conflict. These three distinctions are fleshed out below. The first distinction is that the living environment is a renewable rather than non-renewable resource, and, as such, can provide valuable monetary and in-kind value in perpetuity. For example, a forest can provide revenue from the sale of timber as well as function as a habitat for wildlife that can in turn provide a source of protein to local communities in the form of bushmeat, and this can be maintained in the long-term if the forest is well-managed. In contrast, non-renewable resources, such as diamonds or coltan, provide income only from a one-off sale of the resource. As such, the living environment can be considered as an asset that pays ongoing dividends, providing a regular source of income while maintaining its underlying value. It is, therefore, crucial to managing the living environment to allow continued resource extraction in sustainable ways that prevents environmental degradation. While it is common to consider that non-renewable resources, such as gold or coal need to be carefully managed, the same is equally true of the living environment. </w:t>
      </w:r>
      <w:r w:rsidRPr="004F2678">
        <w:rPr>
          <w:rStyle w:val="StyleUnderline"/>
        </w:rPr>
        <w:t>The living environment has</w:t>
      </w:r>
      <w:r w:rsidRPr="004F2678">
        <w:rPr>
          <w:sz w:val="16"/>
        </w:rPr>
        <w:t xml:space="preserve"> another </w:t>
      </w:r>
      <w:r w:rsidRPr="004F2678">
        <w:rPr>
          <w:rStyle w:val="StyleUnderline"/>
        </w:rPr>
        <w:t>value in the form of</w:t>
      </w:r>
      <w:r w:rsidRPr="004F2678">
        <w:rPr>
          <w:sz w:val="16"/>
        </w:rPr>
        <w:t xml:space="preserve"> </w:t>
      </w:r>
      <w:r w:rsidRPr="004F2678">
        <w:rPr>
          <w:rStyle w:val="Emphasis"/>
        </w:rPr>
        <w:t>ecosystem services</w:t>
      </w:r>
      <w:r w:rsidRPr="004F2678">
        <w:rPr>
          <w:sz w:val="16"/>
        </w:rPr>
        <w:t xml:space="preserve">. </w:t>
      </w:r>
      <w:r w:rsidRPr="004F2678">
        <w:rPr>
          <w:rStyle w:val="StyleUnderline"/>
        </w:rPr>
        <w:t xml:space="preserve">It provides both </w:t>
      </w:r>
      <w:r w:rsidRPr="004F2678">
        <w:rPr>
          <w:rStyle w:val="Emphasis"/>
        </w:rPr>
        <w:t>in-kind services</w:t>
      </w:r>
      <w:r w:rsidRPr="004F2678">
        <w:rPr>
          <w:rStyle w:val="StyleUnderline"/>
        </w:rPr>
        <w:t>, such as</w:t>
      </w:r>
      <w:r w:rsidRPr="004F2678">
        <w:rPr>
          <w:sz w:val="16"/>
        </w:rPr>
        <w:t xml:space="preserve"> improved </w:t>
      </w:r>
      <w:r w:rsidRPr="004F2678">
        <w:rPr>
          <w:rStyle w:val="Emphasis"/>
        </w:rPr>
        <w:t>soil-fertility</w:t>
      </w:r>
      <w:r w:rsidRPr="004F2678">
        <w:rPr>
          <w:sz w:val="16"/>
        </w:rPr>
        <w:t xml:space="preserve"> for farmers, </w:t>
      </w:r>
      <w:r w:rsidRPr="004F2678">
        <w:rPr>
          <w:rStyle w:val="StyleUnderline"/>
        </w:rPr>
        <w:t>as well as</w:t>
      </w:r>
      <w:r w:rsidRPr="004F2678">
        <w:rPr>
          <w:sz w:val="16"/>
        </w:rPr>
        <w:t xml:space="preserve"> </w:t>
      </w:r>
      <w:r w:rsidRPr="004F2678">
        <w:rPr>
          <w:rStyle w:val="Emphasis"/>
        </w:rPr>
        <w:t>monetary benefit</w:t>
      </w:r>
      <w:r w:rsidRPr="004F2678">
        <w:rPr>
          <w:sz w:val="16"/>
        </w:rPr>
        <w:t xml:space="preserve"> </w:t>
      </w:r>
      <w:r w:rsidRPr="004F2678">
        <w:rPr>
          <w:rStyle w:val="StyleUnderline"/>
        </w:rPr>
        <w:t>from</w:t>
      </w:r>
      <w:r w:rsidRPr="004F2678">
        <w:rPr>
          <w:sz w:val="16"/>
        </w:rPr>
        <w:t xml:space="preserve"> the consumption of resources such as </w:t>
      </w:r>
      <w:r w:rsidRPr="004F2678">
        <w:rPr>
          <w:rStyle w:val="Emphasis"/>
        </w:rPr>
        <w:t>timber</w:t>
      </w:r>
      <w:r w:rsidRPr="004F2678">
        <w:rPr>
          <w:sz w:val="16"/>
        </w:rPr>
        <w:t xml:space="preserve"> (Juniper 2013; Millennium Ecosystem Assessment 2005; ten Brink et al. 2012). </w:t>
      </w:r>
      <w:r w:rsidRPr="004F2678">
        <w:rPr>
          <w:rStyle w:val="StyleUnderline"/>
        </w:rPr>
        <w:t xml:space="preserve">In contrast, resources such as </w:t>
      </w:r>
      <w:r w:rsidRPr="004F2678">
        <w:rPr>
          <w:rStyle w:val="Emphasis"/>
        </w:rPr>
        <w:t>diamonds</w:t>
      </w:r>
      <w:r w:rsidRPr="004F2678">
        <w:rPr>
          <w:rStyle w:val="StyleUnderline"/>
        </w:rPr>
        <w:t xml:space="preserve"> and </w:t>
      </w:r>
      <w:r w:rsidRPr="004F2678">
        <w:rPr>
          <w:rStyle w:val="Emphasis"/>
        </w:rPr>
        <w:t>coltan</w:t>
      </w:r>
      <w:r w:rsidRPr="004F2678">
        <w:rPr>
          <w:rStyle w:val="StyleUnderline"/>
        </w:rPr>
        <w:t xml:space="preserve"> offer only a </w:t>
      </w:r>
      <w:r w:rsidRPr="004F2678">
        <w:rPr>
          <w:rStyle w:val="Emphasis"/>
        </w:rPr>
        <w:t>monetary benefit</w:t>
      </w:r>
      <w:r w:rsidRPr="004F2678">
        <w:rPr>
          <w:rStyle w:val="StyleUnderline"/>
        </w:rPr>
        <w:t xml:space="preserve">. </w:t>
      </w:r>
      <w:r w:rsidRPr="004F2678">
        <w:rPr>
          <w:rStyle w:val="StyleUnderline"/>
          <w:highlight w:val="cyan"/>
        </w:rPr>
        <w:t>Destruction of the living environment</w:t>
      </w:r>
      <w:r w:rsidRPr="004F2678">
        <w:rPr>
          <w:rStyle w:val="StyleUnderline"/>
        </w:rPr>
        <w:t xml:space="preserve"> therefore </w:t>
      </w:r>
      <w:r w:rsidRPr="004F2678">
        <w:rPr>
          <w:rStyle w:val="StyleUnderline"/>
          <w:highlight w:val="cyan"/>
        </w:rPr>
        <w:t>has implications for</w:t>
      </w:r>
      <w:r w:rsidRPr="004F2678">
        <w:rPr>
          <w:rStyle w:val="StyleUnderline"/>
        </w:rPr>
        <w:t xml:space="preserve"> the</w:t>
      </w:r>
      <w:r w:rsidRPr="004F2678">
        <w:rPr>
          <w:sz w:val="16"/>
        </w:rPr>
        <w:t xml:space="preserve"> </w:t>
      </w:r>
      <w:r w:rsidRPr="004F2678">
        <w:rPr>
          <w:rStyle w:val="Emphasis"/>
          <w:highlight w:val="cyan"/>
        </w:rPr>
        <w:t>long-term</w:t>
      </w:r>
      <w:r w:rsidRPr="004F2678">
        <w:rPr>
          <w:rStyle w:val="Emphasis"/>
        </w:rPr>
        <w:t xml:space="preserve"> ability</w:t>
      </w:r>
      <w:r w:rsidRPr="004F2678">
        <w:rPr>
          <w:sz w:val="16"/>
        </w:rPr>
        <w:t xml:space="preserve"> of a country </w:t>
      </w:r>
      <w:r w:rsidRPr="004F2678">
        <w:rPr>
          <w:rStyle w:val="StyleUnderline"/>
        </w:rPr>
        <w:t>to</w:t>
      </w:r>
      <w:r w:rsidRPr="004F2678">
        <w:rPr>
          <w:sz w:val="16"/>
        </w:rPr>
        <w:t xml:space="preserve"> </w:t>
      </w:r>
      <w:r w:rsidRPr="004F2678">
        <w:rPr>
          <w:rStyle w:val="Emphasis"/>
        </w:rPr>
        <w:t>recover</w:t>
      </w:r>
      <w:r w:rsidRPr="004F2678">
        <w:rPr>
          <w:sz w:val="16"/>
        </w:rPr>
        <w:t xml:space="preserve"> and prosper in the post-conflict period (Millennium Ecosystem Assessment 2005). Given that the environment is the ‘wealth of the poor’, who are heavily dependent on it </w:t>
      </w:r>
      <w:r w:rsidRPr="004F2678">
        <w:rPr>
          <w:rStyle w:val="StyleUnderline"/>
        </w:rPr>
        <w:t>for</w:t>
      </w:r>
      <w:r w:rsidRPr="004F2678">
        <w:rPr>
          <w:sz w:val="16"/>
        </w:rPr>
        <w:t xml:space="preserve"> their </w:t>
      </w:r>
      <w:r w:rsidRPr="004F2678">
        <w:rPr>
          <w:rStyle w:val="Emphasis"/>
          <w:highlight w:val="cyan"/>
        </w:rPr>
        <w:t>survival</w:t>
      </w:r>
      <w:r w:rsidRPr="004F2678">
        <w:rPr>
          <w:sz w:val="16"/>
        </w:rPr>
        <w:t xml:space="preserve"> and prosperity, protection of the living environment is thus vital to enable a successful post-conflict recovery process (Mrema et al. 2009). Finally, simply because the living environment has for so long been on the periphery of conflict study there is a need for specific study from a criminological and security perspective to effectively analyse the role that the living environment plays in conflict (Milburn 2012). In addition, far greater cooperation and coordination is required between conservation organisations and humanitarian and development organisations in regions of armed conflict in order to protect the living environment, both for its own sake and to preserve the ecosystem services for people living in these regions in the post-conflict period. Accordingly, work needs to be conducted to improve the perception of the importance of the living environment and subsequently to encourage cooperation between different agencies for its protection (Shambaugh et al. 2001). Conflict in the DRC The conflicts that have affected the DRC remain complex and the reasons behind them remain difficult to fully understand (Prunier 2009; Stearns 2011). A brief summary of the conflicts and most significant remaining rebel forces in the country is set out below. The origins of conflict lie in the spill-over effects of the 1994 Rwandan Genocide, which led to the first invasion of the DRC by Rwandan and Ugandanbacked rebels who took control of the country under the new presidency of Laurent Kabila. A second conflict occurred soon after, which has been termed ‘Africa’s World War’ (Prunier 2009; Stearns 2011) due to the number of African states involved in the conflict. This conflict ended with a 2003 peace accord, but since then, there has continued to be latent insecurity in eastern DRC. In particular, instability has plagued the North and South Kivu provinces, where the remnants of the génocidaires continue to operate in the form of the Democratic Forces for the Liberation of Rwanda (FDLR) rebel group and where Rwanda continues to exert its influence through the support of rebel groups, including the National Congress for the Defence of the People (CNDP) and their most recent incarnation as the M23s.1 This range of conflicts had a significant effect on the environment in the DRC, including the devastation wrought on forests in the Kivus as a result of the refugee camps established there and the subsequent flight of refugees westwards. Accurate figures are difficult to come by and so the exact extent of the impact of conflict on the DRC is hard to measure, but some studies attempt to estimate the effects on the environment. The Impact of Conflict on the Environment in the DRC The effects of conflict on biodiversity in the DRC have been largely, but not wholly, negative. </w:t>
      </w:r>
      <w:r w:rsidRPr="004F2678">
        <w:rPr>
          <w:rStyle w:val="Emphasis"/>
          <w:highlight w:val="cyan"/>
        </w:rPr>
        <w:t>Poaching</w:t>
      </w:r>
      <w:r w:rsidRPr="004F2678">
        <w:rPr>
          <w:sz w:val="16"/>
          <w:highlight w:val="cyan"/>
        </w:rPr>
        <w:t xml:space="preserve"> </w:t>
      </w:r>
      <w:r w:rsidRPr="004F2678">
        <w:rPr>
          <w:rStyle w:val="StyleUnderline"/>
          <w:highlight w:val="cyan"/>
        </w:rPr>
        <w:t>and</w:t>
      </w:r>
      <w:r w:rsidRPr="004F2678">
        <w:rPr>
          <w:sz w:val="16"/>
          <w:highlight w:val="cyan"/>
        </w:rPr>
        <w:t xml:space="preserve"> </w:t>
      </w:r>
      <w:r w:rsidRPr="004F2678">
        <w:rPr>
          <w:rStyle w:val="Emphasis"/>
          <w:highlight w:val="cyan"/>
        </w:rPr>
        <w:t>defo</w:t>
      </w:r>
      <w:r w:rsidRPr="004F2678">
        <w:rPr>
          <w:rStyle w:val="Emphasis"/>
        </w:rPr>
        <w:t>restation</w:t>
      </w:r>
      <w:r w:rsidRPr="004F2678">
        <w:rPr>
          <w:sz w:val="16"/>
        </w:rPr>
        <w:t xml:space="preserve"> – </w:t>
      </w:r>
      <w:r w:rsidRPr="004F2678">
        <w:rPr>
          <w:rStyle w:val="StyleUnderline"/>
          <w:highlight w:val="cyan"/>
        </w:rPr>
        <w:t>by</w:t>
      </w:r>
      <w:r w:rsidRPr="004F2678">
        <w:rPr>
          <w:sz w:val="16"/>
          <w:highlight w:val="cyan"/>
        </w:rPr>
        <w:t xml:space="preserve"> </w:t>
      </w:r>
      <w:r w:rsidRPr="004F2678">
        <w:rPr>
          <w:rStyle w:val="Emphasis"/>
          <w:highlight w:val="cyan"/>
        </w:rPr>
        <w:t>armed groups</w:t>
      </w:r>
      <w:r w:rsidRPr="004F2678">
        <w:rPr>
          <w:sz w:val="16"/>
        </w:rPr>
        <w:t xml:space="preserve"> </w:t>
      </w:r>
      <w:r w:rsidRPr="004F2678">
        <w:rPr>
          <w:rStyle w:val="StyleUnderline"/>
        </w:rPr>
        <w:t>as a</w:t>
      </w:r>
      <w:r w:rsidRPr="004F2678">
        <w:rPr>
          <w:sz w:val="16"/>
        </w:rPr>
        <w:t xml:space="preserve"> </w:t>
      </w:r>
      <w:r w:rsidRPr="004F2678">
        <w:rPr>
          <w:rStyle w:val="Emphasis"/>
        </w:rPr>
        <w:t>source for funding</w:t>
      </w:r>
      <w:r w:rsidRPr="004F2678">
        <w:rPr>
          <w:sz w:val="16"/>
        </w:rPr>
        <w:t xml:space="preserve"> and by communities for bushmeat and firewood – has </w:t>
      </w:r>
      <w:r w:rsidRPr="004F2678">
        <w:rPr>
          <w:rStyle w:val="StyleUnderline"/>
          <w:highlight w:val="cyan"/>
        </w:rPr>
        <w:t>wrought</w:t>
      </w:r>
      <w:r w:rsidRPr="004F2678">
        <w:rPr>
          <w:sz w:val="16"/>
          <w:highlight w:val="cyan"/>
        </w:rPr>
        <w:t xml:space="preserve"> </w:t>
      </w:r>
      <w:r w:rsidRPr="004F2678">
        <w:rPr>
          <w:rStyle w:val="Emphasis"/>
          <w:highlight w:val="cyan"/>
        </w:rPr>
        <w:t>significant harm</w:t>
      </w:r>
      <w:r w:rsidRPr="004F2678">
        <w:rPr>
          <w:sz w:val="16"/>
        </w:rPr>
        <w:t xml:space="preserve"> on a plethora of species and protected areas. Forestry has nevertheless remained largely well protected, with deforestation levels far below those of neighbouring countries or those experienced as a consequence of the civil war in Liberia and Sierra Leone. </w:t>
      </w:r>
      <w:r w:rsidRPr="004F2678">
        <w:rPr>
          <w:rStyle w:val="StyleUnderline"/>
        </w:rPr>
        <w:t xml:space="preserve">Some </w:t>
      </w:r>
      <w:r w:rsidRPr="004F2678">
        <w:rPr>
          <w:rStyle w:val="StyleUnderline"/>
          <w:highlight w:val="cyan"/>
        </w:rPr>
        <w:t>areas</w:t>
      </w:r>
      <w:r w:rsidRPr="004F2678">
        <w:rPr>
          <w:sz w:val="16"/>
        </w:rPr>
        <w:t xml:space="preserve">, however, </w:t>
      </w:r>
      <w:r w:rsidRPr="004F2678">
        <w:rPr>
          <w:rStyle w:val="StyleUnderline"/>
        </w:rPr>
        <w:t>have</w:t>
      </w:r>
      <w:r w:rsidRPr="004F2678">
        <w:rPr>
          <w:sz w:val="16"/>
        </w:rPr>
        <w:t xml:space="preserve"> still </w:t>
      </w:r>
      <w:r w:rsidRPr="004F2678">
        <w:rPr>
          <w:rStyle w:val="StyleUnderline"/>
        </w:rPr>
        <w:t>been</w:t>
      </w:r>
      <w:r w:rsidRPr="004F2678">
        <w:rPr>
          <w:sz w:val="16"/>
        </w:rPr>
        <w:t xml:space="preserve"> </w:t>
      </w:r>
      <w:r w:rsidRPr="004F2678">
        <w:rPr>
          <w:rStyle w:val="Emphasis"/>
        </w:rPr>
        <w:t xml:space="preserve">severely </w:t>
      </w:r>
      <w:r w:rsidRPr="004F2678">
        <w:rPr>
          <w:rStyle w:val="Emphasis"/>
          <w:highlight w:val="cyan"/>
        </w:rPr>
        <w:t>deforested</w:t>
      </w:r>
      <w:r w:rsidRPr="004F2678">
        <w:rPr>
          <w:sz w:val="16"/>
        </w:rPr>
        <w:t xml:space="preserve"> as a result of the conflict, particularly those close to the refugee camps in the east of the country. The Virunga National Park suffered especially from the influx of refugees from Rwanda after the genocide in the mid 1990s because the majority of refugees settled in camps in and around Goma, in close proximity to, or inside, the national park. At first, these </w:t>
      </w:r>
      <w:r w:rsidRPr="004F2678">
        <w:rPr>
          <w:rStyle w:val="Emphasis"/>
          <w:highlight w:val="cyan"/>
        </w:rPr>
        <w:t>refugees</w:t>
      </w:r>
      <w:r w:rsidRPr="004F2678">
        <w:rPr>
          <w:sz w:val="16"/>
        </w:rPr>
        <w:t xml:space="preserve"> gathered deadwood from the forest. When this supply was exhausted, they </w:t>
      </w:r>
      <w:r w:rsidRPr="004F2678">
        <w:rPr>
          <w:rStyle w:val="StyleUnderline"/>
        </w:rPr>
        <w:t xml:space="preserve">started to </w:t>
      </w:r>
      <w:r w:rsidRPr="004F2678">
        <w:rPr>
          <w:rStyle w:val="Emphasis"/>
          <w:highlight w:val="cyan"/>
        </w:rPr>
        <w:t>cut</w:t>
      </w:r>
      <w:r w:rsidRPr="004F2678">
        <w:rPr>
          <w:sz w:val="16"/>
        </w:rPr>
        <w:t xml:space="preserve"> down </w:t>
      </w:r>
      <w:r w:rsidRPr="004F2678">
        <w:rPr>
          <w:rStyle w:val="Emphasis"/>
        </w:rPr>
        <w:t>trees</w:t>
      </w:r>
      <w:r w:rsidRPr="004F2678">
        <w:rPr>
          <w:sz w:val="16"/>
        </w:rPr>
        <w:t xml:space="preserve"> </w:t>
      </w:r>
      <w:r w:rsidRPr="004F2678">
        <w:rPr>
          <w:rStyle w:val="StyleUnderline"/>
        </w:rPr>
        <w:t>for</w:t>
      </w:r>
      <w:r w:rsidRPr="004F2678">
        <w:rPr>
          <w:sz w:val="16"/>
        </w:rPr>
        <w:t xml:space="preserve"> </w:t>
      </w:r>
      <w:r w:rsidRPr="004F2678">
        <w:rPr>
          <w:rStyle w:val="Emphasis"/>
          <w:highlight w:val="cyan"/>
        </w:rPr>
        <w:t>firewood</w:t>
      </w:r>
      <w:r w:rsidRPr="004F2678">
        <w:rPr>
          <w:sz w:val="16"/>
        </w:rPr>
        <w:t xml:space="preserve">. </w:t>
      </w:r>
      <w:r w:rsidRPr="004F2678">
        <w:rPr>
          <w:rStyle w:val="Emphasis"/>
          <w:highlight w:val="cyan"/>
        </w:rPr>
        <w:t>Conservation</w:t>
      </w:r>
      <w:r w:rsidRPr="004F2678">
        <w:rPr>
          <w:sz w:val="16"/>
        </w:rPr>
        <w:t xml:space="preserve"> </w:t>
      </w:r>
      <w:r w:rsidRPr="004F2678">
        <w:rPr>
          <w:rStyle w:val="StyleUnderline"/>
        </w:rPr>
        <w:t xml:space="preserve">efforts </w:t>
      </w:r>
      <w:r w:rsidRPr="004F2678">
        <w:rPr>
          <w:rStyle w:val="StyleUnderline"/>
          <w:highlight w:val="cyan"/>
        </w:rPr>
        <w:t>were</w:t>
      </w:r>
      <w:r w:rsidRPr="004F2678">
        <w:rPr>
          <w:sz w:val="16"/>
          <w:highlight w:val="cyan"/>
        </w:rPr>
        <w:t xml:space="preserve"> </w:t>
      </w:r>
      <w:r w:rsidRPr="004F2678">
        <w:rPr>
          <w:rStyle w:val="Emphasis"/>
          <w:highlight w:val="cyan"/>
        </w:rPr>
        <w:t>futile</w:t>
      </w:r>
      <w:r w:rsidRPr="004F2678">
        <w:rPr>
          <w:sz w:val="16"/>
        </w:rPr>
        <w:t xml:space="preserve">, not only because of the sheer numbers of refugees, but also </w:t>
      </w:r>
      <w:r w:rsidRPr="004F2678">
        <w:rPr>
          <w:rStyle w:val="StyleUnderline"/>
        </w:rPr>
        <w:t>because the defeated Rwandan Army was regrouping and taking control of the camps and thus there was</w:t>
      </w:r>
      <w:r w:rsidRPr="004F2678">
        <w:rPr>
          <w:sz w:val="16"/>
        </w:rPr>
        <w:t xml:space="preserve"> </w:t>
      </w:r>
      <w:r w:rsidRPr="004F2678">
        <w:rPr>
          <w:rStyle w:val="Emphasis"/>
        </w:rPr>
        <w:t>little the park rangers could do</w:t>
      </w:r>
      <w:r w:rsidRPr="004F2678">
        <w:rPr>
          <w:sz w:val="16"/>
        </w:rPr>
        <w:t xml:space="preserve"> in the face of the threat refugees posed (Brauer 2009). </w:t>
      </w:r>
      <w:r w:rsidRPr="004F2678">
        <w:rPr>
          <w:rStyle w:val="StyleUnderline"/>
        </w:rPr>
        <w:t xml:space="preserve">The ongoing presence of </w:t>
      </w:r>
      <w:r w:rsidRPr="004F2678">
        <w:rPr>
          <w:rStyle w:val="StyleUnderline"/>
          <w:highlight w:val="cyan"/>
        </w:rPr>
        <w:t>camps</w:t>
      </w:r>
      <w:r w:rsidRPr="004F2678">
        <w:rPr>
          <w:sz w:val="16"/>
        </w:rPr>
        <w:t xml:space="preserve"> around the park </w:t>
      </w:r>
      <w:r w:rsidRPr="004F2678">
        <w:rPr>
          <w:rStyle w:val="StyleUnderline"/>
          <w:highlight w:val="cyan"/>
        </w:rPr>
        <w:t xml:space="preserve">as a result of </w:t>
      </w:r>
      <w:r w:rsidRPr="004F2678">
        <w:rPr>
          <w:rStyle w:val="Emphasis"/>
          <w:highlight w:val="cyan"/>
        </w:rPr>
        <w:t>conflict</w:t>
      </w:r>
      <w:r w:rsidRPr="004F2678">
        <w:rPr>
          <w:rStyle w:val="StyleUnderline"/>
          <w:highlight w:val="cyan"/>
        </w:rPr>
        <w:t xml:space="preserve"> and</w:t>
      </w:r>
      <w:r w:rsidRPr="004F2678">
        <w:rPr>
          <w:sz w:val="16"/>
          <w:highlight w:val="cyan"/>
        </w:rPr>
        <w:t xml:space="preserve"> </w:t>
      </w:r>
      <w:r w:rsidRPr="004F2678">
        <w:rPr>
          <w:rStyle w:val="Emphasis"/>
          <w:highlight w:val="cyan"/>
        </w:rPr>
        <w:t>insecurity</w:t>
      </w:r>
      <w:r w:rsidRPr="004F2678">
        <w:rPr>
          <w:sz w:val="16"/>
        </w:rPr>
        <w:t xml:space="preserve"> </w:t>
      </w:r>
      <w:r w:rsidRPr="004F2678">
        <w:rPr>
          <w:rStyle w:val="StyleUnderline"/>
        </w:rPr>
        <w:t>since then have</w:t>
      </w:r>
      <w:r w:rsidRPr="004F2678">
        <w:rPr>
          <w:sz w:val="16"/>
        </w:rPr>
        <w:t xml:space="preserve"> </w:t>
      </w:r>
      <w:r w:rsidRPr="004F2678">
        <w:rPr>
          <w:rStyle w:val="Emphasis"/>
        </w:rPr>
        <w:t xml:space="preserve">continued to </w:t>
      </w:r>
      <w:r w:rsidRPr="004F2678">
        <w:rPr>
          <w:rStyle w:val="Emphasis"/>
          <w:highlight w:val="cyan"/>
        </w:rPr>
        <w:t>put</w:t>
      </w:r>
      <w:r w:rsidRPr="004F2678">
        <w:rPr>
          <w:rStyle w:val="Emphasis"/>
        </w:rPr>
        <w:t xml:space="preserve"> stresses and </w:t>
      </w:r>
      <w:r w:rsidRPr="004F2678">
        <w:rPr>
          <w:rStyle w:val="Emphasis"/>
          <w:highlight w:val="cyan"/>
        </w:rPr>
        <w:t>strains</w:t>
      </w:r>
      <w:r w:rsidRPr="004F2678">
        <w:rPr>
          <w:sz w:val="16"/>
        </w:rPr>
        <w:t xml:space="preserve"> on the park and it is estimated that </w:t>
      </w:r>
      <w:r w:rsidRPr="004F2678">
        <w:rPr>
          <w:rStyle w:val="StyleUnderline"/>
        </w:rPr>
        <w:t>at the</w:t>
      </w:r>
      <w:r w:rsidRPr="004F2678">
        <w:rPr>
          <w:sz w:val="16"/>
        </w:rPr>
        <w:t xml:space="preserve"> </w:t>
      </w:r>
      <w:r w:rsidRPr="004F2678">
        <w:rPr>
          <w:rStyle w:val="Emphasis"/>
        </w:rPr>
        <w:t>peak</w:t>
      </w:r>
      <w:r w:rsidRPr="004F2678">
        <w:rPr>
          <w:sz w:val="16"/>
        </w:rPr>
        <w:t xml:space="preserve"> </w:t>
      </w:r>
      <w:r w:rsidRPr="004F2678">
        <w:rPr>
          <w:rStyle w:val="StyleUnderline"/>
        </w:rPr>
        <w:t>of the crisis</w:t>
      </w:r>
      <w:r w:rsidRPr="004F2678">
        <w:rPr>
          <w:sz w:val="16"/>
        </w:rPr>
        <w:t xml:space="preserve">, 89 </w:t>
      </w:r>
      <w:r w:rsidRPr="004F2678">
        <w:rPr>
          <w:rStyle w:val="StyleUnderline"/>
        </w:rPr>
        <w:t>hectares of forest were being lost in the Virungas each day due to</w:t>
      </w:r>
      <w:r w:rsidRPr="004F2678">
        <w:rPr>
          <w:sz w:val="16"/>
        </w:rPr>
        <w:t xml:space="preserve"> </w:t>
      </w:r>
      <w:r w:rsidRPr="004F2678">
        <w:rPr>
          <w:rStyle w:val="Emphasis"/>
        </w:rPr>
        <w:t>firewood harvesting</w:t>
      </w:r>
      <w:r w:rsidRPr="004F2678">
        <w:rPr>
          <w:sz w:val="16"/>
        </w:rPr>
        <w:t xml:space="preserve"> (UNEP 2011). The forest suffered, but the mountain gorilla population in the Virungas2 has increased over the last two decades, although this appears to be more due to growth in the populations in Rwanda and Uganda than in the DRC (Brauer 2009). </w:t>
      </w:r>
      <w:r w:rsidRPr="004F2678">
        <w:rPr>
          <w:rStyle w:val="StyleUnderline"/>
        </w:rPr>
        <w:t>Congolese</w:t>
      </w:r>
      <w:r w:rsidRPr="004F2678">
        <w:rPr>
          <w:sz w:val="16"/>
        </w:rPr>
        <w:t xml:space="preserve"> </w:t>
      </w:r>
      <w:r w:rsidRPr="004F2678">
        <w:rPr>
          <w:rStyle w:val="Emphasis"/>
          <w:highlight w:val="cyan"/>
        </w:rPr>
        <w:t>gorillas</w:t>
      </w:r>
      <w:r w:rsidRPr="004F2678">
        <w:rPr>
          <w:sz w:val="16"/>
        </w:rPr>
        <w:t xml:space="preserve"> </w:t>
      </w:r>
      <w:r w:rsidRPr="004F2678">
        <w:rPr>
          <w:rStyle w:val="StyleUnderline"/>
        </w:rPr>
        <w:t xml:space="preserve">seem to have </w:t>
      </w:r>
      <w:r w:rsidRPr="004F2678">
        <w:rPr>
          <w:rStyle w:val="StyleUnderline"/>
          <w:highlight w:val="cyan"/>
        </w:rPr>
        <w:t>suffered</w:t>
      </w:r>
      <w:r w:rsidRPr="004F2678">
        <w:rPr>
          <w:sz w:val="16"/>
        </w:rPr>
        <w:t xml:space="preserve"> far more from the Rwandan Civil War and genocide and the subsequent Congo War than those on the Rwandan side, who are generally better studied and protected (Brauer 2009). The threat of violence has restricted access to the gorillas in the DRC, whereas the greater security and successful tourist industry in Rwanda has provided far better access, infrastructure and financial incentives to carry out work to protect the gorillas and promote a growth in numbers. In contrast, several gorillas have been killed in the Congolese section of the gorilla habitat as retaliation for efforts by park rangers to limit the charcoal trade and its resulting deforestation (Nelleman et al. 2010). Another protected area that has been badly affected by conflict has been the Kahuzi-Biega National Park. Much like in the Virunga National Park, refugees from the Rwandan Civil War and genocide set up camps in the Kahuzi-Biega National Park and soon began felling trees for building materials and firewood. One of the differences, however, is that for the Virunga National Park the invasion of Rwanda and the beginning of the first Congolese War provided some respite from the destruction wrought by the camps as the refugees were forced west across the country, whereas the Kahuzi-Biega National Park suffered immensely as refugees fled directly through the park, poaching elephants and decimating the gorilla population. It is estimated that as a result of this movement and the ongoing effects of conflict in the region, the elephant population has declined from 1,350–3,600 to almost zero, and the eastern lowland gorilla population has been reduced from 17,000 to 2,000–3,000 (Brauer 2009). The successful tourist industry has also been decimated by the war, as latent conflict and lack of stability has discouraged visitors to the Kahuzi-Biega National Park, resulting in a loss of funds and thus the ability to further protect against environmental degradation. Better facilities in the Virunga National Park, as well as interest in the popular and better-known mountain gorilla, has also contributed to the loss of interest in and protection for the eastern lowland gorillas in Kahuzi-Biega. The Kahuzi-Biega National Park also faces mining problems, as is the case in many areas of the DRC. </w:t>
      </w:r>
      <w:r w:rsidRPr="004F2678">
        <w:rPr>
          <w:rStyle w:val="StyleUnderline"/>
        </w:rPr>
        <w:t>Illegal extraction of minerals, such as gold and coltan that occurred under the control of a</w:t>
      </w:r>
      <w:r w:rsidRPr="004F2678">
        <w:rPr>
          <w:sz w:val="16"/>
        </w:rPr>
        <w:t xml:space="preserve"> </w:t>
      </w:r>
      <w:r w:rsidRPr="004F2678">
        <w:rPr>
          <w:rStyle w:val="Emphasis"/>
        </w:rPr>
        <w:t>militia</w:t>
      </w:r>
      <w:r w:rsidRPr="004F2678">
        <w:rPr>
          <w:sz w:val="16"/>
        </w:rPr>
        <w:t xml:space="preserve">, </w:t>
      </w:r>
      <w:r w:rsidRPr="004F2678">
        <w:rPr>
          <w:rStyle w:val="StyleUnderline"/>
        </w:rPr>
        <w:t xml:space="preserve">is frequently </w:t>
      </w:r>
      <w:r w:rsidRPr="004F2678">
        <w:rPr>
          <w:rStyle w:val="Emphasis"/>
        </w:rPr>
        <w:t>accompanied</w:t>
      </w:r>
      <w:r w:rsidRPr="004F2678">
        <w:rPr>
          <w:rStyle w:val="StyleUnderline"/>
        </w:rPr>
        <w:t xml:space="preserve"> by the </w:t>
      </w:r>
      <w:r w:rsidRPr="004F2678">
        <w:rPr>
          <w:rStyle w:val="Emphasis"/>
        </w:rPr>
        <w:t>felling of trees</w:t>
      </w:r>
      <w:r w:rsidRPr="004F2678">
        <w:rPr>
          <w:sz w:val="16"/>
        </w:rPr>
        <w:t xml:space="preserve"> </w:t>
      </w:r>
      <w:r w:rsidRPr="004F2678">
        <w:rPr>
          <w:rStyle w:val="StyleUnderline"/>
        </w:rPr>
        <w:t>and</w:t>
      </w:r>
      <w:r w:rsidRPr="004F2678">
        <w:rPr>
          <w:sz w:val="16"/>
        </w:rPr>
        <w:t xml:space="preserve"> </w:t>
      </w:r>
      <w:r w:rsidRPr="004F2678">
        <w:rPr>
          <w:rStyle w:val="Emphasis"/>
        </w:rPr>
        <w:t>poaching of animals</w:t>
      </w:r>
      <w:r w:rsidRPr="004F2678">
        <w:rPr>
          <w:sz w:val="16"/>
        </w:rPr>
        <w:t xml:space="preserve"> </w:t>
      </w:r>
      <w:r w:rsidRPr="004F2678">
        <w:rPr>
          <w:rStyle w:val="StyleUnderline"/>
        </w:rPr>
        <w:t>for</w:t>
      </w:r>
      <w:r w:rsidRPr="004F2678">
        <w:rPr>
          <w:sz w:val="16"/>
        </w:rPr>
        <w:t xml:space="preserve"> </w:t>
      </w:r>
      <w:r w:rsidRPr="004F2678">
        <w:rPr>
          <w:rStyle w:val="Emphasis"/>
        </w:rPr>
        <w:t>bushmeat</w:t>
      </w:r>
      <w:r w:rsidRPr="004F2678">
        <w:rPr>
          <w:sz w:val="16"/>
        </w:rPr>
        <w:t xml:space="preserve"> </w:t>
      </w:r>
      <w:r w:rsidRPr="004F2678">
        <w:rPr>
          <w:rStyle w:val="StyleUnderline"/>
        </w:rPr>
        <w:t>to feed those employed in the mines and as a</w:t>
      </w:r>
      <w:r w:rsidRPr="004F2678">
        <w:rPr>
          <w:sz w:val="16"/>
        </w:rPr>
        <w:t xml:space="preserve"> </w:t>
      </w:r>
      <w:r w:rsidRPr="004F2678">
        <w:rPr>
          <w:rStyle w:val="Emphasis"/>
        </w:rPr>
        <w:t>secondary source of income</w:t>
      </w:r>
      <w:r w:rsidRPr="004F2678">
        <w:rPr>
          <w:sz w:val="16"/>
        </w:rPr>
        <w:t xml:space="preserve"> </w:t>
      </w:r>
      <w:r w:rsidRPr="004F2678">
        <w:rPr>
          <w:rStyle w:val="StyleUnderline"/>
        </w:rPr>
        <w:t>through the provision of charcoal and meat to communities in the area</w:t>
      </w:r>
      <w:r w:rsidRPr="004F2678">
        <w:rPr>
          <w:sz w:val="16"/>
        </w:rPr>
        <w:t xml:space="preserve"> (Nelleman et al. 2010). </w:t>
      </w:r>
      <w:r w:rsidRPr="004F2678">
        <w:rPr>
          <w:rStyle w:val="StyleUnderline"/>
        </w:rPr>
        <w:t>The presence of valuable natural resources</w:t>
      </w:r>
      <w:r w:rsidRPr="004F2678">
        <w:rPr>
          <w:sz w:val="16"/>
        </w:rPr>
        <w:t xml:space="preserve"> in parts of Kahuzi-Biega National Park and elsewhere, therefore </w:t>
      </w:r>
      <w:r w:rsidRPr="004F2678">
        <w:rPr>
          <w:rStyle w:val="StyleUnderline"/>
        </w:rPr>
        <w:t>contributes to</w:t>
      </w:r>
      <w:r w:rsidRPr="004F2678">
        <w:rPr>
          <w:sz w:val="16"/>
        </w:rPr>
        <w:t xml:space="preserve"> </w:t>
      </w:r>
      <w:r w:rsidRPr="004F2678">
        <w:rPr>
          <w:rStyle w:val="Emphasis"/>
        </w:rPr>
        <w:t>environmental harm</w:t>
      </w:r>
      <w:r w:rsidRPr="004F2678">
        <w:rPr>
          <w:rStyle w:val="StyleUnderline"/>
        </w:rPr>
        <w:t xml:space="preserve">, both from </w:t>
      </w:r>
      <w:r w:rsidRPr="004F2678">
        <w:rPr>
          <w:rStyle w:val="Emphasis"/>
        </w:rPr>
        <w:t>polluted water run-off</w:t>
      </w:r>
      <w:r w:rsidRPr="004F2678">
        <w:rPr>
          <w:sz w:val="16"/>
        </w:rPr>
        <w:t xml:space="preserve"> </w:t>
      </w:r>
      <w:r w:rsidRPr="004F2678">
        <w:rPr>
          <w:rStyle w:val="StyleUnderline"/>
        </w:rPr>
        <w:t>and</w:t>
      </w:r>
      <w:r w:rsidRPr="004F2678">
        <w:rPr>
          <w:sz w:val="16"/>
        </w:rPr>
        <w:t xml:space="preserve"> </w:t>
      </w:r>
      <w:r w:rsidRPr="004F2678">
        <w:rPr>
          <w:rStyle w:val="Emphasis"/>
        </w:rPr>
        <w:t>destruction</w:t>
      </w:r>
      <w:r w:rsidRPr="004F2678">
        <w:rPr>
          <w:sz w:val="16"/>
        </w:rPr>
        <w:t xml:space="preserve"> </w:t>
      </w:r>
      <w:r w:rsidRPr="004F2678">
        <w:rPr>
          <w:rStyle w:val="StyleUnderline"/>
        </w:rPr>
        <w:t>caused by the</w:t>
      </w:r>
      <w:r w:rsidRPr="004F2678">
        <w:rPr>
          <w:sz w:val="16"/>
        </w:rPr>
        <w:t xml:space="preserve"> </w:t>
      </w:r>
      <w:r w:rsidRPr="004F2678">
        <w:rPr>
          <w:rStyle w:val="Emphasis"/>
        </w:rPr>
        <w:t>mineral mines themselves</w:t>
      </w:r>
      <w:r w:rsidRPr="004F2678">
        <w:rPr>
          <w:rStyle w:val="StyleUnderline"/>
        </w:rPr>
        <w:t>, as well as the additional harm caused by the presence of</w:t>
      </w:r>
      <w:r w:rsidRPr="004F2678">
        <w:rPr>
          <w:sz w:val="16"/>
        </w:rPr>
        <w:t xml:space="preserve"> </w:t>
      </w:r>
      <w:r w:rsidRPr="004F2678">
        <w:rPr>
          <w:rStyle w:val="Emphasis"/>
        </w:rPr>
        <w:t>workers</w:t>
      </w:r>
      <w:r w:rsidRPr="004F2678">
        <w:rPr>
          <w:sz w:val="16"/>
        </w:rPr>
        <w:t xml:space="preserve"> </w:t>
      </w:r>
      <w:r w:rsidRPr="004F2678">
        <w:rPr>
          <w:rStyle w:val="StyleUnderline"/>
        </w:rPr>
        <w:t>there</w:t>
      </w:r>
      <w:r w:rsidRPr="004F2678">
        <w:rPr>
          <w:sz w:val="16"/>
        </w:rPr>
        <w:t xml:space="preserve">. </w:t>
      </w:r>
      <w:r w:rsidRPr="004F2678">
        <w:rPr>
          <w:rStyle w:val="StyleUnderline"/>
        </w:rPr>
        <w:t xml:space="preserve">Because the militias operating in these regions are </w:t>
      </w:r>
      <w:r w:rsidRPr="004F2678">
        <w:rPr>
          <w:rStyle w:val="Emphasis"/>
        </w:rPr>
        <w:t>armed</w:t>
      </w:r>
      <w:r w:rsidRPr="004F2678">
        <w:rPr>
          <w:sz w:val="16"/>
        </w:rPr>
        <w:t xml:space="preserve"> </w:t>
      </w:r>
      <w:r w:rsidRPr="004F2678">
        <w:rPr>
          <w:rStyle w:val="StyleUnderline"/>
        </w:rPr>
        <w:t>and</w:t>
      </w:r>
      <w:r w:rsidRPr="004F2678">
        <w:rPr>
          <w:sz w:val="16"/>
        </w:rPr>
        <w:t xml:space="preserve"> </w:t>
      </w:r>
      <w:r w:rsidRPr="004F2678">
        <w:rPr>
          <w:rStyle w:val="Emphasis"/>
        </w:rPr>
        <w:t>outnumber</w:t>
      </w:r>
      <w:r w:rsidRPr="004F2678">
        <w:rPr>
          <w:sz w:val="16"/>
        </w:rPr>
        <w:t xml:space="preserve"> the limited number of Congolese Wildlife Service (ICCN) </w:t>
      </w:r>
      <w:r w:rsidRPr="004F2678">
        <w:rPr>
          <w:rStyle w:val="Emphasis"/>
        </w:rPr>
        <w:t>rangers</w:t>
      </w:r>
      <w:r w:rsidRPr="004F2678">
        <w:rPr>
          <w:sz w:val="16"/>
        </w:rPr>
        <w:t xml:space="preserve"> </w:t>
      </w:r>
      <w:r w:rsidRPr="004F2678">
        <w:rPr>
          <w:rStyle w:val="StyleUnderline"/>
        </w:rPr>
        <w:t>working in these areas, it is</w:t>
      </w:r>
      <w:r w:rsidRPr="004F2678">
        <w:rPr>
          <w:sz w:val="16"/>
        </w:rPr>
        <w:t xml:space="preserve"> especially </w:t>
      </w:r>
      <w:r w:rsidRPr="004F2678">
        <w:rPr>
          <w:rStyle w:val="Emphasis"/>
        </w:rPr>
        <w:t>difficult</w:t>
      </w:r>
      <w:r w:rsidRPr="004F2678">
        <w:rPr>
          <w:sz w:val="16"/>
        </w:rPr>
        <w:t xml:space="preserve"> </w:t>
      </w:r>
      <w:r w:rsidRPr="004F2678">
        <w:rPr>
          <w:rStyle w:val="StyleUnderline"/>
        </w:rPr>
        <w:t>for the</w:t>
      </w:r>
      <w:r w:rsidRPr="004F2678">
        <w:rPr>
          <w:sz w:val="16"/>
        </w:rPr>
        <w:t xml:space="preserve"> ICCN </w:t>
      </w:r>
      <w:r w:rsidRPr="004F2678">
        <w:rPr>
          <w:rStyle w:val="StyleUnderline"/>
        </w:rPr>
        <w:t>rangers to prevent the direct and associated environmental harms caused by mining activities</w:t>
      </w:r>
      <w:r w:rsidRPr="004F2678">
        <w:rPr>
          <w:sz w:val="12"/>
        </w:rPr>
        <w:t xml:space="preserve">. Other protected areas and their wildlife have also suffered huge losses through the course of the conflicts described above. For example, while accurate numbers are difficult to obtain, it is estimated that the number of elephants in Garamba National Park, in the Northeastern part of the DRC, has fallen from 20,000 in the 1970s to fewer than 2,000 today (Agger and Hutson 2013). The Okapi Faunal Reserve, to offer another example, has suffered losses as a result of the conflict as rebel forces have moved into the area, sacked the headquarters of the ICCN, and have started hunting for bushmeat and ivory, both for sale and to feed the soldiers based between Bunia and Kisangani (Beyers et al. 2011). The worst effects of the conflict in this reserve came between 2002 and 2004 as rebel militias fought in areas of high elephant density (Beyers et al. 2011). Since then, there have been periods of respite, as control of the territory has been largely regained by ICCN, with support from the Congolese Army (FARDC), but in 2009, there was another increase in poaching led by the FARDC (Beyers et al. 2011). Throughout the DRC as a whole, it is estimated that elephant populations have fallen from over 100,000 fifty years ago to fewer than 20,000 today, and their numbers continue to drop (Hart 2009). It can therefore be seen that many protected areas have endured significant losses in wildlife and forestry as a result of the conflict and accompanying refugee crisis. But from a purely ecological perspective, conflict itself is not necessarily the only cause of ecological destruction and may in fact have had some protective consequences. While the forestry of the DRC has suffered the effects of conflict, deforestation has been far worse in other nations such as Liberia or Indonesia. In spite of the DRC’s great swathes of forest, which are comfortably the largest in Africa, the current annual logging rate of 0.33 per cent remains far below other states in Central and West Africa, and this can be attributed to the conflict in the DRC, which has largely prevented mass forest exploitation in the country (Seyler et al. 2010). In other words, whereas some countries have experienced mass deforestation (due to a lack of other economic opportunities), conflict in the DRC has prevented deforestation from occurring at the same rate and on the same scale. The number of active timber companies in the DRC declined by around threequarters and many sawmills have closed or reduced their capacity due to insecurity in the DRC and are instead waiting for stability to return to the region so that they can reengage their capital in timber exploitation. Most of the DRC’s export timber is found in northern Equateur and Orientale provinces, both of which are controlled by rebel groups, and Kisangani was the main transfer site for moving it down river to Kinshasa. Somewhat ironically, armed conflict has served to protect some of DRC’s forests by severely restricting the timber trade in some regions (Baker et al. 2003).In addition, the dilapidated state of infrastructure in the DRC has prevented the use of capital for logging and hindered the ability of companies or groups to export timber in great quantities, and rebel forces have been able to prevent transportation on the River Congo – the only other option in the country for transporting goods to markets. While rebel groups have felled trees and exported timber to assist in the funding of their campaigns, the overall effect of the conflict on the DRC’s forests has not been that severe – at least in comparison to the timber exportation for four other African countries: Cameroon, Gabon, the Ivory Coast and Liberia. All four of these countries have a small fraction of the forestry that the DRC contains, and yet each has exported more than double the amount of wood that the DRC has exported in the same time frame (Baker et al. 2003). While overall rates of deforestation in the DRC have been low, conflict in the DRC has forced some companies to log in government-held areas and locations where rebels are absent in order to recoup their investments because they cannot carry on logging in rebel held areas. This has placed greater pressure on the Bas-Congo forest, which has been the worst affected area, because there is both easy access to the forest and it lies in close proximity to the port city of Matadi as well as Kinshasa. Furthermore, when government employees do not receive their wages, they are often instead paid with forest concessions. Additional deforestation and subsequent soil erosion and soil loss has been due to subsistence agriculture on steep slopes. The conclusion, then, is that conflict in some regions of the DRC has reduced deforestation for timber export in those regions, but in so doing has stressed those regions that are conflict-free; those conflict-free regions have experienced even further strain because of deforestation linked to economic instability (e.g., forest concessions in lieu of salary, felling trees for subsistence agriculture) (Baker et al. 2003). While the conflict in the DRC has therefore served as an unfortunate but effective protection mechanism for much of the country’s forestry, severe threats remain. </w:t>
      </w:r>
      <w:r w:rsidRPr="004F2678">
        <w:rPr>
          <w:rStyle w:val="StyleUnderline"/>
        </w:rPr>
        <w:t xml:space="preserve">As worldwide forestry declines, the </w:t>
      </w:r>
      <w:r w:rsidRPr="004F2678">
        <w:rPr>
          <w:rStyle w:val="StyleUnderline"/>
          <w:highlight w:val="cyan"/>
        </w:rPr>
        <w:t>DRC’s</w:t>
      </w:r>
      <w:r w:rsidRPr="004F2678">
        <w:rPr>
          <w:sz w:val="16"/>
        </w:rPr>
        <w:t xml:space="preserve"> well-preserved </w:t>
      </w:r>
      <w:r w:rsidRPr="004F2678">
        <w:rPr>
          <w:rStyle w:val="StyleUnderline"/>
          <w:highlight w:val="cyan"/>
        </w:rPr>
        <w:t>forests</w:t>
      </w:r>
      <w:r w:rsidRPr="004F2678">
        <w:rPr>
          <w:rStyle w:val="StyleUnderline"/>
        </w:rPr>
        <w:t xml:space="preserve"> will be of</w:t>
      </w:r>
      <w:r w:rsidRPr="004F2678">
        <w:rPr>
          <w:sz w:val="16"/>
        </w:rPr>
        <w:t xml:space="preserve"> </w:t>
      </w:r>
      <w:r w:rsidRPr="004F2678">
        <w:rPr>
          <w:rStyle w:val="Emphasis"/>
        </w:rPr>
        <w:t>increasing appeal</w:t>
      </w:r>
      <w:r w:rsidRPr="004F2678">
        <w:rPr>
          <w:sz w:val="16"/>
        </w:rPr>
        <w:t xml:space="preserve"> </w:t>
      </w:r>
      <w:r w:rsidRPr="004F2678">
        <w:rPr>
          <w:rStyle w:val="StyleUnderline"/>
        </w:rPr>
        <w:t>to timber firms. If</w:t>
      </w:r>
      <w:r w:rsidRPr="004F2678">
        <w:rPr>
          <w:sz w:val="16"/>
        </w:rPr>
        <w:t xml:space="preserve">, as seems likely, </w:t>
      </w:r>
      <w:r w:rsidRPr="004F2678">
        <w:rPr>
          <w:rStyle w:val="StyleUnderline"/>
        </w:rPr>
        <w:t>the country continues to be afflicted by</w:t>
      </w:r>
      <w:r w:rsidRPr="004F2678">
        <w:rPr>
          <w:sz w:val="16"/>
        </w:rPr>
        <w:t xml:space="preserve"> </w:t>
      </w:r>
      <w:r w:rsidRPr="004F2678">
        <w:rPr>
          <w:rStyle w:val="Emphasis"/>
        </w:rPr>
        <w:t>insecurity</w:t>
      </w:r>
      <w:r w:rsidRPr="004F2678">
        <w:rPr>
          <w:sz w:val="16"/>
        </w:rPr>
        <w:t xml:space="preserve"> and weak and corrupt central and local governments, </w:t>
      </w:r>
      <w:r w:rsidRPr="004F2678">
        <w:rPr>
          <w:rStyle w:val="StyleUnderline"/>
        </w:rPr>
        <w:t xml:space="preserve">it will </w:t>
      </w:r>
      <w:r w:rsidRPr="004F2678">
        <w:rPr>
          <w:rStyle w:val="StyleUnderline"/>
          <w:highlight w:val="cyan"/>
        </w:rPr>
        <w:t>attract</w:t>
      </w:r>
      <w:r w:rsidRPr="004F2678">
        <w:rPr>
          <w:rStyle w:val="StyleUnderline"/>
        </w:rPr>
        <w:t xml:space="preserve"> the</w:t>
      </w:r>
      <w:r w:rsidRPr="004F2678">
        <w:rPr>
          <w:sz w:val="16"/>
        </w:rPr>
        <w:t xml:space="preserve"> </w:t>
      </w:r>
      <w:r w:rsidRPr="004F2678">
        <w:rPr>
          <w:rStyle w:val="Emphasis"/>
        </w:rPr>
        <w:t xml:space="preserve">most </w:t>
      </w:r>
      <w:r w:rsidRPr="004F2678">
        <w:rPr>
          <w:rStyle w:val="Emphasis"/>
          <w:highlight w:val="cyan"/>
        </w:rPr>
        <w:t>unscrupulous</w:t>
      </w:r>
      <w:r w:rsidRPr="004F2678">
        <w:rPr>
          <w:sz w:val="16"/>
        </w:rPr>
        <w:t xml:space="preserve"> of </w:t>
      </w:r>
      <w:r w:rsidRPr="004F2678">
        <w:rPr>
          <w:rStyle w:val="Emphasis"/>
        </w:rPr>
        <w:t xml:space="preserve">logging </w:t>
      </w:r>
      <w:r w:rsidRPr="004F2678">
        <w:rPr>
          <w:rStyle w:val="Emphasis"/>
          <w:highlight w:val="cyan"/>
        </w:rPr>
        <w:t>firms</w:t>
      </w:r>
      <w:r w:rsidRPr="004F2678">
        <w:rPr>
          <w:rStyle w:val="StyleUnderline"/>
          <w:highlight w:val="cyan"/>
        </w:rPr>
        <w:t>, with</w:t>
      </w:r>
      <w:r w:rsidRPr="004F2678">
        <w:rPr>
          <w:sz w:val="16"/>
          <w:highlight w:val="cyan"/>
        </w:rPr>
        <w:t xml:space="preserve"> </w:t>
      </w:r>
      <w:r w:rsidRPr="004F2678">
        <w:rPr>
          <w:rStyle w:val="Emphasis"/>
          <w:highlight w:val="cyan"/>
        </w:rPr>
        <w:t>little interest</w:t>
      </w:r>
      <w:r w:rsidRPr="004F2678">
        <w:rPr>
          <w:sz w:val="16"/>
          <w:highlight w:val="cyan"/>
        </w:rPr>
        <w:t xml:space="preserve"> </w:t>
      </w:r>
      <w:r w:rsidRPr="004F2678">
        <w:rPr>
          <w:rStyle w:val="StyleUnderline"/>
          <w:highlight w:val="cyan"/>
        </w:rPr>
        <w:t>in</w:t>
      </w:r>
      <w:r w:rsidRPr="004F2678">
        <w:rPr>
          <w:sz w:val="16"/>
          <w:highlight w:val="cyan"/>
        </w:rPr>
        <w:t xml:space="preserve"> </w:t>
      </w:r>
      <w:r w:rsidRPr="004F2678">
        <w:rPr>
          <w:rStyle w:val="Emphasis"/>
          <w:highlight w:val="cyan"/>
        </w:rPr>
        <w:t>sustainable</w:t>
      </w:r>
      <w:r w:rsidRPr="004F2678">
        <w:rPr>
          <w:rStyle w:val="Emphasis"/>
        </w:rPr>
        <w:t xml:space="preserve"> logging </w:t>
      </w:r>
      <w:r w:rsidRPr="004F2678">
        <w:rPr>
          <w:rStyle w:val="Emphasis"/>
          <w:highlight w:val="cyan"/>
        </w:rPr>
        <w:t>practices</w:t>
      </w:r>
      <w:r w:rsidRPr="004F2678">
        <w:rPr>
          <w:sz w:val="16"/>
        </w:rPr>
        <w:t xml:space="preserve">. This increases the probability that the DRC’s forests will start to be more adversely affected by logging, both in terms of the number of trees cut down and areas in which they are felled. </w:t>
      </w:r>
      <w:r w:rsidRPr="004F2678">
        <w:rPr>
          <w:rStyle w:val="StyleUnderline"/>
        </w:rPr>
        <w:t xml:space="preserve">Companies more interested in shortterm profit than sustainable forestry and that are willing to pay bribes to increase their logging activities and exports </w:t>
      </w:r>
      <w:r w:rsidRPr="004F2678">
        <w:rPr>
          <w:rStyle w:val="StyleUnderline"/>
          <w:highlight w:val="cyan"/>
        </w:rPr>
        <w:t>will</w:t>
      </w:r>
      <w:r w:rsidRPr="004F2678">
        <w:rPr>
          <w:rStyle w:val="StyleUnderline"/>
        </w:rPr>
        <w:t xml:space="preserve"> help </w:t>
      </w:r>
      <w:r w:rsidRPr="004F2678">
        <w:rPr>
          <w:rStyle w:val="Emphasis"/>
          <w:highlight w:val="cyan"/>
        </w:rPr>
        <w:t>entrench corruption</w:t>
      </w:r>
      <w:r w:rsidRPr="004F2678">
        <w:rPr>
          <w:sz w:val="16"/>
        </w:rPr>
        <w:t xml:space="preserve"> </w:t>
      </w:r>
      <w:r w:rsidRPr="004F2678">
        <w:rPr>
          <w:rStyle w:val="StyleUnderline"/>
        </w:rPr>
        <w:t xml:space="preserve">and </w:t>
      </w:r>
      <w:r w:rsidRPr="004F2678">
        <w:rPr>
          <w:rStyle w:val="Emphasis"/>
        </w:rPr>
        <w:t>prevent a real change to forestry</w:t>
      </w:r>
      <w:r w:rsidRPr="004F2678">
        <w:rPr>
          <w:sz w:val="16"/>
        </w:rPr>
        <w:t xml:space="preserve"> law and the enforcement thereof, </w:t>
      </w:r>
      <w:r w:rsidRPr="004F2678">
        <w:rPr>
          <w:rStyle w:val="StyleUnderline"/>
        </w:rPr>
        <w:t xml:space="preserve">thereby threatening the </w:t>
      </w:r>
      <w:r w:rsidRPr="004F2678">
        <w:rPr>
          <w:rStyle w:val="Emphasis"/>
        </w:rPr>
        <w:t>long-term vitality of the DRC’s forests</w:t>
      </w:r>
      <w:r w:rsidRPr="004F2678">
        <w:rPr>
          <w:sz w:val="16"/>
        </w:rPr>
        <w:t xml:space="preserve"> (Baker et al. 2003).</w:t>
      </w:r>
    </w:p>
    <w:p w14:paraId="3042CE81" w14:textId="4397E066" w:rsidR="00822AE1" w:rsidRDefault="00822AE1" w:rsidP="00773EB8">
      <w:pPr>
        <w:pStyle w:val="Heading3"/>
      </w:pPr>
      <w:r>
        <w:t>NB---Internal---Court Clog---2NC</w:t>
      </w:r>
    </w:p>
    <w:p w14:paraId="212CC8F0" w14:textId="77777777" w:rsidR="00822AE1" w:rsidRDefault="00822AE1" w:rsidP="00822AE1">
      <w:pPr>
        <w:pStyle w:val="Heading4"/>
      </w:pPr>
      <w:r>
        <w:t>The counterplan is better than the courts, ITC prevents clogs</w:t>
      </w:r>
    </w:p>
    <w:p w14:paraId="4E256D30" w14:textId="77777777" w:rsidR="00822AE1" w:rsidRDefault="00822AE1" w:rsidP="00822AE1">
      <w:r w:rsidRPr="000162E5">
        <w:t xml:space="preserve">David A. </w:t>
      </w:r>
      <w:r w:rsidRPr="000162E5">
        <w:rPr>
          <w:b/>
          <w:bCs/>
          <w:sz w:val="26"/>
          <w:szCs w:val="26"/>
        </w:rPr>
        <w:t>Hickerson 23</w:t>
      </w:r>
      <w:r w:rsidRPr="000162E5">
        <w:t xml:space="preserve">, </w:t>
      </w:r>
      <w:r>
        <w:t xml:space="preserve">David Hickerson isa a litigation attorney at Foley and Lardner and is head of the </w:t>
      </w:r>
      <w:r w:rsidRPr="000162E5">
        <w:t>firm’s ITC Section 337 Practice</w:t>
      </w:r>
      <w:r>
        <w:t xml:space="preserve">, </w:t>
      </w:r>
      <w:r w:rsidRPr="000162E5">
        <w:t>7-12-2023, "What Every Multinational Company Should Know About . . . Section 337 Cases at the International Trade Commission", Foley &amp; Lardner LLP, https://www.foley.com/insights/publications/2023/07/multinational-corporation-section-337-cases-itc///susu</w:t>
      </w:r>
    </w:p>
    <w:p w14:paraId="0CDAA7A7" w14:textId="77777777" w:rsidR="00822AE1" w:rsidRPr="000162E5" w:rsidRDefault="00822AE1" w:rsidP="00822AE1">
      <w:pPr>
        <w:rPr>
          <w:u w:val="single"/>
        </w:rPr>
      </w:pPr>
      <w:r w:rsidRPr="000162E5">
        <w:rPr>
          <w:u w:val="single"/>
        </w:rPr>
        <w:t xml:space="preserve">The Advantages of the </w:t>
      </w:r>
      <w:r w:rsidRPr="000162E5">
        <w:rPr>
          <w:b/>
          <w:bCs/>
          <w:u w:val="single"/>
        </w:rPr>
        <w:t>ITC</w:t>
      </w:r>
      <w:r w:rsidRPr="000162E5">
        <w:rPr>
          <w:u w:val="single"/>
        </w:rPr>
        <w:t xml:space="preserve"> when Compared to </w:t>
      </w:r>
      <w:r w:rsidRPr="000162E5">
        <w:rPr>
          <w:b/>
          <w:bCs/>
          <w:u w:val="single"/>
        </w:rPr>
        <w:t>U.S. District Courts</w:t>
      </w:r>
    </w:p>
    <w:p w14:paraId="3B5E63A5" w14:textId="77777777" w:rsidR="00822AE1" w:rsidRPr="00A74199" w:rsidRDefault="00822AE1" w:rsidP="00822AE1">
      <w:pPr>
        <w:rPr>
          <w:sz w:val="12"/>
        </w:rPr>
      </w:pPr>
      <w:r w:rsidRPr="00A74199">
        <w:rPr>
          <w:sz w:val="12"/>
        </w:rPr>
        <w:t>There are several advantages to bringing a Section 337 investigation over litigation in a U.S. district court — namely, the remedies available, expediency of the investigation, and jurisdictional benefits.</w:t>
      </w:r>
    </w:p>
    <w:p w14:paraId="2F2190B3" w14:textId="77777777" w:rsidR="00822AE1" w:rsidRPr="00A74199" w:rsidRDefault="00822AE1" w:rsidP="00822AE1">
      <w:pPr>
        <w:rPr>
          <w:sz w:val="12"/>
          <w:vertAlign w:val="superscript"/>
        </w:rPr>
      </w:pPr>
      <w:r w:rsidRPr="00A74199">
        <w:rPr>
          <w:sz w:val="12"/>
        </w:rPr>
        <w:t>First, the ITC’s exclusionary power might be the most important advantage of pursuing a Section 337 proceeding. If a complainant succeeds in a Section 337 proceeding, the ITC has two types of remedial orders at its disposal</w:t>
      </w:r>
      <w:r w:rsidRPr="000162E5">
        <w:t xml:space="preserve">: </w:t>
      </w:r>
      <w:r w:rsidRPr="00A74199">
        <w:rPr>
          <w:u w:val="single"/>
        </w:rPr>
        <w:t xml:space="preserve">An </w:t>
      </w:r>
      <w:r w:rsidRPr="00A74199">
        <w:rPr>
          <w:b/>
          <w:bCs/>
          <w:u w:val="single"/>
        </w:rPr>
        <w:t>exclusion</w:t>
      </w:r>
      <w:r w:rsidRPr="00A74199">
        <w:rPr>
          <w:u w:val="single"/>
        </w:rPr>
        <w:t xml:space="preserve"> order prohibits the importation of violative articles into the U.S., while a </w:t>
      </w:r>
      <w:r w:rsidRPr="00A74199">
        <w:rPr>
          <w:b/>
          <w:bCs/>
          <w:u w:val="single"/>
        </w:rPr>
        <w:t>cease-and-desist</w:t>
      </w:r>
      <w:r w:rsidRPr="00A74199">
        <w:rPr>
          <w:u w:val="single"/>
        </w:rPr>
        <w:t xml:space="preserve"> order prohibits unfair activity associated with violative articles that were imported prior to the effective date of an exclusion order</w:t>
      </w:r>
      <w:r w:rsidRPr="000162E5">
        <w:t xml:space="preserve">. </w:t>
      </w:r>
      <w:r w:rsidRPr="00A74199">
        <w:rPr>
          <w:sz w:val="12"/>
        </w:rPr>
        <w:t>The threat of an exclusion order is especially important because it cuts the challenged products off at the pass, which is particularly valuable given there can be no guaranty that a complaining patent owner will ultimately receive an injunction in a U.S. district court action.</w:t>
      </w:r>
      <w:r w:rsidRPr="00A74199">
        <w:rPr>
          <w:sz w:val="12"/>
          <w:vertAlign w:val="superscript"/>
        </w:rPr>
        <w:t>5</w:t>
      </w:r>
    </w:p>
    <w:p w14:paraId="35B9021D" w14:textId="77777777" w:rsidR="00822AE1" w:rsidRPr="00A74199" w:rsidRDefault="00822AE1" w:rsidP="00822AE1">
      <w:pPr>
        <w:rPr>
          <w:sz w:val="12"/>
        </w:rPr>
      </w:pPr>
      <w:r w:rsidRPr="00A74199">
        <w:rPr>
          <w:sz w:val="12"/>
        </w:rPr>
        <w:t>There are two types of exclusion orders for successful complainants: a limited exclusion and a general exclusion order. Both orders prohibit the importation of articles that the ITC determines violate Section 337. U.S. Customs and Border Protection enforces both types of orders too. Under a limited exclusion order, the ITC bars the importation of violative articles from the specific respondents named in an underlying Section 337 investigation. Under a general exclusion order, the ITC prohibits the importation of </w:t>
      </w:r>
      <w:r w:rsidRPr="00A74199">
        <w:rPr>
          <w:i/>
          <w:iCs/>
          <w:sz w:val="12"/>
        </w:rPr>
        <w:t>all </w:t>
      </w:r>
      <w:r w:rsidRPr="00A74199">
        <w:rPr>
          <w:sz w:val="12"/>
        </w:rPr>
        <w:t>violative articles, regardless of the origin and even if the importing party was not a party to the underlying Section 337 investigation. Strategic complainants might be able to leverage the extreme threat of an exclusion order into large settlements too.</w:t>
      </w:r>
    </w:p>
    <w:p w14:paraId="1592D945" w14:textId="77777777" w:rsidR="00822AE1" w:rsidRPr="000162E5" w:rsidRDefault="00822AE1" w:rsidP="00822AE1">
      <w:r w:rsidRPr="000162E5">
        <w:rPr>
          <w:u w:val="single"/>
        </w:rPr>
        <w:t xml:space="preserve">Second, Section 337 investigations are </w:t>
      </w:r>
      <w:r w:rsidRPr="000162E5">
        <w:rPr>
          <w:b/>
          <w:bCs/>
          <w:u w:val="single"/>
        </w:rPr>
        <w:t>extremely fast paced</w:t>
      </w:r>
      <w:r w:rsidRPr="000162E5">
        <w:rPr>
          <w:u w:val="single"/>
        </w:rPr>
        <w:t xml:space="preserve"> — most Section 337 investigations are completed within 12-to-15 months of initiation.</w:t>
      </w:r>
      <w:r w:rsidRPr="000162E5">
        <w:t xml:space="preserve"> </w:t>
      </w:r>
      <w:r w:rsidRPr="000162E5">
        <w:rPr>
          <w:sz w:val="12"/>
        </w:rPr>
        <w:t>Moreover, the ITC does not stay the investigation if parallel proceedings are brought in the U.S. district courts or before the Patent Trial and Appeal Board. Proceedings at the U.S. district courts, in comparison, may take several years.</w:t>
      </w:r>
    </w:p>
    <w:p w14:paraId="222F8A22" w14:textId="2316AA4F" w:rsidR="00822AE1" w:rsidRDefault="00822AE1" w:rsidP="00822AE1">
      <w:r w:rsidRPr="000162E5">
        <w:rPr>
          <w:u w:val="single"/>
        </w:rPr>
        <w:t xml:space="preserve">Third, it is easier to bring Section </w:t>
      </w:r>
      <w:r w:rsidRPr="000162E5">
        <w:rPr>
          <w:b/>
          <w:bCs/>
          <w:u w:val="single"/>
        </w:rPr>
        <w:t>337 investigations against infringing articles</w:t>
      </w:r>
      <w:r w:rsidRPr="000162E5">
        <w:rPr>
          <w:u w:val="single"/>
        </w:rPr>
        <w:t>.</w:t>
      </w:r>
      <w:r w:rsidRPr="000162E5">
        <w:t xml:space="preserve"> </w:t>
      </w:r>
      <w:r w:rsidRPr="000162E5">
        <w:rPr>
          <w:sz w:val="12"/>
        </w:rPr>
        <w:t>Jurisdiction in the ITC is </w:t>
      </w:r>
      <w:r w:rsidRPr="000162E5">
        <w:rPr>
          <w:i/>
          <w:iCs/>
          <w:sz w:val="12"/>
        </w:rPr>
        <w:t>in rem</w:t>
      </w:r>
      <w:r w:rsidRPr="000162E5">
        <w:rPr>
          <w:sz w:val="12"/>
        </w:rPr>
        <w:t> rather than </w:t>
      </w:r>
      <w:r w:rsidRPr="000162E5">
        <w:rPr>
          <w:i/>
          <w:iCs/>
          <w:sz w:val="12"/>
        </w:rPr>
        <w:t>in personam</w:t>
      </w:r>
      <w:r w:rsidRPr="000162E5">
        <w:rPr>
          <w:sz w:val="12"/>
        </w:rPr>
        <w:t>.</w:t>
      </w:r>
      <w:r w:rsidRPr="000162E5">
        <w:t xml:space="preserve"> </w:t>
      </w:r>
      <w:r w:rsidRPr="000162E5">
        <w:rPr>
          <w:u w:val="single"/>
        </w:rPr>
        <w:t>That means the ITC has jurisdiction over the accused product rather than a proposed respondent.</w:t>
      </w:r>
      <w:r w:rsidRPr="000162E5">
        <w:t xml:space="preserve"> </w:t>
      </w:r>
      <w:r w:rsidRPr="000162E5">
        <w:rPr>
          <w:sz w:val="12"/>
        </w:rPr>
        <w:t>Personal jurisdiction, service of process, and venue are not issues at the ITC. This makes it easier to bring a Section 337 investigation to address multiple foreign or domestic respondents and multiple products.</w:t>
      </w:r>
    </w:p>
    <w:p w14:paraId="14D2F5C6" w14:textId="77777777" w:rsidR="00822AE1" w:rsidRDefault="00822AE1" w:rsidP="00822AE1">
      <w:pPr>
        <w:pStyle w:val="Heading4"/>
      </w:pPr>
      <w:r>
        <w:t>It avoids court clog</w:t>
      </w:r>
    </w:p>
    <w:p w14:paraId="7C2B61FA" w14:textId="77777777" w:rsidR="00822AE1" w:rsidRDefault="00822AE1" w:rsidP="00822AE1">
      <w:r w:rsidRPr="00A74199">
        <w:t xml:space="preserve">John C. </w:t>
      </w:r>
      <w:r w:rsidRPr="00A74199">
        <w:rPr>
          <w:b/>
          <w:bCs/>
          <w:sz w:val="26"/>
          <w:szCs w:val="26"/>
        </w:rPr>
        <w:t>Paul 11</w:t>
      </w:r>
      <w:r w:rsidRPr="00A74199">
        <w:t>,</w:t>
      </w:r>
      <w:r>
        <w:t xml:space="preserve"> John Paul is a partner at Finnegan,</w:t>
      </w:r>
      <w:r w:rsidRPr="00A74199">
        <w:t xml:space="preserve"> 2-28-2011, "Patent Owners Can More Easily Enjoin Infringers by Using the ITC Rather Than Federal District Courts", Finnegan | Leading IP+ Law Firm, https://www.finnegan.com/en/insights/articles/patent-owners-can-more-easily-enjoin-infringers-by-using-the-itc.html</w:t>
      </w:r>
      <w:r>
        <w:t>//susu</w:t>
      </w:r>
    </w:p>
    <w:p w14:paraId="275AA4BD" w14:textId="77777777" w:rsidR="00822AE1" w:rsidRPr="00A74199" w:rsidRDefault="00822AE1" w:rsidP="00822AE1">
      <w:pPr>
        <w:rPr>
          <w:sz w:val="12"/>
        </w:rPr>
      </w:pPr>
      <w:r w:rsidRPr="00A74199">
        <w:rPr>
          <w:u w:val="single"/>
        </w:rPr>
        <w:t xml:space="preserve">For </w:t>
      </w:r>
      <w:r w:rsidRPr="00A74199">
        <w:rPr>
          <w:b/>
          <w:bCs/>
          <w:u w:val="single"/>
        </w:rPr>
        <w:t>patent owners</w:t>
      </w:r>
      <w:r w:rsidRPr="00A74199">
        <w:rPr>
          <w:u w:val="single"/>
        </w:rPr>
        <w:t xml:space="preserve">, the ability to obtain an </w:t>
      </w:r>
      <w:r w:rsidRPr="00A74199">
        <w:rPr>
          <w:b/>
          <w:bCs/>
          <w:u w:val="single"/>
        </w:rPr>
        <w:t>injunction</w:t>
      </w:r>
      <w:r w:rsidRPr="00A74199">
        <w:rPr>
          <w:u w:val="single"/>
        </w:rPr>
        <w:t xml:space="preserve"> often provides a great deal of leverage in license negotiations. Historically, the grant of an injunction was seen as </w:t>
      </w:r>
      <w:r w:rsidRPr="00A74199">
        <w:rPr>
          <w:b/>
          <w:bCs/>
          <w:u w:val="single"/>
        </w:rPr>
        <w:t>a foregone conclusion</w:t>
      </w:r>
      <w:r w:rsidRPr="00A74199">
        <w:rPr>
          <w:u w:val="single"/>
        </w:rPr>
        <w:t xml:space="preserve"> following a finding of infringement</w:t>
      </w:r>
      <w:r w:rsidRPr="00A74199">
        <w:t xml:space="preserve">.  </w:t>
      </w:r>
      <w:r w:rsidRPr="00A74199">
        <w:rPr>
          <w:sz w:val="12"/>
        </w:rPr>
        <w:t>But the Supreme Court’s decision in </w:t>
      </w:r>
      <w:r w:rsidRPr="00A74199">
        <w:rPr>
          <w:i/>
          <w:iCs/>
          <w:sz w:val="12"/>
        </w:rPr>
        <w:t>eBay v. MercExchange </w:t>
      </w:r>
      <w:r w:rsidRPr="00A74199">
        <w:rPr>
          <w:sz w:val="12"/>
        </w:rPr>
        <w:t>altered that equation by making injunctions more difficult to obtain, particularly for non-practicing patent owners, who do not make and sell products covered by the patents. As a result, many patent owners have turned to the U.S. International Trade Commission (“ITC”) as an alternative to U.S. District Courts for prosecuting infringement suits.</w:t>
      </w:r>
    </w:p>
    <w:p w14:paraId="5B6EB64F" w14:textId="77777777" w:rsidR="00822AE1" w:rsidRPr="00A74199" w:rsidRDefault="00822AE1" w:rsidP="00822AE1">
      <w:pPr>
        <w:rPr>
          <w:sz w:val="12"/>
        </w:rPr>
      </w:pPr>
      <w:r w:rsidRPr="00A74199">
        <w:rPr>
          <w:sz w:val="12"/>
        </w:rPr>
        <w:t>The ITC permits a patent owner to enforce its rights against an entity that imports allegedly infringing products in the United States. And like a U.S. District Court, the ITC also has the power to issue injunctions, called “exclusion orders,” to stop infringing products from being imported into the U.S.</w:t>
      </w:r>
    </w:p>
    <w:p w14:paraId="72EA4A2E" w14:textId="379063DA" w:rsidR="00822AE1" w:rsidRPr="00822AE1" w:rsidRDefault="00822AE1" w:rsidP="00822AE1">
      <w:pPr>
        <w:rPr>
          <w:sz w:val="12"/>
        </w:rPr>
      </w:pPr>
      <w:r w:rsidRPr="00A74199">
        <w:rPr>
          <w:sz w:val="12"/>
        </w:rPr>
        <w:t>There was a question as to whether the standard for injunctive relief at the ITC is the same as that for a U.S. District Court. And in </w:t>
      </w:r>
      <w:r w:rsidRPr="00A74199">
        <w:rPr>
          <w:i/>
          <w:iCs/>
          <w:sz w:val="12"/>
        </w:rPr>
        <w:t>Spansion v. Int’l Trade Comm’n</w:t>
      </w:r>
      <w:r w:rsidRPr="00A74199">
        <w:rPr>
          <w:sz w:val="12"/>
        </w:rPr>
        <w:t>, Nos. 2009-1460, 1461, 1462, 1465 (Fed. Cir. Dec. 21, 2010),</w:t>
      </w:r>
      <w:r w:rsidRPr="00A74199">
        <w:rPr>
          <w:sz w:val="12"/>
          <w:vertAlign w:val="superscript"/>
        </w:rPr>
        <w:t>1</w:t>
      </w:r>
      <w:r w:rsidRPr="00A74199">
        <w:rPr>
          <w:sz w:val="12"/>
        </w:rPr>
        <w:t xml:space="preserve"> the Federal Circuit recently answered this question in the negative. </w:t>
      </w:r>
      <w:r w:rsidRPr="00A74199">
        <w:rPr>
          <w:u w:val="single"/>
        </w:rPr>
        <w:t xml:space="preserve">Specifically, the court held that the statutes applicable to the </w:t>
      </w:r>
      <w:r w:rsidRPr="00A74199">
        <w:rPr>
          <w:b/>
          <w:bCs/>
          <w:u w:val="single"/>
        </w:rPr>
        <w:t>ITC’s</w:t>
      </w:r>
      <w:r w:rsidRPr="00A74199">
        <w:rPr>
          <w:u w:val="single"/>
        </w:rPr>
        <w:t xml:space="preserve"> grant of an exclusion order do not require the application of the same </w:t>
      </w:r>
      <w:r w:rsidRPr="00A74199">
        <w:rPr>
          <w:b/>
          <w:bCs/>
          <w:u w:val="single"/>
        </w:rPr>
        <w:t>standard</w:t>
      </w:r>
      <w:r w:rsidRPr="00A74199">
        <w:rPr>
          <w:u w:val="single"/>
        </w:rPr>
        <w:t xml:space="preserve"> used by </w:t>
      </w:r>
      <w:r w:rsidRPr="00A74199">
        <w:rPr>
          <w:b/>
          <w:bCs/>
          <w:u w:val="single"/>
        </w:rPr>
        <w:t>U.S. District Courts</w:t>
      </w:r>
      <w:r w:rsidRPr="00A74199">
        <w:rPr>
          <w:u w:val="single"/>
        </w:rPr>
        <w:t xml:space="preserve"> to enter injunctions</w:t>
      </w:r>
      <w:r w:rsidRPr="00A74199">
        <w:t xml:space="preserve">. </w:t>
      </w:r>
      <w:r w:rsidRPr="00A74199">
        <w:rPr>
          <w:sz w:val="12"/>
        </w:rPr>
        <w:t>Moreover, while the ITC is required to consider certain “public interest” factors, those factors are not the same as those considered by a U.S. District Court.</w:t>
      </w:r>
    </w:p>
    <w:p w14:paraId="2CFD227C" w14:textId="22D714B9" w:rsidR="00773EB8" w:rsidRDefault="00773EB8" w:rsidP="00773EB8">
      <w:pPr>
        <w:pStyle w:val="Heading3"/>
      </w:pPr>
      <w:r>
        <w:t>NB---AT: Turn---5G---2NC</w:t>
      </w:r>
    </w:p>
    <w:p w14:paraId="2F6DEF39" w14:textId="79CB56AF" w:rsidR="00773EB8" w:rsidRDefault="002C01AA" w:rsidP="00773EB8">
      <w:pPr>
        <w:pStyle w:val="Heading4"/>
      </w:pPr>
      <w:r>
        <w:t xml:space="preserve">The US is </w:t>
      </w:r>
      <w:r w:rsidRPr="002C01AA">
        <w:rPr>
          <w:u w:val="single"/>
        </w:rPr>
        <w:t>already losing</w:t>
      </w:r>
      <w:r>
        <w:t>.</w:t>
      </w:r>
    </w:p>
    <w:p w14:paraId="0F56BB19" w14:textId="17E2F771" w:rsidR="00773EB8" w:rsidRPr="00773EB8" w:rsidRDefault="00E04D93" w:rsidP="00773EB8">
      <w:r w:rsidRPr="00E04D93">
        <w:t xml:space="preserve">Miles M. </w:t>
      </w:r>
      <w:r w:rsidRPr="00E04D93">
        <w:rPr>
          <w:b/>
          <w:bCs/>
          <w:sz w:val="26"/>
          <w:szCs w:val="26"/>
        </w:rPr>
        <w:t>Evers</w:t>
      </w:r>
      <w:r w:rsidRPr="00E04D93">
        <w:t>, 1-14-20</w:t>
      </w:r>
      <w:r w:rsidRPr="00E04D93">
        <w:rPr>
          <w:b/>
          <w:bCs/>
          <w:sz w:val="26"/>
          <w:szCs w:val="26"/>
        </w:rPr>
        <w:t>24</w:t>
      </w:r>
      <w:r w:rsidRPr="00E04D93">
        <w:t xml:space="preserve">, </w:t>
      </w:r>
      <w:r>
        <w:t xml:space="preserve">Miles is </w:t>
      </w:r>
      <w:r w:rsidRPr="00E04D93">
        <w:t>an assistant professor of political science at the University of Connecticut. His research is forthcoming in Cambridge University Press and has been published in the European Journal of International Relations, International Security, International Studies Quarterly, International Theory, and Perspectives on Politics.</w:t>
      </w:r>
      <w:r>
        <w:t xml:space="preserve"> </w:t>
      </w:r>
      <w:r w:rsidRPr="00E04D93">
        <w:t xml:space="preserve">"Why the United States Is Losing the Tech War With China", </w:t>
      </w:r>
      <w:r w:rsidR="00435554">
        <w:t>LAWFARE</w:t>
      </w:r>
      <w:r w:rsidRPr="00E04D93">
        <w:t>, https://www.lawfaremedia.org/article/why-the-united-states-is-losing-the-tech-war-with-china</w:t>
      </w:r>
      <w:r>
        <w:t xml:space="preserve"> skohli</w:t>
      </w:r>
    </w:p>
    <w:p w14:paraId="52BE50F5" w14:textId="05B6166B" w:rsidR="00773EB8" w:rsidRDefault="00773EB8" w:rsidP="00773EB8">
      <w:r>
        <w:t xml:space="preserve">The </w:t>
      </w:r>
      <w:r w:rsidRPr="00B023DE">
        <w:rPr>
          <w:rStyle w:val="Emphasis"/>
          <w:sz w:val="26"/>
          <w:szCs w:val="26"/>
        </w:rPr>
        <w:t>United States is unlikely to win the tech war</w:t>
      </w:r>
      <w:r>
        <w:t xml:space="preserve">. There are </w:t>
      </w:r>
      <w:r w:rsidRPr="00773EB8">
        <w:rPr>
          <w:rStyle w:val="StyleUnderline"/>
        </w:rPr>
        <w:t>two reasons for this conclusion</w:t>
      </w:r>
      <w:r>
        <w:t>.</w:t>
      </w:r>
    </w:p>
    <w:p w14:paraId="003C2DF2" w14:textId="6078648B" w:rsidR="00773EB8" w:rsidRDefault="00773EB8" w:rsidP="00773EB8">
      <w:r>
        <w:t xml:space="preserve">First, the empirical record consistently shows that rising powers don’t sit idly by when dominant states disrupt their access to critical resources. Typically, they respond by </w:t>
      </w:r>
      <w:r w:rsidRPr="00773EB8">
        <w:rPr>
          <w:rStyle w:val="StyleUnderline"/>
        </w:rPr>
        <w:t>subsidizing industrial development, pushing their businesses to upgrade into high-value positions to become self-sufficient</w:t>
      </w:r>
      <w:r>
        <w:t xml:space="preserve">. Chinese </w:t>
      </w:r>
      <w:r w:rsidRPr="00773EB8">
        <w:rPr>
          <w:rStyle w:val="StyleUnderline"/>
        </w:rPr>
        <w:t>President Xi Jinping has urged the country to prioritize “self-reliance in science and technology”</w:t>
      </w:r>
      <w:r>
        <w:t xml:space="preserve"> and described innovation in core technologies as the key to surviving “intense international competition.” To that end, the </w:t>
      </w:r>
      <w:r w:rsidRPr="00773EB8">
        <w:rPr>
          <w:rStyle w:val="Emphasis"/>
        </w:rPr>
        <w:t>Chinese government has supported the development of an indigenous chipmaking industry: Guangzhou City invested $30 billion in initial funding, and Beijing has readied an additional $143 billion in subsidies and tax credits</w:t>
      </w:r>
      <w:r>
        <w:t>.</w:t>
      </w:r>
    </w:p>
    <w:p w14:paraId="70F67344" w14:textId="53A0F233" w:rsidR="00773EB8" w:rsidRDefault="00773EB8" w:rsidP="00773EB8">
      <w:r>
        <w:t xml:space="preserve">Second, the </w:t>
      </w:r>
      <w:r w:rsidRPr="003F3350">
        <w:rPr>
          <w:rStyle w:val="StyleUnderline"/>
        </w:rPr>
        <w:t>structure of GVCs makes it difficult for the dominant power to coerce the rising power without igniting business resistance at home and easier for the rising power to upgrade its industrial base in</w:t>
      </w:r>
      <w:r>
        <w:t xml:space="preserve"> response. At the end of the day, </w:t>
      </w:r>
      <w:r w:rsidRPr="003F3350">
        <w:rPr>
          <w:rStyle w:val="Emphasis"/>
        </w:rPr>
        <w:t>businesses will prioritize their profits over national security</w:t>
      </w:r>
      <w:r>
        <w:t>. However, whether business incentives align with national security depends on a firm’s location in a GVC. In past instances of economic competition, high-value businesses typically resisted the dominant state’s policies to mitigate disruptions and recover lost profits. Low-value companies, by contrast, often collaborated with the rising state’s policies to reap the potential gains from industrial development.</w:t>
      </w:r>
    </w:p>
    <w:p w14:paraId="51F5D58D" w14:textId="331F5231" w:rsidR="00773EB8" w:rsidRDefault="00773EB8" w:rsidP="00773EB8">
      <w:r>
        <w:t xml:space="preserve">For instance, </w:t>
      </w:r>
      <w:r w:rsidRPr="003D0E78">
        <w:rPr>
          <w:rStyle w:val="StyleUnderline"/>
        </w:rPr>
        <w:t>American businesses have largely resisted U.S. sanctions against China</w:t>
      </w:r>
      <w:r>
        <w:t xml:space="preserve">. They </w:t>
      </w:r>
      <w:r w:rsidRPr="003D0E78">
        <w:rPr>
          <w:rStyle w:val="StyleUnderline"/>
        </w:rPr>
        <w:t>continue to sell their designs, software, and equipment to China using legal loopholes, third parties, and dummy companies not on the Entity List</w:t>
      </w:r>
      <w:r>
        <w:t>. For example, American chip designer Nvidia developed a new advanced chip for Chinese customers that meets U.S. export control rules. Applied Materials Inc. allegedly sent chipmaking equipment to Chinese foundry Semiconductor Manufacturing International Corporation (SMIC) via third parties in South Korea. Some U.S.-based companies, like KLA Corporation, even have contingency plans to “de-Americanize” their operations in the event of more stringent sanctions.</w:t>
      </w:r>
    </w:p>
    <w:p w14:paraId="472AA9C0" w14:textId="1AE3E044" w:rsidR="00773EB8" w:rsidRDefault="00773EB8" w:rsidP="00773EB8">
      <w:r>
        <w:t xml:space="preserve">The </w:t>
      </w:r>
      <w:r w:rsidRPr="007B6888">
        <w:rPr>
          <w:rStyle w:val="StyleUnderline"/>
        </w:rPr>
        <w:t xml:space="preserve">situation looks different across the Pacific. Chinese businesses have turned to Beijing for support in upgrading their technologies, including </w:t>
      </w:r>
      <w:r w:rsidRPr="00010005">
        <w:rPr>
          <w:rStyle w:val="Emphasis"/>
        </w:rPr>
        <w:t>stockpiling equipment, building foundries, replacing proprietary data, and recruiting talent</w:t>
      </w:r>
      <w:r>
        <w:t xml:space="preserve">. For instance, the Shenzhen and Guangzhou investment funds helped Huawei create a self-sufficient chip network by pouring money into optical specialists, chip equipment developers, and materials manufacturers. </w:t>
      </w:r>
      <w:r w:rsidRPr="00F91C23">
        <w:rPr>
          <w:rStyle w:val="StyleUnderline"/>
        </w:rPr>
        <w:t>Cash-flush start-ups and manufacturers like SMIC</w:t>
      </w:r>
      <w:r>
        <w:t xml:space="preserve"> are </w:t>
      </w:r>
      <w:r w:rsidRPr="00945A5E">
        <w:rPr>
          <w:rStyle w:val="StyleUnderline"/>
        </w:rPr>
        <w:t>successfully recruiting talent from South Korea, Taiwan, and the United States by offering massive salaries, stock options, and research funds</w:t>
      </w:r>
      <w:r>
        <w:t>.</w:t>
      </w:r>
    </w:p>
    <w:p w14:paraId="119657C6" w14:textId="4ABEF5AE" w:rsidR="00773EB8" w:rsidRPr="00773EB8" w:rsidRDefault="00773EB8" w:rsidP="00773EB8">
      <w:r>
        <w:t xml:space="preserve">As a result, </w:t>
      </w:r>
      <w:r w:rsidRPr="000554EB">
        <w:rPr>
          <w:rStyle w:val="StyleUnderline"/>
        </w:rPr>
        <w:t>Chinese businesses have achieved significant technological breakthroughs despite U.S. sanctions. Huawei remains, and the company has become mainly self-sufficient</w:t>
      </w:r>
      <w:r>
        <w:t xml:space="preserve">. The company </w:t>
      </w:r>
      <w:r w:rsidRPr="003E48A2">
        <w:rPr>
          <w:rStyle w:val="StyleUnderline"/>
        </w:rPr>
        <w:t>stunned Washington last fall with a new 5G smartphone made with primarily Chinese parts and an advanced 7-millimeter chip manufactured by SMIC</w:t>
      </w:r>
      <w:r>
        <w:t xml:space="preserve">. Industry experts anticipate SMIC will be able to mass-produce these chips in the coming months, though the Biden administration remains skeptical. Some experts even expect the company to develop more powerful semiconductors. </w:t>
      </w:r>
      <w:r w:rsidRPr="00F42503">
        <w:rPr>
          <w:rStyle w:val="StyleUnderline"/>
        </w:rPr>
        <w:t>Chinese scientists are filing patents in record numbers to secure their position in the next generation of chipmaking.</w:t>
      </w:r>
    </w:p>
    <w:p w14:paraId="6223A1C5" w14:textId="5D222305" w:rsidR="00AD4E9A" w:rsidRDefault="00AD4E9A" w:rsidP="00773EB8">
      <w:pPr>
        <w:pStyle w:val="Heading4"/>
      </w:pPr>
      <w:r>
        <w:t>No terminal to China 5G dominance.</w:t>
      </w:r>
    </w:p>
    <w:p w14:paraId="15542BE0" w14:textId="3E6872BC" w:rsidR="00251E9E" w:rsidRPr="00251E9E" w:rsidRDefault="00251E9E" w:rsidP="00251E9E">
      <w:r>
        <w:t xml:space="preserve">Michael </w:t>
      </w:r>
      <w:r w:rsidRPr="00251E9E">
        <w:rPr>
          <w:b/>
          <w:bCs/>
          <w:sz w:val="26"/>
          <w:szCs w:val="26"/>
        </w:rPr>
        <w:t>Ceci</w:t>
      </w:r>
      <w:r>
        <w:t xml:space="preserve"> 20</w:t>
      </w:r>
      <w:r w:rsidRPr="00251E9E">
        <w:rPr>
          <w:b/>
          <w:bCs/>
          <w:sz w:val="26"/>
          <w:szCs w:val="26"/>
        </w:rPr>
        <w:t>22</w:t>
      </w:r>
      <w:r>
        <w:t xml:space="preserve">, Michael is a PhD student at the Georgia Tech </w:t>
      </w:r>
      <w:r w:rsidRPr="00251E9E">
        <w:t>Sam Nunn School of International Affairs</w:t>
      </w:r>
      <w:r>
        <w:t xml:space="preserve">. </w:t>
      </w:r>
      <w:r w:rsidRPr="00251E9E">
        <w:t>China’s 5G networks: A tool for advancing digital authoritarianism abroad?</w:t>
      </w:r>
      <w:r>
        <w:t xml:space="preserve"> Orbis vol 66 issue 2, </w:t>
      </w:r>
      <w:r w:rsidRPr="00251E9E">
        <w:t>https://doi.org/10.1016/j.orbis.2022.02.013</w:t>
      </w:r>
      <w:r>
        <w:t>. skohli</w:t>
      </w:r>
    </w:p>
    <w:p w14:paraId="580D2D19" w14:textId="6CA55343" w:rsidR="00AD4E9A" w:rsidRDefault="00AD4E9A" w:rsidP="00AD4E9A">
      <w:r w:rsidRPr="00BF1C0A">
        <w:rPr>
          <w:i/>
          <w:iCs/>
        </w:rPr>
        <w:t>Rethinking China’s “export strategy.”</w:t>
      </w:r>
      <w:r>
        <w:t xml:space="preserve"> On the other hand, </w:t>
      </w:r>
      <w:r w:rsidRPr="00540884">
        <w:rPr>
          <w:rStyle w:val="StyleUnderline"/>
        </w:rPr>
        <w:t>China’s export strategy is more complicated in practice. Surveillance technology is provided by liberal democracies and authoritarian regimes alike</w:t>
      </w:r>
      <w:r>
        <w:t xml:space="preserve">.36 Therefore, China is not simply propagating a digital authoritarian model to export an alternative form of governance. As its </w:t>
      </w:r>
      <w:r w:rsidRPr="0020446B">
        <w:rPr>
          <w:rStyle w:val="StyleUnderline"/>
        </w:rPr>
        <w:t xml:space="preserve">actions depend on political context, bilateral relations, and mutual economic interests, China appears more opportunistic than strategic with respect to exporting advanced surveillance technologies. </w:t>
      </w:r>
      <w:r w:rsidRPr="00600ABB">
        <w:rPr>
          <w:rStyle w:val="Emphasis"/>
        </w:rPr>
        <w:t>Beijing may not be linking these technologies to a specific political use</w:t>
      </w:r>
      <w:r>
        <w:t>.</w:t>
      </w:r>
    </w:p>
    <w:p w14:paraId="4793F82E" w14:textId="43F60498" w:rsidR="00AD4E9A" w:rsidRDefault="00AD4E9A" w:rsidP="00AD4E9A">
      <w:r>
        <w:t xml:space="preserve">The </w:t>
      </w:r>
      <w:r w:rsidRPr="005B4140">
        <w:rPr>
          <w:rStyle w:val="StyleUnderline"/>
        </w:rPr>
        <w:t>adoption of Chinese surveillance technology in strong liberal democracies across Europe shows that regime type is not a good predictor of countries that will adopt artificial intelligence (AI) surveillance technology</w:t>
      </w:r>
      <w:r>
        <w:t xml:space="preserve">.37 The </w:t>
      </w:r>
      <w:r w:rsidRPr="000B6BDB">
        <w:rPr>
          <w:rStyle w:val="StyleUnderline"/>
        </w:rPr>
        <w:t>demands</w:t>
      </w:r>
      <w:r>
        <w:t xml:space="preserve"> for these technologies (e.g., controlling migration, tracking terrorist activity) are </w:t>
      </w:r>
      <w:r w:rsidRPr="000B6BDB">
        <w:rPr>
          <w:rStyle w:val="StyleUnderline"/>
        </w:rPr>
        <w:t>diverse and often</w:t>
      </w:r>
      <w:r>
        <w:t xml:space="preserve"> </w:t>
      </w:r>
      <w:r w:rsidRPr="00AD4E9A">
        <w:rPr>
          <w:rStyle w:val="Emphasis"/>
        </w:rPr>
        <w:t>not clearly connected to China’s geopolitical goals</w:t>
      </w:r>
      <w:r w:rsidRPr="00FB4455">
        <w:rPr>
          <w:rStyle w:val="Emphasis"/>
        </w:rPr>
        <w:t>—including the promotion of authoritarian practices</w:t>
      </w:r>
      <w:r>
        <w:t xml:space="preserve">. For example, </w:t>
      </w:r>
      <w:r w:rsidRPr="00605CE8">
        <w:rPr>
          <w:rStyle w:val="StyleUnderline"/>
        </w:rPr>
        <w:t>in France, domestic terrorist threats appear to drive the need for these technologies.</w:t>
      </w:r>
      <w:r>
        <w:t xml:space="preserve">38 </w:t>
      </w:r>
      <w:r w:rsidRPr="00B338F2">
        <w:rPr>
          <w:rStyle w:val="StyleUnderline"/>
        </w:rPr>
        <w:t>In Greece, however, the use of advanced surveillance technologies in automated border control (ABC) systems are a priority to process passengers more efficiently</w:t>
      </w:r>
      <w:r>
        <w:t>, as well as to screen the influx of migrants at Europe’s borders.39</w:t>
      </w:r>
    </w:p>
    <w:p w14:paraId="18A2C1D5" w14:textId="77777777" w:rsidR="00305F66" w:rsidRDefault="00AD4E9A" w:rsidP="00305F66">
      <w:r>
        <w:t xml:space="preserve">A closer look at the demand for China’s technology exports reveals that </w:t>
      </w:r>
      <w:r w:rsidRPr="004A5D7D">
        <w:rPr>
          <w:rStyle w:val="StyleUnderline"/>
        </w:rPr>
        <w:t>customers’ agency and local dynamics may complicate the logic that Chinese surveillance technologies lead to greater authoritarianism in practice. Huawei’s presence in Thailand—a country considered repressive regarding internet freedoms—does not appear to reveal a clear Chinese agenda to push monitoring systems</w:t>
      </w:r>
      <w:r>
        <w:t>. Additionally, one of the major selling points for this technology—Huawei’s Safe City—has garnered skepticism.40 As new crime data from deployed Huawei Safe City and Smart City projects suggests, “</w:t>
      </w:r>
      <w:r w:rsidRPr="00E323C2">
        <w:rPr>
          <w:rStyle w:val="StyleUnderline"/>
        </w:rPr>
        <w:t>the perception of Chinese surveillance technology as particularly effective and</w:t>
      </w:r>
      <w:r w:rsidR="00305F66" w:rsidRPr="00E323C2">
        <w:rPr>
          <w:rStyle w:val="StyleUnderline"/>
        </w:rPr>
        <w:t xml:space="preserve"> sophisticated is not matched by the actuality of its chaotic implementation</w:t>
      </w:r>
      <w:r w:rsidR="00305F66">
        <w:t>.”41</w:t>
      </w:r>
    </w:p>
    <w:p w14:paraId="6514E754" w14:textId="0F855E64" w:rsidR="00AD4E9A" w:rsidRPr="00AD4E9A" w:rsidRDefault="00305F66" w:rsidP="00305F66">
      <w:r>
        <w:t xml:space="preserve">The success of Huawei’s Safe City and Smart City projects in China, which largely forms the marketing narrative to foreign customers, is based not only on the technology itself, but on supporting policies and resources (e.g., trained security personnel to transform data into actionable information). 42 The policies and resources must develop alongside these technologies. Of course, </w:t>
      </w:r>
      <w:r w:rsidRPr="00305F66">
        <w:rPr>
          <w:rStyle w:val="StyleUnderline"/>
        </w:rPr>
        <w:t>such a supportive framework varies across countries—seventeen in Africa alone—with Huawei Safe City and Smart City projects</w:t>
      </w:r>
      <w:r>
        <w:t>.43</w:t>
      </w:r>
    </w:p>
    <w:p w14:paraId="0620BDCD" w14:textId="183270F2" w:rsidR="00773EB8" w:rsidRPr="00F219D8" w:rsidRDefault="00773EB8" w:rsidP="00773EB8">
      <w:pPr>
        <w:pStyle w:val="Heading4"/>
      </w:pPr>
      <w:r>
        <w:t>Countries are successfully blocking China without bans---plan not key.</w:t>
      </w:r>
    </w:p>
    <w:p w14:paraId="311E1147" w14:textId="77777777" w:rsidR="00773EB8" w:rsidRPr="00F219D8" w:rsidRDefault="00773EB8" w:rsidP="00773EB8">
      <w:r w:rsidRPr="002F6787">
        <w:t xml:space="preserve">Hal </w:t>
      </w:r>
      <w:r w:rsidRPr="002F6787">
        <w:rPr>
          <w:rStyle w:val="Heading4Char"/>
        </w:rPr>
        <w:t>Brands 21</w:t>
      </w:r>
      <w:r w:rsidRPr="002F6787">
        <w:t>,</w:t>
      </w:r>
      <w:r>
        <w:t xml:space="preserve"> </w:t>
      </w:r>
      <w:r w:rsidRPr="004E6B08">
        <w:t>Distinguished Professor of Global Affairs at the Johns Hopkins School of Advanced International Studies (SAIS) and a scholar at the American Enterprise Institute</w:t>
      </w:r>
      <w:r>
        <w:t>,</w:t>
      </w:r>
      <w:r w:rsidRPr="002F6787">
        <w:t xml:space="preserve"> 9-19-2021, "Huawei’s Decline Shows Why China Will Struggle to Dominate," Bloomberg, </w:t>
      </w:r>
      <w:hyperlink r:id="rId8" w:history="1">
        <w:r w:rsidRPr="00394FAB">
          <w:rPr>
            <w:rStyle w:val="Hyperlink"/>
          </w:rPr>
          <w:t>https://www.bloomberg.com/opinion/articles/2021-09-19/huawei-s-decline-shows-why-china-will-struggle-to-dominate</w:t>
        </w:r>
      </w:hyperlink>
      <w:r>
        <w:t xml:space="preserve"> //billy</w:t>
      </w:r>
    </w:p>
    <w:p w14:paraId="6989A649" w14:textId="77777777" w:rsidR="00773EB8" w:rsidRPr="009113B8" w:rsidRDefault="00773EB8" w:rsidP="00773EB8">
      <w:pPr>
        <w:rPr>
          <w:sz w:val="16"/>
        </w:rPr>
      </w:pPr>
      <w:r w:rsidRPr="009113B8">
        <w:rPr>
          <w:sz w:val="16"/>
        </w:rPr>
        <w:t xml:space="preserve">These measures are buying time for a third aspect of </w:t>
      </w:r>
      <w:r w:rsidRPr="00F219D8">
        <w:rPr>
          <w:rStyle w:val="Emphasis"/>
        </w:rPr>
        <w:t>U.S. strategy</w:t>
      </w:r>
      <w:r w:rsidRPr="00F219D8">
        <w:rPr>
          <w:rStyle w:val="StyleUnderline"/>
        </w:rPr>
        <w:t>: the multilateral development of</w:t>
      </w:r>
      <w:r w:rsidRPr="009113B8">
        <w:rPr>
          <w:sz w:val="16"/>
        </w:rPr>
        <w:t xml:space="preserve"> </w:t>
      </w:r>
      <w:r w:rsidRPr="00F219D8">
        <w:rPr>
          <w:rStyle w:val="Emphasis"/>
        </w:rPr>
        <w:t>alternatives to Huawei</w:t>
      </w:r>
      <w:r w:rsidRPr="009113B8">
        <w:rPr>
          <w:sz w:val="16"/>
        </w:rPr>
        <w:t xml:space="preserve">. The International Development Finance Corporation is </w:t>
      </w:r>
      <w:r w:rsidRPr="00F219D8">
        <w:rPr>
          <w:rStyle w:val="Emphasis"/>
        </w:rPr>
        <w:t>offering financing</w:t>
      </w:r>
      <w:r w:rsidRPr="00F219D8">
        <w:rPr>
          <w:rStyle w:val="StyleUnderline"/>
        </w:rPr>
        <w:t xml:space="preserve"> to countries that choose </w:t>
      </w:r>
      <w:r w:rsidRPr="00F219D8">
        <w:rPr>
          <w:rStyle w:val="Emphasis"/>
        </w:rPr>
        <w:t>non-Chinese options</w:t>
      </w:r>
      <w:r w:rsidRPr="00F219D8">
        <w:rPr>
          <w:rStyle w:val="StyleUnderline"/>
        </w:rPr>
        <w:t xml:space="preserve"> for their 5G networks</w:t>
      </w:r>
      <w:r w:rsidRPr="009113B8">
        <w:rPr>
          <w:sz w:val="16"/>
        </w:rPr>
        <w:t xml:space="preserve">. </w:t>
      </w:r>
      <w:r w:rsidRPr="00F219D8">
        <w:rPr>
          <w:rStyle w:val="StyleUnderline"/>
        </w:rPr>
        <w:t>If Huawei can be stymied, then firms in democratic countries will have a better shot at setting the technological standards that will shape the telecommunications industry in the future.</w:t>
      </w:r>
      <w:r w:rsidRPr="009113B8">
        <w:rPr>
          <w:sz w:val="16"/>
        </w:rPr>
        <w:t xml:space="preserve"> The Biden administration is also betting on something called Open Radio Access Networks, or </w:t>
      </w:r>
      <w:r w:rsidRPr="00F219D8">
        <w:rPr>
          <w:rStyle w:val="Emphasis"/>
        </w:rPr>
        <w:t>O-RAN</w:t>
      </w:r>
      <w:r w:rsidRPr="009113B8">
        <w:rPr>
          <w:sz w:val="16"/>
        </w:rPr>
        <w:t xml:space="preserve">, an effort </w:t>
      </w:r>
      <w:r w:rsidRPr="00F219D8">
        <w:rPr>
          <w:rStyle w:val="StyleUnderline"/>
        </w:rPr>
        <w:t>to develop common standards that promote greater compatibility between different types of telecommunications equipment</w:t>
      </w:r>
      <w:r w:rsidRPr="009113B8">
        <w:rPr>
          <w:sz w:val="16"/>
        </w:rPr>
        <w:t>. In effect, O-</w:t>
      </w:r>
      <w:r w:rsidRPr="00F219D8">
        <w:rPr>
          <w:rStyle w:val="StyleUnderline"/>
        </w:rPr>
        <w:t xml:space="preserve">RAN allows different companies to plug and play in a single network, </w:t>
      </w:r>
      <w:r w:rsidRPr="00F219D8">
        <w:rPr>
          <w:rStyle w:val="Emphasis"/>
        </w:rPr>
        <w:t>making it harder for Huawei</w:t>
      </w:r>
      <w:r w:rsidRPr="00F219D8">
        <w:rPr>
          <w:rStyle w:val="StyleUnderline"/>
        </w:rPr>
        <w:t xml:space="preserve"> or any other firm to dominate global telecommunications infrastructure.</w:t>
      </w:r>
      <w:r w:rsidRPr="009113B8">
        <w:rPr>
          <w:sz w:val="16"/>
        </w:rPr>
        <w:t xml:space="preserve"> O-RAN has yet to be deployed commercially at any scale. Feasibility and affordability remain significant concerns; it may work better for big countries than for small ones. Yet the pace of deployments is predicted to accelerate rapidly over the next three to five years, so Biden has put it high on the agenda for U.S. diplomacy with key countries (South Korea, Japan, India) as well as institutions such as the European Union and the Quadrilateral Security Dialogue. America’s strategy, then, is about running faster as well as slowing its rival. </w:t>
      </w:r>
      <w:r w:rsidRPr="00F219D8">
        <w:rPr>
          <w:rStyle w:val="StyleUnderline"/>
        </w:rPr>
        <w:t>Washington aims to break Huawei’s momentum until the U.S. and its friends can develop alternatives that will limit the Chinese firm’s global appeal.</w:t>
      </w:r>
      <w:r w:rsidRPr="009113B8">
        <w:rPr>
          <w:sz w:val="16"/>
        </w:rPr>
        <w:t xml:space="preserve">  The effects of U.S. policy are starting to accumulate. As of 2021</w:t>
      </w:r>
      <w:r w:rsidRPr="00F219D8">
        <w:rPr>
          <w:rStyle w:val="StyleUnderline"/>
        </w:rPr>
        <w:t xml:space="preserve">, </w:t>
      </w:r>
      <w:r w:rsidRPr="00F219D8">
        <w:rPr>
          <w:rStyle w:val="Emphasis"/>
        </w:rPr>
        <w:t>eight of the world’s</w:t>
      </w:r>
      <w:r w:rsidRPr="00F219D8">
        <w:rPr>
          <w:rStyle w:val="StyleUnderline"/>
        </w:rPr>
        <w:t xml:space="preserve"> 10 </w:t>
      </w:r>
      <w:r w:rsidRPr="00F219D8">
        <w:rPr>
          <w:rStyle w:val="Emphasis"/>
        </w:rPr>
        <w:t>largest economies</w:t>
      </w:r>
      <w:r w:rsidRPr="00F219D8">
        <w:rPr>
          <w:rStyle w:val="StyleUnderline"/>
        </w:rPr>
        <w:t xml:space="preserve">, countries representing over 60% of the world’s cellular equipment market, and nearly all members of the European Union, had either </w:t>
      </w:r>
      <w:r w:rsidRPr="00F219D8">
        <w:rPr>
          <w:rStyle w:val="Emphasis"/>
        </w:rPr>
        <w:t>banned or restricted Huawei</w:t>
      </w:r>
      <w:r w:rsidRPr="00F219D8">
        <w:rPr>
          <w:rStyle w:val="StyleUnderline"/>
        </w:rPr>
        <w:t xml:space="preserve"> from their 5G networks. Many </w:t>
      </w:r>
      <w:r w:rsidRPr="00F219D8">
        <w:rPr>
          <w:rStyle w:val="Emphasis"/>
        </w:rPr>
        <w:t>countries</w:t>
      </w:r>
      <w:r w:rsidRPr="00F219D8">
        <w:rPr>
          <w:rStyle w:val="StyleUnderline"/>
        </w:rPr>
        <w:t xml:space="preserve"> that </w:t>
      </w:r>
      <w:r w:rsidRPr="00F219D8">
        <w:rPr>
          <w:rStyle w:val="Emphasis"/>
        </w:rPr>
        <w:t xml:space="preserve">have not imposed </w:t>
      </w:r>
      <w:r w:rsidRPr="00F219D8">
        <w:rPr>
          <w:rStyle w:val="StyleUnderline"/>
        </w:rPr>
        <w:t xml:space="preserve">formal </w:t>
      </w:r>
      <w:r w:rsidRPr="00F219D8">
        <w:rPr>
          <w:rStyle w:val="Emphasis"/>
        </w:rPr>
        <w:t>restrictions</w:t>
      </w:r>
      <w:r w:rsidRPr="00F219D8">
        <w:rPr>
          <w:rStyle w:val="StyleUnderline"/>
        </w:rPr>
        <w:t xml:space="preserve">, such as Germany and Canada, have subtly </w:t>
      </w:r>
      <w:r w:rsidRPr="00F219D8">
        <w:rPr>
          <w:rStyle w:val="Emphasis"/>
        </w:rPr>
        <w:t>made it</w:t>
      </w:r>
      <w:r w:rsidRPr="00F219D8">
        <w:rPr>
          <w:rStyle w:val="StyleUnderline"/>
        </w:rPr>
        <w:t xml:space="preserve"> very </w:t>
      </w:r>
      <w:r w:rsidRPr="00F219D8">
        <w:rPr>
          <w:rStyle w:val="Emphasis"/>
        </w:rPr>
        <w:t>difficult for Huawei</w:t>
      </w:r>
      <w:r w:rsidRPr="009113B8">
        <w:rPr>
          <w:sz w:val="16"/>
        </w:rPr>
        <w:t>. The company’s sales of network gear fell 14.2% between mid-2020 and mid-2021</w:t>
      </w:r>
      <w:r w:rsidRPr="00F219D8">
        <w:rPr>
          <w:rStyle w:val="StyleUnderline"/>
        </w:rPr>
        <w:t>. Its overall revenue fell roughly 29% and earnings have slumped in regions from the Middle East to the Americas.</w:t>
      </w:r>
      <w:r w:rsidRPr="009113B8">
        <w:rPr>
          <w:sz w:val="16"/>
        </w:rPr>
        <w:t xml:space="preserve"> Huawei’s founder, Ren Zhengfei, has declared that there is “no chaos within the company,” but the numbers tell a different story. </w:t>
      </w:r>
      <w:r w:rsidRPr="00F219D8">
        <w:rPr>
          <w:rStyle w:val="Emphasis"/>
        </w:rPr>
        <w:t>Huawei</w:t>
      </w:r>
      <w:r w:rsidRPr="00F219D8">
        <w:rPr>
          <w:rStyle w:val="StyleUnderline"/>
        </w:rPr>
        <w:t xml:space="preserve">’s predicament could </w:t>
      </w:r>
      <w:r w:rsidRPr="00F219D8">
        <w:rPr>
          <w:rStyle w:val="Emphasis"/>
        </w:rPr>
        <w:t>get much worse</w:t>
      </w:r>
      <w:r w:rsidRPr="00F219D8">
        <w:rPr>
          <w:rStyle w:val="StyleUnderline"/>
        </w:rPr>
        <w:t>.</w:t>
      </w:r>
      <w:r w:rsidRPr="009113B8">
        <w:rPr>
          <w:sz w:val="16"/>
        </w:rPr>
        <w:t xml:space="preserve"> Probably next year, </w:t>
      </w:r>
      <w:r w:rsidRPr="009113B8">
        <w:rPr>
          <w:rStyle w:val="StyleUnderline"/>
        </w:rPr>
        <w:t xml:space="preserve">the company will </w:t>
      </w:r>
      <w:r w:rsidRPr="009113B8">
        <w:rPr>
          <w:rStyle w:val="Emphasis"/>
        </w:rPr>
        <w:t>run out</w:t>
      </w:r>
      <w:r w:rsidRPr="009113B8">
        <w:rPr>
          <w:rStyle w:val="StyleUnderline"/>
        </w:rPr>
        <w:t xml:space="preserve"> of the advanced </w:t>
      </w:r>
      <w:r w:rsidRPr="009113B8">
        <w:rPr>
          <w:rStyle w:val="Emphasis"/>
        </w:rPr>
        <w:t>semiconductors</w:t>
      </w:r>
      <w:r w:rsidRPr="009113B8">
        <w:rPr>
          <w:rStyle w:val="StyleUnderline"/>
        </w:rPr>
        <w:t xml:space="preserve"> it stockpiled as U.S. hostility grew</w:t>
      </w:r>
      <w:r w:rsidRPr="009113B8">
        <w:rPr>
          <w:sz w:val="16"/>
        </w:rPr>
        <w:t xml:space="preserve">. That will force it to fulfill existing contracts with older, less efficient components — or not fulfill them at all. Huawei may be too important for the Communist Party to let it fail. But its global expansion will become increasingly problematic. Meanwhile, </w:t>
      </w:r>
      <w:r w:rsidRPr="009113B8">
        <w:rPr>
          <w:rStyle w:val="StyleUnderline"/>
        </w:rPr>
        <w:t xml:space="preserve">there has been </w:t>
      </w:r>
      <w:r w:rsidRPr="009113B8">
        <w:rPr>
          <w:rStyle w:val="Emphasis"/>
        </w:rPr>
        <w:t>less collateral damage</w:t>
      </w:r>
      <w:r w:rsidRPr="009113B8">
        <w:rPr>
          <w:rStyle w:val="StyleUnderline"/>
        </w:rPr>
        <w:t xml:space="preserve"> </w:t>
      </w:r>
      <w:r w:rsidRPr="009113B8">
        <w:rPr>
          <w:rStyle w:val="Emphasis"/>
        </w:rPr>
        <w:t>from</w:t>
      </w:r>
      <w:r w:rsidRPr="009113B8">
        <w:rPr>
          <w:rStyle w:val="StyleUnderline"/>
        </w:rPr>
        <w:t xml:space="preserve"> the </w:t>
      </w:r>
      <w:r w:rsidRPr="009113B8">
        <w:rPr>
          <w:rStyle w:val="Emphasis"/>
        </w:rPr>
        <w:t>anti-Huawei campaign than</w:t>
      </w:r>
      <w:r w:rsidRPr="009113B8">
        <w:rPr>
          <w:rStyle w:val="StyleUnderline"/>
        </w:rPr>
        <w:t xml:space="preserve"> some observers initially </w:t>
      </w:r>
      <w:r w:rsidRPr="009113B8">
        <w:rPr>
          <w:rStyle w:val="Emphasis"/>
        </w:rPr>
        <w:t xml:space="preserve">feared. </w:t>
      </w:r>
      <w:r w:rsidRPr="009113B8">
        <w:rPr>
          <w:sz w:val="16"/>
        </w:rPr>
        <w:t>U.S. and foreign chipmakers worried that the sanctions would crush their sales, given that Huawei was the world’s third-largest chip purchaser.</w:t>
      </w:r>
    </w:p>
    <w:p w14:paraId="60BD2206" w14:textId="77777777" w:rsidR="00773EB8" w:rsidRPr="009113B8" w:rsidRDefault="00773EB8" w:rsidP="00773EB8">
      <w:pPr>
        <w:rPr>
          <w:sz w:val="16"/>
        </w:rPr>
      </w:pPr>
      <w:r w:rsidRPr="009113B8">
        <w:rPr>
          <w:sz w:val="16"/>
        </w:rPr>
        <w:t>Allied governments chafed at Washington’s push to make its sanctions extraterritorial. But the chipmakers have not been massacred, in part because Huawei’s now-thriving competitors are buying more, and in part because the U.S. has allowed Huawei to purchase older chips not suitable for its 5G business. And American policies have often benefited major foreign firms, such as Samsung Electronics Co., Ericsson AB and Nokia Oyj, by hobbling their principal rival.</w:t>
      </w:r>
    </w:p>
    <w:p w14:paraId="52CF2269" w14:textId="77777777" w:rsidR="00773EB8" w:rsidRPr="009113B8" w:rsidRDefault="00773EB8" w:rsidP="00773EB8">
      <w:pPr>
        <w:rPr>
          <w:sz w:val="16"/>
        </w:rPr>
      </w:pPr>
      <w:r w:rsidRPr="009113B8">
        <w:rPr>
          <w:sz w:val="16"/>
        </w:rPr>
        <w:t>O-RAN remains the least developed part of U.S. strategy. But even here, there are encouraging signs. This year, several major European telecom firms agreed to build O-RAN networks spanning the continent. Major mobile carriers in India have also decided to invest in the technology for their domestic networks and develop products for export.</w:t>
      </w:r>
    </w:p>
    <w:p w14:paraId="6F67F500" w14:textId="77777777" w:rsidR="00773EB8" w:rsidRPr="009113B8" w:rsidRDefault="00773EB8" w:rsidP="00773EB8">
      <w:pPr>
        <w:rPr>
          <w:sz w:val="16"/>
        </w:rPr>
      </w:pPr>
      <w:r w:rsidRPr="009113B8">
        <w:rPr>
          <w:sz w:val="16"/>
        </w:rPr>
        <w:t>As they do so, O-RAN will start to profit from scale effects of the sort Huawei enjoyed. And because the Indian telecom market has a low average revenue per user, an approach that is economically viable there could be viable almost anywhere. If that happened, Huawei’s price advantage in developing markets — so far, its trump card — may become a thing of the past.</w:t>
      </w:r>
    </w:p>
    <w:p w14:paraId="022EFF8F" w14:textId="77777777" w:rsidR="00773EB8" w:rsidRPr="009113B8" w:rsidRDefault="00773EB8" w:rsidP="00773EB8">
      <w:pPr>
        <w:rPr>
          <w:sz w:val="16"/>
        </w:rPr>
      </w:pPr>
      <w:r w:rsidRPr="00F219D8">
        <w:rPr>
          <w:rStyle w:val="StyleUnderline"/>
        </w:rPr>
        <w:t xml:space="preserve">Two years ago, </w:t>
      </w:r>
      <w:r w:rsidRPr="00F219D8">
        <w:rPr>
          <w:rStyle w:val="Emphasis"/>
        </w:rPr>
        <w:t>Huawei</w:t>
      </w:r>
      <w:r w:rsidRPr="00F219D8">
        <w:rPr>
          <w:rStyle w:val="StyleUnderline"/>
        </w:rPr>
        <w:t xml:space="preserve"> was a symbol of China’s global tech ambitions.</w:t>
      </w:r>
      <w:r w:rsidRPr="009113B8">
        <w:rPr>
          <w:sz w:val="16"/>
        </w:rPr>
        <w:t xml:space="preserve"> Today, </w:t>
      </w:r>
      <w:r w:rsidRPr="00F219D8">
        <w:rPr>
          <w:rStyle w:val="StyleUnderline"/>
        </w:rPr>
        <w:t xml:space="preserve">it is </w:t>
      </w:r>
      <w:r w:rsidRPr="00F219D8">
        <w:rPr>
          <w:rStyle w:val="Emphasis"/>
        </w:rPr>
        <w:t>an example of</w:t>
      </w:r>
      <w:r w:rsidRPr="00F219D8">
        <w:rPr>
          <w:rStyle w:val="StyleUnderline"/>
        </w:rPr>
        <w:t xml:space="preserve"> persistent </w:t>
      </w:r>
      <w:r w:rsidRPr="00F219D8">
        <w:rPr>
          <w:rStyle w:val="Emphasis"/>
        </w:rPr>
        <w:t>Chinese vulnerability</w:t>
      </w:r>
      <w:r w:rsidRPr="009113B8">
        <w:rPr>
          <w:sz w:val="16"/>
        </w:rPr>
        <w:t>, as well as a marker of how America has begun to fuse the unilateral coercion and multilateral construction necessary to wage a technological cold war. Yet Huawei’s story also underscores a final lesson, on the need for speed in U.S. strategy.</w:t>
      </w:r>
    </w:p>
    <w:p w14:paraId="600EBC7B" w14:textId="77777777" w:rsidR="00773EB8" w:rsidRPr="009113B8" w:rsidRDefault="00773EB8" w:rsidP="00773EB8">
      <w:pPr>
        <w:rPr>
          <w:sz w:val="16"/>
        </w:rPr>
      </w:pPr>
      <w:r w:rsidRPr="009113B8">
        <w:rPr>
          <w:sz w:val="16"/>
        </w:rPr>
        <w:t>The 5G network is a classic example of a technology with first-mover advantages. Companies that build and install the hardware on which 5G networks sit will enjoy lasting influence over the countries those networks serve. The U.S. nearly waited too long to meet the threat — and even as Huawei struggles, the battle isn’t through.</w:t>
      </w:r>
    </w:p>
    <w:p w14:paraId="3061A8FB" w14:textId="77777777" w:rsidR="00773EB8" w:rsidRPr="009113B8" w:rsidRDefault="00773EB8" w:rsidP="00773EB8">
      <w:pPr>
        <w:rPr>
          <w:sz w:val="16"/>
        </w:rPr>
      </w:pPr>
      <w:r w:rsidRPr="009113B8">
        <w:rPr>
          <w:sz w:val="16"/>
        </w:rPr>
        <w:t>Washington is just beginning to promote alternatives to Huawei, and to make the generational investments needed to keep America and its allies far ahead in designing and producing top-shelf semiconductors. Beijing isn’t conceding defeat: It is quadrupling down on indigenous innovation in hopes of becoming the world’s leader in advanced semiconductors by 2030.</w:t>
      </w:r>
    </w:p>
    <w:p w14:paraId="2D9C7E0D" w14:textId="77777777" w:rsidR="00773EB8" w:rsidRPr="009113B8" w:rsidRDefault="00773EB8" w:rsidP="00773EB8">
      <w:pPr>
        <w:rPr>
          <w:sz w:val="16"/>
        </w:rPr>
      </w:pPr>
      <w:r w:rsidRPr="009113B8">
        <w:rPr>
          <w:sz w:val="16"/>
        </w:rPr>
        <w:t>Other battles await. China is bidding for control of the world’s data, through investments in cloud computing, data centers and fiberoptic cables. AI, biotech and quantum computing loom large. The U.S. has begun, albeit belatedly, to address the challenge of Chinese-dominated 5G networks. The lesson for the broader tech competition is not to wait until it is too late.</w:t>
      </w:r>
    </w:p>
    <w:p w14:paraId="3B9DA9ED" w14:textId="74F44FF8" w:rsidR="00EC2BC2" w:rsidRDefault="00EC2BC2" w:rsidP="00EC2BC2">
      <w:pPr>
        <w:pStyle w:val="Heading2"/>
      </w:pPr>
      <w:r>
        <w:t>Solvency</w:t>
      </w:r>
    </w:p>
    <w:p w14:paraId="398E4A02" w14:textId="35ADC3C6" w:rsidR="008F567E" w:rsidRDefault="008F567E" w:rsidP="008F567E">
      <w:pPr>
        <w:pStyle w:val="Heading3"/>
      </w:pPr>
      <w:r>
        <w:t>S</w:t>
      </w:r>
      <w:r w:rsidR="00006FA3">
        <w:t>olvency</w:t>
      </w:r>
      <w:r>
        <w:t>---Top Level---2NC</w:t>
      </w:r>
    </w:p>
    <w:p w14:paraId="6C66B8FD" w14:textId="60060B98" w:rsidR="008F567E" w:rsidRPr="0069394F" w:rsidRDefault="008F567E" w:rsidP="008F567E">
      <w:pPr>
        <w:pStyle w:val="Heading4"/>
        <w:rPr>
          <w:b w:val="0"/>
          <w:bCs/>
        </w:rPr>
      </w:pPr>
      <w:r>
        <w:t>International trade commission is good</w:t>
      </w:r>
    </w:p>
    <w:p w14:paraId="3BD3A843" w14:textId="4F90945F" w:rsidR="008F567E" w:rsidRPr="00801483" w:rsidRDefault="008F567E" w:rsidP="008F567E">
      <w:pPr>
        <w:rPr>
          <w:rStyle w:val="StyleUnderline"/>
        </w:rPr>
      </w:pPr>
      <w:r w:rsidRPr="000A551F">
        <w:t>Mark L.</w:t>
      </w:r>
      <w:r w:rsidRPr="000A551F">
        <w:rPr>
          <w:b/>
          <w:bCs/>
          <w:sz w:val="26"/>
          <w:szCs w:val="26"/>
        </w:rPr>
        <w:t xml:space="preserve"> Hogge</w:t>
      </w:r>
      <w:r w:rsidRPr="000A551F">
        <w:t xml:space="preserve"> and Nicholas </w:t>
      </w:r>
      <w:r>
        <w:rPr>
          <w:b/>
          <w:bCs/>
          <w:sz w:val="26"/>
          <w:szCs w:val="26"/>
        </w:rPr>
        <w:t xml:space="preserve">Jackson </w:t>
      </w:r>
      <w:r w:rsidRPr="000A551F">
        <w:rPr>
          <w:b/>
          <w:bCs/>
          <w:sz w:val="26"/>
          <w:szCs w:val="26"/>
        </w:rPr>
        <w:t>24</w:t>
      </w:r>
      <w:r w:rsidRPr="000A551F">
        <w:t xml:space="preserve">, </w:t>
      </w:r>
      <w:r>
        <w:t xml:space="preserve">last copyrighted 2024, Mark is a patent litigator, partner at Dentons, and </w:t>
      </w:r>
      <w:r w:rsidRPr="000A551F">
        <w:t>is ranked in Chambers USA: America's Leading Lawyers for Business in the category of Intellectual Property: Litigation</w:t>
      </w:r>
      <w:r>
        <w:t xml:space="preserve">. Nicholas is a mechanical engineer, practicing patent attorney, and a partner at Dentons. </w:t>
      </w:r>
      <w:r w:rsidRPr="000A551F">
        <w:t xml:space="preserve">"Understanding the International Trade Commission", </w:t>
      </w:r>
      <w:r>
        <w:t>Dentons</w:t>
      </w:r>
      <w:r w:rsidRPr="000A551F">
        <w:t>, https://www.dentons.com/en/insights/articles/2020/june/9/understanding-the-international-trade-commission</w:t>
      </w:r>
      <w:r>
        <w:t xml:space="preserve"> // </w:t>
      </w:r>
    </w:p>
    <w:p w14:paraId="41EAF0D3" w14:textId="77777777" w:rsidR="008F567E" w:rsidRDefault="008F567E" w:rsidP="008F567E">
      <w:r>
        <w:t>The ITC's 337 Action</w:t>
      </w:r>
    </w:p>
    <w:p w14:paraId="6D25AA5D" w14:textId="77777777" w:rsidR="008F567E" w:rsidRDefault="008F567E" w:rsidP="008F567E">
      <w:r>
        <w:t xml:space="preserve">The </w:t>
      </w:r>
      <w:r w:rsidRPr="00801483">
        <w:rPr>
          <w:rStyle w:val="StyleUnderline"/>
        </w:rPr>
        <w:t xml:space="preserve">International Trade Commission (ITC) </w:t>
      </w:r>
      <w:r w:rsidRPr="00801483">
        <w:t>is a governmental agency based in Washington, DC which</w:t>
      </w:r>
      <w:r w:rsidRPr="00801483">
        <w:rPr>
          <w:rStyle w:val="StyleUnderline"/>
        </w:rPr>
        <w:t xml:space="preserve"> enforces acts of unfair competition</w:t>
      </w:r>
      <w:r w:rsidRPr="00394F31">
        <w:rPr>
          <w:rStyle w:val="StyleUnderline"/>
        </w:rPr>
        <w:t>, including patent, trademark, or copyright infringement</w:t>
      </w:r>
      <w:r>
        <w:t xml:space="preserve">; trade secret misappropriation; or antitrust pursuant to Section 337(a) of the Tariff Act of 1930 (19 U.S.C. §1337(a)). Often, the investigation is referred to as a “337 action.” </w:t>
      </w:r>
      <w:r w:rsidRPr="00604FFE">
        <w:rPr>
          <w:rStyle w:val="StyleUnderline"/>
        </w:rPr>
        <w:t xml:space="preserve">The ITC is concerned with protecting a complainant's domestic industry in the US. </w:t>
      </w:r>
      <w:r>
        <w:t>This domestic industry relates to the monetary expenditure by the complainant related to the products it sells and can consist of numerous factors including, employee salaries, research and development costs, warehouse space, training and troubleshooting, distribution channels, litigation costs, etc. However, it is important to note that the expenditures must be tied to the specific patents (or other statutory IP) identified in the complaint in order to support the domestic industry requirement. The complainant must also show that it practices the patent (or other statutory IP) that it is asserting against the respondent(s).</w:t>
      </w:r>
    </w:p>
    <w:p w14:paraId="59059836" w14:textId="77777777" w:rsidR="008F567E" w:rsidRDefault="008F567E" w:rsidP="008F567E">
      <w:r>
        <w:t xml:space="preserve">So </w:t>
      </w:r>
      <w:r w:rsidRPr="00604FFE">
        <w:rPr>
          <w:rStyle w:val="StyleUnderline"/>
        </w:rPr>
        <w:t>why is the ITC so popular</w:t>
      </w:r>
      <w:r>
        <w:t xml:space="preserve">, and </w:t>
      </w:r>
      <w:r w:rsidRPr="00604FFE">
        <w:rPr>
          <w:rStyle w:val="StyleUnderline"/>
        </w:rPr>
        <w:t>what is unique about it that patent owners should be aware of</w:t>
      </w:r>
      <w:r>
        <w:t>?</w:t>
      </w:r>
    </w:p>
    <w:p w14:paraId="46AD3525" w14:textId="77777777" w:rsidR="008F567E" w:rsidRDefault="008F567E" w:rsidP="008F567E">
      <w:r>
        <w:t>Speed and Patent Savvy</w:t>
      </w:r>
    </w:p>
    <w:p w14:paraId="7DDCAAFF" w14:textId="77777777" w:rsidR="008F567E" w:rsidRDefault="008F567E" w:rsidP="008F567E">
      <w:r w:rsidRPr="009659AF">
        <w:rPr>
          <w:rStyle w:val="StyleUnderline"/>
        </w:rPr>
        <w:t>A 337 action is also ordinarily a significantly quicker process than the traditional district court</w:t>
      </w:r>
      <w:r>
        <w:t xml:space="preserve"> route, in many cases almost 50% faster. A typical 337 action averages between 14-17 months from initiation to a final determination from the ITC. Further, </w:t>
      </w:r>
      <w:r w:rsidRPr="00637EC5">
        <w:rPr>
          <w:rStyle w:val="StyleUnderline"/>
        </w:rPr>
        <w:t>the ITC tends to be a patent (and IP) savvy venue with no jury, allowing for directed legal and expert arguments</w:t>
      </w:r>
      <w:r>
        <w:t xml:space="preserve">. The Administrative Law Judges (ALJs) see numerous patent cases each year and are comfortable with technical matters. Further, </w:t>
      </w:r>
      <w:r w:rsidRPr="00637EC5">
        <w:rPr>
          <w:rStyle w:val="StyleUnderline"/>
        </w:rPr>
        <w:t>a 337 action enjoys the ability of appeal to the United States Court of Appeals for the Federal Circuit, the overall patent appeals court. The ITC action does not deal with damages or willful infringement, thus streamlining the issues to be tried</w:t>
      </w:r>
      <w:r>
        <w:t>.</w:t>
      </w:r>
    </w:p>
    <w:p w14:paraId="159901AF" w14:textId="77777777" w:rsidR="008F567E" w:rsidRDefault="008F567E" w:rsidP="008F567E">
      <w:r>
        <w:t>Remedy</w:t>
      </w:r>
    </w:p>
    <w:p w14:paraId="29E25298" w14:textId="77777777" w:rsidR="008F567E" w:rsidRDefault="008F567E" w:rsidP="008F567E">
      <w:r w:rsidRPr="0070766B">
        <w:rPr>
          <w:rStyle w:val="StyleUnderline"/>
        </w:rPr>
        <w:t>Another reason that patent owners choose the ITC is</w:t>
      </w:r>
      <w:r>
        <w:t xml:space="preserve"> due to the remedy available - the exclusion order. </w:t>
      </w:r>
      <w:r w:rsidRPr="00415E36">
        <w:rPr>
          <w:rStyle w:val="StyleUnderline"/>
        </w:rPr>
        <w:t>The exclusion order, if it issues after a finding of a violation, stops the accused products from entering the country at the borders</w:t>
      </w:r>
      <w:r>
        <w:t xml:space="preserve">. Additionally, US </w:t>
      </w:r>
      <w:r w:rsidRPr="00415E36">
        <w:rPr>
          <w:rStyle w:val="StyleUnderline"/>
        </w:rPr>
        <w:t>Customs agents have the ability to seize the products before entry should the exclusion order be violated</w:t>
      </w:r>
      <w:r>
        <w:t>. Complainants can also obtain cease and desist orders against any inventory that has already been imported into the US, with fines approaching $100,000/day or 2x the value of the articles/day (whichever is greater) if the articles are not destroyed.</w:t>
      </w:r>
    </w:p>
    <w:p w14:paraId="6A8757A6" w14:textId="77777777" w:rsidR="008F567E" w:rsidRDefault="008F567E" w:rsidP="008F567E">
      <w:r>
        <w:t>In Rem Jurisdiction</w:t>
      </w:r>
    </w:p>
    <w:p w14:paraId="653A719D" w14:textId="77777777" w:rsidR="008F567E" w:rsidRDefault="008F567E" w:rsidP="008F567E">
      <w:r>
        <w:t xml:space="preserve">Another attractive feature of the ITC is that there is </w:t>
      </w:r>
      <w:r w:rsidRPr="00CF787A">
        <w:rPr>
          <w:rStyle w:val="StyleUnderline"/>
        </w:rPr>
        <w:t>in rem jurisdiction at the ITC</w:t>
      </w:r>
      <w:r>
        <w:t xml:space="preserve">, thus respondents do not necessarily need to be known, </w:t>
      </w:r>
      <w:r w:rsidRPr="00064EDB">
        <w:rPr>
          <w:rStyle w:val="StyleUnderline"/>
        </w:rPr>
        <w:t>so long as the accused products are identified</w:t>
      </w:r>
      <w:r>
        <w:t xml:space="preserve">. This is particularly </w:t>
      </w:r>
      <w:r w:rsidRPr="00064EDB">
        <w:rPr>
          <w:rStyle w:val="StyleUnderline"/>
        </w:rPr>
        <w:t>helpful when the market is being flooded with numerous infringing products</w:t>
      </w:r>
      <w:r>
        <w:t xml:space="preserve">, and </w:t>
      </w:r>
      <w:r w:rsidRPr="006B7449">
        <w:rPr>
          <w:rStyle w:val="StyleUnderline"/>
        </w:rPr>
        <w:t>also in obtaining a general exclusion order, which prohibits importation of accused articles, regardless as to whether the importers are named respondents</w:t>
      </w:r>
      <w:r>
        <w:t>. Further, given the difficulty of joining numerous defendants into one case in District Court after the passage of the America Invents Act, the ITC permits respondents who are importers of similar accused articles to be joined in one investigation.</w:t>
      </w:r>
    </w:p>
    <w:p w14:paraId="0E258CF9" w14:textId="77777777" w:rsidR="008F567E" w:rsidRPr="00C56509" w:rsidRDefault="008F567E" w:rsidP="008F567E">
      <w:pPr>
        <w:rPr>
          <w:sz w:val="16"/>
          <w:szCs w:val="16"/>
        </w:rPr>
      </w:pPr>
      <w:r w:rsidRPr="00C56509">
        <w:rPr>
          <w:sz w:val="16"/>
          <w:szCs w:val="16"/>
        </w:rPr>
        <w:t>Leverage for District Court</w:t>
      </w:r>
    </w:p>
    <w:p w14:paraId="519DE660" w14:textId="77777777" w:rsidR="008F567E" w:rsidRPr="00C56509" w:rsidRDefault="008F567E" w:rsidP="008F567E">
      <w:pPr>
        <w:rPr>
          <w:sz w:val="16"/>
          <w:szCs w:val="16"/>
        </w:rPr>
      </w:pPr>
      <w:r w:rsidRPr="00C56509">
        <w:rPr>
          <w:sz w:val="16"/>
          <w:szCs w:val="16"/>
        </w:rPr>
        <w:t xml:space="preserve">In the majority of 337 actions, a complainant may also file a companion district court action. The respondents have a statutory right to stay the District Court action and proceed at the ITC, which occurs in nearly all cases. The district court action allows the complainant to maintain its leverage for damages purposes and also provides notice in indirect infringement actions, and is often the catalyst for a global settlement. </w:t>
      </w:r>
    </w:p>
    <w:p w14:paraId="319BDA60" w14:textId="77777777" w:rsidR="008F567E" w:rsidRPr="00C56509" w:rsidRDefault="008F567E" w:rsidP="008F567E">
      <w:pPr>
        <w:rPr>
          <w:sz w:val="16"/>
          <w:szCs w:val="16"/>
        </w:rPr>
      </w:pPr>
      <w:r w:rsidRPr="00C56509">
        <w:rPr>
          <w:sz w:val="16"/>
          <w:szCs w:val="16"/>
        </w:rPr>
        <w:t>Participation by the Office of Unfair Import Investigations (OUII)</w:t>
      </w:r>
    </w:p>
    <w:p w14:paraId="43156520" w14:textId="77777777" w:rsidR="008F567E" w:rsidRDefault="008F567E" w:rsidP="008F567E">
      <w:r>
        <w:t xml:space="preserve">A unique feature of the ITC is the participation of the government's attorneys who are seeking to "protect the public interest." Prior to a complaint being filed, the </w:t>
      </w:r>
      <w:r w:rsidRPr="00AF5B9C">
        <w:rPr>
          <w:rStyle w:val="StyleUnderline"/>
        </w:rPr>
        <w:t>OUII attorneys are consulted and lobbied to obtain their support in having the ITC institute the case</w:t>
      </w:r>
      <w:r>
        <w:t xml:space="preserve">, i.e., the OUII attorneys will support the patent holder's request to have the investigation proceed. After institution, </w:t>
      </w:r>
      <w:r w:rsidRPr="00AF5B9C">
        <w:rPr>
          <w:rStyle w:val="StyleUnderline"/>
        </w:rPr>
        <w:t>an OUII attorney may be assigned to actively participate in the investigation</w:t>
      </w:r>
      <w:r>
        <w:t xml:space="preserve">. Similar to the pre-institution phase of the case, the OUII </w:t>
      </w:r>
      <w:r w:rsidRPr="00AF5B9C">
        <w:rPr>
          <w:rStyle w:val="StyleUnderline"/>
        </w:rPr>
        <w:t>attorneys can be consulted and lobbied during the case itself and can prove to be a strong ally</w:t>
      </w:r>
      <w:r>
        <w:t xml:space="preserve">. Further, the OUII attorneys have shown that they are </w:t>
      </w:r>
      <w:r w:rsidRPr="00AF5B9C">
        <w:rPr>
          <w:rStyle w:val="StyleUnderline"/>
        </w:rPr>
        <w:t>often proficient in resolving discovery disputes between the parties without the need of the ALJ, thus keeping the case on track and reducing unnecessary motion practice and the expenses associated therewith</w:t>
      </w:r>
      <w:r>
        <w:t>.</w:t>
      </w:r>
    </w:p>
    <w:p w14:paraId="26D544B5" w14:textId="77777777" w:rsidR="008F567E" w:rsidRPr="00C56509" w:rsidRDefault="008F567E" w:rsidP="008F567E">
      <w:pPr>
        <w:rPr>
          <w:sz w:val="16"/>
          <w:szCs w:val="16"/>
        </w:rPr>
      </w:pPr>
      <w:r w:rsidRPr="00C56509">
        <w:rPr>
          <w:sz w:val="16"/>
          <w:szCs w:val="16"/>
        </w:rPr>
        <w:t>Non-Practicing Entities (NPE)</w:t>
      </w:r>
    </w:p>
    <w:p w14:paraId="5EB9A38D" w14:textId="77777777" w:rsidR="008F567E" w:rsidRPr="00C56509" w:rsidRDefault="008F567E" w:rsidP="008F567E">
      <w:pPr>
        <w:rPr>
          <w:sz w:val="16"/>
          <w:szCs w:val="16"/>
        </w:rPr>
      </w:pPr>
      <w:r w:rsidRPr="00C56509">
        <w:rPr>
          <w:sz w:val="16"/>
          <w:szCs w:val="16"/>
        </w:rPr>
        <w:t xml:space="preserve">Recently there have been more NPEs appearing at the ITC. At first glance, many observers were surprised to see these parties filing investigations as they seemingly had no domestic industry to protect. However, the ITC allows parties to show domestic industry that is based on the licensing of the patents being asserted. This has allowed NPEs to maintain their domestic industry based on research and development to create the invention and licensing of the specific patents related to that invention. The NPEs then rely further on the licensee's practice of the patents to support the domestic industry requirement. </w:t>
      </w:r>
    </w:p>
    <w:p w14:paraId="12C44339" w14:textId="77777777" w:rsidR="008F567E" w:rsidRPr="00C56509" w:rsidRDefault="008F567E" w:rsidP="008F567E">
      <w:pPr>
        <w:rPr>
          <w:sz w:val="16"/>
          <w:szCs w:val="16"/>
        </w:rPr>
      </w:pPr>
      <w:r w:rsidRPr="00C56509">
        <w:rPr>
          <w:sz w:val="16"/>
          <w:szCs w:val="16"/>
        </w:rPr>
        <w:t>Dentons Activity in the ITC</w:t>
      </w:r>
    </w:p>
    <w:p w14:paraId="0E53A3DF" w14:textId="77777777" w:rsidR="008F567E" w:rsidRDefault="008F567E" w:rsidP="008F567E">
      <w:pPr>
        <w:rPr>
          <w:sz w:val="16"/>
          <w:szCs w:val="16"/>
        </w:rPr>
      </w:pPr>
      <w:r w:rsidRPr="00C56509">
        <w:rPr>
          <w:sz w:val="16"/>
          <w:szCs w:val="16"/>
        </w:rPr>
        <w:t>Dentons’ ITC practice, based in Washington, DC, but drawing from members located across the Firm has been consistently active in the ITC for nearly 25 years, participating in approximately 40 investigations. We assist parties on both sides of the investigation, whether it be complainants who are enforcing their IP rights, or respondents who are accused of unfair trade practices. When working with respondents we actively counsel and assist the client with redesigns that will escape infringement so that the clients supply chain will not be disrupted.</w:t>
      </w:r>
    </w:p>
    <w:p w14:paraId="39C26466" w14:textId="77777777" w:rsidR="008F567E" w:rsidRPr="001E4C2A" w:rsidRDefault="008F567E" w:rsidP="008F567E">
      <w:pPr>
        <w:pStyle w:val="Heading4"/>
      </w:pPr>
      <w:r>
        <w:t>ITC attorney litigation good</w:t>
      </w:r>
    </w:p>
    <w:p w14:paraId="71927458" w14:textId="6BDB1A65" w:rsidR="008F567E" w:rsidRPr="001D6F31" w:rsidRDefault="008F567E" w:rsidP="008F567E">
      <w:r>
        <w:t xml:space="preserve">Bas de </w:t>
      </w:r>
      <w:r w:rsidRPr="002262EA">
        <w:rPr>
          <w:b/>
          <w:bCs/>
          <w:sz w:val="26"/>
          <w:szCs w:val="26"/>
        </w:rPr>
        <w:t>Blank and</w:t>
      </w:r>
      <w:r>
        <w:t xml:space="preserve"> T. </w:t>
      </w:r>
      <w:r w:rsidRPr="002262EA">
        <w:rPr>
          <w:b/>
          <w:bCs/>
          <w:sz w:val="26"/>
          <w:szCs w:val="26"/>
        </w:rPr>
        <w:t>Vann Pearce</w:t>
      </w:r>
      <w:r>
        <w:t xml:space="preserve"> Jr </w:t>
      </w:r>
      <w:r w:rsidRPr="002262EA">
        <w:rPr>
          <w:b/>
          <w:bCs/>
          <w:sz w:val="26"/>
          <w:szCs w:val="26"/>
        </w:rPr>
        <w:t>15</w:t>
      </w:r>
      <w:r>
        <w:t xml:space="preserve">. Bas is a </w:t>
      </w:r>
      <w:r w:rsidRPr="001D6F31">
        <w:t>Partner, Intellectual Property, U.S. International Trade Commission</w:t>
      </w:r>
      <w:r>
        <w:t>, and T. Vann Pearce is a patent litigator representing technological firms. February 2015,</w:t>
      </w:r>
      <w:r w:rsidRPr="001D6F31">
        <w:t xml:space="preserve"> </w:t>
      </w:r>
      <w:r>
        <w:t>“</w:t>
      </w:r>
      <w:r w:rsidRPr="001D6F31">
        <w:t xml:space="preserve">Why the ITC Matters to You", </w:t>
      </w:r>
      <w:r>
        <w:t>Managing Intellectual Property</w:t>
      </w:r>
      <w:r w:rsidRPr="001D6F31">
        <w:t>, https://www.orrick.com/en/Insights/2015/02/Why-the-ITC-Matters-to-You</w:t>
      </w:r>
      <w:r>
        <w:t xml:space="preserve"> // </w:t>
      </w:r>
    </w:p>
    <w:p w14:paraId="1A864543" w14:textId="77777777" w:rsidR="008F567E" w:rsidRPr="000B2ECE" w:rsidRDefault="008F567E" w:rsidP="008F567E">
      <w:pPr>
        <w:rPr>
          <w:sz w:val="16"/>
          <w:szCs w:val="16"/>
        </w:rPr>
      </w:pPr>
      <w:r w:rsidRPr="000B2ECE">
        <w:rPr>
          <w:sz w:val="16"/>
          <w:szCs w:val="16"/>
        </w:rPr>
        <w:t xml:space="preserve">Chinese companies who import products or own patents in the U.S. should understand intellectual property investigations at the International Trade Commission (“ITC”). The </w:t>
      </w:r>
      <w:r w:rsidRPr="000B2ECE">
        <w:rPr>
          <w:rStyle w:val="StyleUnderline"/>
        </w:rPr>
        <w:t>ITC presents both great danger and great opportunity</w:t>
      </w:r>
      <w:r w:rsidRPr="000B2ECE">
        <w:rPr>
          <w:sz w:val="16"/>
          <w:szCs w:val="16"/>
        </w:rPr>
        <w:t xml:space="preserve">. Here, we provide an overview of the ITC and highlight its key distinguishing features. </w:t>
      </w:r>
    </w:p>
    <w:p w14:paraId="2C1BE765" w14:textId="77777777" w:rsidR="008F567E" w:rsidRPr="000B2ECE" w:rsidRDefault="008F567E" w:rsidP="008F567E">
      <w:pPr>
        <w:rPr>
          <w:sz w:val="16"/>
          <w:szCs w:val="16"/>
        </w:rPr>
      </w:pPr>
      <w:r w:rsidRPr="000B2ECE">
        <w:rPr>
          <w:sz w:val="16"/>
          <w:szCs w:val="16"/>
        </w:rPr>
        <w:t xml:space="preserve">In the United States, </w:t>
      </w:r>
      <w:r w:rsidRPr="000B2ECE">
        <w:rPr>
          <w:rStyle w:val="StyleUnderline"/>
        </w:rPr>
        <w:t>federal district courts typically hear disputes over patents and other intellectual property rights.</w:t>
      </w:r>
      <w:r w:rsidRPr="000B2ECE">
        <w:rPr>
          <w:sz w:val="16"/>
          <w:szCs w:val="16"/>
        </w:rPr>
        <w:t xml:space="preserve"> The ITC is an alternative forum. </w:t>
      </w:r>
      <w:r w:rsidRPr="000B2ECE">
        <w:rPr>
          <w:rStyle w:val="StyleUnderline"/>
        </w:rPr>
        <w:t>An ITC investigation begins when the patent owner (or “Complainant”) accuses another (the Respondent”) of importing into the United States a product that infringes a U.S. patent, copyright, or trademark</w:t>
      </w:r>
      <w:r w:rsidRPr="000B2ECE">
        <w:rPr>
          <w:sz w:val="16"/>
          <w:szCs w:val="16"/>
        </w:rPr>
        <w:t>.</w:t>
      </w:r>
    </w:p>
    <w:p w14:paraId="4588CF2E" w14:textId="77777777" w:rsidR="008F567E" w:rsidRPr="000B2ECE" w:rsidRDefault="008F567E" w:rsidP="008F567E">
      <w:pPr>
        <w:rPr>
          <w:sz w:val="16"/>
          <w:szCs w:val="16"/>
        </w:rPr>
      </w:pPr>
      <w:r w:rsidRPr="000B2ECE">
        <w:rPr>
          <w:sz w:val="16"/>
          <w:szCs w:val="16"/>
        </w:rPr>
        <w:t>ITC and district court litigations share much in common. In both, parties produce documents, respond to interrogatories, depose witnesses, and submit expert reports. The Complainant alleges infringement and Respondents can argue the claims are invalid, unenforceable, or not infringed. The ITC judge will construe the claims, decide infringement and invalidity, and, if a valid and enforceable claim is infringed, determine the appropriate remedy.</w:t>
      </w:r>
    </w:p>
    <w:p w14:paraId="2C80E81C" w14:textId="77777777" w:rsidR="008F567E" w:rsidRPr="000B2ECE" w:rsidRDefault="008F567E" w:rsidP="008F567E">
      <w:pPr>
        <w:rPr>
          <w:sz w:val="16"/>
          <w:szCs w:val="16"/>
        </w:rPr>
      </w:pPr>
      <w:r w:rsidRPr="000B2ECE">
        <w:rPr>
          <w:sz w:val="16"/>
          <w:szCs w:val="16"/>
        </w:rPr>
        <w:t xml:space="preserve">But the ITC differs from district courts in important ways. First, </w:t>
      </w:r>
      <w:r w:rsidRPr="00034189">
        <w:rPr>
          <w:rStyle w:val="Emphasis"/>
        </w:rPr>
        <w:t>the ITC is fast</w:t>
      </w:r>
      <w:r w:rsidRPr="00034189">
        <w:rPr>
          <w:rStyle w:val="StyleUnderline"/>
        </w:rPr>
        <w:t xml:space="preserve"> – trial in barely nine months with an initial decision shortly thereafter</w:t>
      </w:r>
      <w:r w:rsidRPr="000B2ECE">
        <w:rPr>
          <w:sz w:val="16"/>
          <w:szCs w:val="16"/>
        </w:rPr>
        <w:t xml:space="preserve">. Average district court patent cases take over two and a half years just to reach trial, and the entire case can be years longer. Second, in a district court case, </w:t>
      </w:r>
      <w:r w:rsidRPr="003B170E">
        <w:rPr>
          <w:rStyle w:val="StyleUnderline"/>
        </w:rPr>
        <w:t>patent owners get money damages but only rarely an injunction prohibiting continued infringement</w:t>
      </w:r>
      <w:r w:rsidRPr="000B2ECE">
        <w:rPr>
          <w:sz w:val="16"/>
          <w:szCs w:val="16"/>
        </w:rPr>
        <w:t xml:space="preserve">. The </w:t>
      </w:r>
      <w:r w:rsidRPr="00551F88">
        <w:rPr>
          <w:rStyle w:val="StyleUnderline"/>
        </w:rPr>
        <w:t xml:space="preserve">ITC cannot award money damages and will </w:t>
      </w:r>
      <w:r w:rsidRPr="00551F88">
        <w:rPr>
          <w:rStyle w:val="Emphasis"/>
        </w:rPr>
        <w:t>almost always grant an injunction to a prevailing patent owner</w:t>
      </w:r>
      <w:r w:rsidRPr="000B2ECE">
        <w:rPr>
          <w:sz w:val="16"/>
          <w:szCs w:val="16"/>
        </w:rPr>
        <w:t xml:space="preserve">. Third, </w:t>
      </w:r>
      <w:r w:rsidRPr="00A535E4">
        <w:rPr>
          <w:rStyle w:val="StyleUnderline"/>
        </w:rPr>
        <w:t>district court patent cases are decided by juries who usually lack technical or legal experience. ITC cases are decided by judges experienced in such matters.</w:t>
      </w:r>
      <w:r w:rsidRPr="000B2ECE">
        <w:rPr>
          <w:sz w:val="16"/>
          <w:szCs w:val="16"/>
        </w:rPr>
        <w:t xml:space="preserve"> This allows parties to present more technical arguments. Fourth, in the ITC a government agency called the “Office of Unfair Import Investigation” (“OUII”) may participate. The OUII starts out neutral, but by trial will take positions to help one side or the other.</w:t>
      </w:r>
    </w:p>
    <w:p w14:paraId="68555030" w14:textId="77777777" w:rsidR="008F567E" w:rsidRPr="000B2ECE" w:rsidRDefault="008F567E" w:rsidP="008F567E">
      <w:pPr>
        <w:rPr>
          <w:sz w:val="16"/>
          <w:szCs w:val="16"/>
        </w:rPr>
      </w:pPr>
      <w:r w:rsidRPr="000B2ECE">
        <w:rPr>
          <w:sz w:val="16"/>
          <w:szCs w:val="16"/>
        </w:rPr>
        <w:t xml:space="preserve">The </w:t>
      </w:r>
      <w:r w:rsidRPr="00A535E4">
        <w:rPr>
          <w:rStyle w:val="StyleUnderline"/>
        </w:rPr>
        <w:t>differences between the ITC and a district court can mean the difference between winning and losing</w:t>
      </w:r>
      <w:r w:rsidRPr="000B2ECE">
        <w:rPr>
          <w:sz w:val="16"/>
          <w:szCs w:val="16"/>
        </w:rPr>
        <w:t xml:space="preserve">. Even </w:t>
      </w:r>
      <w:r w:rsidRPr="007D5F87">
        <w:rPr>
          <w:rStyle w:val="StyleUnderline"/>
        </w:rPr>
        <w:t>good general patent litigation attorneys often make damaging mistakes in ITC cases</w:t>
      </w:r>
      <w:r w:rsidRPr="000B2ECE">
        <w:rPr>
          <w:sz w:val="16"/>
          <w:szCs w:val="16"/>
        </w:rPr>
        <w:t xml:space="preserve">. Companies </w:t>
      </w:r>
      <w:r w:rsidRPr="007D5F87">
        <w:rPr>
          <w:rStyle w:val="StyleUnderline"/>
        </w:rPr>
        <w:t>should hire experienced ITC attorneys who how to make the most effective use of ITC rules and requirements</w:t>
      </w:r>
      <w:r w:rsidRPr="000B2ECE">
        <w:rPr>
          <w:sz w:val="16"/>
          <w:szCs w:val="16"/>
        </w:rPr>
        <w:t>.</w:t>
      </w:r>
    </w:p>
    <w:p w14:paraId="2BF22F5C" w14:textId="77777777" w:rsidR="008F567E" w:rsidRPr="007D1AC0" w:rsidRDefault="008F567E" w:rsidP="008F567E">
      <w:pPr>
        <w:rPr>
          <w:rStyle w:val="StyleUnderline"/>
        </w:rPr>
      </w:pPr>
      <w:r w:rsidRPr="000B2ECE">
        <w:rPr>
          <w:sz w:val="16"/>
          <w:szCs w:val="16"/>
        </w:rPr>
        <w:t xml:space="preserve">For example, unlike a district court, the </w:t>
      </w:r>
      <w:r w:rsidRPr="007D1AC0">
        <w:rPr>
          <w:rStyle w:val="StyleUnderline"/>
        </w:rPr>
        <w:t>ITC requires the patent owner to prove that it or its licensees are using the asserted patent in the United States. This “domestic industry” requirement can provide an additional defense and area for discovery for a party accused on infringement.</w:t>
      </w:r>
      <w:r w:rsidRPr="000B2ECE">
        <w:rPr>
          <w:sz w:val="16"/>
          <w:szCs w:val="16"/>
        </w:rPr>
        <w:t xml:space="preserve"> Similarly, </w:t>
      </w:r>
      <w:r w:rsidRPr="007D1AC0">
        <w:rPr>
          <w:rStyle w:val="StyleUnderline"/>
        </w:rPr>
        <w:t>experienced ITC attorneys will know how to work with the OUII and encourage them to take favorable positions</w:t>
      </w:r>
      <w:r w:rsidRPr="000B2ECE">
        <w:rPr>
          <w:sz w:val="16"/>
          <w:szCs w:val="16"/>
        </w:rPr>
        <w:t xml:space="preserve">. </w:t>
      </w:r>
      <w:r w:rsidRPr="007D1AC0">
        <w:rPr>
          <w:rStyle w:val="StyleUnderline"/>
        </w:rPr>
        <w:t>ITC attorneys will also understand the scope of the potential remedies and how to minimize the disruption an injunction may cause.</w:t>
      </w:r>
    </w:p>
    <w:p w14:paraId="050FA1CF" w14:textId="77777777" w:rsidR="008F567E" w:rsidRDefault="008F567E" w:rsidP="008F567E">
      <w:pPr>
        <w:rPr>
          <w:sz w:val="16"/>
          <w:szCs w:val="16"/>
        </w:rPr>
      </w:pPr>
      <w:r w:rsidRPr="000B2ECE">
        <w:rPr>
          <w:sz w:val="16"/>
          <w:szCs w:val="16"/>
        </w:rPr>
        <w:t>The ITC is a powerful, fast moving court that does not allow the luxury of “learning as you go.” It has particular rules and presents specific challenges that must be addressed for a party to be successful.</w:t>
      </w:r>
    </w:p>
    <w:p w14:paraId="177114F4" w14:textId="77777777" w:rsidR="00814AC2" w:rsidRPr="004F2678" w:rsidRDefault="00814AC2" w:rsidP="00814AC2">
      <w:pPr>
        <w:pStyle w:val="Heading4"/>
        <w:rPr>
          <w:rFonts w:cs="Calibri"/>
        </w:rPr>
      </w:pPr>
      <w:r w:rsidRPr="004F2678">
        <w:rPr>
          <w:rFonts w:cs="Calibri"/>
        </w:rPr>
        <w:t>ITC good card, good warrants ie speed and its selection process</w:t>
      </w:r>
    </w:p>
    <w:p w14:paraId="683D8C9C" w14:textId="77777777" w:rsidR="00814AC2" w:rsidRPr="004F2678" w:rsidRDefault="00814AC2" w:rsidP="00814AC2">
      <w:r w:rsidRPr="004F2678">
        <w:t xml:space="preserve">Chenqian </w:t>
      </w:r>
      <w:r w:rsidRPr="004F2678">
        <w:rPr>
          <w:b/>
          <w:bCs/>
          <w:sz w:val="26"/>
          <w:szCs w:val="26"/>
        </w:rPr>
        <w:t>Xu 24</w:t>
      </w:r>
      <w:r w:rsidRPr="004F2678">
        <w:t>, Xiangtan University, 4-22-2024, "Understanding the Rivalry Among Telecommunication Companies in the Cross-Border Patent Infringement: An Evolutionary Social Network Analysis", Sage Journals, https://journals.sagepub.com/doi/10.1177/21582440241241979//susu</w:t>
      </w:r>
    </w:p>
    <w:p w14:paraId="1C4830D0" w14:textId="77777777" w:rsidR="00814AC2" w:rsidRPr="004F2678" w:rsidRDefault="00814AC2" w:rsidP="00814AC2">
      <w:r w:rsidRPr="004F2678">
        <w:t>International Trade Commission Investigations</w:t>
      </w:r>
    </w:p>
    <w:p w14:paraId="513FCB8F" w14:textId="12327EF5" w:rsidR="00814AC2" w:rsidRPr="00814AC2" w:rsidRDefault="00814AC2" w:rsidP="00814AC2">
      <w:pPr>
        <w:rPr>
          <w:u w:val="single"/>
        </w:rPr>
      </w:pPr>
      <w:r w:rsidRPr="004F2678">
        <w:rPr>
          <w:b/>
          <w:bCs/>
          <w:u w:val="single"/>
        </w:rPr>
        <w:t>ITC</w:t>
      </w:r>
      <w:r w:rsidRPr="004F2678">
        <w:rPr>
          <w:u w:val="single"/>
        </w:rPr>
        <w:t xml:space="preserve"> is an independent government agency in the United States that deals with patent </w:t>
      </w:r>
      <w:r w:rsidRPr="004F2678">
        <w:rPr>
          <w:b/>
          <w:bCs/>
          <w:u w:val="single"/>
        </w:rPr>
        <w:t>infringement across borders</w:t>
      </w:r>
      <w:r w:rsidRPr="004F2678">
        <w:rPr>
          <w:u w:val="single"/>
        </w:rPr>
        <w:t xml:space="preserve"> (Thomas, 1989</w:t>
      </w:r>
      <w:r w:rsidRPr="004F2678">
        <w:t xml:space="preserve">). Under the dual-track patent litigation system in the United States, ITC investigation was developed for targeting foreign goods, while the litigation in federal district courts verdict domestic issues (Chien, 2008). Recently, to leverage patent rights to expel competitors, high-tech companies have turned to ITC with increased frequency to resolve patent disputes with global corporations (Norris, 2013). </w:t>
      </w:r>
      <w:r w:rsidRPr="004F2678">
        <w:rPr>
          <w:u w:val="single"/>
        </w:rPr>
        <w:t xml:space="preserve">Indeed, for patentees in high-tech areas, ITC is a promising alternative to federal district court owing to its </w:t>
      </w:r>
      <w:r w:rsidRPr="004F2678">
        <w:rPr>
          <w:b/>
          <w:bCs/>
          <w:u w:val="single"/>
        </w:rPr>
        <w:t>statutory provisions</w:t>
      </w:r>
      <w:r w:rsidRPr="004F2678">
        <w:rPr>
          <w:u w:val="single"/>
        </w:rPr>
        <w:t xml:space="preserve"> and procedures. For instance, the investigations by ITC lead to </w:t>
      </w:r>
      <w:r w:rsidRPr="004F2678">
        <w:rPr>
          <w:b/>
          <w:bCs/>
          <w:u w:val="single"/>
        </w:rPr>
        <w:t>quick decisions,</w:t>
      </w:r>
      <w:r w:rsidRPr="004F2678">
        <w:rPr>
          <w:u w:val="single"/>
        </w:rPr>
        <w:t xml:space="preserve"> which is particularly </w:t>
      </w:r>
      <w:r w:rsidRPr="004F2678">
        <w:rPr>
          <w:b/>
          <w:bCs/>
          <w:u w:val="single"/>
        </w:rPr>
        <w:t>crucial</w:t>
      </w:r>
      <w:r w:rsidRPr="004F2678">
        <w:rPr>
          <w:u w:val="single"/>
        </w:rPr>
        <w:t xml:space="preserve"> for companies in the short product lifecycles industry. Unlike litigations in district courts that might last for </w:t>
      </w:r>
      <w:r w:rsidRPr="004F2678">
        <w:rPr>
          <w:b/>
          <w:bCs/>
          <w:u w:val="single"/>
        </w:rPr>
        <w:t>2 to 6 years</w:t>
      </w:r>
      <w:r w:rsidRPr="004F2678">
        <w:rPr>
          <w:u w:val="single"/>
        </w:rPr>
        <w:t xml:space="preserve">, ITC investigations could be concluded in </w:t>
      </w:r>
      <w:r w:rsidRPr="004F2678">
        <w:rPr>
          <w:b/>
          <w:bCs/>
          <w:u w:val="single"/>
        </w:rPr>
        <w:t>12 to 16 months</w:t>
      </w:r>
      <w:r w:rsidRPr="004F2678">
        <w:rPr>
          <w:u w:val="single"/>
        </w:rPr>
        <w:t>.</w:t>
      </w:r>
      <w:r w:rsidRPr="004F2678">
        <w:t xml:space="preserve"> Since the injunction is not enforced until the case is closed, patentees might suffer from the sales of competitors during the waiting period. </w:t>
      </w:r>
      <w:r w:rsidRPr="004F2678">
        <w:rPr>
          <w:u w:val="single"/>
        </w:rPr>
        <w:t>Moreover, administrative law judges (</w:t>
      </w:r>
      <w:r w:rsidRPr="004F2678">
        <w:rPr>
          <w:b/>
          <w:bCs/>
          <w:u w:val="single"/>
        </w:rPr>
        <w:t>ALJ</w:t>
      </w:r>
      <w:r w:rsidRPr="004F2678">
        <w:rPr>
          <w:u w:val="single"/>
        </w:rPr>
        <w:t xml:space="preserve">) in ITC cases are selected through </w:t>
      </w:r>
      <w:r w:rsidRPr="004F2678">
        <w:rPr>
          <w:b/>
          <w:bCs/>
          <w:u w:val="single"/>
        </w:rPr>
        <w:t>strict examination</w:t>
      </w:r>
      <w:r w:rsidRPr="004F2678">
        <w:rPr>
          <w:u w:val="single"/>
        </w:rPr>
        <w:t xml:space="preserve"> and have </w:t>
      </w:r>
      <w:r w:rsidRPr="004F2678">
        <w:rPr>
          <w:b/>
          <w:bCs/>
          <w:u w:val="single"/>
        </w:rPr>
        <w:t>extensive experience in patent cases</w:t>
      </w:r>
      <w:r w:rsidRPr="004F2678">
        <w:rPr>
          <w:u w:val="single"/>
        </w:rPr>
        <w:t xml:space="preserve"> (Duvall, 1980). For the investigations involved in complex technologies, ALJ with </w:t>
      </w:r>
      <w:r w:rsidRPr="004F2678">
        <w:rPr>
          <w:b/>
          <w:bCs/>
          <w:u w:val="single"/>
        </w:rPr>
        <w:t>specialized technological knowledge</w:t>
      </w:r>
      <w:r w:rsidRPr="004F2678">
        <w:rPr>
          <w:u w:val="single"/>
        </w:rPr>
        <w:t xml:space="preserve"> can ensure the </w:t>
      </w:r>
      <w:r w:rsidRPr="004F2678">
        <w:rPr>
          <w:b/>
          <w:bCs/>
          <w:u w:val="single"/>
        </w:rPr>
        <w:t>impartiality</w:t>
      </w:r>
      <w:r w:rsidRPr="004F2678">
        <w:rPr>
          <w:u w:val="single"/>
        </w:rPr>
        <w:t xml:space="preserve"> and </w:t>
      </w:r>
      <w:r w:rsidRPr="004F2678">
        <w:rPr>
          <w:b/>
          <w:bCs/>
          <w:u w:val="single"/>
        </w:rPr>
        <w:t>efficiency</w:t>
      </w:r>
      <w:r w:rsidRPr="004F2678">
        <w:rPr>
          <w:u w:val="single"/>
        </w:rPr>
        <w:t xml:space="preserve"> of the trial.</w:t>
      </w:r>
      <w:r w:rsidRPr="004F2678">
        <w:t xml:space="preserve"> In addition, the America Invents Act issued in 2011 made significant changes to the process of patent enforcement in U.S. court, </w:t>
      </w:r>
      <w:r w:rsidRPr="004F2678">
        <w:rPr>
          <w:u w:val="single"/>
        </w:rPr>
        <w:t xml:space="preserve">that is, the patentee cannot list </w:t>
      </w:r>
      <w:r w:rsidRPr="004F2678">
        <w:rPr>
          <w:b/>
          <w:bCs/>
          <w:u w:val="single"/>
        </w:rPr>
        <w:t>several respondents</w:t>
      </w:r>
      <w:r w:rsidRPr="004F2678">
        <w:rPr>
          <w:u w:val="single"/>
        </w:rPr>
        <w:t xml:space="preserve"> who are unrelated in one lawsuit. Hence, some patentees who want to target more potential infringers in one lawsuit may choose </w:t>
      </w:r>
      <w:r w:rsidRPr="004F2678">
        <w:rPr>
          <w:b/>
          <w:bCs/>
          <w:u w:val="single"/>
        </w:rPr>
        <w:t>ITC</w:t>
      </w:r>
      <w:r w:rsidRPr="004F2678">
        <w:rPr>
          <w:u w:val="single"/>
        </w:rPr>
        <w:t xml:space="preserve"> instead. Finally, the most appealing aspect of ITC could be the power to issue a </w:t>
      </w:r>
      <w:r w:rsidRPr="004F2678">
        <w:rPr>
          <w:b/>
          <w:bCs/>
          <w:u w:val="single"/>
        </w:rPr>
        <w:t>general exclusion order</w:t>
      </w:r>
      <w:r w:rsidRPr="004F2678">
        <w:rPr>
          <w:u w:val="single"/>
        </w:rPr>
        <w:t xml:space="preserve">, which can </w:t>
      </w:r>
      <w:r w:rsidRPr="004F2678">
        <w:rPr>
          <w:b/>
          <w:bCs/>
          <w:u w:val="single"/>
        </w:rPr>
        <w:t>forbid all relevant competitor</w:t>
      </w:r>
      <w:r w:rsidRPr="004F2678">
        <w:rPr>
          <w:u w:val="single"/>
        </w:rPr>
        <w:t xml:space="preserve"> imports to the United States</w:t>
      </w:r>
      <w:r w:rsidRPr="004F2678">
        <w:t xml:space="preserve">. Especially after the eBay versus MercExchange case which limited the availability of injunctive relief in U.S. courts, the role of ITC exclusion orders has been strengthened, thus making the ITC investigation more attractive to the patentee who wants to block the importation of all infringing articles regardless of the source (Chien, 2008). As different remedies affect the patentee’s strategic choice (Gugliuzza, 2019), patentees forgo damage rewards in exchange for an exclusion order, suggesting the critical significance of this relief (Co, 2004). </w:t>
      </w:r>
      <w:r w:rsidRPr="004F2678">
        <w:rPr>
          <w:u w:val="single"/>
        </w:rPr>
        <w:t xml:space="preserve">In practice, the injunction is </w:t>
      </w:r>
      <w:r w:rsidRPr="004F2678">
        <w:rPr>
          <w:b/>
          <w:bCs/>
          <w:u w:val="single"/>
        </w:rPr>
        <w:t>especially valuable</w:t>
      </w:r>
      <w:r w:rsidRPr="004F2678">
        <w:rPr>
          <w:u w:val="single"/>
        </w:rPr>
        <w:t xml:space="preserve"> in the high-tech industry to </w:t>
      </w:r>
      <w:r w:rsidRPr="004F2678">
        <w:rPr>
          <w:b/>
          <w:bCs/>
          <w:u w:val="single"/>
        </w:rPr>
        <w:t>deter infringement</w:t>
      </w:r>
      <w:r w:rsidRPr="004F2678">
        <w:rPr>
          <w:u w:val="single"/>
        </w:rPr>
        <w:t xml:space="preserve"> and can bring a huge detrimental effect on the </w:t>
      </w:r>
      <w:r w:rsidRPr="004F2678">
        <w:rPr>
          <w:b/>
          <w:bCs/>
          <w:u w:val="single"/>
        </w:rPr>
        <w:t>global sale of the infringers</w:t>
      </w:r>
      <w:r w:rsidRPr="004F2678">
        <w:rPr>
          <w:u w:val="single"/>
        </w:rPr>
        <w:t xml:space="preserve"> (Aydin Ozden &amp; Khashabi, 2023).</w:t>
      </w:r>
    </w:p>
    <w:p w14:paraId="43BF3D51" w14:textId="62F7A347" w:rsidR="008F567E" w:rsidRPr="008F567E" w:rsidRDefault="008F567E" w:rsidP="008F567E">
      <w:pPr>
        <w:pStyle w:val="Heading4"/>
      </w:pPr>
      <w:r>
        <w:t>ITC is better---</w:t>
      </w:r>
      <w:r w:rsidRPr="008F567E">
        <w:t xml:space="preserve">it has </w:t>
      </w:r>
      <w:r w:rsidRPr="008F567E">
        <w:rPr>
          <w:u w:val="single"/>
        </w:rPr>
        <w:t>several advantages</w:t>
      </w:r>
      <w:r w:rsidRPr="008F567E">
        <w:t xml:space="preserve"> over district court action</w:t>
      </w:r>
    </w:p>
    <w:p w14:paraId="1AA03255" w14:textId="00843B14" w:rsidR="008F567E" w:rsidRDefault="008F567E" w:rsidP="008F567E">
      <w:r w:rsidRPr="004F72E1">
        <w:t xml:space="preserve">Christopher A. </w:t>
      </w:r>
      <w:r w:rsidRPr="004F72E1">
        <w:rPr>
          <w:b/>
          <w:bCs/>
          <w:sz w:val="26"/>
          <w:szCs w:val="26"/>
        </w:rPr>
        <w:t>Cotropia</w:t>
      </w:r>
      <w:r>
        <w:t xml:space="preserve"> 20</w:t>
      </w:r>
      <w:r w:rsidRPr="004F72E1">
        <w:rPr>
          <w:b/>
          <w:bCs/>
          <w:sz w:val="26"/>
          <w:szCs w:val="26"/>
        </w:rPr>
        <w:t>11</w:t>
      </w:r>
      <w:r>
        <w:rPr>
          <w:b/>
          <w:bCs/>
          <w:sz w:val="26"/>
          <w:szCs w:val="26"/>
        </w:rPr>
        <w:t xml:space="preserve">, </w:t>
      </w:r>
      <w:r>
        <w:t xml:space="preserve">Christopher is the </w:t>
      </w:r>
      <w:r w:rsidRPr="004F72E1">
        <w:t>Dennis I. Belcher Professor of Law</w:t>
      </w:r>
      <w:r>
        <w:t xml:space="preserve"> at the University of Richmond, and writes extensively about intellectual property, specifically patent laws. Richmond Law Journal, “Strength of the International Trade Commission as a Patent Venue”. </w:t>
      </w:r>
      <w:r w:rsidRPr="004F72E1">
        <w:t>https://scholarship.richmond.edu/cgi/viewcontent.cgi?article=1081&amp;context=law-faculty-publications</w:t>
      </w:r>
      <w:r>
        <w:t xml:space="preserve"> // </w:t>
      </w:r>
    </w:p>
    <w:p w14:paraId="0EB79B8F" w14:textId="77777777" w:rsidR="008F567E" w:rsidRDefault="008F567E" w:rsidP="008F567E">
      <w:r w:rsidRPr="001F2786">
        <w:rPr>
          <w:rStyle w:val="StyleUnderline"/>
        </w:rPr>
        <w:t>Several perceived advantages contribute to the increased use of the ITC as a patent enforcement forum</w:t>
      </w:r>
      <w:r>
        <w:t xml:space="preserve">. The first is </w:t>
      </w:r>
      <w:r w:rsidRPr="004E648B">
        <w:rPr>
          <w:rStyle w:val="StyleUnderline"/>
        </w:rPr>
        <w:t>jurisdiction</w:t>
      </w:r>
      <w:r>
        <w:t xml:space="preserve">. The </w:t>
      </w:r>
      <w:r w:rsidRPr="004703D7">
        <w:rPr>
          <w:rStyle w:val="StyleUnderline"/>
        </w:rPr>
        <w:t>ITC gains jurisdiction over importers via the "mere act of importation</w:t>
      </w:r>
      <w:r>
        <w:t xml:space="preserve">." 24 This makes jurisdiction over foreign companies much easier, and less complex, than in United States district court where venue and personal jurisdiction rules can deny jurisdictional coverage over such defendants.25 The </w:t>
      </w:r>
      <w:r w:rsidRPr="0088446F">
        <w:rPr>
          <w:rStyle w:val="StyleUnderline"/>
        </w:rPr>
        <w:t>second</w:t>
      </w:r>
      <w:r>
        <w:t xml:space="preserve"> perceived advantage is the </w:t>
      </w:r>
      <w:r w:rsidRPr="002D37B2">
        <w:rPr>
          <w:rStyle w:val="StyleUnderline"/>
        </w:rPr>
        <w:t>speed of ITC proceedings</w:t>
      </w:r>
      <w:r>
        <w:t xml:space="preserve">.26 Fast track 27 adjudication venues have historically attracted patentees. The </w:t>
      </w:r>
      <w:r w:rsidRPr="00B41BAA">
        <w:rPr>
          <w:rStyle w:val="StyleUnderline"/>
        </w:rPr>
        <w:t>ITC is required, by</w:t>
      </w:r>
    </w:p>
    <w:p w14:paraId="34D764AA" w14:textId="77777777" w:rsidR="008F567E" w:rsidRPr="004F72E1" w:rsidRDefault="008F567E" w:rsidP="008F567E">
      <w:pPr>
        <w:rPr>
          <w:sz w:val="12"/>
          <w:szCs w:val="12"/>
        </w:rPr>
      </w:pPr>
      <w:r w:rsidRPr="004F72E1">
        <w:rPr>
          <w:sz w:val="12"/>
          <w:szCs w:val="12"/>
        </w:rPr>
        <w:t>19 U.S.C. § 1337(d) (setting forth exclusion standards); Kumar, supra note 3, at 537-38. 19 U.S.C. § 1337(b)(1); Kumar, supra note 3, at 536. 17 19 U.S.C. § 1337(a)(1); Kumar, supra note 3, at 536. 19 U.S.C. § 1337(b), (c); Kumar, supra note 3, at 536-37 (setting forth ITC procedures for patent actions). 19 Tex. Instruments, Inc. v. U.S. Int'l Trade Comm'n, 851 F.2d 342, 344 (Fed. Cir. 1988); Chien, supra note 2, at 74-75. 20 Hahn &amp; Singer, supra note 7, at 460 (Figure 1). 21 Id. 22 See id. ("A review of the ITC Database of section 337 investigations ... suggests that other important industries are affected by the ITC's role in patent law, including computers, semiconductors, and communications systems."). 23 Id. at 461. 24 19 U.S.C. § 1337(a)(1); Hahn &amp; Singer, supra note 7, at 461; Kumar, supra note 3, at 535. 25 Hahn &amp; Singer, supra note 7, at 461; see also Kumar, supra note 3, at 535 ("The ITC also has nationwide jurisdiction to conduct investigations, including nationwide service of process for subpoena enforcement actions."). 26 Hahn &amp; Singer, supra note 7, at 461. 5 TEXAS INTELLECTUAL PROPERTY LA WJOURNAL</w:t>
      </w:r>
    </w:p>
    <w:p w14:paraId="463D8B93" w14:textId="77777777" w:rsidR="008F567E" w:rsidRDefault="008F567E" w:rsidP="008F567E">
      <w:r w:rsidRPr="00864480">
        <w:rPr>
          <w:rStyle w:val="StyleUnderline"/>
        </w:rPr>
        <w:t>statute, to complete an investigation "at the earliest practicable time after the date of publication of the notice of such investigation."</w:t>
      </w:r>
      <w:r>
        <w:t xml:space="preserve"> 2 8 Statistics show that "</w:t>
      </w:r>
      <w:r w:rsidRPr="00BD423A">
        <w:rPr>
          <w:rStyle w:val="StyleUnderline"/>
        </w:rPr>
        <w:t xml:space="preserve">on average a </w:t>
      </w:r>
      <w:r w:rsidRPr="00BD423A">
        <w:rPr>
          <w:rStyle w:val="Emphasis"/>
        </w:rPr>
        <w:t>district court case took about twice as long</w:t>
      </w:r>
      <w:r w:rsidRPr="00BD423A">
        <w:rPr>
          <w:rStyle w:val="StyleUnderline"/>
        </w:rPr>
        <w:t xml:space="preserve"> as an ITC case to fully litigate."</w:t>
      </w:r>
      <w:r>
        <w:t xml:space="preserve"> 29</w:t>
      </w:r>
    </w:p>
    <w:p w14:paraId="42205A9F" w14:textId="77777777" w:rsidR="008F567E" w:rsidRDefault="008F567E" w:rsidP="008F567E">
      <w:r w:rsidRPr="009307A5">
        <w:rPr>
          <w:rStyle w:val="StyleUnderline"/>
        </w:rPr>
        <w:t>Third</w:t>
      </w:r>
      <w:r>
        <w:t xml:space="preserve">, there is a </w:t>
      </w:r>
      <w:r w:rsidRPr="00750C75">
        <w:rPr>
          <w:rStyle w:val="StyleUnderline"/>
        </w:rPr>
        <w:t>perception</w:t>
      </w:r>
      <w:r>
        <w:t xml:space="preserve">, that the ITC is patent friendly. 30 </w:t>
      </w:r>
      <w:r w:rsidRPr="002944E4">
        <w:rPr>
          <w:rStyle w:val="StyleUnderline"/>
        </w:rPr>
        <w:t>This perception is based on results, with patentees wining in 65% of cases between 1975 and 1988, compared to 40-45% in district courts</w:t>
      </w:r>
      <w:r>
        <w:t xml:space="preserve">. 3 1 Given the exclusive jurisdiction over Section 337 cases, the </w:t>
      </w:r>
      <w:r w:rsidRPr="00483AC4">
        <w:rPr>
          <w:rStyle w:val="StyleUnderline"/>
        </w:rPr>
        <w:t>ALJ's are also very experienced with patent cases, which may also lead to patent friendliness</w:t>
      </w:r>
      <w:r>
        <w:t>.3 2</w:t>
      </w:r>
    </w:p>
    <w:p w14:paraId="6E4165E4" w14:textId="77777777" w:rsidR="008F567E" w:rsidRDefault="008F567E" w:rsidP="008F567E">
      <w:r>
        <w:t xml:space="preserve">Finally, and perhaps </w:t>
      </w:r>
      <w:r w:rsidRPr="00A41694">
        <w:rPr>
          <w:rStyle w:val="StyleUnderline"/>
        </w:rPr>
        <w:t>mo</w:t>
      </w:r>
      <w:r w:rsidRPr="00275274">
        <w:rPr>
          <w:rStyle w:val="StyleUnderline"/>
        </w:rPr>
        <w:t>st importantly, the ITC has extremely favorable remedies for patentees: exclusion orders barring</w:t>
      </w:r>
      <w:r w:rsidRPr="000B23F5">
        <w:rPr>
          <w:rStyle w:val="StyleUnderline"/>
        </w:rPr>
        <w:t xml:space="preserve"> the importation of infringing products and cease and desist orders barring the sale of imported articles</w:t>
      </w:r>
      <w:r>
        <w:t xml:space="preserve">.33 The ITC can issue two types of exclusion orders: the limited exclusion order ("LEO") and the general exclusion order ("GEO"). The </w:t>
      </w:r>
      <w:r w:rsidRPr="004F116F">
        <w:rPr>
          <w:rStyle w:val="StyleUnderline"/>
        </w:rPr>
        <w:t>LEO is limited to excluding those infringing products imported by respondents and is very similar to an injunction in district court</w:t>
      </w:r>
      <w:r>
        <w:t xml:space="preserve">. 34 The </w:t>
      </w:r>
      <w:r w:rsidRPr="00806F71">
        <w:rPr>
          <w:rStyle w:val="StyleUnderline"/>
        </w:rPr>
        <w:t>GEO, on the other hand, prohibits all importation of infringing products regardless of source</w:t>
      </w:r>
      <w:r>
        <w:t xml:space="preserve">." A GEO therefore applies to all importers of the 36 infringing product, regardless of whether they were a party to the litigation. </w:t>
      </w:r>
    </w:p>
    <w:p w14:paraId="5DEEDDC1" w14:textId="77777777" w:rsidR="008F567E" w:rsidRPr="00BB76A9" w:rsidRDefault="008F567E" w:rsidP="008F567E">
      <w:pPr>
        <w:rPr>
          <w:rStyle w:val="StyleUnderline"/>
        </w:rPr>
      </w:pPr>
      <w:r>
        <w:t xml:space="preserve">Given these injunctive remedies are essentially the only remedies the ITC can issue,37 "the </w:t>
      </w:r>
      <w:r w:rsidRPr="005961EC">
        <w:rPr>
          <w:rStyle w:val="StyleUnderline"/>
        </w:rPr>
        <w:t>ITC is extremely likely to issue injunctive relief following a finding of infringement.</w:t>
      </w:r>
      <w:r>
        <w:t xml:space="preserve">" This is even true after the Supreme Court's decision in </w:t>
      </w:r>
      <w:r w:rsidRPr="00BB76A9">
        <w:rPr>
          <w:rStyle w:val="StyleUnderline"/>
        </w:rPr>
        <w:t>eBay v.</w:t>
      </w:r>
    </w:p>
    <w:p w14:paraId="2FBE0D9B" w14:textId="77777777" w:rsidR="008F567E" w:rsidRPr="004F72E1" w:rsidRDefault="008F567E" w:rsidP="008F567E">
      <w:pPr>
        <w:rPr>
          <w:sz w:val="12"/>
          <w:szCs w:val="12"/>
        </w:rPr>
      </w:pPr>
      <w:r w:rsidRPr="004F72E1">
        <w:rPr>
          <w:sz w:val="12"/>
          <w:szCs w:val="12"/>
        </w:rPr>
        <w:t>27 See, e.g., Mark A. Lemley, Where to File Your Patent Case, 38 AIPLA Q. J. 401, 403 (2010) ("Patent plaintiffs generally want speed."). 28 19 U.S.C. § 1337(b)(1); Where is the ITC Going After Kyocera?, supra note 12, at 704. 29 Chien, supra note 2, at 101-102. 30 Hahn &amp; Singer, supra note 7, at 490 (finding a bias at the ITC in favor of patent holders). But cf Chien, supra note 2, at 98 (finding that data does not support the hypothesis that the ITC is biased against defendants). 3' Hahn &amp; Singer, supra note 7, at 461-62 ("The perception that patent holders enjoy an advantage at the ITC is reinforced statistically."). 32 Id. at 462-64; David Schwartz, Courting Specialization: An Empirical Study of Claim Construction Comparing Patent Litigation Before Federal District Courts and the International Trade Commission, 50 WM. &amp; MARY L. REV. 1699, 1709 (2009). 19 U.S.C. § 1337(d), (f); Hahn &amp; Singer, supra note 7, at 462. 34 19 U.S.C. § 1337(d)(1); Kumar, supra note 3, at 537-538. 3s 19 U.S.C. § 1337(d)(2); Kumar, supra note 3, at 538. 36 19 U.S.C. § 1337(d)(2); Kumar, supra note 3, at 538. 37 Civil penalties are also available to remedy violations of exclusion and cease and desist orders. See 19 U.S.C. § 1337(f. 38 Hahn &amp; Singer, supra note 7, at 462; see also Chien, supra note 2, at 99 ("[Prevailing patentees are] essentially guaranteed to get [an injunction] in the ITC (79 percent injunction rate vs. 100 percent injunction rate).").6 [ VOL. 20: 12011] Strength of the International Trade Commission as a Patent Venue</w:t>
      </w:r>
    </w:p>
    <w:p w14:paraId="4C441F04" w14:textId="5ECBD47E" w:rsidR="008F567E" w:rsidRDefault="008F567E" w:rsidP="008F567E">
      <w:r w:rsidRPr="003E4B4E">
        <w:rPr>
          <w:rStyle w:val="StyleUnderline"/>
        </w:rPr>
        <w:t>MercExchange</w:t>
      </w:r>
      <w:r>
        <w:t>, which h</w:t>
      </w:r>
      <w:r w:rsidRPr="00533EEC">
        <w:rPr>
          <w:rStyle w:val="StyleUnderline"/>
        </w:rPr>
        <w:t>as limited the availability of injunctions in district court patent infringement cases</w:t>
      </w:r>
      <w:r>
        <w:t xml:space="preserve">.39 In contrast, as the Federal Circuit recently held, the four-factor equity test for injunctions set forth in eBay does not apply in Section 337 actions. 40 The </w:t>
      </w:r>
      <w:r w:rsidRPr="002D5B0B">
        <w:rPr>
          <w:rStyle w:val="StyleUnderline"/>
        </w:rPr>
        <w:t xml:space="preserve">close linkage between the ITC and Customs increases the efficacy of the exclusion </w:t>
      </w:r>
      <w:r w:rsidRPr="00D801E3">
        <w:rPr>
          <w:rStyle w:val="StyleUnderline"/>
        </w:rPr>
        <w:t>orders, making the remedies available even more attractive</w:t>
      </w:r>
      <w:r>
        <w:t xml:space="preserve">. All of these factors are </w:t>
      </w:r>
      <w:r w:rsidRPr="002A6BD3">
        <w:rPr>
          <w:rStyle w:val="StyleUnderline"/>
        </w:rPr>
        <w:t>magnified by the extreme value such injunctive relie</w:t>
      </w:r>
      <w:r>
        <w:t xml:space="preserve">f, or at least the threat of it, </w:t>
      </w:r>
      <w:r w:rsidRPr="002F3213">
        <w:rPr>
          <w:rStyle w:val="StyleUnderline"/>
        </w:rPr>
        <w:t>has for the patentee in litigation, settlement discussions, and competition</w:t>
      </w:r>
      <w:r>
        <w:t>.</w:t>
      </w:r>
    </w:p>
    <w:p w14:paraId="298992B7" w14:textId="149E1E52" w:rsidR="008F567E" w:rsidRDefault="008F567E" w:rsidP="008F567E">
      <w:pPr>
        <w:pStyle w:val="Heading4"/>
      </w:pPr>
      <w:r>
        <w:t>ITC good---</w:t>
      </w:r>
      <w:r w:rsidRPr="008F567E">
        <w:rPr>
          <w:u w:val="single"/>
        </w:rPr>
        <w:t>speed</w:t>
      </w:r>
      <w:r>
        <w:t xml:space="preserve">, </w:t>
      </w:r>
      <w:r w:rsidRPr="008F567E">
        <w:rPr>
          <w:u w:val="single"/>
        </w:rPr>
        <w:t>flexibility</w:t>
      </w:r>
      <w:r>
        <w:t xml:space="preserve">, and </w:t>
      </w:r>
      <w:r w:rsidRPr="008F567E">
        <w:rPr>
          <w:u w:val="single"/>
        </w:rPr>
        <w:t>powerful remedies</w:t>
      </w:r>
    </w:p>
    <w:p w14:paraId="1DCE41A3" w14:textId="77777777" w:rsidR="008F567E" w:rsidRDefault="008F567E" w:rsidP="008F567E">
      <w:r>
        <w:rPr>
          <w:rStyle w:val="Style13ptBold"/>
        </w:rPr>
        <w:t xml:space="preserve">Hickerson 18 </w:t>
      </w:r>
      <w:r w:rsidRPr="009850A8">
        <w:t>(</w:t>
      </w:r>
      <w:r>
        <w:t>David Hickerson, L</w:t>
      </w:r>
      <w:r w:rsidRPr="009850A8">
        <w:t>itigation attorney with more than three decades of experience representing clients before courts and federal agencies in government enforcement matters, and civil and criminal litigation</w:t>
      </w:r>
      <w:r>
        <w:t>, “</w:t>
      </w:r>
      <w:r w:rsidRPr="009850A8">
        <w:t>Is the International Trade Commission the Most Patent-Friendly Venue with a Complainant Success Rate Near 90%</w:t>
      </w:r>
      <w:r>
        <w:t xml:space="preserve">,” Foley &amp; Lardner, </w:t>
      </w:r>
      <w:r w:rsidRPr="009850A8">
        <w:t>https://www.foley.com/insights/publications/2018/04/is-the-international-trade-commission-the-most-pat/</w:t>
      </w:r>
      <w:r>
        <w:t>)//PA-NN</w:t>
      </w:r>
    </w:p>
    <w:p w14:paraId="0CB8C4D0" w14:textId="77777777" w:rsidR="008F567E" w:rsidRDefault="008F567E" w:rsidP="008F567E">
      <w:r w:rsidRPr="009850A8">
        <w:rPr>
          <w:u w:val="single"/>
        </w:rPr>
        <w:t xml:space="preserve">There are </w:t>
      </w:r>
      <w:r w:rsidRPr="009850A8">
        <w:rPr>
          <w:rStyle w:val="Emphasis"/>
        </w:rPr>
        <w:t>many advantages</w:t>
      </w:r>
      <w:r w:rsidRPr="009850A8">
        <w:rPr>
          <w:u w:val="single"/>
        </w:rPr>
        <w:t xml:space="preserve"> to pursuing relief for patent infringement in the International Trade Commission (ITC) </w:t>
      </w:r>
      <w:r w:rsidRPr="009850A8">
        <w:rPr>
          <w:rStyle w:val="Emphasis"/>
        </w:rPr>
        <w:t>compared to U.S. district court</w:t>
      </w:r>
      <w:r>
        <w:t>, but one that receives little attention is the success rate for complainants (plaintiffs). The rate has been climbing for years and reached nearly 90% for cases decided on the merits in 2017.  With such a high rate of success and the many other advantages for complainants, the ITC should be on every patent owner’s radar.</w:t>
      </w:r>
    </w:p>
    <w:p w14:paraId="276314B0" w14:textId="77777777" w:rsidR="008F567E" w:rsidRDefault="008F567E" w:rsidP="008F567E"/>
    <w:p w14:paraId="1F1D7576" w14:textId="77777777" w:rsidR="008F567E" w:rsidRDefault="008F567E" w:rsidP="008F567E">
      <w:r>
        <w:t>T</w:t>
      </w:r>
      <w:r w:rsidRPr="009850A8">
        <w:rPr>
          <w:u w:val="single"/>
        </w:rPr>
        <w:t>he ITC has authority to hear patent infringement cases under Section 337 of the Tariff Act.</w:t>
      </w:r>
      <w:r>
        <w:t xml:space="preserve"> Section 337 limits the ITC’s authority to patent cases in which a complainant alleges infringement by the importation, the sale for importation, or sale after importation in the United States of an accused product.  The complainant also must allege that a domestic industry exists or is in the process of being established in the United States.  The domestic industry must be the result of efforts by the complainant or its licensees to invest in or exploit the patented article or technology.</w:t>
      </w:r>
    </w:p>
    <w:p w14:paraId="482FFB52" w14:textId="77777777" w:rsidR="008F567E" w:rsidRDefault="008F567E" w:rsidP="008F567E"/>
    <w:p w14:paraId="73C94F41" w14:textId="77777777" w:rsidR="008F567E" w:rsidRDefault="008F567E" w:rsidP="008F567E">
      <w:r>
        <w:t xml:space="preserve">If a complainant can meet these requirements, Section 337 offers many advantages compared to U.S. district court proceedings. </w:t>
      </w:r>
      <w:r w:rsidRPr="009850A8">
        <w:rPr>
          <w:u w:val="single"/>
        </w:rPr>
        <w:t>First, Section 337 cases are extremely fast-paced and usually are completed within 12 to 15 months from institution</w:t>
      </w:r>
      <w:r>
        <w:t xml:space="preserve">.  In line with this rocket docket, the ITC will not stay proceedings for parallel inter partes review of asserted patents.  By comparison, </w:t>
      </w:r>
      <w:r w:rsidRPr="009850A8">
        <w:rPr>
          <w:u w:val="single"/>
        </w:rPr>
        <w:t>U.S. district court proceedings often take several years and delays</w:t>
      </w:r>
      <w:r>
        <w:t xml:space="preserve"> are only exacerbated by stays due to parallel inter partes reviews.</w:t>
      </w:r>
    </w:p>
    <w:p w14:paraId="0CF261FC" w14:textId="77777777" w:rsidR="008F567E" w:rsidRDefault="008F567E" w:rsidP="008F567E"/>
    <w:p w14:paraId="49A5AD47" w14:textId="77777777" w:rsidR="008F567E" w:rsidRDefault="008F567E" w:rsidP="008F567E">
      <w:r>
        <w:t xml:space="preserve">Second, </w:t>
      </w:r>
      <w:r w:rsidRPr="009850A8">
        <w:rPr>
          <w:u w:val="single"/>
        </w:rPr>
        <w:t>the ITC offers great flexibility in defining cases</w:t>
      </w:r>
      <w:r>
        <w:t xml:space="preserve">. While the typical ITC case involves a domestic complainant and a foreign respondent, there is no obstacle to foreign entities bringing Section 337 cases.  Jurisdiction for Section 337 cases is in rem rather than in personam, meaning it is over the accused product rather than a proposed respondent.  Because there are no forum issues to resolve related to personal jurisdiction or venue, </w:t>
      </w:r>
      <w:r w:rsidRPr="009850A8">
        <w:rPr>
          <w:u w:val="single"/>
        </w:rPr>
        <w:t>a single Section 337 case can address infringement by multiple parties and products.  By comparison, forum restrictions plague U.S. district courts with the anti-joinder limitations of the America Invents Act</w:t>
      </w:r>
      <w:r>
        <w:t xml:space="preserve"> and venue restrictions of TC Heartland v. Kraft Foods, 137 S. Ct. 1514 (2017).</w:t>
      </w:r>
    </w:p>
    <w:p w14:paraId="73F5677D" w14:textId="77777777" w:rsidR="008F567E" w:rsidRDefault="008F567E" w:rsidP="008F567E"/>
    <w:p w14:paraId="2890196D" w14:textId="77777777" w:rsidR="008F567E" w:rsidRDefault="008F567E" w:rsidP="008F567E">
      <w:r>
        <w:t xml:space="preserve">Third, the </w:t>
      </w:r>
      <w:r w:rsidRPr="009850A8">
        <w:rPr>
          <w:u w:val="single"/>
        </w:rPr>
        <w:t>ITC offers powerful remedies</w:t>
      </w:r>
      <w:r>
        <w:t xml:space="preserve">. The default remedy in a Section 337 case is an exclusion order which is comparable to an injunction issued by a district court.  An exclusion order prohibits infringing products from entering the United States.  The threat of this extreme remedy often leads to larger settlements for patent owners.  By comparison, in </w:t>
      </w:r>
      <w:r w:rsidRPr="009850A8">
        <w:rPr>
          <w:u w:val="single"/>
        </w:rPr>
        <w:t>district court injunctions are no longer an automatic remedy for patent infringement after the Supreme Court’s decision in eBay v. MercExchange</w:t>
      </w:r>
      <w:r>
        <w:t>, 126 S. Ct. 1837 (2006).</w:t>
      </w:r>
    </w:p>
    <w:p w14:paraId="6902ED95" w14:textId="752BA90C" w:rsidR="008F567E" w:rsidRDefault="00ED7DAC" w:rsidP="008F567E">
      <w:pPr>
        <w:pStyle w:val="Heading3"/>
      </w:pPr>
      <w:r>
        <w:t>Solvency---</w:t>
      </w:r>
      <w:r w:rsidR="008F567E">
        <w:t>Deficit---Generic---2NC</w:t>
      </w:r>
    </w:p>
    <w:p w14:paraId="0AFE3EB4" w14:textId="77777777" w:rsidR="008F567E" w:rsidRPr="004823F9" w:rsidRDefault="008F567E" w:rsidP="008F567E">
      <w:pPr>
        <w:pStyle w:val="Heading4"/>
      </w:pPr>
      <w:r>
        <w:t xml:space="preserve">Amendments to USITC policy </w:t>
      </w:r>
      <w:r w:rsidRPr="004823F9">
        <w:rPr>
          <w:u w:val="single"/>
        </w:rPr>
        <w:t>thump all deficits</w:t>
      </w:r>
      <w:r>
        <w:t>---certainty, specificity, and speed</w:t>
      </w:r>
    </w:p>
    <w:p w14:paraId="56B83FFB" w14:textId="4D954BF8" w:rsidR="008F567E" w:rsidRPr="002577A3" w:rsidRDefault="008F567E" w:rsidP="008F567E">
      <w:r w:rsidRPr="004823F9">
        <w:t xml:space="preserve">Matthew J. </w:t>
      </w:r>
      <w:r w:rsidRPr="004823F9">
        <w:rPr>
          <w:b/>
          <w:bCs/>
          <w:sz w:val="26"/>
          <w:szCs w:val="26"/>
        </w:rPr>
        <w:t>Rizzolo and</w:t>
      </w:r>
      <w:r>
        <w:t xml:space="preserve"> </w:t>
      </w:r>
      <w:r w:rsidRPr="004823F9">
        <w:t xml:space="preserve">Yenis Argueta </w:t>
      </w:r>
      <w:r w:rsidRPr="004823F9">
        <w:rPr>
          <w:b/>
          <w:bCs/>
          <w:sz w:val="26"/>
          <w:szCs w:val="26"/>
        </w:rPr>
        <w:t>Guevara 24</w:t>
      </w:r>
      <w:r>
        <w:t xml:space="preserve">---Matthew is a </w:t>
      </w:r>
      <w:r w:rsidRPr="004823F9">
        <w:t>seasoned and versatile litigator who works with companies across industries, developing and implementing creative strategies to enforce clients’ intellectual property rights</w:t>
      </w:r>
      <w:r>
        <w:t xml:space="preserve">. Yenis is an associate in IP litigation who maintains a pro bono law group. Ropes and Gray, </w:t>
      </w:r>
      <w:r w:rsidRPr="002577A3">
        <w:rPr>
          <w:i/>
          <w:iCs/>
        </w:rPr>
        <w:t>U.S. International Trade Commission Proposes Amendments to its Rules of Practice and Procedure</w:t>
      </w:r>
      <w:r>
        <w:rPr>
          <w:i/>
          <w:iCs/>
        </w:rPr>
        <w:t xml:space="preserve">. </w:t>
      </w:r>
      <w:r>
        <w:t>4/4/24. “</w:t>
      </w:r>
      <w:r w:rsidRPr="002577A3">
        <w:t>https://www.ropesgray.com/en/insights/alerts/2024/04/us-international-trade-commission-proposes-amendments-to-its-rules-of-practice-and-procedure</w:t>
      </w:r>
      <w:r>
        <w:t xml:space="preserve">” // </w:t>
      </w:r>
    </w:p>
    <w:p w14:paraId="757B60AE" w14:textId="77777777" w:rsidR="008F567E" w:rsidRDefault="008F567E" w:rsidP="008F567E">
      <w:r>
        <w:t xml:space="preserve">On March 28, the </w:t>
      </w:r>
      <w:r w:rsidRPr="00A53158">
        <w:rPr>
          <w:rStyle w:val="StyleUnderline"/>
        </w:rPr>
        <w:t>U.S. International Trade Commission</w:t>
      </w:r>
      <w:r>
        <w:t xml:space="preserve">, an independent, quasi-judicial federal agency with broad authority in the area of import trade, published in the Federal Register </w:t>
      </w:r>
      <w:r w:rsidRPr="00A53158">
        <w:rPr>
          <w:rStyle w:val="StyleUnderline"/>
        </w:rPr>
        <w:t>a notice of proposed rules and amendments to the rules of practice and procedure governing proceedings before the ITC</w:t>
      </w:r>
      <w:r>
        <w:t xml:space="preserve">. These </w:t>
      </w:r>
      <w:r w:rsidRPr="00A53158">
        <w:rPr>
          <w:rStyle w:val="StyleUnderline"/>
        </w:rPr>
        <w:t>rules and amendments</w:t>
      </w:r>
      <w:r>
        <w:t xml:space="preserve">, if ultimately adopted, </w:t>
      </w:r>
      <w:r w:rsidRPr="00A53158">
        <w:rPr>
          <w:rStyle w:val="StyleUnderline"/>
        </w:rPr>
        <w:t>would represent the first amendments to the ITC’s rules in several years</w:t>
      </w:r>
      <w:r>
        <w:t xml:space="preserve">. The </w:t>
      </w:r>
      <w:r w:rsidRPr="00A53158">
        <w:rPr>
          <w:rStyle w:val="StyleUnderline"/>
        </w:rPr>
        <w:t>proposed changes range from minor correction of typographical errors and implementation of gender-neutral language to the permanent adoption of electronic filing standards implemented during the pandemic</w:t>
      </w:r>
      <w:r>
        <w:t>, as well as changes that would more align various aspects of the ITC’s Section 337 investigations with federal district court litigation.</w:t>
      </w:r>
    </w:p>
    <w:p w14:paraId="1938E255" w14:textId="77777777" w:rsidR="008F567E" w:rsidRDefault="008F567E" w:rsidP="008F567E">
      <w:r>
        <w:t>This alert highlights some of the more notable proposed amendments and rule changes as they pertain to Section 337 unfair import investigations before the Commission.</w:t>
      </w:r>
    </w:p>
    <w:p w14:paraId="364F98BE" w14:textId="77777777" w:rsidR="008F567E" w:rsidRDefault="008F567E" w:rsidP="008F567E">
      <w:r>
        <w:t xml:space="preserve">E-Filing (19 C.F.R. § 201.8). Historically, </w:t>
      </w:r>
      <w:r w:rsidRPr="004823F9">
        <w:rPr>
          <w:rStyle w:val="StyleUnderline"/>
        </w:rPr>
        <w:t>most filings at the Commission have required paper copies even where the initial filing was done electronically</w:t>
      </w:r>
      <w:r>
        <w:t>. Early in the pandemic, the ITC implemented temporary e-filing rules suspending most requirements about the filing of paper copies and allowing electronic filing and service. The proposed rules would make most of these temporary rules permanent. However, those filing Section 337 complaints (as well as amendments or supplements thereto) would still be required to file paper copies with the ITC.</w:t>
      </w:r>
    </w:p>
    <w:p w14:paraId="26A37DE7" w14:textId="77777777" w:rsidR="008F567E" w:rsidRDefault="008F567E" w:rsidP="008F567E">
      <w:r>
        <w:t>Clarifying Pre-Institution Comment Submission Requirements (19 C.F.R. § 210.8).</w:t>
      </w:r>
    </w:p>
    <w:p w14:paraId="6921C854" w14:textId="77777777" w:rsidR="008F567E" w:rsidRDefault="008F567E" w:rsidP="008F567E">
      <w:r>
        <w:t xml:space="preserve">While the Commission historically gives notice to the public when it receives a Section 337 complaint, it typically has asked for comments from the public on “the public interest” only. The proposed rules would clarify that, under Rule 210.8(c), </w:t>
      </w:r>
      <w:r w:rsidRPr="004823F9">
        <w:rPr>
          <w:rStyle w:val="StyleUnderline"/>
        </w:rPr>
        <w:t>any member of the public, including private parties or government agencies, may file a pre-institution statement addressing any issues that the Commission should consider when deciding whether to institute a Section 337 investigation</w:t>
      </w:r>
      <w:r>
        <w:t>. Consequently, Rule 210.8(c)(2) allows a complainant to reply to any such submission within three calendar days. The proposed rules also aim to clarify and eliminate ambiguity surrounding the three-day deadline under Rule 210.8(c)(2): the three-day period includes Saturdays, Sundays, and federal legal holidays unless the last day falls on any of these days, and in that case, the period runs until the following business day.</w:t>
      </w:r>
    </w:p>
    <w:p w14:paraId="500F2E4F" w14:textId="77777777" w:rsidR="008F567E" w:rsidRDefault="008F567E" w:rsidP="008F567E">
      <w:r>
        <w:t xml:space="preserve">Increased Transparency/Confidentiality Designations (19 C.F.R. § 210.10). In recent years, </w:t>
      </w:r>
      <w:r w:rsidRPr="004823F9">
        <w:rPr>
          <w:rStyle w:val="StyleUnderline"/>
        </w:rPr>
        <w:t>some litigants at the Commission have come under scrutiny for excessive redaction of material in filings</w:t>
      </w:r>
      <w:r>
        <w:t xml:space="preserve">—for example, in some cases complainants have redacted the identity of the entity or entities relied upon for purposes of the domestic industry requirement. The </w:t>
      </w:r>
      <w:r w:rsidRPr="004823F9">
        <w:rPr>
          <w:rStyle w:val="StyleUnderline"/>
        </w:rPr>
        <w:t>proposed rules would change Rule 210.10 to provide that the Commission will delay institution if it determines that there have been excessive designations of confidentiality in the complaint and/or supporting exhibits</w:t>
      </w:r>
      <w:r>
        <w:t>. In such a case, the Commission will require revised designations, and the 30-day period for deciding whether to institute an investigation will begin to run after the new, nonconfidential complaint and/or supporting exhibits are filed, as opposed to the filing of the original, over-designated documents.</w:t>
      </w:r>
    </w:p>
    <w:p w14:paraId="717066D6" w14:textId="77777777" w:rsidR="008F567E" w:rsidRDefault="008F567E" w:rsidP="008F567E">
      <w:r>
        <w:t xml:space="preserve">Requiring Additional Information from Certain Complainants (19 C.F.R. § 210.12). </w:t>
      </w:r>
      <w:r w:rsidRPr="004823F9">
        <w:rPr>
          <w:rStyle w:val="StyleUnderline"/>
        </w:rPr>
        <w:t>Depending upon the underlying claim at issue in a given investigation</w:t>
      </w:r>
      <w:r>
        <w:t xml:space="preserve">, the proposed rules would require that a complainant include certain additional information in its complaint. For example, Rule 210.12(a)(6)(i) is reorganized to distinguish the requirements to support a complaint based on an existing domestic industry to one based on a domestic industry in the process of being established. The </w:t>
      </w:r>
      <w:r w:rsidRPr="004823F9">
        <w:rPr>
          <w:rStyle w:val="StyleUnderline"/>
        </w:rPr>
        <w:t>proposed rules also add specificity as to what must be included in a complaint for those raising claims of patent infringement or trade secret misappropriation, or when the complaint is seeking to obtain a broad general exclusion order.</w:t>
      </w:r>
    </w:p>
    <w:p w14:paraId="00260D4B" w14:textId="77777777" w:rsidR="008F567E" w:rsidRDefault="008F567E" w:rsidP="008F567E">
      <w:r>
        <w:t xml:space="preserve">Aligning ITC Discovery with District Court Practice. The </w:t>
      </w:r>
      <w:r w:rsidRPr="004823F9">
        <w:rPr>
          <w:rStyle w:val="StyleUnderline"/>
        </w:rPr>
        <w:t>ITC may adjudicate claims, such as patent infringement, that may also be brought in district court</w:t>
      </w:r>
      <w:r>
        <w:t xml:space="preserve">. However, the Federal Rules of Civil Procedure (Fed. R. Civ. P.) do not govern Section 337 proceedings. Several of the new proposed rules are designed to align </w:t>
      </w:r>
      <w:r w:rsidRPr="004823F9">
        <w:rPr>
          <w:rStyle w:val="StyleUnderline"/>
        </w:rPr>
        <w:t>ITC discovery practice with district court practices concerning requiring proportionality of discovery</w:t>
      </w:r>
      <w:r>
        <w:t xml:space="preserve"> (Rule 210.27), </w:t>
      </w:r>
      <w:r w:rsidRPr="004823F9">
        <w:rPr>
          <w:rStyle w:val="StyleUnderline"/>
        </w:rPr>
        <w:t>limitations of number and duration of depositions (Rule 210.28), and written objections to document requests</w:t>
      </w:r>
      <w:r>
        <w:t xml:space="preserve"> (Rule 210.30).</w:t>
      </w:r>
    </w:p>
    <w:p w14:paraId="4ED898CA" w14:textId="77777777" w:rsidR="008F567E" w:rsidRDefault="008F567E" w:rsidP="008F567E">
      <w:r>
        <w:t>Specifically, the ITC proposes to eliminate from current Rule 210.27 the reference to information that “appears reasonably calculated to lead to the discovery of admissible evidence,” and is inserting language that emphasizes that the discovery sought must be proportional to the needs of the investigation. In the context of fast-paced Section 337 investigations and short fact discovery periods, this change may be welcomed by litigants and attorneys alike.</w:t>
      </w:r>
    </w:p>
    <w:p w14:paraId="666A4D1B" w14:textId="77777777" w:rsidR="008F567E" w:rsidRDefault="008F567E" w:rsidP="008F567E">
      <w:r>
        <w:t xml:space="preserve">For depositions, the </w:t>
      </w:r>
      <w:r w:rsidRPr="004823F9">
        <w:rPr>
          <w:rStyle w:val="StyleUnderline"/>
        </w:rPr>
        <w:t>ITC proposes to amend Rule 210.28 and adopt a presumptive durational limit of a single, seven-hour deposition per deponent, which is similar to what is currently included in Fed. R. Civ. P. 30. These limitations would apply only to depositions of individuals</w:t>
      </w:r>
      <w:r>
        <w:t>; for purposes of the seven-hour limit, each individual designated in response to a notice of deposition of a party would count as a separate deponent. The ITC also proposed to change the limits on the number of depositions for complainants to a total of 20 fact depositions overall, regardless of the number of respondents, and to clarify that both party and non-party depositions count toward that limit.</w:t>
      </w:r>
    </w:p>
    <w:p w14:paraId="171CF73A" w14:textId="77777777" w:rsidR="008F567E" w:rsidRDefault="008F567E" w:rsidP="008F567E">
      <w:r>
        <w:t>Finally, the ITC proposes to amend Rule 210.30 regarding written objections to document requests to require that any objection to a document request must state whether any responsive materials are being withheld on the basis of the objections. This proposed amendment aligns Rule 210.30 with the 2015 amendments to Fed. R. Civ. P. 34, governing written objections to document requests in district court.</w:t>
      </w:r>
    </w:p>
    <w:p w14:paraId="4D452D8F" w14:textId="77777777" w:rsidR="008F567E" w:rsidRDefault="008F567E" w:rsidP="008F567E">
      <w:r>
        <w:t xml:space="preserve">Sanctions. </w:t>
      </w:r>
      <w:r w:rsidRPr="004823F9">
        <w:rPr>
          <w:rStyle w:val="StyleUnderline"/>
        </w:rPr>
        <w:t>The proposed rules also add additional clarification on when and how sanctions may be imposed in Section 337 proceedings</w:t>
      </w:r>
      <w:r>
        <w:t xml:space="preserve">. The </w:t>
      </w:r>
      <w:r w:rsidRPr="004823F9">
        <w:rPr>
          <w:rStyle w:val="StyleUnderline"/>
        </w:rPr>
        <w:t>rule for the imposition of sanctions is dictated by Rule 210.25, which now aims to eliminate confusion regarding the period of filing for sanctions</w:t>
      </w:r>
      <w:r>
        <w:t>. The proposed rules also change sanctions for failure to cooperate in discovery (Rule 210.33) and make it more coextensive with Fed. R. Civ. P. 37.</w:t>
      </w:r>
    </w:p>
    <w:p w14:paraId="71F19758" w14:textId="77777777" w:rsidR="008F567E" w:rsidRDefault="008F567E" w:rsidP="008F567E">
      <w:pPr>
        <w:rPr>
          <w:sz w:val="12"/>
          <w:szCs w:val="12"/>
        </w:rPr>
      </w:pPr>
      <w:r w:rsidRPr="004823F9">
        <w:rPr>
          <w:sz w:val="12"/>
          <w:szCs w:val="12"/>
        </w:rPr>
        <w:t>The ITC is interested in receiving comments from interested parties on the proposed rules and amendments. Any comments must be received by 5:15 p.m. on May 20, 2024, and must be submitted via www.regulations.gov using the MISC-049 docket number. The complete proposed rule changes and amendments can be found here. If you are interested in submitting comments or learning more about the ITC’s proposed rules, please contact Ropes &amp; Gray IP Litigation partner Matt Rizzolo.</w:t>
      </w:r>
    </w:p>
    <w:p w14:paraId="0C34E843" w14:textId="27012773" w:rsidR="000E217C" w:rsidRDefault="00ED7DAC" w:rsidP="000E217C">
      <w:pPr>
        <w:pStyle w:val="Heading3"/>
      </w:pPr>
      <w:r>
        <w:t>Solvency---</w:t>
      </w:r>
      <w:r w:rsidR="000E217C">
        <w:t>Deficit---AT: Small Biz---2NC</w:t>
      </w:r>
    </w:p>
    <w:p w14:paraId="05F79881" w14:textId="77777777" w:rsidR="000E217C" w:rsidRDefault="000E217C" w:rsidP="000E217C">
      <w:pPr>
        <w:pStyle w:val="Heading4"/>
      </w:pPr>
      <w:r>
        <w:t>ITC helps protect smaller companies’ innovations- Apple vs. Masimo proves</w:t>
      </w:r>
    </w:p>
    <w:p w14:paraId="06A23E3F" w14:textId="77777777" w:rsidR="000E217C" w:rsidRPr="001A00D9" w:rsidRDefault="000E217C" w:rsidP="000E217C">
      <w:r>
        <w:t xml:space="preserve">Peter </w:t>
      </w:r>
      <w:r w:rsidRPr="001A00D9">
        <w:rPr>
          <w:rFonts w:eastAsiaTheme="majorEastAsia" w:cstheme="majorBidi"/>
          <w:b/>
          <w:iCs/>
          <w:sz w:val="26"/>
        </w:rPr>
        <w:t>Coy</w:t>
      </w:r>
      <w:r>
        <w:rPr>
          <w:rFonts w:eastAsiaTheme="majorEastAsia" w:cstheme="majorBidi"/>
          <w:b/>
          <w:iCs/>
          <w:sz w:val="26"/>
        </w:rPr>
        <w:t xml:space="preserve"> 23 </w:t>
      </w:r>
      <w:r w:rsidRPr="001A00D9">
        <w:t>(</w:t>
      </w:r>
      <w:r>
        <w:t xml:space="preserve">Peter Coy, Business and Economist columnist at the New York Times, “The Patent Fight That Could Take Apple Watches Off the Market,” New York Times, </w:t>
      </w:r>
      <w:r w:rsidRPr="00786EC0">
        <w:t>https://www.nytimes.com/2023/10/30/opinion/apple-watch-masimo.html?searchResultPosition=12</w:t>
      </w:r>
      <w:r>
        <w:t>)// NN</w:t>
      </w:r>
    </w:p>
    <w:p w14:paraId="193A9EE7" w14:textId="77777777" w:rsidR="000E217C" w:rsidRDefault="000E217C" w:rsidP="000E217C">
      <w:r w:rsidRPr="001A00D9">
        <w:t xml:space="preserve">That’s because of a ruling Thursday by </w:t>
      </w:r>
      <w:r w:rsidRPr="001A00D9">
        <w:rPr>
          <w:rStyle w:val="StyleUnderline"/>
        </w:rPr>
        <w:t>the International Trade Commission that most Apple Watches contain parts that infringe on patents held by Masimo Corp., a producer of medical technology</w:t>
      </w:r>
      <w:r w:rsidRPr="001A00D9">
        <w:t>, and its sister company, Cercacor Laboratories Inc., both of Irvine, Calif. An import ban and a cease-and-desist order on sales both take effect on Dec. 26 — unless President Biden reverses the decision by Dec. 25, which appears unlikely. (Presidents rarely overrule the independent, nonpartisan agency, which was founded in 1916 as the U.S. Tariff Commission.)</w:t>
      </w:r>
    </w:p>
    <w:p w14:paraId="78EEB73E" w14:textId="77777777" w:rsidR="000E217C" w:rsidRDefault="000E217C" w:rsidP="000E217C">
      <w:r w:rsidRPr="001A00D9">
        <w:rPr>
          <w:u w:val="single"/>
        </w:rPr>
        <w:t>Masimo argues that Apple’s reputation for innovation is undeserved and that the company has made a practice of “efficient infringement</w:t>
      </w:r>
      <w:r w:rsidRPr="001A00D9">
        <w:t>” — using other companies’ technologies without permission and dealing with the legal fallout as necessary. The company points to something that Steve Jobs, Apple’s co-founder, said in 1996: “Picasso had a saying. He said, ‘Good artists copy; great artists steal.’ And we have, you know, always been shameless about stealing great ideas.”</w:t>
      </w:r>
    </w:p>
    <w:p w14:paraId="78F8AF9E" w14:textId="77777777" w:rsidR="000E217C" w:rsidRDefault="000E217C" w:rsidP="000E217C">
      <w:r>
        <w:t xml:space="preserve">Let’s back up. </w:t>
      </w:r>
      <w:r w:rsidRPr="001A00D9">
        <w:rPr>
          <w:u w:val="single"/>
        </w:rPr>
        <w:t>Masimo, while not a household name, is a recognized world leader in patient-monitoring technologies for hospitals. It has possibly the best light-based pulse oximeter</w:t>
      </w:r>
      <w:r>
        <w:t>, which uses red and near-infrared light emitters and detectors to see how red, and thus how oxygen-rich, the blood in the arteries is.</w:t>
      </w:r>
    </w:p>
    <w:p w14:paraId="77764864" w14:textId="77777777" w:rsidR="000E217C" w:rsidRDefault="000E217C" w:rsidP="000E217C">
      <w:r>
        <w:t>Partly thanks to software that efficiently extracts signal from noise, Masimo’s pulse oximeter works even when patients are moving around or when they have a weak pulse. By using it on premature infants with underdeveloped lungs, hospitals can give them precisely the amount of oxygen they need — a good thing because too much oxygen causes blindness. It’s also good for patients on heavy opioids, which can suppress the drive to breathe.</w:t>
      </w:r>
    </w:p>
    <w:p w14:paraId="0FC4183F" w14:textId="77777777" w:rsidR="000E217C" w:rsidRDefault="000E217C" w:rsidP="000E217C">
      <w:r w:rsidRPr="001A00D9">
        <w:rPr>
          <w:u w:val="single"/>
        </w:rPr>
        <w:t>Apple finally introduced its first watch with pulse oximetry</w:t>
      </w:r>
      <w:r>
        <w:t xml:space="preserve">, the Series 6, in 2020. It has incorporated pulse oximetry into all of its smart watches since then, with the exception of the cheaper Apple Watch SE. That means </w:t>
      </w:r>
      <w:r w:rsidRPr="001A00D9">
        <w:rPr>
          <w:u w:val="single"/>
        </w:rPr>
        <w:t>Apple will have to stop selling all its watches except the SE model starting on Dec. 26</w:t>
      </w:r>
      <w:r>
        <w:t xml:space="preserve"> unless something happens before then: Either the companies cut a deal, the U.S. trade representative’s office recommends to Biden that he reverse the ruling, or Apple persuades the Federal Circuit Court of Appeals to stay the injunction while it considers an appeal.</w:t>
      </w:r>
    </w:p>
    <w:p w14:paraId="70E2DC5C" w14:textId="77777777" w:rsidR="000E217C" w:rsidRDefault="000E217C" w:rsidP="000E217C">
      <w:r w:rsidRPr="001A00D9">
        <w:rPr>
          <w:u w:val="single"/>
        </w:rPr>
        <w:t>The I.T.C. case is only one front in the battle between Masimo and Apple.</w:t>
      </w:r>
      <w:r>
        <w:t xml:space="preserve"> In 2020, Masimo sued Apple in Federal District Court in California, alleging theft of trade secrets. The suit ended in a mistrial in May when the jury deadlocked. The case is being retried. Last year, Apple sued Masimo in federal court in Delaware, charging that Masimo was the one doing the illegal copying and was trying to knock Apple out of the market to make way for its own watch. Masimo counter-claimed that Apple had infringed its patents, falsely advertised its watches’ capabilities and violated antitrust and fair competition laws. In a separate action this September, the Federal Circuit Court of Appeals affirmed the Patent Trial and Appeal Board’s invalidation of some of Masimo’s patent claims, but rescued others.</w:t>
      </w:r>
    </w:p>
    <w:p w14:paraId="4A2CAD75" w14:textId="77777777" w:rsidR="000E217C" w:rsidRPr="001A00D9" w:rsidRDefault="000E217C" w:rsidP="000E217C">
      <w:r w:rsidRPr="001A00D9">
        <w:t xml:space="preserve">Kiani told me that his company has spent more than $60 million on its legal fights with Apple. He said he thinks </w:t>
      </w:r>
      <w:r w:rsidRPr="001A00D9">
        <w:rPr>
          <w:u w:val="single"/>
        </w:rPr>
        <w:t>the I.T.C. ruling in Masimo’s favor will help the company in other jurisdictions,</w:t>
      </w:r>
      <w:r w:rsidRPr="001A00D9">
        <w:t xml:space="preserve"> even though it’s not binding for them, </w:t>
      </w:r>
      <w:r w:rsidRPr="001A00D9">
        <w:rPr>
          <w:u w:val="single"/>
        </w:rPr>
        <w:t>because the I.T.C. is a reputable agency that did a deep dive into the allegations.</w:t>
      </w:r>
      <w:r w:rsidRPr="001A00D9">
        <w:t xml:space="preserve"> “The same patents Apple was found to have infringed at the I.T.C. are also at issue in Delaware District Court litigation,” the company wrote me in an email.</w:t>
      </w:r>
    </w:p>
    <w:p w14:paraId="770E9859" w14:textId="44ECB55D" w:rsidR="000E217C" w:rsidRPr="000E217C" w:rsidRDefault="000E217C" w:rsidP="000E217C">
      <w:r w:rsidRPr="001A00D9">
        <w:t>Masimo has been moving into consumer markets with products including the W1, a smart watch that competes with the Apple Watch. Neither company has yet received approval from the Food and Drug Administration to claim its product is suitable for medical use. Kiani argues that Apple’s technology is inferior and has given pulse oximetry a bad name with customers.</w:t>
      </w:r>
    </w:p>
    <w:p w14:paraId="4E7ABC15" w14:textId="7A792D11" w:rsidR="008F567E" w:rsidRDefault="00EC2BC2" w:rsidP="00EC2BC2">
      <w:pPr>
        <w:pStyle w:val="Heading2"/>
      </w:pPr>
      <w:r>
        <w:t>Perm</w:t>
      </w:r>
    </w:p>
    <w:p w14:paraId="49A6F3C5" w14:textId="1E68C4B6" w:rsidR="008F709D" w:rsidRDefault="008F709D" w:rsidP="008F709D">
      <w:pPr>
        <w:pStyle w:val="Heading3"/>
      </w:pPr>
      <w:r>
        <w:t>Competition</w:t>
      </w:r>
      <w:r w:rsidR="00BA0D76">
        <w:t>---Top</w:t>
      </w:r>
      <w:r>
        <w:t>---2NC</w:t>
      </w:r>
    </w:p>
    <w:p w14:paraId="435811AE" w14:textId="77777777" w:rsidR="008F709D" w:rsidRPr="004F2678" w:rsidRDefault="008F709D" w:rsidP="008F709D">
      <w:pPr>
        <w:pStyle w:val="Heading4"/>
        <w:rPr>
          <w:rFonts w:cs="Calibri"/>
        </w:rPr>
      </w:pPr>
      <w:r w:rsidRPr="004F2678">
        <w:rPr>
          <w:rFonts w:cs="Calibri"/>
        </w:rPr>
        <w:t xml:space="preserve">It competes, domestic infringement is determined by the courts </w:t>
      </w:r>
    </w:p>
    <w:p w14:paraId="24AB115C" w14:textId="77777777" w:rsidR="008F709D" w:rsidRPr="004F2678" w:rsidRDefault="008F709D" w:rsidP="008F709D">
      <w:r w:rsidRPr="004F2678">
        <w:rPr>
          <w:rStyle w:val="Style13ptBold"/>
        </w:rPr>
        <w:t xml:space="preserve">Ubertazzi ’12 </w:t>
      </w:r>
      <w:r w:rsidRPr="004F2678">
        <w:t>[Bendetta; 2012; Max Planck Institute for Innovation and Competition; Exclusive Jurisdiction in International Property, google books]</w:t>
      </w:r>
    </w:p>
    <w:p w14:paraId="5202753A" w14:textId="2B329EC4" w:rsidR="008F709D" w:rsidRDefault="008F709D" w:rsidP="008F709D">
      <w:pPr>
        <w:rPr>
          <w:sz w:val="16"/>
        </w:rPr>
      </w:pPr>
      <w:r w:rsidRPr="004F2678">
        <w:rPr>
          <w:sz w:val="16"/>
        </w:rPr>
        <w:t xml:space="preserve">As for the </w:t>
      </w:r>
      <w:r w:rsidRPr="004F2678">
        <w:rPr>
          <w:rStyle w:val="Emphasis"/>
          <w:highlight w:val="cyan"/>
        </w:rPr>
        <w:t>infringement</w:t>
      </w:r>
      <w:r w:rsidRPr="004F2678">
        <w:rPr>
          <w:rStyle w:val="StyleUnderline"/>
        </w:rPr>
        <w:t xml:space="preserve"> </w:t>
      </w:r>
      <w:r w:rsidRPr="004F2678">
        <w:rPr>
          <w:sz w:val="16"/>
        </w:rPr>
        <w:t xml:space="preserve">notion, it </w:t>
      </w:r>
      <w:r w:rsidRPr="004F2678">
        <w:rPr>
          <w:rStyle w:val="Emphasis"/>
          <w:highlight w:val="cyan"/>
        </w:rPr>
        <w:t>encompasses cases where</w:t>
      </w:r>
      <w:r w:rsidRPr="004F2678">
        <w:rPr>
          <w:rStyle w:val="StyleUnderline"/>
          <w:highlight w:val="cyan"/>
        </w:rPr>
        <w:t xml:space="preserve"> a person</w:t>
      </w:r>
      <w:r w:rsidRPr="004F2678">
        <w:rPr>
          <w:rStyle w:val="StyleUnderline"/>
        </w:rPr>
        <w:t xml:space="preserve"> who is </w:t>
      </w:r>
      <w:r w:rsidRPr="004F2678">
        <w:rPr>
          <w:rStyle w:val="StyleUnderline"/>
          <w:highlight w:val="cyan"/>
        </w:rPr>
        <w:t>not the owner or licensee</w:t>
      </w:r>
      <w:r w:rsidRPr="004F2678">
        <w:rPr>
          <w:rStyle w:val="StyleUnderline"/>
        </w:rPr>
        <w:t xml:space="preserve"> and assignee of the owner of the IPR copies, reproduces, or </w:t>
      </w:r>
      <w:r w:rsidRPr="004F2678">
        <w:rPr>
          <w:rStyle w:val="StyleUnderline"/>
          <w:highlight w:val="cyan"/>
        </w:rPr>
        <w:t>exercises</w:t>
      </w:r>
      <w:r w:rsidRPr="004F2678">
        <w:rPr>
          <w:rStyle w:val="StyleUnderline"/>
        </w:rPr>
        <w:t xml:space="preserve"> any of the </w:t>
      </w:r>
      <w:r w:rsidRPr="004F2678">
        <w:rPr>
          <w:rStyle w:val="Emphasis"/>
          <w:highlight w:val="cyan"/>
        </w:rPr>
        <w:t xml:space="preserve">exclusive </w:t>
      </w:r>
      <w:r w:rsidRPr="004F2678">
        <w:rPr>
          <w:rStyle w:val="StyleUnderline"/>
          <w:highlight w:val="cyan"/>
        </w:rPr>
        <w:t>rights</w:t>
      </w:r>
      <w:r w:rsidRPr="004F2678">
        <w:rPr>
          <w:rStyle w:val="StyleUnderline"/>
        </w:rPr>
        <w:t xml:space="preserve"> granted in respect to the IPR in question without the license or consent of the IPR owner</w:t>
      </w:r>
      <w:r w:rsidRPr="004F2678">
        <w:rPr>
          <w:sz w:val="16"/>
        </w:rPr>
        <w:t xml:space="preserve">. Furthermore, infringement proceedings comprise both claims where the plaintiff brings an IPR infringement action or where the claimant starts a declaratory action to establish that the IPR is not infringed. The term pure infringement claims will be adopted to denote infringement disputes where the validity of the IPR involved is not raised. Additionally, the term transnational misappropriation of IPRs will be used synonymously with transnational infringement of IPRs. </w:t>
      </w:r>
      <w:r w:rsidRPr="004F2678">
        <w:rPr>
          <w:rStyle w:val="StyleUnderline"/>
        </w:rPr>
        <w:t xml:space="preserve">The term </w:t>
      </w:r>
      <w:r w:rsidRPr="004F2678">
        <w:rPr>
          <w:rStyle w:val="Emphasis"/>
          <w:highlight w:val="cyan"/>
        </w:rPr>
        <w:t>protection</w:t>
      </w:r>
      <w:r w:rsidRPr="004F2678">
        <w:rPr>
          <w:rStyle w:val="StyleUnderline"/>
          <w:highlight w:val="cyan"/>
        </w:rPr>
        <w:t xml:space="preserve"> will be treated as </w:t>
      </w:r>
      <w:r w:rsidRPr="004F2678">
        <w:rPr>
          <w:rStyle w:val="Emphasis"/>
          <w:highlight w:val="cyan"/>
        </w:rPr>
        <w:t>synonymous</w:t>
      </w:r>
      <w:r w:rsidRPr="004F2678">
        <w:rPr>
          <w:rStyle w:val="StyleUnderline"/>
          <w:highlight w:val="cyan"/>
        </w:rPr>
        <w:t xml:space="preserve"> to </w:t>
      </w:r>
      <w:r w:rsidRPr="004F2678">
        <w:rPr>
          <w:rStyle w:val="Emphasis"/>
          <w:highlight w:val="cyan"/>
        </w:rPr>
        <w:t>judicial enforcement</w:t>
      </w:r>
      <w:r w:rsidRPr="004F2678">
        <w:rPr>
          <w:sz w:val="16"/>
        </w:rPr>
        <w:t>.</w:t>
      </w:r>
    </w:p>
    <w:p w14:paraId="44457C0F" w14:textId="77777777" w:rsidR="00C44770" w:rsidRDefault="00C44770" w:rsidP="00C44770">
      <w:pPr>
        <w:pStyle w:val="Heading4"/>
      </w:pPr>
      <w:r>
        <w:t>ITC enforcement is international protection</w:t>
      </w:r>
    </w:p>
    <w:p w14:paraId="38B515B4" w14:textId="77777777" w:rsidR="00C44770" w:rsidRDefault="00C44770" w:rsidP="00C44770">
      <w:r w:rsidRPr="0032684E">
        <w:rPr>
          <w:b/>
          <w:bCs/>
          <w:sz w:val="26"/>
          <w:szCs w:val="26"/>
        </w:rPr>
        <w:t>Barnes and Thornburg ND</w:t>
      </w:r>
      <w:r w:rsidRPr="0032684E">
        <w:t xml:space="preserve">, </w:t>
      </w:r>
      <w:r>
        <w:t>Barns and Thornburg is a business law firm in Ann Arbor Michigan that works with multinational companies over IP protections</w:t>
      </w:r>
      <w:r w:rsidRPr="0032684E">
        <w:t>, "International Trade Commission Section 337 Investigations", No Publication, https://btlaw.com/work/practices/intellectual-property/international-trade-commission-section-337-investigations</w:t>
      </w:r>
      <w:r>
        <w:t>//susu</w:t>
      </w:r>
    </w:p>
    <w:p w14:paraId="160E7475" w14:textId="77777777" w:rsidR="00C44770" w:rsidRPr="0032684E" w:rsidRDefault="00C44770" w:rsidP="00C44770">
      <w:pPr>
        <w:rPr>
          <w:sz w:val="12"/>
        </w:rPr>
      </w:pPr>
      <w:r w:rsidRPr="0032684E">
        <w:rPr>
          <w:sz w:val="12"/>
        </w:rPr>
        <w:t>When clients find themselves in need of guidance involving challenges to patents, trademarks, copyrights, trade secrets or other types of unfair competition regarding imported goods, our team’s trial skills and case management tools can help resolve these matters efficiently. Our team works with respondents, complainants, and third parties – and has the knowledge to create effective strategies for each.</w:t>
      </w:r>
    </w:p>
    <w:p w14:paraId="43966CB8" w14:textId="77777777" w:rsidR="00C44770" w:rsidRPr="0032684E" w:rsidRDefault="00C44770" w:rsidP="00C44770">
      <w:pPr>
        <w:rPr>
          <w:sz w:val="12"/>
        </w:rPr>
      </w:pPr>
      <w:r w:rsidRPr="0032684E">
        <w:rPr>
          <w:sz w:val="12"/>
        </w:rPr>
        <w:t>ITC investigations – cases heard by administrative law judges – are usually resolved in 18 months or less and are often the preferred type of proceeding. In addition, the ITC does not award monetary damages.</w:t>
      </w:r>
    </w:p>
    <w:p w14:paraId="7CD59BDE" w14:textId="77777777" w:rsidR="00C44770" w:rsidRPr="0032684E" w:rsidRDefault="00C44770" w:rsidP="00C44770">
      <w:pPr>
        <w:rPr>
          <w:sz w:val="12"/>
        </w:rPr>
      </w:pPr>
      <w:r w:rsidRPr="0032684E">
        <w:rPr>
          <w:sz w:val="12"/>
        </w:rPr>
        <w:t>We have deep</w:t>
      </w:r>
      <w:r w:rsidRPr="0032684E">
        <w:t xml:space="preserve"> </w:t>
      </w:r>
      <w:r w:rsidRPr="0032684E">
        <w:rPr>
          <w:u w:val="single"/>
        </w:rPr>
        <w:t xml:space="preserve">trial experience in front of </w:t>
      </w:r>
      <w:r w:rsidRPr="0032684E">
        <w:rPr>
          <w:b/>
          <w:bCs/>
          <w:u w:val="single"/>
        </w:rPr>
        <w:t>administrative</w:t>
      </w:r>
      <w:r w:rsidRPr="0032684E">
        <w:t xml:space="preserve"> </w:t>
      </w:r>
      <w:r w:rsidRPr="0032684E">
        <w:rPr>
          <w:sz w:val="12"/>
        </w:rPr>
        <w:t>law judges, along with the knowledge and technical skills to help resolve clients’ most</w:t>
      </w:r>
      <w:r w:rsidRPr="0032684E">
        <w:t xml:space="preserve"> </w:t>
      </w:r>
      <w:r w:rsidRPr="0032684E">
        <w:rPr>
          <w:u w:val="single"/>
        </w:rPr>
        <w:t xml:space="preserve">challenging </w:t>
      </w:r>
      <w:r w:rsidRPr="0032684E">
        <w:rPr>
          <w:b/>
          <w:bCs/>
          <w:u w:val="single"/>
        </w:rPr>
        <w:t>IP disputes</w:t>
      </w:r>
      <w:r w:rsidRPr="0032684E">
        <w:t xml:space="preserve">. </w:t>
      </w:r>
      <w:r w:rsidRPr="0032684E">
        <w:rPr>
          <w:sz w:val="12"/>
        </w:rPr>
        <w:t>Our team has worked across a wide variety of industries, including automotive, computer software, chemicals, mechanical patents, semiconductors, and telecommunications in Asia, Europe, South America, and the United States.</w:t>
      </w:r>
    </w:p>
    <w:p w14:paraId="793D6B2C" w14:textId="32688162" w:rsidR="00C44770" w:rsidRDefault="00C44770" w:rsidP="008F709D">
      <w:pPr>
        <w:rPr>
          <w:u w:val="single"/>
        </w:rPr>
      </w:pPr>
      <w:r w:rsidRPr="0032684E">
        <w:rPr>
          <w:sz w:val="12"/>
        </w:rPr>
        <w:t>As the global economy continues to swell</w:t>
      </w:r>
      <w:r w:rsidRPr="0032684E">
        <w:t xml:space="preserve">, </w:t>
      </w:r>
      <w:r w:rsidRPr="0032684E">
        <w:rPr>
          <w:u w:val="single"/>
        </w:rPr>
        <w:t xml:space="preserve">it is necessary for companies, large and small, to be aware of </w:t>
      </w:r>
      <w:r w:rsidRPr="0032684E">
        <w:rPr>
          <w:b/>
          <w:bCs/>
          <w:u w:val="single"/>
        </w:rPr>
        <w:t>international trade policies</w:t>
      </w:r>
      <w:r w:rsidRPr="0032684E">
        <w:t xml:space="preserve"> </w:t>
      </w:r>
      <w:r w:rsidRPr="0032684E">
        <w:rPr>
          <w:sz w:val="12"/>
        </w:rPr>
        <w:t>and how to best approach an alleged violation.</w:t>
      </w:r>
      <w:r w:rsidRPr="0032684E">
        <w:t xml:space="preserve"> </w:t>
      </w:r>
      <w:r w:rsidRPr="0032684E">
        <w:rPr>
          <w:u w:val="single"/>
        </w:rPr>
        <w:t>There are numerous remedies along the way that can help avoid going to court</w:t>
      </w:r>
      <w:r w:rsidRPr="0032684E">
        <w:t xml:space="preserve">. </w:t>
      </w:r>
      <w:r w:rsidRPr="0032684E">
        <w:rPr>
          <w:sz w:val="12"/>
        </w:rPr>
        <w:t>We advise on obtaining or fighting</w:t>
      </w:r>
      <w:r w:rsidRPr="0032684E">
        <w:t xml:space="preserve"> </w:t>
      </w:r>
      <w:r w:rsidRPr="0032684E">
        <w:rPr>
          <w:u w:val="single"/>
        </w:rPr>
        <w:t xml:space="preserve">exclusion orders and </w:t>
      </w:r>
      <w:r w:rsidRPr="0032684E">
        <w:rPr>
          <w:b/>
          <w:bCs/>
          <w:u w:val="single"/>
        </w:rPr>
        <w:t>cease and desist orders</w:t>
      </w:r>
      <w:r w:rsidRPr="0032684E">
        <w:rPr>
          <w:u w:val="single"/>
        </w:rPr>
        <w:t xml:space="preserve"> by the </w:t>
      </w:r>
      <w:r w:rsidRPr="0032684E">
        <w:rPr>
          <w:b/>
          <w:bCs/>
          <w:u w:val="single"/>
        </w:rPr>
        <w:t>ITC</w:t>
      </w:r>
      <w:r w:rsidRPr="0032684E">
        <w:rPr>
          <w:u w:val="single"/>
        </w:rPr>
        <w:t>, and work with clients on ways to protect their IP assets in order to avoid unfair import investigations.</w:t>
      </w:r>
    </w:p>
    <w:p w14:paraId="13DAD37B" w14:textId="77777777" w:rsidR="00CD5A64" w:rsidRDefault="00CD5A64" w:rsidP="00CD5A64">
      <w:pPr>
        <w:pStyle w:val="Heading4"/>
      </w:pPr>
      <w:r>
        <w:t>International IP rules include border measures and enforcement of imports</w:t>
      </w:r>
    </w:p>
    <w:p w14:paraId="4CEFDCDD" w14:textId="77777777" w:rsidR="00CD5A64" w:rsidRPr="007852BF" w:rsidRDefault="00CD5A64" w:rsidP="00CD5A64">
      <w:r w:rsidRPr="00D353AB">
        <w:rPr>
          <w:rStyle w:val="Style13ptBold"/>
        </w:rPr>
        <w:t>Akhtar ’23</w:t>
      </w:r>
      <w:r>
        <w:t xml:space="preserve"> [Shayerah I. and Liana Wong; September 15; Specialist in International Trade and Finance at the Congressional Research Service (CRS); Analyst in International Trade and Finance at CRS; CRS Backgrounder, “</w:t>
      </w:r>
      <w:r w:rsidRPr="00D353AB">
        <w:t>Intellectual Property Rights (IPR) and International Trade</w:t>
      </w:r>
      <w:r>
        <w:t>,” IF10033]</w:t>
      </w:r>
    </w:p>
    <w:p w14:paraId="28F8F98E" w14:textId="77777777" w:rsidR="00CD5A64" w:rsidRPr="007852BF" w:rsidRDefault="00CD5A64" w:rsidP="00CD5A64">
      <w:pPr>
        <w:rPr>
          <w:sz w:val="16"/>
        </w:rPr>
      </w:pPr>
      <w:r w:rsidRPr="002C5F21">
        <w:rPr>
          <w:rStyle w:val="Emphasis"/>
          <w:highlight w:val="cyan"/>
        </w:rPr>
        <w:t>Multilateral IP Rules</w:t>
      </w:r>
      <w:r w:rsidRPr="007852BF">
        <w:rPr>
          <w:sz w:val="16"/>
        </w:rPr>
        <w:t xml:space="preserve">. TRIPS established minimum standards of IP protection that most WTO members must provide, based on core WTO nondiscrimination principles. </w:t>
      </w:r>
      <w:r w:rsidRPr="00A75CBA">
        <w:rPr>
          <w:rStyle w:val="StyleUnderline"/>
        </w:rPr>
        <w:t xml:space="preserve">It </w:t>
      </w:r>
      <w:r w:rsidRPr="002C5F21">
        <w:rPr>
          <w:rStyle w:val="StyleUnderline"/>
          <w:highlight w:val="cyan"/>
        </w:rPr>
        <w:t xml:space="preserve">set </w:t>
      </w:r>
      <w:r w:rsidRPr="00A75CBA">
        <w:rPr>
          <w:rStyle w:val="StyleUnderline"/>
        </w:rPr>
        <w:t xml:space="preserve">civil, </w:t>
      </w:r>
      <w:r w:rsidRPr="002C5F21">
        <w:rPr>
          <w:rStyle w:val="StyleUnderline"/>
          <w:highlight w:val="cyan"/>
        </w:rPr>
        <w:t>administrative</w:t>
      </w:r>
      <w:r w:rsidRPr="00A75CBA">
        <w:rPr>
          <w:rStyle w:val="StyleUnderline"/>
        </w:rPr>
        <w:t xml:space="preserve">, and criminal </w:t>
      </w:r>
      <w:r w:rsidRPr="002C5F21">
        <w:rPr>
          <w:rStyle w:val="StyleUnderline"/>
          <w:highlight w:val="cyan"/>
        </w:rPr>
        <w:t xml:space="preserve">enforcement </w:t>
      </w:r>
      <w:r w:rsidRPr="00A75CBA">
        <w:rPr>
          <w:rStyle w:val="StyleUnderline"/>
        </w:rPr>
        <w:t xml:space="preserve">procedures and remedies, </w:t>
      </w:r>
      <w:r w:rsidRPr="002C5F21">
        <w:rPr>
          <w:rStyle w:val="StyleUnderline"/>
          <w:highlight w:val="cyan"/>
        </w:rPr>
        <w:t xml:space="preserve">and </w:t>
      </w:r>
      <w:r w:rsidRPr="002C5F21">
        <w:rPr>
          <w:rStyle w:val="Emphasis"/>
          <w:highlight w:val="cyan"/>
        </w:rPr>
        <w:t>border measures</w:t>
      </w:r>
      <w:r w:rsidRPr="007852BF">
        <w:rPr>
          <w:sz w:val="16"/>
        </w:rPr>
        <w:t>. TRIPS obligations are subject to WTO enforcement.</w:t>
      </w:r>
    </w:p>
    <w:p w14:paraId="728A8C4F" w14:textId="77777777" w:rsidR="00CD5A64" w:rsidRPr="002C5F21" w:rsidRDefault="00CD5A64" w:rsidP="00CD5A64">
      <w:pPr>
        <w:rPr>
          <w:sz w:val="12"/>
        </w:rPr>
      </w:pPr>
      <w:r w:rsidRPr="002C5F21">
        <w:rPr>
          <w:sz w:val="12"/>
        </w:rPr>
        <w:t>TRIPS has certain exceptions and flexibilities. It allows compulsory licensing for patents in specific circumstances, and exempts least-developed countries from most obligations until July 1, 2034, and pharmaceutical-related obligations until January 1, 2033. In the 2001 WTO “Doha Declaration,” WTO members agreed to interpret TRIPS to support WTO members’ right to protect public health, particularly to promote access to medicines. TRIPS has elicited some stakeholder debate about how it seeks to balance innovation and other aims.</w:t>
      </w:r>
    </w:p>
    <w:p w14:paraId="483596BA" w14:textId="77777777" w:rsidR="00CD5A64" w:rsidRPr="002C5F21" w:rsidRDefault="00CD5A64" w:rsidP="00CD5A64">
      <w:pPr>
        <w:rPr>
          <w:sz w:val="12"/>
        </w:rPr>
      </w:pPr>
      <w:r w:rsidRPr="002C5F21">
        <w:rPr>
          <w:sz w:val="12"/>
        </w:rPr>
        <w:t>COVID-19 “TRIPS Waiver</w:t>
      </w:r>
    </w:p>
    <w:p w14:paraId="4AE44A4A" w14:textId="77777777" w:rsidR="00CD5A64" w:rsidRPr="002C5F21" w:rsidRDefault="00CD5A64" w:rsidP="00CD5A64">
      <w:pPr>
        <w:rPr>
          <w:sz w:val="12"/>
        </w:rPr>
      </w:pPr>
      <w:r w:rsidRPr="002C5F21">
        <w:rPr>
          <w:sz w:val="12"/>
        </w:rPr>
        <w:t>A major WTO debate has centered on how best to provide global access to COVID-19 vaccines and therapeutics, and whether to “waive” or offer greater flexibilities for TRIPS obligations. In 2022, WTO members approved a five-year “TRIPS waiver” of patent-related obligations for COVID-19 vaccines. The Biden Administration’s support for the waiver divided Members of Congress. WTO members are now debating whether to extend the waiver to COVID-19 diagnostics and therapeutics.</w:t>
      </w:r>
    </w:p>
    <w:p w14:paraId="3302E83A" w14:textId="77777777" w:rsidR="00CD5A64" w:rsidRPr="002C5F21" w:rsidRDefault="00CD5A64" w:rsidP="00CD5A64">
      <w:pPr>
        <w:rPr>
          <w:sz w:val="12"/>
        </w:rPr>
      </w:pPr>
      <w:r w:rsidRPr="002C5F21">
        <w:rPr>
          <w:sz w:val="12"/>
        </w:rPr>
        <w:t>Other IPR treaties, dating back to the 1800s and on which TRIPS builds, are administered by WIPO, a specialized U.N. agency. Newer WIPO treaties, notably the “Internet Treaties,” address digital IPR issues that are not in TRIPS.</w:t>
      </w:r>
    </w:p>
    <w:p w14:paraId="1193CFC4" w14:textId="77777777" w:rsidR="00CD5A64" w:rsidRPr="002C5F21" w:rsidRDefault="00CD5A64" w:rsidP="00CD5A64">
      <w:pPr>
        <w:rPr>
          <w:sz w:val="12"/>
        </w:rPr>
      </w:pPr>
      <w:r w:rsidRPr="002C5F21">
        <w:rPr>
          <w:sz w:val="12"/>
        </w:rPr>
        <w:t>U.S. IPR Trade Objectives. Since 1988, Congress has included IPR protection as a principal negotiating objective in trade promotion authority (TPA). The 2015 TPA (P.L. 114-26), which expired in 2021, directed the executive to ensure that U.S. FTAs “reflect a standard of protection similar to that found in U.S. law,” and apply existing IPR protection to digital media through the WIPO “Internet</w:t>
      </w:r>
    </w:p>
    <w:p w14:paraId="6E964BBF" w14:textId="77777777" w:rsidR="00CD5A64" w:rsidRPr="002C5F21" w:rsidRDefault="00CD5A64" w:rsidP="00CD5A64">
      <w:pPr>
        <w:rPr>
          <w:sz w:val="12"/>
        </w:rPr>
      </w:pPr>
      <w:r w:rsidRPr="002C5F21">
        <w:rPr>
          <w:sz w:val="12"/>
        </w:rPr>
        <w:t>Treaties.” It added new objectives to address cyber theft, protect trade secrets and proprietary information, and “foster innovation and access to medicines.”</w:t>
      </w:r>
    </w:p>
    <w:p w14:paraId="16E4CB69" w14:textId="77777777" w:rsidR="00CD5A64" w:rsidRPr="002C5F21" w:rsidRDefault="00CD5A64" w:rsidP="00CD5A64">
      <w:pPr>
        <w:rPr>
          <w:color w:val="000000" w:themeColor="text1"/>
          <w:sz w:val="16"/>
        </w:rPr>
      </w:pPr>
      <w:r w:rsidRPr="00D353AB">
        <w:rPr>
          <w:rStyle w:val="Emphasis"/>
        </w:rPr>
        <w:t>IPR in U.S. Trade Agreements</w:t>
      </w:r>
      <w:r w:rsidRPr="007852BF">
        <w:rPr>
          <w:sz w:val="16"/>
        </w:rPr>
        <w:t xml:space="preserve">. Since NAFTA, U.S. FTAs have included IPR obligations that build on TRIPS. The United States-Mexico-Canada Agreement (USMCA), the most recent U.S. FTA, contains </w:t>
      </w:r>
      <w:r w:rsidRPr="002C5F21">
        <w:rPr>
          <w:color w:val="000000" w:themeColor="text1"/>
          <w:sz w:val="16"/>
        </w:rPr>
        <w:t>new or updated IPR commitments, compared to other U.S. FTAs, including on criminal penalties for trade secret theft, IPR enforcement in the digital environment, and enhanced disciplines for GIs.</w:t>
      </w:r>
    </w:p>
    <w:p w14:paraId="625C39B5" w14:textId="77777777" w:rsidR="00CD5A64" w:rsidRPr="007852BF" w:rsidRDefault="00CD5A64" w:rsidP="00CD5A64">
      <w:pPr>
        <w:rPr>
          <w:sz w:val="16"/>
        </w:rPr>
      </w:pPr>
      <w:r w:rsidRPr="002C5F21">
        <w:rPr>
          <w:rStyle w:val="StyleUnderline"/>
          <w:color w:val="000000" w:themeColor="text1"/>
        </w:rPr>
        <w:t xml:space="preserve">Some limited trade deals also have </w:t>
      </w:r>
      <w:r w:rsidRPr="002C5F21">
        <w:rPr>
          <w:rStyle w:val="Emphasis"/>
          <w:color w:val="000000" w:themeColor="text1"/>
        </w:rPr>
        <w:t>IPR commitments</w:t>
      </w:r>
      <w:r w:rsidRPr="002C5F21">
        <w:rPr>
          <w:color w:val="000000" w:themeColor="text1"/>
          <w:sz w:val="16"/>
        </w:rPr>
        <w:t xml:space="preserve">. For example, in the 2020 U.S.-China “phase one” agreement, China committed not to require technology transfer and to strengthen IP enforcement, but most U.S. concerns about technology transfer and IP theft remain unresolved. </w:t>
      </w:r>
      <w:r w:rsidRPr="002C5F21">
        <w:rPr>
          <w:rStyle w:val="Emphasis"/>
          <w:color w:val="000000" w:themeColor="text1"/>
        </w:rPr>
        <w:t>IPR</w:t>
      </w:r>
      <w:r w:rsidRPr="002C5F21">
        <w:rPr>
          <w:color w:val="000000" w:themeColor="text1"/>
          <w:sz w:val="16"/>
        </w:rPr>
        <w:t xml:space="preserve"> </w:t>
      </w:r>
      <w:r w:rsidRPr="002C5F21">
        <w:rPr>
          <w:rStyle w:val="StyleUnderline"/>
          <w:color w:val="000000" w:themeColor="text1"/>
        </w:rPr>
        <w:t>does not appear to be a top focus of current Biden</w:t>
      </w:r>
      <w:r w:rsidRPr="002C5F21">
        <w:rPr>
          <w:color w:val="000000" w:themeColor="text1"/>
          <w:sz w:val="16"/>
        </w:rPr>
        <w:t xml:space="preserve"> Administration </w:t>
      </w:r>
      <w:r w:rsidRPr="002C5F21">
        <w:rPr>
          <w:rStyle w:val="StyleUnderline"/>
          <w:color w:val="000000" w:themeColor="text1"/>
        </w:rPr>
        <w:t>trade initiativ</w:t>
      </w:r>
      <w:r w:rsidRPr="002C5F21">
        <w:rPr>
          <w:color w:val="000000" w:themeColor="text1"/>
          <w:sz w:val="16"/>
        </w:rPr>
        <w:t xml:space="preserve">es, such as in the Indo-Pacific, but may come up as it relates to digital </w:t>
      </w:r>
      <w:r w:rsidRPr="007852BF">
        <w:rPr>
          <w:sz w:val="16"/>
        </w:rPr>
        <w:t>trade negotiations.</w:t>
      </w:r>
    </w:p>
    <w:p w14:paraId="071EC84C" w14:textId="77777777" w:rsidR="00CD5A64" w:rsidRPr="007852BF" w:rsidRDefault="00CD5A64" w:rsidP="00CD5A64">
      <w:pPr>
        <w:rPr>
          <w:sz w:val="16"/>
        </w:rPr>
      </w:pPr>
      <w:r w:rsidRPr="007852BF">
        <w:rPr>
          <w:sz w:val="16"/>
        </w:rPr>
        <w:t>Other Tools. U.S. IPR-related trade tools also include</w:t>
      </w:r>
    </w:p>
    <w:p w14:paraId="42F6C288" w14:textId="77777777" w:rsidR="00CD5A64" w:rsidRPr="007852BF" w:rsidRDefault="00CD5A64" w:rsidP="00CD5A64">
      <w:pPr>
        <w:rPr>
          <w:sz w:val="16"/>
        </w:rPr>
      </w:pPr>
      <w:r w:rsidRPr="007852BF">
        <w:rPr>
          <w:sz w:val="16"/>
        </w:rPr>
        <w:t>• “Special 301” of the amended Trade Act of 1974: USTR identifies countries with inadequate IPR regimes in its annual statutorily required “Special 301” report. USTR reviews online and physical “notorious” markets involved in IPR infringement in a separate annual report. It can also investigate and enforce U.S. IPR through Section 301 of the Trade Act of 1974 (as USTR did with China in 2018).</w:t>
      </w:r>
    </w:p>
    <w:p w14:paraId="0F91BAB8" w14:textId="77777777" w:rsidR="00CD5A64" w:rsidRPr="007852BF" w:rsidRDefault="00CD5A64" w:rsidP="00CD5A64">
      <w:pPr>
        <w:rPr>
          <w:sz w:val="16"/>
        </w:rPr>
      </w:pPr>
      <w:r w:rsidRPr="007852BF">
        <w:rPr>
          <w:sz w:val="16"/>
        </w:rPr>
        <w:t xml:space="preserve">• </w:t>
      </w:r>
      <w:r w:rsidRPr="00A75CBA">
        <w:rPr>
          <w:rStyle w:val="Emphasis"/>
          <w:highlight w:val="cyan"/>
        </w:rPr>
        <w:t>Section 337</w:t>
      </w:r>
      <w:r w:rsidRPr="007852BF">
        <w:rPr>
          <w:sz w:val="16"/>
          <w:highlight w:val="cyan"/>
        </w:rPr>
        <w:t xml:space="preserve"> of </w:t>
      </w:r>
      <w:r w:rsidRPr="00A75CBA">
        <w:rPr>
          <w:rStyle w:val="StyleUnderline"/>
          <w:highlight w:val="cyan"/>
        </w:rPr>
        <w:t>the</w:t>
      </w:r>
      <w:r w:rsidRPr="00D353AB">
        <w:rPr>
          <w:rStyle w:val="StyleUnderline"/>
        </w:rPr>
        <w:t xml:space="preserve"> amended </w:t>
      </w:r>
      <w:r w:rsidRPr="00A75CBA">
        <w:rPr>
          <w:rStyle w:val="StyleUnderline"/>
          <w:highlight w:val="cyan"/>
        </w:rPr>
        <w:t>Tariff Act</w:t>
      </w:r>
      <w:r w:rsidRPr="00D353AB">
        <w:rPr>
          <w:rStyle w:val="StyleUnderline"/>
        </w:rPr>
        <w:t xml:space="preserve"> of 1930: Per this law, </w:t>
      </w:r>
      <w:r w:rsidRPr="00A75CBA">
        <w:rPr>
          <w:rStyle w:val="StyleUnderline"/>
          <w:highlight w:val="cyan"/>
        </w:rPr>
        <w:t>the</w:t>
      </w:r>
      <w:r w:rsidRPr="00D353AB">
        <w:rPr>
          <w:rStyle w:val="StyleUnderline"/>
        </w:rPr>
        <w:t xml:space="preserve"> U.S. International Trade Commission (</w:t>
      </w:r>
      <w:r w:rsidRPr="00A75CBA">
        <w:rPr>
          <w:rStyle w:val="Emphasis"/>
          <w:highlight w:val="cyan"/>
        </w:rPr>
        <w:t>ITC</w:t>
      </w:r>
      <w:r w:rsidRPr="00D353AB">
        <w:rPr>
          <w:rStyle w:val="StyleUnderline"/>
        </w:rPr>
        <w:t>)</w:t>
      </w:r>
      <w:r w:rsidRPr="007852BF">
        <w:rPr>
          <w:sz w:val="16"/>
        </w:rPr>
        <w:t xml:space="preserve"> </w:t>
      </w:r>
      <w:r w:rsidRPr="00A75CBA">
        <w:rPr>
          <w:rStyle w:val="StyleUnderline"/>
          <w:highlight w:val="cyan"/>
        </w:rPr>
        <w:t>may</w:t>
      </w:r>
      <w:r w:rsidRPr="007852BF">
        <w:rPr>
          <w:sz w:val="16"/>
          <w:highlight w:val="cyan"/>
        </w:rPr>
        <w:t xml:space="preserve"> </w:t>
      </w:r>
      <w:r w:rsidRPr="00A75CBA">
        <w:rPr>
          <w:rStyle w:val="Emphasis"/>
          <w:highlight w:val="cyan"/>
        </w:rPr>
        <w:t>ban U.S. imports</w:t>
      </w:r>
      <w:r w:rsidRPr="00A75CBA">
        <w:rPr>
          <w:rStyle w:val="StyleUnderline"/>
          <w:highlight w:val="cyan"/>
        </w:rPr>
        <w:t xml:space="preserve"> that</w:t>
      </w:r>
      <w:r w:rsidRPr="00D353AB">
        <w:rPr>
          <w:rStyle w:val="StyleUnderline"/>
        </w:rPr>
        <w:t xml:space="preserve"> </w:t>
      </w:r>
      <w:r w:rsidRPr="00A75CBA">
        <w:rPr>
          <w:rStyle w:val="Emphasis"/>
          <w:highlight w:val="cyan"/>
        </w:rPr>
        <w:t>infringe on U.S. IPR</w:t>
      </w:r>
      <w:r w:rsidRPr="00A75CBA">
        <w:rPr>
          <w:rStyle w:val="StyleUnderline"/>
          <w:highlight w:val="cyan"/>
        </w:rPr>
        <w:t>.</w:t>
      </w:r>
      <w:r w:rsidRPr="007852BF">
        <w:rPr>
          <w:sz w:val="16"/>
        </w:rPr>
        <w:t xml:space="preserve"> </w:t>
      </w:r>
      <w:r w:rsidRPr="00D353AB">
        <w:rPr>
          <w:rStyle w:val="StyleUnderline"/>
        </w:rPr>
        <w:t xml:space="preserve">If the </w:t>
      </w:r>
      <w:r w:rsidRPr="00A75CBA">
        <w:rPr>
          <w:rStyle w:val="Emphasis"/>
        </w:rPr>
        <w:t>ITC</w:t>
      </w:r>
      <w:r w:rsidRPr="00D353AB">
        <w:rPr>
          <w:rStyle w:val="StyleUnderline"/>
        </w:rPr>
        <w:t xml:space="preserve"> finds a </w:t>
      </w:r>
      <w:r w:rsidRPr="00A75CBA">
        <w:rPr>
          <w:rStyle w:val="Emphasis"/>
        </w:rPr>
        <w:t>violation</w:t>
      </w:r>
      <w:r w:rsidRPr="00D353AB">
        <w:rPr>
          <w:rStyle w:val="StyleUnderline"/>
        </w:rPr>
        <w:t xml:space="preserve">, it may issue an </w:t>
      </w:r>
      <w:r w:rsidRPr="00A75CBA">
        <w:rPr>
          <w:rStyle w:val="Emphasis"/>
        </w:rPr>
        <w:t>exclusion order</w:t>
      </w:r>
      <w:r w:rsidRPr="00D353AB">
        <w:rPr>
          <w:rStyle w:val="StyleUnderline"/>
        </w:rPr>
        <w:t xml:space="preserve"> or cease and</w:t>
      </w:r>
      <w:r w:rsidRPr="007852BF">
        <w:rPr>
          <w:sz w:val="16"/>
        </w:rPr>
        <w:t xml:space="preserve"> </w:t>
      </w:r>
      <w:r w:rsidRPr="00D353AB">
        <w:rPr>
          <w:rStyle w:val="StyleUnderline"/>
        </w:rPr>
        <w:t>desist order.</w:t>
      </w:r>
      <w:r w:rsidRPr="007852BF">
        <w:rPr>
          <w:sz w:val="16"/>
        </w:rPr>
        <w:t xml:space="preserve"> Section 337 cases have been largely patent-focused, though the number of trade secrets-related cases have been growing.</w:t>
      </w:r>
    </w:p>
    <w:p w14:paraId="64B4DA1E" w14:textId="77777777" w:rsidR="00CD5A64" w:rsidRPr="002C5F21" w:rsidRDefault="00CD5A64" w:rsidP="00CD5A64">
      <w:pPr>
        <w:rPr>
          <w:sz w:val="12"/>
        </w:rPr>
      </w:pPr>
      <w:r w:rsidRPr="002C5F21">
        <w:rPr>
          <w:sz w:val="12"/>
        </w:rPr>
        <w:t>• Seizures: CBP enforces IPR at U.S. borders by seizing goods that infringe on U.S. copyrights and trademarks, and enforcing Section 337 exclusion orders.</w:t>
      </w:r>
    </w:p>
    <w:p w14:paraId="0920905C" w14:textId="77777777" w:rsidR="00CD5A64" w:rsidRPr="002C5F21" w:rsidRDefault="00CD5A64" w:rsidP="00CD5A64">
      <w:pPr>
        <w:rPr>
          <w:sz w:val="12"/>
        </w:rPr>
      </w:pPr>
      <w:r w:rsidRPr="002C5F21">
        <w:rPr>
          <w:sz w:val="12"/>
        </w:rPr>
        <w:t>• U.S. Generalized System of Preferences (GSP): Under this program, the President considers a developing country’s IPR policies and practices when extending duty-free benefits on U.S. imports from such country. A bill to renew GSP, which expired at the end of 2020, is pending in the 118th Congress.</w:t>
      </w:r>
    </w:p>
    <w:p w14:paraId="414EDCA2" w14:textId="77777777" w:rsidR="00CD5A64" w:rsidRPr="002C5F21" w:rsidRDefault="00CD5A64" w:rsidP="00CD5A64">
      <w:pPr>
        <w:rPr>
          <w:sz w:val="12"/>
        </w:rPr>
      </w:pPr>
      <w:r w:rsidRPr="002C5F21">
        <w:rPr>
          <w:sz w:val="12"/>
        </w:rPr>
        <w:t>Issues for Congress</w:t>
      </w:r>
    </w:p>
    <w:p w14:paraId="09730A12" w14:textId="77777777" w:rsidR="00CD5A64" w:rsidRPr="002C5F21" w:rsidRDefault="00CD5A64" w:rsidP="00CD5A64">
      <w:pPr>
        <w:rPr>
          <w:sz w:val="12"/>
        </w:rPr>
      </w:pPr>
      <w:r w:rsidRPr="002C5F21">
        <w:rPr>
          <w:sz w:val="12"/>
        </w:rPr>
        <w:t>Trade Policy Priorities. Congress may use potential TPA renewal to reaffirm or modify U.S. trade negotiating objectives on IPR. U.S. trade policy generally has promoted IPR expansion, but some stakeholders have debated this approach. USMCA sparked debate on the role of patents and data exclusivity in incentivizing innovation and supporting access to medicines, a debate renewed by the COVID-19 pandemic. The growth of digital trade also poses issues for online intermediary liability, cross-border data flows, data protection, and cyber theft of trade secrets.</w:t>
      </w:r>
    </w:p>
    <w:p w14:paraId="1D561880" w14:textId="77777777" w:rsidR="00CD5A64" w:rsidRPr="002C5F21" w:rsidRDefault="00CD5A64" w:rsidP="00CD5A64">
      <w:pPr>
        <w:rPr>
          <w:sz w:val="12"/>
        </w:rPr>
      </w:pPr>
      <w:r w:rsidRPr="002C5F21">
        <w:rPr>
          <w:sz w:val="12"/>
        </w:rPr>
        <w:t>Remedies for U.S. IP Holders. Congress may evaluate the timeliness of longstanding U.S. IPR trade remedies. The ITC takes an average of 18 months to reach a final determination in Section 337 investigations. CBP may face particular challenges assessing risk, given high volumes of low-value shipments, which constitute a large share of IPR seizures. Tracking IPR infringement in e-commerce shipments and supply chains poses further challenges.</w:t>
      </w:r>
    </w:p>
    <w:p w14:paraId="0AF6B6AD" w14:textId="77777777" w:rsidR="00CD5A64" w:rsidRPr="002C5F21" w:rsidRDefault="00CD5A64" w:rsidP="00CD5A64">
      <w:pPr>
        <w:rPr>
          <w:sz w:val="12"/>
        </w:rPr>
      </w:pPr>
      <w:r w:rsidRPr="002C5F21">
        <w:rPr>
          <w:sz w:val="12"/>
        </w:rPr>
        <w:t>Congress also may monitor the implementation of new IPR remedies (e.g., P.L. 117-336, which authorizes sanctions for theft of U.S. trade secrets by certain foreign actors).</w:t>
      </w:r>
    </w:p>
    <w:p w14:paraId="35CACBF6" w14:textId="77777777" w:rsidR="00CD5A64" w:rsidRPr="002C5F21" w:rsidRDefault="00CD5A64" w:rsidP="00CD5A64">
      <w:pPr>
        <w:rPr>
          <w:sz w:val="12"/>
        </w:rPr>
      </w:pPr>
      <w:r w:rsidRPr="002C5F21">
        <w:rPr>
          <w:sz w:val="12"/>
        </w:rPr>
        <w:t>Trading Partners’ IPR Commitments. Congress may consider which measures may be most effective in strengthening global IPR protections. Options include to enhance U.S. trade monitoring and enforcement of trading partners’ IPR obligations; direct the Administration to pursue new FTA negotiations that prioritize IPR issues; and expand the scope of ongoing executive trade initiatives to include IPR. Congress also may examine whether to change existing U.S. trade tools to advance IPR to increase their effectiveness or balance with other public policy objectives.</w:t>
      </w:r>
    </w:p>
    <w:p w14:paraId="3FFF704A" w14:textId="77777777" w:rsidR="00CD5A64" w:rsidRPr="007852BF" w:rsidRDefault="00CD5A64" w:rsidP="00CD5A64">
      <w:pPr>
        <w:rPr>
          <w:sz w:val="16"/>
        </w:rPr>
      </w:pPr>
      <w:r w:rsidRPr="002C5F21">
        <w:rPr>
          <w:highlight w:val="cyan"/>
          <w:u w:val="single"/>
        </w:rPr>
        <w:t>Multilateral Issues</w:t>
      </w:r>
      <w:r w:rsidRPr="002C5F21">
        <w:rPr>
          <w:u w:val="single"/>
        </w:rPr>
        <w:t>.</w:t>
      </w:r>
      <w:r w:rsidRPr="007852BF">
        <w:rPr>
          <w:sz w:val="16"/>
        </w:rPr>
        <w:t xml:space="preserve"> </w:t>
      </w:r>
      <w:r w:rsidRPr="00D353AB">
        <w:rPr>
          <w:rStyle w:val="StyleUnderline"/>
        </w:rPr>
        <w:t xml:space="preserve">Congress may continue to oversee and shape U.S. multilateral engagement on </w:t>
      </w:r>
      <w:r w:rsidRPr="002C5F21">
        <w:rPr>
          <w:rStyle w:val="StyleUnderline"/>
        </w:rPr>
        <w:t xml:space="preserve">IPR. A key issue may be the </w:t>
      </w:r>
      <w:r w:rsidRPr="002C5F21">
        <w:rPr>
          <w:rStyle w:val="Emphasis"/>
        </w:rPr>
        <w:t>TRIPS COVID-19 waiver;</w:t>
      </w:r>
      <w:r w:rsidRPr="002C5F21">
        <w:rPr>
          <w:sz w:val="16"/>
        </w:rPr>
        <w:t xml:space="preserve"> questions remain over the effectiveness of this approach to promote global COVID-19 treatments access; </w:t>
      </w:r>
      <w:r w:rsidRPr="002C5F21">
        <w:rPr>
          <w:rStyle w:val="StyleUnderline"/>
        </w:rPr>
        <w:t>its implications for U.S. technological competitiveness</w:t>
      </w:r>
      <w:r w:rsidRPr="002C5F21">
        <w:rPr>
          <w:sz w:val="16"/>
        </w:rPr>
        <w:t xml:space="preserve"> (e.g., vis-à-vis China); and </w:t>
      </w:r>
      <w:r w:rsidRPr="002C5F21">
        <w:rPr>
          <w:rStyle w:val="StyleUnderline"/>
        </w:rPr>
        <w:t xml:space="preserve">the role of Congress in changing </w:t>
      </w:r>
      <w:r w:rsidRPr="002C5F21">
        <w:rPr>
          <w:rStyle w:val="Emphasis"/>
        </w:rPr>
        <w:t>U.S. obligations</w:t>
      </w:r>
      <w:r w:rsidRPr="002C5F21">
        <w:rPr>
          <w:rStyle w:val="StyleUnderline"/>
        </w:rPr>
        <w:t xml:space="preserve"> </w:t>
      </w:r>
      <w:r w:rsidRPr="002C5F21">
        <w:rPr>
          <w:rStyle w:val="StyleUnderline"/>
          <w:highlight w:val="cyan"/>
        </w:rPr>
        <w:t xml:space="preserve">under </w:t>
      </w:r>
      <w:r w:rsidRPr="002C5F21">
        <w:rPr>
          <w:rStyle w:val="Emphasis"/>
          <w:highlight w:val="cyan"/>
        </w:rPr>
        <w:t>international IPR rules</w:t>
      </w:r>
      <w:r w:rsidRPr="00D353AB">
        <w:rPr>
          <w:rStyle w:val="StyleUnderline"/>
        </w:rPr>
        <w:t>.</w:t>
      </w:r>
      <w:r w:rsidRPr="007852BF">
        <w:rPr>
          <w:sz w:val="16"/>
        </w:rPr>
        <w:t xml:space="preserve"> See CRS Report RL34292, Intellectual Property Rights </w:t>
      </w:r>
      <w:r w:rsidRPr="002C5F21">
        <w:rPr>
          <w:highlight w:val="cyan"/>
          <w:u w:val="single"/>
        </w:rPr>
        <w:t>and International Trade.</w:t>
      </w:r>
    </w:p>
    <w:p w14:paraId="45838B24" w14:textId="77777777" w:rsidR="00CD5A64" w:rsidRPr="007B6F01" w:rsidRDefault="00CD5A64" w:rsidP="00CD5A64">
      <w:pPr>
        <w:pStyle w:val="Heading4"/>
      </w:pPr>
      <w:r>
        <w:t>ITC and district courts roles are explicitly different</w:t>
      </w:r>
    </w:p>
    <w:p w14:paraId="627DD01F" w14:textId="77777777" w:rsidR="00CD5A64" w:rsidRDefault="00CD5A64" w:rsidP="00CD5A64">
      <w:r>
        <w:rPr>
          <w:rStyle w:val="Style13ptBold"/>
        </w:rPr>
        <w:t>Richards ’20</w:t>
      </w:r>
      <w:r>
        <w:t xml:space="preserve"> [Kevin; September 16; Associate Solicitor at U.S. Patent and Trademark Office; Congressional Research Service, “Patent Law: A Handbook for Congress,” Report R46525]</w:t>
      </w:r>
    </w:p>
    <w:p w14:paraId="0FA6329F" w14:textId="77777777" w:rsidR="00CD5A64" w:rsidRDefault="00CD5A64" w:rsidP="00CD5A64">
      <w:pPr>
        <w:rPr>
          <w:sz w:val="16"/>
        </w:rPr>
      </w:pPr>
      <w:r>
        <w:rPr>
          <w:sz w:val="16"/>
        </w:rPr>
        <w:t>Enforcing a Patent</w:t>
      </w:r>
    </w:p>
    <w:p w14:paraId="47D6BB43" w14:textId="17E70507" w:rsidR="00CD5A64" w:rsidRPr="00CD5A64" w:rsidRDefault="00CD5A64" w:rsidP="008F709D">
      <w:pPr>
        <w:rPr>
          <w:sz w:val="16"/>
        </w:rPr>
      </w:pPr>
      <w:r w:rsidRPr="002C5F21">
        <w:rPr>
          <w:rStyle w:val="StyleUnderline"/>
          <w:highlight w:val="cyan"/>
        </w:rPr>
        <w:t xml:space="preserve">Patent owners can enforce their patents in </w:t>
      </w:r>
      <w:r w:rsidRPr="002C5F21">
        <w:rPr>
          <w:rStyle w:val="Emphasis"/>
          <w:highlight w:val="cyan"/>
        </w:rPr>
        <w:t xml:space="preserve">two </w:t>
      </w:r>
      <w:r>
        <w:rPr>
          <w:rStyle w:val="Emphasis"/>
        </w:rPr>
        <w:t xml:space="preserve">main </w:t>
      </w:r>
      <w:r w:rsidRPr="002C5F21">
        <w:rPr>
          <w:rStyle w:val="Emphasis"/>
          <w:highlight w:val="cyan"/>
        </w:rPr>
        <w:t>ways</w:t>
      </w:r>
      <w:r>
        <w:rPr>
          <w:sz w:val="16"/>
        </w:rPr>
        <w:t xml:space="preserve">. First, </w:t>
      </w:r>
      <w:r>
        <w:rPr>
          <w:rStyle w:val="StyleUnderline"/>
        </w:rPr>
        <w:t xml:space="preserve">the patent owner may file a </w:t>
      </w:r>
      <w:r w:rsidRPr="002C5F21">
        <w:rPr>
          <w:rStyle w:val="StyleUnderline"/>
          <w:highlight w:val="cyan"/>
        </w:rPr>
        <w:t xml:space="preserve">civil action in </w:t>
      </w:r>
      <w:r>
        <w:rPr>
          <w:rStyle w:val="StyleUnderline"/>
        </w:rPr>
        <w:t>a federal</w:t>
      </w:r>
      <w:r>
        <w:rPr>
          <w:sz w:val="16"/>
        </w:rPr>
        <w:t xml:space="preserve"> </w:t>
      </w:r>
      <w:r w:rsidRPr="002C5F21">
        <w:rPr>
          <w:rStyle w:val="StyleUnderline"/>
          <w:highlight w:val="cyan"/>
        </w:rPr>
        <w:t xml:space="preserve">district court </w:t>
      </w:r>
      <w:r>
        <w:rPr>
          <w:rStyle w:val="StyleUnderline"/>
        </w:rPr>
        <w:t xml:space="preserve">alleging direct </w:t>
      </w:r>
      <w:r w:rsidRPr="002C5F21">
        <w:rPr>
          <w:rStyle w:val="StyleUnderline"/>
          <w:highlight w:val="cyan"/>
        </w:rPr>
        <w:t xml:space="preserve">or </w:t>
      </w:r>
      <w:r>
        <w:rPr>
          <w:rStyle w:val="StyleUnderline"/>
        </w:rPr>
        <w:t>indirect patent infringement</w:t>
      </w:r>
      <w:r>
        <w:rPr>
          <w:sz w:val="16"/>
        </w:rPr>
        <w:t xml:space="preserve">.155 </w:t>
      </w:r>
      <w:r>
        <w:rPr>
          <w:rStyle w:val="StyleUnderline"/>
        </w:rPr>
        <w:t>Second, if the patent owner believes that another</w:t>
      </w:r>
      <w:r>
        <w:rPr>
          <w:sz w:val="16"/>
        </w:rPr>
        <w:t xml:space="preserve"> party </w:t>
      </w:r>
      <w:r>
        <w:rPr>
          <w:rStyle w:val="StyleUnderline"/>
        </w:rPr>
        <w:t xml:space="preserve">is </w:t>
      </w:r>
      <w:r w:rsidRPr="002C5F21">
        <w:rPr>
          <w:rStyle w:val="StyleUnderline"/>
          <w:highlight w:val="cyan"/>
        </w:rPr>
        <w:t xml:space="preserve">importing articles that infringe </w:t>
      </w:r>
      <w:r>
        <w:rPr>
          <w:rStyle w:val="StyleUnderline"/>
        </w:rPr>
        <w:t xml:space="preserve">its </w:t>
      </w:r>
      <w:r w:rsidRPr="002C5F21">
        <w:rPr>
          <w:rStyle w:val="StyleUnderline"/>
          <w:highlight w:val="cyan"/>
        </w:rPr>
        <w:t>patent</w:t>
      </w:r>
      <w:r>
        <w:rPr>
          <w:rStyle w:val="StyleUnderline"/>
        </w:rPr>
        <w:t xml:space="preserve">, it </w:t>
      </w:r>
      <w:r w:rsidRPr="002C5F21">
        <w:rPr>
          <w:rStyle w:val="StyleUnderline"/>
          <w:highlight w:val="cyan"/>
        </w:rPr>
        <w:t xml:space="preserve">may file a complaint in the </w:t>
      </w:r>
      <w:r w:rsidRPr="002C5F21">
        <w:rPr>
          <w:rStyle w:val="Emphasis"/>
          <w:highlight w:val="cyan"/>
        </w:rPr>
        <w:t>I</w:t>
      </w:r>
      <w:r>
        <w:rPr>
          <w:rStyle w:val="Emphasis"/>
        </w:rPr>
        <w:t xml:space="preserve">nternational </w:t>
      </w:r>
      <w:r w:rsidRPr="002C5F21">
        <w:rPr>
          <w:rStyle w:val="Emphasis"/>
          <w:highlight w:val="cyan"/>
        </w:rPr>
        <w:t>T</w:t>
      </w:r>
      <w:r>
        <w:rPr>
          <w:rStyle w:val="Emphasis"/>
        </w:rPr>
        <w:t xml:space="preserve">rade </w:t>
      </w:r>
      <w:r w:rsidRPr="002C5F21">
        <w:rPr>
          <w:rStyle w:val="Emphasis"/>
          <w:highlight w:val="cyan"/>
        </w:rPr>
        <w:t>C</w:t>
      </w:r>
      <w:r>
        <w:rPr>
          <w:rStyle w:val="Emphasis"/>
        </w:rPr>
        <w:t>ommission</w:t>
      </w:r>
      <w:r>
        <w:rPr>
          <w:sz w:val="16"/>
        </w:rPr>
        <w:t>.156</w:t>
      </w:r>
    </w:p>
    <w:p w14:paraId="2B4704EF" w14:textId="43B050DB" w:rsidR="005D2DD9" w:rsidRDefault="005D2DD9" w:rsidP="005D2DD9">
      <w:pPr>
        <w:pStyle w:val="Heading3"/>
      </w:pPr>
      <w:r>
        <w:t>Perm---AT: Do Both---2NC</w:t>
      </w:r>
    </w:p>
    <w:p w14:paraId="3B4D9023" w14:textId="299F6E53" w:rsidR="00D1496E" w:rsidRDefault="00D1496E" w:rsidP="00D1496E">
      <w:pPr>
        <w:pStyle w:val="Heading4"/>
      </w:pPr>
      <w:r>
        <w:t>OVERLAP kills any functional benefit to doing both.</w:t>
      </w:r>
    </w:p>
    <w:p w14:paraId="274E53F3" w14:textId="739043C1" w:rsidR="00D1496E" w:rsidRPr="00D1496E" w:rsidRDefault="00D1496E" w:rsidP="00D1496E">
      <w:pPr>
        <w:rPr>
          <w:i/>
          <w:iCs/>
        </w:rPr>
      </w:pPr>
      <w:r>
        <w:t xml:space="preserve">Lachlan </w:t>
      </w:r>
      <w:r w:rsidRPr="00D1496E">
        <w:rPr>
          <w:b/>
          <w:bCs/>
          <w:sz w:val="26"/>
          <w:szCs w:val="26"/>
        </w:rPr>
        <w:t xml:space="preserve">Robb et al </w:t>
      </w:r>
      <w:r>
        <w:t>20</w:t>
      </w:r>
      <w:r w:rsidRPr="00D1496E">
        <w:rPr>
          <w:b/>
          <w:bCs/>
          <w:sz w:val="26"/>
          <w:szCs w:val="26"/>
        </w:rPr>
        <w:t>22</w:t>
      </w:r>
      <w:r>
        <w:t xml:space="preserve">. Lachlan Robb, Trent Candy, and Felicity Deane are all parts of the </w:t>
      </w:r>
      <w:r w:rsidRPr="00D1496E">
        <w:t>Faculty of Business and Law, School of Law, Queensland University of Technology, Gardens Point Campus, Brisbane, Queensland, Australia</w:t>
      </w:r>
      <w:r>
        <w:t xml:space="preserve">. </w:t>
      </w:r>
      <w:r w:rsidRPr="00D1496E">
        <w:t>Regulation &amp; Governance</w:t>
      </w:r>
      <w:r>
        <w:t xml:space="preserve">: </w:t>
      </w:r>
      <w:r w:rsidRPr="00D1496E">
        <w:t>Volume 17, Issue 4</w:t>
      </w:r>
      <w:r>
        <w:t xml:space="preserve">. </w:t>
      </w:r>
      <w:r w:rsidRPr="00D1496E">
        <w:rPr>
          <w:i/>
          <w:iCs/>
        </w:rPr>
        <w:t>Regulatory overlap: A systematic quantitative</w:t>
      </w:r>
      <w:r>
        <w:rPr>
          <w:i/>
          <w:iCs/>
        </w:rPr>
        <w:t xml:space="preserve"> </w:t>
      </w:r>
      <w:r w:rsidRPr="00D1496E">
        <w:rPr>
          <w:i/>
          <w:iCs/>
        </w:rPr>
        <w:t>literature review</w:t>
      </w:r>
      <w:r>
        <w:rPr>
          <w:i/>
          <w:iCs/>
        </w:rPr>
        <w:t>. “</w:t>
      </w:r>
      <w:r w:rsidRPr="00D1496E">
        <w:t>https://doi.org/10.1111/rego.12504</w:t>
      </w:r>
      <w:r>
        <w:t xml:space="preserve">” </w:t>
      </w:r>
    </w:p>
    <w:p w14:paraId="707D918F" w14:textId="7B062821" w:rsidR="00D1496E" w:rsidRPr="00F346CD" w:rsidRDefault="00D1496E" w:rsidP="00D1496E">
      <w:pPr>
        <w:rPr>
          <w:rStyle w:val="StyleUnderline"/>
        </w:rPr>
      </w:pPr>
      <w:r>
        <w:t xml:space="preserve">Regulatory failure caused by overlapping regulations is ubiquitous, with examples in all jurisdictions across a range of disciplines. </w:t>
      </w:r>
      <w:r w:rsidRPr="00805BC1">
        <w:rPr>
          <w:rStyle w:val="StyleUnderline"/>
        </w:rPr>
        <w:t>Overlapping regulation can be problematic</w:t>
      </w:r>
      <w:r>
        <w:t xml:space="preserve">. It </w:t>
      </w:r>
      <w:r w:rsidRPr="00805BC1">
        <w:rPr>
          <w:rStyle w:val="StyleUnderline"/>
        </w:rPr>
        <w:t>obscures policy objectives and hinders the development of effective and clear regulation</w:t>
      </w:r>
      <w:r>
        <w:t xml:space="preserve">. In addition, regulatory </w:t>
      </w:r>
      <w:r w:rsidRPr="00805BC1">
        <w:rPr>
          <w:rStyle w:val="StyleUnderline"/>
        </w:rPr>
        <w:t xml:space="preserve">overlap can </w:t>
      </w:r>
      <w:r w:rsidRPr="00805BC1">
        <w:rPr>
          <w:rStyle w:val="Emphasis"/>
        </w:rPr>
        <w:t>inflict real costs on businesses</w:t>
      </w:r>
      <w:r w:rsidRPr="00805BC1">
        <w:rPr>
          <w:rStyle w:val="StyleUnderline"/>
        </w:rPr>
        <w:t xml:space="preserve"> through repetitive inspections and data collection efforts</w:t>
      </w:r>
      <w:r>
        <w:t xml:space="preserve">. It is </w:t>
      </w:r>
      <w:r w:rsidRPr="00F3181E">
        <w:rPr>
          <w:rStyle w:val="StyleUnderline"/>
        </w:rPr>
        <w:t xml:space="preserve">particularly </w:t>
      </w:r>
      <w:r w:rsidRPr="00F3181E">
        <w:rPr>
          <w:rStyle w:val="Emphasis"/>
        </w:rPr>
        <w:t>burdensome when agencies issue conflicting rules</w:t>
      </w:r>
      <w:r w:rsidRPr="00F3181E">
        <w:rPr>
          <w:rStyle w:val="StyleUnderline"/>
        </w:rPr>
        <w:t xml:space="preserve"> with </w:t>
      </w:r>
      <w:r w:rsidRPr="00F3181E">
        <w:rPr>
          <w:rStyle w:val="Emphasis"/>
        </w:rPr>
        <w:t>inconsistent standards</w:t>
      </w:r>
      <w:r>
        <w:t xml:space="preserve">. Recognizing that regulatory overlap exists and is a problem provides the context to this program of research. Our research project was an exploration using a systematic quantitative literature review (SQLR) method to better understand the way regulatory failure, caused by overlapping regulations, has featured in academic literature. The SQLR method was chosen as it employs a systematic process to consolidate a sample of literature, and quantitative measures to draw connections between different academic sources. Ultimately, our </w:t>
      </w:r>
      <w:r w:rsidRPr="00F346CD">
        <w:rPr>
          <w:rStyle w:val="StyleUnderline"/>
        </w:rPr>
        <w:t>research concluded that the literature does not provide clear prescriptive principles for reducing unnecessary regulatory overlap</w:t>
      </w:r>
      <w:r>
        <w:t xml:space="preserve">. This begs a question as to whether more research is needed in this area, or alternatively whether </w:t>
      </w:r>
      <w:r w:rsidRPr="00F346CD">
        <w:rPr>
          <w:rStyle w:val="StyleUnderline"/>
        </w:rPr>
        <w:t>the complexities raised by regulatory overlap are not reducible to general principles.</w:t>
      </w:r>
    </w:p>
    <w:p w14:paraId="1C4613F6" w14:textId="77777777" w:rsidR="00D1496E" w:rsidRDefault="00D1496E" w:rsidP="00D1496E">
      <w:r>
        <w:t>1 Introduction</w:t>
      </w:r>
    </w:p>
    <w:p w14:paraId="759FD3DC" w14:textId="59C73D7D" w:rsidR="00D1496E" w:rsidRDefault="00D1496E" w:rsidP="00D1496E">
      <w:r>
        <w:t xml:space="preserve">Regulation is generally perceived as a measure for achieving desired policy objectives (Pimenova, 2016). However, some commentators suggest that </w:t>
      </w:r>
      <w:r w:rsidRPr="00043EE3">
        <w:rPr>
          <w:rStyle w:val="StyleUnderline"/>
        </w:rPr>
        <w:t>regulation must be well designed</w:t>
      </w:r>
      <w:r>
        <w:t>, with the principles of responsive regulation and other theories as a foundation (Black &amp; Baldwin, 2010; Baldwin &amp; Black, 2007, p. 48; Grabosky, 2013). Theories on regulation have been developed through its own body of literature over the last decades, with scholars dedicating their research interests to the best design of regulation in many contexts. This research has informed law and policy development, although there is little evidence that outcomes have improved as a result. Although there are potentially many areas of interest, this paper focuses on just one aspect of regulatory scholarship, regulatory overlap.</w:t>
      </w:r>
    </w:p>
    <w:p w14:paraId="11D8B765" w14:textId="4B8EDB65" w:rsidR="00D1496E" w:rsidRDefault="00D1496E" w:rsidP="00D1496E">
      <w:r w:rsidRPr="00043EE3">
        <w:rPr>
          <w:rStyle w:val="StyleUnderline"/>
        </w:rPr>
        <w:t>Overlapping regulation can be problematic. It obscures policy objectives and hinders the development of effective and clear regulation</w:t>
      </w:r>
      <w:r>
        <w:t xml:space="preserve">. In addition, regulatory overlap </w:t>
      </w:r>
      <w:r w:rsidRPr="00043EE3">
        <w:rPr>
          <w:rStyle w:val="StyleUnderline"/>
        </w:rPr>
        <w:t>can inflict real costs on businesses through repetitive inspections and data collection efforts</w:t>
      </w:r>
      <w:r>
        <w:t xml:space="preserve">. It can be particularly burdensome when agencies issue conflicting rules with inconsistent standards. Unfortunately, </w:t>
      </w:r>
      <w:r w:rsidRPr="00043EE3">
        <w:rPr>
          <w:rStyle w:val="StyleUnderline"/>
        </w:rPr>
        <w:t>commentators use heterogenous language when evaluating overlapping regulation, which means it is difficult to analyze or even locate relevant literature that addresses regulatory overlap meaningfully</w:t>
      </w:r>
      <w:r>
        <w:t>. This further indicates that it is a band of knowledge without a large number of dedicated scholars. However, this research demonstrates that there is a distinct body of literature that addresses issues of overlapping regulation, but it is not unified in either methodology or terminology. There are some exceptions to this observation, such as engagement with the subsidiarity principle and other aspects of federalism governance (Deem, 2021; Pimenova, 2016; Vogel, 2022).</w:t>
      </w:r>
    </w:p>
    <w:p w14:paraId="22E2FD07" w14:textId="42839C9D" w:rsidR="00D1496E" w:rsidRDefault="00D1496E" w:rsidP="00D1496E">
      <w:r>
        <w:t xml:space="preserve">This research was commissioned by the Commonwealth of Australia, Department of Prime Minister and Cabinet in order to understand the scope of the existing literature. We hypothesized that the literature would be diverse and explore both the practical and theoretical reduction of regulatory overlap where regulatory overlap has been deemed inefficient. Hence, </w:t>
      </w:r>
      <w:r w:rsidRPr="00043EE3">
        <w:rPr>
          <w:rStyle w:val="StyleUnderline"/>
        </w:rPr>
        <w:t>the purpose of this paper is to evaluate a sample of academic scholarship using a systematic quantitative literature review</w:t>
      </w:r>
      <w:r>
        <w:t xml:space="preserve"> (SQLR) method to determine if there is a body of literature that demonstrates principles or solutions for addressing regulatory overlap. The SQLR method was chosen as </w:t>
      </w:r>
      <w:r w:rsidRPr="00043EE3">
        <w:rPr>
          <w:rStyle w:val="StyleUnderline"/>
        </w:rPr>
        <w:t>it employs a systematic process to consolidate a sample of literature, and quantitative measures to draw connections between different academic sources</w:t>
      </w:r>
      <w:r>
        <w:t>. Importantly, the method generally uses statistical results to create a narrative in response to predetermined research questions. This method therefore allows researchers to draw conclusions independently and objectively, which is paramount in any commissioned research project.</w:t>
      </w:r>
    </w:p>
    <w:p w14:paraId="357417A7" w14:textId="4E1C1497" w:rsidR="00D1496E" w:rsidRDefault="00D1496E" w:rsidP="00D1496E">
      <w:r>
        <w:t xml:space="preserve">This </w:t>
      </w:r>
      <w:r w:rsidRPr="00043EE3">
        <w:rPr>
          <w:rStyle w:val="StyleUnderline"/>
        </w:rPr>
        <w:t>research was designed to determine if there were existing academic commentaries that support the development of principles</w:t>
      </w:r>
      <w:r>
        <w:t xml:space="preserve"> for effective governance arrangements and reducing regulatory overlap where problems exist. Ultimately, our research concluded that the </w:t>
      </w:r>
      <w:r w:rsidRPr="00043EE3">
        <w:rPr>
          <w:rStyle w:val="StyleUnderline"/>
        </w:rPr>
        <w:t>literature does not provide clear prescriptive principles for reducing unnecessary regulatory overlap</w:t>
      </w:r>
      <w:r>
        <w:t xml:space="preserve">. This </w:t>
      </w:r>
      <w:r w:rsidRPr="00043EE3">
        <w:rPr>
          <w:rStyle w:val="StyleUnderline"/>
        </w:rPr>
        <w:t>begs a question as to whether more research is needed in this area</w:t>
      </w:r>
      <w:r>
        <w:t xml:space="preserve">, or alternatively </w:t>
      </w:r>
      <w:r w:rsidRPr="00043EE3">
        <w:rPr>
          <w:rStyle w:val="StyleUnderline"/>
        </w:rPr>
        <w:t>whether the complexities raised by regulatory overlap are not reducible to general principles</w:t>
      </w:r>
      <w:r>
        <w:t>. This paper is presented in six sections. In Section 2, we briefly identify the problem of regulatory failure caused by overlapping regulation. In Section 3, we describe the purpose of the research and the rationale for the selection of the SQLR research method. In Section 4, we describe the results in detail alongside data observations. In Section 5, our discussion highlights the heterogeneity within the literature and explains why the lack of uniformity makes it difficult to identify patterns and principles that aim to address regulatory overlap. In Section 6, we conclude. Ultimately, our SQLR did not find clear principles in the literature for reducing unnecessary regulatory overlap, instead a method for addressing the overlap emerged through the results.</w:t>
      </w:r>
    </w:p>
    <w:p w14:paraId="41BC39DC" w14:textId="77777777" w:rsidR="00D1496E" w:rsidRDefault="00D1496E" w:rsidP="00D1496E">
      <w:r>
        <w:t>2 The problem</w:t>
      </w:r>
    </w:p>
    <w:p w14:paraId="6D047EBE" w14:textId="77777777" w:rsidR="00D1496E" w:rsidRDefault="00D1496E" w:rsidP="00D1496E">
      <w:r w:rsidRPr="00043EE3">
        <w:rPr>
          <w:rStyle w:val="StyleUnderline"/>
        </w:rPr>
        <w:t>Regulatory failure can result from any number of causes. Failure is generally identified when</w:t>
      </w:r>
      <w:r>
        <w:t xml:space="preserve"> regulation does not achieve its purpose, or </w:t>
      </w:r>
      <w:r w:rsidRPr="00043EE3">
        <w:rPr>
          <w:rStyle w:val="StyleUnderline"/>
        </w:rPr>
        <w:t>when the costs of regulation are greater than its benefits</w:t>
      </w:r>
      <w:r>
        <w:t xml:space="preserve"> (Aldridge, 2022; Wolf, 1979). </w:t>
      </w:r>
      <w:r w:rsidRPr="00152435">
        <w:rPr>
          <w:rStyle w:val="StyleUnderline"/>
        </w:rPr>
        <w:t>Poor designs, unpopular rules, and power imbalances between regulated entities and regulators can impose costs and externalities that outweigh any gains achieved</w:t>
      </w:r>
      <w:r>
        <w:t xml:space="preserve">. Regulatory </w:t>
      </w:r>
      <w:r w:rsidRPr="00152435">
        <w:rPr>
          <w:rStyle w:val="StyleUnderline"/>
        </w:rPr>
        <w:t>failure caused by overlapping regulations is ubiquitous</w:t>
      </w:r>
      <w:r>
        <w:t>, with examples in all jurisdictions across a range of disciplines. Identifying that regulatory overlap can lead to failure means it has been identified as problematic. Indeed, some literature suggests that overlap can obscure policy objectives and hinder the development of effective and clear regulation. In addition, observations indicate that regulatory overlap can inflict real costs on businesses through repetitive inspections and data collection efforts. As Staples et al. identify:</w:t>
      </w:r>
    </w:p>
    <w:p w14:paraId="08EF10C2" w14:textId="1E2B2E4F" w:rsidR="00D1496E" w:rsidRDefault="00D1496E" w:rsidP="00D1496E">
      <w:r>
        <w:t xml:space="preserve">… </w:t>
      </w:r>
      <w:r w:rsidRPr="00A07C3F">
        <w:rPr>
          <w:rStyle w:val="StyleUnderline"/>
        </w:rPr>
        <w:t>jurisdictional overlap is especially important in nascent industries and in small businesses where entrepreneurs must spend significant cognitive capacity on understanding regulations rather than growing their firms.</w:t>
      </w:r>
      <w:r>
        <w:t xml:space="preserve"> (Staples et al., 2022)</w:t>
      </w:r>
    </w:p>
    <w:p w14:paraId="2EC74BD5" w14:textId="1685EA88" w:rsidR="00D1496E" w:rsidRPr="00D1496E" w:rsidRDefault="00D1496E" w:rsidP="00D1496E">
      <w:r>
        <w:t xml:space="preserve">Despite this, at times overlap (incorporating inconsistency and duplication of regulatory requirements) has been deemed to be deliberate and provide benefits, but often it is unintentional. Scholars argue that regulators are most commonly subject matter experts, sometimes lacking an understanding of the broader legal landscape that rules are enacted within (Dudley &amp; Xie, 2022, p. 261). The literature suggests that </w:t>
      </w:r>
      <w:r w:rsidRPr="00C65E79">
        <w:rPr>
          <w:rStyle w:val="StyleUnderline"/>
        </w:rPr>
        <w:t>development in subject matter silos could in part be the cause of some overlap</w:t>
      </w:r>
      <w:r>
        <w:t xml:space="preserve">, leading to inefficient rules. </w:t>
      </w:r>
      <w:r w:rsidRPr="00C65E79">
        <w:rPr>
          <w:rStyle w:val="StyleUnderline"/>
        </w:rPr>
        <w:t>Recognizing that regulatory overlap exists and can be a problem provides the context to this program of research.</w:t>
      </w:r>
      <w:r>
        <w:t xml:space="preserve"> Our research project was an exploration to better understand the way commentators have responded to overlapping regulations in academic literature. The predominant purpose was to discover </w:t>
      </w:r>
      <w:r w:rsidRPr="00621C1A">
        <w:rPr>
          <w:rStyle w:val="StyleUnderline"/>
        </w:rPr>
        <w:t>whether the literature identified any commonly accepted principles or solutions that may assist policy makers and academics to evaluate (and where necessary correct) overlap, when it causes a form of regulatory failure</w:t>
      </w:r>
      <w:r w:rsidR="003E1AA4">
        <w:rPr>
          <w:rStyle w:val="StyleUnderline"/>
        </w:rPr>
        <w:t>.</w:t>
      </w:r>
    </w:p>
    <w:p w14:paraId="421D937E" w14:textId="5E1AC596" w:rsidR="00EC2BC2" w:rsidRPr="00EC2BC2" w:rsidRDefault="00EC2BC2" w:rsidP="00EC2BC2">
      <w:pPr>
        <w:pStyle w:val="Heading3"/>
      </w:pPr>
      <w:r>
        <w:t>Perm---</w:t>
      </w:r>
      <w:r w:rsidR="00EC3134">
        <w:t xml:space="preserve">AT: </w:t>
      </w:r>
      <w:r>
        <w:t>Do CP---2NC</w:t>
      </w:r>
    </w:p>
    <w:p w14:paraId="558C41DD" w14:textId="77777777" w:rsidR="00EC2BC2" w:rsidRDefault="00EC2BC2" w:rsidP="00EC2BC2">
      <w:pPr>
        <w:pStyle w:val="Heading4"/>
        <w:rPr>
          <w:u w:val="single"/>
        </w:rPr>
      </w:pPr>
      <w:r>
        <w:t xml:space="preserve">The ITC is an </w:t>
      </w:r>
      <w:r>
        <w:rPr>
          <w:u w:val="single"/>
        </w:rPr>
        <w:t>independent agency.</w:t>
      </w:r>
    </w:p>
    <w:p w14:paraId="00C79461" w14:textId="24C5A69B" w:rsidR="00EC2BC2" w:rsidRPr="00F53467" w:rsidRDefault="00EC2BC2" w:rsidP="00EC2BC2">
      <w:pPr>
        <w:rPr>
          <w:i/>
          <w:iCs/>
        </w:rPr>
      </w:pPr>
      <w:r w:rsidRPr="00C06981">
        <w:rPr>
          <w:b/>
          <w:bCs/>
          <w:sz w:val="26"/>
          <w:szCs w:val="26"/>
        </w:rPr>
        <w:t>Federal Register ND</w:t>
      </w:r>
      <w:r>
        <w:t xml:space="preserve">, The US Federal Register is the daily journal of the United States Federal Government. Federal Register, </w:t>
      </w:r>
      <w:r>
        <w:rPr>
          <w:i/>
          <w:iCs/>
        </w:rPr>
        <w:t xml:space="preserve">International Trade Commission. </w:t>
      </w:r>
      <w:r w:rsidRPr="00F53467">
        <w:t>https://www.federalregister.gov/agencies/international-trade-commission#:~:text=The%20United%20States%20International%20Trade,Act%20of%201974%20(19%20U.S.C.</w:t>
      </w:r>
      <w:r>
        <w:t xml:space="preserve"> </w:t>
      </w:r>
    </w:p>
    <w:p w14:paraId="0393FF98" w14:textId="77777777" w:rsidR="00EC2BC2" w:rsidRDefault="00EC2BC2" w:rsidP="00EC2BC2">
      <w:r>
        <w:t>The United States International Trade Commission is an independent agency created by the Revenue Act (39 Stat. 795) and originally named the United States Tariff Commission. The name was changed to the United States International Trade Commission by section 171 of the Trade Act of 1974 (19 U.S.C. 2231).</w:t>
      </w:r>
    </w:p>
    <w:p w14:paraId="5FC12017" w14:textId="77777777" w:rsidR="00EC2BC2" w:rsidRDefault="00EC2BC2" w:rsidP="00EC2BC2">
      <w:r>
        <w:t>Six Commissioners are appointed by the President with the advice and consent of the Senate for 9-year terms, unless appointed to fill an unexpired term. The Chairman and Vice Chairman are designated by the President for 2-year terms, and succeeding Chairmen may not be of the same political party. The Chairman generally is responsible for the administration of the Commission. Not more than three Commissioners may be members of the same political party (19 U.S.C. 1330).</w:t>
      </w:r>
    </w:p>
    <w:p w14:paraId="0EF90EB4" w14:textId="77777777" w:rsidR="00EC2BC2" w:rsidRDefault="00EC2BC2" w:rsidP="00EC2BC2">
      <w:r>
        <w:t>The United States International Trade Commission furnishes studies, reports, and recommendations involving international trade and tariffs to the President, the U.S. Trade Representative, and congressional committees. The Commission also conducts a variety of investigations pertaining to international trade relief.</w:t>
      </w:r>
    </w:p>
    <w:p w14:paraId="03B5C053" w14:textId="2A62471C" w:rsidR="00EC2BC2" w:rsidRDefault="00EC2BC2" w:rsidP="00EC2BC2">
      <w:pPr>
        <w:pStyle w:val="Heading4"/>
      </w:pPr>
      <w:r>
        <w:t>The CP is not the plan---it is international.</w:t>
      </w:r>
    </w:p>
    <w:p w14:paraId="6E9FD4B7" w14:textId="2B422D03" w:rsidR="00EC2BC2" w:rsidRPr="00731ED6" w:rsidRDefault="00EC2BC2" w:rsidP="00EC2BC2">
      <w:pPr>
        <w:rPr>
          <w:rFonts w:eastAsiaTheme="majorEastAsia" w:cstheme="majorBidi"/>
          <w:b/>
          <w:iCs/>
          <w:sz w:val="26"/>
        </w:rPr>
      </w:pPr>
      <w:r w:rsidRPr="00D7237E">
        <w:rPr>
          <w:b/>
          <w:bCs/>
          <w:sz w:val="26"/>
          <w:szCs w:val="26"/>
        </w:rPr>
        <w:t>USITC ND</w:t>
      </w:r>
      <w:r>
        <w:t xml:space="preserve">. The USITC is an independent, nonpartisan, quasi–judicial federal agency which fulfills a range of trade related mandates. USITC, </w:t>
      </w:r>
      <w:r>
        <w:rPr>
          <w:i/>
          <w:iCs/>
        </w:rPr>
        <w:t xml:space="preserve">About the USITC. </w:t>
      </w:r>
      <w:r w:rsidRPr="009A412B">
        <w:t>https://www.usitc.gov/press_room/about_usitc.htm.</w:t>
      </w:r>
      <w:r>
        <w:t xml:space="preserve"> </w:t>
      </w:r>
    </w:p>
    <w:p w14:paraId="04B062E6" w14:textId="77777777" w:rsidR="00EC2BC2" w:rsidRPr="00F2442C" w:rsidRDefault="00EC2BC2" w:rsidP="00EC2BC2">
      <w:pPr>
        <w:rPr>
          <w:rStyle w:val="StyleUnderline"/>
        </w:rPr>
      </w:pPr>
      <w:r>
        <w:t>The U.S. International Trade Commission (</w:t>
      </w:r>
      <w:r w:rsidRPr="00F2442C">
        <w:rPr>
          <w:rStyle w:val="StyleUnderline"/>
        </w:rPr>
        <w:t>USITC</w:t>
      </w:r>
      <w:r>
        <w:t xml:space="preserve"> or Commission) </w:t>
      </w:r>
      <w:r w:rsidRPr="00F2442C">
        <w:rPr>
          <w:rStyle w:val="StyleUnderline"/>
        </w:rPr>
        <w:t>pursues its mission in three areas of U.S. international trade:</w:t>
      </w:r>
    </w:p>
    <w:p w14:paraId="7DCED31D" w14:textId="77777777" w:rsidR="00EC2BC2" w:rsidRPr="00F2442C" w:rsidRDefault="00EC2BC2" w:rsidP="00EC2BC2">
      <w:pPr>
        <w:rPr>
          <w:rStyle w:val="StyleUnderline"/>
        </w:rPr>
      </w:pPr>
      <w:r w:rsidRPr="00F2442C">
        <w:rPr>
          <w:rStyle w:val="StyleUnderline"/>
        </w:rPr>
        <w:t>adjudication,</w:t>
      </w:r>
    </w:p>
    <w:p w14:paraId="0285FD45" w14:textId="77777777" w:rsidR="00EC2BC2" w:rsidRPr="00F2442C" w:rsidRDefault="00EC2BC2" w:rsidP="00EC2BC2">
      <w:pPr>
        <w:rPr>
          <w:rStyle w:val="StyleUnderline"/>
        </w:rPr>
      </w:pPr>
      <w:r w:rsidRPr="00F2442C">
        <w:rPr>
          <w:rStyle w:val="StyleUnderline"/>
        </w:rPr>
        <w:t>research and analysis, and</w:t>
      </w:r>
    </w:p>
    <w:p w14:paraId="6951EB99" w14:textId="77777777" w:rsidR="00EC2BC2" w:rsidRPr="00F2442C" w:rsidRDefault="00EC2BC2" w:rsidP="00EC2BC2">
      <w:pPr>
        <w:rPr>
          <w:rStyle w:val="StyleUnderline"/>
        </w:rPr>
      </w:pPr>
      <w:r w:rsidRPr="00F2442C">
        <w:rPr>
          <w:rStyle w:val="StyleUnderline"/>
        </w:rPr>
        <w:t>maintaining the Harmonized Tariff Schedule.</w:t>
      </w:r>
    </w:p>
    <w:p w14:paraId="06C83AE2" w14:textId="77777777" w:rsidR="00EC2BC2" w:rsidRDefault="00EC2BC2" w:rsidP="00EC2BC2">
      <w:r>
        <w:t xml:space="preserve">The Commission investigates and makes determinations in proceedings involving imports claimed to injure a domestic industry or violate U.S. intellectual property rights; </w:t>
      </w:r>
      <w:r w:rsidRPr="00F2442C">
        <w:rPr>
          <w:rStyle w:val="StyleUnderline"/>
        </w:rPr>
        <w:t xml:space="preserve">provides </w:t>
      </w:r>
      <w:r w:rsidRPr="00F2442C">
        <w:rPr>
          <w:rStyle w:val="Emphasis"/>
        </w:rPr>
        <w:t>independent analysis and information on tariffs, trade and competitiveness</w:t>
      </w:r>
      <w:r>
        <w:t>; and maintains the U.S. tariff schedule.</w:t>
      </w:r>
    </w:p>
    <w:p w14:paraId="4A87A29A" w14:textId="77777777" w:rsidR="00EC2BC2" w:rsidRDefault="00EC2BC2" w:rsidP="00EC2BC2">
      <w:r>
        <w:t>The USITC is headed by six Commissioners. They are nominated by the President and confirmed by the U.S. Senate.</w:t>
      </w:r>
    </w:p>
    <w:p w14:paraId="5075D81E" w14:textId="77777777" w:rsidR="00EC2BC2" w:rsidRDefault="00EC2BC2" w:rsidP="00EC2BC2">
      <w:r>
        <w:t>To support its mission, the USITC maintains a professional staff of trade and nomenclature analysts, investigators, financial analysts, statisticians, attorneys, economists, information technology specialists, and administrative support personnel.</w:t>
      </w:r>
    </w:p>
    <w:p w14:paraId="53F0DF7F" w14:textId="77777777" w:rsidR="00EC2BC2" w:rsidRDefault="00EC2BC2" w:rsidP="00EC2BC2">
      <w:r>
        <w:t>In 2016, the Commission entered its second century. We will continue to provide high-quality, leading-edge analysis of international trade issues to the President and the Congress, and to remain a highly regarded forum for the adjudication of intellectual property and trade disputes.</w:t>
      </w:r>
    </w:p>
    <w:p w14:paraId="7139E828" w14:textId="4BC15DB8" w:rsidR="00EC2BC2" w:rsidRDefault="00006FA3" w:rsidP="00006FA3">
      <w:pPr>
        <w:pStyle w:val="Heading3"/>
      </w:pPr>
      <w:r>
        <w:t>Perm---</w:t>
      </w:r>
      <w:r w:rsidR="007E2B17">
        <w:t xml:space="preserve">Deficit: </w:t>
      </w:r>
      <w:r>
        <w:t>Forum Shopping---2NC</w:t>
      </w:r>
    </w:p>
    <w:p w14:paraId="6E94D135" w14:textId="264EF9D4" w:rsidR="00D554E7" w:rsidRPr="00FE69C0" w:rsidRDefault="00D554E7" w:rsidP="00D554E7">
      <w:pPr>
        <w:pStyle w:val="Heading4"/>
      </w:pPr>
      <w:r>
        <w:t xml:space="preserve">Overlapping jurisdiction causes uncertainty, ITC overturns courts which </w:t>
      </w:r>
      <w:r w:rsidR="000B33BE">
        <w:t>kills</w:t>
      </w:r>
      <w:r>
        <w:t xml:space="preserve"> the IT</w:t>
      </w:r>
      <w:r w:rsidR="00816B79">
        <w:t>C</w:t>
      </w:r>
    </w:p>
    <w:p w14:paraId="5E2AD6AA" w14:textId="77777777" w:rsidR="00D554E7" w:rsidRPr="00FE69C0" w:rsidRDefault="00D554E7" w:rsidP="00D554E7">
      <w:r w:rsidRPr="00FE69C0">
        <w:t xml:space="preserve">Dennis </w:t>
      </w:r>
      <w:r w:rsidRPr="00FE69C0">
        <w:rPr>
          <w:b/>
          <w:bCs/>
          <w:sz w:val="26"/>
          <w:szCs w:val="26"/>
        </w:rPr>
        <w:t>Crouch 20</w:t>
      </w:r>
      <w:r w:rsidRPr="00FE69C0">
        <w:t>, Professor, University of Missouri School of Law, 1-14-2020, "Parallel District Court and ITC Litigation", Patently-O, https://patentlyo.com/patent/2020/01/parallel-district-litigation.html</w:t>
      </w:r>
      <w:r>
        <w:t>//susu</w:t>
      </w:r>
    </w:p>
    <w:p w14:paraId="2C7A0DB4" w14:textId="77777777" w:rsidR="00D554E7" w:rsidRPr="00FE69C0" w:rsidRDefault="00D554E7" w:rsidP="00D554E7">
      <w:pPr>
        <w:rPr>
          <w:u w:val="single"/>
        </w:rPr>
      </w:pPr>
      <w:r w:rsidRPr="00FE69C0">
        <w:rPr>
          <w:u w:val="single"/>
        </w:rPr>
        <w:t xml:space="preserve">On appeal, the </w:t>
      </w:r>
      <w:r w:rsidRPr="00FE69C0">
        <w:rPr>
          <w:b/>
          <w:bCs/>
          <w:u w:val="single"/>
        </w:rPr>
        <w:t>Federal Circuit</w:t>
      </w:r>
      <w:r w:rsidRPr="00FE69C0">
        <w:rPr>
          <w:u w:val="single"/>
        </w:rPr>
        <w:t xml:space="preserve"> has affirming the claim construction and thus the resulting </w:t>
      </w:r>
      <w:r w:rsidRPr="00FE69C0">
        <w:rPr>
          <w:b/>
          <w:bCs/>
          <w:u w:val="single"/>
        </w:rPr>
        <w:t>non-infringeme</w:t>
      </w:r>
      <w:r w:rsidRPr="00FE69C0">
        <w:rPr>
          <w:u w:val="single"/>
        </w:rPr>
        <w:t xml:space="preserve">nt and </w:t>
      </w:r>
      <w:r w:rsidRPr="00FE69C0">
        <w:rPr>
          <w:b/>
          <w:bCs/>
          <w:u w:val="single"/>
        </w:rPr>
        <w:t>obviousness decisions</w:t>
      </w:r>
      <w:r w:rsidRPr="00FE69C0">
        <w:rPr>
          <w:u w:val="single"/>
        </w:rPr>
        <w:t>.  In the process, the appellate panel reiterated the lower court’s statement that “ARM’s insistence on trying [the case] was largely a charade used for the purpose of extending the life of the earlier ITC . . . order.”</w:t>
      </w:r>
    </w:p>
    <w:p w14:paraId="616C72FA" w14:textId="77777777" w:rsidR="00D554E7" w:rsidRPr="00FE69C0" w:rsidRDefault="00D554E7" w:rsidP="00D554E7">
      <w:pPr>
        <w:rPr>
          <w:sz w:val="12"/>
        </w:rPr>
      </w:pPr>
      <w:r w:rsidRPr="00FE69C0">
        <w:rPr>
          <w:sz w:val="12"/>
        </w:rPr>
        <w:t>Normal preclusion rules do not apply to interactions between the ITC and District Court. See, </w:t>
      </w:r>
      <w:r w:rsidRPr="00FE69C0">
        <w:rPr>
          <w:i/>
          <w:iCs/>
          <w:sz w:val="12"/>
        </w:rPr>
        <w:t>Tandon Corp. v. U.S. Int’l Trade Comm’n</w:t>
      </w:r>
      <w:r w:rsidRPr="00FE69C0">
        <w:rPr>
          <w:sz w:val="12"/>
        </w:rPr>
        <w:t>, 831 F.2d 1017, 1018 (Fed. Cir. 1987)</w:t>
      </w:r>
      <w:r w:rsidRPr="00FE69C0">
        <w:t xml:space="preserve"> (</w:t>
      </w:r>
      <w:r w:rsidRPr="00FE69C0">
        <w:rPr>
          <w:u w:val="single"/>
        </w:rPr>
        <w:t>even appellate treatment of an ITC decision “</w:t>
      </w:r>
      <w:r w:rsidRPr="00FE69C0">
        <w:rPr>
          <w:b/>
          <w:bCs/>
          <w:u w:val="single"/>
        </w:rPr>
        <w:t>does n</w:t>
      </w:r>
      <w:r w:rsidRPr="00FE69C0">
        <w:rPr>
          <w:u w:val="single"/>
        </w:rPr>
        <w:t xml:space="preserve">ot </w:t>
      </w:r>
      <w:r w:rsidRPr="00FE69C0">
        <w:rPr>
          <w:b/>
          <w:bCs/>
          <w:u w:val="single"/>
        </w:rPr>
        <w:t>estop fresh consideration by other tribunal</w:t>
      </w:r>
      <w:r w:rsidRPr="00FE69C0">
        <w:rPr>
          <w:u w:val="single"/>
        </w:rPr>
        <w:t>s</w:t>
      </w:r>
      <w:r w:rsidRPr="00FE69C0">
        <w:rPr>
          <w:sz w:val="12"/>
        </w:rPr>
        <w:t>”); S.Rep. No. 1298, 93d Cong., 2d Sess. 196 (“it seems clear that any disposition of a Commission action by a Federal Court should not have a res judicata or collateral estoppel effect in [infringement] cases before such [district] courts.”).</w:t>
      </w:r>
    </w:p>
    <w:p w14:paraId="38FD7596" w14:textId="3250F24B" w:rsidR="00D554E7" w:rsidRPr="00765C5C" w:rsidRDefault="00D554E7" w:rsidP="00765C5C">
      <w:r w:rsidRPr="00FE69C0">
        <w:rPr>
          <w:u w:val="single"/>
        </w:rPr>
        <w:t xml:space="preserve">An invalidity decision in district court </w:t>
      </w:r>
      <w:r w:rsidRPr="00FE69C0">
        <w:rPr>
          <w:b/>
          <w:bCs/>
          <w:u w:val="single"/>
        </w:rPr>
        <w:t>does not</w:t>
      </w:r>
      <w:r w:rsidRPr="00FE69C0">
        <w:rPr>
          <w:u w:val="single"/>
        </w:rPr>
        <w:t xml:space="preserve"> automatically cancel an ITC exclusion order. Rather, the ITC can </w:t>
      </w:r>
      <w:r w:rsidRPr="00FE69C0">
        <w:rPr>
          <w:b/>
          <w:bCs/>
          <w:u w:val="single"/>
        </w:rPr>
        <w:t>rescind its decision</w:t>
      </w:r>
      <w:r w:rsidRPr="00FE69C0">
        <w:rPr>
          <w:u w:val="single"/>
        </w:rPr>
        <w:t xml:space="preserve"> based upon evidence that “the conditions which led to such </w:t>
      </w:r>
      <w:r w:rsidRPr="00FE69C0">
        <w:rPr>
          <w:b/>
          <w:bCs/>
          <w:u w:val="single"/>
        </w:rPr>
        <w:t>exclusion from entry or order no longer exist</w:t>
      </w:r>
      <w:r w:rsidRPr="00FE69C0">
        <w:t xml:space="preserve">.” Section 337(k)(1).  </w:t>
      </w:r>
      <w:r w:rsidRPr="00FE69C0">
        <w:rPr>
          <w:u w:val="single"/>
        </w:rPr>
        <w:t xml:space="preserve">Following the district court decision, the ITC issued a temporary rescission order that will likely be made </w:t>
      </w:r>
      <w:r w:rsidRPr="00FE69C0">
        <w:rPr>
          <w:b/>
          <w:bCs/>
          <w:u w:val="single"/>
        </w:rPr>
        <w:t>permanent</w:t>
      </w:r>
      <w:r w:rsidRPr="00FE69C0">
        <w:rPr>
          <w:u w:val="single"/>
        </w:rPr>
        <w:t xml:space="preserve"> </w:t>
      </w:r>
      <w:r w:rsidRPr="00FE69C0">
        <w:rPr>
          <w:b/>
          <w:bCs/>
          <w:u w:val="single"/>
        </w:rPr>
        <w:t>now</w:t>
      </w:r>
      <w:r w:rsidRPr="00FE69C0">
        <w:rPr>
          <w:u w:val="single"/>
        </w:rPr>
        <w:t xml:space="preserve"> — allowing Eko to keep importing</w:t>
      </w:r>
      <w:r w:rsidRPr="00FE69C0">
        <w:t>.</w:t>
      </w:r>
      <w:r>
        <w:t>s</w:t>
      </w:r>
      <w:r w:rsidR="00816B79">
        <w:t>s</w:t>
      </w:r>
    </w:p>
    <w:p w14:paraId="353D2C8A" w14:textId="2464F056" w:rsidR="008F567E" w:rsidRDefault="008F567E" w:rsidP="008F567E">
      <w:pPr>
        <w:pStyle w:val="Heading1"/>
      </w:pPr>
      <w:r>
        <w:t>AFF</w:t>
      </w:r>
    </w:p>
    <w:p w14:paraId="3E6FFE24" w14:textId="332DAA4D" w:rsidR="00D173CB" w:rsidRDefault="00D173CB" w:rsidP="00D173CB">
      <w:pPr>
        <w:pStyle w:val="Heading2"/>
      </w:pPr>
      <w:r>
        <w:t>Solvency</w:t>
      </w:r>
    </w:p>
    <w:p w14:paraId="04201181" w14:textId="441AF823" w:rsidR="00D173CB" w:rsidRDefault="00D173CB" w:rsidP="00D173CB">
      <w:pPr>
        <w:pStyle w:val="Heading3"/>
      </w:pPr>
      <w:r>
        <w:t>Deficit---Accuracy---2AC</w:t>
      </w:r>
    </w:p>
    <w:p w14:paraId="5384B7D9" w14:textId="1F10F3FE" w:rsidR="009714D0" w:rsidRPr="009714D0" w:rsidRDefault="009714D0" w:rsidP="009714D0">
      <w:pPr>
        <w:pStyle w:val="Heading4"/>
      </w:pPr>
      <w:r>
        <w:t xml:space="preserve">ACCURACY---The USITC is inept, inaccurate, and commits </w:t>
      </w:r>
      <w:r>
        <w:rPr>
          <w:u w:val="single"/>
        </w:rPr>
        <w:t>serious methodological blunders</w:t>
      </w:r>
      <w:r w:rsidR="003E2D6B">
        <w:t xml:space="preserve"> in analysis</w:t>
      </w:r>
    </w:p>
    <w:p w14:paraId="258DF446" w14:textId="00524EB5" w:rsidR="009714D0" w:rsidRPr="00430F38" w:rsidRDefault="009714D0" w:rsidP="009714D0">
      <w:pPr>
        <w:rPr>
          <w:i/>
          <w:iCs/>
        </w:rPr>
      </w:pPr>
      <w:r>
        <w:t xml:space="preserve">Gary Clyde </w:t>
      </w:r>
      <w:r w:rsidRPr="00545649">
        <w:rPr>
          <w:b/>
          <w:bCs/>
          <w:sz w:val="26"/>
          <w:szCs w:val="26"/>
        </w:rPr>
        <w:t>Hufbauer 18</w:t>
      </w:r>
      <w:r>
        <w:t xml:space="preserve"> Gary Clyde Hufbauer, nonresident senior fellow, was the Petersen Institute for Economics’ Reginald Jones Senior Fellow from 1992 to January 2018. He was previously the Maurice Greenberg Chair and Director of Studies at the Council on Foreign Relations (1996–98), the Marcus Wallenberg Professor of International Finance Diplomacy at Georgetown University (1985–92),</w:t>
      </w:r>
      <w:r w:rsidR="00F93E30">
        <w:t xml:space="preserve"> </w:t>
      </w:r>
      <w:r>
        <w:t xml:space="preserve">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Petersen Institute for International Economics, </w:t>
      </w:r>
      <w:r w:rsidRPr="00430F38">
        <w:rPr>
          <w:i/>
          <w:iCs/>
        </w:rPr>
        <w:t>How a US trade agency blundered in evaluating trade agreements</w:t>
      </w:r>
      <w:r>
        <w:t>. “</w:t>
      </w:r>
      <w:r w:rsidRPr="00430F38">
        <w:t>https://www.piie.com/blogs/trade-and-investment-policy-watch/2021/how-us-trade-agency-blundered-evaluating-trade</w:t>
      </w:r>
      <w:r>
        <w:t>” // skohli</w:t>
      </w:r>
    </w:p>
    <w:p w14:paraId="51E0DF3F" w14:textId="77777777" w:rsidR="009714D0" w:rsidRDefault="009714D0" w:rsidP="009714D0">
      <w:r>
        <w:t xml:space="preserve">The US International Trade Commission (USITC) is a respected independent, nonpartisan, quasi-judicial federal agency that analyzes trade issues for the president and the Congress. But </w:t>
      </w:r>
      <w:r w:rsidRPr="00567F91">
        <w:rPr>
          <w:rStyle w:val="StyleUnderline"/>
        </w:rPr>
        <w:t xml:space="preserve">in June 2021, the commission released a report of 386 pages, titled Economic Impact of Trade Agreements, which </w:t>
      </w:r>
      <w:r w:rsidRPr="0033333C">
        <w:rPr>
          <w:rStyle w:val="Emphasis"/>
        </w:rPr>
        <w:t xml:space="preserve">committed serious methodological blunders that mislead the public </w:t>
      </w:r>
      <w:r w:rsidRPr="00567F91">
        <w:rPr>
          <w:rStyle w:val="StyleUnderline"/>
        </w:rPr>
        <w:t>on the value of trade accords implemented since 1984.</w:t>
      </w:r>
    </w:p>
    <w:p w14:paraId="3AE1481B" w14:textId="77777777" w:rsidR="009714D0" w:rsidRDefault="009714D0" w:rsidP="009714D0">
      <w:r>
        <w:t xml:space="preserve">The </w:t>
      </w:r>
      <w:r w:rsidRPr="007D352F">
        <w:rPr>
          <w:rStyle w:val="StyleUnderline"/>
        </w:rPr>
        <w:t>USITC delivered an overall estimate that trade agreements have added very little to trade growth and therefore to economic growth</w:t>
      </w:r>
      <w:r>
        <w:t xml:space="preserve">. This finding may cheer protectionists and those who want trade agreements to pay less attention to trade barriers and more attention to social issues. But </w:t>
      </w:r>
      <w:r w:rsidRPr="007D352F">
        <w:rPr>
          <w:rStyle w:val="StyleUnderline"/>
        </w:rPr>
        <w:t>the USITC made two major mistakes</w:t>
      </w:r>
      <w:r>
        <w:t xml:space="preserve">. First, in analyzing the North American Free Trade Agreement (NAFTA) enacted in 1993, which entered into effect in January 1994, the USITC </w:t>
      </w:r>
      <w:r w:rsidRPr="007D352F">
        <w:rPr>
          <w:rStyle w:val="StyleUnderline"/>
        </w:rPr>
        <w:t>failed to measure the growth in US-Mexico trade separately from growth in trade with Mexico and Canada together</w:t>
      </w:r>
      <w:r>
        <w:t xml:space="preserve">. Second, the commission </w:t>
      </w:r>
      <w:r w:rsidRPr="007D352F">
        <w:rPr>
          <w:rStyle w:val="Emphasis"/>
        </w:rPr>
        <w:t>omitted altogether China’s accession to the World Trade Organization</w:t>
      </w:r>
      <w:r w:rsidRPr="007D352F">
        <w:rPr>
          <w:rStyle w:val="StyleUnderline"/>
        </w:rPr>
        <w:t xml:space="preserve"> (WTO) in 2001, by far the biggest trade agreement of the 21st century, on the ground that accession is not a free trade agreement </w:t>
      </w:r>
      <w:r>
        <w:t>(FTA). Without these mistakes, the USITC report would have shown much more dramatic growth in trade resulting from liberalizing trade in the last three decades.</w:t>
      </w:r>
    </w:p>
    <w:p w14:paraId="6F9813F0" w14:textId="77777777" w:rsidR="009714D0" w:rsidRDefault="009714D0" w:rsidP="009714D0">
      <w:r>
        <w:t>The report attributes, as of 2017, an increase of $89 billion in US exports to trade agreement partners and an increase of $118 billion in US imports from the partners—totaling $207 billion in two-way trade creation (all numbers are rounded). However, as a consequence of agreements, US exports of $52 billon and US imports of $22 billion were diverted from nonpartner countries, and these numbers were subtracted from the trade creation figures. Taking account of exports and imports diverted from nonpartners, the USITC estimated net two-way trade creation, as of 2017, at $133 billion. This estimate of net trade creation, in turn, drives the USITC estimate that there have been only incremental US GDP gains, employment impacts, and distributional effects.</w:t>
      </w:r>
    </w:p>
    <w:p w14:paraId="3841E01D" w14:textId="77777777" w:rsidR="009714D0" w:rsidRPr="00C40795" w:rsidRDefault="009714D0" w:rsidP="009714D0">
      <w:pPr>
        <w:rPr>
          <w:rStyle w:val="StyleUnderline"/>
        </w:rPr>
      </w:pPr>
      <w:r>
        <w:t xml:space="preserve">To estimate trade creation, the </w:t>
      </w:r>
      <w:r w:rsidRPr="00C40795">
        <w:rPr>
          <w:rStyle w:val="StyleUnderline"/>
        </w:rPr>
        <w:t>USITC relied on a “state of the art” gravity model of bilateral merchandise trade flows</w:t>
      </w:r>
      <w:r>
        <w:t xml:space="preserve">, published by Baier, Yotov, and Zylkin (2019). However, </w:t>
      </w:r>
      <w:r w:rsidRPr="00C40795">
        <w:rPr>
          <w:rStyle w:val="StyleUnderline"/>
        </w:rPr>
        <w:t>the way the model was applied did not take proper account of NAFTA and altogether omitted China’s accession to the WTO.</w:t>
      </w:r>
    </w:p>
    <w:p w14:paraId="523F9106" w14:textId="77777777" w:rsidR="009714D0" w:rsidRDefault="009714D0" w:rsidP="009714D0">
      <w:r>
        <w:t>NAFTA TRADE CREATION</w:t>
      </w:r>
    </w:p>
    <w:p w14:paraId="6BAB80DF" w14:textId="77777777" w:rsidR="009714D0" w:rsidRDefault="009714D0" w:rsidP="009714D0">
      <w:r w:rsidRPr="00C40795">
        <w:rPr>
          <w:rStyle w:val="StyleUnderline"/>
        </w:rPr>
        <w:t>NAFTA has been by far the most important free trade agreement the United States has undertaken in the last few decades.</w:t>
      </w:r>
      <w:r>
        <w:t xml:space="preserve"> The USITC estimated that NAFTA lowered trade barriers between the United States and its two partners, Canada and Mexico, by 8.1 percentage points. [1] </w:t>
      </w:r>
      <w:r w:rsidRPr="00C40795">
        <w:rPr>
          <w:rStyle w:val="StyleUnderline"/>
        </w:rPr>
        <w:t>The USITC report does not reveal a dollar figure for two-way US trade gains with its two partners resulting from that barrier reduction.</w:t>
      </w:r>
      <w:r>
        <w:t xml:space="preserve"> However, NAFTA trade in 2017 was $1.075 trillion (ITC report, table 3.4), some 74 percent of all two-way US trade with agreement partners ($1.450 trillion). Very likely, roughly 74 percent of the USITC’s trade creation estimate should be attributed to NAFTA—in other words, $153 billion (74 percent of $207 billion). The analysis in this blog, plus analysis cited in the USITC report from other scholars, suggests that this figure is far too small.</w:t>
      </w:r>
    </w:p>
    <w:p w14:paraId="2D7BE838" w14:textId="77777777" w:rsidR="009714D0" w:rsidRDefault="009714D0" w:rsidP="009714D0">
      <w:r>
        <w:t xml:space="preserve">The </w:t>
      </w:r>
      <w:r w:rsidRPr="00C40795">
        <w:rPr>
          <w:rStyle w:val="StyleUnderline"/>
        </w:rPr>
        <w:t>USITC did not separately analyze</w:t>
      </w:r>
      <w:r>
        <w:t xml:space="preserve"> the Canada-US </w:t>
      </w:r>
      <w:r w:rsidRPr="00C40795">
        <w:rPr>
          <w:rStyle w:val="StyleUnderline"/>
        </w:rPr>
        <w:t>FTA</w:t>
      </w:r>
      <w:r>
        <w:t xml:space="preserve"> of 1989. However, that agreement essentially eliminated merchandise trade barriers between the US and Canada, with the exception of agriculture. The NAFTA of 1994 made very little change in US-Canada barriers (including no meaningful liberalization of agricultural trade). What NAFTA did was reduce US-Mexico barriers, particularly Mexican tariff and nontariff barriers. </w:t>
      </w:r>
      <w:r w:rsidRPr="00D6676A">
        <w:rPr>
          <w:rStyle w:val="StyleUnderline"/>
        </w:rPr>
        <w:t>If the USITC had properly recognized this fact and estimated a percentage point reduction in US-Mexico barriers, the reported figure would have been much larger</w:t>
      </w:r>
      <w:r>
        <w:t xml:space="preserve"> than 8.1 percentage points.</w:t>
      </w:r>
    </w:p>
    <w:p w14:paraId="058873E7" w14:textId="77777777" w:rsidR="009714D0" w:rsidRPr="00BB443F" w:rsidRDefault="009714D0" w:rsidP="009714D0">
      <w:pPr>
        <w:rPr>
          <w:sz w:val="12"/>
          <w:szCs w:val="12"/>
        </w:rPr>
      </w:pPr>
      <w:r w:rsidRPr="00BB443F">
        <w:rPr>
          <w:sz w:val="12"/>
          <w:szCs w:val="12"/>
        </w:rPr>
        <w:t>Figure 1 compares post-NAFTA growth of US-Mexican merchandise trade (expressed in current dollars) with the growth of US merchandise trade with six leading Latin American countries—Argentina, Brazil, Chile, Colombia, Peru, and Venezuela. Taken together, these six countries are good comparators to Mexico. As figure 1 shows, from pre-NAFTA to 2017, US-Mexican two-way merchandise trade expanded 6.8 times in current dollars, while US trade with the six increased only 3.7 times. Of course, other forces were at play besides NAFTA, including subsequent US trade agreements with Chile (2004), Peru (2009), and Colombia (2012). But if US-Mexico trade had grown only as fast as US trade with the six, in 2017 US-Mexico two-way trade would have been $306 billion, rather than $559 billion—a difference of $253 billion. A difference of this magnitude between hypothetical and actual US-Mexico trade calls into question the USITC’s estimate of trade creation of just $207 billion from all trade agreements.</w:t>
      </w:r>
    </w:p>
    <w:p w14:paraId="5ED32A4D" w14:textId="77777777" w:rsidR="009714D0" w:rsidRPr="00BB443F" w:rsidRDefault="009714D0" w:rsidP="009714D0">
      <w:pPr>
        <w:rPr>
          <w:sz w:val="12"/>
          <w:szCs w:val="12"/>
        </w:rPr>
      </w:pPr>
      <w:r w:rsidRPr="00BB443F">
        <w:rPr>
          <w:sz w:val="12"/>
          <w:szCs w:val="12"/>
        </w:rPr>
        <w:t>&lt;&lt;&lt;OMITTED&gt;&gt;&gt;</w:t>
      </w:r>
    </w:p>
    <w:p w14:paraId="660AAD74" w14:textId="77777777" w:rsidR="009714D0" w:rsidRPr="00BB443F" w:rsidRDefault="009714D0" w:rsidP="009714D0">
      <w:pPr>
        <w:rPr>
          <w:sz w:val="12"/>
          <w:szCs w:val="12"/>
        </w:rPr>
      </w:pPr>
      <w:r w:rsidRPr="00BB443F">
        <w:rPr>
          <w:sz w:val="12"/>
          <w:szCs w:val="12"/>
        </w:rPr>
        <w:t>Figure 1 US trade with Mexico grew faster than with other Latin American countries after NAFTA took effect</w:t>
      </w:r>
    </w:p>
    <w:p w14:paraId="42AD210B" w14:textId="77777777" w:rsidR="009714D0" w:rsidRPr="00BB443F" w:rsidRDefault="009714D0" w:rsidP="009714D0">
      <w:pPr>
        <w:rPr>
          <w:sz w:val="12"/>
          <w:szCs w:val="12"/>
        </w:rPr>
      </w:pPr>
      <w:r w:rsidRPr="00BB443F">
        <w:rPr>
          <w:sz w:val="12"/>
          <w:szCs w:val="12"/>
        </w:rPr>
        <w:t>The estimates of other NAFTA scholars cited in the USITC report, without refutation, reinforce a skeptical attitude. Heo and Doanh (2020) estimated that, between 1989 and 2016, NAFTA enlarged trilateral trade by 58.2 percent. The overwhelming share of trilateral trade was between the US and Mexico, on the one hand, and between the US and Canada, on the other, with rather little between the Mexico and Canada. The USITC reports that US two-way trade with its two partners was $1.075 trillion in 2017. If NAFTA increased this trade by 58.2 percent, the implication is that NAFTA increased US two-way trade with Mexico and Canada from $680 billion to $1.075 trillion, an increment of $395 billion.</w:t>
      </w:r>
    </w:p>
    <w:p w14:paraId="06D97E0A" w14:textId="77777777" w:rsidR="009714D0" w:rsidRPr="00BB443F" w:rsidRDefault="009714D0" w:rsidP="009714D0">
      <w:pPr>
        <w:rPr>
          <w:sz w:val="12"/>
          <w:szCs w:val="12"/>
        </w:rPr>
      </w:pPr>
      <w:r w:rsidRPr="00BB443F">
        <w:rPr>
          <w:sz w:val="12"/>
          <w:szCs w:val="12"/>
        </w:rPr>
        <w:t>Continuing in this vein, the ITC cites Zylkin (2016), who estimated that NAFTA increased aggregate trade by 78.6 percent, compared with 37.6 percent for all other FTAs. Later, Baier, Yotov, and Zylkin (2019)—the same article referenced by the USITC for its gravity model—estimated that NAFTA increased aggregate trade by 93.9 percent, in other words almost a doubling. These NAFTA estimates by other scholars, like the figures in this blog, cannot be easily reconciled with the USITC’s estimate of trade creation from all trade agreements of just $207 billion in 2017.</w:t>
      </w:r>
    </w:p>
    <w:p w14:paraId="60C4ED58" w14:textId="77777777" w:rsidR="009714D0" w:rsidRPr="00BB443F" w:rsidRDefault="009714D0" w:rsidP="009714D0">
      <w:pPr>
        <w:rPr>
          <w:sz w:val="12"/>
          <w:szCs w:val="12"/>
        </w:rPr>
      </w:pPr>
      <w:r w:rsidRPr="00BB443F">
        <w:rPr>
          <w:sz w:val="12"/>
          <w:szCs w:val="12"/>
        </w:rPr>
        <w:t>CHINA TRADE CREATION</w:t>
      </w:r>
    </w:p>
    <w:p w14:paraId="7DD22D25" w14:textId="77777777" w:rsidR="009714D0" w:rsidRPr="00BB443F" w:rsidRDefault="009714D0" w:rsidP="009714D0">
      <w:pPr>
        <w:rPr>
          <w:sz w:val="12"/>
          <w:szCs w:val="12"/>
        </w:rPr>
      </w:pPr>
      <w:r w:rsidRPr="00BB443F">
        <w:rPr>
          <w:sz w:val="12"/>
          <w:szCs w:val="12"/>
        </w:rPr>
        <w:t>While the USITC report’s title is Economic Impact of Trade Agreements, the most important trade agreement of the 21st century is omitted from the report, namely China’s accession to the WTO in 2001. The central protagonists in this landmark event were the United States and China. True, critics of WTO accession cite evidence that it led to lost US jobs along with economic gains, but opponents and proponents of Chinese accession both recognize the event as an enormously important trade agreement. Yet trade creation between the United States and China makes no appearance in the USITC report.</w:t>
      </w:r>
    </w:p>
    <w:p w14:paraId="031ADF07" w14:textId="77777777" w:rsidR="009714D0" w:rsidRPr="00BB443F" w:rsidRDefault="009714D0" w:rsidP="009714D0">
      <w:pPr>
        <w:rPr>
          <w:sz w:val="12"/>
          <w:szCs w:val="12"/>
        </w:rPr>
      </w:pPr>
      <w:r w:rsidRPr="00BB443F">
        <w:rPr>
          <w:sz w:val="12"/>
          <w:szCs w:val="12"/>
        </w:rPr>
        <w:t>&lt;&lt;&lt;OMMITTED&gt;&gt;&gt;</w:t>
      </w:r>
    </w:p>
    <w:p w14:paraId="38EAC950" w14:textId="77777777" w:rsidR="009714D0" w:rsidRPr="00BB443F" w:rsidRDefault="009714D0" w:rsidP="009714D0">
      <w:pPr>
        <w:rPr>
          <w:sz w:val="12"/>
          <w:szCs w:val="12"/>
        </w:rPr>
      </w:pPr>
      <w:r w:rsidRPr="00BB443F">
        <w:rPr>
          <w:sz w:val="12"/>
          <w:szCs w:val="12"/>
        </w:rPr>
        <w:t>Figure 2 makes a start at rectifying the omission. From pre-WTO accession to 2017, US-China two-way merchandise trade expanded 5.65 times in current dollars, while US trade with the rest of world increased only 1.75 times. Again, other forces were at play, most notably the transformation of the Chinese economy (owing in part to WTO accession). However, if US-China trade had grown only as fast as US trade with the rest of the world, in 2017 US-China two-way merchandise trade would have been $203 billion, rather than $656 billion—a difference of $453 billion. Put another way, this counterfactual exercise suggests that, if Chinese accession were properly recorded as a trade agreement, the USITC’s report might suggest US-China trade creation approaching $453 billion, plus whatever trade creation could be attributed to NAFTA and all other US trade agreements.</w:t>
      </w:r>
    </w:p>
    <w:p w14:paraId="2239DDA1" w14:textId="77777777" w:rsidR="009714D0" w:rsidRPr="00BB443F" w:rsidRDefault="009714D0" w:rsidP="009714D0">
      <w:pPr>
        <w:rPr>
          <w:sz w:val="12"/>
          <w:szCs w:val="12"/>
        </w:rPr>
      </w:pPr>
      <w:r w:rsidRPr="00BB443F">
        <w:rPr>
          <w:sz w:val="12"/>
          <w:szCs w:val="12"/>
        </w:rPr>
        <w:t>Figure 2 US trade with China has outpaced its trade with the rest of the world since China’s accession to the WTO</w:t>
      </w:r>
    </w:p>
    <w:p w14:paraId="20F8329F" w14:textId="77777777" w:rsidR="009714D0" w:rsidRDefault="009714D0" w:rsidP="009714D0">
      <w:r>
        <w:t>CONCLUSION</w:t>
      </w:r>
    </w:p>
    <w:p w14:paraId="6CBABC06" w14:textId="77777777" w:rsidR="009714D0" w:rsidRPr="00545649" w:rsidRDefault="009714D0" w:rsidP="009714D0">
      <w:r>
        <w:t xml:space="preserve">Without subscribing to a precise number for trade created by US trade agreements since 1984, </w:t>
      </w:r>
      <w:r w:rsidRPr="00BB443F">
        <w:rPr>
          <w:rStyle w:val="StyleUnderline"/>
        </w:rPr>
        <w:t>it is clear that the USITC seriously underestimated the annual gains</w:t>
      </w:r>
      <w:r>
        <w:t xml:space="preserve">, as of 2017, </w:t>
      </w:r>
      <w:r w:rsidRPr="00BB443F">
        <w:rPr>
          <w:rStyle w:val="StyleUnderline"/>
        </w:rPr>
        <w:t>that can be fairly attributed to US trade diplomacy.</w:t>
      </w:r>
      <w:r>
        <w:t xml:space="preserve"> In turn, </w:t>
      </w:r>
      <w:r w:rsidRPr="00BB443F">
        <w:rPr>
          <w:rStyle w:val="StyleUnderline"/>
        </w:rPr>
        <w:t>US GDP gains and distributional impacts of expanded trade are badly undercounted</w:t>
      </w:r>
      <w:r>
        <w:t xml:space="preserve">. Those who oppose globalization may take heart in the USITC’s modest estimates. But </w:t>
      </w:r>
      <w:r w:rsidRPr="00BB443F">
        <w:rPr>
          <w:rStyle w:val="StyleUnderline"/>
        </w:rPr>
        <w:t>those who support globalization as an engine of economic welfare</w:t>
      </w:r>
      <w:r>
        <w:t xml:space="preserve">, both in the US and abroad, </w:t>
      </w:r>
      <w:r w:rsidRPr="00BB443F">
        <w:rPr>
          <w:rStyle w:val="StyleUnderline"/>
        </w:rPr>
        <w:t>should not accept the small payoff implied by the USITC report</w:t>
      </w:r>
      <w:r>
        <w:t>.</w:t>
      </w:r>
    </w:p>
    <w:p w14:paraId="0725E311" w14:textId="77777777" w:rsidR="009714D0" w:rsidRPr="009714D0" w:rsidRDefault="009714D0" w:rsidP="009714D0"/>
    <w:p w14:paraId="73FD59C2" w14:textId="59AE3F17" w:rsidR="00D173CB" w:rsidRDefault="00D173CB" w:rsidP="00D173CB">
      <w:pPr>
        <w:pStyle w:val="Heading3"/>
      </w:pPr>
      <w:r>
        <w:t>Deficit---Executive---2AC</w:t>
      </w:r>
    </w:p>
    <w:p w14:paraId="6093A499" w14:textId="15FB55D7" w:rsidR="00D173CB" w:rsidRDefault="00D173CB" w:rsidP="00D173CB">
      <w:pPr>
        <w:pStyle w:val="Heading4"/>
      </w:pPr>
      <w:r>
        <w:t>EXECUTIVE---the White House will overturn the counterplan.</w:t>
      </w:r>
    </w:p>
    <w:p w14:paraId="1B1E70A1" w14:textId="77777777" w:rsidR="00D173CB" w:rsidRPr="008814F4" w:rsidRDefault="00D173CB" w:rsidP="00D173CB">
      <w:r>
        <w:t xml:space="preserve">Chris </w:t>
      </w:r>
      <w:r w:rsidRPr="009D2CD6">
        <w:rPr>
          <w:b/>
          <w:bCs/>
          <w:sz w:val="26"/>
          <w:szCs w:val="26"/>
        </w:rPr>
        <w:t>O’Brien</w:t>
      </w:r>
      <w:r>
        <w:t xml:space="preserve"> 20</w:t>
      </w:r>
      <w:r w:rsidRPr="009D2CD6">
        <w:rPr>
          <w:b/>
          <w:bCs/>
          <w:sz w:val="26"/>
          <w:szCs w:val="26"/>
        </w:rPr>
        <w:t>13</w:t>
      </w:r>
      <w:r>
        <w:t xml:space="preserve"> Chris is a former technology writer for the Los Angeles Times. </w:t>
      </w:r>
      <w:r w:rsidRPr="008814F4">
        <w:t>LA</w:t>
      </w:r>
      <w:r>
        <w:t xml:space="preserve"> Times, </w:t>
      </w:r>
      <w:r w:rsidRPr="008814F4">
        <w:t>White House overrules ITC trade ban on Apple iPhones, iPa</w:t>
      </w:r>
      <w:r>
        <w:t xml:space="preserve">ds. </w:t>
      </w:r>
      <w:r w:rsidRPr="008814F4">
        <w:t>https://www.latimes.com/business/la-xpm-2013-aug-03-la-fi-tn-white-house-overrules-trade-ban-on-apple-iphones-ipads-20130803-story.html</w:t>
      </w:r>
      <w:r>
        <w:t>. skohli</w:t>
      </w:r>
    </w:p>
    <w:p w14:paraId="79D38B4E" w14:textId="77777777" w:rsidR="00D173CB" w:rsidRPr="008814F4" w:rsidRDefault="00D173CB" w:rsidP="00D173CB">
      <w:pPr>
        <w:rPr>
          <w:sz w:val="12"/>
          <w:szCs w:val="12"/>
        </w:rPr>
      </w:pPr>
      <w:r w:rsidRPr="008814F4">
        <w:rPr>
          <w:sz w:val="12"/>
          <w:szCs w:val="12"/>
        </w:rPr>
        <w:t>&lt;I&gt;THIS POST HAS BEEN UPDATED. SEE THE NOTE BELOW FOR DETAILS.&lt;/I&gt;</w:t>
      </w:r>
    </w:p>
    <w:p w14:paraId="43941FBA" w14:textId="77777777" w:rsidR="00D173CB" w:rsidRDefault="00D173CB" w:rsidP="00D173CB">
      <w:r>
        <w:t xml:space="preserve">In a rare step, </w:t>
      </w:r>
      <w:r w:rsidRPr="00657346">
        <w:rPr>
          <w:rStyle w:val="StyleUnderline"/>
        </w:rPr>
        <w:t>the White House on Saturday overturned a decision by the U.S. International Trade Commission that would have banned Apple from importing several of its older products</w:t>
      </w:r>
      <w:r>
        <w:t>.</w:t>
      </w:r>
    </w:p>
    <w:p w14:paraId="24920E18" w14:textId="77777777" w:rsidR="00D173CB" w:rsidRPr="00657346" w:rsidRDefault="00D173CB" w:rsidP="00D173CB">
      <w:pPr>
        <w:rPr>
          <w:sz w:val="12"/>
          <w:szCs w:val="12"/>
        </w:rPr>
      </w:pPr>
      <w:r w:rsidRPr="00657346">
        <w:rPr>
          <w:sz w:val="12"/>
          <w:szCs w:val="12"/>
        </w:rPr>
        <w:t>U.S. Trade Representative Michael Froman, an Obama appointee, issued a letter explaining the decision to make such a rare intervention in a trade dispute. The last time the White House vetoed a decision by the U.S. International Trade Commission was 1987.</w:t>
      </w:r>
    </w:p>
    <w:p w14:paraId="12337B4C" w14:textId="77777777" w:rsidR="00D173CB" w:rsidRDefault="00D173CB" w:rsidP="00D173CB">
      <w:r>
        <w:t xml:space="preserve">“I have </w:t>
      </w:r>
      <w:r w:rsidRPr="00657346">
        <w:rPr>
          <w:rStyle w:val="StyleUnderline"/>
        </w:rPr>
        <w:t>decided to disapprove the USITC’s determination to issue an exclusion order and cease and desist order in the investigation</w:t>
      </w:r>
      <w:r>
        <w:t>,” Froman wrote.</w:t>
      </w:r>
    </w:p>
    <w:p w14:paraId="5C0DDE83" w14:textId="77777777" w:rsidR="00D173CB" w:rsidRDefault="00D173CB" w:rsidP="00D173CB">
      <w:r>
        <w:t xml:space="preserve">The decision comes </w:t>
      </w:r>
      <w:r w:rsidRPr="00657346">
        <w:rPr>
          <w:rStyle w:val="Emphasis"/>
        </w:rPr>
        <w:t>two months after the ITC ruled that some older Apple gadgets violated a Samsung patent that covers a method for transmitting data</w:t>
      </w:r>
      <w:r>
        <w:t>.</w:t>
      </w:r>
    </w:p>
    <w:p w14:paraId="1B1E2182" w14:textId="77777777" w:rsidR="00D173CB" w:rsidRPr="00E5288A" w:rsidRDefault="00D173CB" w:rsidP="00D173CB">
      <w:pPr>
        <w:rPr>
          <w:sz w:val="12"/>
          <w:szCs w:val="12"/>
        </w:rPr>
      </w:pPr>
      <w:r w:rsidRPr="00E5288A">
        <w:rPr>
          <w:sz w:val="12"/>
          <w:szCs w:val="12"/>
        </w:rPr>
        <w:t>[Updated 1:13 p.m. PDT, Aug. 3, 2013: In a statement, Apple said, “We applaud the administration for standing up for innovation in this landmark case. Samsung was wrong to abuse the patent system in this way.”]</w:t>
      </w:r>
    </w:p>
    <w:p w14:paraId="6DF82A80" w14:textId="77777777" w:rsidR="00D173CB" w:rsidRPr="00E5288A" w:rsidRDefault="00D173CB" w:rsidP="00D173CB">
      <w:pPr>
        <w:rPr>
          <w:sz w:val="12"/>
          <w:szCs w:val="12"/>
        </w:rPr>
      </w:pPr>
      <w:r w:rsidRPr="00E5288A">
        <w:rPr>
          <w:sz w:val="12"/>
          <w:szCs w:val="12"/>
        </w:rPr>
        <w:t>[Updated 1:38 p.m. PDT, Aug. 3, 2013: It it’s own statement, Samsung said, “We are disappointed that the U.S. trade representative has decided to set aside the exclusion order issued by the U.S. International Trade Commission. The ITC’s decision correctly recognized that Samsung has been negotiating in good faith and that Apple remains unwilling to take a license.”]</w:t>
      </w:r>
    </w:p>
    <w:p w14:paraId="64836C21" w14:textId="77777777" w:rsidR="00D173CB" w:rsidRPr="00E5288A" w:rsidRDefault="00D173CB" w:rsidP="00D173CB">
      <w:pPr>
        <w:rPr>
          <w:sz w:val="12"/>
          <w:szCs w:val="12"/>
        </w:rPr>
      </w:pPr>
      <w:r w:rsidRPr="00E5288A">
        <w:rPr>
          <w:sz w:val="12"/>
          <w:szCs w:val="12"/>
        </w:rPr>
        <w:t>The import ban would have applied to the iPhone 4 and iPad 2 3G models that run on networks operated by AT&amp;T; and T-Mobile, as well as two regional carriers in Texas and Alaska.</w:t>
      </w:r>
    </w:p>
    <w:p w14:paraId="20D822F4" w14:textId="77777777" w:rsidR="00D173CB" w:rsidRPr="00E5288A" w:rsidRDefault="00D173CB" w:rsidP="00D173CB">
      <w:pPr>
        <w:rPr>
          <w:sz w:val="12"/>
          <w:szCs w:val="12"/>
        </w:rPr>
      </w:pPr>
      <w:r w:rsidRPr="00E5288A">
        <w:rPr>
          <w:sz w:val="12"/>
          <w:szCs w:val="12"/>
        </w:rPr>
        <w:t>Newer and more popular devices such as the iPad mini and the iPhone 5 were not covered in the potential ban, which had been scheduled to go into effect August 4.</w:t>
      </w:r>
    </w:p>
    <w:p w14:paraId="1EC1B2E0" w14:textId="77777777" w:rsidR="00D173CB" w:rsidRPr="00E5288A" w:rsidRDefault="00D173CB" w:rsidP="00D173CB">
      <w:pPr>
        <w:rPr>
          <w:sz w:val="12"/>
          <w:szCs w:val="12"/>
        </w:rPr>
      </w:pPr>
      <w:r w:rsidRPr="00E5288A">
        <w:rPr>
          <w:sz w:val="12"/>
          <w:szCs w:val="12"/>
        </w:rPr>
        <w:t>While it’s hard to gauge the sales of devices like the iPhone 4, because Apple does not break out sales by device version, the older model remains popular among newer smartphone buyers who are more price conscious.</w:t>
      </w:r>
    </w:p>
    <w:p w14:paraId="07F7F2C0" w14:textId="77777777" w:rsidR="00D173CB" w:rsidRPr="00E5288A" w:rsidRDefault="00D173CB" w:rsidP="00D173CB">
      <w:pPr>
        <w:rPr>
          <w:sz w:val="12"/>
          <w:szCs w:val="12"/>
        </w:rPr>
      </w:pPr>
      <w:r w:rsidRPr="00E5288A">
        <w:rPr>
          <w:sz w:val="12"/>
          <w:szCs w:val="12"/>
        </w:rPr>
        <w:t>Many carriers offer the iPhone 4 for free, or almost free, in exchange for a contract.</w:t>
      </w:r>
    </w:p>
    <w:p w14:paraId="4E286C24" w14:textId="77777777" w:rsidR="00D173CB" w:rsidRPr="00E5288A" w:rsidRDefault="00D173CB" w:rsidP="00D173CB">
      <w:pPr>
        <w:rPr>
          <w:sz w:val="12"/>
          <w:szCs w:val="12"/>
        </w:rPr>
      </w:pPr>
      <w:r w:rsidRPr="00E5288A">
        <w:rPr>
          <w:sz w:val="12"/>
          <w:szCs w:val="12"/>
        </w:rPr>
        <w:t>“What we have seen is that the number of first-time smartphone buyers that the iPhone 4 is attracting is very, very impressive,” Apple Chief Executive Tim Cook said on the company’s most recent earnings call. “And we want to attract as many of these buyers as we can.”</w:t>
      </w:r>
    </w:p>
    <w:p w14:paraId="7FC98A59" w14:textId="77777777" w:rsidR="00D173CB" w:rsidRDefault="00D173CB" w:rsidP="00D173CB">
      <w:r w:rsidRPr="00E5288A">
        <w:rPr>
          <w:rStyle w:val="StyleUnderline"/>
        </w:rPr>
        <w:t>Samsung and Apple had been negotating</w:t>
      </w:r>
      <w:r>
        <w:t xml:space="preserve"> a licensing deal for the patent, but talks eventually broke down and </w:t>
      </w:r>
      <w:r w:rsidRPr="00E5288A">
        <w:rPr>
          <w:rStyle w:val="StyleUnderline"/>
        </w:rPr>
        <w:t>Samsung took the matter to the ITC</w:t>
      </w:r>
      <w:r>
        <w:t>. According to reports, Samsung wanted about $18 per phone, a figure Appled deemed too high.</w:t>
      </w:r>
    </w:p>
    <w:p w14:paraId="71CD8066" w14:textId="77777777" w:rsidR="00D173CB" w:rsidRDefault="00D173CB" w:rsidP="00D173CB">
      <w:r>
        <w:t xml:space="preserve">Froman emphasized in his letter that he was not making a decision about the merits of Samsung’s case, or its right to seek compensation. Rather, he emphasized that </w:t>
      </w:r>
      <w:r w:rsidRPr="00E5288A">
        <w:rPr>
          <w:rStyle w:val="StyleUnderline"/>
        </w:rPr>
        <w:t>because the patent in question was now a widely held technology standard, banning the products in question would be too disruptive to consumers and the economy</w:t>
      </w:r>
      <w:r>
        <w:t>.</w:t>
      </w:r>
    </w:p>
    <w:p w14:paraId="02DD4357" w14:textId="0CB7302C" w:rsidR="00D173CB" w:rsidRDefault="0069093E" w:rsidP="0069093E">
      <w:pPr>
        <w:pStyle w:val="Heading3"/>
      </w:pPr>
      <w:r>
        <w:t>Deficit---NPEs---2</w:t>
      </w:r>
      <w:r w:rsidR="00C85950">
        <w:t>A</w:t>
      </w:r>
      <w:r>
        <w:t>C</w:t>
      </w:r>
    </w:p>
    <w:p w14:paraId="45F79B2E" w14:textId="77777777" w:rsidR="0069093E" w:rsidRDefault="0069093E" w:rsidP="0069093E">
      <w:pPr>
        <w:pStyle w:val="Heading4"/>
      </w:pPr>
      <w:r>
        <w:t>ITC discourages trade, economic growth and innovation by encouraging NPEs to abuse litigation.</w:t>
      </w:r>
    </w:p>
    <w:p w14:paraId="4708FDD1" w14:textId="77777777" w:rsidR="0069093E" w:rsidRDefault="0069093E" w:rsidP="0069093E">
      <w:r>
        <w:t xml:space="preserve">Wayne </w:t>
      </w:r>
      <w:r w:rsidRPr="0047544E">
        <w:rPr>
          <w:rStyle w:val="Style13ptBold"/>
        </w:rPr>
        <w:t>Winegarden 22</w:t>
      </w:r>
      <w:r>
        <w:t xml:space="preserve">, </w:t>
      </w:r>
      <w:r w:rsidRPr="0047544E">
        <w:t>Senior Fellow in Business and Economics at the Pacific Research Institute and the Director of PRI's Center for Medical Economics and Innovation</w:t>
      </w:r>
      <w:r>
        <w:t>, 02/21/2022, “</w:t>
      </w:r>
      <w:r w:rsidRPr="0047544E">
        <w:t>The ITC Is Subsidizing Patent Trolls</w:t>
      </w:r>
      <w:r>
        <w:t xml:space="preserve">,” </w:t>
      </w:r>
      <w:r w:rsidRPr="0047544E">
        <w:t>https://www.forbes.com/sites/waynewinegarden/2022/02/19/the-itc-is-subsidizing-patent-trolls/</w:t>
      </w:r>
      <w:r>
        <w:t>, avr</w:t>
      </w:r>
    </w:p>
    <w:p w14:paraId="3EFE070E" w14:textId="77777777" w:rsidR="0069093E" w:rsidRPr="0047544E" w:rsidRDefault="0069093E" w:rsidP="0069093E">
      <w:pPr>
        <w:rPr>
          <w:sz w:val="16"/>
        </w:rPr>
      </w:pPr>
      <w:r w:rsidRPr="0047544E">
        <w:rPr>
          <w:sz w:val="16"/>
        </w:rPr>
        <w:t>President Reagan presciently noted that the “government does not solve problems. It subsidizes them.” The implicit subsidization of patent trolls by the International Trade Commission (ITC) exemplifies this tendency.</w:t>
      </w:r>
    </w:p>
    <w:p w14:paraId="32616C8B" w14:textId="77777777" w:rsidR="0069093E" w:rsidRPr="0047544E" w:rsidRDefault="0069093E" w:rsidP="0069093E">
      <w:pPr>
        <w:rPr>
          <w:sz w:val="16"/>
        </w:rPr>
      </w:pPr>
      <w:r w:rsidRPr="0047544E">
        <w:rPr>
          <w:sz w:val="16"/>
        </w:rPr>
        <w:t xml:space="preserve">The </w:t>
      </w:r>
      <w:r w:rsidRPr="0047544E">
        <w:rPr>
          <w:rStyle w:val="Emphasis"/>
        </w:rPr>
        <w:t>ITC</w:t>
      </w:r>
      <w:r w:rsidRPr="0047544E">
        <w:rPr>
          <w:rStyle w:val="StyleUnderline"/>
        </w:rPr>
        <w:t xml:space="preserve"> is an independent government agency</w:t>
      </w:r>
      <w:r w:rsidRPr="0047544E">
        <w:rPr>
          <w:sz w:val="16"/>
        </w:rPr>
        <w:t xml:space="preserve">, which </w:t>
      </w:r>
      <w:r w:rsidRPr="0047544E">
        <w:rPr>
          <w:rStyle w:val="StyleUnderline"/>
        </w:rPr>
        <w:t>describes itself as empowered to</w:t>
      </w:r>
      <w:r w:rsidRPr="0047544E">
        <w:rPr>
          <w:sz w:val="16"/>
        </w:rPr>
        <w:t xml:space="preserve"> “</w:t>
      </w:r>
      <w:r w:rsidRPr="0047544E">
        <w:rPr>
          <w:rStyle w:val="Emphasis"/>
        </w:rPr>
        <w:t>investigate</w:t>
      </w:r>
      <w:r w:rsidRPr="0047544E">
        <w:rPr>
          <w:rStyle w:val="StyleUnderline"/>
        </w:rPr>
        <w:t xml:space="preserve"> and make </w:t>
      </w:r>
      <w:r w:rsidRPr="0047544E">
        <w:rPr>
          <w:rStyle w:val="Emphasis"/>
        </w:rPr>
        <w:t>determinations</w:t>
      </w:r>
      <w:r w:rsidRPr="0047544E">
        <w:rPr>
          <w:rStyle w:val="StyleUnderline"/>
        </w:rPr>
        <w:t xml:space="preserve"> in proceedings involving imports claimed to injure a </w:t>
      </w:r>
      <w:r w:rsidRPr="0047544E">
        <w:rPr>
          <w:rStyle w:val="Emphasis"/>
        </w:rPr>
        <w:t>domestic</w:t>
      </w:r>
      <w:r w:rsidRPr="0047544E">
        <w:rPr>
          <w:rStyle w:val="StyleUnderline"/>
        </w:rPr>
        <w:t xml:space="preserve"> industry or violate U.S. </w:t>
      </w:r>
      <w:r w:rsidRPr="0047544E">
        <w:rPr>
          <w:rStyle w:val="Emphasis"/>
        </w:rPr>
        <w:t>i</w:t>
      </w:r>
      <w:r w:rsidRPr="0047544E">
        <w:rPr>
          <w:rStyle w:val="StyleUnderline"/>
        </w:rPr>
        <w:t xml:space="preserve">ntellectual </w:t>
      </w:r>
      <w:r w:rsidRPr="0047544E">
        <w:rPr>
          <w:rStyle w:val="Emphasis"/>
        </w:rPr>
        <w:t>p</w:t>
      </w:r>
      <w:r w:rsidRPr="0047544E">
        <w:rPr>
          <w:rStyle w:val="StyleUnderline"/>
        </w:rPr>
        <w:t xml:space="preserve">roperty </w:t>
      </w:r>
      <w:r w:rsidRPr="0047544E">
        <w:rPr>
          <w:rStyle w:val="Emphasis"/>
        </w:rPr>
        <w:t>r</w:t>
      </w:r>
      <w:r w:rsidRPr="0047544E">
        <w:rPr>
          <w:rStyle w:val="StyleUnderline"/>
        </w:rPr>
        <w:t>igh</w:t>
      </w:r>
      <w:r w:rsidRPr="00B40FFA">
        <w:rPr>
          <w:rStyle w:val="StyleUnderline"/>
        </w:rPr>
        <w:t>ts</w:t>
      </w:r>
      <w:r w:rsidRPr="0047544E">
        <w:rPr>
          <w:sz w:val="16"/>
        </w:rPr>
        <w:t xml:space="preserve">”. This </w:t>
      </w:r>
      <w:r w:rsidRPr="00B40FFA">
        <w:rPr>
          <w:rStyle w:val="StyleUnderline"/>
        </w:rPr>
        <w:t xml:space="preserve">description overstates the </w:t>
      </w:r>
      <w:r w:rsidRPr="0047544E">
        <w:rPr>
          <w:rStyle w:val="StyleUnderline"/>
          <w:highlight w:val="cyan"/>
        </w:rPr>
        <w:t>ITC</w:t>
      </w:r>
      <w:r w:rsidRPr="00B40FFA">
        <w:rPr>
          <w:rStyle w:val="StyleUnderline"/>
        </w:rPr>
        <w:t>’s actual mandate</w:t>
      </w:r>
      <w:r w:rsidRPr="0047544E">
        <w:rPr>
          <w:sz w:val="16"/>
        </w:rPr>
        <w:t xml:space="preserve">, and </w:t>
      </w:r>
      <w:r w:rsidRPr="0047544E">
        <w:rPr>
          <w:rStyle w:val="StyleUnderline"/>
          <w:highlight w:val="cyan"/>
        </w:rPr>
        <w:t xml:space="preserve">underscores how granting </w:t>
      </w:r>
      <w:r w:rsidRPr="00B40FFA">
        <w:rPr>
          <w:rStyle w:val="StyleUnderline"/>
          <w:highlight w:val="cyan"/>
        </w:rPr>
        <w:t xml:space="preserve">broad authority </w:t>
      </w:r>
      <w:r w:rsidRPr="00B40FFA">
        <w:rPr>
          <w:rStyle w:val="StyleUnderline"/>
        </w:rPr>
        <w:t>to</w:t>
      </w:r>
      <w:r w:rsidRPr="0047544E">
        <w:rPr>
          <w:sz w:val="16"/>
        </w:rPr>
        <w:t xml:space="preserve"> a </w:t>
      </w:r>
      <w:r w:rsidRPr="00B40FFA">
        <w:rPr>
          <w:rStyle w:val="StyleUnderline"/>
        </w:rPr>
        <w:t>quasi-judicial agency</w:t>
      </w:r>
      <w:r w:rsidRPr="0047544E">
        <w:rPr>
          <w:sz w:val="16"/>
        </w:rPr>
        <w:t xml:space="preserve"> </w:t>
      </w:r>
      <w:r w:rsidRPr="00B40FFA">
        <w:rPr>
          <w:rStyle w:val="StyleUnderline"/>
          <w:highlight w:val="cyan"/>
        </w:rPr>
        <w:t xml:space="preserve">is a recipe for government </w:t>
      </w:r>
      <w:r w:rsidRPr="00B40FFA">
        <w:rPr>
          <w:rStyle w:val="Emphasis"/>
          <w:highlight w:val="cyan"/>
        </w:rPr>
        <w:t>over-reach</w:t>
      </w:r>
      <w:r w:rsidRPr="0047544E">
        <w:rPr>
          <w:sz w:val="16"/>
        </w:rPr>
        <w:t xml:space="preserve"> </w:t>
      </w:r>
      <w:r w:rsidRPr="00B40FFA">
        <w:rPr>
          <w:rStyle w:val="StyleUnderline"/>
          <w:highlight w:val="cyan"/>
        </w:rPr>
        <w:t>and</w:t>
      </w:r>
      <w:r w:rsidRPr="0047544E">
        <w:rPr>
          <w:sz w:val="16"/>
        </w:rPr>
        <w:t xml:space="preserve">, ultimately, </w:t>
      </w:r>
      <w:r w:rsidRPr="00B40FFA">
        <w:rPr>
          <w:rStyle w:val="StyleUnderline"/>
          <w:highlight w:val="cyan"/>
        </w:rPr>
        <w:t>economic harm</w:t>
      </w:r>
      <w:r w:rsidRPr="0047544E">
        <w:rPr>
          <w:sz w:val="16"/>
        </w:rPr>
        <w:t>.</w:t>
      </w:r>
    </w:p>
    <w:p w14:paraId="5E8DDCC6" w14:textId="77777777" w:rsidR="0069093E" w:rsidRPr="0047544E" w:rsidRDefault="0069093E" w:rsidP="0069093E">
      <w:pPr>
        <w:rPr>
          <w:sz w:val="16"/>
        </w:rPr>
      </w:pPr>
      <w:r w:rsidRPr="0047544E">
        <w:rPr>
          <w:sz w:val="16"/>
        </w:rPr>
        <w:t xml:space="preserve">Expanding global </w:t>
      </w:r>
      <w:r w:rsidRPr="00B40FFA">
        <w:rPr>
          <w:rStyle w:val="StyleUnderline"/>
          <w:highlight w:val="cyan"/>
        </w:rPr>
        <w:t>trade</w:t>
      </w:r>
      <w:r w:rsidRPr="0047544E">
        <w:rPr>
          <w:sz w:val="16"/>
        </w:rPr>
        <w:t xml:space="preserve"> </w:t>
      </w:r>
      <w:r w:rsidRPr="00B40FFA">
        <w:rPr>
          <w:rStyle w:val="StyleUnderline"/>
        </w:rPr>
        <w:t>improves the general prosperity</w:t>
      </w:r>
      <w:r w:rsidRPr="0047544E">
        <w:rPr>
          <w:sz w:val="16"/>
        </w:rPr>
        <w:t xml:space="preserve">, but also </w:t>
      </w:r>
      <w:r w:rsidRPr="00B40FFA">
        <w:rPr>
          <w:rStyle w:val="StyleUnderline"/>
          <w:highlight w:val="cyan"/>
        </w:rPr>
        <w:t>can impose painful transition costs for</w:t>
      </w:r>
      <w:r w:rsidRPr="0047544E">
        <w:rPr>
          <w:sz w:val="16"/>
        </w:rPr>
        <w:t xml:space="preserve"> specific </w:t>
      </w:r>
      <w:r w:rsidRPr="00B40FFA">
        <w:rPr>
          <w:rStyle w:val="StyleUnderline"/>
          <w:highlight w:val="cyan"/>
        </w:rPr>
        <w:t xml:space="preserve">domestic </w:t>
      </w:r>
      <w:r w:rsidRPr="00B40FFA">
        <w:rPr>
          <w:rStyle w:val="Emphasis"/>
          <w:highlight w:val="cyan"/>
        </w:rPr>
        <w:t>competitors</w:t>
      </w:r>
      <w:r w:rsidRPr="0047544E">
        <w:rPr>
          <w:sz w:val="16"/>
        </w:rPr>
        <w:t xml:space="preserve">. There is </w:t>
      </w:r>
      <w:r w:rsidRPr="00B40FFA">
        <w:rPr>
          <w:rStyle w:val="StyleUnderline"/>
        </w:rPr>
        <w:t>nothing unusual about this process</w:t>
      </w:r>
      <w:r w:rsidRPr="0047544E">
        <w:rPr>
          <w:sz w:val="16"/>
        </w:rPr>
        <w:t xml:space="preserve">, however. </w:t>
      </w:r>
      <w:r w:rsidRPr="00B40FFA">
        <w:rPr>
          <w:rStyle w:val="StyleUnderline"/>
        </w:rPr>
        <w:t>Economic growth is inherently a process of creative destruction</w:t>
      </w:r>
      <w:r w:rsidRPr="0047544E">
        <w:rPr>
          <w:sz w:val="16"/>
        </w:rPr>
        <w:t xml:space="preserve">, and it is </w:t>
      </w:r>
      <w:r w:rsidRPr="00B40FFA">
        <w:rPr>
          <w:rStyle w:val="StyleUnderline"/>
        </w:rPr>
        <w:t>reasonable to wonder why the downside costs</w:t>
      </w:r>
      <w:r w:rsidRPr="0047544E">
        <w:rPr>
          <w:sz w:val="16"/>
        </w:rPr>
        <w:t xml:space="preserve"> deserve special attention when they are </w:t>
      </w:r>
      <w:r w:rsidRPr="00B40FFA">
        <w:rPr>
          <w:rStyle w:val="StyleUnderline"/>
        </w:rPr>
        <w:t>caused by expanding international trade</w:t>
      </w:r>
      <w:r w:rsidRPr="0047544E">
        <w:rPr>
          <w:sz w:val="16"/>
        </w:rPr>
        <w:t xml:space="preserve"> rather than expanding domestic trade.</w:t>
      </w:r>
    </w:p>
    <w:p w14:paraId="035B6E53" w14:textId="77777777" w:rsidR="0069093E" w:rsidRPr="0047544E" w:rsidRDefault="0069093E" w:rsidP="0069093E">
      <w:pPr>
        <w:rPr>
          <w:sz w:val="16"/>
        </w:rPr>
      </w:pPr>
      <w:r w:rsidRPr="0047544E">
        <w:rPr>
          <w:sz w:val="16"/>
        </w:rPr>
        <w:t xml:space="preserve">Nevertheless, this is </w:t>
      </w:r>
      <w:r w:rsidRPr="00B40FFA">
        <w:rPr>
          <w:rStyle w:val="StyleUnderline"/>
        </w:rPr>
        <w:t>the problem that the ITC is designed to solve</w:t>
      </w:r>
      <w:r w:rsidRPr="0047544E">
        <w:rPr>
          <w:sz w:val="16"/>
        </w:rPr>
        <w:t xml:space="preserve">. Instead of addressing this problem, the </w:t>
      </w:r>
      <w:r w:rsidRPr="00B40FFA">
        <w:rPr>
          <w:rStyle w:val="StyleUnderline"/>
          <w:highlight w:val="cyan"/>
        </w:rPr>
        <w:t>ITC too often makes things worse</w:t>
      </w:r>
      <w:r w:rsidRPr="0047544E">
        <w:rPr>
          <w:sz w:val="16"/>
        </w:rPr>
        <w:t xml:space="preserve"> because, as the old saying goes, “</w:t>
      </w:r>
      <w:r w:rsidRPr="00B40FFA">
        <w:rPr>
          <w:rStyle w:val="StyleUnderline"/>
          <w:highlight w:val="cyan"/>
        </w:rPr>
        <w:t>everything looks like a nail to a hammer”</w:t>
      </w:r>
      <w:r w:rsidRPr="0047544E">
        <w:rPr>
          <w:sz w:val="16"/>
        </w:rPr>
        <w:t>.</w:t>
      </w:r>
    </w:p>
    <w:p w14:paraId="65A42A2F" w14:textId="77777777" w:rsidR="0069093E" w:rsidRPr="0047544E" w:rsidRDefault="0069093E" w:rsidP="0069093E">
      <w:pPr>
        <w:rPr>
          <w:sz w:val="16"/>
        </w:rPr>
      </w:pPr>
      <w:r w:rsidRPr="0047544E">
        <w:rPr>
          <w:sz w:val="16"/>
        </w:rPr>
        <w:t xml:space="preserve">In the </w:t>
      </w:r>
      <w:r w:rsidRPr="00B40FFA">
        <w:rPr>
          <w:rStyle w:val="StyleUnderline"/>
        </w:rPr>
        <w:t>case of the ITC</w:t>
      </w:r>
      <w:r w:rsidRPr="0047544E">
        <w:rPr>
          <w:sz w:val="16"/>
        </w:rPr>
        <w:t xml:space="preserve">, </w:t>
      </w:r>
      <w:r w:rsidRPr="00B40FFA">
        <w:rPr>
          <w:rStyle w:val="StyleUnderline"/>
          <w:highlight w:val="cyan"/>
        </w:rPr>
        <w:t>there appears to be a predisposition against</w:t>
      </w:r>
      <w:r w:rsidRPr="0047544E">
        <w:rPr>
          <w:sz w:val="16"/>
        </w:rPr>
        <w:t xml:space="preserve"> the </w:t>
      </w:r>
      <w:r w:rsidRPr="00B40FFA">
        <w:rPr>
          <w:rStyle w:val="StyleUnderline"/>
        </w:rPr>
        <w:t>benefits created</w:t>
      </w:r>
      <w:r w:rsidRPr="0047544E">
        <w:rPr>
          <w:sz w:val="16"/>
        </w:rPr>
        <w:t xml:space="preserve"> by </w:t>
      </w:r>
      <w:r w:rsidRPr="00B40FFA">
        <w:rPr>
          <w:rStyle w:val="Emphasis"/>
          <w:highlight w:val="cyan"/>
        </w:rPr>
        <w:t>international</w:t>
      </w:r>
      <w:r w:rsidRPr="00B40FFA">
        <w:rPr>
          <w:rStyle w:val="StyleUnderline"/>
          <w:highlight w:val="cyan"/>
        </w:rPr>
        <w:t xml:space="preserve"> trade</w:t>
      </w:r>
      <w:r w:rsidRPr="0047544E">
        <w:rPr>
          <w:sz w:val="16"/>
        </w:rPr>
        <w:t xml:space="preserve">. A 2021 report published by the </w:t>
      </w:r>
      <w:r w:rsidRPr="00B40FFA">
        <w:rPr>
          <w:rStyle w:val="StyleUnderline"/>
          <w:highlight w:val="cyan"/>
        </w:rPr>
        <w:t>ITC</w:t>
      </w:r>
      <w:r w:rsidRPr="0047544E">
        <w:rPr>
          <w:sz w:val="16"/>
        </w:rPr>
        <w:t xml:space="preserve"> claims that </w:t>
      </w:r>
      <w:r w:rsidRPr="00B40FFA">
        <w:rPr>
          <w:rStyle w:val="StyleUnderline"/>
        </w:rPr>
        <w:t>the international trade agreements</w:t>
      </w:r>
      <w:r w:rsidRPr="0047544E">
        <w:rPr>
          <w:sz w:val="16"/>
        </w:rPr>
        <w:t xml:space="preserve"> the U.S. has entered in to since 1984 have only had a </w:t>
      </w:r>
      <w:r w:rsidRPr="00B40FFA">
        <w:rPr>
          <w:rStyle w:val="StyleUnderline"/>
        </w:rPr>
        <w:t>small positive impact on the U.S. economy</w:t>
      </w:r>
      <w:r w:rsidRPr="0047544E">
        <w:rPr>
          <w:sz w:val="16"/>
        </w:rPr>
        <w:t xml:space="preserve">. This minimization of </w:t>
      </w:r>
      <w:r w:rsidRPr="00B40FFA">
        <w:rPr>
          <w:rStyle w:val="StyleUnderline"/>
        </w:rPr>
        <w:t>free trade’s benefits has cheered protectionists</w:t>
      </w:r>
      <w:r w:rsidRPr="0047544E">
        <w:rPr>
          <w:sz w:val="16"/>
        </w:rPr>
        <w:t xml:space="preserve">, but the </w:t>
      </w:r>
      <w:r w:rsidRPr="00B40FFA">
        <w:rPr>
          <w:rStyle w:val="StyleUnderline"/>
          <w:highlight w:val="cyan"/>
        </w:rPr>
        <w:t xml:space="preserve">report was </w:t>
      </w:r>
      <w:r w:rsidRPr="00B40FFA">
        <w:rPr>
          <w:rStyle w:val="Emphasis"/>
          <w:highlight w:val="cyan"/>
        </w:rPr>
        <w:t>plagued</w:t>
      </w:r>
      <w:r w:rsidRPr="00B40FFA">
        <w:rPr>
          <w:rStyle w:val="StyleUnderline"/>
          <w:highlight w:val="cyan"/>
        </w:rPr>
        <w:t xml:space="preserve"> with crucial flaws</w:t>
      </w:r>
      <w:r w:rsidRPr="0047544E">
        <w:rPr>
          <w:sz w:val="16"/>
        </w:rPr>
        <w:t>.</w:t>
      </w:r>
    </w:p>
    <w:p w14:paraId="65F34A94" w14:textId="77777777" w:rsidR="0069093E" w:rsidRPr="0047544E" w:rsidRDefault="0069093E" w:rsidP="0069093E">
      <w:pPr>
        <w:rPr>
          <w:sz w:val="16"/>
        </w:rPr>
      </w:pPr>
      <w:r w:rsidRPr="0047544E">
        <w:rPr>
          <w:sz w:val="16"/>
        </w:rPr>
        <w:t xml:space="preserve">In fact, most studies find that </w:t>
      </w:r>
      <w:r w:rsidRPr="00B40FFA">
        <w:rPr>
          <w:rStyle w:val="StyleUnderline"/>
        </w:rPr>
        <w:t>international trade agreements have substantially improved the welfare of Americans</w:t>
      </w:r>
      <w:r w:rsidRPr="0047544E">
        <w:rPr>
          <w:sz w:val="16"/>
        </w:rPr>
        <w:t xml:space="preserve"> of all income levels. For instance, President Obama’s Council of Economic Advisors documented that </w:t>
      </w:r>
      <w:r w:rsidRPr="00B40FFA">
        <w:rPr>
          <w:rStyle w:val="StyleUnderline"/>
        </w:rPr>
        <w:t>U.S. free trade agreements have increased middle class Americans</w:t>
      </w:r>
      <w:r w:rsidRPr="0047544E">
        <w:rPr>
          <w:sz w:val="16"/>
        </w:rPr>
        <w:t xml:space="preserve"> purchasing power by 29 percent, </w:t>
      </w:r>
      <w:r w:rsidRPr="00B40FFA">
        <w:rPr>
          <w:rStyle w:val="StyleUnderline"/>
        </w:rPr>
        <w:t>increased the average wage for a middle class worker by $1,300</w:t>
      </w:r>
      <w:r w:rsidRPr="0047544E">
        <w:rPr>
          <w:sz w:val="16"/>
        </w:rPr>
        <w:t xml:space="preserve">, improved U.S. productivity (which is essential for raising our overall standard of living), and </w:t>
      </w:r>
      <w:r w:rsidRPr="00B40FFA">
        <w:rPr>
          <w:rStyle w:val="StyleUnderline"/>
        </w:rPr>
        <w:t>increased the amount of agricultural exports</w:t>
      </w:r>
      <w:r w:rsidRPr="0047544E">
        <w:rPr>
          <w:sz w:val="16"/>
        </w:rPr>
        <w:t xml:space="preserve"> by </w:t>
      </w:r>
      <w:r w:rsidRPr="00B40FFA">
        <w:rPr>
          <w:rStyle w:val="StyleUnderline"/>
        </w:rPr>
        <w:t>hundreds of billions of dollars</w:t>
      </w:r>
      <w:r w:rsidRPr="0047544E">
        <w:rPr>
          <w:sz w:val="16"/>
        </w:rPr>
        <w:t>.</w:t>
      </w:r>
    </w:p>
    <w:p w14:paraId="4180F31F" w14:textId="77777777" w:rsidR="0069093E" w:rsidRPr="0047544E" w:rsidRDefault="0069093E" w:rsidP="0069093E">
      <w:pPr>
        <w:rPr>
          <w:sz w:val="16"/>
        </w:rPr>
      </w:pPr>
      <w:r w:rsidRPr="0047544E">
        <w:rPr>
          <w:sz w:val="16"/>
        </w:rPr>
        <w:t xml:space="preserve">Even </w:t>
      </w:r>
      <w:r w:rsidRPr="00B40FFA">
        <w:rPr>
          <w:rStyle w:val="StyleUnderline"/>
          <w:highlight w:val="cyan"/>
        </w:rPr>
        <w:t xml:space="preserve">more </w:t>
      </w:r>
      <w:r w:rsidRPr="00B40FFA">
        <w:rPr>
          <w:rStyle w:val="Emphasis"/>
          <w:highlight w:val="cyan"/>
        </w:rPr>
        <w:t>concerning</w:t>
      </w:r>
      <w:r w:rsidRPr="00B40FFA">
        <w:rPr>
          <w:rStyle w:val="StyleUnderline"/>
          <w:highlight w:val="cyan"/>
        </w:rPr>
        <w:t xml:space="preserve"> is the ITC’s approach to</w:t>
      </w:r>
      <w:r w:rsidRPr="00B40FFA">
        <w:rPr>
          <w:rStyle w:val="StyleUnderline"/>
        </w:rPr>
        <w:t xml:space="preserve"> non-practicing entities</w:t>
      </w:r>
      <w:r w:rsidRPr="0047544E">
        <w:rPr>
          <w:sz w:val="16"/>
        </w:rPr>
        <w:t xml:space="preserve">, or </w:t>
      </w:r>
      <w:r w:rsidRPr="00B40FFA">
        <w:rPr>
          <w:rStyle w:val="StyleUnderline"/>
          <w:highlight w:val="cyan"/>
        </w:rPr>
        <w:t>patent trolls</w:t>
      </w:r>
      <w:r w:rsidRPr="0047544E">
        <w:rPr>
          <w:sz w:val="16"/>
        </w:rPr>
        <w:t xml:space="preserve">, where the </w:t>
      </w:r>
      <w:r w:rsidRPr="00B40FFA">
        <w:rPr>
          <w:rStyle w:val="StyleUnderline"/>
          <w:highlight w:val="cyan"/>
        </w:rPr>
        <w:t>ITC</w:t>
      </w:r>
      <w:r w:rsidRPr="0047544E">
        <w:rPr>
          <w:sz w:val="16"/>
        </w:rPr>
        <w:t xml:space="preserve"> actually </w:t>
      </w:r>
      <w:r w:rsidRPr="00B40FFA">
        <w:rPr>
          <w:rStyle w:val="StyleUnderline"/>
          <w:highlight w:val="cyan"/>
        </w:rPr>
        <w:t xml:space="preserve">seems to be </w:t>
      </w:r>
      <w:r w:rsidRPr="00B40FFA">
        <w:rPr>
          <w:rStyle w:val="Emphasis"/>
          <w:highlight w:val="cyan"/>
        </w:rPr>
        <w:t>ignoring</w:t>
      </w:r>
      <w:r w:rsidRPr="0047544E">
        <w:rPr>
          <w:sz w:val="16"/>
        </w:rPr>
        <w:t xml:space="preserve"> its </w:t>
      </w:r>
      <w:r w:rsidRPr="00B40FFA">
        <w:rPr>
          <w:rStyle w:val="StyleUnderline"/>
          <w:highlight w:val="cyan"/>
        </w:rPr>
        <w:t>statutory guardrails to help trolls</w:t>
      </w:r>
      <w:r w:rsidRPr="0047544E">
        <w:rPr>
          <w:sz w:val="16"/>
        </w:rPr>
        <w:t xml:space="preserve"> actively </w:t>
      </w:r>
      <w:r w:rsidRPr="00B40FFA">
        <w:rPr>
          <w:rStyle w:val="StyleUnderline"/>
          <w:highlight w:val="cyan"/>
        </w:rPr>
        <w:t>obstruct</w:t>
      </w:r>
      <w:r w:rsidRPr="0047544E">
        <w:rPr>
          <w:sz w:val="16"/>
        </w:rPr>
        <w:t xml:space="preserve"> the </w:t>
      </w:r>
      <w:r w:rsidRPr="00B40FFA">
        <w:rPr>
          <w:rStyle w:val="StyleUnderline"/>
        </w:rPr>
        <w:t>benefits created</w:t>
      </w:r>
      <w:r w:rsidRPr="0047544E">
        <w:rPr>
          <w:sz w:val="16"/>
        </w:rPr>
        <w:t xml:space="preserve"> by </w:t>
      </w:r>
      <w:r w:rsidRPr="00B40FFA">
        <w:rPr>
          <w:rStyle w:val="Emphasis"/>
          <w:highlight w:val="cyan"/>
        </w:rPr>
        <w:t>international</w:t>
      </w:r>
      <w:r w:rsidRPr="00B40FFA">
        <w:rPr>
          <w:rStyle w:val="StyleUnderline"/>
          <w:highlight w:val="cyan"/>
        </w:rPr>
        <w:t xml:space="preserve"> trade</w:t>
      </w:r>
      <w:r w:rsidRPr="0047544E">
        <w:rPr>
          <w:sz w:val="16"/>
        </w:rPr>
        <w:t xml:space="preserve">. </w:t>
      </w:r>
      <w:r w:rsidRPr="00B40FFA">
        <w:rPr>
          <w:rStyle w:val="StyleUnderline"/>
        </w:rPr>
        <w:t>Patent trolls are entities that obtain patents, often obscure patents, but do not use them to produce goods or services</w:t>
      </w:r>
      <w:r w:rsidRPr="0047544E">
        <w:rPr>
          <w:sz w:val="16"/>
        </w:rPr>
        <w:t xml:space="preserve"> (they are non-practicing). Instead, </w:t>
      </w:r>
      <w:r w:rsidRPr="00B40FFA">
        <w:rPr>
          <w:rStyle w:val="StyleUnderline"/>
        </w:rPr>
        <w:t>patent trolls acquire patents for the sole purpose of using the legal system to extort unwarranted payouts from innovative companies</w:t>
      </w:r>
      <w:r w:rsidRPr="0047544E">
        <w:rPr>
          <w:sz w:val="16"/>
        </w:rPr>
        <w:t xml:space="preserve">. This strategy is possible </w:t>
      </w:r>
      <w:r w:rsidRPr="00B40FFA">
        <w:rPr>
          <w:rStyle w:val="StyleUnderline"/>
        </w:rPr>
        <w:t>because many of the products we consume every day</w:t>
      </w:r>
      <w:r w:rsidRPr="0047544E">
        <w:rPr>
          <w:sz w:val="16"/>
        </w:rPr>
        <w:t xml:space="preserve"> – from smart phones to automobiles – </w:t>
      </w:r>
      <w:r w:rsidRPr="00B40FFA">
        <w:rPr>
          <w:rStyle w:val="StyleUnderline"/>
        </w:rPr>
        <w:t>utilize thousands, if not hundreds of thousands, of patents</w:t>
      </w:r>
      <w:r w:rsidRPr="0047544E">
        <w:rPr>
          <w:sz w:val="16"/>
        </w:rPr>
        <w:t>.</w:t>
      </w:r>
    </w:p>
    <w:p w14:paraId="0AFBC08F" w14:textId="77777777" w:rsidR="0069093E" w:rsidRPr="0047544E" w:rsidRDefault="0069093E" w:rsidP="0069093E">
      <w:pPr>
        <w:rPr>
          <w:sz w:val="16"/>
        </w:rPr>
      </w:pPr>
      <w:r w:rsidRPr="0047544E">
        <w:rPr>
          <w:sz w:val="16"/>
        </w:rPr>
        <w:t xml:space="preserve">Protecting </w:t>
      </w:r>
      <w:r w:rsidRPr="00B40FFA">
        <w:rPr>
          <w:rStyle w:val="StyleUnderline"/>
          <w:highlight w:val="cyan"/>
        </w:rPr>
        <w:t>legitimate patent rights</w:t>
      </w:r>
      <w:r w:rsidRPr="0047544E">
        <w:rPr>
          <w:sz w:val="16"/>
        </w:rPr>
        <w:t xml:space="preserve"> is </w:t>
      </w:r>
      <w:r w:rsidRPr="00B40FFA">
        <w:rPr>
          <w:rStyle w:val="StyleUnderline"/>
          <w:highlight w:val="cyan"/>
        </w:rPr>
        <w:t>essential for</w:t>
      </w:r>
      <w:r w:rsidRPr="0047544E">
        <w:rPr>
          <w:sz w:val="16"/>
        </w:rPr>
        <w:t xml:space="preserve"> fostering </w:t>
      </w:r>
      <w:r w:rsidRPr="00B40FFA">
        <w:rPr>
          <w:rStyle w:val="StyleUnderline"/>
          <w:highlight w:val="cyan"/>
        </w:rPr>
        <w:t xml:space="preserve">continued </w:t>
      </w:r>
      <w:r w:rsidRPr="00B40FFA">
        <w:rPr>
          <w:rStyle w:val="Emphasis"/>
          <w:highlight w:val="cyan"/>
        </w:rPr>
        <w:t>innovation</w:t>
      </w:r>
      <w:r w:rsidRPr="0047544E">
        <w:rPr>
          <w:sz w:val="16"/>
        </w:rPr>
        <w:t xml:space="preserve">, but </w:t>
      </w:r>
      <w:r w:rsidRPr="00B40FFA">
        <w:rPr>
          <w:rStyle w:val="StyleUnderline"/>
          <w:highlight w:val="cyan"/>
        </w:rPr>
        <w:t xml:space="preserve">so is discouraging </w:t>
      </w:r>
      <w:r w:rsidRPr="00B40FFA">
        <w:rPr>
          <w:rStyle w:val="Emphasis"/>
          <w:highlight w:val="cyan"/>
        </w:rPr>
        <w:t>frivolous</w:t>
      </w:r>
      <w:r w:rsidRPr="00B40FFA">
        <w:rPr>
          <w:rStyle w:val="StyleUnderline"/>
          <w:highlight w:val="cyan"/>
        </w:rPr>
        <w:t xml:space="preserve"> litigation</w:t>
      </w:r>
      <w:r w:rsidRPr="0047544E">
        <w:rPr>
          <w:sz w:val="16"/>
        </w:rPr>
        <w:t xml:space="preserve">. The U.S. court </w:t>
      </w:r>
      <w:r w:rsidRPr="00B40FFA">
        <w:rPr>
          <w:rStyle w:val="StyleUnderline"/>
        </w:rPr>
        <w:t>system reasonably balances the dual goals of protecting the rights of legitimate</w:t>
      </w:r>
      <w:r w:rsidRPr="0047544E">
        <w:rPr>
          <w:sz w:val="16"/>
        </w:rPr>
        <w:t xml:space="preserve"> patent holders and </w:t>
      </w:r>
      <w:r w:rsidRPr="00B40FFA">
        <w:rPr>
          <w:rStyle w:val="StyleUnderline"/>
        </w:rPr>
        <w:t>discouraging patent trolls from filing frivolous lawsuits</w:t>
      </w:r>
      <w:r w:rsidRPr="0047544E">
        <w:rPr>
          <w:sz w:val="16"/>
        </w:rPr>
        <w:t>.</w:t>
      </w:r>
    </w:p>
    <w:p w14:paraId="7716EEAF" w14:textId="77777777" w:rsidR="0069093E" w:rsidRPr="0047544E" w:rsidRDefault="0069093E" w:rsidP="0069093E">
      <w:pPr>
        <w:rPr>
          <w:sz w:val="16"/>
        </w:rPr>
      </w:pPr>
      <w:r w:rsidRPr="0047544E">
        <w:rPr>
          <w:sz w:val="16"/>
        </w:rPr>
        <w:t xml:space="preserve">The ITC has turned itself into a </w:t>
      </w:r>
      <w:r w:rsidRPr="00B40FFA">
        <w:rPr>
          <w:rStyle w:val="StyleUnderline"/>
        </w:rPr>
        <w:t>duplicative legal venue that offers non-practicing entities</w:t>
      </w:r>
      <w:r w:rsidRPr="0047544E">
        <w:rPr>
          <w:sz w:val="16"/>
        </w:rPr>
        <w:t xml:space="preserve"> a more </w:t>
      </w:r>
      <w:r w:rsidRPr="00B40FFA">
        <w:rPr>
          <w:rStyle w:val="StyleUnderline"/>
        </w:rPr>
        <w:t>favorable front to litigate these questions</w:t>
      </w:r>
      <w:r w:rsidRPr="0047544E">
        <w:rPr>
          <w:sz w:val="16"/>
        </w:rPr>
        <w:t xml:space="preserve">. Unlike the courts, the </w:t>
      </w:r>
      <w:r w:rsidRPr="00B40FFA">
        <w:rPr>
          <w:rStyle w:val="StyleUnderline"/>
        </w:rPr>
        <w:t>ITC fails to strike the right balance between protecting legitimate patents</w:t>
      </w:r>
      <w:r w:rsidRPr="0047544E">
        <w:rPr>
          <w:sz w:val="16"/>
        </w:rPr>
        <w:t xml:space="preserve"> and </w:t>
      </w:r>
      <w:r w:rsidRPr="0047544E">
        <w:rPr>
          <w:rStyle w:val="StyleUnderline"/>
        </w:rPr>
        <w:t>discouraging frivolous lawsuits</w:t>
      </w:r>
      <w:r w:rsidRPr="0047544E">
        <w:rPr>
          <w:sz w:val="16"/>
        </w:rPr>
        <w:t xml:space="preserve">. It fails to carefully </w:t>
      </w:r>
      <w:r w:rsidRPr="0047544E">
        <w:rPr>
          <w:rStyle w:val="StyleUnderline"/>
        </w:rPr>
        <w:t>assess whether exclusion will provide relief</w:t>
      </w:r>
      <w:r w:rsidRPr="0047544E">
        <w:rPr>
          <w:sz w:val="16"/>
        </w:rPr>
        <w:t xml:space="preserve"> to a real </w:t>
      </w:r>
      <w:r w:rsidRPr="0047544E">
        <w:rPr>
          <w:rStyle w:val="StyleUnderline"/>
        </w:rPr>
        <w:t>US domestic industry and gives only lip</w:t>
      </w:r>
      <w:r w:rsidRPr="0047544E">
        <w:rPr>
          <w:sz w:val="16"/>
        </w:rPr>
        <w:t xml:space="preserve"> service to the </w:t>
      </w:r>
      <w:r w:rsidRPr="0047544E">
        <w:rPr>
          <w:rStyle w:val="StyleUnderline"/>
        </w:rPr>
        <w:t>Congressional requirement that the public interest</w:t>
      </w:r>
      <w:r w:rsidRPr="0047544E">
        <w:rPr>
          <w:sz w:val="16"/>
        </w:rPr>
        <w:t xml:space="preserve"> be paramount in </w:t>
      </w:r>
      <w:r w:rsidRPr="0047544E">
        <w:rPr>
          <w:rStyle w:val="StyleUnderline"/>
        </w:rPr>
        <w:t>ITC actions</w:t>
      </w:r>
      <w:r w:rsidRPr="0047544E">
        <w:rPr>
          <w:sz w:val="16"/>
        </w:rPr>
        <w:t xml:space="preserve">. Making matters worse, the </w:t>
      </w:r>
      <w:r w:rsidRPr="0047544E">
        <w:rPr>
          <w:rStyle w:val="StyleUnderline"/>
          <w:highlight w:val="cyan"/>
        </w:rPr>
        <w:t xml:space="preserve">ITC’s only remedy is to impose an </w:t>
      </w:r>
      <w:r w:rsidRPr="0047544E">
        <w:rPr>
          <w:rStyle w:val="Emphasis"/>
          <w:highlight w:val="cyan"/>
        </w:rPr>
        <w:t>exclusion</w:t>
      </w:r>
      <w:r w:rsidRPr="0047544E">
        <w:rPr>
          <w:rStyle w:val="StyleUnderline"/>
          <w:highlight w:val="cyan"/>
        </w:rPr>
        <w:t xml:space="preserve"> order</w:t>
      </w:r>
      <w:r w:rsidRPr="0047544E">
        <w:rPr>
          <w:sz w:val="16"/>
        </w:rPr>
        <w:t>.</w:t>
      </w:r>
    </w:p>
    <w:p w14:paraId="45CFAD61" w14:textId="77777777" w:rsidR="0069093E" w:rsidRPr="0047544E" w:rsidRDefault="0069093E" w:rsidP="0069093E">
      <w:pPr>
        <w:rPr>
          <w:sz w:val="16"/>
        </w:rPr>
      </w:pPr>
      <w:r w:rsidRPr="0047544E">
        <w:rPr>
          <w:rStyle w:val="StyleUnderline"/>
        </w:rPr>
        <w:t>Exclusion orders prohibit</w:t>
      </w:r>
      <w:r w:rsidRPr="0047544E">
        <w:rPr>
          <w:sz w:val="16"/>
        </w:rPr>
        <w:t xml:space="preserve"> the </w:t>
      </w:r>
      <w:r w:rsidRPr="0047544E">
        <w:rPr>
          <w:rStyle w:val="StyleUnderline"/>
        </w:rPr>
        <w:t>innovative company from importing the infringing product</w:t>
      </w:r>
      <w:r w:rsidRPr="0047544E">
        <w:rPr>
          <w:sz w:val="16"/>
        </w:rPr>
        <w:t xml:space="preserve"> plus any </w:t>
      </w:r>
      <w:r w:rsidRPr="0047544E">
        <w:rPr>
          <w:rStyle w:val="StyleUnderline"/>
        </w:rPr>
        <w:t>downstream products into the U.S</w:t>
      </w:r>
      <w:r w:rsidRPr="0047544E">
        <w:rPr>
          <w:sz w:val="16"/>
        </w:rPr>
        <w:t xml:space="preserve">. This means that </w:t>
      </w:r>
      <w:r w:rsidRPr="0047544E">
        <w:rPr>
          <w:rStyle w:val="StyleUnderline"/>
          <w:highlight w:val="cyan"/>
        </w:rPr>
        <w:t xml:space="preserve">innovative companies face </w:t>
      </w:r>
      <w:r w:rsidRPr="0047544E">
        <w:rPr>
          <w:rStyle w:val="StyleUnderline"/>
        </w:rPr>
        <w:t xml:space="preserve">exceptionally </w:t>
      </w:r>
      <w:r w:rsidRPr="0047544E">
        <w:rPr>
          <w:rStyle w:val="StyleUnderline"/>
          <w:highlight w:val="cyan"/>
        </w:rPr>
        <w:t xml:space="preserve">large </w:t>
      </w:r>
      <w:r w:rsidRPr="0047544E">
        <w:rPr>
          <w:rStyle w:val="Emphasis"/>
          <w:highlight w:val="cyan"/>
        </w:rPr>
        <w:t>revenue</w:t>
      </w:r>
      <w:r w:rsidRPr="0047544E">
        <w:rPr>
          <w:sz w:val="16"/>
        </w:rPr>
        <w:t xml:space="preserve"> </w:t>
      </w:r>
      <w:r w:rsidRPr="0047544E">
        <w:rPr>
          <w:rStyle w:val="StyleUnderline"/>
          <w:highlight w:val="cyan"/>
        </w:rPr>
        <w:t>losses if the ITC</w:t>
      </w:r>
      <w:r w:rsidRPr="0047544E">
        <w:rPr>
          <w:rStyle w:val="StyleUnderline"/>
        </w:rPr>
        <w:t xml:space="preserve"> </w:t>
      </w:r>
      <w:r w:rsidRPr="0047544E">
        <w:rPr>
          <w:sz w:val="16"/>
        </w:rPr>
        <w:t xml:space="preserve">venue </w:t>
      </w:r>
      <w:r w:rsidRPr="0047544E">
        <w:rPr>
          <w:rStyle w:val="StyleUnderline"/>
          <w:highlight w:val="cyan"/>
        </w:rPr>
        <w:t>rules against them</w:t>
      </w:r>
      <w:r w:rsidRPr="0047544E">
        <w:rPr>
          <w:sz w:val="16"/>
        </w:rPr>
        <w:t xml:space="preserve">. The risk of facing these large losses </w:t>
      </w:r>
      <w:r w:rsidRPr="0047544E">
        <w:rPr>
          <w:rStyle w:val="StyleUnderline"/>
        </w:rPr>
        <w:t>encourages innovative companies to settle complaints</w:t>
      </w:r>
      <w:r w:rsidRPr="0047544E">
        <w:rPr>
          <w:sz w:val="16"/>
        </w:rPr>
        <w:t xml:space="preserve">, </w:t>
      </w:r>
      <w:r w:rsidRPr="0047544E">
        <w:rPr>
          <w:rStyle w:val="StyleUnderline"/>
        </w:rPr>
        <w:t>even frivolous complaints</w:t>
      </w:r>
      <w:r w:rsidRPr="0047544E">
        <w:rPr>
          <w:sz w:val="16"/>
        </w:rPr>
        <w:t xml:space="preserve">, on terms that </w:t>
      </w:r>
      <w:r w:rsidRPr="0047544E">
        <w:rPr>
          <w:rStyle w:val="StyleUnderline"/>
        </w:rPr>
        <w:t>excessively favor the patent troll</w:t>
      </w:r>
      <w:r w:rsidRPr="0047544E">
        <w:rPr>
          <w:sz w:val="16"/>
        </w:rPr>
        <w:t>.</w:t>
      </w:r>
    </w:p>
    <w:p w14:paraId="4B3B3B2E" w14:textId="77777777" w:rsidR="0069093E" w:rsidRPr="0047544E" w:rsidRDefault="0069093E" w:rsidP="0069093E">
      <w:pPr>
        <w:rPr>
          <w:sz w:val="16"/>
        </w:rPr>
      </w:pPr>
      <w:r w:rsidRPr="0047544E">
        <w:rPr>
          <w:sz w:val="16"/>
        </w:rPr>
        <w:t>Not surprising, many patent trolls are using litigation at the ITC for precisely these goals. According to the ITC’s own data, NPEs filed nearly one-fifth of all ITC investigations between 2007 and 2021.</w:t>
      </w:r>
    </w:p>
    <w:p w14:paraId="3A5A1E7D" w14:textId="77777777" w:rsidR="0069093E" w:rsidRPr="0047544E" w:rsidRDefault="0069093E" w:rsidP="0069093E">
      <w:pPr>
        <w:rPr>
          <w:sz w:val="16"/>
        </w:rPr>
      </w:pPr>
      <w:r w:rsidRPr="0047544E">
        <w:rPr>
          <w:sz w:val="16"/>
        </w:rPr>
        <w:t xml:space="preserve">The incentives to use </w:t>
      </w:r>
      <w:r w:rsidRPr="0047544E">
        <w:rPr>
          <w:rStyle w:val="StyleUnderline"/>
          <w:highlight w:val="cyan"/>
        </w:rPr>
        <w:t>ITC litigation</w:t>
      </w:r>
      <w:r w:rsidRPr="0047544E">
        <w:rPr>
          <w:sz w:val="16"/>
        </w:rPr>
        <w:t xml:space="preserve"> to gain leverage during </w:t>
      </w:r>
      <w:r w:rsidRPr="0047544E">
        <w:rPr>
          <w:rStyle w:val="StyleUnderline"/>
        </w:rPr>
        <w:t>licensing negotiations create large economic costs</w:t>
      </w:r>
      <w:r w:rsidRPr="0047544E">
        <w:rPr>
          <w:sz w:val="16"/>
        </w:rPr>
        <w:t xml:space="preserve">. Directly, such litigation </w:t>
      </w:r>
      <w:r w:rsidRPr="0047544E">
        <w:rPr>
          <w:rStyle w:val="Emphasis"/>
          <w:highlight w:val="cyan"/>
        </w:rPr>
        <w:t>discourages</w:t>
      </w:r>
      <w:r w:rsidRPr="0047544E">
        <w:rPr>
          <w:rStyle w:val="StyleUnderline"/>
          <w:highlight w:val="cyan"/>
        </w:rPr>
        <w:t xml:space="preserve"> international trade</w:t>
      </w:r>
      <w:r w:rsidRPr="0047544E">
        <w:rPr>
          <w:sz w:val="16"/>
        </w:rPr>
        <w:t xml:space="preserve">, </w:t>
      </w:r>
      <w:r w:rsidRPr="0047544E">
        <w:rPr>
          <w:rStyle w:val="Emphasis"/>
          <w:highlight w:val="cyan"/>
        </w:rPr>
        <w:t>denies</w:t>
      </w:r>
      <w:r w:rsidRPr="0047544E">
        <w:rPr>
          <w:sz w:val="16"/>
        </w:rPr>
        <w:t xml:space="preserve"> economic </w:t>
      </w:r>
      <w:r w:rsidRPr="0047544E">
        <w:rPr>
          <w:rStyle w:val="StyleUnderline"/>
          <w:highlight w:val="cyan"/>
        </w:rPr>
        <w:t>opportunities</w:t>
      </w:r>
      <w:r w:rsidRPr="0047544E">
        <w:rPr>
          <w:sz w:val="16"/>
        </w:rPr>
        <w:t xml:space="preserve"> to Americans, </w:t>
      </w:r>
      <w:r w:rsidRPr="0047544E">
        <w:rPr>
          <w:rStyle w:val="StyleUnderline"/>
          <w:highlight w:val="cyan"/>
        </w:rPr>
        <w:t xml:space="preserve">and </w:t>
      </w:r>
      <w:r w:rsidRPr="0047544E">
        <w:rPr>
          <w:rStyle w:val="Emphasis"/>
          <w:highlight w:val="cyan"/>
        </w:rPr>
        <w:t>wastes</w:t>
      </w:r>
      <w:r w:rsidRPr="0047544E">
        <w:rPr>
          <w:rStyle w:val="StyleUnderline"/>
          <w:highlight w:val="cyan"/>
        </w:rPr>
        <w:t xml:space="preserve"> millions of dollars</w:t>
      </w:r>
      <w:r w:rsidRPr="0047544E">
        <w:rPr>
          <w:sz w:val="16"/>
        </w:rPr>
        <w:t xml:space="preserve"> that </w:t>
      </w:r>
      <w:r w:rsidRPr="0047544E">
        <w:rPr>
          <w:rStyle w:val="StyleUnderline"/>
        </w:rPr>
        <w:t>could otherwise be invested in new technologies</w:t>
      </w:r>
      <w:r w:rsidRPr="0047544E">
        <w:rPr>
          <w:sz w:val="16"/>
        </w:rPr>
        <w:t>.</w:t>
      </w:r>
    </w:p>
    <w:p w14:paraId="2E5085E4" w14:textId="77777777" w:rsidR="0069093E" w:rsidRPr="0047544E" w:rsidRDefault="0069093E" w:rsidP="0069093E">
      <w:pPr>
        <w:rPr>
          <w:sz w:val="16"/>
        </w:rPr>
      </w:pPr>
      <w:r w:rsidRPr="0047544E">
        <w:rPr>
          <w:sz w:val="16"/>
        </w:rPr>
        <w:t xml:space="preserve">Indirectly, the successes of </w:t>
      </w:r>
      <w:r w:rsidRPr="0047544E">
        <w:rPr>
          <w:rStyle w:val="StyleUnderline"/>
        </w:rPr>
        <w:t>past patent trolls encourage more litigation</w:t>
      </w:r>
      <w:r w:rsidRPr="0047544E">
        <w:rPr>
          <w:sz w:val="16"/>
        </w:rPr>
        <w:t xml:space="preserve">, which </w:t>
      </w:r>
      <w:r w:rsidRPr="0047544E">
        <w:rPr>
          <w:rStyle w:val="StyleUnderline"/>
        </w:rPr>
        <w:t>increases the waste associated with frivolous patent</w:t>
      </w:r>
      <w:r w:rsidRPr="0047544E">
        <w:rPr>
          <w:sz w:val="16"/>
        </w:rPr>
        <w:t xml:space="preserve"> troll litigation. The constant </w:t>
      </w:r>
      <w:r w:rsidRPr="0047544E">
        <w:rPr>
          <w:rStyle w:val="StyleUnderline"/>
          <w:highlight w:val="cyan"/>
        </w:rPr>
        <w:t xml:space="preserve">threat of patent troll </w:t>
      </w:r>
      <w:r w:rsidRPr="0047544E">
        <w:rPr>
          <w:rStyle w:val="Emphasis"/>
          <w:highlight w:val="cyan"/>
        </w:rPr>
        <w:t>litigation</w:t>
      </w:r>
      <w:r w:rsidRPr="0047544E">
        <w:rPr>
          <w:rStyle w:val="StyleUnderline"/>
          <w:highlight w:val="cyan"/>
        </w:rPr>
        <w:t xml:space="preserve"> hobbles innovative firms</w:t>
      </w:r>
      <w:r w:rsidRPr="0047544E">
        <w:rPr>
          <w:sz w:val="16"/>
        </w:rPr>
        <w:t xml:space="preserve"> by </w:t>
      </w:r>
      <w:r w:rsidRPr="0047544E">
        <w:rPr>
          <w:rStyle w:val="StyleUnderline"/>
        </w:rPr>
        <w:t>causing them to focus on minimizing their litigation risk</w:t>
      </w:r>
      <w:r w:rsidRPr="0047544E">
        <w:rPr>
          <w:sz w:val="16"/>
        </w:rPr>
        <w:t xml:space="preserve"> rather than </w:t>
      </w:r>
      <w:r w:rsidRPr="0047544E">
        <w:rPr>
          <w:rStyle w:val="StyleUnderline"/>
        </w:rPr>
        <w:t>maximizing their innovation efforts and technological efficiencies</w:t>
      </w:r>
      <w:r w:rsidRPr="0047544E">
        <w:rPr>
          <w:sz w:val="16"/>
        </w:rPr>
        <w:t>.</w:t>
      </w:r>
    </w:p>
    <w:p w14:paraId="622D458E" w14:textId="77777777" w:rsidR="0069093E" w:rsidRPr="0047544E" w:rsidRDefault="0069093E" w:rsidP="0069093E">
      <w:pPr>
        <w:rPr>
          <w:sz w:val="16"/>
        </w:rPr>
      </w:pPr>
      <w:r w:rsidRPr="0047544E">
        <w:rPr>
          <w:sz w:val="16"/>
        </w:rPr>
        <w:t xml:space="preserve">Too often, </w:t>
      </w:r>
      <w:r w:rsidRPr="0047544E">
        <w:rPr>
          <w:rStyle w:val="Emphasis"/>
          <w:highlight w:val="cyan"/>
        </w:rPr>
        <w:t>n</w:t>
      </w:r>
      <w:r w:rsidRPr="0047544E">
        <w:rPr>
          <w:sz w:val="16"/>
        </w:rPr>
        <w:t>on-</w:t>
      </w:r>
      <w:r w:rsidRPr="0047544E">
        <w:rPr>
          <w:rStyle w:val="Emphasis"/>
          <w:highlight w:val="cyan"/>
        </w:rPr>
        <w:t>p</w:t>
      </w:r>
      <w:r w:rsidRPr="0047544E">
        <w:rPr>
          <w:sz w:val="16"/>
        </w:rPr>
        <w:t xml:space="preserve">racticing </w:t>
      </w:r>
      <w:r w:rsidRPr="0047544E">
        <w:rPr>
          <w:rStyle w:val="Emphasis"/>
          <w:highlight w:val="cyan"/>
        </w:rPr>
        <w:t>e</w:t>
      </w:r>
      <w:r w:rsidRPr="0047544E">
        <w:rPr>
          <w:sz w:val="16"/>
        </w:rPr>
        <w:t>ntitie</w:t>
      </w:r>
      <w:r w:rsidRPr="0047544E">
        <w:rPr>
          <w:rStyle w:val="Emphasis"/>
          <w:highlight w:val="cyan"/>
        </w:rPr>
        <w:t>s</w:t>
      </w:r>
      <w:r w:rsidRPr="0047544E">
        <w:rPr>
          <w:sz w:val="16"/>
        </w:rPr>
        <w:t xml:space="preserve"> </w:t>
      </w:r>
      <w:r w:rsidRPr="0047544E">
        <w:rPr>
          <w:rStyle w:val="StyleUnderline"/>
          <w:highlight w:val="cyan"/>
        </w:rPr>
        <w:t>are using the</w:t>
      </w:r>
      <w:r w:rsidRPr="0047544E">
        <w:rPr>
          <w:sz w:val="16"/>
        </w:rPr>
        <w:t xml:space="preserve"> threat of the</w:t>
      </w:r>
      <w:r w:rsidRPr="0047544E">
        <w:rPr>
          <w:rStyle w:val="StyleUnderline"/>
        </w:rPr>
        <w:t xml:space="preserve"> </w:t>
      </w:r>
      <w:r w:rsidRPr="0047544E">
        <w:rPr>
          <w:rStyle w:val="StyleUnderline"/>
          <w:highlight w:val="cyan"/>
        </w:rPr>
        <w:t>ITC</w:t>
      </w:r>
      <w:r w:rsidRPr="0047544E">
        <w:rPr>
          <w:rStyle w:val="StyleUnderline"/>
        </w:rPr>
        <w:t>’s</w:t>
      </w:r>
      <w:r w:rsidRPr="0047544E">
        <w:rPr>
          <w:sz w:val="16"/>
        </w:rPr>
        <w:t xml:space="preserve"> exclusionary remedy </w:t>
      </w:r>
      <w:r w:rsidRPr="0047544E">
        <w:rPr>
          <w:rStyle w:val="StyleUnderline"/>
          <w:highlight w:val="cyan"/>
        </w:rPr>
        <w:t>to leverage a quick</w:t>
      </w:r>
      <w:r w:rsidRPr="0047544E">
        <w:rPr>
          <w:sz w:val="16"/>
        </w:rPr>
        <w:t xml:space="preserve">, </w:t>
      </w:r>
      <w:r w:rsidRPr="0047544E">
        <w:rPr>
          <w:rStyle w:val="StyleUnderline"/>
          <w:highlight w:val="cyan"/>
        </w:rPr>
        <w:t>lucrative settlement</w:t>
      </w:r>
      <w:r w:rsidRPr="0047544E">
        <w:rPr>
          <w:sz w:val="16"/>
        </w:rPr>
        <w:t xml:space="preserve"> to the detriment of </w:t>
      </w:r>
      <w:r w:rsidRPr="0047544E">
        <w:rPr>
          <w:rStyle w:val="StyleUnderline"/>
        </w:rPr>
        <w:t>international trade and economic prosperity</w:t>
      </w:r>
      <w:r w:rsidRPr="0047544E">
        <w:rPr>
          <w:sz w:val="16"/>
        </w:rPr>
        <w:t xml:space="preserve">. As a result of this implicit subsidization of patent trolls, </w:t>
      </w:r>
      <w:r w:rsidRPr="0047544E">
        <w:rPr>
          <w:rStyle w:val="StyleUnderline"/>
        </w:rPr>
        <w:t>ITC reform is urgently needed</w:t>
      </w:r>
      <w:r w:rsidRPr="0047544E">
        <w:rPr>
          <w:sz w:val="16"/>
        </w:rPr>
        <w:t xml:space="preserve">. Such </w:t>
      </w:r>
      <w:r w:rsidRPr="0047544E">
        <w:rPr>
          <w:rStyle w:val="StyleUnderline"/>
        </w:rPr>
        <w:t>reforms should limit the scope of ITC patent infringement</w:t>
      </w:r>
      <w:r w:rsidRPr="0047544E">
        <w:rPr>
          <w:sz w:val="16"/>
        </w:rPr>
        <w:t xml:space="preserve"> cases and </w:t>
      </w:r>
      <w:r w:rsidRPr="0047544E">
        <w:rPr>
          <w:rStyle w:val="StyleUnderline"/>
        </w:rPr>
        <w:t>increase the costs for filing a frivolous lawsuit</w:t>
      </w:r>
      <w:r w:rsidRPr="0047544E">
        <w:rPr>
          <w:sz w:val="16"/>
        </w:rPr>
        <w:t>.</w:t>
      </w:r>
    </w:p>
    <w:p w14:paraId="7DD24E98" w14:textId="77777777" w:rsidR="0069093E" w:rsidRDefault="0069093E" w:rsidP="0069093E"/>
    <w:p w14:paraId="081E20A6" w14:textId="77777777" w:rsidR="0069093E" w:rsidRDefault="0069093E" w:rsidP="0069093E">
      <w:pPr>
        <w:pStyle w:val="Heading4"/>
      </w:pPr>
      <w:r>
        <w:t xml:space="preserve">ITC enforcement </w:t>
      </w:r>
      <w:r w:rsidRPr="00EE3C53">
        <w:rPr>
          <w:u w:val="single"/>
        </w:rPr>
        <w:t>overwhelmingly</w:t>
      </w:r>
      <w:r>
        <w:t xml:space="preserve"> favors NPEs.</w:t>
      </w:r>
    </w:p>
    <w:p w14:paraId="06D72459" w14:textId="77777777" w:rsidR="0069093E" w:rsidRPr="0047544E" w:rsidRDefault="0069093E" w:rsidP="0069093E">
      <w:r w:rsidRPr="000A3173">
        <w:t xml:space="preserve">Joe </w:t>
      </w:r>
      <w:r w:rsidRPr="000A3173">
        <w:rPr>
          <w:rStyle w:val="Style13ptBold"/>
        </w:rPr>
        <w:t xml:space="preserve">Galvin </w:t>
      </w:r>
      <w:r>
        <w:rPr>
          <w:rStyle w:val="Style13ptBold"/>
        </w:rPr>
        <w:t>ND</w:t>
      </w:r>
      <w:r w:rsidRPr="000A3173">
        <w:t>,</w:t>
      </w:r>
      <w:r w:rsidRPr="00EE3C53">
        <w:rPr>
          <w:rFonts w:ascii="Georgia" w:hAnsi="Georgia"/>
          <w:color w:val="494949"/>
          <w:sz w:val="27"/>
          <w:szCs w:val="27"/>
          <w:shd w:val="clear" w:color="auto" w:fill="FEFEFE"/>
        </w:rPr>
        <w:t xml:space="preserve"> </w:t>
      </w:r>
      <w:r w:rsidRPr="00EE3C53">
        <w:t>focuses his practice on intellectual property litigation, representing industry-leading clients in complex litigation matters before the Patent Trial and Appeal Board (PTAB), International Trade Commission (ITC), and various district courts</w:t>
      </w:r>
      <w:r>
        <w:t>, “</w:t>
      </w:r>
      <w:r w:rsidRPr="0047544E">
        <w:t>The International Trade Commission, Though Designed to Protect Domestic Industry, Frequently Threatens It</w:t>
      </w:r>
      <w:r>
        <w:t xml:space="preserve">,” </w:t>
      </w:r>
      <w:r w:rsidRPr="000A3173">
        <w:t>https://www.aipla.org/list/innovate-articles/the-international-trade-commission-though-designed-to-protect-domestic-industry-frequently-threatens-it</w:t>
      </w:r>
      <w:r>
        <w:t>, avr</w:t>
      </w:r>
    </w:p>
    <w:p w14:paraId="069A2BF9" w14:textId="77777777" w:rsidR="0069093E" w:rsidRPr="0047544E" w:rsidRDefault="0069093E" w:rsidP="0069093E">
      <w:r w:rsidRPr="0047544E">
        <w:t xml:space="preserve">The </w:t>
      </w:r>
      <w:r w:rsidRPr="0047544E">
        <w:rPr>
          <w:rStyle w:val="StyleUnderline"/>
        </w:rPr>
        <w:t>International Trade Commission</w:t>
      </w:r>
      <w:r w:rsidRPr="0047544E">
        <w:t xml:space="preserve"> (</w:t>
      </w:r>
      <w:r w:rsidRPr="0047544E">
        <w:rPr>
          <w:rStyle w:val="Emphasis"/>
        </w:rPr>
        <w:t>ITC</w:t>
      </w:r>
      <w:r w:rsidRPr="0047544E">
        <w:t xml:space="preserve">) has power under Section 337 of the Tariff Act to </w:t>
      </w:r>
      <w:r w:rsidRPr="0047544E">
        <w:rPr>
          <w:rStyle w:val="Emphasis"/>
        </w:rPr>
        <w:t>investigate</w:t>
      </w:r>
      <w:r w:rsidRPr="0047544E">
        <w:rPr>
          <w:rStyle w:val="StyleUnderline"/>
        </w:rPr>
        <w:t xml:space="preserve"> whether goods are being imported</w:t>
      </w:r>
      <w:r w:rsidRPr="0047544E">
        <w:t xml:space="preserve"> unfairly and are </w:t>
      </w:r>
      <w:r w:rsidRPr="0047544E">
        <w:rPr>
          <w:rStyle w:val="StyleUnderline"/>
        </w:rPr>
        <w:t xml:space="preserve">affecting a </w:t>
      </w:r>
      <w:r w:rsidRPr="0047544E">
        <w:rPr>
          <w:rStyle w:val="Emphasis"/>
        </w:rPr>
        <w:t>domestic</w:t>
      </w:r>
      <w:r w:rsidRPr="0047544E">
        <w:rPr>
          <w:rStyle w:val="StyleUnderline"/>
        </w:rPr>
        <w:t xml:space="preserve"> industry</w:t>
      </w:r>
      <w:r w:rsidRPr="0047544E">
        <w:t>.</w:t>
      </w:r>
      <w:bookmarkStart w:id="0" w:name="_ftnref1"/>
      <w:r w:rsidRPr="0047544E">
        <w:t>[1]</w:t>
      </w:r>
      <w:bookmarkEnd w:id="0"/>
      <w:r w:rsidRPr="0047544E">
        <w:t xml:space="preserve"> One type of </w:t>
      </w:r>
      <w:r w:rsidRPr="0047544E">
        <w:rPr>
          <w:rStyle w:val="StyleUnderline"/>
        </w:rPr>
        <w:t>unfair import is a good that infringes U.S. intellectual property rights</w:t>
      </w:r>
      <w:r w:rsidRPr="0047544E">
        <w:t>, including patents.</w:t>
      </w:r>
      <w:bookmarkStart w:id="1" w:name="_ftnref2"/>
      <w:r w:rsidRPr="0047544E">
        <w:t>[2]</w:t>
      </w:r>
      <w:bookmarkEnd w:id="1"/>
      <w:r w:rsidRPr="0047544E">
        <w:t xml:space="preserve"> Section 337 can therefore be a </w:t>
      </w:r>
      <w:r w:rsidRPr="000A3173">
        <w:rPr>
          <w:rStyle w:val="StyleUnderline"/>
        </w:rPr>
        <w:t>useful tool for protecting American industry against infringing imports</w:t>
      </w:r>
      <w:r w:rsidRPr="0047544E">
        <w:t xml:space="preserve">. But, increasingly, the </w:t>
      </w:r>
      <w:r w:rsidRPr="000A3173">
        <w:rPr>
          <w:rStyle w:val="Emphasis"/>
          <w:highlight w:val="cyan"/>
        </w:rPr>
        <w:t>ITC</w:t>
      </w:r>
      <w:r w:rsidRPr="000A3173">
        <w:rPr>
          <w:rStyle w:val="StyleUnderline"/>
          <w:highlight w:val="cyan"/>
        </w:rPr>
        <w:t xml:space="preserve"> has become a means for</w:t>
      </w:r>
      <w:r w:rsidRPr="000A3173">
        <w:rPr>
          <w:rStyle w:val="StyleUnderline"/>
        </w:rPr>
        <w:t xml:space="preserve"> certain non-practicing entities</w:t>
      </w:r>
      <w:r w:rsidRPr="0047544E">
        <w:t xml:space="preserve"> (or “</w:t>
      </w:r>
      <w:r w:rsidRPr="000A3173">
        <w:rPr>
          <w:rStyle w:val="Emphasis"/>
          <w:highlight w:val="cyan"/>
        </w:rPr>
        <w:t>NPEs</w:t>
      </w:r>
      <w:r w:rsidRPr="0047544E">
        <w:t xml:space="preserve">”), often referred to as “patent trolls,” </w:t>
      </w:r>
      <w:r w:rsidRPr="000A3173">
        <w:rPr>
          <w:rStyle w:val="StyleUnderline"/>
          <w:highlight w:val="cyan"/>
        </w:rPr>
        <w:t>to exploit the ITC for financial gain</w:t>
      </w:r>
      <w:r w:rsidRPr="0047544E">
        <w:t xml:space="preserve">—and to do so in a </w:t>
      </w:r>
      <w:r w:rsidRPr="000A3173">
        <w:rPr>
          <w:rStyle w:val="StyleUnderline"/>
        </w:rPr>
        <w:t>way that perversely threatens the very domestic</w:t>
      </w:r>
      <w:r w:rsidRPr="0047544E">
        <w:t xml:space="preserve"> industry the </w:t>
      </w:r>
      <w:r w:rsidRPr="000A3173">
        <w:rPr>
          <w:rStyle w:val="StyleUnderline"/>
        </w:rPr>
        <w:t>ITC was designed to protect</w:t>
      </w:r>
      <w:r w:rsidRPr="0047544E">
        <w:t>.</w:t>
      </w:r>
    </w:p>
    <w:p w14:paraId="6395A76D" w14:textId="77777777" w:rsidR="0069093E" w:rsidRPr="0047544E" w:rsidRDefault="0069093E" w:rsidP="0069093E">
      <w:r w:rsidRPr="0047544E">
        <w:t>Patent Trolls</w:t>
      </w:r>
    </w:p>
    <w:p w14:paraId="7F44F4BC" w14:textId="77777777" w:rsidR="0069093E" w:rsidRPr="0047544E" w:rsidRDefault="0069093E" w:rsidP="0069093E">
      <w:r w:rsidRPr="000A3173">
        <w:rPr>
          <w:rStyle w:val="StyleUnderline"/>
        </w:rPr>
        <w:t xml:space="preserve">Patent </w:t>
      </w:r>
      <w:r w:rsidRPr="000A3173">
        <w:rPr>
          <w:rStyle w:val="Emphasis"/>
          <w:highlight w:val="cyan"/>
        </w:rPr>
        <w:t>trolls</w:t>
      </w:r>
      <w:r w:rsidRPr="000A3173">
        <w:rPr>
          <w:rStyle w:val="StyleUnderline"/>
        </w:rPr>
        <w:t xml:space="preserve"> have long been notorious for bringing infringement litigation</w:t>
      </w:r>
      <w:r w:rsidRPr="0047544E">
        <w:t xml:space="preserve"> against </w:t>
      </w:r>
      <w:r w:rsidRPr="000A3173">
        <w:rPr>
          <w:rStyle w:val="StyleUnderline"/>
        </w:rPr>
        <w:t xml:space="preserve">productive companies with the goal of </w:t>
      </w:r>
      <w:r w:rsidRPr="000A3173">
        <w:rPr>
          <w:rStyle w:val="StyleUnderline"/>
          <w:highlight w:val="cyan"/>
        </w:rPr>
        <w:t>generat</w:t>
      </w:r>
      <w:r w:rsidRPr="000A3173">
        <w:rPr>
          <w:rStyle w:val="StyleUnderline"/>
        </w:rPr>
        <w:t>ing large settlements</w:t>
      </w:r>
      <w:r w:rsidRPr="0047544E">
        <w:t xml:space="preserve"> and royalty payments.</w:t>
      </w:r>
      <w:bookmarkStart w:id="2" w:name="_ftnref3"/>
      <w:r w:rsidRPr="0047544E">
        <w:t>[3]</w:t>
      </w:r>
      <w:bookmarkEnd w:id="2"/>
      <w:r w:rsidRPr="0047544E">
        <w:t xml:space="preserve"> Many </w:t>
      </w:r>
      <w:r w:rsidRPr="000A3173">
        <w:rPr>
          <w:rStyle w:val="StyleUnderline"/>
        </w:rPr>
        <w:t xml:space="preserve">commentators have identified </w:t>
      </w:r>
      <w:r w:rsidRPr="000A3173">
        <w:rPr>
          <w:rStyle w:val="StyleUnderline"/>
          <w:highlight w:val="cyan"/>
        </w:rPr>
        <w:t xml:space="preserve">serious harms to </w:t>
      </w:r>
      <w:r w:rsidRPr="000A3173">
        <w:rPr>
          <w:rStyle w:val="Emphasis"/>
          <w:highlight w:val="cyan"/>
        </w:rPr>
        <w:t>innovative</w:t>
      </w:r>
      <w:r w:rsidRPr="000A3173">
        <w:rPr>
          <w:rStyle w:val="StyleUnderline"/>
          <w:highlight w:val="cyan"/>
        </w:rPr>
        <w:t xml:space="preserve"> companies</w:t>
      </w:r>
      <w:r w:rsidRPr="0047544E">
        <w:t xml:space="preserve"> and the </w:t>
      </w:r>
      <w:r w:rsidRPr="000A3173">
        <w:rPr>
          <w:rStyle w:val="StyleUnderline"/>
          <w:highlight w:val="cyan"/>
        </w:rPr>
        <w:t xml:space="preserve">U.S. economy at large </w:t>
      </w:r>
      <w:r w:rsidRPr="000A3173">
        <w:rPr>
          <w:rStyle w:val="Emphasis"/>
          <w:highlight w:val="cyan"/>
        </w:rPr>
        <w:t>associated</w:t>
      </w:r>
      <w:r w:rsidRPr="000A3173">
        <w:rPr>
          <w:rStyle w:val="StyleUnderline"/>
          <w:highlight w:val="cyan"/>
        </w:rPr>
        <w:t xml:space="preserve"> with NPE litigation</w:t>
      </w:r>
      <w:r w:rsidRPr="0047544E">
        <w:t xml:space="preserve">, </w:t>
      </w:r>
      <w:r w:rsidRPr="000A3173">
        <w:rPr>
          <w:rStyle w:val="StyleUnderline"/>
          <w:highlight w:val="cyan"/>
        </w:rPr>
        <w:t>including</w:t>
      </w:r>
      <w:r w:rsidRPr="0047544E">
        <w:t xml:space="preserve"> </w:t>
      </w:r>
      <w:r w:rsidRPr="000A3173">
        <w:rPr>
          <w:rStyle w:val="StyleUnderline"/>
          <w:highlight w:val="cyan"/>
        </w:rPr>
        <w:t>reduced</w:t>
      </w:r>
      <w:r w:rsidRPr="000A3173">
        <w:rPr>
          <w:rStyle w:val="StyleUnderline"/>
        </w:rPr>
        <w:t xml:space="preserve"> spending on </w:t>
      </w:r>
      <w:r w:rsidRPr="000A3173">
        <w:rPr>
          <w:rStyle w:val="Emphasis"/>
          <w:highlight w:val="cyan"/>
        </w:rPr>
        <w:t>r</w:t>
      </w:r>
      <w:r w:rsidRPr="000A3173">
        <w:rPr>
          <w:rStyle w:val="StyleUnderline"/>
        </w:rPr>
        <w:t>esearch a</w:t>
      </w:r>
      <w:r w:rsidRPr="000A3173">
        <w:rPr>
          <w:rStyle w:val="Emphasis"/>
          <w:highlight w:val="cyan"/>
        </w:rPr>
        <w:t>n</w:t>
      </w:r>
      <w:r w:rsidRPr="000A3173">
        <w:rPr>
          <w:rStyle w:val="StyleUnderline"/>
        </w:rPr>
        <w:t xml:space="preserve">d </w:t>
      </w:r>
      <w:r w:rsidRPr="000A3173">
        <w:rPr>
          <w:rStyle w:val="Emphasis"/>
          <w:highlight w:val="cyan"/>
        </w:rPr>
        <w:t>d</w:t>
      </w:r>
      <w:r w:rsidRPr="000A3173">
        <w:rPr>
          <w:rStyle w:val="StyleUnderline"/>
        </w:rPr>
        <w:t>evelopment</w:t>
      </w:r>
      <w:r w:rsidRPr="0047544E">
        <w:t>,</w:t>
      </w:r>
      <w:bookmarkStart w:id="3" w:name="_ftnref4"/>
      <w:r w:rsidRPr="0047544E">
        <w:t>[4]</w:t>
      </w:r>
      <w:bookmarkEnd w:id="3"/>
      <w:r w:rsidRPr="0047544E">
        <w:t> </w:t>
      </w:r>
      <w:r w:rsidRPr="000A3173">
        <w:rPr>
          <w:rStyle w:val="StyleUnderline"/>
          <w:highlight w:val="cyan"/>
        </w:rPr>
        <w:t xml:space="preserve">lower levels of employment </w:t>
      </w:r>
      <w:r w:rsidRPr="000A3173">
        <w:rPr>
          <w:rStyle w:val="StyleUnderline"/>
        </w:rPr>
        <w:t>at high-tech companies</w:t>
      </w:r>
      <w:r w:rsidRPr="0047544E">
        <w:t>,</w:t>
      </w:r>
      <w:bookmarkStart w:id="4" w:name="_ftnref5"/>
      <w:r w:rsidRPr="0047544E">
        <w:t>[5]</w:t>
      </w:r>
      <w:bookmarkEnd w:id="4"/>
      <w:r w:rsidRPr="0047544E">
        <w:t> </w:t>
      </w:r>
      <w:r w:rsidRPr="000A3173">
        <w:rPr>
          <w:rStyle w:val="StyleUnderline"/>
          <w:highlight w:val="cyan"/>
        </w:rPr>
        <w:t>and spillover</w:t>
      </w:r>
      <w:r w:rsidRPr="000A3173">
        <w:rPr>
          <w:rStyle w:val="StyleUnderline"/>
        </w:rPr>
        <w:t xml:space="preserve"> harm </w:t>
      </w:r>
      <w:r w:rsidRPr="000A3173">
        <w:rPr>
          <w:rStyle w:val="StyleUnderline"/>
          <w:highlight w:val="cyan"/>
        </w:rPr>
        <w:t>to entire industries</w:t>
      </w:r>
      <w:r w:rsidRPr="000A3173">
        <w:rPr>
          <w:rStyle w:val="StyleUnderline"/>
        </w:rPr>
        <w:t xml:space="preserve"> that produce technology targeted by troll litigation</w:t>
      </w:r>
      <w:r w:rsidRPr="0047544E">
        <w:t xml:space="preserve">, even for </w:t>
      </w:r>
      <w:r w:rsidRPr="000A3173">
        <w:rPr>
          <w:rStyle w:val="StyleUnderline"/>
        </w:rPr>
        <w:t>firms not specifically named as defendants</w:t>
      </w:r>
      <w:r w:rsidRPr="000A3173">
        <w:t>.</w:t>
      </w:r>
      <w:bookmarkStart w:id="5" w:name="_ftnref6"/>
      <w:r w:rsidRPr="000A3173">
        <w:t>[</w:t>
      </w:r>
      <w:r w:rsidRPr="0047544E">
        <w:t>6]</w:t>
      </w:r>
      <w:bookmarkEnd w:id="5"/>
      <w:r w:rsidRPr="0047544E">
        <w:t xml:space="preserve"> Scholarship also has highlighted trolls’ </w:t>
      </w:r>
      <w:r w:rsidRPr="000A3173">
        <w:rPr>
          <w:rStyle w:val="Emphasis"/>
        </w:rPr>
        <w:t>abusive</w:t>
      </w:r>
      <w:r w:rsidRPr="0047544E">
        <w:t xml:space="preserve"> </w:t>
      </w:r>
      <w:r w:rsidRPr="000A3173">
        <w:rPr>
          <w:rStyle w:val="StyleUnderline"/>
        </w:rPr>
        <w:t>litigation tactics</w:t>
      </w:r>
      <w:r w:rsidRPr="0047544E">
        <w:t xml:space="preserve">—noting, for instance, </w:t>
      </w:r>
      <w:r w:rsidRPr="000A3173">
        <w:rPr>
          <w:rStyle w:val="StyleUnderline"/>
        </w:rPr>
        <w:t>that trolls typically assert lower-quality</w:t>
      </w:r>
      <w:r w:rsidRPr="0047544E">
        <w:t xml:space="preserve"> patents than other entities in </w:t>
      </w:r>
      <w:r w:rsidRPr="000A3173">
        <w:rPr>
          <w:rStyle w:val="StyleUnderline"/>
        </w:rPr>
        <w:t>infringement litigation and disproportionately target defendants</w:t>
      </w:r>
      <w:r w:rsidRPr="0047544E">
        <w:t xml:space="preserve"> with higher cash reserves.</w:t>
      </w:r>
      <w:bookmarkStart w:id="6" w:name="_ftnref7"/>
      <w:r w:rsidRPr="0047544E">
        <w:t>[7]</w:t>
      </w:r>
      <w:bookmarkEnd w:id="6"/>
    </w:p>
    <w:p w14:paraId="136DBEF8" w14:textId="77777777" w:rsidR="0069093E" w:rsidRPr="0047544E" w:rsidRDefault="0069093E" w:rsidP="0069093E">
      <w:r w:rsidRPr="0047544E">
        <w:t>Trolls at the ITC</w:t>
      </w:r>
    </w:p>
    <w:p w14:paraId="7443EE82" w14:textId="77777777" w:rsidR="0069093E" w:rsidRPr="0047544E" w:rsidRDefault="0069093E" w:rsidP="0069093E">
      <w:r w:rsidRPr="0047544E">
        <w:t xml:space="preserve">Most </w:t>
      </w:r>
      <w:r w:rsidRPr="000A3173">
        <w:rPr>
          <w:rStyle w:val="StyleUnderline"/>
        </w:rPr>
        <w:t xml:space="preserve">scrutiny of patent trolls </w:t>
      </w:r>
      <w:r w:rsidRPr="0047544E">
        <w:t xml:space="preserve">has </w:t>
      </w:r>
      <w:r w:rsidRPr="000A3173">
        <w:rPr>
          <w:rStyle w:val="StyleUnderline"/>
        </w:rPr>
        <w:t>focused on their district court litigation</w:t>
      </w:r>
      <w:r w:rsidRPr="0047544E">
        <w:t xml:space="preserve">. But increasingly, the </w:t>
      </w:r>
      <w:r w:rsidRPr="000A3173">
        <w:rPr>
          <w:rStyle w:val="StyleUnderline"/>
          <w:highlight w:val="cyan"/>
        </w:rPr>
        <w:t xml:space="preserve">ITC has become the most </w:t>
      </w:r>
      <w:r w:rsidRPr="000A3173">
        <w:rPr>
          <w:rStyle w:val="Emphasis"/>
          <w:highlight w:val="cyan"/>
        </w:rPr>
        <w:t>menacing</w:t>
      </w:r>
      <w:r w:rsidRPr="000A3173">
        <w:rPr>
          <w:rStyle w:val="StyleUnderline"/>
          <w:highlight w:val="cyan"/>
        </w:rPr>
        <w:t xml:space="preserve"> weapon</w:t>
      </w:r>
      <w:r w:rsidRPr="0047544E">
        <w:t xml:space="preserve"> in their arsenals. According to </w:t>
      </w:r>
      <w:r w:rsidRPr="000A3173">
        <w:rPr>
          <w:rStyle w:val="StyleUnderline"/>
        </w:rPr>
        <w:t>the ITC’s own data</w:t>
      </w:r>
      <w:r w:rsidRPr="0047544E">
        <w:t xml:space="preserve"> (which is known to undercount troll cases</w:t>
      </w:r>
      <w:bookmarkStart w:id="7" w:name="_ftnref8"/>
      <w:r w:rsidRPr="0047544E">
        <w:t>[8]</w:t>
      </w:r>
      <w:bookmarkEnd w:id="7"/>
      <w:r w:rsidRPr="0047544E">
        <w:t xml:space="preserve">), </w:t>
      </w:r>
      <w:r w:rsidRPr="000A3173">
        <w:rPr>
          <w:rStyle w:val="StyleUnderline"/>
        </w:rPr>
        <w:t>there has been a recent and pronounced</w:t>
      </w:r>
      <w:r w:rsidRPr="0047544E">
        <w:t xml:space="preserve"> increase in the number of </w:t>
      </w:r>
      <w:r w:rsidRPr="000A3173">
        <w:rPr>
          <w:rStyle w:val="StyleUnderline"/>
          <w:highlight w:val="cyan"/>
        </w:rPr>
        <w:t xml:space="preserve">cases filed by patent </w:t>
      </w:r>
      <w:r w:rsidRPr="000A3173">
        <w:rPr>
          <w:rStyle w:val="Emphasis"/>
          <w:highlight w:val="cyan"/>
        </w:rPr>
        <w:t>trolls</w:t>
      </w:r>
      <w:r w:rsidRPr="0047544E">
        <w:t xml:space="preserve">, with troll cases under Section 337 </w:t>
      </w:r>
      <w:r w:rsidRPr="000A3173">
        <w:rPr>
          <w:rStyle w:val="StyleUnderline"/>
          <w:highlight w:val="cyan"/>
        </w:rPr>
        <w:t>more than doubling</w:t>
      </w:r>
      <w:r w:rsidRPr="000A3173">
        <w:rPr>
          <w:rStyle w:val="StyleUnderline"/>
        </w:rPr>
        <w:t xml:space="preserve"> from 2020 to 2021</w:t>
      </w:r>
      <w:r w:rsidRPr="0047544E">
        <w:t xml:space="preserve"> to comprise over 13% of the ITC’s 2021 docket.</w:t>
      </w:r>
      <w:bookmarkStart w:id="8" w:name="_ftnref9"/>
      <w:r w:rsidRPr="0047544E">
        <w:t>[9]</w:t>
      </w:r>
      <w:bookmarkEnd w:id="8"/>
    </w:p>
    <w:p w14:paraId="6D21D6D4" w14:textId="77777777" w:rsidR="0069093E" w:rsidRPr="0047544E" w:rsidRDefault="0069093E" w:rsidP="0069093E">
      <w:r w:rsidRPr="0047544E">
        <w:t xml:space="preserve">The ITC </w:t>
      </w:r>
      <w:r w:rsidRPr="000A3173">
        <w:rPr>
          <w:rStyle w:val="StyleUnderline"/>
        </w:rPr>
        <w:t>attracts trolls for several reasons</w:t>
      </w:r>
      <w:r w:rsidRPr="0047544E">
        <w:t xml:space="preserve">. For one thing, the </w:t>
      </w:r>
      <w:r w:rsidRPr="000A3173">
        <w:rPr>
          <w:rStyle w:val="Emphasis"/>
          <w:highlight w:val="cyan"/>
        </w:rPr>
        <w:t>ITC</w:t>
      </w:r>
      <w:r w:rsidRPr="0047544E">
        <w:t xml:space="preserve"> </w:t>
      </w:r>
      <w:r w:rsidRPr="000A3173">
        <w:rPr>
          <w:rStyle w:val="StyleUnderline"/>
        </w:rPr>
        <w:t>adjudicates infringement cases more quickly</w:t>
      </w:r>
      <w:r w:rsidRPr="0047544E">
        <w:t xml:space="preserve"> than federal district courts, which </w:t>
      </w:r>
      <w:r w:rsidRPr="000A3173">
        <w:rPr>
          <w:rStyle w:val="StyleUnderline"/>
          <w:highlight w:val="cyan"/>
        </w:rPr>
        <w:t xml:space="preserve">puts increased pressure on </w:t>
      </w:r>
      <w:r w:rsidRPr="000A3173">
        <w:rPr>
          <w:rStyle w:val="Emphasis"/>
          <w:highlight w:val="cyan"/>
        </w:rPr>
        <w:t>responding</w:t>
      </w:r>
      <w:r w:rsidRPr="000A3173">
        <w:rPr>
          <w:rStyle w:val="StyleUnderline"/>
          <w:highlight w:val="cyan"/>
        </w:rPr>
        <w:t xml:space="preserve"> parties</w:t>
      </w:r>
      <w:r w:rsidRPr="0047544E">
        <w:t>.</w:t>
      </w:r>
      <w:bookmarkStart w:id="9" w:name="_ftnref10"/>
      <w:r w:rsidRPr="0047544E">
        <w:t>[10]</w:t>
      </w:r>
      <w:bookmarkEnd w:id="9"/>
      <w:r w:rsidRPr="0047544E">
        <w:t xml:space="preserve"> But perhaps most attractive is the </w:t>
      </w:r>
      <w:r w:rsidRPr="000A3173">
        <w:rPr>
          <w:rStyle w:val="StyleUnderline"/>
        </w:rPr>
        <w:t>sweeping scope of remedies available under Section 337</w:t>
      </w:r>
      <w:r w:rsidRPr="0047544E">
        <w:t xml:space="preserve">. If the </w:t>
      </w:r>
      <w:r w:rsidRPr="000A3173">
        <w:rPr>
          <w:rStyle w:val="StyleUnderline"/>
          <w:highlight w:val="cyan"/>
        </w:rPr>
        <w:t>ITC</w:t>
      </w:r>
      <w:r w:rsidRPr="0047544E">
        <w:t xml:space="preserve"> finds </w:t>
      </w:r>
      <w:r w:rsidRPr="000A3173">
        <w:rPr>
          <w:rStyle w:val="StyleUnderline"/>
        </w:rPr>
        <w:t>infringement of a valid patent</w:t>
      </w:r>
      <w:r w:rsidRPr="0047544E">
        <w:t xml:space="preserve">, it </w:t>
      </w:r>
      <w:r w:rsidRPr="000A3173">
        <w:rPr>
          <w:rStyle w:val="StyleUnderline"/>
          <w:highlight w:val="cyan"/>
        </w:rPr>
        <w:t>has the power to issue an exclusion order blocking all of the respondents’</w:t>
      </w:r>
      <w:r w:rsidRPr="0047544E">
        <w:t xml:space="preserve"> infringing </w:t>
      </w:r>
      <w:r w:rsidRPr="000A3173">
        <w:rPr>
          <w:rStyle w:val="Emphasis"/>
          <w:highlight w:val="cyan"/>
        </w:rPr>
        <w:t>products</w:t>
      </w:r>
      <w:r w:rsidRPr="0047544E">
        <w:t xml:space="preserve"> (and under certain circumstances even products not manufactured by the named respondents) </w:t>
      </w:r>
      <w:r w:rsidRPr="000A3173">
        <w:rPr>
          <w:rStyle w:val="StyleUnderline"/>
          <w:highlight w:val="cyan"/>
        </w:rPr>
        <w:t>from the U.S.</w:t>
      </w:r>
      <w:r w:rsidRPr="0047544E">
        <w:t xml:space="preserve"> market.</w:t>
      </w:r>
      <w:bookmarkStart w:id="10" w:name="_ftnref11"/>
      <w:r w:rsidRPr="0047544E">
        <w:t>[11]</w:t>
      </w:r>
      <w:bookmarkEnd w:id="10"/>
      <w:r w:rsidRPr="0047544E">
        <w:t xml:space="preserve"> Unlike courts, which are restricted by the Supreme Court’s 2006 decision in eBay Inc. v. MercExchange, LLC, the </w:t>
      </w:r>
      <w:r w:rsidRPr="000A3173">
        <w:rPr>
          <w:rStyle w:val="StyleUnderline"/>
        </w:rPr>
        <w:t>ITC does not need to find that the complaining party</w:t>
      </w:r>
      <w:r w:rsidRPr="0047544E">
        <w:t xml:space="preserve"> will be irreparably harmed before ordering exclusion.</w:t>
      </w:r>
      <w:bookmarkStart w:id="11" w:name="_ftnref12"/>
      <w:r w:rsidRPr="0047544E">
        <w:t>[12]</w:t>
      </w:r>
      <w:bookmarkEnd w:id="11"/>
      <w:r w:rsidRPr="0047544E">
        <w:t xml:space="preserve"> Rather, </w:t>
      </w:r>
      <w:r w:rsidRPr="000A3173">
        <w:rPr>
          <w:rStyle w:val="StyleUnderline"/>
          <w:highlight w:val="cyan"/>
        </w:rPr>
        <w:t xml:space="preserve">injunctive relief at the ITC is </w:t>
      </w:r>
      <w:r w:rsidRPr="000A3173">
        <w:rPr>
          <w:rStyle w:val="Emphasis"/>
          <w:highlight w:val="cyan"/>
        </w:rPr>
        <w:t>essentially automatic</w:t>
      </w:r>
      <w:r w:rsidRPr="0047544E">
        <w:t>.</w:t>
      </w:r>
      <w:bookmarkStart w:id="12" w:name="_ftnref13"/>
      <w:r w:rsidRPr="0047544E">
        <w:t>[13]</w:t>
      </w:r>
      <w:bookmarkEnd w:id="12"/>
    </w:p>
    <w:p w14:paraId="463B688B" w14:textId="77777777" w:rsidR="0069093E" w:rsidRPr="0047544E" w:rsidRDefault="0069093E" w:rsidP="0069093E">
      <w:r w:rsidRPr="0047544E">
        <w:t>The ITC’s Purpose Is to Protect Domestic Industry from Foreign Infringers</w:t>
      </w:r>
    </w:p>
    <w:p w14:paraId="70267B21" w14:textId="77777777" w:rsidR="0069093E" w:rsidRPr="0047544E" w:rsidRDefault="0069093E" w:rsidP="0069093E">
      <w:r w:rsidRPr="0047544E">
        <w:t>While trolls in recent years have flocked to the ITC, the Commission was actually established to fill a very different need. Congress created the ITC to protect U.S. industries from foreign competitors in situations where U.S. courts either would lack jurisdiction or would have difficulty issuing effective relief.</w:t>
      </w:r>
      <w:bookmarkStart w:id="13" w:name="_ftnref14"/>
      <w:r w:rsidRPr="0047544E">
        <w:t>[14]</w:t>
      </w:r>
      <w:bookmarkEnd w:id="13"/>
      <w:r w:rsidRPr="0047544E">
        <w:t> One of the ITC’s distinguishing features is that it exercises jurisdiction over infringing goods, and thus does not need to exercise jurisdiction over the infringing parties—a feature designed to address the potential lack of personal jurisdiction over foreign exporters.</w:t>
      </w:r>
      <w:bookmarkStart w:id="14" w:name="_ftnref15"/>
      <w:r w:rsidRPr="0047544E">
        <w:t>[15]</w:t>
      </w:r>
      <w:bookmarkEnd w:id="14"/>
      <w:r w:rsidRPr="0047544E">
        <w:t xml:space="preserve"> When a court would lack jurisdiction, the </w:t>
      </w:r>
      <w:r w:rsidRPr="000A3173">
        <w:t>ITC’s jurisdiction over the goods themselves and its remedy of exclusion serve a genuine purpose</w:t>
      </w:r>
      <w:r w:rsidRPr="0047544E">
        <w:t xml:space="preserve"> of stopping unfair trade that otherwise could go unchecked.</w:t>
      </w:r>
    </w:p>
    <w:p w14:paraId="0F4E8AA4" w14:textId="77777777" w:rsidR="0069093E" w:rsidRPr="0047544E" w:rsidRDefault="0069093E" w:rsidP="0069093E">
      <w:r w:rsidRPr="0047544E">
        <w:t>By contrast, when the alleged infringement is by a company based in the United States, there is no need for an exclusion order. Any infringement can be redressed through domestic litigation filed in federal district court with jurisdiction over the alleged infringer. If the court finds infringement, it can award damages and—if the requirements of eBay are met—can issue an injunction to prevent ongoing or impending infringement actively harming the patent owner.</w:t>
      </w:r>
    </w:p>
    <w:p w14:paraId="53296D66" w14:textId="77777777" w:rsidR="0069093E" w:rsidRPr="0047544E" w:rsidRDefault="0069093E" w:rsidP="0069093E">
      <w:r w:rsidRPr="0047544E">
        <w:t xml:space="preserve">Nevertheless, a </w:t>
      </w:r>
      <w:r w:rsidRPr="000A3173">
        <w:rPr>
          <w:rStyle w:val="StyleUnderline"/>
        </w:rPr>
        <w:t xml:space="preserve">Majority of ITC </w:t>
      </w:r>
      <w:r w:rsidRPr="000A3173">
        <w:rPr>
          <w:rStyle w:val="Emphasis"/>
        </w:rPr>
        <w:t>Respondents</w:t>
      </w:r>
      <w:r w:rsidRPr="000A3173">
        <w:rPr>
          <w:rStyle w:val="StyleUnderline"/>
        </w:rPr>
        <w:t xml:space="preserve"> Are U.S.-Based</w:t>
      </w:r>
    </w:p>
    <w:p w14:paraId="7756C841" w14:textId="77777777" w:rsidR="0069093E" w:rsidRPr="0047544E" w:rsidRDefault="0069093E" w:rsidP="0069093E">
      <w:r w:rsidRPr="0047544E">
        <w:t xml:space="preserve">A review of the recent ITC docket reveals that the </w:t>
      </w:r>
      <w:r w:rsidRPr="000A3173">
        <w:rPr>
          <w:rStyle w:val="StyleUnderline"/>
          <w:highlight w:val="cyan"/>
        </w:rPr>
        <w:t>ITC is not being used for</w:t>
      </w:r>
      <w:r w:rsidRPr="0047544E">
        <w:t xml:space="preserve"> its </w:t>
      </w:r>
      <w:r w:rsidRPr="000A3173">
        <w:rPr>
          <w:rStyle w:val="Emphasis"/>
          <w:highlight w:val="cyan"/>
        </w:rPr>
        <w:t>intended</w:t>
      </w:r>
      <w:r w:rsidRPr="000A3173">
        <w:rPr>
          <w:rStyle w:val="StyleUnderline"/>
          <w:highlight w:val="cyan"/>
        </w:rPr>
        <w:t xml:space="preserve"> purpose</w:t>
      </w:r>
      <w:r w:rsidRPr="0047544E">
        <w:t xml:space="preserve">. To the contrary, this </w:t>
      </w:r>
      <w:r w:rsidRPr="000A3173">
        <w:rPr>
          <w:rStyle w:val="StyleUnderline"/>
        </w:rPr>
        <w:t xml:space="preserve">analysis found that a </w:t>
      </w:r>
      <w:r w:rsidRPr="000A3173">
        <w:rPr>
          <w:rStyle w:val="StyleUnderline"/>
          <w:highlight w:val="cyan"/>
        </w:rPr>
        <w:t>majority of companies sued at the ITC</w:t>
      </w:r>
      <w:r w:rsidRPr="0047544E">
        <w:t xml:space="preserve"> in recent </w:t>
      </w:r>
      <w:r w:rsidRPr="000A3173">
        <w:rPr>
          <w:rStyle w:val="StyleUnderline"/>
        </w:rPr>
        <w:t>years have been</w:t>
      </w:r>
      <w:r w:rsidRPr="0047544E">
        <w:t xml:space="preserve"> </w:t>
      </w:r>
      <w:r w:rsidRPr="000A3173">
        <w:rPr>
          <w:rStyle w:val="StyleUnderline"/>
          <w:highlight w:val="cyan"/>
        </w:rPr>
        <w:t xml:space="preserve">based in the </w:t>
      </w:r>
      <w:r w:rsidRPr="000A3173">
        <w:rPr>
          <w:rStyle w:val="Emphasis"/>
          <w:highlight w:val="cyan"/>
        </w:rPr>
        <w:t>U</w:t>
      </w:r>
      <w:r w:rsidRPr="0047544E">
        <w:t xml:space="preserve">nited </w:t>
      </w:r>
      <w:r w:rsidRPr="000A3173">
        <w:rPr>
          <w:rStyle w:val="Emphasis"/>
          <w:highlight w:val="cyan"/>
        </w:rPr>
        <w:t>S</w:t>
      </w:r>
      <w:r w:rsidRPr="0047544E">
        <w:t xml:space="preserve">tates. And </w:t>
      </w:r>
      <w:r w:rsidRPr="000A3173">
        <w:rPr>
          <w:rStyle w:val="StyleUnderline"/>
          <w:highlight w:val="cyan"/>
        </w:rPr>
        <w:t>trolls</w:t>
      </w:r>
      <w:r w:rsidRPr="0047544E">
        <w:t xml:space="preserve">, in particular, are </w:t>
      </w:r>
      <w:r w:rsidRPr="000A3173">
        <w:rPr>
          <w:rStyle w:val="StyleUnderline"/>
        </w:rPr>
        <w:t>significantly more</w:t>
      </w:r>
      <w:r w:rsidRPr="0047544E">
        <w:t xml:space="preserve"> likely to </w:t>
      </w:r>
      <w:r w:rsidRPr="000A3173">
        <w:rPr>
          <w:rStyle w:val="StyleUnderline"/>
          <w:highlight w:val="cyan"/>
        </w:rPr>
        <w:t>target U.S.-based respondents</w:t>
      </w:r>
      <w:r w:rsidRPr="0047544E">
        <w:t>.</w:t>
      </w:r>
    </w:p>
    <w:p w14:paraId="574D5C86" w14:textId="77777777" w:rsidR="0069093E" w:rsidRPr="0047544E" w:rsidRDefault="0069093E" w:rsidP="0069093E">
      <w:r w:rsidRPr="0047544E">
        <w:t>The analysis used the docket search tool DocketNavigator to review all Section 337 cases filed in Fiscal Years 2018, 2019, 2020, and 2021 (i.e., between October 1, 2018 and September 30, 2021). This analysis considered an ITC complainant to be a “patent troll” if its complaint identified no actual use of the patent—for example, to manufacture goods—and instead relied solely on its licensing of the patent to another entity. But, consistent with other analyses of NPE litigation, the author excluded from the definition of a patent troll entities like universities, individual inventors, and startup companies, which do not manufacture goods but are in the business of securing patents for their own innovations (rather than acquiring the patents of others).</w:t>
      </w:r>
      <w:bookmarkStart w:id="15" w:name="_ftnref16"/>
      <w:r w:rsidRPr="0047544E">
        <w:t>[16]</w:t>
      </w:r>
      <w:bookmarkEnd w:id="15"/>
      <w:r w:rsidRPr="0047544E">
        <w:t> To evaluate whether a particular ITC respondent was based in the United States, the analysis used the address listed in the ITC complaint.</w:t>
      </w:r>
    </w:p>
    <w:p w14:paraId="4DE364B5" w14:textId="77777777" w:rsidR="0069093E" w:rsidRPr="0047544E" w:rsidRDefault="0069093E" w:rsidP="0069093E">
      <w:r w:rsidRPr="0047544E">
        <w:t>In cases filed by patent trolls during the analyzed period, 63.7% of the targeted respondent companies were headquartered in the United States. This percentage was greater than the already sizeable 53.9% of U.S.-based respondents in cases not filed by trolls. This striking difference between troll and non-troll cases had statistical significance at the 99% confidence level (with a t-score of 2.64), as calculated using data reported in the table below.</w:t>
      </w:r>
    </w:p>
    <w:p w14:paraId="279B6067" w14:textId="77777777" w:rsidR="0069093E" w:rsidRPr="0047544E" w:rsidRDefault="0069093E" w:rsidP="0069093E">
      <w:r w:rsidRPr="0047544E">
        <w:t xml:space="preserve">The problem becomes even more apparent when the </w:t>
      </w:r>
      <w:r w:rsidRPr="000A3173">
        <w:rPr>
          <w:rStyle w:val="StyleUnderline"/>
        </w:rPr>
        <w:t>analysis considers families of respondents</w:t>
      </w:r>
      <w:r w:rsidRPr="0047544E">
        <w:t xml:space="preserve">—i.e., groups of related companies sued at the ITC. Often, a </w:t>
      </w:r>
      <w:r w:rsidRPr="000A3173">
        <w:rPr>
          <w:rStyle w:val="StyleUnderline"/>
          <w:highlight w:val="cyan"/>
        </w:rPr>
        <w:t>foreign respondent</w:t>
      </w:r>
      <w:r w:rsidRPr="0047544E">
        <w:t xml:space="preserve"> company </w:t>
      </w:r>
      <w:r w:rsidRPr="000A3173">
        <w:rPr>
          <w:rStyle w:val="StyleUnderline"/>
          <w:highlight w:val="cyan"/>
        </w:rPr>
        <w:t xml:space="preserve">will have </w:t>
      </w:r>
      <w:r w:rsidRPr="000A3173">
        <w:rPr>
          <w:rStyle w:val="Emphasis"/>
          <w:highlight w:val="cyan"/>
        </w:rPr>
        <w:t>significant</w:t>
      </w:r>
      <w:r w:rsidRPr="000A3173">
        <w:rPr>
          <w:rStyle w:val="StyleUnderline"/>
          <w:highlight w:val="cyan"/>
        </w:rPr>
        <w:t xml:space="preserve"> U.S. affiliates</w:t>
      </w:r>
      <w:r w:rsidRPr="0047544E">
        <w:t xml:space="preserve"> engaged in U.S. research, </w:t>
      </w:r>
      <w:r w:rsidRPr="000A3173">
        <w:rPr>
          <w:rStyle w:val="StyleUnderline"/>
        </w:rPr>
        <w:t>manufacture, marketing, or distribution</w:t>
      </w:r>
      <w:r w:rsidRPr="0047544E">
        <w:t xml:space="preserve">, </w:t>
      </w:r>
      <w:r w:rsidRPr="000A3173">
        <w:rPr>
          <w:rStyle w:val="StyleUnderline"/>
          <w:highlight w:val="cyan"/>
        </w:rPr>
        <w:t xml:space="preserve">meaning there is no need to use the </w:t>
      </w:r>
      <w:r w:rsidRPr="000A3173">
        <w:rPr>
          <w:rStyle w:val="Emphasis"/>
          <w:highlight w:val="cyan"/>
        </w:rPr>
        <w:t>ITC</w:t>
      </w:r>
      <w:r w:rsidRPr="000A3173">
        <w:rPr>
          <w:rStyle w:val="StyleUnderline"/>
        </w:rPr>
        <w:t xml:space="preserve"> </w:t>
      </w:r>
      <w:r w:rsidRPr="0047544E">
        <w:t>process to gain jurisdiction. To take a recent example, in July 2021, a troll called Sonrai Memory Limited filed a case at the ITC against 10 respondents that manufacture a range of high-tech consumer goods.</w:t>
      </w:r>
      <w:bookmarkStart w:id="16" w:name="_ftnref17"/>
      <w:r w:rsidRPr="0047544E">
        <w:t>[17]</w:t>
      </w:r>
      <w:bookmarkEnd w:id="16"/>
      <w:r w:rsidRPr="0047544E">
        <w:t> The respondents include both Lenovo Group Ltd. (headquartered in Beijing) and its subsidiary Lenovo United States Inc. (headquartered in North Carolina).</w:t>
      </w:r>
      <w:bookmarkStart w:id="17" w:name="_ftnref18"/>
      <w:r w:rsidRPr="0047544E">
        <w:t>[18]</w:t>
      </w:r>
      <w:bookmarkEnd w:id="17"/>
      <w:r w:rsidRPr="0047544E">
        <w:t> Under the “respondent family” analysis, those entitles were treated as a single Lenovo family subject to federal district court jurisdiction.</w:t>
      </w:r>
    </w:p>
    <w:p w14:paraId="7E7E14F9" w14:textId="4295DD4B" w:rsidR="0069093E" w:rsidRDefault="0069093E" w:rsidP="0069093E">
      <w:r w:rsidRPr="0047544E">
        <w:t xml:space="preserve">In troll cases, 95.1% of </w:t>
      </w:r>
      <w:r w:rsidRPr="000A3173">
        <w:rPr>
          <w:rStyle w:val="StyleUnderline"/>
        </w:rPr>
        <w:t>respondent families had at least one U.S. affiliate</w:t>
      </w:r>
      <w:r w:rsidRPr="0047544E">
        <w:t xml:space="preserve">. This proportion far exceeded the already high </w:t>
      </w:r>
      <w:r w:rsidRPr="000A3173">
        <w:rPr>
          <w:rStyle w:val="StyleUnderline"/>
        </w:rPr>
        <w:t>proportion of 64.9% in non-troll cases</w:t>
      </w:r>
      <w:r w:rsidRPr="0047544E">
        <w:t xml:space="preserve">—with the difference having statistical significance at the 99.9% confidence level (with a t-score of 5.57). This significant difference supports the notion that </w:t>
      </w:r>
      <w:r w:rsidRPr="000A3173">
        <w:rPr>
          <w:rStyle w:val="Emphasis"/>
          <w:highlight w:val="cyan"/>
        </w:rPr>
        <w:t>trolls</w:t>
      </w:r>
      <w:r w:rsidRPr="0047544E">
        <w:t xml:space="preserve">, who </w:t>
      </w:r>
      <w:r w:rsidRPr="000A3173">
        <w:rPr>
          <w:rStyle w:val="StyleUnderline"/>
          <w:highlight w:val="cyan"/>
        </w:rPr>
        <w:t xml:space="preserve">use the ITC only to force more </w:t>
      </w:r>
      <w:r w:rsidRPr="000A3173">
        <w:rPr>
          <w:rStyle w:val="Emphasis"/>
          <w:highlight w:val="cyan"/>
        </w:rPr>
        <w:t>lucrative</w:t>
      </w:r>
      <w:r w:rsidRPr="000A3173">
        <w:rPr>
          <w:rStyle w:val="StyleUnderline"/>
          <w:highlight w:val="cyan"/>
        </w:rPr>
        <w:t xml:space="preserve"> settlements</w:t>
      </w:r>
      <w:r w:rsidRPr="000A3173">
        <w:rPr>
          <w:rStyle w:val="StyleUnderline"/>
        </w:rPr>
        <w:t xml:space="preserve"> than compensatory</w:t>
      </w:r>
      <w:r w:rsidRPr="0047544E">
        <w:t xml:space="preserve"> damages in federal district courts, believe that targeting U.S. companies is the most efficient way to achieve their ends.</w:t>
      </w:r>
    </w:p>
    <w:p w14:paraId="5FCEE599" w14:textId="6ABFC127" w:rsidR="00D40024" w:rsidRDefault="00D40024" w:rsidP="00D40024">
      <w:pPr>
        <w:pStyle w:val="Heading3"/>
      </w:pPr>
      <w:r>
        <w:t>Deficit---Patent Trolls---2AC</w:t>
      </w:r>
    </w:p>
    <w:p w14:paraId="7A0E6858" w14:textId="77777777" w:rsidR="00853E4C" w:rsidRDefault="00853E4C" w:rsidP="00853E4C">
      <w:pPr>
        <w:pStyle w:val="Heading4"/>
      </w:pPr>
      <w:r>
        <w:t xml:space="preserve">Empowering the ITC only bolsters section 337 — which greenlights patent trolls decking less innovation. </w:t>
      </w:r>
    </w:p>
    <w:p w14:paraId="15C60031" w14:textId="77777777" w:rsidR="00853E4C" w:rsidRPr="00E91CAE" w:rsidRDefault="00853E4C" w:rsidP="00853E4C">
      <w:r>
        <w:rPr>
          <w:rStyle w:val="Style13ptBold"/>
        </w:rPr>
        <w:t xml:space="preserve">Layton 23 </w:t>
      </w:r>
      <w:r w:rsidRPr="00E91CAE">
        <w:t>— Roslyn Layton, Senior Vice President of Strand Consult</w:t>
      </w:r>
      <w:r>
        <w:t xml:space="preserve">, </w:t>
      </w:r>
      <w:r w:rsidRPr="00E91CAE">
        <w:t>Visiting Researcher at Aalborg University Copenhagen</w:t>
      </w:r>
      <w:r>
        <w:t xml:space="preserve">, Former </w:t>
      </w:r>
      <w:r w:rsidRPr="00E91CAE">
        <w:t>Presidential Transition Team for the Federal Communications Commission</w:t>
      </w:r>
      <w:r>
        <w:t>, D</w:t>
      </w:r>
      <w:r w:rsidRPr="00E91CAE">
        <w:t>octorate in internet economics, 2023(“The ITC Needs Bipartisan Reform to Deter Patent Speculators</w:t>
      </w:r>
      <w:r>
        <w:t xml:space="preserve">,” </w:t>
      </w:r>
      <w:r>
        <w:rPr>
          <w:i/>
          <w:iCs/>
        </w:rPr>
        <w:t>Bloomberg</w:t>
      </w:r>
      <w:r>
        <w:t>, July 25</w:t>
      </w:r>
      <w:r w:rsidRPr="00E91CAE">
        <w:rPr>
          <w:vertAlign w:val="superscript"/>
        </w:rPr>
        <w:t>th</w:t>
      </w:r>
      <w:r>
        <w:t xml:space="preserve">, Available Online at </w:t>
      </w:r>
      <w:r w:rsidRPr="00E91CAE">
        <w:t>https://news.bloomberglaw.com/us-law-week/the-itc-needs-bipartisan-reform-to-deter-patent-speculators</w:t>
      </w:r>
      <w:r>
        <w:t>, Accessed 07-27-2024)</w:t>
      </w:r>
    </w:p>
    <w:p w14:paraId="680213D1" w14:textId="77777777" w:rsidR="00853E4C" w:rsidRDefault="00853E4C" w:rsidP="00853E4C">
      <w:r w:rsidRPr="00E91CAE">
        <w:rPr>
          <w:rStyle w:val="StyleUnderline"/>
        </w:rPr>
        <w:t>Americans benefit from innovation and the policies and protections that promote it. However, the very system intended to protect US trade interests and innovators from foreign counterfeiters and infringers</w:t>
      </w:r>
      <w:r w:rsidRPr="00E91CAE">
        <w:t xml:space="preserve">, </w:t>
      </w:r>
      <w:r w:rsidRPr="00E91CAE">
        <w:rPr>
          <w:rStyle w:val="StyleUnderline"/>
        </w:rPr>
        <w:t>notably the I</w:t>
      </w:r>
      <w:r w:rsidRPr="00E91CAE">
        <w:t xml:space="preserve">nternational </w:t>
      </w:r>
      <w:r w:rsidRPr="00E91CAE">
        <w:rPr>
          <w:rStyle w:val="StyleUnderline"/>
        </w:rPr>
        <w:t>T</w:t>
      </w:r>
      <w:r w:rsidRPr="00E91CAE">
        <w:t xml:space="preserve">rade </w:t>
      </w:r>
      <w:r w:rsidRPr="00E91CAE">
        <w:rPr>
          <w:rStyle w:val="StyleUnderline"/>
        </w:rPr>
        <w:t>C</w:t>
      </w:r>
      <w:r w:rsidRPr="00E91CAE">
        <w:t xml:space="preserve">ommission, </w:t>
      </w:r>
      <w:r w:rsidRPr="00E91CAE">
        <w:rPr>
          <w:rStyle w:val="StyleUnderline"/>
        </w:rPr>
        <w:t>is being abused by non-practicing entities that specialize in acquiring patents for extortion—not for development or commercialization into product</w:t>
      </w:r>
      <w:r w:rsidRPr="00E91CAE">
        <w:t>s.</w:t>
      </w:r>
    </w:p>
    <w:p w14:paraId="32BF25B9" w14:textId="77777777" w:rsidR="00853E4C" w:rsidRDefault="00853E4C" w:rsidP="00853E4C">
      <w:r w:rsidRPr="00E91CAE">
        <w:t xml:space="preserve">Also known as </w:t>
      </w:r>
      <w:r w:rsidRPr="00E91CAE">
        <w:rPr>
          <w:rStyle w:val="StyleUnderline"/>
        </w:rPr>
        <w:t>patent trolls</w:t>
      </w:r>
      <w:r w:rsidRPr="00E91CAE">
        <w:t xml:space="preserve">, </w:t>
      </w:r>
      <w:r w:rsidRPr="00E91CAE">
        <w:rPr>
          <w:rStyle w:val="StyleUnderline"/>
        </w:rPr>
        <w:t>more and more NPEs are filing lawsuits at the ITC</w:t>
      </w:r>
      <w:r w:rsidRPr="00E91CAE">
        <w:t xml:space="preserve"> where they hope </w:t>
      </w:r>
      <w:r w:rsidRPr="00E91CAE">
        <w:rPr>
          <w:rStyle w:val="StyleUnderline"/>
        </w:rPr>
        <w:t>they</w:t>
      </w:r>
      <w:r w:rsidRPr="00E91CAE">
        <w:t xml:space="preserve"> can </w:t>
      </w:r>
      <w:r w:rsidRPr="00E91CAE">
        <w:rPr>
          <w:rStyle w:val="StyleUnderline"/>
        </w:rPr>
        <w:t>win powerful exclusion orders under a law called Section 337</w:t>
      </w:r>
      <w:r w:rsidRPr="00E91CAE">
        <w:t>. Exclusion orders block allegedly infringing imports from the US, and NPEs use the threat of such an order to shake down legitimate companies and extract a large financial settlement.</w:t>
      </w:r>
    </w:p>
    <w:p w14:paraId="6A16FA27" w14:textId="77777777" w:rsidR="00853E4C" w:rsidRDefault="00853E4C" w:rsidP="00853E4C">
      <w:r w:rsidRPr="00E91CAE">
        <w:rPr>
          <w:rStyle w:val="StyleUnderline"/>
        </w:rPr>
        <w:t>Over time, this problem has grown worse</w:t>
      </w:r>
      <w:r w:rsidRPr="00E91CAE">
        <w:t xml:space="preserve">. An </w:t>
      </w:r>
      <w:r w:rsidRPr="00E91CAE">
        <w:rPr>
          <w:rStyle w:val="StyleUnderline"/>
        </w:rPr>
        <w:t>ITC exclusion order can be based on infringement of a single patent</w:t>
      </w:r>
      <w:r w:rsidRPr="00E91CAE">
        <w:t xml:space="preserve">. But today, </w:t>
      </w:r>
      <w:r w:rsidRPr="00E91CAE">
        <w:rPr>
          <w:rStyle w:val="StyleUnderline"/>
        </w:rPr>
        <w:t>modern products are increasingly complex and may potentially touch on thousands of individual patents—making it easier and easier for patent trolls to find a single patent hook that justifies their bringing an exploitative infringement claim</w:t>
      </w:r>
      <w:r w:rsidRPr="00E91CAE">
        <w:t>.</w:t>
      </w:r>
    </w:p>
    <w:p w14:paraId="0E87A31B" w14:textId="77777777" w:rsidR="00853E4C" w:rsidRDefault="00853E4C" w:rsidP="00853E4C">
      <w:r w:rsidRPr="00E91CAE">
        <w:t xml:space="preserve">These </w:t>
      </w:r>
      <w:r w:rsidRPr="00E91CAE">
        <w:rPr>
          <w:rStyle w:val="StyleUnderline"/>
        </w:rPr>
        <w:t>abusive practices at the ITC have increasingly real consequences given the IP-intensive nature of the modern econom</w:t>
      </w:r>
      <w:r w:rsidRPr="00E91CAE">
        <w:t xml:space="preserve">y. IP-intensive industries are some of the largest pistons of America’s economic engine—in 2019, they </w:t>
      </w:r>
      <w:r w:rsidRPr="00E91CAE">
        <w:rPr>
          <w:rStyle w:val="StyleUnderline"/>
        </w:rPr>
        <w:t>accounted for 41% of output ($7.8 trillion) and 44% of jobs (63 million</w:t>
      </w:r>
      <w:r w:rsidRPr="00E91CAE">
        <w:t>).</w:t>
      </w:r>
    </w:p>
    <w:p w14:paraId="5628E60D" w14:textId="24229D7E" w:rsidR="00853E4C" w:rsidRPr="00853E4C" w:rsidRDefault="00853E4C" w:rsidP="00853E4C">
      <w:pPr>
        <w:rPr>
          <w:b/>
          <w:u w:val="single"/>
        </w:rPr>
      </w:pPr>
      <w:r w:rsidRPr="00E91CAE">
        <w:rPr>
          <w:rStyle w:val="StyleUnderline"/>
        </w:rPr>
        <w:t>Yet these same IP-intensive industries are frequently in the crosshairs of NPEs. And it’s not just the large firms that suffer from the ITC’s tolerance of patent trolls. Small business owners and entrepreneurs are often the victims of bad actors as well.</w:t>
      </w:r>
    </w:p>
    <w:p w14:paraId="1F4B145F" w14:textId="44D90F33" w:rsidR="00D40024" w:rsidRDefault="00D40024" w:rsidP="00D40024">
      <w:pPr>
        <w:pStyle w:val="Heading4"/>
      </w:pPr>
      <w:r>
        <w:t xml:space="preserve">ITC greenlights patent trolls and decks innovation. </w:t>
      </w:r>
    </w:p>
    <w:p w14:paraId="1E5948AC" w14:textId="77777777" w:rsidR="00D40024" w:rsidRPr="00A5092D" w:rsidRDefault="00D40024" w:rsidP="00D40024">
      <w:pPr>
        <w:rPr>
          <w:rStyle w:val="Style13ptBold"/>
          <w:b w:val="0"/>
          <w:bCs w:val="0"/>
        </w:rPr>
      </w:pPr>
      <w:r>
        <w:rPr>
          <w:rStyle w:val="Style13ptBold"/>
        </w:rPr>
        <w:t xml:space="preserve">Mullin 20 </w:t>
      </w:r>
      <w:r w:rsidRPr="00A5092D">
        <w:t>— Joe Mullin, senior policy analyst at EFF</w:t>
      </w:r>
      <w:r>
        <w:t xml:space="preserve">, </w:t>
      </w:r>
      <w:r w:rsidRPr="00A5092D">
        <w:t>bachelors degree in history and a masters in journalism, both from the University of California at Berkeley, 2020(“The International Trade Commission Is Opening the Door to Abusive Patent Owners and Endangering U.S. Businesses</w:t>
      </w:r>
      <w:r>
        <w:t xml:space="preserve">,” </w:t>
      </w:r>
      <w:r>
        <w:rPr>
          <w:i/>
          <w:iCs/>
        </w:rPr>
        <w:t>EFF</w:t>
      </w:r>
      <w:r>
        <w:t>, July 15</w:t>
      </w:r>
      <w:r w:rsidRPr="00A5092D">
        <w:rPr>
          <w:vertAlign w:val="superscript"/>
        </w:rPr>
        <w:t>th</w:t>
      </w:r>
      <w:r>
        <w:t xml:space="preserve">, Available Online at </w:t>
      </w:r>
      <w:r w:rsidRPr="00A5092D">
        <w:t>https://www.eff.org/deeplinks/2020/07/international-trade-commission-opening-door-abusive-patent-owners-and-endangering</w:t>
      </w:r>
      <w:r>
        <w:t>, Accessed 07-25-2024)</w:t>
      </w:r>
    </w:p>
    <w:p w14:paraId="62459EE3" w14:textId="77777777" w:rsidR="00D40024" w:rsidRDefault="00D40024" w:rsidP="00D40024">
      <w:r w:rsidRPr="00A5092D">
        <w:t xml:space="preserve">The International Trade Commission, or </w:t>
      </w:r>
      <w:r w:rsidRPr="00A5092D">
        <w:rPr>
          <w:rStyle w:val="StyleUnderline"/>
        </w:rPr>
        <w:t>ITC</w:t>
      </w:r>
      <w:r w:rsidRPr="00A5092D">
        <w:t xml:space="preserve">, </w:t>
      </w:r>
      <w:r w:rsidRPr="00A5092D">
        <w:rPr>
          <w:rStyle w:val="StyleUnderline"/>
        </w:rPr>
        <w:t>is</w:t>
      </w:r>
      <w:r w:rsidRPr="00A5092D">
        <w:t xml:space="preserve"> a forum that’s </w:t>
      </w:r>
      <w:r w:rsidRPr="00A5092D">
        <w:rPr>
          <w:rStyle w:val="StyleUnderline"/>
        </w:rPr>
        <w:t>meant to protect U.S. industries from unfair trade practices</w:t>
      </w:r>
      <w:r w:rsidRPr="00A5092D">
        <w:t xml:space="preserve">. But in </w:t>
      </w:r>
      <w:r w:rsidRPr="00A5092D">
        <w:rPr>
          <w:rStyle w:val="StyleUnderline"/>
        </w:rPr>
        <w:t>recent years</w:t>
      </w:r>
      <w:r w:rsidRPr="00A5092D">
        <w:t xml:space="preserve">, the </w:t>
      </w:r>
      <w:r w:rsidRPr="00A5092D">
        <w:rPr>
          <w:rStyle w:val="StyleUnderline"/>
        </w:rPr>
        <w:t>prime beneficiaries of the sprawling ITC haven't been American manufacturers, but patent owners, patent lawyers, and—you guessed it—patent trolls</w:t>
      </w:r>
      <w:r w:rsidRPr="00A5092D">
        <w:t xml:space="preserve">. </w:t>
      </w:r>
    </w:p>
    <w:p w14:paraId="23ED5158" w14:textId="77777777" w:rsidR="00D40024" w:rsidRDefault="00D40024" w:rsidP="00D40024">
      <w:r w:rsidRPr="00A5092D">
        <w:t xml:space="preserve">The </w:t>
      </w:r>
      <w:r w:rsidRPr="00A5092D">
        <w:rPr>
          <w:rStyle w:val="StyleUnderline"/>
        </w:rPr>
        <w:t>ITC is a quasi-judicial agency, that has the power to act a lot like a court</w:t>
      </w:r>
      <w:r w:rsidRPr="00A5092D">
        <w:t>. An administrative judge decides disputed issues, including allegations of patent infringement. When patent owners show imported items infringe, the ITC can ban those products from coming into the U.S., with “exclusion orders” that stop further importation.</w:t>
      </w:r>
      <w:r>
        <w:t xml:space="preserve"> </w:t>
      </w:r>
    </w:p>
    <w:p w14:paraId="62565F81" w14:textId="77777777" w:rsidR="00D40024" w:rsidRDefault="00D40024" w:rsidP="00D40024">
      <w:r w:rsidRPr="00A5092D">
        <w:t xml:space="preserve">The </w:t>
      </w:r>
      <w:r w:rsidRPr="00A5092D">
        <w:rPr>
          <w:rStyle w:val="StyleUnderline"/>
        </w:rPr>
        <w:t>ITC has been steadily expanding its patent enforcement powers for some years now. Patent owners have been treating it as a kind of super-powered patent court, because the exclusion orders they can get are so valuable. That's especially true now, since court injunctions that stop products from reaching consumer markets have become very hard to get in district courts</w:t>
      </w:r>
      <w:r w:rsidRPr="00A5092D">
        <w:t>.</w:t>
      </w:r>
    </w:p>
    <w:p w14:paraId="269ABD18" w14:textId="77777777" w:rsidR="00D40024" w:rsidRDefault="00D40024" w:rsidP="00D40024">
      <w:r w:rsidRPr="00A5092D">
        <w:t xml:space="preserve">Now, the </w:t>
      </w:r>
      <w:r w:rsidRPr="00A5092D">
        <w:rPr>
          <w:rStyle w:val="StyleUnderline"/>
        </w:rPr>
        <w:t>ITC is expanding its powers again</w:t>
      </w:r>
      <w:r w:rsidRPr="00A5092D">
        <w:t xml:space="preserve">. That's why we've joined with R Street to file an amicus brief [PDF] telling the Supreme Court to stop the ITC from getting involved in domestic patent disputes that have nothing to do with foreign trade. </w:t>
      </w:r>
    </w:p>
    <w:p w14:paraId="19550468" w14:textId="77777777" w:rsidR="00D40024" w:rsidRDefault="00D40024" w:rsidP="00D40024">
      <w:r w:rsidRPr="00A5092D">
        <w:t xml:space="preserve">In a recent case between </w:t>
      </w:r>
      <w:r w:rsidRPr="00A5092D">
        <w:rPr>
          <w:rStyle w:val="StyleUnderline"/>
        </w:rPr>
        <w:t>Rovi and Comcast</w:t>
      </w:r>
      <w:r w:rsidRPr="00A5092D">
        <w:t xml:space="preserve">, the Commission ruled that it can issue exclusion orders against companies that don’t import anything at all. The </w:t>
      </w:r>
      <w:r w:rsidRPr="00A5092D">
        <w:rPr>
          <w:rStyle w:val="StyleUnderline"/>
        </w:rPr>
        <w:t>ITC has held that Comcast's set-top boxes can infringe Rovi’s software patents, and be subject to an exclusion order</w:t>
      </w:r>
      <w:r w:rsidRPr="00A5092D">
        <w:t>—even though they’re imported by another company, and don’t infringe when they’re imported. What's more, to infringe the patent, Comcast users would have to be using a (non-imported) mobile app.</w:t>
      </w:r>
    </w:p>
    <w:p w14:paraId="6D96D695" w14:textId="77777777" w:rsidR="00D40024" w:rsidRDefault="00D40024" w:rsidP="00D40024">
      <w:pPr>
        <w:rPr>
          <w:rStyle w:val="StyleUnderline"/>
        </w:rPr>
      </w:pPr>
      <w:r w:rsidRPr="00A5092D">
        <w:rPr>
          <w:rStyle w:val="StyleUnderline"/>
        </w:rPr>
        <w:t>This case never should have gone to the ITC. It's a dispute between two U.S. companies about activities that occur in the U.S.—the installation and use of mobile apps on Comcast set-top boxes. It has nothing to do with unfair trade practices. Yet, the ITC could issue a sweeping exclusion order affecting millions of products.</w:t>
      </w:r>
    </w:p>
    <w:p w14:paraId="4EB2F2F0" w14:textId="77777777" w:rsidR="00D40024" w:rsidRDefault="00D40024" w:rsidP="00D40024">
      <w:pPr>
        <w:rPr>
          <w:rStyle w:val="StyleUnderline"/>
        </w:rPr>
      </w:pPr>
      <w:r w:rsidRPr="00A5092D">
        <w:rPr>
          <w:rStyle w:val="StyleUnderline"/>
        </w:rPr>
        <w:t>If the Supreme Court doesn’t take up this case and reverse it, more patent owners—including patent trolls—will be able to drag U.S. companies into expensive ITC investigations for using basic computer and networking technology. Those companies could face exclusion orders forcing them to stop building and selling products and services that U.S. consumers want and need.</w:t>
      </w:r>
    </w:p>
    <w:p w14:paraId="421EAEBD" w14:textId="77777777" w:rsidR="00D40024" w:rsidRDefault="00D40024" w:rsidP="00D40024">
      <w:pPr>
        <w:rPr>
          <w:rStyle w:val="StyleUnderline"/>
        </w:rPr>
      </w:pPr>
      <w:r w:rsidRPr="00A5092D">
        <w:rPr>
          <w:rStyle w:val="StyleUnderline"/>
        </w:rPr>
        <w:t>Increasingly, patent trolls are coming to the ITC, because they’re looking for the leverage they no longer can get from district court injunctions. In 2007, the Supreme Court decided eBay v. MercExchange [PDF]. That decision essentially stopped patent trolls that don’t make or sell anything from getting court injunctions that remove products from shelves. The business of patent trolling has continued since eBay, but because the high court put an end to automatic injunctions in patent cases (as EFF and others argued they should), trolls lost a huge amount of leverage.</w:t>
      </w:r>
    </w:p>
    <w:p w14:paraId="2E22626D" w14:textId="77777777" w:rsidR="00D40024" w:rsidRDefault="00D40024" w:rsidP="00D40024">
      <w:r w:rsidRPr="00A5092D">
        <w:t xml:space="preserve">Opening the </w:t>
      </w:r>
      <w:r w:rsidRPr="00A5092D">
        <w:rPr>
          <w:rStyle w:val="StyleUnderline"/>
        </w:rPr>
        <w:t>ITC to patent trolls</w:t>
      </w:r>
      <w:r w:rsidRPr="00A5092D">
        <w:t xml:space="preserve"> has been </w:t>
      </w:r>
      <w:r w:rsidRPr="00A5092D">
        <w:rPr>
          <w:rStyle w:val="StyleUnderline"/>
        </w:rPr>
        <w:t>disastrous</w:t>
      </w:r>
      <w:r w:rsidRPr="00A5092D">
        <w:t xml:space="preserve">. It </w:t>
      </w:r>
      <w:r w:rsidRPr="00A5092D">
        <w:rPr>
          <w:rStyle w:val="StyleUnderline"/>
        </w:rPr>
        <w:t>allows them to get extortionate leverage over U.S. consumers by getting within striking distance of powerful ITC exclusion orders</w:t>
      </w:r>
      <w:r w:rsidRPr="00A5092D">
        <w:t xml:space="preserve">, and thus allows them to get around limits that the Supreme Court imposed in eBay. Right now, the ITC is letting an Ireland-based patent troll move forward with a case that seeks to ban the importation of 80% of Android tablets, 86% of Windows tablets, more than 50% of Android smartphones, and 97% of premium Android smartphones. </w:t>
      </w:r>
    </w:p>
    <w:p w14:paraId="7826BA4C" w14:textId="77777777" w:rsidR="00D40024" w:rsidRDefault="00D40024" w:rsidP="00D40024">
      <w:r w:rsidRPr="00A5092D">
        <w:rPr>
          <w:rStyle w:val="StyleUnderline"/>
        </w:rPr>
        <w:t>People who make, use, and sell basic computer equipment are already plagued by the threat of weak software patents.</w:t>
      </w:r>
      <w:r w:rsidRPr="00A5092D">
        <w:t xml:space="preserve"> The last thing users and small businesses need is yet another venue where they can be subject to spurious, but expensive, patent claims. Patent owners shouldn’t be able to drag companies into an international trade court for purely domestic activities, like installing and using software. </w:t>
      </w:r>
    </w:p>
    <w:p w14:paraId="42555C9E" w14:textId="092CCD4B" w:rsidR="00D40024" w:rsidRDefault="00D40024" w:rsidP="0069093E">
      <w:r w:rsidRPr="00A5092D">
        <w:t>We hope the Supreme Court takes this case, and stops the ITC from wildly expanding its authority. After that, it’s high time for Congress to consider legislation that could actually fix this outdated, out-of-control trade court. Since 2010, ITC judges have held that patent trolls and their patent-licensing activity constitute a “domestic industry” eligible for protection and ITC action. That's right—the U.S. "industry" they're protecting is, in some cases, pure litigation.  That’s distorted markets while hurting productive businesses and their consumers. As we have said for years, Congress should reform the ITC to kick out patent trolls.</w:t>
      </w:r>
    </w:p>
    <w:p w14:paraId="26C79849" w14:textId="21345068" w:rsidR="00AA6C9B" w:rsidRPr="004F2678" w:rsidRDefault="00AA6C9B" w:rsidP="00AA6C9B">
      <w:pPr>
        <w:pStyle w:val="Heading4"/>
        <w:rPr>
          <w:rFonts w:cs="Calibri"/>
        </w:rPr>
      </w:pPr>
      <w:r>
        <w:rPr>
          <w:rFonts w:cs="Calibri"/>
        </w:rPr>
        <w:t>The ITC is uniquely key for the success of patent trolls</w:t>
      </w:r>
    </w:p>
    <w:p w14:paraId="5229F193" w14:textId="77777777" w:rsidR="00AA6C9B" w:rsidRPr="004F2678" w:rsidRDefault="00AA6C9B" w:rsidP="00AA6C9B">
      <w:r w:rsidRPr="004F2678">
        <w:t xml:space="preserve">Joe </w:t>
      </w:r>
      <w:r w:rsidRPr="004F2678">
        <w:rPr>
          <w:b/>
          <w:bCs/>
          <w:sz w:val="26"/>
          <w:szCs w:val="26"/>
        </w:rPr>
        <w:t>Galvin 22</w:t>
      </w:r>
      <w:r w:rsidRPr="004F2678">
        <w:t>, Joe Galvin is an associate at Arnold and Porter was a patent examiner at the USPTO, 5-6-2022, "The International Trade Commission, Though Designed to Protect Domestic Industry, Frequently Threatens it", University of Baltimore, https://papers.ssrn.com/sol3/papers.cfm?abstract_id=4151796//susu</w:t>
      </w:r>
    </w:p>
    <w:p w14:paraId="2E257210" w14:textId="77777777" w:rsidR="00AA6C9B" w:rsidRPr="004F2678" w:rsidRDefault="00AA6C9B" w:rsidP="00AA6C9B">
      <w:r w:rsidRPr="004F2678">
        <w:t xml:space="preserve">Trolls at the ITC </w:t>
      </w:r>
    </w:p>
    <w:p w14:paraId="6D95AB99" w14:textId="77777777" w:rsidR="00AA6C9B" w:rsidRPr="004F2678" w:rsidRDefault="00AA6C9B" w:rsidP="00AA6C9B">
      <w:pPr>
        <w:rPr>
          <w:u w:val="single"/>
        </w:rPr>
      </w:pPr>
      <w:r w:rsidRPr="004F2678">
        <w:t xml:space="preserve">Most scrutiny of patent trolls has focused on their district court litigation. </w:t>
      </w:r>
      <w:r w:rsidRPr="004F2678">
        <w:rPr>
          <w:u w:val="single"/>
        </w:rPr>
        <w:t xml:space="preserve">But increasingly, the </w:t>
      </w:r>
      <w:r w:rsidRPr="004F2678">
        <w:rPr>
          <w:b/>
          <w:bCs/>
          <w:u w:val="single"/>
        </w:rPr>
        <w:t>ITC has</w:t>
      </w:r>
      <w:r w:rsidRPr="004F2678">
        <w:rPr>
          <w:u w:val="single"/>
        </w:rPr>
        <w:t xml:space="preserve"> become the most </w:t>
      </w:r>
      <w:r w:rsidRPr="004F2678">
        <w:rPr>
          <w:b/>
          <w:bCs/>
          <w:u w:val="single"/>
        </w:rPr>
        <w:t>menacing weapon</w:t>
      </w:r>
      <w:r w:rsidRPr="004F2678">
        <w:rPr>
          <w:u w:val="single"/>
        </w:rPr>
        <w:t xml:space="preserve"> in their arsenal</w:t>
      </w:r>
      <w:r w:rsidRPr="004F2678">
        <w:t xml:space="preserve">s. According to the ITC’s own data (which is known to undercount troll cases8 ), there has been a recent and pronounced increase in the number of cases filed by patent trolls, </w:t>
      </w:r>
      <w:r w:rsidRPr="004F2678">
        <w:rPr>
          <w:u w:val="single"/>
        </w:rPr>
        <w:t xml:space="preserve">with troll cases under Section 337 more than </w:t>
      </w:r>
      <w:r w:rsidRPr="004F2678">
        <w:rPr>
          <w:b/>
          <w:bCs/>
          <w:u w:val="single"/>
        </w:rPr>
        <w:t>doubling fr</w:t>
      </w:r>
      <w:r w:rsidRPr="004F2678">
        <w:rPr>
          <w:u w:val="single"/>
        </w:rPr>
        <w:t xml:space="preserve">om 2020 to 2021 to comprise over 13% of the ITC’s 2021 docket.9 </w:t>
      </w:r>
    </w:p>
    <w:p w14:paraId="7C7B71BF" w14:textId="0E2809FD" w:rsidR="00AA6C9B" w:rsidRPr="00BF7969" w:rsidRDefault="00AA6C9B" w:rsidP="00AA6C9B">
      <w:pPr>
        <w:rPr>
          <w:u w:val="single"/>
        </w:rPr>
      </w:pPr>
      <w:r w:rsidRPr="004F2678">
        <w:rPr>
          <w:u w:val="single"/>
        </w:rPr>
        <w:t xml:space="preserve">The ITC </w:t>
      </w:r>
      <w:r w:rsidRPr="004F2678">
        <w:rPr>
          <w:b/>
          <w:bCs/>
          <w:u w:val="single"/>
        </w:rPr>
        <w:t>attracts trolls</w:t>
      </w:r>
      <w:r w:rsidRPr="004F2678">
        <w:rPr>
          <w:u w:val="single"/>
        </w:rPr>
        <w:t xml:space="preserve"> for several reasons</w:t>
      </w:r>
      <w:r w:rsidRPr="004F2678">
        <w:t>. For one thing, the ITC adjudicates infringement cases more quickly than federal district courts, which puts increased pressure on responding parties.10 But perhaps most attractive is the Commission’s sweeping remedies</w:t>
      </w:r>
      <w:r w:rsidRPr="004F2678">
        <w:rPr>
          <w:u w:val="single"/>
        </w:rPr>
        <w:t xml:space="preserve">. If the ITC finds infringement of a valid patent, it will issue an </w:t>
      </w:r>
      <w:r w:rsidRPr="004F2678">
        <w:rPr>
          <w:b/>
          <w:bCs/>
          <w:u w:val="single"/>
        </w:rPr>
        <w:t>exclusion order blocking all of the respondents’ infringing product</w:t>
      </w:r>
      <w:r w:rsidRPr="004F2678">
        <w:rPr>
          <w:b/>
          <w:bCs/>
        </w:rPr>
        <w:t>s</w:t>
      </w:r>
      <w:r w:rsidRPr="004F2678">
        <w:t xml:space="preserve"> (and under certain circumstances even products not manufactured by the named respondents) from the U.S. market.11 </w:t>
      </w:r>
      <w:r w:rsidRPr="004F2678">
        <w:rPr>
          <w:u w:val="single"/>
        </w:rPr>
        <w:t xml:space="preserve">Unlike courts, which are restricted by the Supreme Court’s 2006 decision in </w:t>
      </w:r>
      <w:r w:rsidRPr="004F2678">
        <w:rPr>
          <w:b/>
          <w:bCs/>
          <w:u w:val="single"/>
        </w:rPr>
        <w:t>eBay Inc. v. MercExchange</w:t>
      </w:r>
      <w:r w:rsidRPr="004F2678">
        <w:rPr>
          <w:u w:val="single"/>
        </w:rPr>
        <w:t xml:space="preserve">, LLC, the ITC does not need to find that the complaining party will be irreparably harmed before ordering exclusion.12 Rather, injunctive relief at the ITC is </w:t>
      </w:r>
      <w:r w:rsidRPr="004F2678">
        <w:rPr>
          <w:b/>
          <w:bCs/>
          <w:u w:val="single"/>
        </w:rPr>
        <w:t>essentially automatic.</w:t>
      </w:r>
      <w:r w:rsidRPr="004F2678">
        <w:rPr>
          <w:u w:val="single"/>
        </w:rPr>
        <w:t>13</w:t>
      </w:r>
    </w:p>
    <w:p w14:paraId="7FAA7265" w14:textId="3F87BA72" w:rsidR="00F2502A" w:rsidRDefault="00F2502A" w:rsidP="00D173CB">
      <w:pPr>
        <w:pStyle w:val="Heading2"/>
      </w:pPr>
      <w:r>
        <w:t>Net Benefit</w:t>
      </w:r>
    </w:p>
    <w:p w14:paraId="1EBD64A4" w14:textId="082BF79C" w:rsidR="00F2502A" w:rsidRDefault="00F2502A" w:rsidP="00F2502A">
      <w:pPr>
        <w:pStyle w:val="Heading3"/>
      </w:pPr>
      <w:r>
        <w:t>Turn---5G</w:t>
      </w:r>
      <w:r w:rsidR="00597C05">
        <w:t>---2AC</w:t>
      </w:r>
    </w:p>
    <w:p w14:paraId="4EC5E7AF" w14:textId="52F86812" w:rsidR="00F2502A" w:rsidRDefault="00F2502A" w:rsidP="00F2502A">
      <w:pPr>
        <w:pStyle w:val="Heading4"/>
      </w:pPr>
      <w:r>
        <w:t>Expanding ITC enforcement guarantees 5G exclusion order, that cedes 5G tech race to China</w:t>
      </w:r>
    </w:p>
    <w:p w14:paraId="19561053" w14:textId="77777777" w:rsidR="00F2502A" w:rsidRPr="0030097E" w:rsidRDefault="00F2502A" w:rsidP="00F2502A">
      <w:r w:rsidRPr="0030097E">
        <w:t xml:space="preserve">Kenny </w:t>
      </w:r>
      <w:r w:rsidRPr="0030097E">
        <w:rPr>
          <w:b/>
          <w:bCs/>
          <w:sz w:val="26"/>
          <w:szCs w:val="26"/>
        </w:rPr>
        <w:t>Mok 21</w:t>
      </w:r>
      <w:r w:rsidRPr="0030097E">
        <w:t xml:space="preserve">, </w:t>
      </w:r>
      <w:r>
        <w:t xml:space="preserve">Kenny Mok is a Judicial Clerk at the US District Court of Maryland and has a JD from the University of Chicago, December </w:t>
      </w:r>
      <w:r w:rsidRPr="0030097E">
        <w:t>2021, "In Defense of 5G: National Security and Patent Rights Under the Public Interest Factors National Security and Patent Rights Under the Public Interest Factors on JSTOR", https://www.jstor.org/stable/27082295//susu</w:t>
      </w:r>
    </w:p>
    <w:p w14:paraId="15BCFB46" w14:textId="77777777" w:rsidR="00F2502A" w:rsidRDefault="00F2502A" w:rsidP="00F2502A">
      <w:r w:rsidRPr="0030097E">
        <w:t>INTRODUCTION</w:t>
      </w:r>
    </w:p>
    <w:p w14:paraId="0E006BF9" w14:textId="77777777" w:rsidR="00F2502A" w:rsidRDefault="00F2502A" w:rsidP="00F2502A">
      <w:r w:rsidRPr="0030097E">
        <w:rPr>
          <w:rStyle w:val="StyleUnderline"/>
        </w:rPr>
        <w:t xml:space="preserve">From 2017 to 2019, two U.S. technology giants, </w:t>
      </w:r>
      <w:r w:rsidRPr="0030097E">
        <w:rPr>
          <w:rStyle w:val="Emphasis"/>
        </w:rPr>
        <w:t>Apple</w:t>
      </w:r>
      <w:r w:rsidRPr="0030097E">
        <w:rPr>
          <w:rStyle w:val="StyleUnderline"/>
        </w:rPr>
        <w:t xml:space="preserve"> and </w:t>
      </w:r>
      <w:r w:rsidRPr="0030097E">
        <w:rPr>
          <w:rStyle w:val="Emphasis"/>
        </w:rPr>
        <w:t>Qualcomm</w:t>
      </w:r>
      <w:r w:rsidRPr="0030097E">
        <w:rPr>
          <w:rStyle w:val="StyleUnderline"/>
        </w:rPr>
        <w:t xml:space="preserve">, engaged in a </w:t>
      </w:r>
      <w:r w:rsidRPr="0030097E">
        <w:rPr>
          <w:rStyle w:val="Emphasis"/>
        </w:rPr>
        <w:t>war</w:t>
      </w:r>
      <w:r w:rsidRPr="0030097E">
        <w:rPr>
          <w:rStyle w:val="StyleUnderline"/>
        </w:rPr>
        <w:t xml:space="preserve"> of </w:t>
      </w:r>
      <w:r w:rsidRPr="0030097E">
        <w:rPr>
          <w:rStyle w:val="Emphasis"/>
        </w:rPr>
        <w:t>patent</w:t>
      </w:r>
      <w:r w:rsidRPr="0030097E">
        <w:rPr>
          <w:rStyle w:val="StyleUnderline"/>
        </w:rPr>
        <w:t xml:space="preserve"> </w:t>
      </w:r>
      <w:r w:rsidRPr="0030097E">
        <w:rPr>
          <w:rStyle w:val="Emphasis"/>
        </w:rPr>
        <w:t>suits</w:t>
      </w:r>
      <w:r w:rsidRPr="0030097E">
        <w:rPr>
          <w:rStyle w:val="StyleUnderline"/>
        </w:rPr>
        <w:t xml:space="preserve"> across the world.1 One battle took place at the International Trade Commission (</w:t>
      </w:r>
      <w:r w:rsidRPr="0030097E">
        <w:rPr>
          <w:rStyle w:val="Emphasis"/>
        </w:rPr>
        <w:t>ITC</w:t>
      </w:r>
      <w:r w:rsidRPr="0030097E">
        <w:rPr>
          <w:rStyle w:val="StyleUnderline"/>
        </w:rPr>
        <w:t xml:space="preserve">), a federal agency that prevents </w:t>
      </w:r>
      <w:r w:rsidRPr="0030097E">
        <w:rPr>
          <w:rStyle w:val="Emphasis"/>
        </w:rPr>
        <w:t>patent</w:t>
      </w:r>
      <w:r w:rsidRPr="0030097E">
        <w:rPr>
          <w:rStyle w:val="StyleUnderline"/>
        </w:rPr>
        <w:t>-</w:t>
      </w:r>
      <w:r w:rsidRPr="0030097E">
        <w:rPr>
          <w:rStyle w:val="Emphasis"/>
        </w:rPr>
        <w:t>infringing</w:t>
      </w:r>
      <w:r w:rsidRPr="0030097E">
        <w:rPr>
          <w:rStyle w:val="StyleUnderline"/>
        </w:rPr>
        <w:t xml:space="preserve"> </w:t>
      </w:r>
      <w:r w:rsidRPr="0030097E">
        <w:rPr>
          <w:rStyle w:val="Emphasis"/>
        </w:rPr>
        <w:t>products</w:t>
      </w:r>
      <w:r w:rsidRPr="0030097E">
        <w:rPr>
          <w:rStyle w:val="StyleUnderline"/>
        </w:rPr>
        <w:t xml:space="preserve"> from entering the United States.</w:t>
      </w:r>
      <w:r w:rsidRPr="0030097E">
        <w:rPr>
          <w:sz w:val="12"/>
        </w:rPr>
        <w:t>2 Qualcomm alleged that Apple iPhones infringed Qualcomm’s mobile chipset patents, which allow devices to connect to wireless networks.3 Administrative Law Judge (ALJ) Thomas Pender found that the iPhones infringed Qualcomm’s patent. Nonetheless, he would have allowed Apple to import them because excluding them would diminish innovation in 5G (fifth generation) technology and thereby harm national security.4</w:t>
      </w:r>
    </w:p>
    <w:p w14:paraId="413AE422" w14:textId="77777777" w:rsidR="00F2502A" w:rsidRDefault="00F2502A" w:rsidP="00F2502A">
      <w:r w:rsidRPr="0030097E">
        <w:rPr>
          <w:rStyle w:val="StyleUnderline"/>
        </w:rPr>
        <w:t xml:space="preserve">5G is often described as the next frontier of </w:t>
      </w:r>
      <w:r w:rsidRPr="0030097E">
        <w:rPr>
          <w:rStyle w:val="Emphasis"/>
        </w:rPr>
        <w:t>communications</w:t>
      </w:r>
      <w:r w:rsidRPr="0030097E">
        <w:rPr>
          <w:rStyle w:val="StyleUnderline"/>
        </w:rPr>
        <w:t xml:space="preserve"> technology.5</w:t>
      </w:r>
      <w:r w:rsidRPr="0030097E">
        <w:t xml:space="preserve"> It promises stronger and faster wireless networks that will enable remote surgeries, autonomous vehicles, and electric grids—all from the convenience of a device. But its promises pose new and dangerous national security risks. For instance, </w:t>
      </w:r>
      <w:r w:rsidRPr="0030097E">
        <w:rPr>
          <w:rStyle w:val="StyleUnderline"/>
        </w:rPr>
        <w:t>China has emerged as a serious competitor to the United States in the “</w:t>
      </w:r>
      <w:r w:rsidRPr="0030097E">
        <w:rPr>
          <w:rStyle w:val="Emphasis"/>
        </w:rPr>
        <w:t>race</w:t>
      </w:r>
      <w:r w:rsidRPr="0030097E">
        <w:rPr>
          <w:rStyle w:val="StyleUnderline"/>
        </w:rPr>
        <w:t xml:space="preserve">” to </w:t>
      </w:r>
      <w:r w:rsidRPr="0030097E">
        <w:rPr>
          <w:rStyle w:val="Emphasis"/>
        </w:rPr>
        <w:t>5G dominance</w:t>
      </w:r>
      <w:r w:rsidRPr="0030097E">
        <w:rPr>
          <w:rStyle w:val="StyleUnderline"/>
        </w:rPr>
        <w:t>,6 prompting comparisons to the nuclear arms race with the former Soviet Union</w:t>
      </w:r>
      <w:r w:rsidRPr="0030097E">
        <w:t>.7 The bottom-line risk is simple: China’s control or infiltration of 5G networks could expose 5G-connected devices to the will of the Chinese Communist Party.8</w:t>
      </w:r>
    </w:p>
    <w:p w14:paraId="0B4EBA6E" w14:textId="77777777" w:rsidR="00F2502A" w:rsidRDefault="00F2502A" w:rsidP="00F2502A">
      <w:r w:rsidRPr="0030097E">
        <w:rPr>
          <w:rStyle w:val="StyleUnderline"/>
        </w:rPr>
        <w:t xml:space="preserve">The United States’ quest to develop 5G technology requires </w:t>
      </w:r>
      <w:r w:rsidRPr="0030097E">
        <w:rPr>
          <w:rStyle w:val="Emphasis"/>
        </w:rPr>
        <w:t>rigorous market competition</w:t>
      </w:r>
      <w:r w:rsidRPr="0030097E">
        <w:rPr>
          <w:rStyle w:val="StyleUnderline"/>
        </w:rPr>
        <w:t xml:space="preserve"> and, under traditional intellectualproperty theories, patent enforcement</w:t>
      </w:r>
      <w:r w:rsidRPr="0030097E">
        <w:t xml:space="preserve">. </w:t>
      </w:r>
      <w:r w:rsidRPr="0030097E">
        <w:rPr>
          <w:sz w:val="12"/>
        </w:rPr>
        <w:t>Patents are typically critical because they incentivize companies to compete and invest in research and development (R&amp;D). Patent holders may seek to enforce their U.S. patent rights at the ITC under Section 337 of the Tariff Act of 19309 (1930 Act), which authorizes the ITC to “exclude[ ]” or stop patent-infringing products from entering the country.10 But before issuing an exclusion order, the ITC is required by the statute to consider the order’s effect on (1) “the public health and welfare,” (2) “competitive conditions in the United States economy,” (3) “the production of like or directly competitive articles in the United States,” and (4) “United States consumers.”11 If these four public interest factors, taken together, outweigh the social utility of enforcing patent rights, the ITC may deny the patent owner the exclusion order.12</w:t>
      </w:r>
    </w:p>
    <w:p w14:paraId="6652CBC6" w14:textId="77777777" w:rsidR="00F2502A" w:rsidRPr="0030097E" w:rsidRDefault="00F2502A" w:rsidP="00F2502A">
      <w:pPr>
        <w:rPr>
          <w:sz w:val="12"/>
        </w:rPr>
      </w:pPr>
      <w:r w:rsidRPr="0030097E">
        <w:rPr>
          <w:rStyle w:val="StyleUnderline"/>
        </w:rPr>
        <w:t xml:space="preserve">Despite this statutory mandate, the </w:t>
      </w:r>
      <w:r w:rsidRPr="0030097E">
        <w:rPr>
          <w:rStyle w:val="Emphasis"/>
        </w:rPr>
        <w:t>ITC has denied an exclusion order</w:t>
      </w:r>
      <w:r w:rsidRPr="0030097E">
        <w:rPr>
          <w:rStyle w:val="StyleUnderline"/>
        </w:rPr>
        <w:t xml:space="preserve"> for public interest reasons only three times.13 AppleQualcomm presented the potential for a fourth denial but in a new context.</w:t>
      </w:r>
      <w:r w:rsidRPr="0030097E">
        <w:t xml:space="preserve"> </w:t>
      </w:r>
      <w:r w:rsidRPr="0030097E">
        <w:rPr>
          <w:sz w:val="12"/>
        </w:rPr>
        <w:t>For the first time in the agency’s history, ALJ Pender recommended that the ITC commissioners deny an exclusion order because national security trumped patent rights. In a parallel Apple-Qualcomm investigation that involved a different patent but the same public interest arguments, ALJ MaryJoan McNamara reached the opposite conclusion. Before the ITC could decide which recommendation to adopt,14 however, the parties settled.15 Therefore, the question remains: When, if ever, may the ITC deny injunctive relief to a patent holder due to 5G–national security concerns? This Comment answers this question.</w:t>
      </w:r>
    </w:p>
    <w:p w14:paraId="11606584" w14:textId="77777777" w:rsidR="00F2502A" w:rsidRPr="0030097E" w:rsidRDefault="00F2502A" w:rsidP="00F2502A">
      <w:pPr>
        <w:rPr>
          <w:sz w:val="12"/>
        </w:rPr>
      </w:pPr>
      <w:r w:rsidRPr="0030097E">
        <w:rPr>
          <w:sz w:val="12"/>
        </w:rPr>
        <w:t>Like all questions of agency power, the inquiry starts with the authorizing statute. This Comment argues that the ITC may interpret the “public health and welfare” factor to cover national security considerations and that such interpretation would be lawful under Chevron review at the Federal Circuit. Section 337 authorizes the ITC to evaluate national security concerns under the public interest factors for five interpretative reasons. First, national security is consistent with the ordinary meaning of the “public health and welfare” factor. Second, the factor is not expressly limited to domestic considerations. Third, another provision in Section 337 implies the consideration of national security issues by instructing the ITC to consult with the Department of Justice (DOJ), which regularly prosecuted national security cases at the time of enactment. Fourth, the Title of the U.S. Code under which Section 337 is categorized implies that “public health and welfare” concerns include defense initiatives related to science and technology. Fifth, a broad understanding of public welfare comports with the policy nature of the public interest factors and Section 337’s protectionist mission.</w:t>
      </w:r>
    </w:p>
    <w:p w14:paraId="3A2332B9" w14:textId="77777777" w:rsidR="00F2502A" w:rsidRDefault="00F2502A" w:rsidP="00F2502A">
      <w:r w:rsidRPr="0030097E">
        <w:rPr>
          <w:rStyle w:val="StyleUnderline"/>
        </w:rPr>
        <w:t>But even if the ITC has the statutory authority to consider national security, why and when should national security concerns outweigh the benefit of patent enforcement?</w:t>
      </w:r>
      <w:r w:rsidRPr="0030097E">
        <w:t xml:space="preserve"> </w:t>
      </w:r>
      <w:r w:rsidRPr="0030097E">
        <w:rPr>
          <w:sz w:val="12"/>
        </w:rPr>
        <w:t>After all, enforcing 5G patents benefits society by incentivizing companies to develop strong and secure 5G products. Contrary to this conventional justification, exclusion orders can also slow or halt the importation of 5G devices, which are critical to securing the development of 5G networks against cyberattacks. In particular, an exclusion order may harm the development of secure 5G networks in the following three ways.</w:t>
      </w:r>
    </w:p>
    <w:p w14:paraId="735DBEC4" w14:textId="77777777" w:rsidR="00F2502A" w:rsidRPr="0030097E" w:rsidRDefault="00F2502A" w:rsidP="00F2502A">
      <w:pPr>
        <w:rPr>
          <w:sz w:val="12"/>
        </w:rPr>
      </w:pPr>
      <w:r w:rsidRPr="0030097E">
        <w:rPr>
          <w:rStyle w:val="StyleUnderline"/>
        </w:rPr>
        <w:t xml:space="preserve">First, limiting the importation of </w:t>
      </w:r>
      <w:r w:rsidRPr="0030097E">
        <w:rPr>
          <w:rStyle w:val="Emphasis"/>
        </w:rPr>
        <w:t>5G</w:t>
      </w:r>
      <w:r w:rsidRPr="0030097E">
        <w:rPr>
          <w:rStyle w:val="StyleUnderline"/>
        </w:rPr>
        <w:t xml:space="preserve"> devices can jeopardize the </w:t>
      </w:r>
      <w:r w:rsidRPr="0030097E">
        <w:rPr>
          <w:rStyle w:val="Emphasis"/>
        </w:rPr>
        <w:t>cybersecurity of critical infrastructure</w:t>
      </w:r>
      <w:r w:rsidRPr="0030097E">
        <w:rPr>
          <w:rStyle w:val="StyleUnderline"/>
        </w:rPr>
        <w:t xml:space="preserve"> that relies on such devices</w:t>
      </w:r>
      <w:r w:rsidRPr="0030097E">
        <w:t xml:space="preserve">. </w:t>
      </w:r>
      <w:r w:rsidRPr="0030097E">
        <w:rPr>
          <w:sz w:val="12"/>
        </w:rPr>
        <w:t>Second, if too many devices are excluded due to patent infringement, there would be fewer devices that researchers and companies could use to test 5G. Third, limiting the importation of 5G devices could stifle competition and lead to monopolies that impair the innovation of more secure technology. The ITC should determine whether any of these three cybersecurity risks are supported by the record and, if so, should deny an exclusion order on that basis.</w:t>
      </w:r>
    </w:p>
    <w:p w14:paraId="6E6C640E" w14:textId="77777777" w:rsidR="00F2502A" w:rsidRPr="0030097E" w:rsidRDefault="00F2502A" w:rsidP="00F2502A">
      <w:pPr>
        <w:rPr>
          <w:sz w:val="12"/>
        </w:rPr>
      </w:pPr>
      <w:r w:rsidRPr="0030097E">
        <w:rPr>
          <w:sz w:val="12"/>
        </w:rPr>
        <w:t>This Comment proceeds as follows: Part I provides an overview of the ITC, the role of the public interest factors, and 5G– national security threats. Part II addresses the threshold question of whether Section 337 authorizes the ITC to consider national security concerns under the public interest factors. Applying principles of statutory interpretation and Chevron, it concludes that national security is a lawful interpretation of the “public health and welfare” factor. Part III then introduces a three-part cybersecurity framework to assess public welfare risks associated with critical infrastructure, nationwide testing, and monocultures that may justify denying an exclusion order. This framework is designed to help prepare the ITC and businesses for the next generation of Section 337 investigations.</w:t>
      </w:r>
    </w:p>
    <w:p w14:paraId="4F475ADB" w14:textId="77777777" w:rsidR="00F2502A" w:rsidRPr="008A17EE" w:rsidRDefault="00F2502A" w:rsidP="00F2502A">
      <w:pPr>
        <w:pStyle w:val="Heading4"/>
      </w:pPr>
      <w:r>
        <w:t>Chinese 5G guarantees nuclear war---extinction</w:t>
      </w:r>
    </w:p>
    <w:p w14:paraId="7F756171" w14:textId="77777777" w:rsidR="00F2502A" w:rsidRPr="00AC0341" w:rsidRDefault="00F2502A" w:rsidP="00F2502A">
      <w:r w:rsidRPr="00CB42D7">
        <w:rPr>
          <w:rStyle w:val="Style13ptBold"/>
        </w:rPr>
        <w:t xml:space="preserve">Kroenig ’18 </w:t>
      </w:r>
      <w:r>
        <w:t xml:space="preserve">[Matthew and Bharath Gopalaswamy; Nov; </w:t>
      </w:r>
      <w:r w:rsidRPr="00AC0341">
        <w:t>Associate Professor of Government and Foreign Service at Georgetown University and Deputy Director for Strategy in the Scowcroft Center for Strategy and Security at the Atlantic Council</w:t>
      </w:r>
      <w:r>
        <w:t xml:space="preserve">; </w:t>
      </w:r>
      <w:r w:rsidRPr="00AC0341">
        <w:t>Director of the South Asia Center at the Atlantic Council</w:t>
      </w:r>
      <w:r>
        <w:t xml:space="preserve">, </w:t>
      </w:r>
      <w:r w:rsidRPr="00AC0341">
        <w:t>holds a PhD in mechanical engineering with a specialization in numerical acoustics from Trinity College, Dublin</w:t>
      </w:r>
      <w:r>
        <w:t xml:space="preserve">; Bulletin of Atomic Scientists, </w:t>
      </w:r>
      <w:r w:rsidRPr="00AC0341">
        <w:t>“Will disruptive technology cause nuclear war?</w:t>
      </w:r>
      <w:r>
        <w:t xml:space="preserve">,” </w:t>
      </w:r>
      <w:r w:rsidRPr="00AC0341">
        <w:t xml:space="preserve">Bulletin of the Atomic Scientists, </w:t>
      </w:r>
      <w:r w:rsidRPr="00EC6B09">
        <w:t>https://thebulletin.org/2018/11/will-disruptive-technology-cause-nuclear-war</w:t>
      </w:r>
      <w:r>
        <w:t>]</w:t>
      </w:r>
    </w:p>
    <w:p w14:paraId="55281CBE" w14:textId="77777777" w:rsidR="00F2502A" w:rsidRDefault="00F2502A" w:rsidP="00F2502A">
      <w:pPr>
        <w:rPr>
          <w:rStyle w:val="StyleUnderline"/>
        </w:rPr>
      </w:pPr>
      <w:r w:rsidRPr="008A17EE">
        <w:rPr>
          <w:sz w:val="16"/>
        </w:rPr>
        <w:t xml:space="preserve">Recently, analysts have argued that emerging technologies with military applications may undermine nuclear stability (see here, here, and here), </w:t>
      </w:r>
      <w:r w:rsidRPr="00587B91">
        <w:rPr>
          <w:sz w:val="16"/>
        </w:rPr>
        <w:t xml:space="preserve">but the logic of these arguments is debatable and overlooks a more straightforward reason why </w:t>
      </w:r>
      <w:r w:rsidRPr="00F9386F">
        <w:rPr>
          <w:rStyle w:val="StyleUnderline"/>
          <w:highlight w:val="cyan"/>
        </w:rPr>
        <w:t>new technology</w:t>
      </w:r>
      <w:r w:rsidRPr="00587B91">
        <w:rPr>
          <w:rStyle w:val="StyleUnderline"/>
        </w:rPr>
        <w:t xml:space="preserve"> might </w:t>
      </w:r>
      <w:r w:rsidRPr="00F9386F">
        <w:rPr>
          <w:rStyle w:val="StyleUnderline"/>
          <w:highlight w:val="cyan"/>
        </w:rPr>
        <w:t xml:space="preserve">cause </w:t>
      </w:r>
      <w:r w:rsidRPr="00F9386F">
        <w:rPr>
          <w:rStyle w:val="Emphasis"/>
          <w:highlight w:val="cyan"/>
        </w:rPr>
        <w:t>nuclear conflict</w:t>
      </w:r>
      <w:r w:rsidRPr="00F9386F">
        <w:rPr>
          <w:rStyle w:val="StyleUnderline"/>
          <w:highlight w:val="cyan"/>
        </w:rPr>
        <w:t xml:space="preserve">: by </w:t>
      </w:r>
      <w:r w:rsidRPr="00F9386F">
        <w:rPr>
          <w:rStyle w:val="Emphasis"/>
          <w:highlight w:val="cyan"/>
        </w:rPr>
        <w:t>upending</w:t>
      </w:r>
      <w:r w:rsidRPr="00F9386F">
        <w:rPr>
          <w:rStyle w:val="StyleUnderline"/>
          <w:highlight w:val="cyan"/>
        </w:rPr>
        <w:t xml:space="preserve"> the</w:t>
      </w:r>
      <w:r w:rsidRPr="00587B91">
        <w:rPr>
          <w:rStyle w:val="StyleUnderline"/>
        </w:rPr>
        <w:t xml:space="preserve"> </w:t>
      </w:r>
      <w:r w:rsidRPr="00587B91">
        <w:rPr>
          <w:rStyle w:val="Emphasis"/>
        </w:rPr>
        <w:t xml:space="preserve">existing </w:t>
      </w:r>
      <w:r w:rsidRPr="00F9386F">
        <w:rPr>
          <w:rStyle w:val="Emphasis"/>
          <w:highlight w:val="cyan"/>
        </w:rPr>
        <w:t>balance of power</w:t>
      </w:r>
      <w:r w:rsidRPr="00587B91">
        <w:rPr>
          <w:rStyle w:val="StyleUnderline"/>
        </w:rPr>
        <w:t xml:space="preserve"> among nuclear-armed states. This latter concern is more probable and dangerous and demands an immediate policy response. </w:t>
      </w:r>
      <w:r w:rsidRPr="00587B91">
        <w:rPr>
          <w:sz w:val="16"/>
        </w:rPr>
        <w:t xml:space="preserve">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w:t>
      </w:r>
      <w:r w:rsidRPr="00587B91">
        <w:rPr>
          <w:rStyle w:val="StyleUnderline"/>
        </w:rPr>
        <w:t>new strategic military technologies may make it possible for a state to conduct a successful first strike on an enemy.</w:t>
      </w:r>
      <w:r w:rsidRPr="00587B91">
        <w:rPr>
          <w:sz w:val="16"/>
          <w:szCs w:val="16"/>
        </w:rPr>
        <w:t xml:space="preserve"> For </w:t>
      </w:r>
      <w:r w:rsidRPr="00587B91">
        <w:rPr>
          <w:sz w:val="16"/>
        </w:rPr>
        <w:t xml:space="preserve">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t>
      </w:r>
      <w:r w:rsidRPr="00587B91">
        <w:rPr>
          <w:rStyle w:val="StyleUnderline"/>
        </w:rPr>
        <w:t xml:space="preserve">we should think more broadly about how new technology might affect global politics, and, for this, it is helpful to turn to scholarly international relations theory. The </w:t>
      </w:r>
      <w:r w:rsidRPr="00587B91">
        <w:rPr>
          <w:rStyle w:val="Emphasis"/>
        </w:rPr>
        <w:t>dominant theory</w:t>
      </w:r>
      <w:r w:rsidRPr="00587B91">
        <w:rPr>
          <w:rStyle w:val="StyleUnderline"/>
        </w:rPr>
        <w:t xml:space="preserve"> of the causes of war in the academy is </w:t>
      </w:r>
      <w:r w:rsidRPr="00F9386F">
        <w:rPr>
          <w:rStyle w:val="StyleUnderline"/>
          <w:highlight w:val="cyan"/>
        </w:rPr>
        <w:t>the “</w:t>
      </w:r>
      <w:r w:rsidRPr="00F9386F">
        <w:rPr>
          <w:rStyle w:val="Emphasis"/>
          <w:highlight w:val="cyan"/>
        </w:rPr>
        <w:t>bargaining model of war</w:t>
      </w:r>
      <w:r w:rsidRPr="00F9386F">
        <w:rPr>
          <w:rStyle w:val="StyleUnderline"/>
          <w:highlight w:val="cyan"/>
        </w:rPr>
        <w:t>.”</w:t>
      </w:r>
      <w:r w:rsidRPr="00587B91">
        <w:rPr>
          <w:rStyle w:val="StyleUnderline"/>
        </w:rPr>
        <w:t xml:space="preserve"> This theory identifies </w:t>
      </w:r>
      <w:r w:rsidRPr="00587B91">
        <w:rPr>
          <w:rStyle w:val="Emphasis"/>
        </w:rPr>
        <w:t>rapid shifts</w:t>
      </w:r>
      <w:r w:rsidRPr="00587B91">
        <w:rPr>
          <w:rStyle w:val="StyleUnderline"/>
        </w:rPr>
        <w:t xml:space="preserve"> in the </w:t>
      </w:r>
      <w:r w:rsidRPr="00587B91">
        <w:rPr>
          <w:rStyle w:val="Emphasis"/>
        </w:rPr>
        <w:t>balance of power</w:t>
      </w:r>
      <w:r w:rsidRPr="00587B91">
        <w:rPr>
          <w:rStyle w:val="StyleUnderline"/>
        </w:rPr>
        <w:t xml:space="preserve"> as a </w:t>
      </w:r>
      <w:r w:rsidRPr="00587B91">
        <w:rPr>
          <w:rStyle w:val="Emphasis"/>
        </w:rPr>
        <w:t>primary cause of conflict</w:t>
      </w:r>
      <w:r w:rsidRPr="00587B91">
        <w:rPr>
          <w:rStyle w:val="StyleUnderline"/>
        </w:rPr>
        <w:t xml:space="preserve">. </w:t>
      </w:r>
      <w:r w:rsidRPr="00587B91">
        <w:rPr>
          <w:sz w:val="16"/>
        </w:rPr>
        <w:t xml:space="preserve">International politics often presents states with conflicts that they can settle through peaceful bargaining, but when bargaining breaks down, war results. </w:t>
      </w:r>
      <w:r w:rsidRPr="00F9386F">
        <w:rPr>
          <w:rStyle w:val="StyleUnderline"/>
          <w:highlight w:val="cyan"/>
        </w:rPr>
        <w:t xml:space="preserve">Shifts in the </w:t>
      </w:r>
      <w:r w:rsidRPr="00F9386F">
        <w:rPr>
          <w:rStyle w:val="Emphasis"/>
          <w:highlight w:val="cyan"/>
        </w:rPr>
        <w:t>balance of power</w:t>
      </w:r>
      <w:r w:rsidRPr="00587B91">
        <w:rPr>
          <w:rStyle w:val="StyleUnderline"/>
        </w:rPr>
        <w:t xml:space="preserve"> are problematic because they </w:t>
      </w:r>
      <w:r w:rsidRPr="00F9386F">
        <w:rPr>
          <w:rStyle w:val="Emphasis"/>
          <w:highlight w:val="cyan"/>
        </w:rPr>
        <w:t>undermine effective bargaining</w:t>
      </w:r>
      <w:r w:rsidRPr="00F9386F">
        <w:rPr>
          <w:rStyle w:val="StyleUnderline"/>
          <w:highlight w:val="cyan"/>
        </w:rPr>
        <w:t>.</w:t>
      </w:r>
      <w:r w:rsidRPr="00587B91">
        <w:rPr>
          <w:sz w:val="16"/>
        </w:rPr>
        <w:t xml:space="preserve"> After all, </w:t>
      </w:r>
      <w:r w:rsidRPr="005374A5">
        <w:rPr>
          <w:rStyle w:val="StyleUnderline"/>
        </w:rPr>
        <w:t>why agree to a deal today if your bargaining position will be stronger</w:t>
      </w:r>
      <w:r w:rsidRPr="00587B91">
        <w:rPr>
          <w:rStyle w:val="StyleUnderline"/>
        </w:rPr>
        <w:t xml:space="preserve"> tomorrow? And, a clear understanding of the military balance of power can contribute to peace. (Why start a war you are likely to lose?) But shifts in the balance of power muddy understandings of which states have the advantage.</w:t>
      </w:r>
      <w:r w:rsidRPr="00587B91">
        <w:t xml:space="preserve"> </w:t>
      </w:r>
      <w:r w:rsidRPr="00587B91">
        <w:rPr>
          <w:sz w:val="16"/>
        </w:rPr>
        <w:t xml:space="preserve">You may see where this is going. </w:t>
      </w:r>
      <w:r w:rsidRPr="00F9386F">
        <w:rPr>
          <w:rStyle w:val="StyleUnderline"/>
          <w:highlight w:val="cyan"/>
        </w:rPr>
        <w:t>New technologies threaten to create</w:t>
      </w:r>
      <w:r w:rsidRPr="00587B91">
        <w:rPr>
          <w:rStyle w:val="StyleUnderline"/>
        </w:rPr>
        <w:t xml:space="preserve"> potentially </w:t>
      </w:r>
      <w:r w:rsidRPr="00F9386F">
        <w:rPr>
          <w:rStyle w:val="Emphasis"/>
          <w:highlight w:val="cyan"/>
        </w:rPr>
        <w:t>destabilizing shifts</w:t>
      </w:r>
      <w:r w:rsidRPr="00F9386F">
        <w:rPr>
          <w:rStyle w:val="StyleUnderline"/>
          <w:highlight w:val="cyan"/>
        </w:rPr>
        <w:t xml:space="preserve"> in the balance of power.</w:t>
      </w:r>
      <w:r w:rsidRPr="00587B91">
        <w:rPr>
          <w:rStyle w:val="StyleUnderline"/>
        </w:rPr>
        <w:t xml:space="preserve"> </w:t>
      </w:r>
      <w:r w:rsidRPr="00587B91">
        <w:rPr>
          <w:sz w:val="16"/>
        </w:rPr>
        <w:t xml:space="preserve">For decades, stability in Europe and Asia has been supported by US military power. In recent years, however, the </w:t>
      </w:r>
      <w:r w:rsidRPr="00587B91">
        <w:rPr>
          <w:rStyle w:val="StyleUnderline"/>
        </w:rPr>
        <w:t xml:space="preserve">balance of power in Asia has begun to shift, as </w:t>
      </w:r>
      <w:r w:rsidRPr="00F9386F">
        <w:rPr>
          <w:rStyle w:val="Emphasis"/>
          <w:highlight w:val="cyan"/>
        </w:rPr>
        <w:t>China has increased its military capabilities</w:t>
      </w:r>
      <w:r w:rsidRPr="00F9386F">
        <w:rPr>
          <w:rStyle w:val="StyleUnderline"/>
          <w:highlight w:val="cyan"/>
        </w:rPr>
        <w:t>.</w:t>
      </w:r>
      <w:r w:rsidRPr="00587B91">
        <w:rPr>
          <w:sz w:val="16"/>
        </w:rPr>
        <w:t xml:space="preserve"> Already, </w:t>
      </w:r>
      <w:r w:rsidRPr="00587B91">
        <w:rPr>
          <w:rStyle w:val="StyleUnderline"/>
        </w:rPr>
        <w:t>Beijing has become more assertive in the region, claiming contested territory in the South China Sea.</w:t>
      </w:r>
      <w:r w:rsidRPr="00587B91">
        <w:rPr>
          <w:sz w:val="16"/>
        </w:rPr>
        <w:t xml:space="preserve"> And the results of Russia’s military modernization have been on full display in its ongoing intervention in Ukraine. Moreover, </w:t>
      </w:r>
      <w:r w:rsidRPr="00F9386F">
        <w:rPr>
          <w:rStyle w:val="StyleUnderline"/>
          <w:highlight w:val="cyan"/>
        </w:rPr>
        <w:t>China may have the lead</w:t>
      </w:r>
      <w:r w:rsidRPr="00587B91">
        <w:rPr>
          <w:rStyle w:val="StyleUnderline"/>
        </w:rPr>
        <w:t xml:space="preserve"> over the United States in emerging technologies </w:t>
      </w:r>
      <w:r w:rsidRPr="00F9386F">
        <w:rPr>
          <w:rStyle w:val="StyleUnderline"/>
          <w:highlight w:val="cyan"/>
        </w:rPr>
        <w:t xml:space="preserve">that could be </w:t>
      </w:r>
      <w:r w:rsidRPr="00F9386F">
        <w:rPr>
          <w:rStyle w:val="Emphasis"/>
          <w:highlight w:val="cyan"/>
        </w:rPr>
        <w:t>decisive</w:t>
      </w:r>
      <w:r w:rsidRPr="00F9386F">
        <w:rPr>
          <w:rStyle w:val="StyleUnderline"/>
          <w:highlight w:val="cyan"/>
        </w:rPr>
        <w:t xml:space="preserve"> for the future of</w:t>
      </w:r>
      <w:r w:rsidRPr="00587B91">
        <w:rPr>
          <w:rStyle w:val="StyleUnderline"/>
        </w:rPr>
        <w:t xml:space="preserve"> </w:t>
      </w:r>
      <w:r w:rsidRPr="00587B91">
        <w:rPr>
          <w:rStyle w:val="Emphasis"/>
        </w:rPr>
        <w:t>military acquisitions</w:t>
      </w:r>
      <w:r w:rsidRPr="00587B91">
        <w:rPr>
          <w:rStyle w:val="StyleUnderline"/>
        </w:rPr>
        <w:t xml:space="preserve"> and </w:t>
      </w:r>
      <w:r w:rsidRPr="00F9386F">
        <w:rPr>
          <w:rStyle w:val="Emphasis"/>
          <w:highlight w:val="cyan"/>
        </w:rPr>
        <w:t>warfare</w:t>
      </w:r>
      <w:r w:rsidRPr="00587B91">
        <w:rPr>
          <w:sz w:val="16"/>
        </w:rPr>
        <w:t xml:space="preserve">, </w:t>
      </w:r>
      <w:r w:rsidRPr="00F9386F">
        <w:rPr>
          <w:rStyle w:val="Emphasis"/>
          <w:highlight w:val="cyan"/>
        </w:rPr>
        <w:t>including</w:t>
      </w:r>
      <w:r w:rsidRPr="00587B91">
        <w:rPr>
          <w:sz w:val="16"/>
        </w:rPr>
        <w:t xml:space="preserve"> 3D printing, hypersonic missiles, quantum computing, </w:t>
      </w:r>
      <w:r w:rsidRPr="00F9386F">
        <w:rPr>
          <w:rStyle w:val="Emphasis"/>
          <w:highlight w:val="cyan"/>
        </w:rPr>
        <w:t>5G wireless connectivity</w:t>
      </w:r>
      <w:r w:rsidRPr="00587B91">
        <w:rPr>
          <w:sz w:val="16"/>
        </w:rPr>
        <w:t xml:space="preserve">, and artificial intelligence (AI). 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587B91">
        <w:rPr>
          <w:rStyle w:val="StyleUnderline"/>
        </w:rPr>
        <w:t xml:space="preserve">If </w:t>
      </w:r>
      <w:r w:rsidRPr="00F9386F">
        <w:rPr>
          <w:rStyle w:val="StyleUnderline"/>
          <w:highlight w:val="cyan"/>
        </w:rPr>
        <w:t>Beijing</w:t>
      </w:r>
      <w:r w:rsidRPr="00587B91">
        <w:rPr>
          <w:rStyle w:val="StyleUnderline"/>
        </w:rPr>
        <w:t xml:space="preserve"> believes emerging technologies provide it with a newfound, local military advantage over the United States, for example, it </w:t>
      </w:r>
      <w:r w:rsidRPr="00F9386F">
        <w:rPr>
          <w:rStyle w:val="StyleUnderline"/>
          <w:highlight w:val="cyan"/>
        </w:rPr>
        <w:t>may be</w:t>
      </w:r>
      <w:r w:rsidRPr="00587B91">
        <w:rPr>
          <w:rStyle w:val="StyleUnderline"/>
        </w:rPr>
        <w:t xml:space="preserve"> more </w:t>
      </w:r>
      <w:r w:rsidRPr="00F9386F">
        <w:rPr>
          <w:rStyle w:val="StyleUnderline"/>
          <w:highlight w:val="cyan"/>
        </w:rPr>
        <w:t>willing</w:t>
      </w:r>
      <w:r w:rsidRPr="00587B91">
        <w:rPr>
          <w:rStyle w:val="StyleUnderline"/>
        </w:rPr>
        <w:t xml:space="preserve"> than previously </w:t>
      </w:r>
      <w:r w:rsidRPr="00F9386F">
        <w:rPr>
          <w:rStyle w:val="Emphasis"/>
          <w:highlight w:val="cyan"/>
        </w:rPr>
        <w:t>to initiate conflict over Taiwan</w:t>
      </w:r>
      <w:r w:rsidRPr="00F9386F">
        <w:rPr>
          <w:rStyle w:val="StyleUnderline"/>
          <w:highlight w:val="cyan"/>
        </w:rPr>
        <w:t>.</w:t>
      </w:r>
      <w:r w:rsidRPr="00587B91">
        <w:rPr>
          <w:sz w:val="16"/>
        </w:rPr>
        <w:t xml:space="preserve"> And if Putin thinks new tech has strengthened his hand, he may be more tempted to launch a Ukraine-style invasion of a NATO member. </w:t>
      </w:r>
      <w:r w:rsidRPr="00587B91">
        <w:rPr>
          <w:rStyle w:val="StyleUnderline"/>
        </w:rPr>
        <w:t xml:space="preserve">Either </w:t>
      </w:r>
      <w:r w:rsidRPr="00F9386F">
        <w:rPr>
          <w:rStyle w:val="StyleUnderline"/>
          <w:highlight w:val="cyan"/>
        </w:rPr>
        <w:t xml:space="preserve">scenario could bring these </w:t>
      </w:r>
      <w:r w:rsidRPr="00F9386F">
        <w:rPr>
          <w:rStyle w:val="Emphasis"/>
          <w:highlight w:val="cyan"/>
        </w:rPr>
        <w:t>nuclear powers into direct conflict</w:t>
      </w:r>
      <w:r w:rsidRPr="00587B91">
        <w:rPr>
          <w:rStyle w:val="StyleUnderline"/>
        </w:rPr>
        <w:t xml:space="preserve"> with the United States, and </w:t>
      </w:r>
      <w:r w:rsidRPr="00587B91">
        <w:rPr>
          <w:rStyle w:val="Emphasis"/>
        </w:rPr>
        <w:t>once nuclear armed states are at war</w:t>
      </w:r>
      <w:r w:rsidRPr="00587B91">
        <w:rPr>
          <w:rStyle w:val="StyleUnderline"/>
        </w:rPr>
        <w:t xml:space="preserve">, </w:t>
      </w:r>
      <w:r w:rsidRPr="00F9386F">
        <w:rPr>
          <w:rStyle w:val="StyleUnderline"/>
          <w:highlight w:val="cyan"/>
        </w:rPr>
        <w:t xml:space="preserve">there is an </w:t>
      </w:r>
      <w:r w:rsidRPr="00F9386F">
        <w:rPr>
          <w:rStyle w:val="Emphasis"/>
          <w:highlight w:val="cyan"/>
        </w:rPr>
        <w:t>inherent risk</w:t>
      </w:r>
      <w:r w:rsidRPr="00F9386F">
        <w:rPr>
          <w:rStyle w:val="StyleUnderline"/>
          <w:highlight w:val="cyan"/>
        </w:rPr>
        <w:t xml:space="preserve"> of </w:t>
      </w:r>
      <w:r w:rsidRPr="00F9386F">
        <w:rPr>
          <w:rStyle w:val="Emphasis"/>
          <w:highlight w:val="cyan"/>
        </w:rPr>
        <w:t>nuclear conflict</w:t>
      </w:r>
      <w:r w:rsidRPr="00F9386F">
        <w:rPr>
          <w:rStyle w:val="StyleUnderline"/>
          <w:highlight w:val="cyan"/>
        </w:rPr>
        <w:t xml:space="preserve"> through</w:t>
      </w:r>
      <w:r w:rsidRPr="00587B91">
        <w:rPr>
          <w:rStyle w:val="StyleUnderline"/>
        </w:rPr>
        <w:t xml:space="preserve"> limited nuclear war strategies, nuclear </w:t>
      </w:r>
      <w:r w:rsidRPr="00F9386F">
        <w:rPr>
          <w:rStyle w:val="Emphasis"/>
          <w:highlight w:val="cyan"/>
        </w:rPr>
        <w:t>brinkmanship</w:t>
      </w:r>
      <w:r w:rsidRPr="00587B91">
        <w:rPr>
          <w:rStyle w:val="StyleUnderline"/>
        </w:rPr>
        <w:t xml:space="preserve">, or simple </w:t>
      </w:r>
      <w:r w:rsidRPr="00F9386F">
        <w:rPr>
          <w:rStyle w:val="Emphasis"/>
          <w:highlight w:val="cyan"/>
        </w:rPr>
        <w:t>accident</w:t>
      </w:r>
      <w:r w:rsidRPr="00F9386F">
        <w:rPr>
          <w:rStyle w:val="StyleUnderline"/>
          <w:highlight w:val="cyan"/>
        </w:rPr>
        <w:t xml:space="preserve"> or </w:t>
      </w:r>
      <w:r w:rsidRPr="00F9386F">
        <w:rPr>
          <w:rStyle w:val="Emphasis"/>
          <w:highlight w:val="cyan"/>
        </w:rPr>
        <w:t>inadvertent escalation</w:t>
      </w:r>
      <w:r w:rsidRPr="00F9386F">
        <w:rPr>
          <w:rStyle w:val="StyleUnderline"/>
          <w:highlight w:val="cyan"/>
        </w:rPr>
        <w:t>.</w:t>
      </w:r>
      <w:r w:rsidRPr="00587B91">
        <w:rPr>
          <w:rStyle w:val="StyleUnderline"/>
        </w:rPr>
        <w:t xml:space="preserve"> </w:t>
      </w:r>
      <w:r w:rsidRPr="00587B91">
        <w:rPr>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587B91">
        <w:rPr>
          <w:rStyle w:val="StyleUnderline"/>
        </w:rPr>
        <w:t>the solution is</w:t>
      </w:r>
      <w:r w:rsidRPr="00587B91">
        <w:rPr>
          <w:sz w:val="16"/>
        </w:rPr>
        <w:t xml:space="preserve"> not to preserve second-strike capabilities, but to </w:t>
      </w:r>
      <w:r w:rsidRPr="00F9386F">
        <w:rPr>
          <w:rStyle w:val="Emphasis"/>
          <w:highlight w:val="cyan"/>
        </w:rPr>
        <w:t>preserve prevailing power balances</w:t>
      </w:r>
      <w:r w:rsidRPr="00587B91">
        <w:rPr>
          <w:rStyle w:val="StyleUnderline"/>
        </w:rPr>
        <w:t xml:space="preserve"> more broadly. </w:t>
      </w:r>
      <w:r w:rsidRPr="00587B91">
        <w:rPr>
          <w:sz w:val="16"/>
        </w:rPr>
        <w:t xml:space="preserve">When it comes to new technology, this means that the United States should seek to maintain an innovation edge. </w:t>
      </w:r>
      <w:r w:rsidRPr="00587B91">
        <w:rPr>
          <w:rStyle w:val="StyleUnderline"/>
        </w:rPr>
        <w:t>Washington should</w:t>
      </w:r>
      <w:r w:rsidRPr="00587B91">
        <w:rPr>
          <w:sz w:val="16"/>
        </w:rPr>
        <w:t xml:space="preserve"> also </w:t>
      </w:r>
      <w:r w:rsidRPr="00587B91">
        <w:rPr>
          <w:rStyle w:val="StyleUnderline"/>
        </w:rPr>
        <w:t xml:space="preserve">work with other states, including its nuclear-armed rivals, to develop a </w:t>
      </w:r>
      <w:r w:rsidRPr="00587B91">
        <w:rPr>
          <w:rStyle w:val="Emphasis"/>
        </w:rPr>
        <w:t>new set of arms control</w:t>
      </w:r>
      <w:r w:rsidRPr="00587B91">
        <w:rPr>
          <w:sz w:val="16"/>
        </w:rPr>
        <w:t xml:space="preserve"> and nonproliferation agreements and export controls to deny these newer and potentially destabilizing technologies to potentially hostile states. </w:t>
      </w:r>
      <w:r w:rsidRPr="00587B91">
        <w:rPr>
          <w:rStyle w:val="StyleUnderline"/>
        </w:rPr>
        <w:t xml:space="preserve">These are no easy tasks, but </w:t>
      </w:r>
      <w:r w:rsidRPr="00F9386F">
        <w:rPr>
          <w:rStyle w:val="StyleUnderline"/>
          <w:highlight w:val="cyan"/>
        </w:rPr>
        <w:t xml:space="preserve">the consequences of Washington losing the race for </w:t>
      </w:r>
      <w:r w:rsidRPr="00F9386F">
        <w:rPr>
          <w:rStyle w:val="Emphasis"/>
          <w:highlight w:val="cyan"/>
        </w:rPr>
        <w:t>technological superiority</w:t>
      </w:r>
      <w:r w:rsidRPr="00587B91">
        <w:rPr>
          <w:rStyle w:val="StyleUnderline"/>
        </w:rPr>
        <w:t xml:space="preserve"> to its </w:t>
      </w:r>
      <w:r w:rsidRPr="00587B91">
        <w:rPr>
          <w:rStyle w:val="Emphasis"/>
        </w:rPr>
        <w:t>autocratic challengers</w:t>
      </w:r>
      <w:r w:rsidRPr="00587B91">
        <w:rPr>
          <w:rStyle w:val="StyleUnderline"/>
        </w:rPr>
        <w:t xml:space="preserve"> just </w:t>
      </w:r>
      <w:r w:rsidRPr="00F9386F">
        <w:rPr>
          <w:rStyle w:val="StyleUnderline"/>
          <w:highlight w:val="cyan"/>
        </w:rPr>
        <w:t xml:space="preserve">might mean </w:t>
      </w:r>
      <w:r w:rsidRPr="00F9386F">
        <w:rPr>
          <w:rStyle w:val="Emphasis"/>
          <w:highlight w:val="cyan"/>
        </w:rPr>
        <w:t>nuclear Armageddon</w:t>
      </w:r>
      <w:r w:rsidRPr="00F9386F">
        <w:rPr>
          <w:rStyle w:val="StyleUnderline"/>
          <w:highlight w:val="cyan"/>
        </w:rPr>
        <w:t>.</w:t>
      </w:r>
    </w:p>
    <w:p w14:paraId="7EE3860D" w14:textId="77777777" w:rsidR="00F2502A" w:rsidRDefault="00F2502A" w:rsidP="00F2502A"/>
    <w:p w14:paraId="799AA98A" w14:textId="77777777" w:rsidR="00F2502A" w:rsidRDefault="00F2502A" w:rsidP="00F2502A">
      <w:pPr>
        <w:pStyle w:val="Heading4"/>
      </w:pPr>
      <w:r>
        <w:t>It causes 5G monocultures domestically that kill innovation</w:t>
      </w:r>
    </w:p>
    <w:p w14:paraId="3D6706E6" w14:textId="77777777" w:rsidR="00F2502A" w:rsidRDefault="00F2502A" w:rsidP="00F2502A">
      <w:r w:rsidRPr="0030097E">
        <w:t xml:space="preserve">Kenny </w:t>
      </w:r>
      <w:r w:rsidRPr="0030097E">
        <w:rPr>
          <w:b/>
          <w:bCs/>
          <w:sz w:val="26"/>
          <w:szCs w:val="26"/>
        </w:rPr>
        <w:t>Mok 21</w:t>
      </w:r>
      <w:r w:rsidRPr="0030097E">
        <w:t xml:space="preserve">, </w:t>
      </w:r>
      <w:r>
        <w:t xml:space="preserve">Kenny Mok is a Judicial Clerk at the US District Court of Maryland and has a JD from the University of Chicago, December </w:t>
      </w:r>
      <w:r w:rsidRPr="0030097E">
        <w:t>2021, "In Defense of 5G: National Security and Patent Rights Under the Public Interest Factors National Security and Patent Rights Under the Public Interest Factors on JSTOR", https://www.jstor.org/stable/27082295//susu</w:t>
      </w:r>
    </w:p>
    <w:p w14:paraId="34807175" w14:textId="77777777" w:rsidR="00F2502A" w:rsidRDefault="00F2502A" w:rsidP="00F2502A">
      <w:r w:rsidRPr="000F3EC3">
        <w:t>3. Monocultures.</w:t>
      </w:r>
    </w:p>
    <w:p w14:paraId="3E8D6F6B" w14:textId="77777777" w:rsidR="00F2502A" w:rsidRPr="0032684E" w:rsidRDefault="00F2502A" w:rsidP="00F2502A">
      <w:pPr>
        <w:rPr>
          <w:sz w:val="12"/>
        </w:rPr>
      </w:pPr>
      <w:r w:rsidRPr="0032684E">
        <w:rPr>
          <w:u w:val="single"/>
        </w:rPr>
        <w:t xml:space="preserve">A </w:t>
      </w:r>
      <w:r w:rsidRPr="0032684E">
        <w:rPr>
          <w:b/>
          <w:bCs/>
          <w:u w:val="single"/>
        </w:rPr>
        <w:t>5G monopoly</w:t>
      </w:r>
      <w:r w:rsidRPr="0032684E">
        <w:rPr>
          <w:u w:val="single"/>
        </w:rPr>
        <w:t xml:space="preserve"> could undermine cybersecurity by </w:t>
      </w:r>
      <w:r w:rsidRPr="0032684E">
        <w:rPr>
          <w:b/>
          <w:bCs/>
          <w:u w:val="single"/>
        </w:rPr>
        <w:t>diminishing</w:t>
      </w:r>
      <w:r w:rsidRPr="0032684E">
        <w:rPr>
          <w:u w:val="single"/>
        </w:rPr>
        <w:t xml:space="preserve"> </w:t>
      </w:r>
      <w:r w:rsidRPr="0032684E">
        <w:rPr>
          <w:b/>
          <w:bCs/>
          <w:u w:val="single"/>
        </w:rPr>
        <w:t>innovation</w:t>
      </w:r>
      <w:r w:rsidRPr="0032684E">
        <w:rPr>
          <w:u w:val="single"/>
        </w:rPr>
        <w:t xml:space="preserve"> that strengthens the network</w:t>
      </w:r>
      <w:r w:rsidRPr="000F3EC3">
        <w:t xml:space="preserve">.221 </w:t>
      </w:r>
      <w:r w:rsidRPr="0032684E">
        <w:rPr>
          <w:u w:val="single"/>
        </w:rPr>
        <w:t>Therefore, an exclusion order that results in a 5G monopoly could harm the public welfare</w:t>
      </w:r>
      <w:r w:rsidRPr="000F3EC3">
        <w:t xml:space="preserve">. </w:t>
      </w:r>
      <w:r w:rsidRPr="0032684E">
        <w:rPr>
          <w:sz w:val="12"/>
        </w:rPr>
        <w:t>Several scholars would readily object and argue that a temporary limited monopoly can be beneficial for innovation and wholly consistent with antitrust principles.222 This Section does not pretend to resolve this historic debate in antitrust law. But, because the monoculture theory underlies the national security argument in Apple-Qualcomm, we explore it as a potential public interest harm that may or may not justify denying an exclusion order. In Apple-Qualcomm, ALJ McNamara rejected the theory—but she did not analyze the issue from a cybersecurity framework. This Section fills in the gap and re-examines her reasoning by applying the theory.</w:t>
      </w:r>
    </w:p>
    <w:p w14:paraId="52F83483" w14:textId="77777777" w:rsidR="00F2502A" w:rsidRPr="0032684E" w:rsidRDefault="00F2502A" w:rsidP="00F2502A">
      <w:pPr>
        <w:rPr>
          <w:sz w:val="12"/>
        </w:rPr>
      </w:pPr>
      <w:r w:rsidRPr="0032684E">
        <w:rPr>
          <w:sz w:val="12"/>
        </w:rPr>
        <w:t xml:space="preserve">As documented by Charles Duan in his law review article, security researchers in the early 2000s </w:t>
      </w:r>
      <w:r w:rsidRPr="0032684E">
        <w:rPr>
          <w:u w:val="single"/>
        </w:rPr>
        <w:t>developed the theory of “</w:t>
      </w:r>
      <w:r w:rsidRPr="0032684E">
        <w:rPr>
          <w:b/>
          <w:bCs/>
          <w:u w:val="single"/>
        </w:rPr>
        <w:t>monocultures</w:t>
      </w:r>
      <w:r w:rsidRPr="0032684E">
        <w:rPr>
          <w:u w:val="single"/>
        </w:rPr>
        <w:t xml:space="preserve">” to describe the prevalence of </w:t>
      </w:r>
      <w:r w:rsidRPr="0032684E">
        <w:rPr>
          <w:b/>
          <w:bCs/>
          <w:u w:val="single"/>
        </w:rPr>
        <w:t>computer</w:t>
      </w:r>
      <w:r w:rsidRPr="0032684E">
        <w:rPr>
          <w:u w:val="single"/>
        </w:rPr>
        <w:t xml:space="preserve"> </w:t>
      </w:r>
      <w:r w:rsidRPr="0032684E">
        <w:rPr>
          <w:b/>
          <w:bCs/>
          <w:u w:val="single"/>
        </w:rPr>
        <w:t>viruses</w:t>
      </w:r>
      <w:r w:rsidRPr="0032684E">
        <w:rPr>
          <w:u w:val="single"/>
        </w:rPr>
        <w:t xml:space="preserve"> in Microsoft’s operating system,223 which was then considered a monopoly.224 Because a monopolized system hosted a disproportionate share of users, a single cyberattack could infect the </w:t>
      </w:r>
      <w:r w:rsidRPr="0032684E">
        <w:rPr>
          <w:b/>
          <w:bCs/>
          <w:u w:val="single"/>
        </w:rPr>
        <w:t>entire internet ecosystem</w:t>
      </w:r>
      <w:r w:rsidRPr="000F3EC3">
        <w:t>.</w:t>
      </w:r>
      <w:r w:rsidRPr="0032684E">
        <w:rPr>
          <w:sz w:val="12"/>
        </w:rPr>
        <w:t>225 Thus, greater diversity in online systems offered a “greater possibility of surviving security attacks.”226 The monoculture theory remains popular today.227 Preventing monoculture is a cybersecurity concern, thus an exclusion order resulting in a single vendor could be rejected under the “public health and welfare” factor.</w:t>
      </w:r>
    </w:p>
    <w:p w14:paraId="17035ADC" w14:textId="77777777" w:rsidR="00F2502A" w:rsidRPr="0032684E" w:rsidRDefault="00F2502A" w:rsidP="00F2502A">
      <w:pPr>
        <w:rPr>
          <w:sz w:val="12"/>
        </w:rPr>
      </w:pPr>
      <w:r w:rsidRPr="0032684E">
        <w:rPr>
          <w:sz w:val="12"/>
        </w:rPr>
        <w:t>A finding of monopoly naturally fits under the competitiveconditions factor.228 But in 5G investigations, the “public health and welfare” factor should inform the competitive-conditions factor—and vice versa—because of the overlap between national cybersecurity and monopoly. This approach is supported by the monoculture theory and the plain language of Section 337, which places the two factors on the same side of the balancing inquiry.229</w:t>
      </w:r>
    </w:p>
    <w:p w14:paraId="76C17885" w14:textId="77777777" w:rsidR="00F2502A" w:rsidRPr="0032684E" w:rsidRDefault="00F2502A" w:rsidP="00F2502A">
      <w:pPr>
        <w:rPr>
          <w:sz w:val="12"/>
        </w:rPr>
      </w:pPr>
      <w:r w:rsidRPr="0032684E">
        <w:rPr>
          <w:sz w:val="12"/>
        </w:rPr>
        <w:t>To apply the monoculture theory, we now return to the pilot episode of this Comment—Apple-Qualcomm—with the benefit of hindsight. ALJ McNamara rejected a monopoly-based public interest argument under the competitive-conditions factor because she believed that Intel could remain competitive in the chipset market by selling nonsmartphone devices to non-Apple clients.230 But her prediction turned out to be wrong: Intel exited the personal computer market in November 2019 in response to the Apple-Qualcomm settlement231—an agreement reached in part because of her recommended exclusion order.232 And the only nonApple client she cited for Intel’s future revenue was a Chineseowned company, Spreadtrum, specifically geared for the Chinese market.233 She discounted the Chinese affiliation because she found little evidence that “Spreadtrum would be barred from installing its application processors in smart devices sold in the United States.”234</w:t>
      </w:r>
    </w:p>
    <w:p w14:paraId="773974E8" w14:textId="77777777" w:rsidR="00F2502A" w:rsidRPr="0032684E" w:rsidRDefault="00F2502A" w:rsidP="00F2502A">
      <w:pPr>
        <w:rPr>
          <w:u w:val="single"/>
        </w:rPr>
      </w:pPr>
      <w:r w:rsidRPr="0032684E">
        <w:rPr>
          <w:sz w:val="12"/>
        </w:rPr>
        <w:t>Her reasoning was flawed because she failed to factor in the national security risk that a Chinese-owned smartphone in the U.S. market could expose sensitive data to the Communist Party.235 In fact, just one year after her determination, Intel and Spreadtrum canceled their business deal because of the U.S.- China trade wars.236 Perhaps if she realized this, she would have found sufficient evidence that Intel would have had to leave the market for lack of revenue, therefore leaving Qualcomm as a monopoly</w:t>
      </w:r>
      <w:r w:rsidRPr="000F3EC3">
        <w:t xml:space="preserve">. </w:t>
      </w:r>
      <w:r w:rsidRPr="0032684E">
        <w:rPr>
          <w:u w:val="single"/>
        </w:rPr>
        <w:t xml:space="preserve">The resulting </w:t>
      </w:r>
      <w:r w:rsidRPr="0032684E">
        <w:rPr>
          <w:b/>
          <w:bCs/>
          <w:u w:val="single"/>
        </w:rPr>
        <w:t>monoculture</w:t>
      </w:r>
      <w:r w:rsidRPr="0032684E">
        <w:rPr>
          <w:u w:val="single"/>
        </w:rPr>
        <w:t xml:space="preserve"> would have then implicated broader concerns of cybersecurity harm under the “</w:t>
      </w:r>
      <w:r w:rsidRPr="0032684E">
        <w:rPr>
          <w:b/>
          <w:bCs/>
          <w:u w:val="single"/>
        </w:rPr>
        <w:t>public health and welfare</w:t>
      </w:r>
      <w:r w:rsidRPr="0032684E">
        <w:rPr>
          <w:u w:val="single"/>
        </w:rPr>
        <w:t>” factor.237</w:t>
      </w:r>
    </w:p>
    <w:p w14:paraId="40E93C95" w14:textId="487BDDCA" w:rsidR="00F2502A" w:rsidRPr="00F2502A" w:rsidRDefault="00F2502A" w:rsidP="00F2502A">
      <w:pPr>
        <w:rPr>
          <w:u w:val="single"/>
        </w:rPr>
      </w:pPr>
      <w:r w:rsidRPr="0032684E">
        <w:rPr>
          <w:sz w:val="12"/>
        </w:rPr>
        <w:t xml:space="preserve">Critics argue that this approach inevitably punishes companies like Qualcomm simply for achieving more success than companies like Intel.238 Therefore, it incentivizes companies to free ride off others’ patents and request the ITC to rescue them. This slippery slope argument is not without merit. 5G will cover more industries than ever before,239 and it would be unwise to categorically excuse a company of patent infringement simply because it is a major contributor to 5G. </w:t>
      </w:r>
      <w:r w:rsidRPr="0032684E">
        <w:rPr>
          <w:u w:val="single"/>
        </w:rPr>
        <w:t xml:space="preserve">Because 5G markets are inherently </w:t>
      </w:r>
      <w:r w:rsidRPr="0032684E">
        <w:rPr>
          <w:b/>
          <w:bCs/>
          <w:u w:val="single"/>
        </w:rPr>
        <w:t>oligopolistic</w:t>
      </w:r>
      <w:r w:rsidRPr="0032684E">
        <w:rPr>
          <w:u w:val="single"/>
        </w:rPr>
        <w:t xml:space="preserve">,240 this logic would open up public interest challenges to almost every </w:t>
      </w:r>
      <w:r w:rsidRPr="0032684E">
        <w:rPr>
          <w:b/>
          <w:bCs/>
          <w:u w:val="single"/>
        </w:rPr>
        <w:t>ITC investigation</w:t>
      </w:r>
      <w:r w:rsidRPr="0032684E">
        <w:rPr>
          <w:u w:val="single"/>
        </w:rPr>
        <w:t xml:space="preserve"> and unduly </w:t>
      </w:r>
      <w:r w:rsidRPr="0032684E">
        <w:rPr>
          <w:b/>
          <w:bCs/>
          <w:u w:val="single"/>
        </w:rPr>
        <w:t>harm patent interests</w:t>
      </w:r>
      <w:r w:rsidRPr="0032684E">
        <w:rPr>
          <w:u w:val="single"/>
        </w:rPr>
        <w:t>.</w:t>
      </w:r>
    </w:p>
    <w:p w14:paraId="30E48636" w14:textId="6B286373" w:rsidR="002E2A53" w:rsidRDefault="002E2A53" w:rsidP="002E2A53">
      <w:pPr>
        <w:pStyle w:val="Heading3"/>
      </w:pPr>
      <w:r>
        <w:t>Turn---5G---AT: Ceci</w:t>
      </w:r>
      <w:r w:rsidR="0075081F">
        <w:t>---1AR</w:t>
      </w:r>
    </w:p>
    <w:p w14:paraId="24C7B346" w14:textId="54D8BBDB" w:rsidR="0075081F" w:rsidRDefault="0075081F" w:rsidP="0075081F">
      <w:pPr>
        <w:pStyle w:val="Heading4"/>
      </w:pPr>
      <w:r>
        <w:t>What are they even saying???</w:t>
      </w:r>
      <w:r w:rsidR="00671709">
        <w:t xml:space="preserve"> Card</w:t>
      </w:r>
      <w:r w:rsidR="00C035CD">
        <w:t xml:space="preserve"> obviously</w:t>
      </w:r>
      <w:r w:rsidR="00671709">
        <w:t xml:space="preserve"> flows aff</w:t>
      </w:r>
    </w:p>
    <w:p w14:paraId="1C355CEC" w14:textId="16E9E243" w:rsidR="0075081F" w:rsidRPr="00251E9E" w:rsidRDefault="0075081F" w:rsidP="0075081F">
      <w:r w:rsidRPr="00671709">
        <w:rPr>
          <w:b/>
          <w:bCs/>
          <w:sz w:val="26"/>
          <w:szCs w:val="26"/>
        </w:rPr>
        <w:t>2NC</w:t>
      </w:r>
      <w:r>
        <w:t xml:space="preserve"> Michael </w:t>
      </w:r>
      <w:r w:rsidRPr="00251E9E">
        <w:rPr>
          <w:b/>
          <w:bCs/>
          <w:sz w:val="26"/>
          <w:szCs w:val="26"/>
        </w:rPr>
        <w:t>Ceci</w:t>
      </w:r>
      <w:r>
        <w:t xml:space="preserve"> 20</w:t>
      </w:r>
      <w:r w:rsidRPr="00251E9E">
        <w:rPr>
          <w:b/>
          <w:bCs/>
          <w:sz w:val="26"/>
          <w:szCs w:val="26"/>
        </w:rPr>
        <w:t>22</w:t>
      </w:r>
      <w:r>
        <w:t xml:space="preserve">, Michael is a PhD student at the Georgia Tech </w:t>
      </w:r>
      <w:r w:rsidRPr="00251E9E">
        <w:t>Sam Nunn School of International Affairs</w:t>
      </w:r>
      <w:r>
        <w:t xml:space="preserve">. </w:t>
      </w:r>
      <w:r w:rsidRPr="00251E9E">
        <w:t>China’s 5G networks: A tool for advancing digital authoritarianism abroad?</w:t>
      </w:r>
      <w:r>
        <w:t xml:space="preserve"> Orbis vol 66 issue 2, </w:t>
      </w:r>
      <w:r w:rsidRPr="00251E9E">
        <w:t>https://doi.org/10.1016/j.orbis.2022.02.013</w:t>
      </w:r>
      <w:r>
        <w:t>. skohli</w:t>
      </w:r>
    </w:p>
    <w:p w14:paraId="294E4C58" w14:textId="25C5E797" w:rsidR="002E2A53" w:rsidRDefault="002E2A53" w:rsidP="002E2A53">
      <w:r w:rsidRPr="006E1DF0">
        <w:rPr>
          <w:rStyle w:val="Emphasis"/>
        </w:rPr>
        <w:t>Do China’s 5G networks “export” its version of authoritarianism</w:t>
      </w:r>
      <w:r>
        <w:t xml:space="preserve">? There is a </w:t>
      </w:r>
      <w:r w:rsidRPr="00B01E13">
        <w:rPr>
          <w:rStyle w:val="Emphasis"/>
        </w:rPr>
        <w:t>well-established narrative that the societal impacts of a nation’s 5G network infrastructure reflects the values of that network’s creators.</w:t>
      </w:r>
      <w:r>
        <w:t xml:space="preserve"> This narrative contends that </w:t>
      </w:r>
      <w:r w:rsidRPr="0010218F">
        <w:rPr>
          <w:rStyle w:val="Emphasis"/>
          <w:sz w:val="26"/>
          <w:szCs w:val="26"/>
        </w:rPr>
        <w:t>the values of those who design a technology are embedded in that technology</w:t>
      </w:r>
      <w:r>
        <w:t xml:space="preserve">. Moreover, </w:t>
      </w:r>
      <w:r w:rsidRPr="00332A1D">
        <w:rPr>
          <w:rStyle w:val="Emphasis"/>
        </w:rPr>
        <w:t>China’s first-mover advantage in 5G not only secures economic benefits but also allows Chinese values—through the network’s technological design—to shape how societies live</w:t>
      </w:r>
      <w:r>
        <w:t xml:space="preserve">. These scholars call for “free-market economies” to coalesce and establish principles, particularly freedom of expression, that highlight the ways in which 5G can be developed to advance Western liberal values and emphasize their importance to emerging economies. Beyond market share, the </w:t>
      </w:r>
      <w:r w:rsidRPr="007358EA">
        <w:rPr>
          <w:rStyle w:val="Emphasis"/>
          <w:sz w:val="30"/>
          <w:szCs w:val="30"/>
        </w:rPr>
        <w:t>competition in establishing technological infrastructure concerns a nation’s rights and values and can be exploited by authoritarian agents</w:t>
      </w:r>
      <w:r>
        <w:t xml:space="preserve">. This narrative suggests that </w:t>
      </w:r>
      <w:r w:rsidRPr="002E554D">
        <w:rPr>
          <w:rStyle w:val="StyleUnderline"/>
        </w:rPr>
        <w:t>Huawei’s 5G networks are both designed and deployed in such a way (relative to other 5G vendors) to enable authoritarian governments to better control their populations.</w:t>
      </w:r>
      <w:r>
        <w:t xml:space="preserve">34 A related narrative advances an even more direct connection between Beijing’s digital authoritarianism at home and how it is practiced abroad. </w:t>
      </w:r>
      <w:r w:rsidRPr="004702B2">
        <w:rPr>
          <w:rStyle w:val="StyleUnderline"/>
        </w:rPr>
        <w:t>Should liberal democracies fail to offer a compelling and cost-effective alternative to Chinese 5G infrastructure</w:t>
      </w:r>
      <w:r>
        <w:t xml:space="preserve">, </w:t>
      </w:r>
      <w:r w:rsidRPr="002E554D">
        <w:rPr>
          <w:rStyle w:val="Emphasis"/>
          <w:sz w:val="30"/>
          <w:szCs w:val="30"/>
        </w:rPr>
        <w:t>Beijing’s own digital governance norms and practices will spread increasingly to other countries</w:t>
      </w:r>
      <w:r>
        <w:t>.35</w:t>
      </w:r>
    </w:p>
    <w:p w14:paraId="3D9335A7" w14:textId="28261324" w:rsidR="002E2A53" w:rsidRPr="00AD4E9A" w:rsidRDefault="002E2A53" w:rsidP="002E2A53">
      <w:pPr>
        <w:rPr>
          <w:b/>
          <w:bCs/>
        </w:rPr>
      </w:pPr>
      <w:r w:rsidRPr="00AD4E9A">
        <w:rPr>
          <w:b/>
          <w:bCs/>
        </w:rPr>
        <w:t>&lt;&lt;&lt;THEIR CARD BEGINS&gt;&gt;&gt;</w:t>
      </w:r>
    </w:p>
    <w:p w14:paraId="1C7B6486" w14:textId="77777777" w:rsidR="00265F3D" w:rsidRDefault="00265F3D" w:rsidP="00265F3D">
      <w:r w:rsidRPr="00BF1C0A">
        <w:rPr>
          <w:i/>
          <w:iCs/>
        </w:rPr>
        <w:t>Rethinking China’s “export strategy.”</w:t>
      </w:r>
      <w:r>
        <w:t xml:space="preserve"> On the other hand, </w:t>
      </w:r>
      <w:r w:rsidRPr="00540884">
        <w:rPr>
          <w:rStyle w:val="StyleUnderline"/>
        </w:rPr>
        <w:t>China’s export strategy is more complicated in practice. Surveillance technology is provided by liberal democracies and authoritarian regimes alike</w:t>
      </w:r>
      <w:r>
        <w:t xml:space="preserve">.36 Therefore, China is not simply propagating a digital authoritarian model to export an alternative form of governance. As its </w:t>
      </w:r>
      <w:r w:rsidRPr="0020446B">
        <w:rPr>
          <w:rStyle w:val="StyleUnderline"/>
        </w:rPr>
        <w:t xml:space="preserve">actions depend on political context, bilateral relations, and mutual economic interests, China appears more opportunistic than strategic with respect to exporting advanced surveillance technologies. </w:t>
      </w:r>
      <w:r w:rsidRPr="00600ABB">
        <w:rPr>
          <w:rStyle w:val="Emphasis"/>
        </w:rPr>
        <w:t>Beijing may not be linking these technologies to a specific political use</w:t>
      </w:r>
      <w:r>
        <w:t>.</w:t>
      </w:r>
    </w:p>
    <w:p w14:paraId="3A8EDF0A" w14:textId="1A93BDC9" w:rsidR="008F567E" w:rsidRDefault="00D173CB" w:rsidP="00D173CB">
      <w:pPr>
        <w:pStyle w:val="Heading2"/>
      </w:pPr>
      <w:r>
        <w:t>Perm</w:t>
      </w:r>
    </w:p>
    <w:p w14:paraId="64AB38FB" w14:textId="5961E5B6" w:rsidR="008F567E" w:rsidRDefault="008F567E" w:rsidP="008F567E">
      <w:pPr>
        <w:pStyle w:val="Heading3"/>
      </w:pPr>
      <w:r>
        <w:t>Perm---Do Both---2AC</w:t>
      </w:r>
    </w:p>
    <w:p w14:paraId="70D7A11E" w14:textId="77777777" w:rsidR="00160568" w:rsidRDefault="00160568" w:rsidP="00160568">
      <w:pPr>
        <w:pStyle w:val="Heading4"/>
      </w:pPr>
      <w:r>
        <w:t>Permutation solves best</w:t>
      </w:r>
    </w:p>
    <w:p w14:paraId="1B4CEC85" w14:textId="77777777" w:rsidR="00160568" w:rsidRDefault="00160568" w:rsidP="00160568">
      <w:r w:rsidRPr="00FE69C0">
        <w:t xml:space="preserve">Doris </w:t>
      </w:r>
      <w:r w:rsidRPr="00FE69C0">
        <w:rPr>
          <w:b/>
          <w:bCs/>
          <w:sz w:val="26"/>
          <w:szCs w:val="26"/>
        </w:rPr>
        <w:t>Johnson 13,</w:t>
      </w:r>
      <w:r w:rsidRPr="00FE69C0">
        <w:t xml:space="preserve"> </w:t>
      </w:r>
      <w:r>
        <w:t xml:space="preserve">Doris Johnson is a partner at Finnegan and has a JD from Duke University, February </w:t>
      </w:r>
      <w:r w:rsidRPr="00FE69C0">
        <w:t>2013, "The Continuing (R)evolution of Injunctive Relief in the District Courts and the International Trade Commission", Finnegan | Leading IP+ Law Firm, https://www.finnegan.com/en/insights/articles/the-continuing-r-evolution-of-injunctive-relief-in-the-district.html</w:t>
      </w:r>
      <w:r>
        <w:t>//susu</w:t>
      </w:r>
    </w:p>
    <w:p w14:paraId="0E29B37E" w14:textId="10C09141" w:rsidR="00160568" w:rsidRPr="00160568" w:rsidRDefault="00160568" w:rsidP="00160568">
      <w:pPr>
        <w:rPr>
          <w:u w:val="single"/>
          <w:vertAlign w:val="superscript"/>
        </w:rPr>
      </w:pPr>
      <w:r w:rsidRPr="00FE69C0">
        <w:t xml:space="preserve">This trend may continue for several reasons. </w:t>
      </w:r>
      <w:r w:rsidRPr="00FE69C0">
        <w:rPr>
          <w:u w:val="single"/>
        </w:rPr>
        <w:t xml:space="preserve">First, the </w:t>
      </w:r>
      <w:r w:rsidRPr="00FE69C0">
        <w:rPr>
          <w:b/>
          <w:bCs/>
          <w:u w:val="single"/>
        </w:rPr>
        <w:t>ITC</w:t>
      </w:r>
      <w:r w:rsidRPr="00FE69C0">
        <w:rPr>
          <w:u w:val="single"/>
        </w:rPr>
        <w:t xml:space="preserve"> offers a number of advantages to patent owner complainants</w:t>
      </w:r>
      <w:r w:rsidRPr="00FE69C0">
        <w:rPr>
          <w:b/>
          <w:bCs/>
          <w:u w:val="single"/>
        </w:rPr>
        <w:t>, in addition</w:t>
      </w:r>
      <w:r w:rsidRPr="00FE69C0">
        <w:rPr>
          <w:u w:val="single"/>
        </w:rPr>
        <w:t xml:space="preserve"> to the increased availability of injunctive-type </w:t>
      </w:r>
      <w:r w:rsidRPr="00FE69C0">
        <w:rPr>
          <w:b/>
          <w:bCs/>
          <w:u w:val="single"/>
        </w:rPr>
        <w:t>relief.</w:t>
      </w:r>
      <w:r w:rsidRPr="00FE69C0">
        <w:t xml:space="preserve"> Not only is broad discovery permitted in ITC investigations, where the limitations imposed by the Federal Rules of Civil Procedure do not apply, but they must be concluded “at the earliest practicable time” </w:t>
      </w:r>
      <w:r w:rsidRPr="00FE69C0">
        <w:rPr>
          <w:vertAlign w:val="superscript"/>
        </w:rPr>
        <w:t>28</w:t>
      </w:r>
      <w:r w:rsidRPr="00FE69C0">
        <w:t>—typically within about 16–18 months after institution.</w:t>
      </w:r>
      <w:r w:rsidRPr="00FE69C0">
        <w:rPr>
          <w:vertAlign w:val="superscript"/>
        </w:rPr>
        <w:t>29</w:t>
      </w:r>
      <w:r w:rsidRPr="00FE69C0">
        <w:t xml:space="preserve"> And </w:t>
      </w:r>
      <w:r w:rsidRPr="00FE69C0">
        <w:rPr>
          <w:u w:val="single"/>
        </w:rPr>
        <w:t xml:space="preserve">district courts routinely stay cases once a parallel </w:t>
      </w:r>
      <w:r w:rsidRPr="00FE69C0">
        <w:rPr>
          <w:b/>
          <w:bCs/>
          <w:u w:val="single"/>
        </w:rPr>
        <w:t>ITC</w:t>
      </w:r>
      <w:r w:rsidRPr="00FE69C0">
        <w:rPr>
          <w:u w:val="single"/>
        </w:rPr>
        <w:t xml:space="preserve"> investigation </w:t>
      </w:r>
      <w:r w:rsidRPr="00FE69C0">
        <w:rPr>
          <w:b/>
          <w:bCs/>
          <w:u w:val="single"/>
        </w:rPr>
        <w:t>has been initiated</w:t>
      </w:r>
      <w:r w:rsidRPr="00FE69C0">
        <w:rPr>
          <w:u w:val="single"/>
        </w:rPr>
        <w:t>.</w:t>
      </w:r>
      <w:r w:rsidRPr="00FE69C0">
        <w:rPr>
          <w:u w:val="single"/>
          <w:vertAlign w:val="superscript"/>
        </w:rPr>
        <w:t>30</w:t>
      </w:r>
      <w:r w:rsidRPr="00FE69C0">
        <w:rPr>
          <w:u w:val="single"/>
        </w:rPr>
        <w:t xml:space="preserve"> Thus, when there are </w:t>
      </w:r>
      <w:r w:rsidRPr="00FE69C0">
        <w:rPr>
          <w:b/>
          <w:bCs/>
          <w:u w:val="single"/>
        </w:rPr>
        <w:t>parallel district court</w:t>
      </w:r>
      <w:r w:rsidRPr="00FE69C0">
        <w:rPr>
          <w:u w:val="single"/>
        </w:rPr>
        <w:t xml:space="preserve"> and ITC proceedings, discovery from the ITC is often used at the </w:t>
      </w:r>
      <w:r w:rsidRPr="00FE69C0">
        <w:rPr>
          <w:b/>
          <w:bCs/>
          <w:u w:val="single"/>
        </w:rPr>
        <w:t>district court</w:t>
      </w:r>
      <w:r w:rsidRPr="00FE69C0">
        <w:t xml:space="preserve">. </w:t>
      </w:r>
      <w:r w:rsidRPr="00FE69C0">
        <w:rPr>
          <w:u w:val="single"/>
        </w:rPr>
        <w:t xml:space="preserve">While not binding, the district court also has the </w:t>
      </w:r>
      <w:r w:rsidRPr="00FE69C0">
        <w:rPr>
          <w:b/>
          <w:bCs/>
          <w:u w:val="single"/>
        </w:rPr>
        <w:t>benefit of the ITC’s rulings</w:t>
      </w:r>
      <w:r w:rsidRPr="00FE69C0">
        <w:rPr>
          <w:u w:val="single"/>
        </w:rPr>
        <w:t xml:space="preserve"> on</w:t>
      </w:r>
      <w:r w:rsidRPr="00FE69C0">
        <w:t xml:space="preserve">, for example, claim construction. </w:t>
      </w:r>
      <w:r w:rsidRPr="00FE69C0">
        <w:rPr>
          <w:u w:val="single"/>
        </w:rPr>
        <w:t xml:space="preserve">In addition, nothing precludes a district court from </w:t>
      </w:r>
      <w:r w:rsidRPr="00FE69C0">
        <w:rPr>
          <w:b/>
          <w:bCs/>
          <w:u w:val="single"/>
        </w:rPr>
        <w:t>granting alternative relief</w:t>
      </w:r>
      <w:r w:rsidRPr="00FE69C0">
        <w:rPr>
          <w:u w:val="single"/>
        </w:rPr>
        <w:t xml:space="preserve"> to a patent owner involved in a </w:t>
      </w:r>
      <w:r w:rsidRPr="00FE69C0">
        <w:rPr>
          <w:b/>
          <w:bCs/>
          <w:u w:val="single"/>
        </w:rPr>
        <w:t>parallel ITC</w:t>
      </w:r>
      <w:r w:rsidRPr="00FE69C0">
        <w:rPr>
          <w:u w:val="single"/>
        </w:rPr>
        <w:t xml:space="preserve"> </w:t>
      </w:r>
      <w:r w:rsidRPr="00FE69C0">
        <w:rPr>
          <w:b/>
          <w:bCs/>
          <w:u w:val="single"/>
        </w:rPr>
        <w:t>investigation</w:t>
      </w:r>
      <w:r w:rsidRPr="00FE69C0">
        <w:rPr>
          <w:u w:val="single"/>
        </w:rPr>
        <w:t>, regardless of the ITC’s final determination.</w:t>
      </w:r>
      <w:r w:rsidRPr="00FE69C0">
        <w:rPr>
          <w:u w:val="single"/>
          <w:vertAlign w:val="superscript"/>
        </w:rPr>
        <w:t>31</w:t>
      </w:r>
    </w:p>
    <w:p w14:paraId="3BAC33E4" w14:textId="15E85C4D" w:rsidR="00BA37CE" w:rsidRPr="00795A46" w:rsidRDefault="00BA37CE" w:rsidP="00BA37CE">
      <w:pPr>
        <w:pStyle w:val="Heading4"/>
      </w:pPr>
      <w:r>
        <w:t>Perm do both. ITC consultation</w:t>
      </w:r>
      <w:r w:rsidRPr="00220AD3">
        <w:t xml:space="preserve"> </w:t>
      </w:r>
      <w:r w:rsidRPr="00220AD3">
        <w:rPr>
          <w:u w:val="single"/>
        </w:rPr>
        <w:t>isn’t mutually exclusive</w:t>
      </w:r>
      <w:r w:rsidRPr="00220AD3">
        <w:t xml:space="preserve"> with district </w:t>
      </w:r>
      <w:r w:rsidRPr="00220AD3">
        <w:rPr>
          <w:u w:val="single"/>
        </w:rPr>
        <w:t>court action</w:t>
      </w:r>
    </w:p>
    <w:p w14:paraId="584F7D0E" w14:textId="77777777" w:rsidR="00BA37CE" w:rsidRPr="004F72E1" w:rsidRDefault="00BA37CE" w:rsidP="00BA37CE">
      <w:r w:rsidRPr="004F72E1">
        <w:t xml:space="preserve">Christopher A. </w:t>
      </w:r>
      <w:r w:rsidRPr="004F72E1">
        <w:rPr>
          <w:b/>
          <w:bCs/>
          <w:sz w:val="26"/>
          <w:szCs w:val="26"/>
        </w:rPr>
        <w:t>Cotropia</w:t>
      </w:r>
      <w:r>
        <w:t xml:space="preserve"> 20</w:t>
      </w:r>
      <w:r w:rsidRPr="004F72E1">
        <w:rPr>
          <w:b/>
          <w:bCs/>
          <w:sz w:val="26"/>
          <w:szCs w:val="26"/>
        </w:rPr>
        <w:t>11</w:t>
      </w:r>
      <w:r>
        <w:rPr>
          <w:b/>
          <w:bCs/>
          <w:sz w:val="26"/>
          <w:szCs w:val="26"/>
        </w:rPr>
        <w:t xml:space="preserve">, </w:t>
      </w:r>
      <w:r>
        <w:t xml:space="preserve">Christopher is the </w:t>
      </w:r>
      <w:r w:rsidRPr="004F72E1">
        <w:t>Dennis I. Belcher Professor of Law</w:t>
      </w:r>
      <w:r>
        <w:t xml:space="preserve"> at the University of Richmond, and writes extensively about intellectual property, specifically patent laws. Richmond Law Journal, “Strength of the International Trade Commission as a Patent Venue”. </w:t>
      </w:r>
      <w:r w:rsidRPr="004F72E1">
        <w:t>https://scholarship.richmond.edu/cgi/viewcontent.cgi?article=1081&amp;context=law-faculty-publications</w:t>
      </w:r>
      <w:r>
        <w:t xml:space="preserve"> // skohli</w:t>
      </w:r>
    </w:p>
    <w:p w14:paraId="7C7D6A02" w14:textId="77777777" w:rsidR="00BA37CE" w:rsidRDefault="00BA37CE" w:rsidP="00BA37CE">
      <w:r>
        <w:t xml:space="preserve">This </w:t>
      </w:r>
      <w:r w:rsidRPr="006221D0">
        <w:rPr>
          <w:rStyle w:val="StyleUnderline"/>
        </w:rPr>
        <w:t>Article</w:t>
      </w:r>
      <w:r>
        <w:t xml:space="preserve"> fills these voids; it </w:t>
      </w:r>
      <w:r w:rsidRPr="006221D0">
        <w:rPr>
          <w:rStyle w:val="StyleUnderline"/>
        </w:rPr>
        <w:t>tests the various postulates and describes the real impact of the Kyocera decision.</w:t>
      </w:r>
      <w:r>
        <w:t xml:space="preserve"> While doing this, the Article also provides </w:t>
      </w:r>
      <w:r w:rsidRPr="006221D0">
        <w:rPr>
          <w:rStyle w:val="StyleUnderline"/>
        </w:rPr>
        <w:t>real insight into how strong the ITC is in patent law</w:t>
      </w:r>
      <w:r>
        <w:t xml:space="preserve">. The </w:t>
      </w:r>
      <w:r w:rsidRPr="004703D7">
        <w:rPr>
          <w:rStyle w:val="StyleUnderline"/>
        </w:rPr>
        <w:t>Article does this by looking at all ITC utility patent investigations filed after the date of the Kyocera decision until the end of 2010</w:t>
      </w:r>
      <w:r>
        <w:t xml:space="preserve"> (eighty-seven investigations) and comparing them to a similar number filed prior to the decision. </w:t>
      </w:r>
    </w:p>
    <w:p w14:paraId="7258CC74" w14:textId="77777777" w:rsidR="00BA37CE" w:rsidRPr="004703D7" w:rsidRDefault="00BA37CE" w:rsidP="00BA37CE">
      <w:pPr>
        <w:rPr>
          <w:sz w:val="12"/>
          <w:szCs w:val="12"/>
        </w:rPr>
      </w:pPr>
      <w:r w:rsidRPr="004703D7">
        <w:rPr>
          <w:sz w:val="12"/>
          <w:szCs w:val="12"/>
        </w:rPr>
        <w:t>9 The EPROM factors are set forth in Certain Erasable Programmable Read-Only Memories, Components Thereof Products Containing Such Memories, and Processes for Making Such Memories, USITC Pub. 2196, Inv. No. 337-TA-276, at 125 (May 1989). 10 Kyocera, 545 F.3d at 1355-56 (citing 19 U.S.C. § 1337(d)). " Id. at 1356 (citing 19 U.S.C. § 1337(d)(2)(A) and (B)). 12 See Symposium, Where is the ITC going after Kyocera?, 25 SANTA CLARA COMP. &amp; HIGH TECH. L.J. 701 (2009). 1 See, e.g., Sidley Austin LLP, General Exclusion Orders in the Wake of Kyocera, INTELLECTUAL PROPERTY: ITC SECTION 337 UPDATE, (Sept. 9, 2009), available at</w:t>
      </w:r>
      <w:hyperlink r:id="rId9" w:history="1">
        <w:r w:rsidRPr="004703D7">
          <w:rPr>
            <w:rStyle w:val="Hyperlink"/>
            <w:sz w:val="12"/>
            <w:szCs w:val="12"/>
          </w:rPr>
          <w:t>http://www.sidley.com/SidleyUpdates/Detail.aspx?news=4152</w:t>
        </w:r>
      </w:hyperlink>
      <w:r w:rsidRPr="004703D7">
        <w:rPr>
          <w:sz w:val="12"/>
          <w:szCs w:val="12"/>
        </w:rPr>
        <w:t>. 3 TEXAS INTELLECTUAL PROPERTY LA WJOURNAL</w:t>
      </w:r>
    </w:p>
    <w:p w14:paraId="53A87666" w14:textId="77777777" w:rsidR="00BA37CE" w:rsidRPr="004703D7" w:rsidRDefault="00BA37CE" w:rsidP="00BA37CE">
      <w:r w:rsidRPr="004703D7">
        <w:t>For both periods before and after Kyocera, the number of named respondents per investigation as well as the raw number of investigations is observed. The subset of investigations that were filed prior to Kyocera, but still pending when Kyocera was issued, were also examined to determine whether respondents were added after Kyocera. Additional information on the grant of GEOs both before and after Kyocera is also collected. This data can test whether Kyocera has changed the number of respondents, the grant of GEOS, or the number of investigations. Data from district court patent infringement actions filed in parallel to the observed ITC cases is collected as a control in an attempt to isolate the impact of Kyocera.</w:t>
      </w:r>
    </w:p>
    <w:p w14:paraId="00D3156E" w14:textId="77777777" w:rsidR="00BA37CE" w:rsidRPr="004703D7" w:rsidRDefault="00BA37CE" w:rsidP="00BA37CE">
      <w:r w:rsidRPr="004703D7">
        <w:t xml:space="preserve">The </w:t>
      </w:r>
      <w:r w:rsidRPr="004703D7">
        <w:rPr>
          <w:rStyle w:val="StyleUnderline"/>
        </w:rPr>
        <w:t xml:space="preserve">results of the study run </w:t>
      </w:r>
      <w:r w:rsidRPr="004703D7">
        <w:rPr>
          <w:rStyle w:val="Emphasis"/>
        </w:rPr>
        <w:t xml:space="preserve">counter to </w:t>
      </w:r>
      <w:r w:rsidRPr="00A840BA">
        <w:rPr>
          <w:rStyle w:val="StyleUnderline"/>
        </w:rPr>
        <w:t>the</w:t>
      </w:r>
      <w:r w:rsidRPr="004703D7">
        <w:rPr>
          <w:rStyle w:val="Emphasis"/>
        </w:rPr>
        <w:t xml:space="preserve"> conventional wisdom</w:t>
      </w:r>
      <w:r w:rsidRPr="004703D7">
        <w:rPr>
          <w:rStyle w:val="StyleUnderline"/>
        </w:rPr>
        <w:t xml:space="preserve"> on Kyocera</w:t>
      </w:r>
      <w:r w:rsidRPr="00E2031B">
        <w:rPr>
          <w:rStyle w:val="StyleUnderline"/>
        </w:rPr>
        <w:t>. Patentees have not reacted in any of the ways projected after Kyocera</w:t>
      </w:r>
      <w:r w:rsidRPr="004703D7">
        <w:t xml:space="preserve">. There is </w:t>
      </w:r>
      <w:r w:rsidRPr="00E2031B">
        <w:rPr>
          <w:rStyle w:val="StyleUnderline"/>
        </w:rPr>
        <w:t>no statistical difference between the average number of respondents per ITC case before Kyocera and those observed after</w:t>
      </w:r>
      <w:r w:rsidRPr="004703D7">
        <w:t xml:space="preserve">. This lack of statistical difference is even observed in the industries most likely to be affected-electronics and computerrelated technologies. Furthermore, </w:t>
      </w:r>
      <w:r w:rsidRPr="00EB23B8">
        <w:rPr>
          <w:rStyle w:val="StyleUnderline"/>
        </w:rPr>
        <w:t>no respondents were added in those ITC investigations pending when Kyocera was issued.</w:t>
      </w:r>
    </w:p>
    <w:p w14:paraId="3CE9BF6E" w14:textId="77777777" w:rsidR="00BA37CE" w:rsidRPr="006221D0" w:rsidRDefault="00BA37CE" w:rsidP="00BA37CE">
      <w:r w:rsidRPr="008E0F42">
        <w:rPr>
          <w:rStyle w:val="StyleUnderline"/>
        </w:rPr>
        <w:t>Nor has the grant of GEOs increased</w:t>
      </w:r>
      <w:r w:rsidRPr="006221D0">
        <w:t>. The number of ITC investigations continues to rise at a rapid pace. While all of this is going on, the number of defendants in the parallel district court cases has stayed constant; this discounts other legal or economic influences that may have counteracted Kyocera's effect at the ITC and thus explains the lack of change. To date, Kyocera, appears to have not caused the dramatic changes predicted.</w:t>
      </w:r>
    </w:p>
    <w:p w14:paraId="6E61A7B7" w14:textId="77777777" w:rsidR="00BA37CE" w:rsidRDefault="00BA37CE" w:rsidP="00BA37CE">
      <w:r>
        <w:t xml:space="preserve">These </w:t>
      </w:r>
      <w:r w:rsidRPr="006221D0">
        <w:rPr>
          <w:rStyle w:val="StyleUnderline"/>
        </w:rPr>
        <w:t>results speak volumes for the attractiveness of the ITC as a patent venue</w:t>
      </w:r>
      <w:r>
        <w:t xml:space="preserve">. Even with the </w:t>
      </w:r>
      <w:r w:rsidRPr="006221D0">
        <w:rPr>
          <w:rStyle w:val="StyleUnderline"/>
        </w:rPr>
        <w:t>effectiveness of the venue significantly diminished by Kyocera, the ITC's use continues to rise</w:t>
      </w:r>
      <w:r>
        <w:t xml:space="preserve">. The data suggests that the </w:t>
      </w:r>
      <w:r w:rsidRPr="006221D0">
        <w:rPr>
          <w:rStyle w:val="StyleUnderline"/>
        </w:rPr>
        <w:t>ITC is here to stay and almost all patent enforcement actions will take place, at least in part, in the ITC</w:t>
      </w:r>
      <w:r>
        <w:t>. The landscape of patent enforcement has permanently changed, and the ITC is a solid part of it.</w:t>
      </w:r>
    </w:p>
    <w:p w14:paraId="336C0B19" w14:textId="77777777" w:rsidR="00BA37CE" w:rsidRDefault="00BA37CE" w:rsidP="00BA37CE">
      <w:r>
        <w:t xml:space="preserve">This Article reaches these conclusions by first, in Part I, describing the unique features of the ITC that make it a favored venue of patentees. Part II describes the Federal Circuit's decision in Kyocera and the various postulates as to its impact. </w:t>
      </w:r>
    </w:p>
    <w:p w14:paraId="52F27C0C" w14:textId="77777777" w:rsidR="00BA37CE" w:rsidRPr="00980074" w:rsidRDefault="00BA37CE" w:rsidP="00BA37CE">
      <w:pPr>
        <w:rPr>
          <w:rStyle w:val="StyleUnderline"/>
        </w:rPr>
      </w:pPr>
      <w:r>
        <w:t>Part III describes the study, the specific data obtained, and the results. Part IV analyzes the results, looking at whether the predictions of Kyocera were true and what the data says about the ITC place in patent enforcement. II. ITC's Unique Position in Patent Enforcement The ITC provides a special forum for hearing patent infringement disputes.' 4 "</w:t>
      </w:r>
      <w:r w:rsidRPr="00980074">
        <w:rPr>
          <w:rStyle w:val="StyleUnderline"/>
        </w:rPr>
        <w:t>Section 337</w:t>
      </w:r>
      <w:r>
        <w:t xml:space="preserve">" (19 U.S.C. § 1337) </w:t>
      </w:r>
      <w:r w:rsidRPr="00980074">
        <w:rPr>
          <w:rStyle w:val="StyleUnderline"/>
        </w:rPr>
        <w:t>gives the ITC power to both exclude products</w:t>
      </w:r>
    </w:p>
    <w:p w14:paraId="3B8DBA84" w14:textId="77777777" w:rsidR="00BA37CE" w:rsidRPr="004F72E1" w:rsidRDefault="00BA37CE" w:rsidP="00BA37CE">
      <w:pPr>
        <w:rPr>
          <w:sz w:val="12"/>
          <w:szCs w:val="12"/>
        </w:rPr>
      </w:pPr>
      <w:r w:rsidRPr="004F72E1">
        <w:rPr>
          <w:sz w:val="12"/>
          <w:szCs w:val="12"/>
        </w:rPr>
        <w:t xml:space="preserve">14 19 U.S.C. § 1337 (2006); Kumar, supra note 3, at 534 ("Patent litigation in the ITC differs significantly from litigation in federal court."); Hahn &amp; Singer, supra note 7, at 460-61. 4 [ VOL. 20: 1 2011] Strength of the International Trade Commission as a Patent Venue </w:t>
      </w:r>
    </w:p>
    <w:p w14:paraId="55947729" w14:textId="2D4A7CD0" w:rsidR="00BA37CE" w:rsidRPr="00BA37CE" w:rsidRDefault="00BA37CE" w:rsidP="00BA37CE">
      <w:r>
        <w:t xml:space="preserve">that are </w:t>
      </w:r>
      <w:r w:rsidRPr="00980074">
        <w:rPr>
          <w:rStyle w:val="StyleUnderline"/>
        </w:rPr>
        <w:t>found to infringe a U.S. patent and issue cease and desist orders to the same</w:t>
      </w:r>
      <w:r>
        <w:t xml:space="preserve">.15 A </w:t>
      </w:r>
      <w:r w:rsidRPr="00980074">
        <w:rPr>
          <w:rStyle w:val="StyleUnderline"/>
        </w:rPr>
        <w:t>patentholder files a complaint with the ITC, requesting that the ITC investigate the alleged infringement of a U.S. Patent, which harms a domestic industry.16 A Section 337 action then proceeds before an administrative law judge ("AL"), who determines questions of infringement and validity, amongst others</w:t>
      </w:r>
      <w:r>
        <w:t xml:space="preserve">. 7 These determinations are ultimately </w:t>
      </w:r>
      <w:r w:rsidRPr="00980074">
        <w:rPr>
          <w:rStyle w:val="StyleUnderline"/>
        </w:rPr>
        <w:t>reviewed by the ITC commissioners, the President, and then appealable to the Federal Circuit.</w:t>
      </w:r>
      <w:r>
        <w:t xml:space="preserve">'8 </w:t>
      </w:r>
      <w:r w:rsidRPr="0087056F">
        <w:rPr>
          <w:rStyle w:val="Emphasis"/>
        </w:rPr>
        <w:t>A parallel action for patent infringement can be pursued in United States district court</w:t>
      </w:r>
      <w:r>
        <w:t xml:space="preserve">. The number of Section 337 actions has grown tremendously over the past twenty years. 20 The average number of section 337 actions was ten per year in the 1990s; this doubled from 2000-2007, when the average jumped to twenty-three a year. 2 ' The increase in use is particularly prevalent in the electronics industries given that most products containing these technologies are manufactured abroad and imported into the United States.22 This puts the </w:t>
      </w:r>
      <w:r w:rsidRPr="004703D7">
        <w:rPr>
          <w:rStyle w:val="StyleUnderline"/>
        </w:rPr>
        <w:t>ITC in a unique position to provide effective remedies in this area of technology</w:t>
      </w:r>
      <w:r>
        <w:t xml:space="preserve">. 23 </w:t>
      </w:r>
    </w:p>
    <w:p w14:paraId="010AE179" w14:textId="1BB64A37" w:rsidR="008F567E" w:rsidRDefault="008F567E" w:rsidP="008F567E">
      <w:pPr>
        <w:pStyle w:val="Heading3"/>
      </w:pPr>
      <w:r>
        <w:t>Perm---Do CP---2AC</w:t>
      </w:r>
    </w:p>
    <w:p w14:paraId="518BAD35" w14:textId="77777777" w:rsidR="00BA37CE" w:rsidRDefault="00BA37CE" w:rsidP="00BA37CE">
      <w:pPr>
        <w:pStyle w:val="Heading4"/>
        <w:rPr>
          <w:u w:val="single"/>
        </w:rPr>
      </w:pPr>
      <w:r>
        <w:t xml:space="preserve">Perm do the counterplan. The ITC </w:t>
      </w:r>
      <w:r>
        <w:rPr>
          <w:u w:val="single"/>
        </w:rPr>
        <w:t>is the federal government.</w:t>
      </w:r>
    </w:p>
    <w:p w14:paraId="7680BADE" w14:textId="77777777" w:rsidR="00BA37CE" w:rsidRPr="009D2CD6" w:rsidRDefault="00BA37CE" w:rsidP="00BA37CE">
      <w:pPr>
        <w:rPr>
          <w:rFonts w:eastAsiaTheme="majorEastAsia" w:cstheme="majorBidi"/>
          <w:b/>
          <w:iCs/>
          <w:sz w:val="26"/>
        </w:rPr>
      </w:pPr>
      <w:r w:rsidRPr="00D7237E">
        <w:rPr>
          <w:b/>
          <w:bCs/>
          <w:sz w:val="26"/>
          <w:szCs w:val="26"/>
        </w:rPr>
        <w:t>USITC ND</w:t>
      </w:r>
      <w:r>
        <w:t xml:space="preserve">. The USITC is an independent, nonpartisan, quasi–judicial federal agency which fulfills a range of trade related mandates. USITC, </w:t>
      </w:r>
      <w:r>
        <w:rPr>
          <w:i/>
          <w:iCs/>
        </w:rPr>
        <w:t xml:space="preserve">About the USITC. </w:t>
      </w:r>
      <w:r w:rsidRPr="009A412B">
        <w:t>https://www.usitc.gov/press_room/about_usitc.htm.</w:t>
      </w:r>
      <w:r>
        <w:t xml:space="preserve"> skohli</w:t>
      </w:r>
    </w:p>
    <w:p w14:paraId="438DD713" w14:textId="77777777" w:rsidR="00BA37CE" w:rsidRDefault="00BA37CE" w:rsidP="00BA37CE">
      <w:r>
        <w:t xml:space="preserve">Welcome to the U.S. </w:t>
      </w:r>
      <w:r w:rsidRPr="004871A7">
        <w:rPr>
          <w:rStyle w:val="StyleUnderline"/>
        </w:rPr>
        <w:t>International Trade Commission.</w:t>
      </w:r>
      <w:r>
        <w:t xml:space="preserve"> </w:t>
      </w:r>
      <w:r w:rsidRPr="009D2CD6">
        <w:rPr>
          <w:rStyle w:val="Emphasis"/>
          <w:highlight w:val="cyan"/>
        </w:rPr>
        <w:t xml:space="preserve">We’re an independent, nonpartisan, quasi-judicial </w:t>
      </w:r>
      <w:r w:rsidRPr="000C2EAC">
        <w:rPr>
          <w:rStyle w:val="Emphasis"/>
          <w:sz w:val="26"/>
          <w:szCs w:val="26"/>
          <w:highlight w:val="cyan"/>
        </w:rPr>
        <w:t>federal agency</w:t>
      </w:r>
      <w:r w:rsidRPr="009D2CD6">
        <w:rPr>
          <w:rStyle w:val="Emphasis"/>
          <w:highlight w:val="cyan"/>
        </w:rPr>
        <w:t xml:space="preserve"> that fulfills a range of trade-related mandates</w:t>
      </w:r>
      <w:r>
        <w:t>. We provide high-quality, leading-edge analysis of international trade issues to the President and the Congress. The Commission is a highly regarded forum for the adjudication of intellectual property and trade disputes.</w:t>
      </w:r>
    </w:p>
    <w:p w14:paraId="3380DA7B" w14:textId="77777777" w:rsidR="00BA37CE" w:rsidRDefault="00BA37CE" w:rsidP="00BA37CE">
      <w:r>
        <w:t>MISSION</w:t>
      </w:r>
    </w:p>
    <w:p w14:paraId="714A6DB5" w14:textId="77777777" w:rsidR="00BA37CE" w:rsidRDefault="00BA37CE" w:rsidP="00BA37CE">
      <w:r>
        <w:t>Investigate and make determinations in proceedings involving imports claimed to injure a domestic industry or violate U.S. intellectual property rights; provide independent analysis and information on tariffs, trade and competitiveness; and maintain the U.S. tariff schedule.</w:t>
      </w:r>
    </w:p>
    <w:p w14:paraId="1237EFB3" w14:textId="3B49E451" w:rsidR="00102B3B" w:rsidRDefault="00102B3B" w:rsidP="00102B3B">
      <w:pPr>
        <w:pStyle w:val="Heading3"/>
      </w:pPr>
      <w:r>
        <w:t>Perm---AT: Forum Shopping---1AR</w:t>
      </w:r>
    </w:p>
    <w:p w14:paraId="1AA50AF2" w14:textId="365873C4" w:rsidR="00F12700" w:rsidRDefault="00F12700" w:rsidP="00F12700">
      <w:pPr>
        <w:pStyle w:val="Heading4"/>
      </w:pPr>
      <w:r>
        <w:t>Forum shopping is inevitable and the impact is tiny</w:t>
      </w:r>
    </w:p>
    <w:p w14:paraId="0C6DAF50" w14:textId="42CF02A3" w:rsidR="00102B3B" w:rsidRPr="00102B3B" w:rsidRDefault="00102B3B" w:rsidP="00102B3B">
      <w:r>
        <w:t xml:space="preserve">Markus </w:t>
      </w:r>
      <w:r w:rsidRPr="00F12700">
        <w:rPr>
          <w:b/>
          <w:bCs/>
          <w:sz w:val="26"/>
          <w:szCs w:val="26"/>
        </w:rPr>
        <w:t>Petsche</w:t>
      </w:r>
      <w:r>
        <w:t xml:space="preserve"> 20</w:t>
      </w:r>
      <w:r w:rsidRPr="00F12700">
        <w:rPr>
          <w:b/>
          <w:bCs/>
          <w:sz w:val="26"/>
          <w:szCs w:val="26"/>
        </w:rPr>
        <w:t>11</w:t>
      </w:r>
      <w:r>
        <w:t xml:space="preserve">. Markus is an Associate Professor in the Department of Legal Studies at the Central European University who has authored books on </w:t>
      </w:r>
      <w:r w:rsidRPr="00102B3B">
        <w:t>international arbitration and litigation, alternative dispute resolution, conflict of laws, international business transactions, and comparative private law</w:t>
      </w:r>
      <w:r>
        <w:t xml:space="preserve">. He also </w:t>
      </w:r>
      <w:r w:rsidRPr="00102B3B">
        <w:t>acts as arbitrator and mediator in international business disputes.</w:t>
      </w:r>
      <w:r>
        <w:t xml:space="preserve"> International Lawyer (Southern Methodist University), </w:t>
      </w:r>
      <w:r w:rsidRPr="00102B3B">
        <w:rPr>
          <w:i/>
          <w:iCs/>
        </w:rPr>
        <w:t>What's Wrong with Forum Shopping - An Attempt to Identify and Assess the Real Issues of a Controversial Practice</w:t>
      </w:r>
      <w:r>
        <w:t>.</w:t>
      </w:r>
      <w:r w:rsidR="00AB5BF5">
        <w:t xml:space="preserve"> </w:t>
      </w:r>
      <w:r w:rsidR="00AB5BF5" w:rsidRPr="00AB5BF5">
        <w:t>https://scholar.smu.edu/cgi/viewcontent.cgi?article=1448&amp;context=til</w:t>
      </w:r>
      <w:r w:rsidR="00AB5BF5">
        <w:t xml:space="preserve"> skohli</w:t>
      </w:r>
    </w:p>
    <w:p w14:paraId="62591A8A" w14:textId="77777777" w:rsidR="00102B3B" w:rsidRDefault="00102B3B" w:rsidP="00102B3B">
      <w:r>
        <w:t xml:space="preserve">The basic conclusion of this article is that the potentially detrimental impact of forum selection is limited. Contrary to what numerous writers argue, </w:t>
      </w:r>
      <w:r w:rsidRPr="00102B3B">
        <w:rPr>
          <w:rStyle w:val="StyleUnderline"/>
        </w:rPr>
        <w:t>tactics aimed at benefiting from favorable procedural or substantive laws are not detrimental to the achievement of fairness and should not, therefore, be considered as forum shopping.</w:t>
      </w:r>
      <w:r>
        <w:t xml:space="preserve"> Also, the lack of decisional uniformity caused by the practice of forum selection is </w:t>
      </w:r>
      <w:r w:rsidRPr="00102B3B">
        <w:rPr>
          <w:rStyle w:val="Emphasis"/>
        </w:rPr>
        <w:t>not, as such, problematic-not because of the reasons put forward by Professor Juenger</w:t>
      </w:r>
      <w:r>
        <w:t xml:space="preserve"> (essentially the desirability of applying the substantively superior lexfor), </w:t>
      </w:r>
      <w:r w:rsidRPr="00102B3B">
        <w:rPr>
          <w:rStyle w:val="Emphasis"/>
        </w:rPr>
        <w:t>but because lack of uniformity does not directly impact the equality between the parties</w:t>
      </w:r>
      <w:r>
        <w:t xml:space="preserve"> (fairness). Thus, </w:t>
      </w:r>
      <w:r w:rsidRPr="00102B3B">
        <w:rPr>
          <w:rStyle w:val="StyleUnderline"/>
        </w:rPr>
        <w:t>the real issues that forum selection may cause are issues of efficiency and, to a more limited extent, issues of unequal convenience.</w:t>
      </w:r>
      <w:r>
        <w:t xml:space="preserve"> </w:t>
      </w:r>
    </w:p>
    <w:p w14:paraId="1D029F4D" w14:textId="77777777" w:rsidR="00102B3B" w:rsidRPr="00102B3B" w:rsidRDefault="00102B3B" w:rsidP="00102B3B">
      <w:pPr>
        <w:rPr>
          <w:rStyle w:val="StyleUnderline"/>
        </w:rPr>
      </w:pPr>
      <w:r>
        <w:t xml:space="preserve">Importantly, this article has also shown that, at the international level, </w:t>
      </w:r>
      <w:r w:rsidRPr="00102B3B">
        <w:rPr>
          <w:rStyle w:val="Emphasis"/>
          <w:sz w:val="26"/>
          <w:szCs w:val="26"/>
        </w:rPr>
        <w:t>forum shopping is inevitable</w:t>
      </w:r>
      <w:r w:rsidRPr="00102B3B">
        <w:rPr>
          <w:rStyle w:val="StyleUnderline"/>
        </w:rPr>
        <w:t xml:space="preserve"> as long as litigants are offered jurisdictional options or alternatives</w:t>
      </w:r>
      <w:r>
        <w:t>. This article has also shown that the availability of such alternatives, though it generates forum shopping opportunities, is ultimately beneficial to the interests of international litigation inasmuch as it strikes a reasonable balance between efficiency and fairness, on the one hand, and the interests of the plaintiff and those of the defendant, on the other. Finally, this article has also emphasized that, as a practical matter</w:t>
      </w:r>
      <w:r w:rsidRPr="00102B3B">
        <w:rPr>
          <w:rStyle w:val="StyleUnderline"/>
        </w:rPr>
        <w:t xml:space="preserve">, litigants have incentives to refrain from forum shopping, which contributes to limiting the practical significance of this problem. </w:t>
      </w:r>
    </w:p>
    <w:p w14:paraId="130A53C8" w14:textId="59368E6C" w:rsidR="00102B3B" w:rsidRPr="00102B3B" w:rsidRDefault="00102B3B" w:rsidP="00102B3B">
      <w:r w:rsidRPr="00102B3B">
        <w:rPr>
          <w:rStyle w:val="StyleUnderline"/>
        </w:rPr>
        <w:t>The identification of potential problems caused by forum selection, as well as the overall conclusion that the magnitude of such problems is limited, should be borne in mind when elaborating policies addressing forum shopping, or when assessing current approaches</w:t>
      </w:r>
      <w:r>
        <w:t>. In particular, it may usefully inform the rather controversial debate surrounding the objectives pursued by the doctrine of forum non conveniens.</w:t>
      </w:r>
    </w:p>
    <w:p w14:paraId="1E202081" w14:textId="77777777" w:rsidR="00BA37CE" w:rsidRPr="00BA37CE" w:rsidRDefault="00BA37CE" w:rsidP="00BA37CE"/>
    <w:p w14:paraId="3B4E5D9D" w14:textId="087FB83E" w:rsidR="008F567E" w:rsidRPr="008F567E" w:rsidRDefault="008F567E" w:rsidP="00D173CB">
      <w:pPr>
        <w:pStyle w:val="Heading3"/>
        <w:jc w:val="left"/>
      </w:pPr>
    </w:p>
    <w:p w14:paraId="75FCDF2E" w14:textId="77777777" w:rsidR="008F567E" w:rsidRPr="008F567E" w:rsidRDefault="008F567E" w:rsidP="008F567E"/>
    <w:p w14:paraId="3324593F" w14:textId="77777777" w:rsidR="008F567E" w:rsidRPr="008F567E" w:rsidRDefault="008F567E" w:rsidP="008F567E">
      <w:pPr>
        <w:pStyle w:val="Heading2"/>
      </w:pPr>
    </w:p>
    <w:sectPr w:rsidR="008F567E" w:rsidRPr="008F56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83823B" w14:textId="77777777" w:rsidR="00916699" w:rsidRDefault="00916699" w:rsidP="00066D2C">
      <w:pPr>
        <w:spacing w:after="0" w:line="240" w:lineRule="auto"/>
      </w:pPr>
      <w:r>
        <w:separator/>
      </w:r>
    </w:p>
  </w:endnote>
  <w:endnote w:type="continuationSeparator" w:id="0">
    <w:p w14:paraId="76880D74" w14:textId="77777777" w:rsidR="00916699" w:rsidRDefault="009166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4F2029" w14:textId="77777777" w:rsidR="00916699" w:rsidRDefault="00916699" w:rsidP="00066D2C">
      <w:pPr>
        <w:spacing w:after="0" w:line="240" w:lineRule="auto"/>
      </w:pPr>
      <w:r>
        <w:separator/>
      </w:r>
    </w:p>
  </w:footnote>
  <w:footnote w:type="continuationSeparator" w:id="0">
    <w:p w14:paraId="2D5845E9" w14:textId="77777777" w:rsidR="00916699" w:rsidRDefault="009166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BB45B6"/>
    <w:multiLevelType w:val="hybridMultilevel"/>
    <w:tmpl w:val="08A0284A"/>
    <w:lvl w:ilvl="0" w:tplc="76CE3A24">
      <w:numFmt w:val="bullet"/>
      <w:lvlText w:val="-"/>
      <w:lvlJc w:val="left"/>
      <w:pPr>
        <w:ind w:left="720" w:hanging="360"/>
      </w:pPr>
      <w:rPr>
        <w:rFonts w:ascii="Calibri" w:eastAsiaTheme="maj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A026E1"/>
    <w:multiLevelType w:val="hybridMultilevel"/>
    <w:tmpl w:val="9E780540"/>
    <w:lvl w:ilvl="0" w:tplc="14A2DE32">
      <w:numFmt w:val="bullet"/>
      <w:lvlText w:val="-"/>
      <w:lvlJc w:val="left"/>
      <w:pPr>
        <w:ind w:left="720" w:hanging="360"/>
      </w:pPr>
      <w:rPr>
        <w:rFonts w:ascii="Calibri" w:eastAsiaTheme="maj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22491912">
    <w:abstractNumId w:val="14"/>
  </w:num>
  <w:num w:numId="46" w16cid:durableId="14569421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567E"/>
    <w:rsid w:val="00001C7E"/>
    <w:rsid w:val="0000487C"/>
    <w:rsid w:val="00006FA3"/>
    <w:rsid w:val="00010005"/>
    <w:rsid w:val="00011FEF"/>
    <w:rsid w:val="00013C8B"/>
    <w:rsid w:val="00023AEF"/>
    <w:rsid w:val="000250CA"/>
    <w:rsid w:val="00032119"/>
    <w:rsid w:val="000427BD"/>
    <w:rsid w:val="00043C82"/>
    <w:rsid w:val="00043EE3"/>
    <w:rsid w:val="00050713"/>
    <w:rsid w:val="00053D0F"/>
    <w:rsid w:val="000554EB"/>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28"/>
    <w:rsid w:val="000A218A"/>
    <w:rsid w:val="000A239C"/>
    <w:rsid w:val="000A4AE6"/>
    <w:rsid w:val="000A5EE1"/>
    <w:rsid w:val="000B33BE"/>
    <w:rsid w:val="000B3425"/>
    <w:rsid w:val="000B5FBB"/>
    <w:rsid w:val="000B6974"/>
    <w:rsid w:val="000B6B3E"/>
    <w:rsid w:val="000B6BDB"/>
    <w:rsid w:val="000C137E"/>
    <w:rsid w:val="000C2EAC"/>
    <w:rsid w:val="000C6574"/>
    <w:rsid w:val="000D0D08"/>
    <w:rsid w:val="000D739E"/>
    <w:rsid w:val="000D7A2C"/>
    <w:rsid w:val="000E0913"/>
    <w:rsid w:val="000E13F7"/>
    <w:rsid w:val="000E217C"/>
    <w:rsid w:val="000E2525"/>
    <w:rsid w:val="000F5C68"/>
    <w:rsid w:val="000F6390"/>
    <w:rsid w:val="000F6530"/>
    <w:rsid w:val="000F775F"/>
    <w:rsid w:val="001014FC"/>
    <w:rsid w:val="0010218F"/>
    <w:rsid w:val="00102B3B"/>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435"/>
    <w:rsid w:val="00152BF7"/>
    <w:rsid w:val="00153896"/>
    <w:rsid w:val="00160568"/>
    <w:rsid w:val="00163574"/>
    <w:rsid w:val="001645D4"/>
    <w:rsid w:val="0016567B"/>
    <w:rsid w:val="0016568A"/>
    <w:rsid w:val="00170A72"/>
    <w:rsid w:val="00171A2A"/>
    <w:rsid w:val="001723BA"/>
    <w:rsid w:val="001746C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46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E9E"/>
    <w:rsid w:val="00253733"/>
    <w:rsid w:val="00256AC0"/>
    <w:rsid w:val="002573AF"/>
    <w:rsid w:val="00263CC5"/>
    <w:rsid w:val="00265F3D"/>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1AA"/>
    <w:rsid w:val="002C0731"/>
    <w:rsid w:val="002C0B33"/>
    <w:rsid w:val="002C30D9"/>
    <w:rsid w:val="002C6C7D"/>
    <w:rsid w:val="002C769C"/>
    <w:rsid w:val="002D2594"/>
    <w:rsid w:val="002D3647"/>
    <w:rsid w:val="002D418C"/>
    <w:rsid w:val="002E2A53"/>
    <w:rsid w:val="002E554D"/>
    <w:rsid w:val="002E663F"/>
    <w:rsid w:val="002F0384"/>
    <w:rsid w:val="002F276B"/>
    <w:rsid w:val="002F28CE"/>
    <w:rsid w:val="002F2CFC"/>
    <w:rsid w:val="002F37D1"/>
    <w:rsid w:val="002F5A47"/>
    <w:rsid w:val="002F636E"/>
    <w:rsid w:val="00300F2F"/>
    <w:rsid w:val="00304257"/>
    <w:rsid w:val="00304A78"/>
    <w:rsid w:val="00305F66"/>
    <w:rsid w:val="00306FDE"/>
    <w:rsid w:val="00307FBA"/>
    <w:rsid w:val="003106D9"/>
    <w:rsid w:val="00311112"/>
    <w:rsid w:val="00311C1F"/>
    <w:rsid w:val="0031266A"/>
    <w:rsid w:val="0031761F"/>
    <w:rsid w:val="00323E50"/>
    <w:rsid w:val="003264E7"/>
    <w:rsid w:val="00332A1D"/>
    <w:rsid w:val="00333A69"/>
    <w:rsid w:val="003352D6"/>
    <w:rsid w:val="00345BF2"/>
    <w:rsid w:val="00347131"/>
    <w:rsid w:val="003479B5"/>
    <w:rsid w:val="003500B6"/>
    <w:rsid w:val="00352622"/>
    <w:rsid w:val="00355B45"/>
    <w:rsid w:val="0036112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E78"/>
    <w:rsid w:val="003D1489"/>
    <w:rsid w:val="003D3B44"/>
    <w:rsid w:val="003D4150"/>
    <w:rsid w:val="003D5367"/>
    <w:rsid w:val="003E1AA4"/>
    <w:rsid w:val="003E2D6B"/>
    <w:rsid w:val="003E48A2"/>
    <w:rsid w:val="003E531D"/>
    <w:rsid w:val="003F3350"/>
    <w:rsid w:val="003F3920"/>
    <w:rsid w:val="003F4D5F"/>
    <w:rsid w:val="00405AD7"/>
    <w:rsid w:val="004127EF"/>
    <w:rsid w:val="00413053"/>
    <w:rsid w:val="00414EB4"/>
    <w:rsid w:val="004208C6"/>
    <w:rsid w:val="00425531"/>
    <w:rsid w:val="00425A83"/>
    <w:rsid w:val="00426CC6"/>
    <w:rsid w:val="00431905"/>
    <w:rsid w:val="004326E6"/>
    <w:rsid w:val="00432F5F"/>
    <w:rsid w:val="0043419E"/>
    <w:rsid w:val="0043450D"/>
    <w:rsid w:val="004348C6"/>
    <w:rsid w:val="00434BCC"/>
    <w:rsid w:val="004350BF"/>
    <w:rsid w:val="00435554"/>
    <w:rsid w:val="00435588"/>
    <w:rsid w:val="004433A0"/>
    <w:rsid w:val="004436F8"/>
    <w:rsid w:val="00447BAE"/>
    <w:rsid w:val="00450DA4"/>
    <w:rsid w:val="00457F13"/>
    <w:rsid w:val="004604DA"/>
    <w:rsid w:val="00462267"/>
    <w:rsid w:val="00462B60"/>
    <w:rsid w:val="00467546"/>
    <w:rsid w:val="004702B2"/>
    <w:rsid w:val="00474720"/>
    <w:rsid w:val="00475956"/>
    <w:rsid w:val="00480A40"/>
    <w:rsid w:val="004827C9"/>
    <w:rsid w:val="00486F5E"/>
    <w:rsid w:val="004875B9"/>
    <w:rsid w:val="00491C5F"/>
    <w:rsid w:val="0049341D"/>
    <w:rsid w:val="00493AA8"/>
    <w:rsid w:val="004A2B4E"/>
    <w:rsid w:val="004A40AB"/>
    <w:rsid w:val="004A539A"/>
    <w:rsid w:val="004A5D7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884"/>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C05"/>
    <w:rsid w:val="005A3550"/>
    <w:rsid w:val="005A4DE4"/>
    <w:rsid w:val="005A6204"/>
    <w:rsid w:val="005A6D5A"/>
    <w:rsid w:val="005B4140"/>
    <w:rsid w:val="005B41CE"/>
    <w:rsid w:val="005B566C"/>
    <w:rsid w:val="005B5DC5"/>
    <w:rsid w:val="005B6286"/>
    <w:rsid w:val="005C1630"/>
    <w:rsid w:val="005C2AEB"/>
    <w:rsid w:val="005C5B70"/>
    <w:rsid w:val="005D027B"/>
    <w:rsid w:val="005D1FAE"/>
    <w:rsid w:val="005D2DD9"/>
    <w:rsid w:val="005D3400"/>
    <w:rsid w:val="005D3778"/>
    <w:rsid w:val="005D388F"/>
    <w:rsid w:val="005D45F4"/>
    <w:rsid w:val="005D700C"/>
    <w:rsid w:val="005E0F22"/>
    <w:rsid w:val="005E3447"/>
    <w:rsid w:val="005E43F7"/>
    <w:rsid w:val="005E5941"/>
    <w:rsid w:val="005E78A2"/>
    <w:rsid w:val="005F4AD8"/>
    <w:rsid w:val="005F5E14"/>
    <w:rsid w:val="00600ABB"/>
    <w:rsid w:val="00605CE8"/>
    <w:rsid w:val="0062140C"/>
    <w:rsid w:val="00621C1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709"/>
    <w:rsid w:val="00673C22"/>
    <w:rsid w:val="0067482D"/>
    <w:rsid w:val="0067732F"/>
    <w:rsid w:val="00681007"/>
    <w:rsid w:val="0068122B"/>
    <w:rsid w:val="00681DD9"/>
    <w:rsid w:val="00682252"/>
    <w:rsid w:val="00682F5C"/>
    <w:rsid w:val="00687555"/>
    <w:rsid w:val="0069093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528"/>
    <w:rsid w:val="006C676D"/>
    <w:rsid w:val="006C69E2"/>
    <w:rsid w:val="006C7825"/>
    <w:rsid w:val="006D767A"/>
    <w:rsid w:val="006E1DF0"/>
    <w:rsid w:val="006E2A45"/>
    <w:rsid w:val="006E37D4"/>
    <w:rsid w:val="006F3768"/>
    <w:rsid w:val="006F71DE"/>
    <w:rsid w:val="00703997"/>
    <w:rsid w:val="00704573"/>
    <w:rsid w:val="0070508F"/>
    <w:rsid w:val="007072CC"/>
    <w:rsid w:val="0071254A"/>
    <w:rsid w:val="007131D2"/>
    <w:rsid w:val="00713917"/>
    <w:rsid w:val="00717AF8"/>
    <w:rsid w:val="00720F86"/>
    <w:rsid w:val="00722E77"/>
    <w:rsid w:val="007245F1"/>
    <w:rsid w:val="007247B8"/>
    <w:rsid w:val="0072731C"/>
    <w:rsid w:val="0073056C"/>
    <w:rsid w:val="007358EA"/>
    <w:rsid w:val="00735B1F"/>
    <w:rsid w:val="00737502"/>
    <w:rsid w:val="00740B3A"/>
    <w:rsid w:val="00740C8B"/>
    <w:rsid w:val="00743263"/>
    <w:rsid w:val="007454B6"/>
    <w:rsid w:val="0074789B"/>
    <w:rsid w:val="0075081F"/>
    <w:rsid w:val="00754ABD"/>
    <w:rsid w:val="00754D3B"/>
    <w:rsid w:val="00760D6A"/>
    <w:rsid w:val="0076343C"/>
    <w:rsid w:val="00764C12"/>
    <w:rsid w:val="00765C5C"/>
    <w:rsid w:val="00767E9D"/>
    <w:rsid w:val="00773EB8"/>
    <w:rsid w:val="007750DF"/>
    <w:rsid w:val="00777C19"/>
    <w:rsid w:val="00782487"/>
    <w:rsid w:val="00784C8D"/>
    <w:rsid w:val="00785E47"/>
    <w:rsid w:val="00786E2E"/>
    <w:rsid w:val="007873F5"/>
    <w:rsid w:val="0078760F"/>
    <w:rsid w:val="0079136A"/>
    <w:rsid w:val="00792AD8"/>
    <w:rsid w:val="00792D84"/>
    <w:rsid w:val="00793C4A"/>
    <w:rsid w:val="00795030"/>
    <w:rsid w:val="00795A26"/>
    <w:rsid w:val="007A00CB"/>
    <w:rsid w:val="007A312F"/>
    <w:rsid w:val="007A7EAB"/>
    <w:rsid w:val="007B5238"/>
    <w:rsid w:val="007B6888"/>
    <w:rsid w:val="007C0AED"/>
    <w:rsid w:val="007C0BEE"/>
    <w:rsid w:val="007C42F3"/>
    <w:rsid w:val="007C4FA7"/>
    <w:rsid w:val="007C5531"/>
    <w:rsid w:val="007C63A0"/>
    <w:rsid w:val="007C6D52"/>
    <w:rsid w:val="007C6F91"/>
    <w:rsid w:val="007C72C0"/>
    <w:rsid w:val="007D034D"/>
    <w:rsid w:val="007D12ED"/>
    <w:rsid w:val="007D2F9C"/>
    <w:rsid w:val="007D5E0D"/>
    <w:rsid w:val="007E1757"/>
    <w:rsid w:val="007E18CC"/>
    <w:rsid w:val="007E1E34"/>
    <w:rsid w:val="007E2B17"/>
    <w:rsid w:val="007F1998"/>
    <w:rsid w:val="007F2034"/>
    <w:rsid w:val="007F4683"/>
    <w:rsid w:val="007F55A4"/>
    <w:rsid w:val="007F7C5E"/>
    <w:rsid w:val="00800BF1"/>
    <w:rsid w:val="0080587F"/>
    <w:rsid w:val="00805BC1"/>
    <w:rsid w:val="00806B14"/>
    <w:rsid w:val="008114D4"/>
    <w:rsid w:val="0081234D"/>
    <w:rsid w:val="00812D2D"/>
    <w:rsid w:val="00814AC2"/>
    <w:rsid w:val="00816B79"/>
    <w:rsid w:val="00817A64"/>
    <w:rsid w:val="008202F5"/>
    <w:rsid w:val="008202F7"/>
    <w:rsid w:val="00822AE1"/>
    <w:rsid w:val="008247A4"/>
    <w:rsid w:val="00824ABD"/>
    <w:rsid w:val="00825D47"/>
    <w:rsid w:val="008272A6"/>
    <w:rsid w:val="0083258C"/>
    <w:rsid w:val="00833D6C"/>
    <w:rsid w:val="00841328"/>
    <w:rsid w:val="00841CCC"/>
    <w:rsid w:val="00844377"/>
    <w:rsid w:val="008443EF"/>
    <w:rsid w:val="00846F90"/>
    <w:rsid w:val="00852FB9"/>
    <w:rsid w:val="008536B7"/>
    <w:rsid w:val="00853E4C"/>
    <w:rsid w:val="00860F34"/>
    <w:rsid w:val="00862AC4"/>
    <w:rsid w:val="0086319B"/>
    <w:rsid w:val="008674A6"/>
    <w:rsid w:val="0087210F"/>
    <w:rsid w:val="0087564D"/>
    <w:rsid w:val="00876000"/>
    <w:rsid w:val="0089108B"/>
    <w:rsid w:val="00892EE6"/>
    <w:rsid w:val="008931B4"/>
    <w:rsid w:val="008973A2"/>
    <w:rsid w:val="008A0E76"/>
    <w:rsid w:val="008A21A4"/>
    <w:rsid w:val="008A42FE"/>
    <w:rsid w:val="008A4F23"/>
    <w:rsid w:val="008A713B"/>
    <w:rsid w:val="008B4FBE"/>
    <w:rsid w:val="008B6039"/>
    <w:rsid w:val="008C2555"/>
    <w:rsid w:val="008C29FB"/>
    <w:rsid w:val="008C5B87"/>
    <w:rsid w:val="008D0448"/>
    <w:rsid w:val="008D0677"/>
    <w:rsid w:val="008D0C9E"/>
    <w:rsid w:val="008D2F03"/>
    <w:rsid w:val="008D6762"/>
    <w:rsid w:val="008D743F"/>
    <w:rsid w:val="008E30D8"/>
    <w:rsid w:val="008E447C"/>
    <w:rsid w:val="008E596E"/>
    <w:rsid w:val="008E6741"/>
    <w:rsid w:val="008F04C5"/>
    <w:rsid w:val="008F125D"/>
    <w:rsid w:val="008F567E"/>
    <w:rsid w:val="008F709D"/>
    <w:rsid w:val="00901E9C"/>
    <w:rsid w:val="00906F79"/>
    <w:rsid w:val="00907369"/>
    <w:rsid w:val="00910B12"/>
    <w:rsid w:val="00912404"/>
    <w:rsid w:val="00916699"/>
    <w:rsid w:val="00920B9A"/>
    <w:rsid w:val="009249C5"/>
    <w:rsid w:val="00925558"/>
    <w:rsid w:val="00925B25"/>
    <w:rsid w:val="009263C9"/>
    <w:rsid w:val="00930B2A"/>
    <w:rsid w:val="00936F03"/>
    <w:rsid w:val="0094018B"/>
    <w:rsid w:val="009418E3"/>
    <w:rsid w:val="009435BB"/>
    <w:rsid w:val="00943B02"/>
    <w:rsid w:val="00945A5E"/>
    <w:rsid w:val="00953429"/>
    <w:rsid w:val="009539A4"/>
    <w:rsid w:val="009569E3"/>
    <w:rsid w:val="00960035"/>
    <w:rsid w:val="0096040F"/>
    <w:rsid w:val="0096145A"/>
    <w:rsid w:val="009632EF"/>
    <w:rsid w:val="009714D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B9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C3F"/>
    <w:rsid w:val="00A1128F"/>
    <w:rsid w:val="00A16440"/>
    <w:rsid w:val="00A169AC"/>
    <w:rsid w:val="00A2231D"/>
    <w:rsid w:val="00A2334F"/>
    <w:rsid w:val="00A250AA"/>
    <w:rsid w:val="00A277E6"/>
    <w:rsid w:val="00A30A8F"/>
    <w:rsid w:val="00A3174A"/>
    <w:rsid w:val="00A317AA"/>
    <w:rsid w:val="00A35A28"/>
    <w:rsid w:val="00A368EF"/>
    <w:rsid w:val="00A41505"/>
    <w:rsid w:val="00A42A0E"/>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0A1"/>
    <w:rsid w:val="00A90163"/>
    <w:rsid w:val="00AA1AC0"/>
    <w:rsid w:val="00AA2C1D"/>
    <w:rsid w:val="00AA3B66"/>
    <w:rsid w:val="00AA5803"/>
    <w:rsid w:val="00AA584F"/>
    <w:rsid w:val="00AA6C9B"/>
    <w:rsid w:val="00AB2843"/>
    <w:rsid w:val="00AB3118"/>
    <w:rsid w:val="00AB5BF5"/>
    <w:rsid w:val="00AB6F32"/>
    <w:rsid w:val="00AC46C7"/>
    <w:rsid w:val="00AC5B71"/>
    <w:rsid w:val="00AC5F18"/>
    <w:rsid w:val="00AC6ED5"/>
    <w:rsid w:val="00AD4E9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E13"/>
    <w:rsid w:val="00B023DE"/>
    <w:rsid w:val="00B02885"/>
    <w:rsid w:val="00B04EC7"/>
    <w:rsid w:val="00B06440"/>
    <w:rsid w:val="00B1231F"/>
    <w:rsid w:val="00B17927"/>
    <w:rsid w:val="00B2113E"/>
    <w:rsid w:val="00B2123B"/>
    <w:rsid w:val="00B2410E"/>
    <w:rsid w:val="00B2727D"/>
    <w:rsid w:val="00B301A2"/>
    <w:rsid w:val="00B31350"/>
    <w:rsid w:val="00B315A8"/>
    <w:rsid w:val="00B32C3E"/>
    <w:rsid w:val="00B338F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D76"/>
    <w:rsid w:val="00BA227A"/>
    <w:rsid w:val="00BA37CE"/>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C0A"/>
    <w:rsid w:val="00BF2B0D"/>
    <w:rsid w:val="00BF4E3B"/>
    <w:rsid w:val="00BF5454"/>
    <w:rsid w:val="00BF7969"/>
    <w:rsid w:val="00BF7EC9"/>
    <w:rsid w:val="00C00D8A"/>
    <w:rsid w:val="00C01C49"/>
    <w:rsid w:val="00C035CD"/>
    <w:rsid w:val="00C066E6"/>
    <w:rsid w:val="00C110C0"/>
    <w:rsid w:val="00C12370"/>
    <w:rsid w:val="00C14D2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70"/>
    <w:rsid w:val="00C45B5B"/>
    <w:rsid w:val="00C46F26"/>
    <w:rsid w:val="00C51687"/>
    <w:rsid w:val="00C5289C"/>
    <w:rsid w:val="00C56008"/>
    <w:rsid w:val="00C56CBC"/>
    <w:rsid w:val="00C617B0"/>
    <w:rsid w:val="00C62D2B"/>
    <w:rsid w:val="00C6344F"/>
    <w:rsid w:val="00C659E2"/>
    <w:rsid w:val="00C65E79"/>
    <w:rsid w:val="00C669AD"/>
    <w:rsid w:val="00C72510"/>
    <w:rsid w:val="00C731CA"/>
    <w:rsid w:val="00C77A6B"/>
    <w:rsid w:val="00C816E6"/>
    <w:rsid w:val="00C82587"/>
    <w:rsid w:val="00C84097"/>
    <w:rsid w:val="00C8595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A64"/>
    <w:rsid w:val="00CD5CD1"/>
    <w:rsid w:val="00CE0BB8"/>
    <w:rsid w:val="00CE54E0"/>
    <w:rsid w:val="00CE5835"/>
    <w:rsid w:val="00CE6FA1"/>
    <w:rsid w:val="00CF1938"/>
    <w:rsid w:val="00CF24CD"/>
    <w:rsid w:val="00D01F0A"/>
    <w:rsid w:val="00D13012"/>
    <w:rsid w:val="00D13BEF"/>
    <w:rsid w:val="00D14159"/>
    <w:rsid w:val="00D1496E"/>
    <w:rsid w:val="00D14990"/>
    <w:rsid w:val="00D173CB"/>
    <w:rsid w:val="00D24268"/>
    <w:rsid w:val="00D25BE6"/>
    <w:rsid w:val="00D25C9C"/>
    <w:rsid w:val="00D321DB"/>
    <w:rsid w:val="00D32460"/>
    <w:rsid w:val="00D32EBF"/>
    <w:rsid w:val="00D343B3"/>
    <w:rsid w:val="00D35073"/>
    <w:rsid w:val="00D36085"/>
    <w:rsid w:val="00D36207"/>
    <w:rsid w:val="00D40024"/>
    <w:rsid w:val="00D421D9"/>
    <w:rsid w:val="00D47529"/>
    <w:rsid w:val="00D47713"/>
    <w:rsid w:val="00D51103"/>
    <w:rsid w:val="00D53B1C"/>
    <w:rsid w:val="00D554E7"/>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D93"/>
    <w:rsid w:val="00E12F22"/>
    <w:rsid w:val="00E165FC"/>
    <w:rsid w:val="00E168D7"/>
    <w:rsid w:val="00E23A47"/>
    <w:rsid w:val="00E23E0E"/>
    <w:rsid w:val="00E2482B"/>
    <w:rsid w:val="00E2592B"/>
    <w:rsid w:val="00E25D98"/>
    <w:rsid w:val="00E264F8"/>
    <w:rsid w:val="00E30C52"/>
    <w:rsid w:val="00E323C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BC2"/>
    <w:rsid w:val="00EC3057"/>
    <w:rsid w:val="00EC3134"/>
    <w:rsid w:val="00EC47C5"/>
    <w:rsid w:val="00ED087B"/>
    <w:rsid w:val="00ED5626"/>
    <w:rsid w:val="00ED5EB9"/>
    <w:rsid w:val="00ED6BFE"/>
    <w:rsid w:val="00ED7DA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700"/>
    <w:rsid w:val="00F14A61"/>
    <w:rsid w:val="00F17B58"/>
    <w:rsid w:val="00F24B23"/>
    <w:rsid w:val="00F2502A"/>
    <w:rsid w:val="00F25A3F"/>
    <w:rsid w:val="00F27353"/>
    <w:rsid w:val="00F3181E"/>
    <w:rsid w:val="00F31B7D"/>
    <w:rsid w:val="00F32A17"/>
    <w:rsid w:val="00F346CD"/>
    <w:rsid w:val="00F349CE"/>
    <w:rsid w:val="00F34BAA"/>
    <w:rsid w:val="00F35345"/>
    <w:rsid w:val="00F355CA"/>
    <w:rsid w:val="00F355FB"/>
    <w:rsid w:val="00F40C6B"/>
    <w:rsid w:val="00F41113"/>
    <w:rsid w:val="00F4250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C23"/>
    <w:rsid w:val="00F936BB"/>
    <w:rsid w:val="00F93BAD"/>
    <w:rsid w:val="00F93E30"/>
    <w:rsid w:val="00F941DD"/>
    <w:rsid w:val="00F95311"/>
    <w:rsid w:val="00F95F8F"/>
    <w:rsid w:val="00FA0A18"/>
    <w:rsid w:val="00FA1BBD"/>
    <w:rsid w:val="00FA70EC"/>
    <w:rsid w:val="00FB4455"/>
    <w:rsid w:val="00FC1707"/>
    <w:rsid w:val="00FC1C82"/>
    <w:rsid w:val="00FC1D2F"/>
    <w:rsid w:val="00FC316F"/>
    <w:rsid w:val="00FC45AC"/>
    <w:rsid w:val="00FC4CFF"/>
    <w:rsid w:val="00FC5DE9"/>
    <w:rsid w:val="00FD0415"/>
    <w:rsid w:val="00FD44E2"/>
    <w:rsid w:val="00FD48FA"/>
    <w:rsid w:val="00FD73C3"/>
    <w:rsid w:val="00FD7E5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1DF16"/>
  <w15:chartTrackingRefBased/>
  <w15:docId w15:val="{A7DBA4FF-483D-6441-96B1-860C99BD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5E0D"/>
    <w:rPr>
      <w:rFonts w:ascii="Calibri" w:hAnsi="Calibri" w:cs="Calibri"/>
    </w:rPr>
  </w:style>
  <w:style w:type="paragraph" w:styleId="Heading1">
    <w:name w:val="heading 1"/>
    <w:aliases w:val="Pocket"/>
    <w:basedOn w:val="Normal"/>
    <w:next w:val="Normal"/>
    <w:link w:val="Heading1Char"/>
    <w:qFormat/>
    <w:rsid w:val="007D5E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5E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7D5E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D5E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5E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5E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E0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D5E0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D5E0D"/>
    <w:rPr>
      <w:color w:val="auto"/>
      <w:u w:val="none"/>
    </w:rPr>
  </w:style>
  <w:style w:type="character" w:customStyle="1" w:styleId="Heading1Char">
    <w:name w:val="Heading 1 Char"/>
    <w:aliases w:val="Pocket Char"/>
    <w:basedOn w:val="DefaultParagraphFont"/>
    <w:link w:val="Heading1"/>
    <w:rsid w:val="007D5E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5E0D"/>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7D5E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D5E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5E0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D5E0D"/>
    <w:rPr>
      <w:b w:val="0"/>
      <w:sz w:val="22"/>
      <w:u w:val="single"/>
    </w:rPr>
  </w:style>
  <w:style w:type="character" w:styleId="Strong">
    <w:name w:val="Strong"/>
    <w:basedOn w:val="DefaultParagraphFont"/>
    <w:uiPriority w:val="22"/>
    <w:semiHidden/>
    <w:qFormat/>
    <w:rsid w:val="007D5E0D"/>
    <w:rPr>
      <w:b/>
      <w:bCs/>
    </w:rPr>
  </w:style>
  <w:style w:type="character" w:styleId="BookTitle">
    <w:name w:val="Book Title"/>
    <w:basedOn w:val="DefaultParagraphFont"/>
    <w:uiPriority w:val="33"/>
    <w:semiHidden/>
    <w:qFormat/>
    <w:rsid w:val="007D5E0D"/>
    <w:rPr>
      <w:b/>
      <w:bCs/>
      <w:i/>
      <w:iCs/>
      <w:spacing w:val="5"/>
    </w:rPr>
  </w:style>
  <w:style w:type="character" w:customStyle="1" w:styleId="Heading5Char">
    <w:name w:val="Heading 5 Char"/>
    <w:basedOn w:val="DefaultParagraphFont"/>
    <w:link w:val="Heading5"/>
    <w:uiPriority w:val="9"/>
    <w:semiHidden/>
    <w:rsid w:val="007D5E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5E0D"/>
  </w:style>
  <w:style w:type="paragraph" w:styleId="Header">
    <w:name w:val="header"/>
    <w:basedOn w:val="Normal"/>
    <w:link w:val="HeaderChar"/>
    <w:uiPriority w:val="99"/>
    <w:semiHidden/>
    <w:rsid w:val="007D5E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5E0D"/>
    <w:rPr>
      <w:rFonts w:ascii="Calibri" w:hAnsi="Calibri" w:cs="Calibri"/>
    </w:rPr>
  </w:style>
  <w:style w:type="paragraph" w:styleId="Footer">
    <w:name w:val="footer"/>
    <w:basedOn w:val="Normal"/>
    <w:link w:val="FooterChar"/>
    <w:uiPriority w:val="99"/>
    <w:semiHidden/>
    <w:rsid w:val="007D5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5E0D"/>
    <w:rPr>
      <w:rFonts w:ascii="Calibri" w:hAnsi="Calibri" w:cs="Calibri"/>
    </w:rPr>
  </w:style>
  <w:style w:type="paragraph" w:styleId="BodyText">
    <w:name w:val="Body Text"/>
    <w:basedOn w:val="Normal"/>
    <w:link w:val="BodyTextChar"/>
    <w:uiPriority w:val="99"/>
    <w:semiHidden/>
    <w:unhideWhenUsed/>
    <w:rsid w:val="007D5E0D"/>
    <w:pPr>
      <w:spacing w:after="120"/>
    </w:pPr>
  </w:style>
  <w:style w:type="character" w:customStyle="1" w:styleId="BodyTextChar">
    <w:name w:val="Body Text Char"/>
    <w:basedOn w:val="DefaultParagraphFont"/>
    <w:link w:val="BodyText"/>
    <w:uiPriority w:val="99"/>
    <w:semiHidden/>
    <w:rsid w:val="007D5E0D"/>
    <w:rPr>
      <w:rFonts w:ascii="Calibri" w:hAnsi="Calibri" w:cs="Calibri"/>
    </w:rPr>
  </w:style>
  <w:style w:type="paragraph" w:styleId="NoSpacing">
    <w:name w:val="No Spacing"/>
    <w:link w:val="NoSpacingChar"/>
    <w:uiPriority w:val="99"/>
    <w:semiHidden/>
    <w:unhideWhenUsed/>
    <w:qFormat/>
    <w:rsid w:val="007D5E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D5E0D"/>
    <w:rPr>
      <w:rFonts w:ascii="Calibri" w:hAnsi="Calibri" w:cs="Calibri"/>
    </w:rPr>
  </w:style>
  <w:style w:type="character" w:styleId="Hyperlink">
    <w:name w:val="Hyperlink"/>
    <w:basedOn w:val="DefaultParagraphFont"/>
    <w:uiPriority w:val="99"/>
    <w:unhideWhenUsed/>
    <w:rsid w:val="007D5E0D"/>
    <w:rPr>
      <w:color w:val="0563C1" w:themeColor="hyperlink"/>
      <w:u w:val="single"/>
    </w:rPr>
  </w:style>
  <w:style w:type="character" w:styleId="UnresolvedMention">
    <w:name w:val="Unresolved Mention"/>
    <w:basedOn w:val="DefaultParagraphFont"/>
    <w:uiPriority w:val="99"/>
    <w:semiHidden/>
    <w:unhideWhenUsed/>
    <w:rsid w:val="007D5E0D"/>
    <w:rPr>
      <w:color w:val="605E5C"/>
      <w:shd w:val="clear" w:color="auto" w:fill="E1DFDD"/>
    </w:rPr>
  </w:style>
  <w:style w:type="paragraph" w:customStyle="1" w:styleId="textbold">
    <w:name w:val="text bold"/>
    <w:basedOn w:val="Normal"/>
    <w:link w:val="Emphasis"/>
    <w:uiPriority w:val="8"/>
    <w:qFormat/>
    <w:rsid w:val="0069093E"/>
    <w:pPr>
      <w:pBdr>
        <w:top w:val="single" w:sz="4" w:space="0" w:color="auto"/>
        <w:left w:val="single" w:sz="4" w:space="0" w:color="auto"/>
        <w:bottom w:val="single" w:sz="4" w:space="0" w:color="auto"/>
        <w:right w:val="single" w:sz="4" w:space="0" w:color="auto"/>
      </w:pBdr>
      <w:spacing w:after="0" w:line="240"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F709D"/>
    <w:pPr>
      <w:autoSpaceDE w:val="0"/>
      <w:autoSpaceDN w:val="0"/>
      <w:adjustRightInd w:val="0"/>
      <w:spacing w:before="480" w:after="0" w:line="254" w:lineRule="auto"/>
      <w:ind w:left="432" w:right="432"/>
      <w:jc w:val="both"/>
    </w:pPr>
    <w:rPr>
      <w:rFonts w:asciiTheme="minorHAnsi" w:hAnsiTheme="minorHAnsi" w:cstheme="minorBidi"/>
      <w:b/>
      <w:kern w:val="2"/>
      <w:szCs w:val="24"/>
      <w:u w:val="single"/>
      <w14:ligatures w14:val="standardContextual"/>
    </w:rPr>
  </w:style>
  <w:style w:type="paragraph" w:customStyle="1" w:styleId="Emphasis1">
    <w:name w:val="Emphasis1"/>
    <w:basedOn w:val="Normal"/>
    <w:autoRedefine/>
    <w:uiPriority w:val="8"/>
    <w:qFormat/>
    <w:rsid w:val="00773EB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autoRedefine/>
    <w:uiPriority w:val="5"/>
    <w:qFormat/>
    <w:rsid w:val="007D5E0D"/>
    <w:pPr>
      <w:spacing w:after="40"/>
    </w:pPr>
    <w:rPr>
      <w:color w:val="000000" w:themeColor="text1"/>
    </w:rPr>
  </w:style>
  <w:style w:type="character" w:customStyle="1" w:styleId="AnalyticsChar">
    <w:name w:val="Analytics Char"/>
    <w:basedOn w:val="DefaultParagraphFont"/>
    <w:link w:val="Analytics"/>
    <w:uiPriority w:val="5"/>
    <w:rsid w:val="007D5E0D"/>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7D5E0D"/>
    <w:pPr>
      <w:spacing w:after="0"/>
    </w:pPr>
    <w:rPr>
      <w:b/>
      <w:color w:val="000000" w:themeColor="text1"/>
      <w:sz w:val="26"/>
    </w:rPr>
  </w:style>
  <w:style w:type="character" w:customStyle="1" w:styleId="AnalyticssChar">
    <w:name w:val="Analyticss Char"/>
    <w:basedOn w:val="DefaultParagraphFont"/>
    <w:link w:val="Analyticss"/>
    <w:uiPriority w:val="5"/>
    <w:rsid w:val="007D5E0D"/>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03138401">
      <w:bodyDiv w:val="1"/>
      <w:marLeft w:val="0"/>
      <w:marRight w:val="0"/>
      <w:marTop w:val="0"/>
      <w:marBottom w:val="0"/>
      <w:divBdr>
        <w:top w:val="none" w:sz="0" w:space="0" w:color="auto"/>
        <w:left w:val="none" w:sz="0" w:space="0" w:color="auto"/>
        <w:bottom w:val="none" w:sz="0" w:space="0" w:color="auto"/>
        <w:right w:val="none" w:sz="0" w:space="0" w:color="auto"/>
      </w:divBdr>
    </w:div>
    <w:div w:id="1908373357">
      <w:bodyDiv w:val="1"/>
      <w:marLeft w:val="0"/>
      <w:marRight w:val="0"/>
      <w:marTop w:val="0"/>
      <w:marBottom w:val="0"/>
      <w:divBdr>
        <w:top w:val="none" w:sz="0" w:space="0" w:color="auto"/>
        <w:left w:val="none" w:sz="0" w:space="0" w:color="auto"/>
        <w:bottom w:val="none" w:sz="0" w:space="0" w:color="auto"/>
        <w:right w:val="none" w:sz="0" w:space="0" w:color="auto"/>
      </w:divBdr>
      <w:divsChild>
        <w:div w:id="1917520225">
          <w:marLeft w:val="0"/>
          <w:marRight w:val="0"/>
          <w:marTop w:val="0"/>
          <w:marBottom w:val="0"/>
          <w:divBdr>
            <w:top w:val="none" w:sz="0" w:space="0" w:color="auto"/>
            <w:left w:val="none" w:sz="0" w:space="0" w:color="auto"/>
            <w:bottom w:val="none" w:sz="0" w:space="0" w:color="auto"/>
            <w:right w:val="none" w:sz="0" w:space="0" w:color="auto"/>
          </w:divBdr>
          <w:divsChild>
            <w:div w:id="2108310345">
              <w:marLeft w:val="0"/>
              <w:marRight w:val="0"/>
              <w:marTop w:val="0"/>
              <w:marBottom w:val="0"/>
              <w:divBdr>
                <w:top w:val="none" w:sz="0" w:space="0" w:color="auto"/>
                <w:left w:val="none" w:sz="0" w:space="0" w:color="auto"/>
                <w:bottom w:val="none" w:sz="0" w:space="0" w:color="auto"/>
                <w:right w:val="none" w:sz="0" w:space="0" w:color="auto"/>
              </w:divBdr>
            </w:div>
          </w:divsChild>
        </w:div>
        <w:div w:id="756362333">
          <w:marLeft w:val="0"/>
          <w:marRight w:val="0"/>
          <w:marTop w:val="0"/>
          <w:marBottom w:val="0"/>
          <w:divBdr>
            <w:top w:val="none" w:sz="0" w:space="0" w:color="auto"/>
            <w:left w:val="none" w:sz="0" w:space="0" w:color="auto"/>
            <w:bottom w:val="none" w:sz="0" w:space="0" w:color="auto"/>
            <w:right w:val="none" w:sz="0" w:space="0" w:color="auto"/>
          </w:divBdr>
          <w:divsChild>
            <w:div w:id="1305433145">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21-09-19/huawei-s-decline-shows-why-china-will-struggle-to-domin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idley.com/SidleyUpdates/Detail.aspx?news=41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28722</Words>
  <Characters>163716</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Siddharth Kohli</dc:creator>
  <cp:keywords>6.0.0</cp:keywords>
  <dc:description/>
  <cp:lastModifiedBy>shihcl10@hotmail.com</cp:lastModifiedBy>
  <cp:revision>2</cp:revision>
  <dcterms:created xsi:type="dcterms:W3CDTF">2024-07-29T14:53:00Z</dcterms:created>
  <dcterms:modified xsi:type="dcterms:W3CDTF">2024-07-29T14:53:00Z</dcterms:modified>
</cp:coreProperties>
</file>