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E78F" w14:textId="1FA8A8C1" w:rsidR="00137A0F" w:rsidRDefault="00137A0F" w:rsidP="003B2232">
      <w:pPr>
        <w:pStyle w:val="Heading3"/>
      </w:pPr>
      <w:r>
        <w:t>Notes</w:t>
      </w:r>
    </w:p>
    <w:p w14:paraId="48EB2E1A" w14:textId="77777777" w:rsidR="00137A0F" w:rsidRDefault="00137A0F" w:rsidP="00137A0F"/>
    <w:p w14:paraId="53A1A6B1" w14:textId="1F14EDF7" w:rsidR="00137A0F" w:rsidRDefault="00137A0F" w:rsidP="00137A0F">
      <w:r>
        <w:t>This file further responds to cards defending T-minerals in a</w:t>
      </w:r>
      <w:r w:rsidR="000B6BD3">
        <w:t xml:space="preserve"> previous</w:t>
      </w:r>
      <w:r>
        <w:t xml:space="preserve"> supplement. </w:t>
      </w:r>
      <w:r w:rsidR="000B6BD3">
        <w:t>Everything here is aff</w:t>
      </w:r>
      <w:r w:rsidR="008B14FD">
        <w:t>irmative.</w:t>
      </w:r>
    </w:p>
    <w:p w14:paraId="20179A78" w14:textId="77777777" w:rsidR="00137A0F" w:rsidRDefault="00137A0F" w:rsidP="00137A0F"/>
    <w:p w14:paraId="16793CAC" w14:textId="454812DA" w:rsidR="00137A0F" w:rsidRPr="00137A0F" w:rsidRDefault="00137A0F" w:rsidP="00137A0F">
      <w:r>
        <w:t>I’m not sure any of the evidence here is necessary. There are no</w:t>
      </w:r>
      <w:r w:rsidR="00D438BF">
        <w:t xml:space="preserve"> exclusive</w:t>
      </w:r>
      <w:r>
        <w:t xml:space="preserve"> T-minerals definitions in the context of the Arctic. Those that have been labeled as such refer to a handful of statutes about minerals that are defining exploration or development </w:t>
      </w:r>
      <w:r>
        <w:rPr>
          <w:u w:val="single"/>
        </w:rPr>
        <w:t>as it relates to minerals</w:t>
      </w:r>
      <w:r>
        <w:t xml:space="preserve">, for the narrow purpose of </w:t>
      </w:r>
      <w:r>
        <w:rPr>
          <w:u w:val="single"/>
        </w:rPr>
        <w:t>those statutes</w:t>
      </w:r>
      <w:r w:rsidR="007F4C66">
        <w:t xml:space="preserve"> (and none are about the Arctic). </w:t>
      </w:r>
      <w:r>
        <w:t>So</w:t>
      </w:r>
      <w:r w:rsidR="00C532CA">
        <w:t xml:space="preserve">, </w:t>
      </w:r>
      <w:r>
        <w:t xml:space="preserve">your answer to all of it is basically the same. Maybe you need evidence to demonstrate that, but I doubt it. </w:t>
      </w:r>
    </w:p>
    <w:p w14:paraId="09409784" w14:textId="6512BBE2" w:rsidR="00137A0F" w:rsidRDefault="00137A0F" w:rsidP="00137A0F">
      <w:pPr>
        <w:pStyle w:val="Heading4"/>
      </w:pPr>
      <w:r>
        <w:t>Ryan / Branson / Intrator evidence</w:t>
      </w:r>
    </w:p>
    <w:p w14:paraId="74C87100" w14:textId="5F51B343" w:rsidR="00137A0F" w:rsidRDefault="00137A0F" w:rsidP="00137A0F">
      <w:r>
        <w:t>You</w:t>
      </w:r>
      <w:r>
        <w:t xml:space="preserve"> (and the negative) shouldn’t be reading </w:t>
      </w:r>
      <w:r w:rsidR="007711F3">
        <w:t>quotes</w:t>
      </w:r>
      <w:r>
        <w:t xml:space="preserve"> from former debaters about debate theory, because everyone here has a brain they can use instead. It’s </w:t>
      </w:r>
      <w:r w:rsidR="007711F3">
        <w:t>much</w:t>
      </w:r>
      <w:r>
        <w:t xml:space="preserve"> better to go to the original </w:t>
      </w:r>
      <w:r>
        <w:t xml:space="preserve">source </w:t>
      </w:r>
      <w:r>
        <w:t xml:space="preserve">for each and read them and then </w:t>
      </w:r>
      <w:r w:rsidR="004C5F82">
        <w:t>craft them into your own arguments</w:t>
      </w:r>
      <w:r>
        <w:t xml:space="preserve">. Neither Branson nor Ryan is more authoritative than whatever your opinion is about debate. </w:t>
      </w:r>
    </w:p>
    <w:p w14:paraId="5556DB32" w14:textId="77777777" w:rsidR="00137A0F" w:rsidRDefault="00137A0F" w:rsidP="00137A0F"/>
    <w:p w14:paraId="3BCD7D94" w14:textId="6F889F8B" w:rsidR="00137A0F" w:rsidRDefault="00137A0F" w:rsidP="00137A0F">
      <w:r>
        <w:t xml:space="preserve">I’m turning </w:t>
      </w:r>
      <w:r>
        <w:t xml:space="preserve">out the Ryan </w:t>
      </w:r>
      <w:r w:rsidR="00AF44E4">
        <w:t>quote</w:t>
      </w:r>
      <w:r>
        <w:t xml:space="preserve"> only because some judges’ RFDs </w:t>
      </w:r>
      <w:r w:rsidR="00705106">
        <w:t>could</w:t>
      </w:r>
      <w:r>
        <w:t xml:space="preserve"> be “I thought the Branson </w:t>
      </w:r>
      <w:r w:rsidR="00CF09CA">
        <w:t>quote</w:t>
      </w:r>
      <w:r>
        <w:t xml:space="preserve"> was better than your explanation of predictability</w:t>
      </w:r>
      <w:r>
        <w:t xml:space="preserve">,” so if you </w:t>
      </w:r>
      <w:r w:rsidR="00545F06">
        <w:t>think you need a card</w:t>
      </w:r>
      <w:r>
        <w:t xml:space="preserve">, you have </w:t>
      </w:r>
      <w:r w:rsidR="00705106">
        <w:t>it.</w:t>
      </w:r>
      <w:r w:rsidR="002C5C4F">
        <w:t xml:space="preserve"> But </w:t>
      </w:r>
      <w:r w:rsidR="00D15B2D">
        <w:t xml:space="preserve">seriously, </w:t>
      </w:r>
      <w:r w:rsidR="00D15B2D" w:rsidRPr="00D15B2D">
        <w:rPr>
          <w:u w:val="single"/>
        </w:rPr>
        <w:t xml:space="preserve">don’t read the card in a debate, </w:t>
      </w:r>
      <w:r w:rsidR="0049074D">
        <w:rPr>
          <w:u w:val="single"/>
        </w:rPr>
        <w:t xml:space="preserve">instead </w:t>
      </w:r>
      <w:r w:rsidR="00D15B2D" w:rsidRPr="00D15B2D">
        <w:rPr>
          <w:u w:val="single"/>
        </w:rPr>
        <w:t xml:space="preserve">read the article </w:t>
      </w:r>
      <w:r w:rsidR="00D15B2D" w:rsidRPr="00FF7F2E">
        <w:t xml:space="preserve">and use it to make your own arguments </w:t>
      </w:r>
      <w:r w:rsidR="002C5C4F" w:rsidRPr="00FF7F2E">
        <w:t>–</w:t>
      </w:r>
      <w:r w:rsidR="002C5C4F">
        <w:t xml:space="preserve"> the link is in the cite.</w:t>
      </w:r>
    </w:p>
    <w:p w14:paraId="4AC3599D" w14:textId="77777777" w:rsidR="00137A0F" w:rsidRDefault="00137A0F" w:rsidP="00137A0F"/>
    <w:p w14:paraId="3EACA84F" w14:textId="269DD6E2" w:rsidR="003F7198" w:rsidRDefault="00137A0F" w:rsidP="00137A0F">
      <w:r>
        <w:t xml:space="preserve">Branson’s writing about using PICs to narrow topics, not topicality, and would never say that the debate should be decided on a random interpretation not in the context of the topic. </w:t>
      </w:r>
      <w:r w:rsidR="00BF4273">
        <w:t xml:space="preserve">The </w:t>
      </w:r>
      <w:r w:rsidR="00AF44E4">
        <w:t>quote</w:t>
      </w:r>
      <w:r w:rsidR="00BF4273">
        <w:t xml:space="preserve"> in the previous supplement concludes in the middle of the paragraph. </w:t>
      </w:r>
    </w:p>
    <w:p w14:paraId="206193DF" w14:textId="77777777" w:rsidR="003F7198" w:rsidRDefault="003F7198" w:rsidP="00137A0F"/>
    <w:p w14:paraId="782FB5CB" w14:textId="7251D1E3" w:rsidR="003F7198" w:rsidRDefault="003F7198" w:rsidP="00137A0F">
      <w:r>
        <w:t>Here is the full context of his argument</w:t>
      </w:r>
      <w:r w:rsidR="00D7173A">
        <w:t xml:space="preserve"> about generating sustainable policy expertise</w:t>
      </w:r>
      <w:r>
        <w:t>:</w:t>
      </w:r>
    </w:p>
    <w:p w14:paraId="00797FE9" w14:textId="502CBE46" w:rsidR="005002B6" w:rsidRDefault="005002B6" w:rsidP="00137A0F">
      <w:hyperlink r:id="rId8" w:history="1">
        <w:r w:rsidRPr="0086251C">
          <w:rPr>
            <w:rStyle w:val="Hyperlink"/>
            <w:rFonts w:cstheme="minorHAnsi"/>
          </w:rPr>
          <w:t>https://web.archive.org/web/20080805160452/http://www.ndtceda.com/pipermail/edebate/2007-May/071122.html</w:t>
        </w:r>
      </w:hyperlink>
    </w:p>
    <w:p w14:paraId="3C42344A" w14:textId="77777777" w:rsidR="001E0435" w:rsidRDefault="001E0435" w:rsidP="00137A0F"/>
    <w:p w14:paraId="22CC7E29" w14:textId="00FB83C6" w:rsidR="003F7198" w:rsidRDefault="003F7198" w:rsidP="003F7198">
      <w:pPr>
        <w:ind w:left="720"/>
      </w:pPr>
      <w:r w:rsidRPr="003F7198">
        <w:t>B) How to make debate more like the technical policy world?</w:t>
      </w:r>
      <w:r w:rsidRPr="003F7198">
        <w:br/>
      </w:r>
      <w:r w:rsidRPr="003F7198">
        <w:br/>
        <w:t>Narrower debates. PICs are vital to this (sorry, Duck). Thinking back on my</w:t>
      </w:r>
      <w:r>
        <w:t xml:space="preserve"> </w:t>
      </w:r>
      <w:r w:rsidRPr="003F7198">
        <w:t>8 years in debate, the topic about which I can best converse with experts</w:t>
      </w:r>
      <w:r>
        <w:t xml:space="preserve"> </w:t>
      </w:r>
      <w:r w:rsidRPr="003F7198">
        <w:t>about is the design of emissions trading schemes. That was because the</w:t>
      </w:r>
      <w:r>
        <w:t xml:space="preserve"> </w:t>
      </w:r>
      <w:r w:rsidRPr="003F7198">
        <w:t>literature was deep and the prevalence of</w:t>
      </w:r>
      <w:r>
        <w:t xml:space="preserve"> </w:t>
      </w:r>
      <w:r w:rsidRPr="003F7198">
        <w:t>upstream/downstream/auctioned/timetable PICs narrowed the debates and forced</w:t>
      </w:r>
      <w:r>
        <w:t xml:space="preserve"> </w:t>
      </w:r>
      <w:r w:rsidRPr="003F7198">
        <w:t>a real in-depth discussion.</w:t>
      </w:r>
      <w:r w:rsidRPr="003F7198">
        <w:br/>
      </w:r>
      <w:r w:rsidRPr="003F7198">
        <w:br/>
        <w:t>I just don’t think we get that in a ton of debates, because most PICs are</w:t>
      </w:r>
      <w:r>
        <w:t xml:space="preserve"> </w:t>
      </w:r>
      <w:r w:rsidRPr="003F7198">
        <w:t>either wanky rhetoric PICs (and yes I was an extreme culprit) or something</w:t>
      </w:r>
      <w:r>
        <w:t xml:space="preserve"> </w:t>
      </w:r>
      <w:r w:rsidRPr="003F7198">
        <w:t>even worse like Consultation.</w:t>
      </w:r>
      <w:r w:rsidRPr="003F7198">
        <w:br/>
      </w:r>
      <w:r w:rsidRPr="003F7198">
        <w:br/>
        <w:t>Thinking back on it, I don’t think that the legal topic was worded</w:t>
      </w:r>
      <w:r>
        <w:t xml:space="preserve"> </w:t>
      </w:r>
      <w:r w:rsidRPr="003F7198">
        <w:t>particularly poorly, I just think that our strategic norms of</w:t>
      </w:r>
      <w:r>
        <w:t xml:space="preserve"> </w:t>
      </w:r>
      <w:r w:rsidRPr="003F7198">
        <w:t>judging/debating create a lot of problems in generating the type of</w:t>
      </w:r>
      <w:r>
        <w:t xml:space="preserve"> </w:t>
      </w:r>
      <w:r w:rsidRPr="003F7198">
        <w:t>education a lot of us want. But one of the most striking thing for me about</w:t>
      </w:r>
      <w:r>
        <w:t xml:space="preserve"> </w:t>
      </w:r>
      <w:r w:rsidRPr="003F7198">
        <w:t>last year’s topic was that I learned more from Repko’s post about his day at</w:t>
      </w:r>
      <w:r>
        <w:t xml:space="preserve"> </w:t>
      </w:r>
      <w:r w:rsidRPr="003F7198">
        <w:t>the Supreme Court than I did from all the debates I judged combined.</w:t>
      </w:r>
      <w:r w:rsidRPr="003F7198">
        <w:br/>
      </w:r>
      <w:r w:rsidRPr="003F7198">
        <w:br/>
        <w:t>In any event, how to create the types of narrow debates that will general</w:t>
      </w:r>
      <w:r>
        <w:t xml:space="preserve"> </w:t>
      </w:r>
      <w:r w:rsidRPr="003F7198">
        <w:t>real sustainable expertise on topics is tough. I think that we’ve got to</w:t>
      </w:r>
      <w:r>
        <w:t xml:space="preserve"> </w:t>
      </w:r>
      <w:r w:rsidRPr="003F7198">
        <w:t>learn how to become accepting as a community of analytical smart arguments</w:t>
      </w:r>
      <w:r>
        <w:t xml:space="preserve"> </w:t>
      </w:r>
      <w:r w:rsidRPr="003F7198">
        <w:t>to answer carded-yet-stupid arguments, maybe start accepting intrinsicness</w:t>
      </w:r>
      <w:r>
        <w:t xml:space="preserve"> </w:t>
      </w:r>
      <w:r w:rsidRPr="003F7198">
        <w:t>(something that I might post on some other day) as a way to eliminate</w:t>
      </w:r>
      <w:r>
        <w:t xml:space="preserve"> </w:t>
      </w:r>
      <w:r w:rsidRPr="003F7198">
        <w:t>politics DAs and consultation CPs, and start modifying our theory</w:t>
      </w:r>
      <w:r>
        <w:t xml:space="preserve"> </w:t>
      </w:r>
      <w:r w:rsidRPr="003F7198">
        <w:t>dispositions to be willing to call out bullshit CPs (see DHeidt’s new judge</w:t>
      </w:r>
      <w:r>
        <w:t xml:space="preserve"> </w:t>
      </w:r>
      <w:r w:rsidRPr="003F7198">
        <w:t>philosophy), and finally moving away from the cult of new and surprise</w:t>
      </w:r>
      <w:r>
        <w:t xml:space="preserve"> </w:t>
      </w:r>
      <w:r w:rsidRPr="003F7198">
        <w:t>arguments (see below).</w:t>
      </w:r>
      <w:r w:rsidRPr="003F7198">
        <w:br/>
      </w:r>
      <w:r w:rsidRPr="003F7198">
        <w:br/>
        <w:t>This will also involve changing the way we teach kids as they enter debate;</w:t>
      </w:r>
      <w:r>
        <w:t xml:space="preserve"> </w:t>
      </w:r>
      <w:r w:rsidRPr="003F7198">
        <w:t>I know I, for one, am going to change the way I teach camp this summer to</w:t>
      </w:r>
      <w:r>
        <w:t xml:space="preserve"> </w:t>
      </w:r>
      <w:r w:rsidRPr="003F7198">
        <w:t>include at least a little of these thoughts. Of course, the focus must</w:t>
      </w:r>
      <w:r>
        <w:t xml:space="preserve"> </w:t>
      </w:r>
      <w:r w:rsidRPr="003F7198">
        <w:t>remain on winning above all else, but I think that that pursuit can be</w:t>
      </w:r>
      <w:r>
        <w:t xml:space="preserve"> </w:t>
      </w:r>
      <w:r w:rsidRPr="003F7198">
        <w:t>synthesized with a change in some of our debate practices.</w:t>
      </w:r>
    </w:p>
    <w:p w14:paraId="75F123C5" w14:textId="77777777" w:rsidR="003F7198" w:rsidRDefault="003F7198" w:rsidP="003F7198">
      <w:pPr>
        <w:ind w:left="720"/>
      </w:pPr>
    </w:p>
    <w:p w14:paraId="2F1A56CD" w14:textId="4F5C4B1F" w:rsidR="00137A0F" w:rsidRDefault="006F1AC7" w:rsidP="00137A0F">
      <w:r>
        <w:t>H</w:t>
      </w:r>
      <w:r w:rsidR="00E726BD">
        <w:t>e’s not writing about topicality at all here</w:t>
      </w:r>
      <w:r w:rsidR="000E7738">
        <w:t xml:space="preserve">, but he </w:t>
      </w:r>
      <w:r w:rsidR="00BF74F7">
        <w:t>does call</w:t>
      </w:r>
      <w:r w:rsidR="000E7738">
        <w:t xml:space="preserve"> into question other debate </w:t>
      </w:r>
      <w:r w:rsidR="00EB378B">
        <w:t>arguments</w:t>
      </w:r>
      <w:r w:rsidR="000E7738">
        <w:t xml:space="preserve"> widely </w:t>
      </w:r>
      <w:r w:rsidR="00EB378B">
        <w:t>practiced</w:t>
      </w:r>
      <w:r w:rsidR="000E7738">
        <w:t xml:space="preserve"> today.</w:t>
      </w:r>
    </w:p>
    <w:p w14:paraId="4E334C16" w14:textId="77777777" w:rsidR="00137A0F" w:rsidRDefault="00137A0F" w:rsidP="00137A0F"/>
    <w:p w14:paraId="50B9A53B" w14:textId="39142A5D" w:rsidR="00137A0F" w:rsidRPr="00EF486C" w:rsidRDefault="00137A0F" w:rsidP="00137A0F">
      <w:r>
        <w:t xml:space="preserve">Intrator </w:t>
      </w:r>
      <w:r w:rsidR="00B54E1C">
        <w:t xml:space="preserve">just says you don’t have to ‘think outside the box’ to solve problems. </w:t>
      </w:r>
      <w:r w:rsidR="00096BFC">
        <w:t>It doesn’t make a</w:t>
      </w:r>
      <w:r w:rsidR="00567505">
        <w:t xml:space="preserve">n argument </w:t>
      </w:r>
      <w:r w:rsidR="00096BFC">
        <w:t xml:space="preserve">about </w:t>
      </w:r>
      <w:r w:rsidR="00567505">
        <w:t xml:space="preserve">choosing between </w:t>
      </w:r>
      <w:r w:rsidR="00096BFC">
        <w:t>types of limits. The resolution itself is a limit, as is your counter-interpretation.</w:t>
      </w:r>
      <w:r w:rsidR="00A216C2">
        <w:t xml:space="preserve"> </w:t>
      </w:r>
      <w:r w:rsidR="00606199">
        <w:t>This card isn’t relevant.</w:t>
      </w:r>
    </w:p>
    <w:p w14:paraId="61CE20CF" w14:textId="77777777" w:rsidR="00137A0F" w:rsidRPr="00137A0F" w:rsidRDefault="00137A0F" w:rsidP="00137A0F"/>
    <w:p w14:paraId="120C21C3" w14:textId="1EAB55F9" w:rsidR="005D388F" w:rsidRDefault="003B2232" w:rsidP="003B2232">
      <w:pPr>
        <w:pStyle w:val="Heading3"/>
      </w:pPr>
      <w:r>
        <w:t>AT: “Alaska Code”</w:t>
      </w:r>
    </w:p>
    <w:p w14:paraId="7677DEAC" w14:textId="77777777" w:rsidR="003B2232" w:rsidRDefault="003B2232" w:rsidP="005D388F"/>
    <w:p w14:paraId="0DD9F030" w14:textId="5AB9E528" w:rsidR="003B2232" w:rsidRDefault="003B2232" w:rsidP="003B2232">
      <w:pPr>
        <w:pStyle w:val="Heading4"/>
        <w:rPr>
          <w:u w:val="single"/>
        </w:rPr>
      </w:pPr>
      <w:r>
        <w:t xml:space="preserve">It’s a definition limited to </w:t>
      </w:r>
      <w:r>
        <w:rPr>
          <w:u w:val="single"/>
        </w:rPr>
        <w:t>the Mining Loan Fund</w:t>
      </w:r>
    </w:p>
    <w:p w14:paraId="0E83D2D3" w14:textId="77777777" w:rsidR="003B2232" w:rsidRDefault="003B2232" w:rsidP="003B2232">
      <w:r w:rsidRPr="000237F8">
        <w:rPr>
          <w:rStyle w:val="Style13ptBold"/>
        </w:rPr>
        <w:t>Alaska Code ’25</w:t>
      </w:r>
      <w:r>
        <w:t xml:space="preserve"> [Alaska Statutes; Current through Ch. 5 of 2025 Legislature; Title 27, Ch. 5-9, § 27.09.060, lexis]</w:t>
      </w:r>
    </w:p>
    <w:p w14:paraId="06BC1182" w14:textId="77777777" w:rsidR="003B2232" w:rsidRPr="003B2232" w:rsidRDefault="003B2232" w:rsidP="003B2232"/>
    <w:p w14:paraId="3FCAEB35" w14:textId="028C0367" w:rsidR="003B2232" w:rsidRDefault="003B2232" w:rsidP="005D388F">
      <w:r>
        <w:t>*** Current through Ch. 5 of 2025 Legislature.***</w:t>
      </w:r>
    </w:p>
    <w:p w14:paraId="0CB2A324" w14:textId="2BAF6395" w:rsidR="003B2232" w:rsidRDefault="003B2232" w:rsidP="005D388F">
      <w:r>
        <w:t xml:space="preserve">Alaska Statutes Title 27. Mining. (Chs. 05 — 40) Chapter 09. </w:t>
      </w:r>
      <w:r w:rsidRPr="003B2232">
        <w:rPr>
          <w:rStyle w:val="StyleUnderline"/>
          <w:highlight w:val="cyan"/>
        </w:rPr>
        <w:t>Mining Loan Fund</w:t>
      </w:r>
      <w:r>
        <w:t xml:space="preserve">. (§§ 27.09.010 — 27.09.060) </w:t>
      </w:r>
    </w:p>
    <w:p w14:paraId="19CF15E3" w14:textId="77777777" w:rsidR="003B2232" w:rsidRDefault="003B2232" w:rsidP="005D388F">
      <w:r>
        <w:t>Sec. 27.09.060. Definitions.</w:t>
      </w:r>
    </w:p>
    <w:p w14:paraId="3DBEEC74" w14:textId="77777777" w:rsidR="003B2232" w:rsidRPr="003B2232" w:rsidRDefault="003B2232" w:rsidP="005D388F">
      <w:pPr>
        <w:rPr>
          <w:rStyle w:val="StyleUnderline"/>
        </w:rPr>
      </w:pPr>
      <w:r w:rsidRPr="003B2232">
        <w:rPr>
          <w:rStyle w:val="StyleUnderline"/>
          <w:highlight w:val="cyan"/>
        </w:rPr>
        <w:t>In this chapter,</w:t>
      </w:r>
    </w:p>
    <w:p w14:paraId="464B07D5" w14:textId="77777777" w:rsidR="003B2232" w:rsidRDefault="003B2232" w:rsidP="005D388F">
      <w:r>
        <w:t>(1) “advanced mineral exploration” means the investigation of a known mineral deposit to gain knowledge of its size, shape, and value, and to determine whether it is feasible for mining, by the use of geophysical surveys, boreholes, pits, or underground workings;</w:t>
      </w:r>
    </w:p>
    <w:p w14:paraId="61367F0A" w14:textId="77777777" w:rsidR="003B2232" w:rsidRDefault="003B2232" w:rsidP="005D388F">
      <w:r>
        <w:t>(2) “date of mineral production” means the date on which the first shipment of products from mining operations is made;</w:t>
      </w:r>
    </w:p>
    <w:p w14:paraId="611DBF5E" w14:textId="77777777" w:rsidR="003B2232" w:rsidRDefault="003B2232" w:rsidP="005D388F">
      <w:r>
        <w:t>(3) “department” means the Department of Commerce, Community, and Economic Development;</w:t>
      </w:r>
    </w:p>
    <w:p w14:paraId="2F45E960" w14:textId="77777777" w:rsidR="003B2232" w:rsidRDefault="003B2232" w:rsidP="005D388F">
      <w:r>
        <w:t>(4) “development” means the preparation of a proven mineral deposit for mining;</w:t>
      </w:r>
    </w:p>
    <w:p w14:paraId="16202EA0" w14:textId="77777777" w:rsidR="003B2232" w:rsidRDefault="003B2232" w:rsidP="005D388F">
      <w:r>
        <w:t>(5) “fund” means the mining loan fund;</w:t>
      </w:r>
    </w:p>
    <w:p w14:paraId="6FA66C76" w14:textId="6BA95A75" w:rsidR="003B2232" w:rsidRDefault="003B2232" w:rsidP="005D388F">
      <w:r>
        <w:t>(6) “mining” means the extraction of ore and the preparation of a mineral product for market.</w:t>
      </w:r>
    </w:p>
    <w:p w14:paraId="3EF75C94" w14:textId="77777777" w:rsidR="003B2232" w:rsidRDefault="003B2232" w:rsidP="005D388F"/>
    <w:p w14:paraId="13EF1D55" w14:textId="40171F18" w:rsidR="003B2232" w:rsidRDefault="003B2232" w:rsidP="003B2232">
      <w:pPr>
        <w:pStyle w:val="Heading3"/>
      </w:pPr>
      <w:r>
        <w:t>AT: Gorsuch</w:t>
      </w:r>
    </w:p>
    <w:p w14:paraId="6768113B" w14:textId="77777777" w:rsidR="003B2232" w:rsidRDefault="003B2232" w:rsidP="003B2232"/>
    <w:p w14:paraId="560FC985" w14:textId="7FD06E31" w:rsidR="003B2232" w:rsidRDefault="003B2232" w:rsidP="003B2232">
      <w:pPr>
        <w:pStyle w:val="Heading4"/>
      </w:pPr>
      <w:r>
        <w:t>Also about the Mining Loan Fund</w:t>
      </w:r>
    </w:p>
    <w:p w14:paraId="70724AC5" w14:textId="77777777" w:rsidR="003B2232" w:rsidRDefault="003B2232" w:rsidP="003B2232">
      <w:r w:rsidRPr="00F8367E">
        <w:rPr>
          <w:rStyle w:val="Style13ptBold"/>
        </w:rPr>
        <w:t>Gorsuch ’82</w:t>
      </w:r>
      <w:r>
        <w:t xml:space="preserve"> [Norman and Martha A. Fox; December 17; Attorney General and Assistant Attorney General of Alaska; Informal Opinion, “Request Re: SUBJECT: Mining Loan Fund AS 27.09,” File No. 366-317-83, 1982 Alas. AG LEXIS 245] Note: ‘AS’ = Alaska Statute</w:t>
      </w:r>
    </w:p>
    <w:p w14:paraId="6BAB6931" w14:textId="77777777" w:rsidR="003B2232" w:rsidRPr="002B593E" w:rsidRDefault="003B2232" w:rsidP="003B2232">
      <w:pPr>
        <w:rPr>
          <w:sz w:val="16"/>
        </w:rPr>
      </w:pPr>
      <w:r w:rsidRPr="002B593E">
        <w:rPr>
          <w:sz w:val="16"/>
        </w:rPr>
        <w:t>You have requested advice as to whether your department's reply to Anchorage Sand and Gravel Co., Inc.'s letter concerning its eligibility for a loan under AS 27.06, the Mining Loan Fund, is correct. Anchorage Sand and Gravel is engaged in the business of mining gravel in Palmer and transporting the material to Anchorage by rail. The company proposes to purchase 80 100-ton capacity triple hopper railroad cars to use in this operation, and wants a loan from the Mining Loan Fund to finance this purchase. You responded by letter of October 7, 1982 that Anchorage Sand and Gravel is not eligible for a loan because the proposed use of the loan proceeds is inconsistent with the stated purposes of the Mining Loan fund. We agree that this is a correct interpretation.</w:t>
      </w:r>
    </w:p>
    <w:p w14:paraId="29EF5FEF" w14:textId="77777777" w:rsidR="003B2232" w:rsidRPr="002B593E" w:rsidRDefault="003B2232" w:rsidP="003B2232">
      <w:pPr>
        <w:rPr>
          <w:sz w:val="16"/>
        </w:rPr>
      </w:pPr>
      <w:r w:rsidRPr="002B593E">
        <w:rPr>
          <w:sz w:val="16"/>
        </w:rPr>
        <w:t xml:space="preserve">As Commissioner Webber noted in his letter to the president of Anchorage Sand and Gravel, the emphasis of the fund is on mining operations involving </w:t>
      </w:r>
      <w:r w:rsidRPr="003B2232">
        <w:rPr>
          <w:sz w:val="16"/>
        </w:rPr>
        <w:t xml:space="preserve">minerals. </w:t>
      </w:r>
      <w:r w:rsidRPr="003B2232">
        <w:rPr>
          <w:rStyle w:val="Emphasis"/>
        </w:rPr>
        <w:t>AS</w:t>
      </w:r>
      <w:r w:rsidRPr="003B2232">
        <w:rPr>
          <w:sz w:val="16"/>
        </w:rPr>
        <w:t xml:space="preserve"> 27.09.010 </w:t>
      </w:r>
      <w:r w:rsidRPr="003B2232">
        <w:rPr>
          <w:rStyle w:val="Emphasis"/>
        </w:rPr>
        <w:t>states</w:t>
      </w:r>
      <w:r w:rsidRPr="003B2232">
        <w:rPr>
          <w:sz w:val="16"/>
        </w:rPr>
        <w:t xml:space="preserve"> that the </w:t>
      </w:r>
      <w:r w:rsidRPr="003B2232">
        <w:rPr>
          <w:rStyle w:val="StyleUnderline"/>
          <w:highlight w:val="cyan"/>
        </w:rPr>
        <w:t>Mining Loan Fund</w:t>
      </w:r>
      <w:r w:rsidRPr="003B2232">
        <w:rPr>
          <w:sz w:val="16"/>
        </w:rPr>
        <w:t xml:space="preserve"> is set up "</w:t>
      </w:r>
      <w:r w:rsidRPr="003B2232">
        <w:rPr>
          <w:rStyle w:val="StyleUnderline"/>
        </w:rPr>
        <w:t>to underwrite</w:t>
      </w:r>
      <w:r w:rsidRPr="003B2232">
        <w:rPr>
          <w:sz w:val="16"/>
        </w:rPr>
        <w:t xml:space="preserve"> [*2] advanced mineral </w:t>
      </w:r>
      <w:r w:rsidRPr="003B2232">
        <w:rPr>
          <w:rStyle w:val="Emphasis"/>
        </w:rPr>
        <w:t>exploration</w:t>
      </w:r>
      <w:r w:rsidRPr="003B2232">
        <w:rPr>
          <w:sz w:val="16"/>
        </w:rPr>
        <w:t xml:space="preserve">, </w:t>
      </w:r>
      <w:r w:rsidRPr="003B2232">
        <w:rPr>
          <w:rStyle w:val="Emphasis"/>
        </w:rPr>
        <w:t>development</w:t>
      </w:r>
      <w:r w:rsidRPr="003B2232">
        <w:rPr>
          <w:sz w:val="16"/>
        </w:rPr>
        <w:t xml:space="preserve"> or mining </w:t>
      </w:r>
      <w:r w:rsidRPr="003B2232">
        <w:rPr>
          <w:rStyle w:val="Emphasis"/>
        </w:rPr>
        <w:t>in the state</w:t>
      </w:r>
      <w:r w:rsidRPr="003B2232">
        <w:rPr>
          <w:sz w:val="16"/>
        </w:rPr>
        <w:t>." "</w:t>
      </w:r>
      <w:r w:rsidRPr="003B2232">
        <w:rPr>
          <w:rStyle w:val="Emphasis"/>
        </w:rPr>
        <w:t>Development</w:t>
      </w:r>
      <w:r w:rsidRPr="003B2232">
        <w:rPr>
          <w:rStyle w:val="StyleUnderline"/>
        </w:rPr>
        <w:t xml:space="preserve">" is </w:t>
      </w:r>
      <w:r w:rsidRPr="003B2232">
        <w:rPr>
          <w:rStyle w:val="Emphasis"/>
        </w:rPr>
        <w:t>defined</w:t>
      </w:r>
      <w:r w:rsidRPr="003B2232">
        <w:rPr>
          <w:rStyle w:val="StyleUnderline"/>
        </w:rPr>
        <w:t xml:space="preserve"> as ". . . the </w:t>
      </w:r>
      <w:r w:rsidRPr="003B2232">
        <w:rPr>
          <w:rStyle w:val="Emphasis"/>
        </w:rPr>
        <w:t>preparation</w:t>
      </w:r>
      <w:r w:rsidRPr="003B2232">
        <w:rPr>
          <w:rStyle w:val="StyleUnderline"/>
        </w:rPr>
        <w:t xml:space="preserve"> of a </w:t>
      </w:r>
      <w:r w:rsidRPr="003B2232">
        <w:rPr>
          <w:rStyle w:val="Emphasis"/>
        </w:rPr>
        <w:t>proven</w:t>
      </w:r>
      <w:r w:rsidRPr="003B2232">
        <w:rPr>
          <w:rStyle w:val="StyleUnderline"/>
        </w:rPr>
        <w:t xml:space="preserve"> mineral </w:t>
      </w:r>
      <w:r w:rsidRPr="003B2232">
        <w:rPr>
          <w:rStyle w:val="Emphasis"/>
        </w:rPr>
        <w:t>deposit</w:t>
      </w:r>
      <w:r w:rsidRPr="003B2232">
        <w:rPr>
          <w:rStyle w:val="StyleUnderline"/>
        </w:rPr>
        <w:t xml:space="preserve"> for </w:t>
      </w:r>
      <w:r w:rsidRPr="003B2232">
        <w:rPr>
          <w:rStyle w:val="Emphasis"/>
        </w:rPr>
        <w:t>mining</w:t>
      </w:r>
      <w:r w:rsidRPr="003B2232">
        <w:rPr>
          <w:sz w:val="16"/>
        </w:rPr>
        <w:t>, " AS 27.09.060(4). "</w:t>
      </w:r>
      <w:r w:rsidRPr="003B2232">
        <w:rPr>
          <w:rStyle w:val="StyleUnderline"/>
        </w:rPr>
        <w:t>Mining" is defined as ". . . the extraction of ore and the preparation of a mineral product for market</w:t>
      </w:r>
      <w:r w:rsidRPr="003B2232">
        <w:rPr>
          <w:sz w:val="16"/>
        </w:rPr>
        <w:t>." AS</w:t>
      </w:r>
      <w:r w:rsidRPr="002B593E">
        <w:rPr>
          <w:sz w:val="16"/>
        </w:rPr>
        <w:t xml:space="preserve"> 27.09.060(6).</w:t>
      </w:r>
    </w:p>
    <w:p w14:paraId="5F401349" w14:textId="77777777" w:rsidR="003B2232" w:rsidRPr="002B593E" w:rsidRDefault="003B2232" w:rsidP="003B2232">
      <w:pPr>
        <w:rPr>
          <w:sz w:val="16"/>
        </w:rPr>
      </w:pPr>
      <w:r w:rsidRPr="002B593E">
        <w:rPr>
          <w:sz w:val="16"/>
        </w:rPr>
        <w:t>Mineral itself is not defined in the statute, however, courts have consistently held that ordinary sand and gravel are not minerals. Anchorage Sand and Gravel Co. v. Schubert, 114 F.Supp. 436 (D.C. Ak. 1983); see also Holland v. Dolese Co., 540 P.2d 549 (Okl. 1975), Whittle v. Wolff, 437 P.2d 114 (Or. 1968).</w:t>
      </w:r>
    </w:p>
    <w:p w14:paraId="3830D1F4" w14:textId="77777777" w:rsidR="003B2232" w:rsidRPr="002B593E" w:rsidRDefault="003B2232" w:rsidP="003B2232">
      <w:pPr>
        <w:rPr>
          <w:sz w:val="16"/>
        </w:rPr>
      </w:pPr>
      <w:r w:rsidRPr="002B593E">
        <w:rPr>
          <w:sz w:val="16"/>
        </w:rPr>
        <w:t>The fact that Anchorage Sand and Gravel is subject to the Mining License Tax under AS 43.lk has no bearing on this determination. The definition of mining found in AS 43.65 is not controlling for AS 27.09 because each statute has a different purpose. AS 43.65 is a revenue raising measure while AS 27.09 is a loan program. See Northern Adjusters, Inc. v. Dept. of Revenue, 627 P.2d 205 (Alaska 1981). 1</w:t>
      </w:r>
    </w:p>
    <w:p w14:paraId="43F34FD6" w14:textId="77777777" w:rsidR="003B2232" w:rsidRPr="002B593E" w:rsidRDefault="003B2232" w:rsidP="003B2232">
      <w:pPr>
        <w:rPr>
          <w:sz w:val="16"/>
        </w:rPr>
      </w:pPr>
      <w:r w:rsidRPr="002B593E">
        <w:rPr>
          <w:sz w:val="16"/>
        </w:rPr>
        <w:t>For these reasons we agree with your conclusion that Anchorage Sand and Gravel is not eligible for a loan from the Mining Loan Fund. Please let us know if we can be of any further assistance in this matter.</w:t>
      </w:r>
    </w:p>
    <w:p w14:paraId="5FAEC785" w14:textId="77777777" w:rsidR="003B2232" w:rsidRDefault="003B2232" w:rsidP="003B2232"/>
    <w:p w14:paraId="19834423" w14:textId="2384E807" w:rsidR="003B2232" w:rsidRDefault="003B2232" w:rsidP="003B2232">
      <w:pPr>
        <w:pStyle w:val="Heading3"/>
      </w:pPr>
      <w:r>
        <w:t>AT: “Alaskan courts”</w:t>
      </w:r>
    </w:p>
    <w:p w14:paraId="106F0324" w14:textId="32E3DD60" w:rsidR="003B2232" w:rsidRDefault="003B2232" w:rsidP="003B2232">
      <w:pPr>
        <w:pStyle w:val="Heading4"/>
      </w:pPr>
      <w:r>
        <w:t xml:space="preserve">Whalen is a footnote clarifying “mine development” </w:t>
      </w:r>
      <w:r w:rsidR="007A147E">
        <w:t>in a lawsuit about mining</w:t>
      </w:r>
    </w:p>
    <w:p w14:paraId="5630FC1F" w14:textId="32AA1A57" w:rsidR="003B2232" w:rsidRDefault="003B2232" w:rsidP="003B2232">
      <w:r w:rsidRPr="00F36895">
        <w:rPr>
          <w:rStyle w:val="Style13ptBold"/>
        </w:rPr>
        <w:t>Whalen ’19</w:t>
      </w:r>
      <w:r>
        <w:t xml:space="preserve"> [Erin, Eric Jorgensen; 2019; Attorneys for Appellants Chilkat Indian Village of Klukwan, Southeast Alaska Conservation Council, Lynn Canal Conservation, and Rivers Without Borders, a project of the Tides Center, Earth Justice Law; 2019 U.S. 9th Circuit Briefs LEXIS, “Chilkat Indian Klukwan v. BLM,” 5280]</w:t>
      </w:r>
    </w:p>
    <w:p w14:paraId="55325628" w14:textId="77777777" w:rsidR="003B2232" w:rsidRDefault="003B2232" w:rsidP="003B2232"/>
    <w:p w14:paraId="15AF3408" w14:textId="7C319569" w:rsidR="003B2232" w:rsidRDefault="003B2232" w:rsidP="003B2232">
      <w:r>
        <w:t>III</w:t>
      </w:r>
      <w:r w:rsidRPr="003B2232">
        <w:t>. If mine development takes place at the Palmer Project, it may cause serious pollution</w:t>
      </w:r>
      <w:r>
        <w:t xml:space="preserve"> in the Chilkat River watershed.</w:t>
      </w:r>
    </w:p>
    <w:p w14:paraId="1D960DB5" w14:textId="153DE90A" w:rsidR="003B2232" w:rsidRDefault="003B2232" w:rsidP="003B2232">
      <w:r>
        <w:t xml:space="preserve">Constantine Metals' ongoing exploration activities preclude other uses of the project area and its vicinity by occupying physical spaces with infrastructure and equipment, generating disturbances that may displace users and wildlife, and creating safety concerns related to the use of heavy machinery, materials, and vehicles. III-ER-343-44; III-ER-419-20; III-ER-486, Fig. 3-8; III-ER-491-92; see infra pp. 52-53. Potential </w:t>
      </w:r>
      <w:r w:rsidRPr="003B2232">
        <w:rPr>
          <w:rStyle w:val="StyleUnderline"/>
          <w:highlight w:val="cyan"/>
        </w:rPr>
        <w:t xml:space="preserve">harms arising at the </w:t>
      </w:r>
      <w:r w:rsidRPr="003B2232">
        <w:rPr>
          <w:rStyle w:val="Emphasis"/>
          <w:highlight w:val="cyan"/>
        </w:rPr>
        <w:t>mine development</w:t>
      </w:r>
      <w:r w:rsidRPr="003B2232">
        <w:rPr>
          <w:rStyle w:val="StyleUnderline"/>
          <w:highlight w:val="cyan"/>
        </w:rPr>
        <w:t xml:space="preserve"> </w:t>
      </w:r>
      <w:r w:rsidRPr="007A147E">
        <w:rPr>
          <w:rStyle w:val="StyleUnderline"/>
          <w:highlight w:val="cyan"/>
        </w:rPr>
        <w:t>stage</w:t>
      </w:r>
      <w:r w:rsidRPr="007A147E">
        <w:rPr>
          <w:rStyle w:val="StyleUnderline"/>
        </w:rPr>
        <w:t xml:space="preserve"> </w:t>
      </w:r>
      <w:r w:rsidRPr="003B2232">
        <w:rPr>
          <w:rStyle w:val="StyleUnderline"/>
          <w:highlight w:val="cyan"/>
        </w:rPr>
        <w:t>would be</w:t>
      </w:r>
      <w:r w:rsidRPr="003B2232">
        <w:rPr>
          <w:rStyle w:val="StyleUnderline"/>
        </w:rPr>
        <w:t xml:space="preserve"> </w:t>
      </w:r>
      <w:r>
        <w:t xml:space="preserve">even </w:t>
      </w:r>
      <w:r w:rsidRPr="003B2232">
        <w:rPr>
          <w:rStyle w:val="StyleUnderline"/>
          <w:highlight w:val="cyan"/>
        </w:rPr>
        <w:t>greater</w:t>
      </w:r>
      <w:r>
        <w:t xml:space="preserve"> in intensity, scope, and duration. 2</w:t>
      </w:r>
    </w:p>
    <w:p w14:paraId="5D5F7B13" w14:textId="77777777" w:rsidR="003B2232" w:rsidRDefault="003B2232" w:rsidP="00137A0F">
      <w:pPr>
        <w:ind w:left="720"/>
        <w:rPr>
          <w:sz w:val="16"/>
        </w:rPr>
      </w:pPr>
      <w:r>
        <w:rPr>
          <w:b/>
          <w:bCs/>
        </w:rPr>
        <w:t xml:space="preserve">Footnote 2  </w:t>
      </w:r>
      <w:r w:rsidRPr="003B2232">
        <w:rPr>
          <w:rStyle w:val="StyleUnderline"/>
        </w:rPr>
        <w:t>For simplicity Appellants use the term</w:t>
      </w:r>
      <w:r w:rsidRPr="003B2232">
        <w:rPr>
          <w:sz w:val="16"/>
        </w:rPr>
        <w:t xml:space="preserve"> "</w:t>
      </w:r>
      <w:r w:rsidRPr="003B2232">
        <w:rPr>
          <w:rStyle w:val="Emphasis"/>
        </w:rPr>
        <w:t>development</w:t>
      </w:r>
      <w:r w:rsidRPr="003B2232">
        <w:rPr>
          <w:sz w:val="16"/>
        </w:rPr>
        <w:t xml:space="preserve">" throughout the brief to </w:t>
      </w:r>
      <w:r w:rsidRPr="003B2232">
        <w:rPr>
          <w:rStyle w:val="StyleUnderline"/>
        </w:rPr>
        <w:t xml:space="preserve">refer to </w:t>
      </w:r>
      <w:r w:rsidRPr="003B2232">
        <w:rPr>
          <w:rStyle w:val="Emphasis"/>
        </w:rPr>
        <w:t>mineral extraction</w:t>
      </w:r>
      <w:r w:rsidRPr="003B2232">
        <w:rPr>
          <w:sz w:val="16"/>
        </w:rPr>
        <w:t xml:space="preserve">, </w:t>
      </w:r>
      <w:r w:rsidRPr="003B2232">
        <w:rPr>
          <w:rStyle w:val="Emphasis"/>
        </w:rPr>
        <w:t>processing</w:t>
      </w:r>
      <w:r w:rsidRPr="003B2232">
        <w:rPr>
          <w:sz w:val="16"/>
        </w:rPr>
        <w:t xml:space="preserve">, </w:t>
      </w:r>
      <w:r w:rsidRPr="003B2232">
        <w:rPr>
          <w:rStyle w:val="StyleUnderline"/>
        </w:rPr>
        <w:t>and</w:t>
      </w:r>
      <w:r w:rsidRPr="003B2232">
        <w:rPr>
          <w:sz w:val="16"/>
        </w:rPr>
        <w:t xml:space="preserve"> the construction [*13]  </w:t>
      </w:r>
      <w:r w:rsidRPr="003B2232">
        <w:rPr>
          <w:rStyle w:val="StyleUnderline"/>
        </w:rPr>
        <w:t xml:space="preserve">activities undertaken to </w:t>
      </w:r>
      <w:r w:rsidRPr="003B2232">
        <w:rPr>
          <w:rStyle w:val="Emphasis"/>
        </w:rPr>
        <w:t>facilitate</w:t>
      </w:r>
      <w:r w:rsidRPr="003B2232">
        <w:rPr>
          <w:rStyle w:val="StyleUnderline"/>
        </w:rPr>
        <w:t xml:space="preserve"> mineral extraction and processing</w:t>
      </w:r>
      <w:r w:rsidRPr="003B2232">
        <w:rPr>
          <w:sz w:val="16"/>
        </w:rPr>
        <w:t>.</w:t>
      </w:r>
      <w:r w:rsidRPr="00F36895">
        <w:rPr>
          <w:sz w:val="16"/>
        </w:rPr>
        <w:t xml:space="preserve"> At places in the record, mineral extraction and/or processing are referred to as distinct steps following development. See IV-ER-761-62; II-ER-68.</w:t>
      </w:r>
    </w:p>
    <w:p w14:paraId="45247391" w14:textId="330173E0" w:rsidR="003B2232" w:rsidRPr="003B2232" w:rsidRDefault="003B2232" w:rsidP="003B2232">
      <w:pPr>
        <w:rPr>
          <w:b/>
          <w:bCs/>
        </w:rPr>
      </w:pPr>
    </w:p>
    <w:p w14:paraId="19B2D211" w14:textId="77777777" w:rsidR="003B2232" w:rsidRPr="003B2232" w:rsidRDefault="003B2232" w:rsidP="003B2232"/>
    <w:p w14:paraId="5C97D827" w14:textId="2D5D7863" w:rsidR="003B2232" w:rsidRDefault="003B2232" w:rsidP="003B2232">
      <w:pPr>
        <w:pStyle w:val="Heading3"/>
      </w:pPr>
      <w:r>
        <w:t>AT: “US Code 17”</w:t>
      </w:r>
    </w:p>
    <w:p w14:paraId="378BAE62" w14:textId="77777777" w:rsidR="003B2232" w:rsidRDefault="003B2232" w:rsidP="003B2232"/>
    <w:p w14:paraId="6138B86A" w14:textId="0CF8557D" w:rsidR="003B2232" w:rsidRDefault="003B2232" w:rsidP="003B2232">
      <w:pPr>
        <w:pStyle w:val="Heading4"/>
      </w:pPr>
      <w:r>
        <w:t>That’s limited to the Submerged Lands Act, not about the Arctic</w:t>
      </w:r>
    </w:p>
    <w:p w14:paraId="62E03170" w14:textId="40677554" w:rsidR="003B2232" w:rsidRDefault="003B2232" w:rsidP="003B2232">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w:t>
      </w:r>
      <w:hyperlink r:id="rId9" w:history="1">
        <w:r w:rsidRPr="0086251C">
          <w:rPr>
            <w:rStyle w:val="Hyperlink"/>
          </w:rPr>
          <w:t>https://www.govinfo.gov/content/pkg/USCODE-2017-title43/html/USCODE-2017-title43-chap29-subchapIII-sec1331.htm</w:t>
        </w:r>
      </w:hyperlink>
      <w:r w:rsidRPr="000926EA">
        <w:t>]</w:t>
      </w:r>
    </w:p>
    <w:p w14:paraId="22475B51" w14:textId="77777777" w:rsidR="003B2232" w:rsidRDefault="003B2232" w:rsidP="003B2232"/>
    <w:p w14:paraId="78988164" w14:textId="77777777" w:rsidR="003B2232" w:rsidRDefault="003B2232" w:rsidP="003B2232">
      <w:r>
        <w:t>43 U.S.C.</w:t>
      </w:r>
    </w:p>
    <w:p w14:paraId="2071D662" w14:textId="77777777" w:rsidR="003B2232" w:rsidRDefault="003B2232" w:rsidP="003B2232">
      <w:r>
        <w:t>United States Code, 2017 Edition</w:t>
      </w:r>
    </w:p>
    <w:p w14:paraId="32FFAED8" w14:textId="77777777" w:rsidR="003B2232" w:rsidRDefault="003B2232" w:rsidP="003B2232">
      <w:r>
        <w:t>Title 43 - PUBLIC LANDS</w:t>
      </w:r>
    </w:p>
    <w:p w14:paraId="4F8D4F92" w14:textId="77777777" w:rsidR="003B2232" w:rsidRPr="003B2232" w:rsidRDefault="003B2232" w:rsidP="003B2232">
      <w:pPr>
        <w:rPr>
          <w:rStyle w:val="StyleUnderline"/>
        </w:rPr>
      </w:pPr>
      <w:r w:rsidRPr="003B2232">
        <w:rPr>
          <w:rStyle w:val="StyleUnderline"/>
          <w:highlight w:val="cyan"/>
        </w:rPr>
        <w:t>CHAPTER 29 - SUBMERGED LANDS</w:t>
      </w:r>
    </w:p>
    <w:p w14:paraId="5A43702D" w14:textId="77777777" w:rsidR="003B2232" w:rsidRDefault="003B2232" w:rsidP="003B2232">
      <w:r>
        <w:t>SUBCHAPTER III - OUTER CONTINENTAL SHELF LANDS</w:t>
      </w:r>
    </w:p>
    <w:p w14:paraId="117F3575" w14:textId="77777777" w:rsidR="003B2232" w:rsidRDefault="003B2232" w:rsidP="003B2232">
      <w:r>
        <w:t>Sec. 1331 - Definitions</w:t>
      </w:r>
    </w:p>
    <w:p w14:paraId="274A1451" w14:textId="77777777" w:rsidR="003B2232" w:rsidRDefault="003B2232" w:rsidP="003B2232">
      <w:r>
        <w:t>From the U.S. Government Publishing Office, www.gpo.gov</w:t>
      </w:r>
    </w:p>
    <w:p w14:paraId="0A82B839" w14:textId="77777777" w:rsidR="003B2232" w:rsidRDefault="003B2232" w:rsidP="003B2232">
      <w:r>
        <w:t>§1331. Definitions</w:t>
      </w:r>
    </w:p>
    <w:p w14:paraId="761B72AB" w14:textId="53E21F19" w:rsidR="003B2232" w:rsidRDefault="003B2232" w:rsidP="003B2232">
      <w:r w:rsidRPr="003B2232">
        <w:rPr>
          <w:rStyle w:val="StyleUnderline"/>
          <w:highlight w:val="cyan"/>
        </w:rPr>
        <w:t>When used in this subchapter</w:t>
      </w:r>
      <w:r>
        <w:t>—</w:t>
      </w:r>
    </w:p>
    <w:p w14:paraId="62159697" w14:textId="4D6E9F4D" w:rsidR="003B2232" w:rsidRDefault="003B2232" w:rsidP="003B2232">
      <w:r>
        <w:t>(a) The term "outer Continental Shelf" means all submerged lands lying seaward and outside of the area of lands beneath navigable waters as defined in section 1301 of this title, and of which the subsoil and seabed appertain to the United States and are subject to its jurisdiction and control;</w:t>
      </w:r>
    </w:p>
    <w:p w14:paraId="65452AA1" w14:textId="4A377ACB" w:rsidR="003B2232" w:rsidRDefault="003B2232" w:rsidP="003B2232">
      <w:r>
        <w:t>(b) The term "Secretary" means the Secretary of the Interior, except that with respect to functions under this subchapter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14:paraId="2472CA83" w14:textId="21EE336C" w:rsidR="003B2232" w:rsidRDefault="003B2232" w:rsidP="003B2232">
      <w:r>
        <w:t>(c) The term "lease" means any form of authorization which is issued under section 1337 of this title or maintained under section 1335 of this title and which authorizes exploration for, and development and production of, minerals;</w:t>
      </w:r>
    </w:p>
    <w:p w14:paraId="30DEA81A" w14:textId="7E1FB84C" w:rsidR="003B2232" w:rsidRDefault="003B2232" w:rsidP="003B2232">
      <w:r>
        <w:t>(d) The term "person" includes, in addition to a natural person, an association, a State, a political subdivision of a State, or a private, public, or municipal corporation;</w:t>
      </w:r>
    </w:p>
    <w:p w14:paraId="41CB5C28" w14:textId="7952F220" w:rsidR="003B2232" w:rsidRDefault="003B2232" w:rsidP="003B2232">
      <w:r>
        <w:t>(e)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1454(b)(1) 1 of title 16;</w:t>
      </w:r>
    </w:p>
    <w:p w14:paraId="24D861FA" w14:textId="145AC562" w:rsidR="003B2232" w:rsidRDefault="003B2232" w:rsidP="003B2232">
      <w:r>
        <w:t>(f) The term "affected State" means, with respect to any program, plan, lease sale, or other activity, proposed, conducted, or approved pursuant to the provisions of this subchapter, any State—</w:t>
      </w:r>
    </w:p>
    <w:p w14:paraId="1C849ABA" w14:textId="04CBAA8E" w:rsidR="003B2232" w:rsidRDefault="003B2232" w:rsidP="003B2232">
      <w:r>
        <w:t>(1) the laws of which are declared, pursuant to section 1333(a)(2) of this title, to be the law of the United States for the portion of the outer Continental Shelf on which such activity is, or is proposed to be, conducted;</w:t>
      </w:r>
    </w:p>
    <w:p w14:paraId="774B40FB" w14:textId="17CBE98E" w:rsidR="003B2232" w:rsidRDefault="003B2232" w:rsidP="003B2232">
      <w:r>
        <w:t>(2) which is, or is proposed to be, directly connected by transportation facilities to any artificial island or structure referred to in section 1333(a)(1) of this title;</w:t>
      </w:r>
    </w:p>
    <w:p w14:paraId="5304AA62" w14:textId="582B7F9F" w:rsidR="003B2232" w:rsidRDefault="003B2232" w:rsidP="003B2232">
      <w:r>
        <w:t>(3) which is receiving, or in accordnace 2 with the proposed activity will receive, oil for processing, refining, or transshipment which was extracted from the outer Continental Shelf and transported directly to such State by means of vessels or by a combination of means including vessels;</w:t>
      </w:r>
    </w:p>
    <w:p w14:paraId="5CB8C643" w14:textId="36A44D05" w:rsidR="003B2232" w:rsidRDefault="003B2232" w:rsidP="003B2232">
      <w: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4351268D" w14:textId="610C79AA" w:rsidR="003B2232" w:rsidRDefault="003B2232" w:rsidP="003B2232">
      <w:r>
        <w:t>(5) in which the Secretary finds that because of such activity there is, or will be, a significant risk of serious damage, due to factors such as prevailing winds and currents, to the marine or coastal environment in the event of any oilspill, blowout, or release of oil or gas from vessels, pipelines, or other transshipment facilities;</w:t>
      </w:r>
    </w:p>
    <w:p w14:paraId="0B36EFD7" w14:textId="1F9638C4" w:rsidR="003B2232" w:rsidRDefault="003B2232" w:rsidP="003B2232">
      <w:r>
        <w:t>(g)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w:t>
      </w:r>
    </w:p>
    <w:p w14:paraId="0DD152FE" w14:textId="51756450" w:rsidR="003B2232" w:rsidRDefault="003B2232" w:rsidP="003B2232">
      <w:r>
        <w:t>(h) The term "coastal environment" means the physical atmospheric, and biological components, conditions, and factors which interactively determine the productivity, state, condition, and quality of the terrestrial ecosystem from the shoreline inward to the boundaries of the coastal zone;</w:t>
      </w:r>
    </w:p>
    <w:p w14:paraId="02CF240F" w14:textId="231AAD41" w:rsidR="003B2232" w:rsidRDefault="003B2232" w:rsidP="003B2232">
      <w:r>
        <w:t>(i)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Shelf;</w:t>
      </w:r>
    </w:p>
    <w:p w14:paraId="2B267941" w14:textId="0B38F4F9" w:rsidR="003B2232" w:rsidRDefault="003B2232" w:rsidP="003B2232">
      <w:r>
        <w:t>(j) The term "Governor" means the Governor of a State, or the person or entity designated by, or pursuant to, State law to exercise the powers granted to such Governor pursuant to this subchapter;</w:t>
      </w:r>
    </w:p>
    <w:p w14:paraId="3C491B4F" w14:textId="321FDB9D" w:rsidR="003B2232" w:rsidRDefault="003B2232" w:rsidP="003B2232">
      <w:r>
        <w:t>(k) The term "exploration" means the process of searching for minerals,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1B4A2669" w14:textId="0EBE35BA" w:rsidR="003B2232" w:rsidRDefault="003B2232" w:rsidP="003B2232">
      <w:r>
        <w:t>(l) The term "development" means those activities which take place following discovery of minerals in paying quantities, including geophysical activity, drilling, platform construction, and operation of all onshore support facilities, and which are for the purpose of ultimately producing the minerals discovered;</w:t>
      </w:r>
    </w:p>
    <w:p w14:paraId="1E8420EE" w14:textId="3518AD54" w:rsidR="003B2232" w:rsidRDefault="003B2232" w:rsidP="003B2232">
      <w:r>
        <w:t>(m) The term "production" means those activities which take place after the successful completion of any means for the removal of minerals, including such removal, field operations, transfer of minerals to shore, operation monitoring, maintenance, and work-over drilling;</w:t>
      </w:r>
    </w:p>
    <w:p w14:paraId="2CD1EA63" w14:textId="77777777" w:rsidR="003B2232" w:rsidRDefault="003B2232" w:rsidP="003B2232"/>
    <w:p w14:paraId="2C99790F" w14:textId="06AE6374" w:rsidR="001A230A" w:rsidRPr="001A230A" w:rsidRDefault="001A230A" w:rsidP="001A230A">
      <w:pPr>
        <w:pStyle w:val="Heading4"/>
      </w:pPr>
      <w:r>
        <w:t xml:space="preserve">The part about the Arctic </w:t>
      </w:r>
      <w:r w:rsidR="00DD1384">
        <w:t>is</w:t>
      </w:r>
      <w:r>
        <w:t xml:space="preserve"> a </w:t>
      </w:r>
      <w:r>
        <w:rPr>
          <w:u w:val="single"/>
        </w:rPr>
        <w:t>separate</w:t>
      </w:r>
      <w:r>
        <w:t xml:space="preserve"> executive order that just says some submerged lands are in the Arctic</w:t>
      </w:r>
      <w:r w:rsidR="00DD1384">
        <w:t>. It’s not related to the definition</w:t>
      </w:r>
    </w:p>
    <w:p w14:paraId="60A0728F" w14:textId="77777777" w:rsidR="001A230A" w:rsidRDefault="001A230A" w:rsidP="001A230A">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w:t>
      </w:r>
      <w:hyperlink r:id="rId10" w:history="1">
        <w:r w:rsidRPr="0086251C">
          <w:rPr>
            <w:rStyle w:val="Hyperlink"/>
          </w:rPr>
          <w:t>https://www.govinfo.gov/content/pkg/USCODE-2017-title43/html/USCODE-2017-title43-chap29-subchapIII-sec1331.htm</w:t>
        </w:r>
      </w:hyperlink>
      <w:r w:rsidRPr="000926EA">
        <w:t>]</w:t>
      </w:r>
    </w:p>
    <w:p w14:paraId="0657B670" w14:textId="77777777" w:rsidR="001A230A" w:rsidRDefault="001A230A" w:rsidP="001A230A"/>
    <w:p w14:paraId="3CFDFF22" w14:textId="77777777" w:rsidR="001A230A" w:rsidRDefault="001A230A" w:rsidP="001A230A">
      <w:r w:rsidRPr="001A230A">
        <w:rPr>
          <w:rStyle w:val="StyleUnderline"/>
          <w:highlight w:val="cyan"/>
        </w:rPr>
        <w:t>Ex. Ord</w:t>
      </w:r>
      <w:r>
        <w:t>. No. 13795. Implementing an America-First Offshore Energy Strategy</w:t>
      </w:r>
    </w:p>
    <w:p w14:paraId="5B1A215A" w14:textId="6A234A1C" w:rsidR="001A230A" w:rsidRDefault="001A230A" w:rsidP="001A230A">
      <w:r>
        <w:t>Ex. Ord. No. 13795, Apr. 28, 2017, 82 F.R. 20815, provided:</w:t>
      </w:r>
    </w:p>
    <w:p w14:paraId="48084050" w14:textId="66DF1678" w:rsidR="001A230A" w:rsidRDefault="001A230A" w:rsidP="001A230A">
      <w:r>
        <w:t>By the authority vested in me as President by the Constitution and the laws of the United States of America, including the Outer Continental Shelf Lands Act, 43 U.S.C. 1331 et seq., and in order to maintain global leadership in energy innovation, exploration, and production, it is hereby ordered as follows:</w:t>
      </w:r>
    </w:p>
    <w:p w14:paraId="5BA033B6" w14:textId="176DF4EE" w:rsidR="001A230A" w:rsidRDefault="001A230A" w:rsidP="001A230A">
      <w:r>
        <w:t>Section 1. Findings. America must put the energy needs of American families and businesses first and continue implementing a plan that ensures energy security and economic vitality for decades to come. The energy and minerals produced from lands and waters under Federal management are important to a vibrant economy and to our national security. Increased domestic energy production on Federal lands and waters strengthens the Nation's security and reduces reliance on imported energy. Moreover, low energy prices, driven by an increased American energy supply, will benefit American families and help reinvigorate American manufacturing and job growth. Finally, because the Department of Defense is one of the largest consumers of energy in the United States, domestic energy production also improves our Nation's military readiness.</w:t>
      </w:r>
    </w:p>
    <w:p w14:paraId="15EA100E" w14:textId="705A012F" w:rsidR="001A230A" w:rsidRDefault="001A230A" w:rsidP="001A230A">
      <w:r>
        <w:t>Sec. 2. Policy. It shall be the policy of the United States to encourage energy exploration and production, including on the Outer Continental Shelf, in order to maintain the Nation's position as a global energy leader and foster energy security and resilience for the benefit of the American people, while ensuring that any such activity is safe and environmentally responsible.</w:t>
      </w:r>
    </w:p>
    <w:p w14:paraId="2F6E9B58" w14:textId="47EC6727" w:rsidR="001A230A" w:rsidRDefault="001A230A" w:rsidP="001A230A">
      <w:r>
        <w:t>Sec. 3. Implementing an America-First Offshore Energy Strategy. To carry out the policy set forth in section 2 of this order, the Secretary of the Interior shall:</w:t>
      </w:r>
    </w:p>
    <w:p w14:paraId="13BC3F5A" w14:textId="533E1F67" w:rsidR="001A230A" w:rsidRDefault="001A230A" w:rsidP="001A230A">
      <w:r>
        <w:t>(a) as appropriate and consistent with applicable law, including the procedures set forth in section 1344 of title 43, United States Code, in consultation with the Secretary of Defense, give full consideration to revising the schedule of proposed oil and gas lease sales, as described in that section, so that it includes, but is not limited to, annual lease sales, to the maximum extent permitted by law, in each of the following Outer Continental Shelf Planning Areas, as designated by the Bureau of Ocean Energy Management (BOEM) (Planning Areas): Western Gulf of Mexico, Central Gulf of Mexico, Chukchi Sea, Beaufort Sea, Cook Inlet, Mid-Atlantic, and South Atlantic;</w:t>
      </w:r>
    </w:p>
    <w:p w14:paraId="1319FF5E" w14:textId="1147A343" w:rsidR="001A230A" w:rsidRDefault="001A230A" w:rsidP="001A230A">
      <w:r>
        <w:t>(b) ensure that any revisions made pursuant to subsection (a) of this section do not hinder or affect ongoing lease sales currently scheduled as part of the 2017–2022 Outer Continental Shelf Oil and Gas Leasing Proposed Final Program, as published on November 18, 2016; and</w:t>
      </w:r>
    </w:p>
    <w:p w14:paraId="553C6D87" w14:textId="044F09F3" w:rsidR="001A230A" w:rsidRDefault="001A230A" w:rsidP="001A230A">
      <w:r>
        <w:t>(c) develop and implement, in coordination with the Secretary of Commerce and to the maximum extent permitted by law, a streamlined permitting approach for privately funded seismic data research and collection aimed at expeditiously determining the offshore energy resource potential of the United States within the Planning Areas.</w:t>
      </w:r>
    </w:p>
    <w:p w14:paraId="7F520DCA" w14:textId="673D6320" w:rsidR="001A230A" w:rsidRDefault="001A230A" w:rsidP="001A230A">
      <w:r>
        <w:t>Sec. 4. Responsible Planning for Future Offshore Energy Potential. (a) The Secretary of Commerce shall, unless expressly required otherwise, refrain from designating or expanding any National Marine Sanctuary under the National Marine Sanctuaries Act, 16 U.S.C. 1431 et seq., unless the sanctuary designation or expansion proposal includes a timely, full accounting from the Department of the Interior of any energy or mineral resource potential within the designated area—including offshore energy from wind, oil, natural gas, methane hydrates, and any other sources that the Secretary of Commerce deems appropriate—and the potential impact the proposed designation or expansion will have on the development of those resources. The Secretary of the Interior shall provide any such accounting within 60 days of receiving a notification of intent to propose any such National Marine Sanctuary designation or expansion from the Secretary of Commerce.</w:t>
      </w:r>
    </w:p>
    <w:p w14:paraId="052D99F6" w14:textId="3910B724" w:rsidR="001A230A" w:rsidRDefault="001A230A" w:rsidP="001A230A">
      <w:r>
        <w:t>(b) The Secretary of Commerce, in consultation with the Secretary of Defense, the Secretary of the Interior, and the Secretary of Homeland Security, shall conduct a review of all designations and expansions of National Marine Sanctuaries, and of all designations and expansions of Marine National Monuments under the Antiquities Act of 1906, recently recodified at sections 320301 to 320303 of title 54, United States Code, designated or expanded within the 10-year period prior to the date of this order.</w:t>
      </w:r>
    </w:p>
    <w:p w14:paraId="70B94CE5" w14:textId="514EA4DD" w:rsidR="001A230A" w:rsidRDefault="001A230A" w:rsidP="001A230A">
      <w:r>
        <w:t>(i) The review under this subsection shall include:</w:t>
      </w:r>
    </w:p>
    <w:p w14:paraId="6FE33032" w14:textId="51178262" w:rsidR="001A230A" w:rsidRDefault="001A230A" w:rsidP="001A230A">
      <w:r>
        <w:t>(A) an analysis of the acreage affected and an analysis of the budgetary impacts of the costs of managing each National Marine Sanctuary or Marine National Monument designation or expansion;</w:t>
      </w:r>
    </w:p>
    <w:p w14:paraId="01F5D740" w14:textId="0DF1CA1D" w:rsidR="001A230A" w:rsidRDefault="001A230A" w:rsidP="001A230A">
      <w:r>
        <w:t>(B) an analysis of the adequacy of any required Federal, State, and tribal consultations conducted before the designations or expansions; and</w:t>
      </w:r>
    </w:p>
    <w:p w14:paraId="1A846E8D" w14:textId="0FE36C37" w:rsidR="001A230A" w:rsidRDefault="001A230A" w:rsidP="001A230A">
      <w:r>
        <w:t>(C) the opportunity costs associated with potential energy and mineral exploration and production from the Outer Continental Shelf, in addition to any impacts on production in the adjacent region.</w:t>
      </w:r>
    </w:p>
    <w:p w14:paraId="7D5B2376" w14:textId="22BB3DDE" w:rsidR="001A230A" w:rsidRDefault="001A230A" w:rsidP="001A230A">
      <w:r>
        <w:t>(ii) Within 180 days of the date of this order, the Secretary of Commerce, in consultation with the Secretary of Defense and the Secretary of the Interior, shall report the results of the review under this subsection to the Director of the Office of Management and Budget, the Chairman of the Council on Environmental Quality, and the Assistant to the President for Economic Policy.</w:t>
      </w:r>
    </w:p>
    <w:p w14:paraId="23BB8080" w14:textId="044136DB" w:rsidR="001A230A" w:rsidRDefault="001A230A" w:rsidP="001A230A">
      <w:r>
        <w:t>(c) To further streamline existing regulatory authorities, Executive Order 13754 of December 9, 2016 (Northern Bering Sea Climate Resilience), is hereby revoked.</w:t>
      </w:r>
    </w:p>
    <w:p w14:paraId="24A9274C" w14:textId="54E234CB" w:rsidR="001A230A" w:rsidRDefault="001A230A" w:rsidP="001A230A">
      <w:r>
        <w:t>Sec. 5. Modification of the Withdrawal of Areas of the Outer Continental Shelf from Leasing Disposition. The body text in each of the memoranda of withdrawal from disposition by leasing of the United States Outer Continental Shelf issued on December 20, 2016, January 27, 2015, and July 14, 2008, is modified to read, in its entirety, as follows:</w:t>
      </w:r>
    </w:p>
    <w:p w14:paraId="440A965B" w14:textId="0510234C" w:rsidR="001A230A" w:rsidRDefault="001A230A" w:rsidP="001A230A">
      <w:r>
        <w:t>"Under the authority vested in me as President of the United States, including section 12(a) of the Outer Continental Shelf Lands Act, 43 U.S.C. 1341(a), I hereby withdraw from disposition by leasing, for a time period without specific expiration, those areas of the Outer Continental Shelf designated as of July 14, 2008, as Marine Sanctuaries under the Marine Protection, Research, and Sanctuaries Act of 1972, 16 U.S.C. 1431–1434, 33 U.S.C. 1401 et seq."</w:t>
      </w:r>
    </w:p>
    <w:p w14:paraId="21A5265F" w14:textId="5726BC07" w:rsidR="001A230A" w:rsidRDefault="001A230A" w:rsidP="001A230A">
      <w:r>
        <w:t>Nothing in the withdrawal under this section affects any rights under existing leases in the affected areas.</w:t>
      </w:r>
    </w:p>
    <w:p w14:paraId="23D68C66" w14:textId="040832D6" w:rsidR="001A230A" w:rsidRDefault="001A230A" w:rsidP="001A230A">
      <w:r>
        <w:t>Sec. 6. Reconsideration of Notice to Lessees and Financial Assurance Regulatory Review. The Secretary of the Interior shall direct the Director of BOEM to take all necessary steps consistent with law to review BOEM's Notice to Lessees No. 2016–N01 of September 12, 2016 (Notice to Lessees and Operators of Federal Oil and Gas, and Sulfur Leases, and Holders of Pipeline Right-of-Way and Right-of-Use and Easement Grants in the Outer Continental Shelf), and determine whether modifications are necessary, and if so, to what extent, to ensure operator compliance with lease terms while minimizing unnecessary regulatory burdens. The Secretary of the Interior shall also review BOEM's financial assurance regulatory policy to determine the extent to which additional regulation is necessary.</w:t>
      </w:r>
    </w:p>
    <w:p w14:paraId="0DE426C7" w14:textId="4992EA7F" w:rsidR="001A230A" w:rsidRDefault="001A230A" w:rsidP="001A230A">
      <w:r>
        <w:t>Sec. 7. Reconsideration of Well Control Rule. The Secretary of the Interior shall review the Final Rule of the Bureau of Safety and Environmental Enforcement (BSEE) entitled "Oil and Gas and Sulfur Operations in the Outer Continental Shelf-Blowout Preventer Systems and Well Control," 81 Fed. Reg. 25888 (April 29, 2016), for consistency with the policy set forth in section 2 of this order, and shall publish for notice and comment a proposed rule revising that rule, if appropriate and as consistent with law. The Secretary of the Interior shall also take all appropriate action to lawfully revise any related rules and guidance for consistency with the policy set forth in section 2 of this order. Additionally, the Secretary of the Interior shall review BSEE's regulatory regime for offshore operators to determine the extent to which additional regulation is necessary.</w:t>
      </w:r>
    </w:p>
    <w:p w14:paraId="486C0C4C" w14:textId="243AF12A" w:rsidR="001A230A" w:rsidRDefault="001A230A" w:rsidP="001A230A">
      <w:r>
        <w:t>Sec. 8. Reconsideration of Proposed Offshore Air Rule. The Secretary of the Interior shall take all steps necessary to review BOEM's Proposed Rule entitled "Air Quality Control, Reporting, and Compliance," 81 Fed. Reg. 19718 (April 5, 2016), along with any related rules and guidance, and, if appropriate, shall, as soon as practicable and consistent with law, consider whether the proposed rule, and any related rules and guidance, should be revised or withdrawn.</w:t>
      </w:r>
    </w:p>
    <w:p w14:paraId="055E1C70" w14:textId="0442A8BC" w:rsidR="001A230A" w:rsidRDefault="001A230A" w:rsidP="001A230A">
      <w:r>
        <w:t>Sec. 9. Expedited Consideration of Incidental Harassment Authorizations, Incidental-Take, and Seismic Survey Permits. The Secretary of the Interior and the Secretary of Commerce shall, to the maximum extent permitted by law, expedite all stages of consideration of Incidental Take Authorization requests, including Incidental Harassment Authorizations and Letters of Authorization, and Seismic Survey permit applications under the Outer Continental Shelf Lands Act, 43 U.S.C. 1331 et seq., and the Marine Mammal Protection Act, 16 U.S.C. 1361 et seq.</w:t>
      </w:r>
    </w:p>
    <w:p w14:paraId="188D6B5C" w14:textId="0C4FEAEC" w:rsidR="001A230A" w:rsidRDefault="001A230A" w:rsidP="001A230A">
      <w:r>
        <w:t>Sec. 10. Review of National Oceanic and Atmospheric Administration (NOAA) Technical Memorandum NMFS–OPR–55. The Secretary of Commerce shall review NOAA's Technical Memorandum NMFS–OPR–55 of July 2016 (Technical Guidance for Assessing the Effects of Anthropogenic Sound on Marine Mammal Hearing) for consistency with the policy set forth in section 2 of this order and, after consultation with the appropriate Federal agencies, take all steps permitted by law to rescind or revise that guidance, if appropriate.</w:t>
      </w:r>
    </w:p>
    <w:p w14:paraId="36EA9BC6" w14:textId="70F4232B" w:rsidR="001A230A" w:rsidRDefault="001A230A" w:rsidP="001A230A">
      <w:r w:rsidRPr="001A230A">
        <w:rPr>
          <w:rStyle w:val="StyleUnderline"/>
          <w:highlight w:val="cyan"/>
        </w:rPr>
        <w:t>Sec. 11. Review of Offshore Arctic Drilling Rule</w:t>
      </w:r>
      <w:r>
        <w:t>. The Secretary of the Interior shall immediately take all steps necessary to review the Final Rule entitled "Oil and Gas and Sulfur Operations on the Outer Continental Shelf—Requirements for Exploratory Drilling on the Arctic Outer Continental Shelf," 81 Fed. Reg. 46478 (July 15, 2016), and, if appropriate, shall, as soon as practicable and consistent with law, publish for notice and comment a proposed rule suspending, revising, or rescinding this rule.</w:t>
      </w:r>
    </w:p>
    <w:p w14:paraId="7057AA17" w14:textId="60F614BE" w:rsidR="001A230A" w:rsidRDefault="001A230A" w:rsidP="001A230A">
      <w:r>
        <w:t>Sec. 12. Definition. As used in this order, "Outer Continental Shelf Planning Areas, as designated by the Bureau of Ocean Energy Management" means those areas delineated in the diagrams on pages S–5 and S–8 of the 2017–2022 Outer Continental Shelf Oil and Gas Leasing Draft Proposed Program, as published by the BOEM in January 2015, with the exception of any buffer zones included in such planning documents.</w:t>
      </w:r>
    </w:p>
    <w:p w14:paraId="558357BD" w14:textId="5B869B0F" w:rsidR="001A230A" w:rsidRDefault="001A230A" w:rsidP="001A230A">
      <w:r>
        <w:t>Sec. 13. General Provisions. (a) Nothing in this order shall be construed to impair or otherwise affect:</w:t>
      </w:r>
    </w:p>
    <w:p w14:paraId="05C895C0" w14:textId="55F766B7" w:rsidR="001A230A" w:rsidRDefault="001A230A" w:rsidP="001A230A">
      <w:r>
        <w:t>(i) the authority granted by law to an executive department or agency, or the head thereof; or</w:t>
      </w:r>
    </w:p>
    <w:p w14:paraId="7B02AAE5" w14:textId="0F2C5346" w:rsidR="001A230A" w:rsidRDefault="001A230A" w:rsidP="001A230A">
      <w:r>
        <w:t>(ii) the functions of the Director of the Office of Management and Budget relating to budgetary, administrative, or legislative proposals.</w:t>
      </w:r>
    </w:p>
    <w:p w14:paraId="68525FDD" w14:textId="32836146" w:rsidR="001A230A" w:rsidRDefault="001A230A" w:rsidP="001A230A">
      <w:r>
        <w:t>(b) This order shall be implemented consistent with applicable law and subject to the availability of appropriations.</w:t>
      </w:r>
    </w:p>
    <w:p w14:paraId="5EC33A6C" w14:textId="753780C9" w:rsidR="001A230A" w:rsidRDefault="001A230A" w:rsidP="001A230A">
      <w:r>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0F17B34A" w14:textId="1511E24C" w:rsidR="001A230A" w:rsidRPr="001A230A" w:rsidRDefault="001A230A" w:rsidP="001A230A">
      <w:r>
        <w:t xml:space="preserve">Donald J. Trump.    </w:t>
      </w:r>
    </w:p>
    <w:p w14:paraId="2F813ABE" w14:textId="77777777" w:rsidR="001A230A" w:rsidRDefault="001A230A" w:rsidP="001A230A"/>
    <w:p w14:paraId="5FE65CA0" w14:textId="7AF65AF3" w:rsidR="001A230A" w:rsidRDefault="001A230A" w:rsidP="001A230A">
      <w:pPr>
        <w:pStyle w:val="Heading3"/>
      </w:pPr>
      <w:r>
        <w:t xml:space="preserve">AT: </w:t>
      </w:r>
      <w:r w:rsidR="001F60D4">
        <w:t>“</w:t>
      </w:r>
      <w:r>
        <w:t>Top consulting firms</w:t>
      </w:r>
      <w:r w:rsidR="001F60D4">
        <w:t>”</w:t>
      </w:r>
    </w:p>
    <w:p w14:paraId="35E5B1DA" w14:textId="77777777" w:rsidR="001A230A" w:rsidRDefault="001A230A" w:rsidP="001A230A"/>
    <w:p w14:paraId="2F661FEF" w14:textId="5BF20338" w:rsidR="001A230A" w:rsidRDefault="001A230A" w:rsidP="001A230A">
      <w:pPr>
        <w:pStyle w:val="Heading4"/>
      </w:pPr>
      <w:r>
        <w:t xml:space="preserve">Deloitte’s </w:t>
      </w:r>
      <w:r w:rsidR="00137A0F">
        <w:t>almost as big of a con as</w:t>
      </w:r>
      <w:r>
        <w:t xml:space="preserve"> </w:t>
      </w:r>
      <w:r w:rsidR="001F60D4">
        <w:t>T-minerals</w:t>
      </w:r>
    </w:p>
    <w:p w14:paraId="335362A3" w14:textId="4CD75EB1" w:rsidR="001A230A" w:rsidRDefault="001A230A" w:rsidP="001A230A">
      <w:r>
        <w:t xml:space="preserve">Henry </w:t>
      </w:r>
      <w:r w:rsidRPr="001A230A">
        <w:rPr>
          <w:rStyle w:val="Style13ptBold"/>
        </w:rPr>
        <w:t>Mance</w:t>
      </w:r>
      <w:r>
        <w:t>, 20</w:t>
      </w:r>
      <w:r w:rsidRPr="001A230A">
        <w:rPr>
          <w:rStyle w:val="Style13ptBold"/>
        </w:rPr>
        <w:t xml:space="preserve">23 </w:t>
      </w:r>
      <w:r>
        <w:t xml:space="preserve">– Interview with Mariana Mazzucato, professor in the Economics of Innovation and Public Value at University College London (UCL) and founding director of the UCL Institute for Innovation and Public Purpose (IIPP). “Mariana Mazzucato: ‘The McKinseys and the Deloittes have no expertise in the areas that they’re advising in’” Financial Times, 2/12, </w:t>
      </w:r>
      <w:hyperlink r:id="rId11" w:history="1">
        <w:r w:rsidR="00A12E23" w:rsidRPr="0086251C">
          <w:rPr>
            <w:rStyle w:val="Hyperlink"/>
          </w:rPr>
          <w:t>https://www.ft.com/content/fb1254dd-a011-44cc-bde9-a434e5a09fb4</w:t>
        </w:r>
      </w:hyperlink>
      <w:r w:rsidR="00A12E23">
        <w:t xml:space="preserve">  //DH</w:t>
      </w:r>
    </w:p>
    <w:p w14:paraId="1BC8568A" w14:textId="77777777" w:rsidR="001A230A" w:rsidRDefault="001A230A" w:rsidP="001A230A"/>
    <w:p w14:paraId="38E1C122" w14:textId="4F697795" w:rsidR="001A230A" w:rsidRDefault="001A230A" w:rsidP="001A230A">
      <w:r w:rsidRPr="001A230A">
        <w:rPr>
          <w:rStyle w:val="StyleUnderline"/>
        </w:rPr>
        <w:t>The Big Con</w:t>
      </w:r>
      <w:r>
        <w:t xml:space="preserve"> of the book’s title is not a crime; </w:t>
      </w:r>
      <w:r w:rsidRPr="001A230A">
        <w:rPr>
          <w:rStyle w:val="StyleUnderline"/>
        </w:rPr>
        <w:t>it’s a confidence trick. Consultancies</w:t>
      </w:r>
      <w:r>
        <w:t xml:space="preserve"> and outsourcers, Mazzucato argues, </w:t>
      </w:r>
      <w:r w:rsidRPr="001A230A">
        <w:rPr>
          <w:rStyle w:val="StyleUnderline"/>
        </w:rPr>
        <w:t>know less than they claim</w:t>
      </w:r>
      <w:r>
        <w:t xml:space="preserve">, </w:t>
      </w:r>
      <w:r w:rsidRPr="001A230A">
        <w:rPr>
          <w:rStyle w:val="StyleUnderline"/>
        </w:rPr>
        <w:t>cost more than they seem to</w:t>
      </w:r>
      <w:r>
        <w:t>, and — over the long term — prevent the public sector developing in-house capabilities. “We’re not against consultants. The problem is when an industry [has] no incentive to get government to be independent. A therapist who has their client in therapy forever obviously isn’t a very good therapist.” Consultants are not “neutral” about the role of the state, either, Mazzucato argues, citing their private sector work. They promoted slimming the state after 2008.</w:t>
      </w:r>
    </w:p>
    <w:p w14:paraId="500C21C1" w14:textId="1C1D7C14" w:rsidR="001A230A" w:rsidRDefault="001A230A" w:rsidP="001A230A">
      <w:r>
        <w:t>On both sides of the Atlantic, advocates of state action like Mazzucato are in the ascendancy. But she worries that there is still an unwillingness to invest in the bureaucracy itself. “The state is back, if you look at the figures.” The EU has a €2tn recovery plan. Mazzucato despairs that, in Italy, even under “a great leader” like Mario Draghi, the plan for EU funds was guided by McKinsey. The US spent $5tn in Covid aid. “It’s going to be wasted if we don’t know how to govern that.”</w:t>
      </w:r>
    </w:p>
    <w:p w14:paraId="2EF8604A" w14:textId="54C4840B" w:rsidR="001A230A" w:rsidRDefault="001A230A" w:rsidP="001A230A">
      <w:r>
        <w:t>Born in Italy, raised in the US, Mazzucato has lived in the UK for 22 years. She is charismatic and media-savvy. Before we meet, I receive an email instructing me to refer to her as a professor, not an economist. I assume this is a status game, but she laughs it off as a point of principle. “I’m proud to be an academic.”</w:t>
      </w:r>
    </w:p>
    <w:p w14:paraId="133AD88B" w14:textId="120A8DB0" w:rsidR="001A230A" w:rsidRDefault="001A230A" w:rsidP="001A230A">
      <w:r>
        <w:t>Mazzucato’s work has pushed back against post-financial crisis austerity, and the theory that the private sector knows best. “For the past fifty years, the Chicago school kind of economics, new public management, public choice theory has in some way reduced our faith in what government can do.” Government was “there at best to fix market failures”.</w:t>
      </w:r>
    </w:p>
    <w:p w14:paraId="266401CA" w14:textId="39EA5DCC" w:rsidR="001A230A" w:rsidRDefault="001A230A" w:rsidP="001A230A">
      <w:r>
        <w:t>Her 2013 book The Entrepreneurial State detailed how governments had historically done much more, seeding technologies, including the internet and electric cars. Although she places herself on the centre-left, her ideas have appealed to those on both the left and right. Mazzucato worked with Scotland’s first minister, Nicola Sturgeon, to set up the Scottish National Investment Bank. She missed going to Davos this year because she was due to fly to Barbados to work with its premier Mia Mottley, and had to juggle childcare with her husband. She has four children with Carlo Cresto-Dina, an “artsy-fartsy” film producer whose latest film, Le Pupille, is nominated for an Oscar.</w:t>
      </w:r>
    </w:p>
    <w:p w14:paraId="5E5726CC" w14:textId="76533109" w:rsidR="001A230A" w:rsidRDefault="001A230A" w:rsidP="001A230A">
      <w:r>
        <w:t>To highlight the risk of consultants, her current theme, Mazzucato goes back to the Apollo space programme, where Nasa’s director of procurement in the 1960s warned that the agency was at risk of being “captured by brochuremanship”. In recent times, Covid has been a bonanza for consultants: the UK was paying Deloitte £1mn a day for its work on testing and contact tracing.</w:t>
      </w:r>
    </w:p>
    <w:p w14:paraId="14BE94DF" w14:textId="26ED3D3E" w:rsidR="001A230A" w:rsidRDefault="001A230A" w:rsidP="001A230A">
      <w:r>
        <w:t>In 2020 Theodore Agnew, then a UK government minister, complained that the reliance on consultancies “infantilises the civil service by depriving our brightest people of opportunities to work on some of the most challenging, fulfilling and crunchy issues”. But his proposed solution, an in-house government consultancy, has now been abandoned, because it struggled to match the range of external consultants. Mazzucato describes that as “a tragic” step, suggesting that Whitehall departments aren’t committed to reducing their spending on consultants.</w:t>
      </w:r>
    </w:p>
    <w:p w14:paraId="3BC8E5AD" w14:textId="7A810287" w:rsidR="001A230A" w:rsidRDefault="001A230A" w:rsidP="001A230A">
      <w:r>
        <w:t>The difficulty in criticising consultants, I suggest, is that the evidence is elusive. Consultants’ work is often opaque, and feeds into broader processes. French parliamentarians criticised McKinsey for its role in the country’s sluggish vaccine rollout. But how do we know that things wouldn’t have been even worse without the firm? “</w:t>
      </w:r>
      <w:r w:rsidRPr="001A230A">
        <w:rPr>
          <w:rStyle w:val="StyleUnderline"/>
        </w:rPr>
        <w:t xml:space="preserve">These are private companies, the McKinseys and the Deloittes, that have </w:t>
      </w:r>
      <w:r w:rsidRPr="001A230A">
        <w:rPr>
          <w:rStyle w:val="Emphasis"/>
        </w:rPr>
        <w:t>no expertise</w:t>
      </w:r>
      <w:r w:rsidRPr="001A230A">
        <w:rPr>
          <w:rStyle w:val="StyleUnderline"/>
        </w:rPr>
        <w:t xml:space="preserve"> in the areas that they’re advising in.”</w:t>
      </w:r>
    </w:p>
    <w:p w14:paraId="41CE14A0" w14:textId="66B4A91F" w:rsidR="001A230A" w:rsidRDefault="001A230A" w:rsidP="001A230A"/>
    <w:p w14:paraId="5C5E7BC1" w14:textId="77777777" w:rsidR="00A12E23" w:rsidRDefault="00A12E23" w:rsidP="001A230A"/>
    <w:p w14:paraId="2DAA7963" w14:textId="77777777" w:rsidR="001A230A" w:rsidRDefault="001A230A" w:rsidP="001A230A"/>
    <w:p w14:paraId="1BB46548" w14:textId="17853B70" w:rsidR="001A230A" w:rsidRDefault="001A230A" w:rsidP="00CB6EFE">
      <w:pPr>
        <w:pStyle w:val="Heading3"/>
      </w:pPr>
      <w:r>
        <w:t xml:space="preserve">AT: Limits </w:t>
      </w:r>
      <w:r w:rsidR="00CB6EFE">
        <w:t xml:space="preserve">good </w:t>
      </w:r>
      <w:r>
        <w:t>– Branson</w:t>
      </w:r>
      <w:r w:rsidR="00CB6EFE">
        <w:t xml:space="preserve"> / Intractor</w:t>
      </w:r>
    </w:p>
    <w:p w14:paraId="18330999" w14:textId="00DF2CAF" w:rsidR="00CB6EFE" w:rsidRPr="00CB6EFE" w:rsidRDefault="00EF486C" w:rsidP="00CB6EFE">
      <w:pPr>
        <w:pStyle w:val="Heading4"/>
      </w:pPr>
      <w:r>
        <w:t>Predictability outweighs</w:t>
      </w:r>
    </w:p>
    <w:p w14:paraId="52DF8BE2" w14:textId="6F4C12EE" w:rsidR="001A230A" w:rsidRDefault="00EF486C" w:rsidP="001A230A">
      <w:r>
        <w:t xml:space="preserve">Andrew B. </w:t>
      </w:r>
      <w:r w:rsidRPr="00EF486C">
        <w:rPr>
          <w:rStyle w:val="Style13ptBold"/>
        </w:rPr>
        <w:t>Ryan,</w:t>
      </w:r>
      <w:r>
        <w:t xml:space="preserve"> 200</w:t>
      </w:r>
      <w:r w:rsidRPr="00EF486C">
        <w:rPr>
          <w:rStyle w:val="Style13ptBold"/>
        </w:rPr>
        <w:t>4</w:t>
      </w:r>
      <w:r>
        <w:t xml:space="preserve"> – former NDT winner “Reviving Reasonability: Affirmative Topicality in the "Negative Age"” Debater’s Research Guide, </w:t>
      </w:r>
      <w:hyperlink r:id="rId12" w:history="1">
        <w:r w:rsidRPr="0086251C">
          <w:rPr>
            <w:rStyle w:val="Hyperlink"/>
          </w:rPr>
          <w:t>https://www.dropbox.com/scl/fi/6h23a18tokw694a1zagyb/2004-Ryan-Reviving-Reasonability-Affirmative-Topicality-in-the-Negative-Age-Debaters-Research-Guide.doc?rlkey=8gnq8op3j276mkfc15jw6umgk&amp;e=1</w:t>
        </w:r>
      </w:hyperlink>
      <w:r>
        <w:t xml:space="preserve">  //DH</w:t>
      </w:r>
    </w:p>
    <w:p w14:paraId="0818DD6B" w14:textId="77777777" w:rsidR="00EF486C" w:rsidRDefault="00EF486C" w:rsidP="001A230A"/>
    <w:p w14:paraId="5FC08D66" w14:textId="545A9A14" w:rsidR="00A12E23" w:rsidRPr="00A12E23" w:rsidRDefault="00EF486C" w:rsidP="00A12E23">
      <w:r>
        <w:t xml:space="preserve">Worst of all, when you combine the offense/defense limits paradigm with "what you do is what you justify", the negative is a walking contradiction that affirmatives never notice. </w:t>
      </w:r>
      <w:r w:rsidRPr="00EF486C">
        <w:rPr>
          <w:rStyle w:val="StyleUnderline"/>
        </w:rPr>
        <w:t>Prioritizing limits</w:t>
      </w:r>
      <w:r>
        <w:t xml:space="preserve"> over all other goals of topicality </w:t>
      </w:r>
      <w:r w:rsidRPr="00EF486C">
        <w:rPr>
          <w:rStyle w:val="StyleUnderline"/>
        </w:rPr>
        <w:t>justifies arbitrary interpretations</w:t>
      </w:r>
      <w:r>
        <w:t xml:space="preserve">. For example, if the negative can interpret a word in a nonsensical way to set a fair limit on the topic, why can't the affirmatively similarly counter-interpret the topic to where only their affirmative is topical? </w:t>
      </w:r>
      <w:r w:rsidRPr="00EF486C">
        <w:rPr>
          <w:rStyle w:val="StyleUnderline"/>
        </w:rPr>
        <w:t>Both sides lose in this equation because debate must be built on predictable ground: the topic is generated by a general consensus of what words mean, and affirmatives and negatives prepare accordingly</w:t>
      </w:r>
      <w:r>
        <w:t xml:space="preserve">. </w:t>
      </w:r>
      <w:r w:rsidRPr="00EF486C">
        <w:rPr>
          <w:rStyle w:val="StyleUnderline"/>
        </w:rPr>
        <w:t>Predictability is</w:t>
      </w:r>
      <w:r>
        <w:t xml:space="preserve"> almost always </w:t>
      </w:r>
      <w:r w:rsidRPr="00EF486C">
        <w:rPr>
          <w:rStyle w:val="StyleUnderline"/>
        </w:rPr>
        <w:t>more important than limits</w:t>
      </w:r>
      <w:r>
        <w:t xml:space="preserve"> in that respect </w:t>
      </w:r>
      <w:r w:rsidRPr="00EF486C">
        <w:rPr>
          <w:rStyle w:val="StyleUnderline"/>
        </w:rPr>
        <w:t xml:space="preserve">because topicality is about evenly dividing ground for both sides. Allowing debaters to upset the parity that predictable interpretations generate has </w:t>
      </w:r>
      <w:r w:rsidRPr="00EF486C">
        <w:rPr>
          <w:rStyle w:val="Emphasis"/>
        </w:rPr>
        <w:t>no stopping point</w:t>
      </w:r>
      <w:r>
        <w:t xml:space="preserve">. </w:t>
      </w:r>
      <w:r w:rsidRPr="00EF486C">
        <w:rPr>
          <w:rStyle w:val="StyleUnderline"/>
        </w:rPr>
        <w:t xml:space="preserve">The end result is that debaters will </w:t>
      </w:r>
      <w:r w:rsidRPr="00EF486C">
        <w:rPr>
          <w:rStyle w:val="Emphasis"/>
        </w:rPr>
        <w:t>mangle the resolution</w:t>
      </w:r>
      <w:r>
        <w:t xml:space="preserve"> in order </w:t>
      </w:r>
      <w:r w:rsidRPr="00EF486C">
        <w:rPr>
          <w:rStyle w:val="Emphasis"/>
        </w:rPr>
        <w:t>to gain a competitive advantage</w:t>
      </w:r>
      <w:r>
        <w:t>.</w:t>
      </w:r>
    </w:p>
    <w:p w14:paraId="4E8EA8AC" w14:textId="77777777" w:rsidR="001A230A" w:rsidRPr="001A230A" w:rsidRDefault="001A230A" w:rsidP="001A230A"/>
    <w:p w14:paraId="6580FD87" w14:textId="77777777" w:rsidR="00CB6EFE" w:rsidRPr="00CB6EFE" w:rsidRDefault="00CB6EFE" w:rsidP="00CB6EFE"/>
    <w:sectPr w:rsidR="00CB6EFE" w:rsidRPr="00CB6E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572D5" w14:textId="77777777" w:rsidR="00881014" w:rsidRDefault="00881014" w:rsidP="00066D2C">
      <w:r>
        <w:separator/>
      </w:r>
    </w:p>
  </w:endnote>
  <w:endnote w:type="continuationSeparator" w:id="0">
    <w:p w14:paraId="182F6C40" w14:textId="77777777" w:rsidR="00881014" w:rsidRDefault="0088101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3C4F1" w14:textId="77777777" w:rsidR="00881014" w:rsidRDefault="00881014" w:rsidP="00066D2C">
      <w:r>
        <w:separator/>
      </w:r>
    </w:p>
  </w:footnote>
  <w:footnote w:type="continuationSeparator" w:id="0">
    <w:p w14:paraId="4BFA62D7" w14:textId="77777777" w:rsidR="00881014" w:rsidRDefault="0088101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2232"/>
    <w:rsid w:val="00001C7E"/>
    <w:rsid w:val="0000487C"/>
    <w:rsid w:val="00011FEF"/>
    <w:rsid w:val="00013C8B"/>
    <w:rsid w:val="00023AEF"/>
    <w:rsid w:val="000250CA"/>
    <w:rsid w:val="00032119"/>
    <w:rsid w:val="00040A2E"/>
    <w:rsid w:val="000427BD"/>
    <w:rsid w:val="00043C82"/>
    <w:rsid w:val="00050713"/>
    <w:rsid w:val="00053D0F"/>
    <w:rsid w:val="00056966"/>
    <w:rsid w:val="00060798"/>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BFC"/>
    <w:rsid w:val="000A0198"/>
    <w:rsid w:val="000A0585"/>
    <w:rsid w:val="000A218A"/>
    <w:rsid w:val="000A239C"/>
    <w:rsid w:val="000A4AE6"/>
    <w:rsid w:val="000A5EE1"/>
    <w:rsid w:val="000B3425"/>
    <w:rsid w:val="000B5FBB"/>
    <w:rsid w:val="000B6974"/>
    <w:rsid w:val="000B6B3E"/>
    <w:rsid w:val="000B6BD3"/>
    <w:rsid w:val="000C137E"/>
    <w:rsid w:val="000D0D08"/>
    <w:rsid w:val="000D739E"/>
    <w:rsid w:val="000D7A2C"/>
    <w:rsid w:val="000E0913"/>
    <w:rsid w:val="000E13F7"/>
    <w:rsid w:val="000E2525"/>
    <w:rsid w:val="000E77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A0F"/>
    <w:rsid w:val="00140A6B"/>
    <w:rsid w:val="00144AD4"/>
    <w:rsid w:val="00146731"/>
    <w:rsid w:val="00146F2E"/>
    <w:rsid w:val="00150A2E"/>
    <w:rsid w:val="00152BF7"/>
    <w:rsid w:val="00163574"/>
    <w:rsid w:val="001645D4"/>
    <w:rsid w:val="0016567B"/>
    <w:rsid w:val="0016568A"/>
    <w:rsid w:val="00170A72"/>
    <w:rsid w:val="00171A2A"/>
    <w:rsid w:val="001723BA"/>
    <w:rsid w:val="00174217"/>
    <w:rsid w:val="00175A0C"/>
    <w:rsid w:val="00180A4E"/>
    <w:rsid w:val="00181F58"/>
    <w:rsid w:val="00186B65"/>
    <w:rsid w:val="00190CDA"/>
    <w:rsid w:val="00196816"/>
    <w:rsid w:val="0019779A"/>
    <w:rsid w:val="001977CD"/>
    <w:rsid w:val="0019782C"/>
    <w:rsid w:val="001A07A2"/>
    <w:rsid w:val="001A1422"/>
    <w:rsid w:val="001A230A"/>
    <w:rsid w:val="001A3079"/>
    <w:rsid w:val="001A4D9A"/>
    <w:rsid w:val="001A6960"/>
    <w:rsid w:val="001B1595"/>
    <w:rsid w:val="001B1762"/>
    <w:rsid w:val="001B18CF"/>
    <w:rsid w:val="001B2C27"/>
    <w:rsid w:val="001C0A69"/>
    <w:rsid w:val="001C48D7"/>
    <w:rsid w:val="001D1994"/>
    <w:rsid w:val="001D6D5C"/>
    <w:rsid w:val="001D7A6D"/>
    <w:rsid w:val="001E0435"/>
    <w:rsid w:val="001E4A64"/>
    <w:rsid w:val="001E61F5"/>
    <w:rsid w:val="001F0C01"/>
    <w:rsid w:val="001F1F4D"/>
    <w:rsid w:val="001F60D4"/>
    <w:rsid w:val="002005AF"/>
    <w:rsid w:val="00200C1A"/>
    <w:rsid w:val="002052E3"/>
    <w:rsid w:val="00210DC2"/>
    <w:rsid w:val="002110D6"/>
    <w:rsid w:val="00213D8E"/>
    <w:rsid w:val="002152F9"/>
    <w:rsid w:val="0021530A"/>
    <w:rsid w:val="002212A9"/>
    <w:rsid w:val="002234FB"/>
    <w:rsid w:val="00225437"/>
    <w:rsid w:val="002263A1"/>
    <w:rsid w:val="00232746"/>
    <w:rsid w:val="00236707"/>
    <w:rsid w:val="00241116"/>
    <w:rsid w:val="0024328E"/>
    <w:rsid w:val="0025040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4E27"/>
    <w:rsid w:val="002A57B1"/>
    <w:rsid w:val="002B2116"/>
    <w:rsid w:val="002B3050"/>
    <w:rsid w:val="002B5F0C"/>
    <w:rsid w:val="002C0731"/>
    <w:rsid w:val="002C0B33"/>
    <w:rsid w:val="002C30D9"/>
    <w:rsid w:val="002C5C4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D3"/>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232"/>
    <w:rsid w:val="003B4705"/>
    <w:rsid w:val="003B4F86"/>
    <w:rsid w:val="003B734D"/>
    <w:rsid w:val="003C177C"/>
    <w:rsid w:val="003C251E"/>
    <w:rsid w:val="003C3CCA"/>
    <w:rsid w:val="003C6CA9"/>
    <w:rsid w:val="003D3B44"/>
    <w:rsid w:val="003D4150"/>
    <w:rsid w:val="003D5367"/>
    <w:rsid w:val="003E1A39"/>
    <w:rsid w:val="003F3920"/>
    <w:rsid w:val="003F4D5F"/>
    <w:rsid w:val="003F719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74D"/>
    <w:rsid w:val="00491C5F"/>
    <w:rsid w:val="0049341D"/>
    <w:rsid w:val="00493AA8"/>
    <w:rsid w:val="004A2B4E"/>
    <w:rsid w:val="004A40AB"/>
    <w:rsid w:val="004A539A"/>
    <w:rsid w:val="004A74B8"/>
    <w:rsid w:val="004B3C97"/>
    <w:rsid w:val="004B4D3B"/>
    <w:rsid w:val="004B5436"/>
    <w:rsid w:val="004C2990"/>
    <w:rsid w:val="004C5D85"/>
    <w:rsid w:val="004C5E96"/>
    <w:rsid w:val="004C5F82"/>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2B6"/>
    <w:rsid w:val="00500F93"/>
    <w:rsid w:val="005015BF"/>
    <w:rsid w:val="00503593"/>
    <w:rsid w:val="005036B1"/>
    <w:rsid w:val="00511177"/>
    <w:rsid w:val="005125C9"/>
    <w:rsid w:val="00515BDD"/>
    <w:rsid w:val="00521B9F"/>
    <w:rsid w:val="005268F8"/>
    <w:rsid w:val="0053626E"/>
    <w:rsid w:val="00544936"/>
    <w:rsid w:val="005449A8"/>
    <w:rsid w:val="00545F06"/>
    <w:rsid w:val="0055242A"/>
    <w:rsid w:val="005525AE"/>
    <w:rsid w:val="005546C5"/>
    <w:rsid w:val="005558FC"/>
    <w:rsid w:val="0055785E"/>
    <w:rsid w:val="00557B59"/>
    <w:rsid w:val="00565142"/>
    <w:rsid w:val="00567505"/>
    <w:rsid w:val="00567D6A"/>
    <w:rsid w:val="00567D90"/>
    <w:rsid w:val="00571BC2"/>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A1"/>
    <w:rsid w:val="005D3400"/>
    <w:rsid w:val="005D3778"/>
    <w:rsid w:val="005D388F"/>
    <w:rsid w:val="005D45F4"/>
    <w:rsid w:val="005D700C"/>
    <w:rsid w:val="005E0F22"/>
    <w:rsid w:val="005E43F7"/>
    <w:rsid w:val="005E5941"/>
    <w:rsid w:val="005E78A2"/>
    <w:rsid w:val="005F5E14"/>
    <w:rsid w:val="00606199"/>
    <w:rsid w:val="00622773"/>
    <w:rsid w:val="00622C58"/>
    <w:rsid w:val="0062614B"/>
    <w:rsid w:val="006266E2"/>
    <w:rsid w:val="0063037B"/>
    <w:rsid w:val="00632C54"/>
    <w:rsid w:val="00635616"/>
    <w:rsid w:val="00641E99"/>
    <w:rsid w:val="006463F8"/>
    <w:rsid w:val="00650C88"/>
    <w:rsid w:val="0065258E"/>
    <w:rsid w:val="00655035"/>
    <w:rsid w:val="00656814"/>
    <w:rsid w:val="00657412"/>
    <w:rsid w:val="00657A00"/>
    <w:rsid w:val="006633F4"/>
    <w:rsid w:val="0066638E"/>
    <w:rsid w:val="00666CC0"/>
    <w:rsid w:val="00673C22"/>
    <w:rsid w:val="0067482D"/>
    <w:rsid w:val="0067732F"/>
    <w:rsid w:val="00681007"/>
    <w:rsid w:val="0068122B"/>
    <w:rsid w:val="00681DD9"/>
    <w:rsid w:val="00682252"/>
    <w:rsid w:val="00682B36"/>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AC7"/>
    <w:rsid w:val="006F3768"/>
    <w:rsid w:val="006F71DE"/>
    <w:rsid w:val="00704573"/>
    <w:rsid w:val="00705106"/>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1F3"/>
    <w:rsid w:val="007750DF"/>
    <w:rsid w:val="00777C19"/>
    <w:rsid w:val="00782487"/>
    <w:rsid w:val="00784C8D"/>
    <w:rsid w:val="00785E47"/>
    <w:rsid w:val="007873F5"/>
    <w:rsid w:val="0078760F"/>
    <w:rsid w:val="0079136A"/>
    <w:rsid w:val="00792AD8"/>
    <w:rsid w:val="00792D84"/>
    <w:rsid w:val="00795030"/>
    <w:rsid w:val="00795A26"/>
    <w:rsid w:val="007A00CB"/>
    <w:rsid w:val="007A147E"/>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C66"/>
    <w:rsid w:val="007F55A4"/>
    <w:rsid w:val="007F7C5E"/>
    <w:rsid w:val="00800BF1"/>
    <w:rsid w:val="00803BC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014"/>
    <w:rsid w:val="0089108B"/>
    <w:rsid w:val="00892EE6"/>
    <w:rsid w:val="008931B4"/>
    <w:rsid w:val="008938BB"/>
    <w:rsid w:val="008973A2"/>
    <w:rsid w:val="008A0E76"/>
    <w:rsid w:val="008A42FE"/>
    <w:rsid w:val="008A4F23"/>
    <w:rsid w:val="008A713B"/>
    <w:rsid w:val="008B14FD"/>
    <w:rsid w:val="008B4FBE"/>
    <w:rsid w:val="008B6039"/>
    <w:rsid w:val="008C2555"/>
    <w:rsid w:val="008C29FB"/>
    <w:rsid w:val="008C5B87"/>
    <w:rsid w:val="008D0448"/>
    <w:rsid w:val="008D0677"/>
    <w:rsid w:val="008D0C9E"/>
    <w:rsid w:val="008D2F03"/>
    <w:rsid w:val="008D5C41"/>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3C9"/>
    <w:rsid w:val="0096524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E23"/>
    <w:rsid w:val="00A16440"/>
    <w:rsid w:val="00A169AC"/>
    <w:rsid w:val="00A216C2"/>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82C"/>
    <w:rsid w:val="00A74365"/>
    <w:rsid w:val="00A745BF"/>
    <w:rsid w:val="00A74A79"/>
    <w:rsid w:val="00A74E46"/>
    <w:rsid w:val="00A81524"/>
    <w:rsid w:val="00A81D60"/>
    <w:rsid w:val="00A90163"/>
    <w:rsid w:val="00A96E7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4E4"/>
    <w:rsid w:val="00AF63BF"/>
    <w:rsid w:val="00AF6B3B"/>
    <w:rsid w:val="00AF79DD"/>
    <w:rsid w:val="00AF7F2C"/>
    <w:rsid w:val="00AF7F46"/>
    <w:rsid w:val="00B0178C"/>
    <w:rsid w:val="00B019F0"/>
    <w:rsid w:val="00B01A73"/>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A6D"/>
    <w:rsid w:val="00B53DB3"/>
    <w:rsid w:val="00B54E1C"/>
    <w:rsid w:val="00B66AF2"/>
    <w:rsid w:val="00B72848"/>
    <w:rsid w:val="00B74544"/>
    <w:rsid w:val="00B768B4"/>
    <w:rsid w:val="00B77754"/>
    <w:rsid w:val="00B81054"/>
    <w:rsid w:val="00B820DB"/>
    <w:rsid w:val="00B837F0"/>
    <w:rsid w:val="00B83896"/>
    <w:rsid w:val="00B860A9"/>
    <w:rsid w:val="00B97264"/>
    <w:rsid w:val="00BA0143"/>
    <w:rsid w:val="00BA227A"/>
    <w:rsid w:val="00BA4C69"/>
    <w:rsid w:val="00BA61AF"/>
    <w:rsid w:val="00BB1630"/>
    <w:rsid w:val="00BB514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273"/>
    <w:rsid w:val="00BF4E3B"/>
    <w:rsid w:val="00BF5454"/>
    <w:rsid w:val="00BF74F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2C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EFE"/>
    <w:rsid w:val="00CC1BDF"/>
    <w:rsid w:val="00CC21EC"/>
    <w:rsid w:val="00CC482B"/>
    <w:rsid w:val="00CD105E"/>
    <w:rsid w:val="00CD4AE6"/>
    <w:rsid w:val="00CD5211"/>
    <w:rsid w:val="00CD57F9"/>
    <w:rsid w:val="00CD5CD1"/>
    <w:rsid w:val="00CE0BB8"/>
    <w:rsid w:val="00CE54E0"/>
    <w:rsid w:val="00CE5835"/>
    <w:rsid w:val="00CE6FA1"/>
    <w:rsid w:val="00CF09CA"/>
    <w:rsid w:val="00CF1938"/>
    <w:rsid w:val="00CF24CD"/>
    <w:rsid w:val="00D01F0A"/>
    <w:rsid w:val="00D13012"/>
    <w:rsid w:val="00D14159"/>
    <w:rsid w:val="00D14990"/>
    <w:rsid w:val="00D15B2D"/>
    <w:rsid w:val="00D24268"/>
    <w:rsid w:val="00D25BE6"/>
    <w:rsid w:val="00D321DB"/>
    <w:rsid w:val="00D32460"/>
    <w:rsid w:val="00D32EBF"/>
    <w:rsid w:val="00D343B3"/>
    <w:rsid w:val="00D35073"/>
    <w:rsid w:val="00D36085"/>
    <w:rsid w:val="00D421D9"/>
    <w:rsid w:val="00D438BF"/>
    <w:rsid w:val="00D47529"/>
    <w:rsid w:val="00D47713"/>
    <w:rsid w:val="00D51103"/>
    <w:rsid w:val="00D53B1C"/>
    <w:rsid w:val="00D55A7A"/>
    <w:rsid w:val="00D568D5"/>
    <w:rsid w:val="00D56B6F"/>
    <w:rsid w:val="00D57878"/>
    <w:rsid w:val="00D60AB7"/>
    <w:rsid w:val="00D6226F"/>
    <w:rsid w:val="00D70E15"/>
    <w:rsid w:val="00D714E5"/>
    <w:rsid w:val="00D7173A"/>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384"/>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6BD"/>
    <w:rsid w:val="00E72955"/>
    <w:rsid w:val="00E76D4C"/>
    <w:rsid w:val="00E81786"/>
    <w:rsid w:val="00E85DE5"/>
    <w:rsid w:val="00E90EC0"/>
    <w:rsid w:val="00E944C1"/>
    <w:rsid w:val="00E97D8B"/>
    <w:rsid w:val="00EA5878"/>
    <w:rsid w:val="00EA7F55"/>
    <w:rsid w:val="00EB1CE6"/>
    <w:rsid w:val="00EB1F19"/>
    <w:rsid w:val="00EB378B"/>
    <w:rsid w:val="00EB7375"/>
    <w:rsid w:val="00EC06EA"/>
    <w:rsid w:val="00EC2660"/>
    <w:rsid w:val="00EC3057"/>
    <w:rsid w:val="00EC47C5"/>
    <w:rsid w:val="00ED087B"/>
    <w:rsid w:val="00ED12FB"/>
    <w:rsid w:val="00ED5626"/>
    <w:rsid w:val="00ED5EB9"/>
    <w:rsid w:val="00ED6BFE"/>
    <w:rsid w:val="00ED7FE5"/>
    <w:rsid w:val="00EE0176"/>
    <w:rsid w:val="00EE17BD"/>
    <w:rsid w:val="00EE27D8"/>
    <w:rsid w:val="00EE32BD"/>
    <w:rsid w:val="00EE5542"/>
    <w:rsid w:val="00EE6872"/>
    <w:rsid w:val="00EF0191"/>
    <w:rsid w:val="00EF09CC"/>
    <w:rsid w:val="00EF0F91"/>
    <w:rsid w:val="00EF486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115"/>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 w:val="00FF7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07A9A"/>
  <w15:chartTrackingRefBased/>
  <w15:docId w15:val="{538C6F0D-BF27-4F02-814C-629C5513B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230A"/>
    <w:pPr>
      <w:spacing w:after="0" w:line="240" w:lineRule="auto"/>
    </w:pPr>
    <w:rPr>
      <w:rFonts w:ascii="Calibri" w:hAnsi="Calibri" w:cs="Calibri"/>
    </w:rPr>
  </w:style>
  <w:style w:type="paragraph" w:styleId="Heading1">
    <w:name w:val="heading 1"/>
    <w:aliases w:val="Pocket"/>
    <w:basedOn w:val="Normal"/>
    <w:next w:val="Normal"/>
    <w:link w:val="Heading1Char"/>
    <w:qFormat/>
    <w:rsid w:val="003B223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223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B223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 Ch,ta,t"/>
    <w:basedOn w:val="Normal"/>
    <w:next w:val="Normal"/>
    <w:link w:val="Heading4Char"/>
    <w:uiPriority w:val="3"/>
    <w:qFormat/>
    <w:rsid w:val="003B223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223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B22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223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B223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B2232"/>
    <w:rPr>
      <w:color w:val="auto"/>
      <w:u w:val="none"/>
    </w:rPr>
  </w:style>
  <w:style w:type="character" w:customStyle="1" w:styleId="Heading1Char">
    <w:name w:val="Heading 1 Char"/>
    <w:aliases w:val="Pocket Char"/>
    <w:basedOn w:val="DefaultParagraphFont"/>
    <w:link w:val="Heading1"/>
    <w:rsid w:val="003B22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22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223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3B22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223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3B2232"/>
    <w:rPr>
      <w:b w:val="0"/>
      <w:sz w:val="22"/>
      <w:u w:val="single"/>
    </w:rPr>
  </w:style>
  <w:style w:type="character" w:styleId="Strong">
    <w:name w:val="Strong"/>
    <w:basedOn w:val="DefaultParagraphFont"/>
    <w:uiPriority w:val="22"/>
    <w:semiHidden/>
    <w:qFormat/>
    <w:rsid w:val="003B2232"/>
    <w:rPr>
      <w:b/>
      <w:bCs/>
    </w:rPr>
  </w:style>
  <w:style w:type="character" w:styleId="BookTitle">
    <w:name w:val="Book Title"/>
    <w:basedOn w:val="DefaultParagraphFont"/>
    <w:uiPriority w:val="33"/>
    <w:semiHidden/>
    <w:qFormat/>
    <w:rsid w:val="003B2232"/>
    <w:rPr>
      <w:b/>
      <w:bCs/>
      <w:i/>
      <w:iCs/>
      <w:spacing w:val="5"/>
    </w:rPr>
  </w:style>
  <w:style w:type="character" w:customStyle="1" w:styleId="Heading5Char">
    <w:name w:val="Heading 5 Char"/>
    <w:basedOn w:val="DefaultParagraphFont"/>
    <w:link w:val="Heading5"/>
    <w:uiPriority w:val="9"/>
    <w:semiHidden/>
    <w:rsid w:val="003B22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2232"/>
  </w:style>
  <w:style w:type="paragraph" w:styleId="Header">
    <w:name w:val="header"/>
    <w:basedOn w:val="Normal"/>
    <w:link w:val="HeaderChar"/>
    <w:uiPriority w:val="99"/>
    <w:semiHidden/>
    <w:rsid w:val="003B2232"/>
    <w:pPr>
      <w:tabs>
        <w:tab w:val="center" w:pos="4680"/>
        <w:tab w:val="right" w:pos="9360"/>
      </w:tabs>
    </w:pPr>
  </w:style>
  <w:style w:type="character" w:customStyle="1" w:styleId="HeaderChar">
    <w:name w:val="Header Char"/>
    <w:basedOn w:val="DefaultParagraphFont"/>
    <w:link w:val="Header"/>
    <w:uiPriority w:val="99"/>
    <w:semiHidden/>
    <w:rsid w:val="003B2232"/>
    <w:rPr>
      <w:rFonts w:ascii="Calibri" w:hAnsi="Calibri" w:cs="Calibri"/>
    </w:rPr>
  </w:style>
  <w:style w:type="paragraph" w:styleId="Footer">
    <w:name w:val="footer"/>
    <w:basedOn w:val="Normal"/>
    <w:link w:val="FooterChar"/>
    <w:uiPriority w:val="99"/>
    <w:semiHidden/>
    <w:rsid w:val="003B2232"/>
    <w:pPr>
      <w:tabs>
        <w:tab w:val="center" w:pos="4680"/>
        <w:tab w:val="right" w:pos="9360"/>
      </w:tabs>
    </w:pPr>
  </w:style>
  <w:style w:type="character" w:customStyle="1" w:styleId="FooterChar">
    <w:name w:val="Footer Char"/>
    <w:basedOn w:val="DefaultParagraphFont"/>
    <w:link w:val="Footer"/>
    <w:uiPriority w:val="99"/>
    <w:semiHidden/>
    <w:rsid w:val="003B2232"/>
    <w:rPr>
      <w:rFonts w:ascii="Calibri" w:hAnsi="Calibri" w:cs="Calibri"/>
    </w:rPr>
  </w:style>
  <w:style w:type="paragraph" w:styleId="BodyText">
    <w:name w:val="Body Text"/>
    <w:basedOn w:val="Normal"/>
    <w:link w:val="BodyTextChar"/>
    <w:uiPriority w:val="99"/>
    <w:semiHidden/>
    <w:unhideWhenUsed/>
    <w:rsid w:val="003B2232"/>
    <w:pPr>
      <w:spacing w:after="120"/>
    </w:pPr>
  </w:style>
  <w:style w:type="character" w:customStyle="1" w:styleId="BodyTextChar">
    <w:name w:val="Body Text Char"/>
    <w:basedOn w:val="DefaultParagraphFont"/>
    <w:link w:val="BodyText"/>
    <w:uiPriority w:val="99"/>
    <w:semiHidden/>
    <w:rsid w:val="003B2232"/>
    <w:rPr>
      <w:rFonts w:ascii="Calibri" w:hAnsi="Calibri" w:cs="Calibri"/>
    </w:rPr>
  </w:style>
  <w:style w:type="paragraph" w:styleId="NoSpacing">
    <w:name w:val="No Spacing"/>
    <w:link w:val="NoSpacingChar"/>
    <w:uiPriority w:val="99"/>
    <w:semiHidden/>
    <w:unhideWhenUsed/>
    <w:qFormat/>
    <w:rsid w:val="003B223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2232"/>
    <w:rPr>
      <w:rFonts w:ascii="Calibri" w:hAnsi="Calibri" w:cs="Calibri"/>
    </w:rPr>
  </w:style>
  <w:style w:type="character" w:styleId="Hyperlink">
    <w:name w:val="Hyperlink"/>
    <w:basedOn w:val="DefaultParagraphFont"/>
    <w:uiPriority w:val="99"/>
    <w:unhideWhenUsed/>
    <w:rsid w:val="003B2232"/>
    <w:rPr>
      <w:color w:val="0563C1" w:themeColor="hyperlink"/>
      <w:u w:val="single"/>
    </w:rPr>
  </w:style>
  <w:style w:type="character" w:styleId="UnresolvedMention">
    <w:name w:val="Unresolved Mention"/>
    <w:basedOn w:val="DefaultParagraphFont"/>
    <w:uiPriority w:val="99"/>
    <w:semiHidden/>
    <w:unhideWhenUsed/>
    <w:rsid w:val="003B2232"/>
    <w:rPr>
      <w:color w:val="605E5C"/>
      <w:shd w:val="clear" w:color="auto" w:fill="E1DFDD"/>
    </w:rPr>
  </w:style>
  <w:style w:type="paragraph" w:customStyle="1" w:styleId="textbold">
    <w:name w:val="text bold"/>
    <w:basedOn w:val="Normal"/>
    <w:link w:val="Emphasis"/>
    <w:autoRedefine/>
    <w:uiPriority w:val="8"/>
    <w:qFormat/>
    <w:rsid w:val="003B223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080805160452/http://www.ndtceda.com/pipermail/edebate/2007-May/071122.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ropbox.com/scl/fi/6h23a18tokw694a1zagyb/2004-Ryan-Reviving-Reasonability-Affirmative-Topicality-in-the-Negative-Age-Debaters-Research-Guide.doc?rlkey=8gnq8op3j276mkfc15jw6umgk&amp;e=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t.com/content/fb1254dd-a011-44cc-bde9-a434e5a09fb4" TargetMode="External"/><Relationship Id="rId5" Type="http://schemas.openxmlformats.org/officeDocument/2006/relationships/webSettings" Target="webSettings.xml"/><Relationship Id="rId10" Type="http://schemas.openxmlformats.org/officeDocument/2006/relationships/hyperlink" Target="https://www.govinfo.gov/content/pkg/USCODE-2017-title43/html/USCODE-2017-title43-chap29-subchapIII-sec1331.htm" TargetMode="External"/><Relationship Id="rId4" Type="http://schemas.openxmlformats.org/officeDocument/2006/relationships/settings" Target="settings.xml"/><Relationship Id="rId9" Type="http://schemas.openxmlformats.org/officeDocument/2006/relationships/hyperlink" Target="https://www.govinfo.gov/content/pkg/USCODE-2017-title43/html/USCODE-2017-title43-chap29-subchapIII-sec1331.ht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457</TotalTime>
  <Pages>1</Pages>
  <Words>5064</Words>
  <Characters>28869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Heidt, David</dc:creator>
  <cp:keywords>6.0.0</cp:keywords>
  <dc:description/>
  <cp:lastModifiedBy>Heidt, David</cp:lastModifiedBy>
  <cp:revision>57</cp:revision>
  <dcterms:created xsi:type="dcterms:W3CDTF">2025-07-08T13:04:00Z</dcterms:created>
  <dcterms:modified xsi:type="dcterms:W3CDTF">2025-07-09T00:34:00Z</dcterms:modified>
</cp:coreProperties>
</file>