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2168C" w14:textId="37F3FA22" w:rsidR="00177C2D" w:rsidRDefault="00177C2D" w:rsidP="00177C2D">
      <w:pPr>
        <w:pStyle w:val="Heading1"/>
      </w:pPr>
      <w:r>
        <w:t>Top Level</w:t>
      </w:r>
    </w:p>
    <w:p w14:paraId="3450CC64" w14:textId="1ABDF970" w:rsidR="004D63CA" w:rsidRPr="004D63CA" w:rsidRDefault="004D63CA" w:rsidP="004D63CA">
      <w:pPr>
        <w:jc w:val="center"/>
      </w:pPr>
      <w:r>
        <w:rPr>
          <w:noProof/>
        </w:rPr>
        <w:drawing>
          <wp:inline distT="0" distB="0" distL="0" distR="0" wp14:anchorId="051700C1" wp14:editId="5E848F07">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5"/>
                    <a:srcRect/>
                    <a:stretch>
                      <a:fillRect/>
                    </a:stretch>
                  </pic:blipFill>
                  <pic:spPr>
                    <a:xfrm>
                      <a:off x="0" y="0"/>
                      <a:ext cx="3571875" cy="5886450"/>
                    </a:xfrm>
                    <a:prstGeom prst="rect">
                      <a:avLst/>
                    </a:prstGeom>
                    <a:ln/>
                  </pic:spPr>
                </pic:pic>
              </a:graphicData>
            </a:graphic>
          </wp:inline>
        </w:drawing>
      </w:r>
    </w:p>
    <w:p w14:paraId="4718F2D3" w14:textId="77777777" w:rsidR="00177C2D" w:rsidRDefault="00177C2D" w:rsidP="00177C2D">
      <w:pPr>
        <w:pStyle w:val="Heading3"/>
      </w:pPr>
      <w:r>
        <w:t>Resolution Text</w:t>
      </w:r>
    </w:p>
    <w:p w14:paraId="23286BB6" w14:textId="77777777" w:rsidR="00177C2D" w:rsidRDefault="00177C2D" w:rsidP="00177C2D">
      <w:pPr>
        <w:pStyle w:val="Heading4"/>
      </w:pPr>
      <w:r w:rsidRPr="00355344">
        <w:t>Resolved: The United States federal government should significantly increase its exploration and/or development of the Arctic</w:t>
      </w:r>
    </w:p>
    <w:p w14:paraId="60B8DD89" w14:textId="77777777" w:rsidR="00177C2D" w:rsidRDefault="00177C2D" w:rsidP="00177C2D"/>
    <w:p w14:paraId="507EDE8C" w14:textId="260C3D22" w:rsidR="00177C2D" w:rsidRDefault="00177C2D" w:rsidP="006C6AF4">
      <w:pPr>
        <w:pStyle w:val="Heading2"/>
      </w:pPr>
      <w:r>
        <w:t>How to Debate Competition</w:t>
      </w:r>
    </w:p>
    <w:p w14:paraId="2F4E7CA5" w14:textId="74DF4E57" w:rsidR="006C6AF4" w:rsidRDefault="006C6AF4" w:rsidP="006C6AF4">
      <w:pPr>
        <w:pStyle w:val="Heading3"/>
      </w:pPr>
      <w:r>
        <w:t>Overview</w:t>
      </w:r>
    </w:p>
    <w:p w14:paraId="20FE6FAD" w14:textId="7ECDF2C0" w:rsidR="006C6AF4" w:rsidRDefault="006C6AF4" w:rsidP="006C6AF4">
      <w:pPr>
        <w:pStyle w:val="Heading4"/>
      </w:pPr>
      <w:r>
        <w:t xml:space="preserve">The core controversy of counterplan competition debates is whether the CP presents a legitimate opportunity cost to the plan. </w:t>
      </w:r>
      <w:r w:rsidR="00081A61">
        <w:t xml:space="preserve">In the context of “perm do the counterplan” debates, the affirmative will argue that the plan and counterplan are too similar for the CP to present a legitimate opportunity cost, and the negative will argue against this. </w:t>
      </w:r>
    </w:p>
    <w:p w14:paraId="4541AF8F" w14:textId="77777777" w:rsidR="009209EC" w:rsidRDefault="009209EC" w:rsidP="009209EC"/>
    <w:p w14:paraId="7B6FFA40" w14:textId="607E6921" w:rsidR="009209EC" w:rsidRDefault="009209EC" w:rsidP="009209EC">
      <w:pPr>
        <w:pStyle w:val="Heading3"/>
      </w:pPr>
      <w:r>
        <w:t>Textual Competition</w:t>
      </w:r>
    </w:p>
    <w:p w14:paraId="19E415DF" w14:textId="77777777" w:rsidR="00081A61" w:rsidRDefault="00081A61" w:rsidP="00081A61">
      <w:pPr>
        <w:pStyle w:val="Heading4"/>
      </w:pPr>
      <w:r>
        <w:t xml:space="preserve">Textual competition focuses on the actual words of the plan and counterplan texts. The counterplan is textually competitive if its text cannot be combined with the plan text without creating contradictions. </w:t>
      </w:r>
    </w:p>
    <w:p w14:paraId="37AD3BC7" w14:textId="77777777" w:rsidR="00081A61" w:rsidRDefault="00081A61" w:rsidP="00081A61"/>
    <w:p w14:paraId="236A6276" w14:textId="2E76F718" w:rsidR="00081A61" w:rsidRDefault="00081A61" w:rsidP="00081A61">
      <w:pPr>
        <w:pStyle w:val="Heading4"/>
      </w:pPr>
      <w:r>
        <w:t>For example, if the affirmative plan was “vote AFF” and the negative counterplan was “vote NEG,” those would obviously be textually incompatible.</w:t>
      </w:r>
    </w:p>
    <w:p w14:paraId="7061D0E0" w14:textId="77777777" w:rsidR="00081A61" w:rsidRPr="00081A61" w:rsidRDefault="00081A61" w:rsidP="00081A61"/>
    <w:p w14:paraId="04878FCD" w14:textId="61A24D44" w:rsidR="009209EC" w:rsidRDefault="00081A61" w:rsidP="00081A61">
      <w:pPr>
        <w:pStyle w:val="Heading4"/>
      </w:pPr>
      <w:r>
        <w:t xml:space="preserve">The Consult CP isn’t generally considered to be textually competitive because it only adds additional words that could easily be combined with the plan. </w:t>
      </w:r>
    </w:p>
    <w:p w14:paraId="3C8B3E7A" w14:textId="77777777" w:rsidR="00081A61" w:rsidRDefault="00081A61" w:rsidP="00081A61"/>
    <w:p w14:paraId="2143161F" w14:textId="4A8D3164" w:rsidR="00081A61" w:rsidRDefault="00081A61" w:rsidP="00081A61">
      <w:pPr>
        <w:pStyle w:val="Heading3"/>
      </w:pPr>
      <w:r>
        <w:t>Functional Competition</w:t>
      </w:r>
    </w:p>
    <w:p w14:paraId="4DBFD929" w14:textId="77777777" w:rsidR="008D7DE9" w:rsidRDefault="00081A61" w:rsidP="00081A61">
      <w:pPr>
        <w:pStyle w:val="Heading4"/>
      </w:pPr>
      <w:r>
        <w:t>Functional competition focuses on the substantive mechanisms of the both the plan and counterplan. Even if its wording is compatible with the plan, a counterplan is functionally competitive if it</w:t>
      </w:r>
      <w:r w:rsidR="008D7DE9">
        <w:t xml:space="preserve"> results in a different outcome or changes the process of the plan. If the plan and CP contain substantively incompatible functions, combining the two would result in a contradiction, and the CP is said to compete functionally.</w:t>
      </w:r>
    </w:p>
    <w:p w14:paraId="2C5FC061" w14:textId="53FAC75F" w:rsidR="00081A61" w:rsidRDefault="008D7DE9" w:rsidP="008D7DE9">
      <w:r>
        <w:t xml:space="preserve"> </w:t>
      </w:r>
    </w:p>
    <w:p w14:paraId="05F85787" w14:textId="1EB260CF" w:rsidR="008D7DE9" w:rsidRDefault="00907519" w:rsidP="008D7DE9">
      <w:pPr>
        <w:pStyle w:val="Heading4"/>
      </w:pPr>
      <w:r>
        <w:t xml:space="preserve">The Consult CP </w:t>
      </w:r>
      <w:r w:rsidRPr="00907519">
        <w:rPr>
          <w:u w:val="single"/>
        </w:rPr>
        <w:t>is</w:t>
      </w:r>
      <w:r>
        <w:t xml:space="preserve"> generally considered to be functionally competitive because “doing the plan” is a contradiction with “doing the plan </w:t>
      </w:r>
      <w:r w:rsidRPr="00907519">
        <w:rPr>
          <w:i/>
          <w:iCs w:val="0"/>
          <w:u w:val="single"/>
        </w:rPr>
        <w:t>if</w:t>
      </w:r>
      <w:r>
        <w:t xml:space="preserve"> the Arctic Council agrees.”</w:t>
      </w:r>
    </w:p>
    <w:p w14:paraId="6C56B862" w14:textId="77777777" w:rsidR="00907519" w:rsidRDefault="00907519" w:rsidP="00907519"/>
    <w:p w14:paraId="697131A4" w14:textId="4EC4FE0A" w:rsidR="00907519" w:rsidRDefault="00907519" w:rsidP="00907519">
      <w:pPr>
        <w:pStyle w:val="Heading3"/>
      </w:pPr>
      <w:r>
        <w:t>Controversy in Debates</w:t>
      </w:r>
    </w:p>
    <w:p w14:paraId="4264C73D" w14:textId="3E7E2AC5" w:rsidR="00907519" w:rsidRDefault="00907519" w:rsidP="00907519">
      <w:pPr>
        <w:pStyle w:val="Heading4"/>
      </w:pPr>
      <w:r>
        <w:t>When reading process CPs like the Consult CP, NEG teams prefer to argue that we should only evaluate competition based on function, rather than text only or text and function. If counterplans like Consult that add compatible words must be textually competitive, it’s virtually impossible for them to win that the CP is competitive.</w:t>
      </w:r>
    </w:p>
    <w:p w14:paraId="4E58B3B7" w14:textId="77777777" w:rsidR="00907519" w:rsidRDefault="00907519" w:rsidP="00907519"/>
    <w:p w14:paraId="7DFBAAB4" w14:textId="1C9EB6A8" w:rsidR="00907519" w:rsidRDefault="00907519" w:rsidP="00907519">
      <w:pPr>
        <w:pStyle w:val="Heading4"/>
      </w:pPr>
      <w:r>
        <w:t>When refuting process CPs like Consult, AFF teams will generally argue that counterplans should be both textually AND functionally competitive. This benefits the AFF by limiting out counterplans that result in very similar policies as the plan and are difficult to substantively refute.</w:t>
      </w:r>
    </w:p>
    <w:p w14:paraId="057C9A25" w14:textId="77777777" w:rsidR="00907519" w:rsidRDefault="00907519" w:rsidP="00907519"/>
    <w:p w14:paraId="589138C8" w14:textId="3D2788A6" w:rsidR="00907519" w:rsidRDefault="00907519" w:rsidP="00907519">
      <w:pPr>
        <w:pStyle w:val="Heading4"/>
      </w:pPr>
      <w:r>
        <w:t>AFF teams will rarely argue for only evaluating competition based on text because this standard is overly limiting for the NEG; if every counterplan must be textually incompatible with the plan, the number of legitimate counterplans the NEG could read drops significantly. To combat this, AFF teams argue that counterplans must meet both standards of competition as a middle ground.</w:t>
      </w:r>
    </w:p>
    <w:p w14:paraId="3DDA4B58" w14:textId="77777777" w:rsidR="00907519" w:rsidRPr="00907519" w:rsidRDefault="00907519" w:rsidP="00907519"/>
    <w:p w14:paraId="49D6A6D7" w14:textId="5BDD0DFB" w:rsidR="00177C2D" w:rsidRPr="00177C2D" w:rsidRDefault="00B17B0A" w:rsidP="00177C2D">
      <w:pPr>
        <w:pStyle w:val="Heading1"/>
      </w:pPr>
      <w:r>
        <w:t>Perm Blocks---Consult</w:t>
      </w:r>
    </w:p>
    <w:p w14:paraId="581D7458" w14:textId="7EF016D5" w:rsidR="00D27592" w:rsidRDefault="00D27592" w:rsidP="00D27592">
      <w:pPr>
        <w:pStyle w:val="Heading2"/>
      </w:pPr>
      <w:r>
        <w:t>AFF</w:t>
      </w:r>
    </w:p>
    <w:p w14:paraId="1FC3D04E" w14:textId="3090B7ED" w:rsidR="00D27592" w:rsidRDefault="00355344" w:rsidP="00D27592">
      <w:pPr>
        <w:pStyle w:val="Heading3"/>
      </w:pPr>
      <w:r>
        <w:t>2AC---</w:t>
      </w:r>
      <w:r w:rsidR="00D27592">
        <w:t>Perm: Do the CP</w:t>
      </w:r>
    </w:p>
    <w:p w14:paraId="77AACD3C" w14:textId="746C95F7" w:rsidR="00D27592" w:rsidRDefault="00D27592" w:rsidP="00D27592">
      <w:pPr>
        <w:pStyle w:val="Heading4"/>
      </w:pPr>
      <w:r>
        <w:t>Perm: do the counterplan.</w:t>
      </w:r>
    </w:p>
    <w:p w14:paraId="4D81C005" w14:textId="6623DD83" w:rsidR="00D27592" w:rsidRDefault="00D27592" w:rsidP="00D27592">
      <w:pPr>
        <w:pStyle w:val="Heading4"/>
      </w:pPr>
      <w:r>
        <w:t xml:space="preserve">Our </w:t>
      </w:r>
      <w:r w:rsidRPr="00177C2D">
        <w:rPr>
          <w:u w:val="single"/>
        </w:rPr>
        <w:t>interpretation</w:t>
      </w:r>
      <w:r>
        <w:t xml:space="preserve"> is that c</w:t>
      </w:r>
      <w:r w:rsidRPr="00D27592">
        <w:t xml:space="preserve">ounterplans </w:t>
      </w:r>
      <w:r>
        <w:t>must</w:t>
      </w:r>
      <w:r w:rsidRPr="00D27592">
        <w:t xml:space="preserve"> be</w:t>
      </w:r>
      <w:r w:rsidR="00355344">
        <w:t xml:space="preserve"> both</w:t>
      </w:r>
      <w:r w:rsidRPr="00D27592">
        <w:t xml:space="preserve"> </w:t>
      </w:r>
      <w:r w:rsidRPr="00355344">
        <w:rPr>
          <w:u w:val="single"/>
        </w:rPr>
        <w:t>textually</w:t>
      </w:r>
      <w:r w:rsidRPr="00D27592">
        <w:t xml:space="preserve"> AND </w:t>
      </w:r>
      <w:r w:rsidRPr="00355344">
        <w:rPr>
          <w:u w:val="single"/>
        </w:rPr>
        <w:t>functionally</w:t>
      </w:r>
      <w:r w:rsidRPr="00D27592">
        <w:t xml:space="preserve"> competitive</w:t>
      </w:r>
      <w:r>
        <w:t>.</w:t>
      </w:r>
      <w:r w:rsidRPr="00D27592">
        <w:t xml:space="preserve"> </w:t>
      </w:r>
      <w:r>
        <w:t>A</w:t>
      </w:r>
      <w:r w:rsidRPr="00D27592">
        <w:t xml:space="preserve">nything else justifies </w:t>
      </w:r>
      <w:r>
        <w:t xml:space="preserve">counterplans that just </w:t>
      </w:r>
      <w:r w:rsidRPr="00355344">
        <w:rPr>
          <w:u w:val="single"/>
        </w:rPr>
        <w:t>replace words</w:t>
      </w:r>
      <w:r>
        <w:t xml:space="preserve"> or </w:t>
      </w:r>
      <w:r w:rsidRPr="00355344">
        <w:rPr>
          <w:u w:val="single"/>
        </w:rPr>
        <w:t>delay</w:t>
      </w:r>
      <w:r>
        <w:t xml:space="preserve"> the plan. Those destroy </w:t>
      </w:r>
      <w:r w:rsidRPr="00355344">
        <w:rPr>
          <w:u w:val="single"/>
        </w:rPr>
        <w:t>clash</w:t>
      </w:r>
      <w:r>
        <w:t xml:space="preserve"> and </w:t>
      </w:r>
      <w:r w:rsidRPr="00355344">
        <w:rPr>
          <w:u w:val="single"/>
        </w:rPr>
        <w:t>fairness</w:t>
      </w:r>
      <w:r>
        <w:t xml:space="preserve"> because they </w:t>
      </w:r>
      <w:r w:rsidRPr="00D27592">
        <w:rPr>
          <w:u w:val="single"/>
        </w:rPr>
        <w:t>steal</w:t>
      </w:r>
      <w:r>
        <w:t xml:space="preserve"> the plan and force us to debate </w:t>
      </w:r>
      <w:r w:rsidRPr="00355344">
        <w:rPr>
          <w:u w:val="single"/>
        </w:rPr>
        <w:t>unpredictable</w:t>
      </w:r>
      <w:r>
        <w:t>, contrived opportunity costs.</w:t>
      </w:r>
    </w:p>
    <w:p w14:paraId="7D89CF83" w14:textId="77777777" w:rsidR="006C6AF4" w:rsidRDefault="006C6AF4" w:rsidP="006C6AF4"/>
    <w:p w14:paraId="0C90B154" w14:textId="5DEB90DB" w:rsidR="006C6AF4" w:rsidRDefault="006C6AF4" w:rsidP="006C6AF4">
      <w:pPr>
        <w:pStyle w:val="Heading3"/>
      </w:pPr>
      <w:r>
        <w:t>1AR---Perm: Do the CP</w:t>
      </w:r>
    </w:p>
    <w:p w14:paraId="07992801" w14:textId="4C91EEB2" w:rsidR="000B3896" w:rsidRDefault="00B17B0A" w:rsidP="000B3896">
      <w:pPr>
        <w:pStyle w:val="Heading4"/>
      </w:pPr>
      <w:r>
        <w:t xml:space="preserve">Extend our interp: </w:t>
      </w:r>
      <w:r w:rsidR="000B3896">
        <w:t xml:space="preserve">Counterplans must be functionally AND textually competitive. </w:t>
      </w:r>
      <w:r>
        <w:t>Our interp is best:</w:t>
      </w:r>
    </w:p>
    <w:p w14:paraId="19A06F41" w14:textId="0FC200C6" w:rsidR="000B3896" w:rsidRDefault="00B17B0A" w:rsidP="000B3896">
      <w:pPr>
        <w:pStyle w:val="Heading4"/>
      </w:pPr>
      <w:r>
        <w:t>1</w:t>
      </w:r>
      <w:r w:rsidR="000B3896">
        <w:t xml:space="preserve">. </w:t>
      </w:r>
      <w:r w:rsidR="00AC1345" w:rsidRPr="00AC1345">
        <w:rPr>
          <w:u w:val="single"/>
        </w:rPr>
        <w:t>EDUCATION</w:t>
      </w:r>
      <w:r w:rsidR="00AC1345">
        <w:t xml:space="preserve">. </w:t>
      </w:r>
      <w:r>
        <w:t xml:space="preserve">It forces </w:t>
      </w:r>
      <w:r w:rsidRPr="00B17B0A">
        <w:rPr>
          <w:u w:val="single"/>
        </w:rPr>
        <w:t>net benefits</w:t>
      </w:r>
      <w:r>
        <w:t xml:space="preserve"> that relate to the </w:t>
      </w:r>
      <w:r w:rsidRPr="00B17B0A">
        <w:rPr>
          <w:u w:val="single"/>
        </w:rPr>
        <w:t>plan</w:t>
      </w:r>
      <w:r w:rsidR="000B3896">
        <w:t xml:space="preserve">. </w:t>
      </w:r>
      <w:r>
        <w:t>Consult CPs</w:t>
      </w:r>
      <w:r w:rsidR="000B3896">
        <w:t xml:space="preserve"> </w:t>
      </w:r>
      <w:r>
        <w:t>can</w:t>
      </w:r>
      <w:r w:rsidR="000B3896">
        <w:t xml:space="preserve"> be read on any topic and aren’t </w:t>
      </w:r>
      <w:r w:rsidR="000B3896" w:rsidRPr="00BC14F1">
        <w:rPr>
          <w:u w:val="single"/>
        </w:rPr>
        <w:t>textually</w:t>
      </w:r>
      <w:r w:rsidR="000B3896">
        <w:t xml:space="preserve"> competitive even though they </w:t>
      </w:r>
      <w:r>
        <w:t>compete</w:t>
      </w:r>
      <w:r w:rsidR="000B3896">
        <w:t xml:space="preserve"> </w:t>
      </w:r>
      <w:r w:rsidR="000B3896" w:rsidRPr="00BC14F1">
        <w:rPr>
          <w:u w:val="single"/>
        </w:rPr>
        <w:t>functionally</w:t>
      </w:r>
      <w:r w:rsidR="000B3896">
        <w:t xml:space="preserve">. </w:t>
      </w:r>
      <w:r w:rsidR="00BC14F1">
        <w:t xml:space="preserve">Topic specificity </w:t>
      </w:r>
      <w:r w:rsidR="00BC14F1" w:rsidRPr="00BC14F1">
        <w:rPr>
          <w:u w:val="single"/>
        </w:rPr>
        <w:t>outweighs</w:t>
      </w:r>
      <w:r w:rsidR="00BC14F1">
        <w:t>:</w:t>
      </w:r>
      <w:r w:rsidR="000B3896">
        <w:t xml:space="preserve"> </w:t>
      </w:r>
      <w:r w:rsidR="00BC14F1">
        <w:t xml:space="preserve">It’s key to </w:t>
      </w:r>
      <w:r w:rsidR="00BC14F1" w:rsidRPr="00BC14F1">
        <w:rPr>
          <w:u w:val="single"/>
        </w:rPr>
        <w:t>topic education</w:t>
      </w:r>
      <w:r w:rsidR="00BC14F1">
        <w:t xml:space="preserve">, which is the </w:t>
      </w:r>
      <w:r w:rsidR="00BC14F1" w:rsidRPr="00BC14F1">
        <w:rPr>
          <w:u w:val="single"/>
        </w:rPr>
        <w:t>only benefit</w:t>
      </w:r>
      <w:r w:rsidR="00BC14F1">
        <w:t xml:space="preserve"> to this specific topic.</w:t>
      </w:r>
    </w:p>
    <w:p w14:paraId="18DF654C" w14:textId="076C9A3B" w:rsidR="00B17B0A" w:rsidRDefault="00BC14F1" w:rsidP="000B3896">
      <w:pPr>
        <w:pStyle w:val="Heading4"/>
      </w:pPr>
      <w:r>
        <w:t xml:space="preserve">2. </w:t>
      </w:r>
      <w:r w:rsidR="00AC1345" w:rsidRPr="00AC1345">
        <w:rPr>
          <w:u w:val="single"/>
        </w:rPr>
        <w:t>FAIRNESS</w:t>
      </w:r>
      <w:r w:rsidR="00AC1345">
        <w:t xml:space="preserve">. </w:t>
      </w:r>
      <w:r>
        <w:t>Th</w:t>
      </w:r>
      <w:r w:rsidR="00B17B0A">
        <w:t>ey justify “</w:t>
      </w:r>
      <w:r w:rsidR="00B17B0A" w:rsidRPr="00B17B0A">
        <w:rPr>
          <w:u w:val="single"/>
        </w:rPr>
        <w:t>penny less</w:t>
      </w:r>
      <w:r w:rsidR="00B17B0A">
        <w:t xml:space="preserve">” CPs </w:t>
      </w:r>
      <w:r w:rsidR="00B17B0A" w:rsidRPr="00B17B0A">
        <w:rPr>
          <w:u w:val="single"/>
        </w:rPr>
        <w:t>virtually identical</w:t>
      </w:r>
      <w:r>
        <w:t xml:space="preserve"> to the AFF</w:t>
      </w:r>
      <w:r w:rsidR="00B17B0A">
        <w:t xml:space="preserve">. </w:t>
      </w:r>
      <w:r>
        <w:t>CPs to d</w:t>
      </w:r>
      <w:r w:rsidR="00B17B0A">
        <w:t xml:space="preserve">o the plan “by spending a </w:t>
      </w:r>
      <w:r w:rsidR="00B17B0A" w:rsidRPr="00BC14F1">
        <w:rPr>
          <w:u w:val="single"/>
        </w:rPr>
        <w:t>penny less</w:t>
      </w:r>
      <w:r w:rsidR="00B17B0A">
        <w:t xml:space="preserve">” or do the plan “except in </w:t>
      </w:r>
      <w:r w:rsidR="00B17B0A" w:rsidRPr="00BC14F1">
        <w:rPr>
          <w:u w:val="single"/>
        </w:rPr>
        <w:t>one city</w:t>
      </w:r>
      <w:r w:rsidR="00B17B0A">
        <w:t>”</w:t>
      </w:r>
      <w:r>
        <w:t xml:space="preserve"> create an </w:t>
      </w:r>
      <w:r w:rsidRPr="00BC14F1">
        <w:rPr>
          <w:u w:val="single"/>
        </w:rPr>
        <w:t>unfair</w:t>
      </w:r>
      <w:r>
        <w:t xml:space="preserve"> AFF burden by forcing us to </w:t>
      </w:r>
      <w:r w:rsidRPr="00BC14F1">
        <w:rPr>
          <w:u w:val="single"/>
        </w:rPr>
        <w:t>predict</w:t>
      </w:r>
      <w:r>
        <w:t xml:space="preserve"> and </w:t>
      </w:r>
      <w:r w:rsidRPr="00BC14F1">
        <w:rPr>
          <w:u w:val="single"/>
        </w:rPr>
        <w:t>defend against</w:t>
      </w:r>
      <w:r>
        <w:t xml:space="preserve"> infinite differences that are </w:t>
      </w:r>
      <w:r w:rsidRPr="00BC14F1">
        <w:rPr>
          <w:u w:val="single"/>
        </w:rPr>
        <w:t>unrelated</w:t>
      </w:r>
      <w:r>
        <w:t xml:space="preserve"> to the topic. </w:t>
      </w:r>
    </w:p>
    <w:p w14:paraId="79A0F72B" w14:textId="77777777" w:rsidR="00AC1345" w:rsidRDefault="00AC1345" w:rsidP="00AC1345"/>
    <w:p w14:paraId="6657BA23" w14:textId="4E8CD03E" w:rsidR="00AC1345" w:rsidRDefault="00AC1345" w:rsidP="00AC1345">
      <w:pPr>
        <w:pStyle w:val="Heading4"/>
      </w:pPr>
      <w:r>
        <w:t>[</w:t>
      </w:r>
      <w:r w:rsidRPr="00AC1345">
        <w:rPr>
          <w:highlight w:val="yellow"/>
        </w:rPr>
        <w:t>Make sure to answer the NEG’s ‘ground’ and ‘limits’ offense in the 1AR too!</w:t>
      </w:r>
      <w:r>
        <w:t>]</w:t>
      </w:r>
    </w:p>
    <w:p w14:paraId="0E7D5B5F" w14:textId="77777777" w:rsidR="00AC1345" w:rsidRPr="00AC1345" w:rsidRDefault="00AC1345" w:rsidP="00AC1345"/>
    <w:p w14:paraId="535D42A8" w14:textId="120EDAB4" w:rsidR="009711F3" w:rsidRDefault="009711F3" w:rsidP="00355344">
      <w:pPr>
        <w:pStyle w:val="Heading3"/>
      </w:pPr>
      <w:r>
        <w:t>1AR---AT: ‘Resolved’</w:t>
      </w:r>
    </w:p>
    <w:p w14:paraId="232E2D89" w14:textId="372A0293" w:rsidR="005D4359" w:rsidRDefault="005D4359" w:rsidP="005D4359">
      <w:pPr>
        <w:pStyle w:val="Heading4"/>
      </w:pPr>
      <w:r>
        <w:t xml:space="preserve">‘Resolved’ can </w:t>
      </w:r>
      <w:r w:rsidRPr="005D4359">
        <w:rPr>
          <w:u w:val="single"/>
        </w:rPr>
        <w:t>include</w:t>
      </w:r>
      <w:r>
        <w:t xml:space="preserve"> consultation.</w:t>
      </w:r>
    </w:p>
    <w:p w14:paraId="3D95B4EA" w14:textId="59C15A65" w:rsidR="005D4359" w:rsidRDefault="005D4359" w:rsidP="005D4359">
      <w:r w:rsidRPr="005D4359">
        <w:rPr>
          <w:rStyle w:val="Style13ptBold"/>
        </w:rPr>
        <w:t>Webster 19</w:t>
      </w:r>
      <w:r>
        <w:t xml:space="preserve"> [Merriam-Webster’s Online Dictionary, 2019, “resolved”, https://www.merriam-webster.com/dictionary/resolved, njn]</w:t>
      </w:r>
    </w:p>
    <w:p w14:paraId="334A4E2C" w14:textId="77777777" w:rsidR="005D4359" w:rsidRPr="005D4359" w:rsidRDefault="005D4359" w:rsidP="005D4359">
      <w:pPr>
        <w:rPr>
          <w:sz w:val="16"/>
        </w:rPr>
      </w:pPr>
      <w:r w:rsidRPr="005D4359">
        <w:rPr>
          <w:sz w:val="16"/>
        </w:rPr>
        <w:t>: to become separated into component parts</w:t>
      </w:r>
    </w:p>
    <w:p w14:paraId="44A5CDAB" w14:textId="77777777" w:rsidR="005D4359" w:rsidRPr="005D4359" w:rsidRDefault="005D4359" w:rsidP="005D4359">
      <w:pPr>
        <w:rPr>
          <w:sz w:val="16"/>
        </w:rPr>
      </w:pPr>
      <w:r w:rsidRPr="005D4359">
        <w:rPr>
          <w:rStyle w:val="StyleUnderline"/>
        </w:rPr>
        <w:t>also</w:t>
      </w:r>
      <w:r w:rsidRPr="005D4359">
        <w:rPr>
          <w:sz w:val="16"/>
        </w:rPr>
        <w:t xml:space="preserve"> : to become reduced by dissolving or analysis</w:t>
      </w:r>
    </w:p>
    <w:p w14:paraId="27CFF13D" w14:textId="77777777" w:rsidR="005D4359" w:rsidRPr="005D4359" w:rsidRDefault="005D4359" w:rsidP="005D4359">
      <w:pPr>
        <w:rPr>
          <w:sz w:val="16"/>
        </w:rPr>
      </w:pPr>
      <w:r w:rsidRPr="005D4359">
        <w:rPr>
          <w:sz w:val="16"/>
        </w:rPr>
        <w:t xml:space="preserve">2 : </w:t>
      </w:r>
      <w:r w:rsidRPr="005D4359">
        <w:rPr>
          <w:rStyle w:val="StyleUnderline"/>
        </w:rPr>
        <w:t>to form a resolution : DETERMINE</w:t>
      </w:r>
    </w:p>
    <w:p w14:paraId="256A6B74" w14:textId="6F667C03" w:rsidR="00177C2D" w:rsidRPr="005D4359" w:rsidRDefault="005D4359" w:rsidP="005D4359">
      <w:pPr>
        <w:rPr>
          <w:rStyle w:val="StyleUnderline"/>
        </w:rPr>
      </w:pPr>
      <w:r w:rsidRPr="005D4359">
        <w:rPr>
          <w:sz w:val="16"/>
        </w:rPr>
        <w:t xml:space="preserve">3 : </w:t>
      </w:r>
      <w:r w:rsidRPr="005D4359">
        <w:rPr>
          <w:rStyle w:val="Emphasis"/>
          <w:highlight w:val="cyan"/>
        </w:rPr>
        <w:t>CONSULT</w:t>
      </w:r>
      <w:r w:rsidRPr="005D4359">
        <w:rPr>
          <w:rStyle w:val="StyleUnderline"/>
          <w:highlight w:val="cyan"/>
        </w:rPr>
        <w:t>, DELIBERATE</w:t>
      </w:r>
    </w:p>
    <w:p w14:paraId="57BCBEC9" w14:textId="2253279D" w:rsidR="00355344" w:rsidRDefault="00355344" w:rsidP="00355344">
      <w:pPr>
        <w:pStyle w:val="Heading3"/>
      </w:pPr>
      <w:r>
        <w:t>1AR---</w:t>
      </w:r>
      <w:r w:rsidR="009711F3">
        <w:t>AT: ‘Should’</w:t>
      </w:r>
    </w:p>
    <w:p w14:paraId="06E041C3" w14:textId="29696A20" w:rsidR="00B91133" w:rsidRDefault="009209EC" w:rsidP="00B91133">
      <w:pPr>
        <w:pStyle w:val="Heading4"/>
      </w:pPr>
      <w:r>
        <w:t>‘</w:t>
      </w:r>
      <w:r w:rsidR="00B91133" w:rsidRPr="009209EC">
        <w:rPr>
          <w:u w:val="single"/>
        </w:rPr>
        <w:t>Should</w:t>
      </w:r>
      <w:r w:rsidRPr="009209EC">
        <w:t>’</w:t>
      </w:r>
      <w:r w:rsidR="00B91133">
        <w:t xml:space="preserve"> is </w:t>
      </w:r>
      <w:r w:rsidRPr="009209EC">
        <w:rPr>
          <w:i/>
          <w:iCs w:val="0"/>
          <w:u w:val="single"/>
        </w:rPr>
        <w:t>un</w:t>
      </w:r>
      <w:r w:rsidR="00B91133" w:rsidRPr="009209EC">
        <w:rPr>
          <w:u w:val="single"/>
        </w:rPr>
        <w:t>certain</w:t>
      </w:r>
      <w:r>
        <w:t xml:space="preserve"> and explicitly allows </w:t>
      </w:r>
      <w:r w:rsidRPr="009209EC">
        <w:rPr>
          <w:u w:val="single"/>
        </w:rPr>
        <w:t>conditions</w:t>
      </w:r>
      <w:r>
        <w:t>.</w:t>
      </w:r>
    </w:p>
    <w:p w14:paraId="2410722A" w14:textId="27311A4F" w:rsidR="00B91133" w:rsidRDefault="00B91133" w:rsidP="00B91133">
      <w:r w:rsidRPr="00432813">
        <w:rPr>
          <w:rStyle w:val="Style13ptBold"/>
        </w:rPr>
        <w:t xml:space="preserve">Hoffman 83 </w:t>
      </w:r>
      <w:r>
        <w:t xml:space="preserve">[George B. Hoffman Jr. (Was the first chief judge, Indiana Court of Appeals; current senior judge, appellate court) in concurrence with GARRARD and STATON, JJ., </w:t>
      </w:r>
      <w:r w:rsidR="00432813">
        <w:t>4</w:t>
      </w:r>
      <w:r>
        <w:t>-</w:t>
      </w:r>
      <w:r w:rsidR="00432813">
        <w:t>18</w:t>
      </w:r>
      <w:r>
        <w:t>-1983, “Duke's GMC, Inc. v. Erskine,”</w:t>
      </w:r>
      <w:r w:rsidR="00432813">
        <w:t xml:space="preserve"> </w:t>
      </w:r>
      <w:r w:rsidR="00432813" w:rsidRPr="00432813">
        <w:t>No. 4-782A226</w:t>
      </w:r>
      <w:r w:rsidR="00432813">
        <w:t>,</w:t>
      </w:r>
      <w:r>
        <w:t xml:space="preserve"> Court of Appeals of Indiana, Third District,  </w:t>
      </w:r>
      <w:r w:rsidR="00432813" w:rsidRPr="00432813">
        <w:t>https://law.justia.com/cases/indiana/court-of-appeals/1983/4-782a226-6.html</w:t>
      </w:r>
      <w:r w:rsidR="00432813">
        <w:t>, njn]</w:t>
      </w:r>
    </w:p>
    <w:p w14:paraId="672650AB" w14:textId="00D56FF9" w:rsidR="00432813" w:rsidRPr="00432813" w:rsidRDefault="00432813" w:rsidP="00432813">
      <w:pPr>
        <w:rPr>
          <w:sz w:val="16"/>
        </w:rPr>
      </w:pPr>
      <w:r w:rsidRPr="00432813">
        <w:rPr>
          <w:sz w:val="16"/>
        </w:rPr>
        <w:t xml:space="preserve">Duke's GMC, Inc., alleges error in the giving of several jury instructions which were tendered by Erskine. The first of these was tendered Instruction No. 9[3] which Duke's GMC, Inc., claims was a mandatory instruction that failed to include any reference to the defenses that were raised. Although not clearly explained in its brief, it is assumed that </w:t>
      </w:r>
      <w:r w:rsidRPr="00432813">
        <w:rPr>
          <w:rStyle w:val="StyleUnderline"/>
        </w:rPr>
        <w:t>Duke's GMC, Inc., considers the instruction mandatory due to the use of the work "should"</w:t>
      </w:r>
      <w:r w:rsidRPr="00432813">
        <w:rPr>
          <w:sz w:val="16"/>
        </w:rPr>
        <w:t xml:space="preserve"> in the instruction.</w:t>
      </w:r>
    </w:p>
    <w:p w14:paraId="291A7C6E" w14:textId="72407DFF" w:rsidR="00432813" w:rsidRPr="00036F40" w:rsidRDefault="00432813" w:rsidP="00432813">
      <w:pPr>
        <w:rPr>
          <w:sz w:val="16"/>
        </w:rPr>
      </w:pPr>
      <w:r w:rsidRPr="00036F40">
        <w:rPr>
          <w:rStyle w:val="StyleUnderline"/>
          <w:highlight w:val="cyan"/>
        </w:rPr>
        <w:t>"</w:t>
      </w:r>
      <w:r w:rsidRPr="00036F40">
        <w:rPr>
          <w:rStyle w:val="Emphasis"/>
          <w:highlight w:val="cyan"/>
        </w:rPr>
        <w:t>Should</w:t>
      </w:r>
      <w:r w:rsidRPr="00036F40">
        <w:rPr>
          <w:rStyle w:val="StyleUnderline"/>
          <w:highlight w:val="cyan"/>
        </w:rPr>
        <w:t>" is</w:t>
      </w:r>
      <w:r w:rsidRPr="00036F40">
        <w:rPr>
          <w:rStyle w:val="StyleUnderline"/>
        </w:rPr>
        <w:t xml:space="preserve"> defined</w:t>
      </w:r>
      <w:r w:rsidRPr="00036F40">
        <w:rPr>
          <w:sz w:val="16"/>
        </w:rPr>
        <w:t xml:space="preserve"> in The American Heritage Dictionary </w:t>
      </w:r>
      <w:r w:rsidRPr="00036F40">
        <w:rPr>
          <w:rStyle w:val="StyleUnderline"/>
        </w:rPr>
        <w:t>as</w:t>
      </w:r>
    </w:p>
    <w:p w14:paraId="78245A01" w14:textId="77777777" w:rsidR="00432813" w:rsidRPr="00AC1345" w:rsidRDefault="00432813" w:rsidP="00036F40">
      <w:pPr>
        <w:rPr>
          <w:sz w:val="16"/>
        </w:rPr>
      </w:pPr>
      <w:r w:rsidRPr="00AC1345">
        <w:rPr>
          <w:sz w:val="16"/>
        </w:rPr>
        <w:t xml:space="preserve">"... 2. </w:t>
      </w:r>
      <w:r w:rsidRPr="00036F40">
        <w:rPr>
          <w:rStyle w:val="StyleUnderline"/>
        </w:rPr>
        <w:t xml:space="preserve">Anticipation of </w:t>
      </w:r>
      <w:r w:rsidRPr="00036F40">
        <w:rPr>
          <w:rStyle w:val="StyleUnderline"/>
          <w:highlight w:val="cyan"/>
        </w:rPr>
        <w:t xml:space="preserve">a </w:t>
      </w:r>
      <w:r w:rsidRPr="00036F40">
        <w:rPr>
          <w:rStyle w:val="Emphasis"/>
          <w:highlight w:val="cyan"/>
        </w:rPr>
        <w:t>probable occurrence</w:t>
      </w:r>
      <w:r w:rsidRPr="00036F40">
        <w:rPr>
          <w:rStyle w:val="StyleUnderline"/>
        </w:rPr>
        <w:t>; expectation</w:t>
      </w:r>
      <w:r w:rsidRPr="00AC1345">
        <w:rPr>
          <w:sz w:val="16"/>
        </w:rPr>
        <w:t xml:space="preserve">: ... . 3. </w:t>
      </w:r>
      <w:r w:rsidRPr="00036F40">
        <w:rPr>
          <w:rStyle w:val="StyleUnderline"/>
        </w:rPr>
        <w:t xml:space="preserve">Condition; </w:t>
      </w:r>
      <w:r w:rsidRPr="00AC1345">
        <w:rPr>
          <w:rStyle w:val="Emphasis"/>
          <w:highlight w:val="cyan"/>
        </w:rPr>
        <w:t>contingency</w:t>
      </w:r>
      <w:r w:rsidRPr="00AC1345">
        <w:rPr>
          <w:rStyle w:val="StyleUnderline"/>
          <w:highlight w:val="cyan"/>
        </w:rPr>
        <w:t xml:space="preserve"> of </w:t>
      </w:r>
      <w:r w:rsidRPr="00AC1345">
        <w:rPr>
          <w:rStyle w:val="Emphasis"/>
          <w:highlight w:val="cyan"/>
        </w:rPr>
        <w:t>one condition</w:t>
      </w:r>
      <w:r w:rsidRPr="00036F40">
        <w:rPr>
          <w:rStyle w:val="StyleUnderline"/>
        </w:rPr>
        <w:t xml:space="preserve"> upon another</w:t>
      </w:r>
      <w:r w:rsidRPr="00AC1345">
        <w:rPr>
          <w:sz w:val="16"/>
        </w:rPr>
        <w:t xml:space="preserve">: ... . 4. </w:t>
      </w:r>
      <w:r w:rsidRPr="00AC1345">
        <w:rPr>
          <w:rStyle w:val="Emphasis"/>
          <w:highlight w:val="cyan"/>
        </w:rPr>
        <w:t>Uncertainty</w:t>
      </w:r>
      <w:r w:rsidRPr="00AC1345">
        <w:rPr>
          <w:rStyle w:val="StyleUnderline"/>
          <w:highlight w:val="cyan"/>
        </w:rPr>
        <w:t xml:space="preserve"> in a </w:t>
      </w:r>
      <w:r w:rsidRPr="00AC1345">
        <w:rPr>
          <w:rStyle w:val="Emphasis"/>
          <w:highlight w:val="cyan"/>
        </w:rPr>
        <w:t>future event</w:t>
      </w:r>
      <w:r w:rsidRPr="00AC1345">
        <w:rPr>
          <w:sz w:val="16"/>
        </w:rPr>
        <w:t xml:space="preserve">: ... . 5. Moderation of the directness or bluntness of a statement with some implication of the unusual or surprising: ... . Usage: </w:t>
      </w:r>
      <w:r w:rsidRPr="00AC1345">
        <w:rPr>
          <w:rStyle w:val="StyleUnderline"/>
        </w:rPr>
        <w:t xml:space="preserve">Should, in </w:t>
      </w:r>
      <w:r w:rsidRPr="00AC1345">
        <w:rPr>
          <w:rStyle w:val="StyleUnderline"/>
          <w:highlight w:val="cyan"/>
        </w:rPr>
        <w:t xml:space="preserve">indicating </w:t>
      </w:r>
      <w:r w:rsidRPr="00AC1345">
        <w:rPr>
          <w:rStyle w:val="Emphasis"/>
          <w:highlight w:val="cyan"/>
        </w:rPr>
        <w:t>obligation</w:t>
      </w:r>
      <w:r w:rsidRPr="00AC1345">
        <w:rPr>
          <w:rStyle w:val="StyleUnderline"/>
        </w:rPr>
        <w:t xml:space="preserve"> or necessity, </w:t>
      </w:r>
      <w:r w:rsidRPr="00AC1345">
        <w:rPr>
          <w:rStyle w:val="StyleUnderline"/>
          <w:highlight w:val="cyan"/>
        </w:rPr>
        <w:t>is</w:t>
      </w:r>
      <w:r w:rsidRPr="00AC1345">
        <w:rPr>
          <w:sz w:val="16"/>
        </w:rPr>
        <w:t xml:space="preserve"> somewhat </w:t>
      </w:r>
      <w:r w:rsidRPr="00AC1345">
        <w:rPr>
          <w:rStyle w:val="Emphasis"/>
          <w:highlight w:val="cyan"/>
        </w:rPr>
        <w:t>weaker</w:t>
      </w:r>
      <w:r w:rsidRPr="00AC1345">
        <w:rPr>
          <w:rStyle w:val="StyleUnderline"/>
          <w:highlight w:val="cyan"/>
        </w:rPr>
        <w:t xml:space="preserve"> than ought and</w:t>
      </w:r>
      <w:r w:rsidRPr="00AC1345">
        <w:rPr>
          <w:rStyle w:val="StyleUnderline"/>
        </w:rPr>
        <w:t xml:space="preserve"> </w:t>
      </w:r>
      <w:r w:rsidRPr="00AC1345">
        <w:rPr>
          <w:rStyle w:val="Emphasis"/>
        </w:rPr>
        <w:t>appreciably weaker</w:t>
      </w:r>
      <w:r w:rsidRPr="00AC1345">
        <w:rPr>
          <w:rStyle w:val="StyleUnderline"/>
        </w:rPr>
        <w:t xml:space="preserve"> than </w:t>
      </w:r>
      <w:r w:rsidRPr="00AC1345">
        <w:rPr>
          <w:rStyle w:val="StyleUnderline"/>
          <w:highlight w:val="cyan"/>
        </w:rPr>
        <w:t>must</w:t>
      </w:r>
      <w:r w:rsidRPr="00AC1345">
        <w:rPr>
          <w:rStyle w:val="StyleUnderline"/>
        </w:rPr>
        <w:t xml:space="preserve"> and </w:t>
      </w:r>
      <w:r w:rsidRPr="00AC1345">
        <w:rPr>
          <w:rStyle w:val="Emphasis"/>
        </w:rPr>
        <w:t>have to</w:t>
      </w:r>
      <w:r w:rsidRPr="00AC1345">
        <w:rPr>
          <w:sz w:val="16"/>
        </w:rPr>
        <w:t>." The American Heritage Dictionary of the English Language, New College Edition (1976) p. 1199.</w:t>
      </w:r>
    </w:p>
    <w:p w14:paraId="32F1AB5A" w14:textId="5CB6F777" w:rsidR="00432813" w:rsidRPr="009209EC" w:rsidRDefault="00432813" w:rsidP="00432813">
      <w:pPr>
        <w:rPr>
          <w:sz w:val="16"/>
        </w:rPr>
      </w:pPr>
      <w:r w:rsidRPr="00AC1345">
        <w:rPr>
          <w:rStyle w:val="StyleUnderline"/>
        </w:rPr>
        <w:t xml:space="preserve">"Should" does </w:t>
      </w:r>
      <w:r w:rsidRPr="009209EC">
        <w:rPr>
          <w:rStyle w:val="Emphasis"/>
          <w:highlight w:val="cyan"/>
        </w:rPr>
        <w:t>not</w:t>
      </w:r>
      <w:r w:rsidRPr="00AC1345">
        <w:rPr>
          <w:rStyle w:val="StyleUnderline"/>
        </w:rPr>
        <w:t xml:space="preserve"> connote a </w:t>
      </w:r>
      <w:r w:rsidRPr="009209EC">
        <w:rPr>
          <w:rStyle w:val="Emphasis"/>
          <w:highlight w:val="cyan"/>
        </w:rPr>
        <w:t>compulsory</w:t>
      </w:r>
      <w:r w:rsidRPr="009209EC">
        <w:rPr>
          <w:rStyle w:val="Emphasis"/>
        </w:rPr>
        <w:t xml:space="preserve"> result</w:t>
      </w:r>
      <w:r w:rsidRPr="00AC1345">
        <w:rPr>
          <w:rStyle w:val="StyleUnderline"/>
        </w:rPr>
        <w:t xml:space="preserve"> </w:t>
      </w:r>
      <w:r w:rsidRPr="009209EC">
        <w:rPr>
          <w:rStyle w:val="StyleUnderline"/>
        </w:rPr>
        <w:t>as</w:t>
      </w:r>
      <w:r w:rsidRPr="009209EC">
        <w:rPr>
          <w:sz w:val="16"/>
        </w:rPr>
        <w:t xml:space="preserve"> does </w:t>
      </w:r>
      <w:r w:rsidRPr="00AC1345">
        <w:rPr>
          <w:rStyle w:val="StyleUnderline"/>
        </w:rPr>
        <w:t>"</w:t>
      </w:r>
      <w:r w:rsidRPr="009209EC">
        <w:rPr>
          <w:rStyle w:val="Emphasis"/>
        </w:rPr>
        <w:t>will</w:t>
      </w:r>
      <w:r w:rsidRPr="00AC1345">
        <w:rPr>
          <w:rStyle w:val="StyleUnderline"/>
        </w:rPr>
        <w:t>" or "</w:t>
      </w:r>
      <w:r w:rsidRPr="009209EC">
        <w:rPr>
          <w:rStyle w:val="Emphasis"/>
        </w:rPr>
        <w:t>shall</w:t>
      </w:r>
      <w:r w:rsidRPr="00AC1345">
        <w:rPr>
          <w:rStyle w:val="StyleUnderline"/>
        </w:rPr>
        <w:t>."</w:t>
      </w:r>
      <w:r w:rsidRPr="009209EC">
        <w:rPr>
          <w:sz w:val="16"/>
        </w:rPr>
        <w:t xml:space="preserve"> </w:t>
      </w:r>
      <w:r w:rsidRPr="009209EC">
        <w:rPr>
          <w:rStyle w:val="StyleUnderline"/>
        </w:rPr>
        <w:t xml:space="preserve">It </w:t>
      </w:r>
      <w:r w:rsidRPr="009209EC">
        <w:rPr>
          <w:rStyle w:val="StyleUnderline"/>
          <w:highlight w:val="cyan"/>
        </w:rPr>
        <w:t>leaves</w:t>
      </w:r>
      <w:r w:rsidRPr="009209EC">
        <w:rPr>
          <w:rStyle w:val="StyleUnderline"/>
        </w:rPr>
        <w:t xml:space="preserve"> some </w:t>
      </w:r>
      <w:r w:rsidRPr="009209EC">
        <w:rPr>
          <w:rStyle w:val="StyleUnderline"/>
          <w:highlight w:val="cyan"/>
        </w:rPr>
        <w:t>room for</w:t>
      </w:r>
      <w:r w:rsidRPr="009209EC">
        <w:rPr>
          <w:rStyle w:val="StyleUnderline"/>
        </w:rPr>
        <w:t xml:space="preserve"> a </w:t>
      </w:r>
      <w:r w:rsidRPr="009209EC">
        <w:rPr>
          <w:rStyle w:val="Emphasis"/>
          <w:highlight w:val="cyan"/>
        </w:rPr>
        <w:t>contingency</w:t>
      </w:r>
      <w:r w:rsidRPr="009209EC">
        <w:rPr>
          <w:sz w:val="16"/>
        </w:rPr>
        <w:t>. Parents of teen-age children know that simply because they tell their children that they should do something does not mean that the children will do it.</w:t>
      </w:r>
    </w:p>
    <w:p w14:paraId="612330B3" w14:textId="7C477741" w:rsidR="00B91133" w:rsidRPr="009209EC" w:rsidRDefault="00432813" w:rsidP="00432813">
      <w:pPr>
        <w:rPr>
          <w:rStyle w:val="StyleUnderline"/>
        </w:rPr>
      </w:pPr>
      <w:r w:rsidRPr="009209EC">
        <w:rPr>
          <w:sz w:val="16"/>
        </w:rPr>
        <w:t xml:space="preserve">*1123 A similar problem arose when the word "would" was used in an instruction. At that time, this Court said, "The use of the word, `would,' does not make this a mandatory instruction. The word, `would,' has been held to express merely a possibility or a contingency. Landry v. Steamship Mutual Underwriting Ass'n., 177 F. Supp. 142, 147. Certainly it does not make the instruction under consideration mandatory in character." David Johnson Co., Inc. v. Basile (1964), 136 Ind. App. 611, at 613, 199 N.E.2d 478, at 480. Likewise, </w:t>
      </w:r>
      <w:r w:rsidRPr="009209EC">
        <w:rPr>
          <w:rStyle w:val="StyleUnderline"/>
          <w:highlight w:val="cyan"/>
        </w:rPr>
        <w:t>use of</w:t>
      </w:r>
      <w:r w:rsidRPr="009209EC">
        <w:rPr>
          <w:rStyle w:val="StyleUnderline"/>
        </w:rPr>
        <w:t xml:space="preserve"> the word "</w:t>
      </w:r>
      <w:r w:rsidRPr="009209EC">
        <w:rPr>
          <w:rStyle w:val="Emphasis"/>
          <w:highlight w:val="cyan"/>
        </w:rPr>
        <w:t>should</w:t>
      </w:r>
      <w:r w:rsidRPr="009209EC">
        <w:rPr>
          <w:rStyle w:val="StyleUnderline"/>
        </w:rPr>
        <w:t xml:space="preserve">" does </w:t>
      </w:r>
      <w:r w:rsidRPr="009209EC">
        <w:rPr>
          <w:rStyle w:val="Emphasis"/>
          <w:highlight w:val="cyan"/>
        </w:rPr>
        <w:t>not</w:t>
      </w:r>
      <w:r w:rsidRPr="009209EC">
        <w:rPr>
          <w:rStyle w:val="StyleUnderline"/>
          <w:highlight w:val="cyan"/>
        </w:rPr>
        <w:t xml:space="preserve"> </w:t>
      </w:r>
      <w:r w:rsidRPr="009209EC">
        <w:rPr>
          <w:rStyle w:val="StyleUnderline"/>
        </w:rPr>
        <w:t xml:space="preserve">make the instruction under consideration in this case </w:t>
      </w:r>
      <w:r w:rsidRPr="009209EC">
        <w:rPr>
          <w:rStyle w:val="Emphasis"/>
          <w:highlight w:val="cyan"/>
        </w:rPr>
        <w:t>mandatory</w:t>
      </w:r>
      <w:r w:rsidRPr="009209EC">
        <w:rPr>
          <w:rStyle w:val="StyleUnderline"/>
        </w:rPr>
        <w:t xml:space="preserve"> in character.</w:t>
      </w:r>
    </w:p>
    <w:p w14:paraId="6C6D4FF9" w14:textId="3C2D705B" w:rsidR="00B91133" w:rsidRDefault="00B91133" w:rsidP="00B91133">
      <w:pPr>
        <w:pStyle w:val="Heading4"/>
      </w:pPr>
      <w:r>
        <w:t xml:space="preserve">“Should” can </w:t>
      </w:r>
      <w:r w:rsidRPr="00B91133">
        <w:rPr>
          <w:u w:val="single"/>
        </w:rPr>
        <w:t>include delay</w:t>
      </w:r>
      <w:r>
        <w:t>.</w:t>
      </w:r>
    </w:p>
    <w:p w14:paraId="38A20229" w14:textId="37814186" w:rsidR="00B91133" w:rsidRDefault="00B91133" w:rsidP="00B91133">
      <w:r w:rsidRPr="00B91133">
        <w:rPr>
          <w:rStyle w:val="Style13ptBold"/>
        </w:rPr>
        <w:t>Brown 8</w:t>
      </w:r>
      <w:r>
        <w:t xml:space="preserve"> [Mary Ann Brown (</w:t>
      </w:r>
      <w:r w:rsidRPr="00B91133">
        <w:t>Judge</w:t>
      </w:r>
      <w:r>
        <w:t xml:space="preserve">, Iowa </w:t>
      </w:r>
      <w:r w:rsidRPr="00B91133">
        <w:t>Court of Appeals</w:t>
      </w:r>
      <w:r>
        <w:t>) 5-14-2008, “In re Est. of Guthrie,” 752 N.W.2d 452,</w:t>
      </w:r>
      <w:r w:rsidRPr="00B91133">
        <w:t xml:space="preserve"> </w:t>
      </w:r>
      <w:r>
        <w:t xml:space="preserve">Westlaw, njn] </w:t>
      </w:r>
    </w:p>
    <w:p w14:paraId="410EEEBD" w14:textId="3A39BEBA" w:rsidR="00B91133" w:rsidRPr="00B91133" w:rsidRDefault="00B91133" w:rsidP="00B91133">
      <w:pPr>
        <w:rPr>
          <w:sz w:val="16"/>
        </w:rPr>
      </w:pPr>
      <w:r w:rsidRPr="00B91133">
        <w:rPr>
          <w:sz w:val="16"/>
        </w:rPr>
        <w:t xml:space="preserve">Brock and Kaitlyn look to </w:t>
      </w:r>
      <w:r w:rsidRPr="00B91133">
        <w:rPr>
          <w:rStyle w:val="StyleUnderline"/>
        </w:rPr>
        <w:t xml:space="preserve">the word </w:t>
      </w:r>
      <w:r w:rsidRPr="00B91133">
        <w:rPr>
          <w:rStyle w:val="Emphasis"/>
          <w:highlight w:val="cyan"/>
        </w:rPr>
        <w:t>“should”</w:t>
      </w:r>
      <w:r w:rsidRPr="00B91133">
        <w:rPr>
          <w:sz w:val="16"/>
        </w:rPr>
        <w:t xml:space="preserve"> in the phrase “in the event any of my children should predecease me” and claim </w:t>
      </w:r>
      <w:r w:rsidRPr="00B91133">
        <w:rPr>
          <w:rStyle w:val="StyleUnderline"/>
        </w:rPr>
        <w:t>the district court</w:t>
      </w:r>
      <w:r w:rsidRPr="00B91133">
        <w:rPr>
          <w:sz w:val="16"/>
        </w:rPr>
        <w:t xml:space="preserve"> improperly </w:t>
      </w:r>
      <w:r w:rsidRPr="00B91133">
        <w:rPr>
          <w:rStyle w:val="StyleUnderline"/>
        </w:rPr>
        <w:t xml:space="preserve">found the word </w:t>
      </w:r>
      <w:r w:rsidRPr="00B91133">
        <w:rPr>
          <w:rStyle w:val="StyleUnderline"/>
          <w:highlight w:val="cyan"/>
        </w:rPr>
        <w:t xml:space="preserve">looked to the </w:t>
      </w:r>
      <w:r w:rsidRPr="00B91133">
        <w:rPr>
          <w:rStyle w:val="Emphasis"/>
          <w:highlight w:val="cyan"/>
        </w:rPr>
        <w:t>future</w:t>
      </w:r>
      <w:r w:rsidRPr="00B91133">
        <w:rPr>
          <w:sz w:val="16"/>
        </w:rPr>
        <w:t xml:space="preserve">. They claim the word should be interpreted as the past tense of “shall” to imply a duty or obligation. See Black's Law Dictionary 1379 (6th ed.1990). </w:t>
      </w:r>
      <w:r w:rsidRPr="00B91133">
        <w:rPr>
          <w:rStyle w:val="StyleUnderline"/>
          <w:highlight w:val="cyan"/>
        </w:rPr>
        <w:t xml:space="preserve">Looking at the phrase </w:t>
      </w:r>
      <w:r w:rsidRPr="00B91133">
        <w:rPr>
          <w:rStyle w:val="Emphasis"/>
          <w:highlight w:val="cyan"/>
        </w:rPr>
        <w:t>as a whole</w:t>
      </w:r>
      <w:r w:rsidRPr="00B91133">
        <w:rPr>
          <w:sz w:val="16"/>
        </w:rPr>
        <w:t xml:space="preserve">, however, </w:t>
      </w:r>
      <w:r w:rsidRPr="00B91133">
        <w:rPr>
          <w:rStyle w:val="StyleUnderline"/>
        </w:rPr>
        <w:t xml:space="preserve">rather than at a </w:t>
      </w:r>
      <w:r w:rsidRPr="00B91133">
        <w:rPr>
          <w:rStyle w:val="Emphasis"/>
        </w:rPr>
        <w:t>single word</w:t>
      </w:r>
      <w:r w:rsidRPr="00B91133">
        <w:rPr>
          <w:rStyle w:val="StyleUnderline"/>
        </w:rPr>
        <w:t xml:space="preserve">, we determine </w:t>
      </w:r>
      <w:r w:rsidRPr="00B91133">
        <w:rPr>
          <w:rStyle w:val="StyleUnderline"/>
          <w:highlight w:val="cyan"/>
        </w:rPr>
        <w:t xml:space="preserve">the phrase is considering </w:t>
      </w:r>
      <w:r w:rsidRPr="00B91133">
        <w:rPr>
          <w:rStyle w:val="Emphasis"/>
          <w:highlight w:val="cyan"/>
        </w:rPr>
        <w:t>possible future events</w:t>
      </w:r>
      <w:r w:rsidRPr="00B91133">
        <w:rPr>
          <w:sz w:val="16"/>
        </w:rPr>
        <w:t>. See In re Estate of Grulke, 546 N.W.2d 626, 627 (Iowa Ct.App.1996) (noting we must ascertain a testator's intent from the entire will).</w:t>
      </w:r>
    </w:p>
    <w:p w14:paraId="22D1876E" w14:textId="5B455F26" w:rsidR="00D27592" w:rsidRPr="00D27592" w:rsidRDefault="00D27592" w:rsidP="00D27592">
      <w:pPr>
        <w:pStyle w:val="Heading2"/>
      </w:pPr>
      <w:r>
        <w:t>NEG</w:t>
      </w:r>
    </w:p>
    <w:p w14:paraId="329E116B" w14:textId="5215D6EA" w:rsidR="00D27592" w:rsidRDefault="00D27592" w:rsidP="00D27592">
      <w:pPr>
        <w:pStyle w:val="Heading3"/>
      </w:pPr>
      <w:r>
        <w:t>Perm---AT: Do the CP---2NC</w:t>
      </w:r>
    </w:p>
    <w:p w14:paraId="3DF6F306" w14:textId="0EFB84E0" w:rsidR="009711F3" w:rsidRDefault="009711F3" w:rsidP="009711F3">
      <w:pPr>
        <w:pStyle w:val="Heading4"/>
      </w:pPr>
      <w:r>
        <w:t xml:space="preserve">‘Do the CP’ </w:t>
      </w:r>
      <w:r w:rsidRPr="002D32D9">
        <w:rPr>
          <w:u w:val="single"/>
        </w:rPr>
        <w:t>severs</w:t>
      </w:r>
      <w:r>
        <w:t xml:space="preserve">, which is a voting issue for </w:t>
      </w:r>
      <w:r>
        <w:rPr>
          <w:u w:val="single"/>
        </w:rPr>
        <w:t>NEG</w:t>
      </w:r>
      <w:r w:rsidRPr="002D32D9">
        <w:rPr>
          <w:u w:val="single"/>
        </w:rPr>
        <w:t xml:space="preserve"> ground</w:t>
      </w:r>
      <w:r>
        <w:t xml:space="preserve">: </w:t>
      </w:r>
    </w:p>
    <w:p w14:paraId="3A4B36E6" w14:textId="2D39CA17" w:rsidR="009711F3" w:rsidRDefault="009711F3" w:rsidP="009711F3">
      <w:pPr>
        <w:pStyle w:val="Heading4"/>
      </w:pPr>
      <w:r>
        <w:t xml:space="preserve">1. </w:t>
      </w:r>
      <w:bookmarkStart w:id="0" w:name="_Hlk199504488"/>
      <w:bookmarkStart w:id="1" w:name="_Hlk199601083"/>
      <w:r>
        <w:t>‘</w:t>
      </w:r>
      <w:r w:rsidRPr="008F0F34">
        <w:rPr>
          <w:u w:val="single"/>
        </w:rPr>
        <w:t>Resolved</w:t>
      </w:r>
      <w:r>
        <w:t xml:space="preserve">’ means the plan must be a </w:t>
      </w:r>
      <w:r w:rsidRPr="009711F3">
        <w:rPr>
          <w:u w:val="single"/>
        </w:rPr>
        <w:t>certain</w:t>
      </w:r>
      <w:r>
        <w:t xml:space="preserve"> enactment.</w:t>
      </w:r>
    </w:p>
    <w:p w14:paraId="7285F2EA" w14:textId="77777777" w:rsidR="009711F3" w:rsidRDefault="009711F3" w:rsidP="009711F3">
      <w:r w:rsidRPr="00734F0B">
        <w:rPr>
          <w:rStyle w:val="Style13ptBold"/>
        </w:rPr>
        <w:t>Words and Phrases 64</w:t>
      </w:r>
      <w:r>
        <w:t xml:space="preserve"> (Permanent Edition)</w:t>
      </w:r>
    </w:p>
    <w:p w14:paraId="17C4E14A" w14:textId="77777777" w:rsidR="009711F3" w:rsidRPr="006734E9" w:rsidRDefault="009711F3" w:rsidP="009711F3">
      <w:pPr>
        <w:rPr>
          <w:rStyle w:val="StyleUnderline"/>
        </w:rPr>
      </w:pPr>
      <w:r w:rsidRPr="006734E9">
        <w:rPr>
          <w:sz w:val="16"/>
        </w:rPr>
        <w:t xml:space="preserve">Definition of </w:t>
      </w:r>
      <w:r w:rsidRPr="006E3255">
        <w:rPr>
          <w:rStyle w:val="StyleUnderline"/>
        </w:rPr>
        <w:t>the word “</w:t>
      </w:r>
      <w:r w:rsidRPr="006734E9">
        <w:rPr>
          <w:rStyle w:val="Emphasis"/>
          <w:highlight w:val="cyan"/>
        </w:rPr>
        <w:t>resolve</w:t>
      </w:r>
      <w:r w:rsidRPr="006E3255">
        <w:rPr>
          <w:rStyle w:val="StyleUnderline"/>
        </w:rPr>
        <w:t>,”</w:t>
      </w:r>
      <w:r w:rsidRPr="006734E9">
        <w:rPr>
          <w:sz w:val="16"/>
        </w:rPr>
        <w:t xml:space="preserve"> given by Webster </w:t>
      </w:r>
      <w:r w:rsidRPr="006734E9">
        <w:rPr>
          <w:rStyle w:val="StyleUnderline"/>
          <w:highlight w:val="cyan"/>
        </w:rPr>
        <w:t>is “to express</w:t>
      </w:r>
      <w:r w:rsidRPr="006734E9">
        <w:rPr>
          <w:rStyle w:val="StyleUnderline"/>
        </w:rPr>
        <w:t xml:space="preserve"> an opinion or </w:t>
      </w:r>
      <w:r w:rsidRPr="006734E9">
        <w:rPr>
          <w:rStyle w:val="Emphasis"/>
          <w:highlight w:val="cyan"/>
        </w:rPr>
        <w:t>determination</w:t>
      </w:r>
      <w:r w:rsidRPr="006734E9">
        <w:rPr>
          <w:rStyle w:val="StyleUnderline"/>
        </w:rPr>
        <w:t xml:space="preserve"> by resolution or vote</w:t>
      </w:r>
      <w:r w:rsidRPr="006734E9">
        <w:rPr>
          <w:sz w:val="16"/>
        </w:rPr>
        <w:t xml:space="preserve">; as ‘it was resolved by the legislature;” It is </w:t>
      </w:r>
      <w:r w:rsidRPr="006734E9">
        <w:rPr>
          <w:rStyle w:val="StyleUnderline"/>
        </w:rPr>
        <w:t xml:space="preserve">of </w:t>
      </w:r>
      <w:r w:rsidRPr="006734E9">
        <w:rPr>
          <w:rStyle w:val="StyleUnderline"/>
          <w:highlight w:val="cyan"/>
        </w:rPr>
        <w:t>similar</w:t>
      </w:r>
      <w:r w:rsidRPr="006734E9">
        <w:rPr>
          <w:rStyle w:val="StyleUnderline"/>
        </w:rPr>
        <w:t xml:space="preserve"> </w:t>
      </w:r>
      <w:r w:rsidRPr="006734E9">
        <w:rPr>
          <w:rStyle w:val="Emphasis"/>
        </w:rPr>
        <w:t>force</w:t>
      </w:r>
      <w:r w:rsidRPr="006734E9">
        <w:rPr>
          <w:rStyle w:val="StyleUnderline"/>
        </w:rPr>
        <w:t xml:space="preserve"> </w:t>
      </w:r>
      <w:r w:rsidRPr="006734E9">
        <w:rPr>
          <w:rStyle w:val="StyleUnderline"/>
          <w:highlight w:val="cyan"/>
        </w:rPr>
        <w:t>to</w:t>
      </w:r>
      <w:r w:rsidRPr="006734E9">
        <w:rPr>
          <w:rStyle w:val="StyleUnderline"/>
        </w:rPr>
        <w:t xml:space="preserve"> the word “</w:t>
      </w:r>
      <w:r w:rsidRPr="006734E9">
        <w:rPr>
          <w:rStyle w:val="Emphasis"/>
          <w:highlight w:val="cyan"/>
        </w:rPr>
        <w:t>enact</w:t>
      </w:r>
      <w:r w:rsidRPr="006734E9">
        <w:rPr>
          <w:rStyle w:val="StyleUnderline"/>
        </w:rPr>
        <w:t>,”</w:t>
      </w:r>
      <w:r w:rsidRPr="006734E9">
        <w:rPr>
          <w:sz w:val="16"/>
        </w:rPr>
        <w:t xml:space="preserve"> which is defined by Bouvier as </w:t>
      </w:r>
      <w:r w:rsidRPr="006734E9">
        <w:rPr>
          <w:rStyle w:val="StyleUnderline"/>
        </w:rPr>
        <w:t xml:space="preserve">meaning “to </w:t>
      </w:r>
      <w:r w:rsidRPr="006734E9">
        <w:rPr>
          <w:rStyle w:val="Emphasis"/>
        </w:rPr>
        <w:t>establish by law</w:t>
      </w:r>
      <w:r w:rsidRPr="006734E9">
        <w:rPr>
          <w:rStyle w:val="StyleUnderline"/>
        </w:rPr>
        <w:t>”.</w:t>
      </w:r>
    </w:p>
    <w:bookmarkEnd w:id="0"/>
    <w:p w14:paraId="7703851C" w14:textId="2055C2BA" w:rsidR="009711F3" w:rsidRDefault="009711F3" w:rsidP="009711F3">
      <w:pPr>
        <w:pStyle w:val="Heading4"/>
      </w:pPr>
      <w:r>
        <w:t xml:space="preserve">2. </w:t>
      </w:r>
      <w:bookmarkStart w:id="2" w:name="_Hlk199504596"/>
      <w:r>
        <w:t>‘</w:t>
      </w:r>
      <w:r w:rsidRPr="006734E9">
        <w:rPr>
          <w:u w:val="single"/>
        </w:rPr>
        <w:t>Should</w:t>
      </w:r>
      <w:r>
        <w:t xml:space="preserve">’ is </w:t>
      </w:r>
      <w:r w:rsidRPr="009711F3">
        <w:rPr>
          <w:u w:val="single"/>
        </w:rPr>
        <w:t>mandatory</w:t>
      </w:r>
      <w:r>
        <w:t xml:space="preserve">. </w:t>
      </w:r>
    </w:p>
    <w:p w14:paraId="5D1669F9" w14:textId="77777777" w:rsidR="009711F3" w:rsidRDefault="009711F3" w:rsidP="009711F3">
      <w:r w:rsidRPr="0036173F">
        <w:rPr>
          <w:rStyle w:val="Style13ptBold"/>
        </w:rPr>
        <w:t xml:space="preserve">Sawyer 17 </w:t>
      </w:r>
      <w:r>
        <w:t xml:space="preserve">[David H. Sawyer (Judge, Michigan Court of Appeals; J.D., Valparaiso School of Law), </w:t>
      </w:r>
      <w:r w:rsidRPr="0036173F">
        <w:t>Joel P. Hoekstra</w:t>
      </w:r>
      <w:r>
        <w:t>, and</w:t>
      </w:r>
      <w:r w:rsidRPr="0036173F">
        <w:t xml:space="preserve"> Jane M. Beckering</w:t>
      </w:r>
      <w:r>
        <w:t xml:space="preserve">, 7-20-2017, “Spartan Specialties, Ltd. v. Senior Services, Inc.,” Court of Appeals of Michigan, </w:t>
      </w:r>
      <w:r w:rsidRPr="006734E9">
        <w:t>Kalamazoo Circuit Court</w:t>
      </w:r>
      <w:r>
        <w:t xml:space="preserve">, </w:t>
      </w:r>
      <w:r w:rsidRPr="006734E9">
        <w:t>LC No.</w:t>
      </w:r>
      <w:r>
        <w:t xml:space="preserve"> </w:t>
      </w:r>
      <w:r w:rsidRPr="006734E9">
        <w:t>2013-000499-C</w:t>
      </w:r>
      <w:r>
        <w:t>K, Justia, njn]</w:t>
      </w:r>
    </w:p>
    <w:p w14:paraId="3FEC5763" w14:textId="77777777" w:rsidR="009711F3" w:rsidRDefault="009711F3" w:rsidP="009711F3">
      <w:r>
        <w:t>2017 Mich. App. LEXIS 1178, Lexis</w:t>
      </w:r>
    </w:p>
    <w:p w14:paraId="51CB81B7" w14:textId="4A577DAD" w:rsidR="009711F3" w:rsidRPr="009711F3" w:rsidRDefault="009711F3" w:rsidP="009711F3">
      <w:pPr>
        <w:rPr>
          <w:sz w:val="16"/>
        </w:rPr>
      </w:pPr>
      <w:r w:rsidRPr="006734E9">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w:t>
      </w:r>
      <w:r w:rsidRPr="0036173F">
        <w:rPr>
          <w:rStyle w:val="StyleUnderline"/>
        </w:rPr>
        <w:t>the word "should," were permissive and suggestions of what plaintiff could do</w:t>
      </w:r>
      <w:r w:rsidRPr="006734E9">
        <w:rPr>
          <w:sz w:val="16"/>
        </w:rPr>
        <w:t xml:space="preserve"> to achieve the required capacity. </w:t>
      </w:r>
      <w:r w:rsidRPr="0036173F">
        <w:rPr>
          <w:rStyle w:val="StyleUnderline"/>
        </w:rPr>
        <w:t xml:space="preserve">However, </w:t>
      </w:r>
      <w:r w:rsidRPr="00BB6F9A">
        <w:rPr>
          <w:rStyle w:val="StyleUnderline"/>
          <w:highlight w:val="cyan"/>
        </w:rPr>
        <w:t>the</w:t>
      </w:r>
      <w:r w:rsidRPr="006734E9">
        <w:rPr>
          <w:rStyle w:val="StyleUnderline"/>
        </w:rPr>
        <w:t xml:space="preserve"> </w:t>
      </w:r>
      <w:r w:rsidRPr="006734E9">
        <w:rPr>
          <w:rStyle w:val="Emphasis"/>
        </w:rPr>
        <w:t xml:space="preserve">trial </w:t>
      </w:r>
      <w:r w:rsidRPr="006734E9">
        <w:rPr>
          <w:rStyle w:val="Emphasis"/>
          <w:highlight w:val="cyan"/>
        </w:rPr>
        <w:t>court</w:t>
      </w:r>
      <w:r w:rsidRPr="006734E9">
        <w:rPr>
          <w:sz w:val="16"/>
        </w:rPr>
        <w:t xml:space="preserve">, when it instructed the jury on how to interpret the contract, </w:t>
      </w:r>
      <w:r w:rsidRPr="00BB6F9A">
        <w:rPr>
          <w:rStyle w:val="StyleUnderline"/>
        </w:rPr>
        <w:t>instructed</w:t>
      </w:r>
      <w:r w:rsidRPr="0036173F">
        <w:rPr>
          <w:rStyle w:val="StyleUnderline"/>
        </w:rPr>
        <w:t xml:space="preserve"> the jury that it was </w:t>
      </w:r>
      <w:r w:rsidRPr="00BB6F9A">
        <w:rPr>
          <w:rStyle w:val="StyleUnderline"/>
        </w:rPr>
        <w:t xml:space="preserve">to </w:t>
      </w:r>
      <w:r w:rsidRPr="006734E9">
        <w:rPr>
          <w:rStyle w:val="Emphasis"/>
          <w:highlight w:val="cyan"/>
        </w:rPr>
        <w:t>interpret</w:t>
      </w:r>
      <w:r w:rsidRPr="0036173F">
        <w:rPr>
          <w:rStyle w:val="StyleUnderline"/>
        </w:rPr>
        <w:t xml:space="preserve"> the </w:t>
      </w:r>
      <w:r w:rsidRPr="006734E9">
        <w:rPr>
          <w:rStyle w:val="StyleUnderline"/>
          <w:highlight w:val="cyan"/>
        </w:rPr>
        <w:t>words</w:t>
      </w:r>
      <w:r w:rsidRPr="0036173F">
        <w:rPr>
          <w:rStyle w:val="StyleUnderline"/>
        </w:rPr>
        <w:t xml:space="preserve"> of the contract </w:t>
      </w:r>
      <w:r w:rsidRPr="006734E9">
        <w:rPr>
          <w:rStyle w:val="StyleUnderline"/>
          <w:highlight w:val="cyan"/>
        </w:rPr>
        <w:t>by</w:t>
      </w:r>
      <w:r w:rsidRPr="0036173F">
        <w:rPr>
          <w:rStyle w:val="StyleUnderline"/>
        </w:rPr>
        <w:t xml:space="preserve"> giving them their </w:t>
      </w:r>
      <w:r w:rsidRPr="0036173F">
        <w:rPr>
          <w:rStyle w:val="Emphasis"/>
        </w:rPr>
        <w:t>ordinary</w:t>
      </w:r>
      <w:r w:rsidRPr="0036173F">
        <w:rPr>
          <w:rStyle w:val="StyleUnderline"/>
        </w:rPr>
        <w:t xml:space="preserve"> and </w:t>
      </w:r>
      <w:r w:rsidRPr="006734E9">
        <w:rPr>
          <w:rStyle w:val="Emphasis"/>
          <w:highlight w:val="cyan"/>
        </w:rPr>
        <w:t>common</w:t>
      </w:r>
      <w:r w:rsidRPr="006734E9">
        <w:rPr>
          <w:rStyle w:val="StyleUnderline"/>
          <w:highlight w:val="cyan"/>
        </w:rPr>
        <w:t xml:space="preserve"> meaning</w:t>
      </w:r>
      <w:r w:rsidRPr="006734E9">
        <w:rPr>
          <w:sz w:val="16"/>
        </w:rPr>
        <w:t xml:space="preserve">. An ordinary and common meaning of </w:t>
      </w:r>
      <w:r w:rsidRPr="0036173F">
        <w:rPr>
          <w:rStyle w:val="StyleUnderline"/>
        </w:rPr>
        <w:t>the word "</w:t>
      </w:r>
      <w:r w:rsidRPr="006734E9">
        <w:rPr>
          <w:rStyle w:val="Emphasis"/>
          <w:highlight w:val="cyan"/>
        </w:rPr>
        <w:t>should</w:t>
      </w:r>
      <w:r w:rsidRPr="0036173F">
        <w:rPr>
          <w:rStyle w:val="StyleUnderline"/>
        </w:rPr>
        <w:t xml:space="preserve">" is that it </w:t>
      </w:r>
      <w:r w:rsidRPr="006734E9">
        <w:rPr>
          <w:rStyle w:val="StyleUnderline"/>
          <w:highlight w:val="cyan"/>
        </w:rPr>
        <w:t>denotes</w:t>
      </w:r>
      <w:r w:rsidRPr="0036173F">
        <w:rPr>
          <w:rStyle w:val="StyleUnderline"/>
        </w:rPr>
        <w:t xml:space="preserve"> a </w:t>
      </w:r>
      <w:r w:rsidRPr="006734E9">
        <w:rPr>
          <w:rStyle w:val="Emphasis"/>
          <w:highlight w:val="cyan"/>
        </w:rPr>
        <w:t>mandatory</w:t>
      </w:r>
      <w:r w:rsidRPr="006734E9">
        <w:rPr>
          <w:rStyle w:val="StyleUnderline"/>
          <w:highlight w:val="cyan"/>
        </w:rPr>
        <w:t xml:space="preserve"> obligation</w:t>
      </w:r>
      <w:r w:rsidRPr="0036173F">
        <w:rPr>
          <w:rStyle w:val="StyleUnderline"/>
        </w:rPr>
        <w:t>.</w:t>
      </w:r>
      <w:r w:rsidRPr="006734E9">
        <w:rPr>
          <w:sz w:val="16"/>
        </w:rPr>
        <w:t xml:space="preserve"> [*9]  </w:t>
      </w:r>
      <w:r w:rsidRPr="0036173F">
        <w:rPr>
          <w:rStyle w:val="StyleUnderline"/>
        </w:rPr>
        <w:t>See People v Fosnaugh</w:t>
      </w:r>
      <w:r w:rsidRPr="006734E9">
        <w:rPr>
          <w:sz w:val="16"/>
        </w:rPr>
        <w:t xml:space="preserve">, 248 Mich App 444, 455; 639 NW2d 587 (2001) (stating that </w:t>
      </w:r>
      <w:r w:rsidRPr="0036173F">
        <w:rPr>
          <w:rStyle w:val="StyleUnderline"/>
        </w:rPr>
        <w:t xml:space="preserve">"the word </w:t>
      </w:r>
      <w:r w:rsidRPr="0036173F">
        <w:rPr>
          <w:rStyle w:val="Emphasis"/>
        </w:rPr>
        <w:t>'should'</w:t>
      </w:r>
      <w:r w:rsidRPr="0036173F">
        <w:rPr>
          <w:rStyle w:val="StyleUnderline"/>
        </w:rPr>
        <w:t xml:space="preserve"> can</w:t>
      </w:r>
      <w:r w:rsidRPr="006734E9">
        <w:rPr>
          <w:sz w:val="16"/>
        </w:rPr>
        <w:t xml:space="preserve">, in certain contexts, </w:t>
      </w:r>
      <w:r w:rsidRPr="0036173F">
        <w:rPr>
          <w:rStyle w:val="StyleUnderline"/>
        </w:rPr>
        <w:t xml:space="preserve">connote an </w:t>
      </w:r>
      <w:r w:rsidRPr="0036173F">
        <w:rPr>
          <w:rStyle w:val="Emphasis"/>
        </w:rPr>
        <w:t>obligatory</w:t>
      </w:r>
      <w:r w:rsidRPr="0036173F">
        <w:rPr>
          <w:rStyle w:val="StyleUnderline"/>
        </w:rPr>
        <w:t xml:space="preserve"> effect"</w:t>
      </w:r>
      <w:r w:rsidRPr="006734E9">
        <w:rPr>
          <w:sz w:val="16"/>
        </w:rPr>
        <w:t xml:space="preserve">); </w:t>
      </w:r>
      <w:r w:rsidRPr="0036173F">
        <w:rPr>
          <w:rStyle w:val="StyleUnderline"/>
        </w:rPr>
        <w:t>Merriam-Webster's</w:t>
      </w:r>
      <w:r w:rsidRPr="006734E9">
        <w:rPr>
          <w:sz w:val="16"/>
        </w:rPr>
        <w:t xml:space="preserve"> College Dictionary (11th ed) (</w:t>
      </w:r>
      <w:r w:rsidRPr="0036173F">
        <w:rPr>
          <w:rStyle w:val="StyleUnderline"/>
        </w:rPr>
        <w:t>defining "</w:t>
      </w:r>
      <w:r w:rsidRPr="0036173F">
        <w:rPr>
          <w:rStyle w:val="Emphasis"/>
        </w:rPr>
        <w:t>should</w:t>
      </w:r>
      <w:r w:rsidRPr="0036173F">
        <w:rPr>
          <w:rStyle w:val="StyleUnderline"/>
        </w:rPr>
        <w:t>,"</w:t>
      </w:r>
      <w:r w:rsidRPr="006734E9">
        <w:rPr>
          <w:sz w:val="16"/>
        </w:rPr>
        <w:t xml:space="preserve"> in pertinent part, </w:t>
      </w:r>
      <w:r w:rsidRPr="0036173F">
        <w:rPr>
          <w:rStyle w:val="StyleUnderline"/>
        </w:rPr>
        <w:t>as "</w:t>
      </w:r>
      <w:r w:rsidRPr="006734E9">
        <w:rPr>
          <w:rStyle w:val="StyleUnderline"/>
        </w:rPr>
        <w:t xml:space="preserve">used in auxiliary function to express </w:t>
      </w:r>
      <w:r w:rsidRPr="006734E9">
        <w:rPr>
          <w:rStyle w:val="Emphasis"/>
        </w:rPr>
        <w:t>obligation</w:t>
      </w:r>
      <w:r w:rsidRPr="006734E9">
        <w:rPr>
          <w:rStyle w:val="StyleUnderline"/>
        </w:rPr>
        <w:t>, propriety, or expediency</w:t>
      </w:r>
      <w:r w:rsidRPr="0036173F">
        <w:rPr>
          <w:rStyle w:val="StyleUnderline"/>
        </w:rPr>
        <w:t>"</w:t>
      </w:r>
      <w:r w:rsidRPr="006734E9">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285297BD" w14:textId="3DCB7793" w:rsidR="009711F3" w:rsidRDefault="009711F3" w:rsidP="009711F3">
      <w:pPr>
        <w:pStyle w:val="Heading4"/>
      </w:pPr>
      <w:r>
        <w:t xml:space="preserve">AND ‘should’ is </w:t>
      </w:r>
      <w:r w:rsidRPr="006734E9">
        <w:rPr>
          <w:u w:val="single"/>
        </w:rPr>
        <w:t>immediate</w:t>
      </w:r>
      <w:r>
        <w:t xml:space="preserve">. </w:t>
      </w:r>
    </w:p>
    <w:p w14:paraId="0393FDFD" w14:textId="77777777" w:rsidR="009711F3" w:rsidRDefault="009711F3" w:rsidP="009711F3">
      <w:r w:rsidRPr="00ED2059">
        <w:rPr>
          <w:rStyle w:val="Style13ptBold"/>
        </w:rPr>
        <w:t>Stetler 1</w:t>
      </w:r>
      <w:r>
        <w:rPr>
          <w:rStyle w:val="Style13ptBold"/>
        </w:rPr>
        <w:t>8</w:t>
      </w:r>
      <w:r>
        <w:t xml:space="preserve"> [Russell Stetler (National Mitigation Coordinator for the federal death penalty projects, Office of the Federal Public Defender), 6-1-2018, </w:t>
      </w:r>
      <w:r w:rsidRPr="00ED2059">
        <w:t>"The Past, Present, and Future of the Mitigation Profession: Fulfilling the Constitutional Requirement of Individualized Sentencing in Capital Cases," Hofstra Law Review</w:t>
      </w:r>
      <w:r>
        <w:t>,</w:t>
      </w:r>
      <w:r w:rsidRPr="00ED2059">
        <w:t xml:space="preserve"> Vol. 46</w:t>
      </w:r>
      <w:r>
        <w:t xml:space="preserve">, </w:t>
      </w:r>
      <w:r w:rsidRPr="00ED2059">
        <w:t>Iss</w:t>
      </w:r>
      <w:r>
        <w:t>ue</w:t>
      </w:r>
      <w:r w:rsidRPr="00ED2059">
        <w:t xml:space="preserve"> 4, </w:t>
      </w:r>
      <w:r>
        <w:t>pp. 1161-1256, njn]</w:t>
      </w:r>
    </w:p>
    <w:p w14:paraId="5F837B98" w14:textId="77777777" w:rsidR="009711F3" w:rsidRPr="00BB6F9A" w:rsidRDefault="009711F3" w:rsidP="009711F3">
      <w:pPr>
        <w:rPr>
          <w:sz w:val="16"/>
        </w:rPr>
      </w:pPr>
      <w:r w:rsidRPr="00BB6F9A">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w:t>
      </w:r>
      <w:r w:rsidRPr="003D17E5">
        <w:rPr>
          <w:rStyle w:val="StyleUnderline"/>
        </w:rPr>
        <w:t>National Legal Aid and Defender Association</w:t>
      </w:r>
      <w:r w:rsidRPr="00BB6F9A">
        <w:rPr>
          <w:sz w:val="16"/>
        </w:rPr>
        <w:t xml:space="preserve"> ("NLADA").67 After circulating preliminary drafts over a period of years</w:t>
      </w:r>
      <w:r w:rsidRPr="00246145">
        <w:rPr>
          <w:sz w:val="16"/>
        </w:rPr>
        <w:t xml:space="preserve">, </w:t>
      </w:r>
      <w:r w:rsidRPr="00246145">
        <w:rPr>
          <w:rStyle w:val="Emphasis"/>
        </w:rPr>
        <w:t>NLADA</w:t>
      </w:r>
      <w:r w:rsidRPr="00246145">
        <w:rPr>
          <w:sz w:val="16"/>
        </w:rPr>
        <w:t xml:space="preserve"> first published its Standards for the Appointment of Defense Counsel in Death Penalty Cases in 1985.68 Standard 11.4.1 (D)(3)(C), Investigation, noted the potential use of mitigation specialists-a historic first acknowledgment of mitigation specialists as capital defense team members. 69 </w:t>
      </w:r>
      <w:r w:rsidRPr="00246145">
        <w:rPr>
          <w:rStyle w:val="StyleUnderline"/>
        </w:rPr>
        <w:t xml:space="preserve">The introduction to the 1985 Standards </w:t>
      </w:r>
      <w:r w:rsidRPr="00246145">
        <w:rPr>
          <w:rStyle w:val="Emphasis"/>
        </w:rPr>
        <w:t>stressed</w:t>
      </w:r>
      <w:r w:rsidRPr="00246145">
        <w:rPr>
          <w:rStyle w:val="StyleUnderline"/>
        </w:rPr>
        <w:t xml:space="preserve"> that the word "</w:t>
      </w:r>
      <w:r w:rsidRPr="00246145">
        <w:rPr>
          <w:rStyle w:val="Emphasis"/>
        </w:rPr>
        <w:t>should</w:t>
      </w:r>
      <w:r w:rsidRPr="00BB6F9A">
        <w:rPr>
          <w:rStyle w:val="StyleUnderline"/>
        </w:rPr>
        <w:t xml:space="preserve">" had been used as a </w:t>
      </w:r>
      <w:r w:rsidRPr="00BB6F9A">
        <w:rPr>
          <w:rStyle w:val="Emphasis"/>
        </w:rPr>
        <w:t>mandatory</w:t>
      </w:r>
      <w:r w:rsidRPr="00BB6F9A">
        <w:rPr>
          <w:rStyle w:val="StyleUnderline"/>
        </w:rPr>
        <w:t xml:space="preserve"> term: "what counsel </w:t>
      </w:r>
      <w:r w:rsidRPr="00BB6F9A">
        <w:rPr>
          <w:rStyle w:val="Emphasis"/>
          <w:highlight w:val="cyan"/>
        </w:rPr>
        <w:t>'should'</w:t>
      </w:r>
      <w:r w:rsidRPr="00BB6F9A">
        <w:rPr>
          <w:rStyle w:val="StyleUnderline"/>
        </w:rPr>
        <w:t xml:space="preserve"> do </w:t>
      </w:r>
      <w:r w:rsidRPr="003D17E5">
        <w:rPr>
          <w:rStyle w:val="StyleUnderline"/>
          <w:highlight w:val="cyan"/>
        </w:rPr>
        <w:t>is intended</w:t>
      </w:r>
      <w:r w:rsidRPr="00BB6F9A">
        <w:rPr>
          <w:rStyle w:val="StyleUnderline"/>
        </w:rPr>
        <w:t xml:space="preserve"> as </w:t>
      </w:r>
      <w:r w:rsidRPr="003D17E5">
        <w:rPr>
          <w:rStyle w:val="StyleUnderline"/>
        </w:rPr>
        <w:t xml:space="preserve">a </w:t>
      </w:r>
      <w:r w:rsidRPr="003D17E5">
        <w:rPr>
          <w:rStyle w:val="Emphasis"/>
        </w:rPr>
        <w:t>standard</w:t>
      </w:r>
      <w:r w:rsidRPr="003D17E5">
        <w:rPr>
          <w:rStyle w:val="StyleUnderline"/>
        </w:rPr>
        <w:t xml:space="preserve"> </w:t>
      </w:r>
      <w:r w:rsidRPr="00BB6F9A">
        <w:rPr>
          <w:rStyle w:val="StyleUnderline"/>
          <w:highlight w:val="cyan"/>
        </w:rPr>
        <w:t xml:space="preserve">to be met </w:t>
      </w:r>
      <w:r w:rsidRPr="00BB6F9A">
        <w:rPr>
          <w:rStyle w:val="Emphasis"/>
          <w:highlight w:val="cyan"/>
        </w:rPr>
        <w:t>now</w:t>
      </w:r>
      <w:r w:rsidRPr="00BB6F9A">
        <w:rPr>
          <w:rStyle w:val="StyleUnderline"/>
          <w:highlight w:val="cyan"/>
        </w:rPr>
        <w:t>, not</w:t>
      </w:r>
      <w:r w:rsidRPr="003D17E5">
        <w:rPr>
          <w:rStyle w:val="StyleUnderline"/>
        </w:rPr>
        <w:t xml:space="preserve"> an </w:t>
      </w:r>
      <w:r w:rsidRPr="003D17E5">
        <w:rPr>
          <w:rStyle w:val="Emphasis"/>
        </w:rPr>
        <w:t>ideal</w:t>
      </w:r>
      <w:r w:rsidRPr="00BB6F9A">
        <w:rPr>
          <w:rStyle w:val="StyleUnderline"/>
        </w:rPr>
        <w:t xml:space="preserve"> to be </w:t>
      </w:r>
      <w:r w:rsidRPr="00BB6F9A">
        <w:rPr>
          <w:rStyle w:val="StyleUnderline"/>
          <w:highlight w:val="cyan"/>
        </w:rPr>
        <w:t>attained</w:t>
      </w:r>
      <w:r w:rsidRPr="00BB6F9A">
        <w:rPr>
          <w:rStyle w:val="StyleUnderline"/>
        </w:rPr>
        <w:t xml:space="preserve"> at a </w:t>
      </w:r>
      <w:r w:rsidRPr="00BB6F9A">
        <w:rPr>
          <w:rStyle w:val="Emphasis"/>
          <w:highlight w:val="cyan"/>
        </w:rPr>
        <w:t>later</w:t>
      </w:r>
      <w:r w:rsidRPr="00BB6F9A">
        <w:rPr>
          <w:rStyle w:val="StyleUnderline"/>
        </w:rPr>
        <w:t xml:space="preserve"> time."</w:t>
      </w:r>
      <w:r w:rsidRPr="00BB6F9A">
        <w:rPr>
          <w:sz w:val="16"/>
        </w:rPr>
        <w:t xml:space="preserve"> 70</w:t>
      </w:r>
    </w:p>
    <w:p w14:paraId="52296842" w14:textId="77777777" w:rsidR="009711F3" w:rsidRPr="00BB6F9A" w:rsidRDefault="009711F3" w:rsidP="009711F3">
      <w:pPr>
        <w:rPr>
          <w:sz w:val="16"/>
        </w:rPr>
      </w:pPr>
      <w:r w:rsidRPr="00BB6F9A">
        <w:rPr>
          <w:sz w:val="16"/>
        </w:rPr>
        <w:t>[FOOTNOTE 70 BEGINS]</w:t>
      </w:r>
    </w:p>
    <w:p w14:paraId="1991975A" w14:textId="77777777" w:rsidR="009711F3" w:rsidRPr="00BB6F9A" w:rsidRDefault="009711F3" w:rsidP="009711F3">
      <w:pPr>
        <w:rPr>
          <w:sz w:val="16"/>
        </w:rPr>
      </w:pPr>
      <w:r w:rsidRPr="00BB6F9A">
        <w:rPr>
          <w:sz w:val="16"/>
        </w:rPr>
        <w:t xml:space="preserve">70. 1987-88 NLADA PERFORMANCE STANDARDS, supra note 68. Both the Original ABA Guidelines and the 2003 revision adhere to the same view of counsel's duties. As summarized in the Guidelines, these </w:t>
      </w:r>
      <w:r w:rsidRPr="00246145">
        <w:rPr>
          <w:rStyle w:val="StyleUnderline"/>
          <w:highlight w:val="cyan"/>
        </w:rPr>
        <w:t xml:space="preserve">duties are </w:t>
      </w:r>
      <w:r w:rsidRPr="00246145">
        <w:rPr>
          <w:rStyle w:val="Emphasis"/>
          <w:highlight w:val="cyan"/>
        </w:rPr>
        <w:t>not aspirational</w:t>
      </w:r>
      <w:r w:rsidRPr="00246145">
        <w:rPr>
          <w:rStyle w:val="StyleUnderline"/>
          <w:highlight w:val="cyan"/>
        </w:rPr>
        <w:t>, but</w:t>
      </w:r>
      <w:r w:rsidRPr="00ED2059">
        <w:rPr>
          <w:rStyle w:val="StyleUnderline"/>
        </w:rPr>
        <w:t xml:space="preserve"> reflect </w:t>
      </w:r>
      <w:r w:rsidRPr="00246145">
        <w:rPr>
          <w:rStyle w:val="StyleUnderline"/>
          <w:highlight w:val="cyan"/>
        </w:rPr>
        <w:t>what</w:t>
      </w:r>
      <w:r w:rsidRPr="00ED2059">
        <w:rPr>
          <w:rStyle w:val="StyleUnderline"/>
        </w:rPr>
        <w:t xml:space="preserve"> counsel </w:t>
      </w:r>
      <w:r w:rsidRPr="00246145">
        <w:rPr>
          <w:rStyle w:val="StyleUnderline"/>
        </w:rPr>
        <w:t>ought</w:t>
      </w:r>
      <w:r w:rsidRPr="00ED2059">
        <w:rPr>
          <w:rStyle w:val="StyleUnderline"/>
        </w:rPr>
        <w:t xml:space="preserve"> </w:t>
      </w:r>
      <w:r w:rsidRPr="00246145">
        <w:rPr>
          <w:rStyle w:val="StyleUnderline"/>
          <w:highlight w:val="cyan"/>
        </w:rPr>
        <w:t xml:space="preserve">to do </w:t>
      </w:r>
      <w:r w:rsidRPr="00246145">
        <w:rPr>
          <w:rStyle w:val="Emphasis"/>
          <w:highlight w:val="cyan"/>
        </w:rPr>
        <w:t>now</w:t>
      </w:r>
      <w:r w:rsidRPr="00BB6F9A">
        <w:rPr>
          <w:sz w:val="16"/>
        </w:rPr>
        <w:t xml:space="preserve"> based on prevailing norms. </w:t>
      </w:r>
      <w:r w:rsidRPr="00ED2059">
        <w:rPr>
          <w:rStyle w:val="StyleUnderline"/>
        </w:rPr>
        <w:t>See ABA Revised Guidelines</w:t>
      </w:r>
      <w:r w:rsidRPr="00BB6F9A">
        <w:rPr>
          <w:sz w:val="16"/>
        </w:rPr>
        <w:t>, supra note 2, at 919 n. 1 ("</w:t>
      </w:r>
      <w:r w:rsidRPr="00ED2059">
        <w:rPr>
          <w:rStyle w:val="StyleUnderline"/>
        </w:rPr>
        <w:t xml:space="preserve">As in the first edition 'should' is a </w:t>
      </w:r>
      <w:r w:rsidRPr="00ED2059">
        <w:rPr>
          <w:rStyle w:val="Emphasis"/>
        </w:rPr>
        <w:t>mandatory</w:t>
      </w:r>
      <w:r w:rsidRPr="00ED2059">
        <w:rPr>
          <w:rStyle w:val="StyleUnderline"/>
        </w:rPr>
        <w:t xml:space="preserve"> term</w:t>
      </w:r>
      <w:r w:rsidRPr="00BB6F9A">
        <w:rPr>
          <w:sz w:val="16"/>
        </w:rPr>
        <w:t>.").</w:t>
      </w:r>
    </w:p>
    <w:p w14:paraId="01681657" w14:textId="77777777" w:rsidR="009711F3" w:rsidRDefault="009711F3" w:rsidP="009711F3">
      <w:pPr>
        <w:rPr>
          <w:sz w:val="16"/>
        </w:rPr>
      </w:pPr>
      <w:r w:rsidRPr="00BB6F9A">
        <w:rPr>
          <w:sz w:val="16"/>
        </w:rPr>
        <w:t>[FOOTNOTE 70 ENDS]</w:t>
      </w:r>
    </w:p>
    <w:p w14:paraId="5D747125" w14:textId="361F2D2F" w:rsidR="009711F3" w:rsidRDefault="009711F3" w:rsidP="009711F3">
      <w:pPr>
        <w:pStyle w:val="Heading4"/>
      </w:pPr>
      <w:r>
        <w:t xml:space="preserve">The counterplan is </w:t>
      </w:r>
      <w:r w:rsidRPr="009711F3">
        <w:rPr>
          <w:u w:val="single"/>
        </w:rPr>
        <w:t>distinct</w:t>
      </w:r>
      <w:r>
        <w:t xml:space="preserve">: It’s neither </w:t>
      </w:r>
      <w:r w:rsidRPr="009711F3">
        <w:rPr>
          <w:u w:val="single"/>
        </w:rPr>
        <w:t>certain</w:t>
      </w:r>
      <w:r>
        <w:t xml:space="preserve"> nor </w:t>
      </w:r>
      <w:r w:rsidRPr="009711F3">
        <w:rPr>
          <w:u w:val="single"/>
        </w:rPr>
        <w:t>immediate</w:t>
      </w:r>
      <w:r>
        <w:t xml:space="preserve"> because there’s </w:t>
      </w:r>
      <w:r w:rsidRPr="009711F3">
        <w:rPr>
          <w:u w:val="single"/>
        </w:rPr>
        <w:t>no guarantee</w:t>
      </w:r>
      <w:r>
        <w:t xml:space="preserve"> that the Arctic Council will </w:t>
      </w:r>
      <w:r w:rsidRPr="009711F3">
        <w:rPr>
          <w:u w:val="single"/>
        </w:rPr>
        <w:t>say yes</w:t>
      </w:r>
      <w:r>
        <w:t xml:space="preserve"> and the process of consultation is </w:t>
      </w:r>
      <w:r w:rsidRPr="009711F3">
        <w:rPr>
          <w:u w:val="single"/>
        </w:rPr>
        <w:t>time consuming</w:t>
      </w:r>
      <w:r>
        <w:t>.</w:t>
      </w:r>
    </w:p>
    <w:p w14:paraId="4DF57F5F" w14:textId="77777777" w:rsidR="006C6AF4" w:rsidRPr="006C6AF4" w:rsidRDefault="006C6AF4" w:rsidP="006C6AF4"/>
    <w:bookmarkEnd w:id="1"/>
    <w:bookmarkEnd w:id="2"/>
    <w:p w14:paraId="35CDCE11" w14:textId="77777777" w:rsidR="009711F3" w:rsidRDefault="009711F3" w:rsidP="009711F3">
      <w:pPr>
        <w:pStyle w:val="Heading4"/>
      </w:pPr>
      <w:r w:rsidRPr="00586EB6">
        <w:rPr>
          <w:u w:val="single"/>
        </w:rPr>
        <w:t>Prefer</w:t>
      </w:r>
      <w:r w:rsidRPr="009711F3">
        <w:t xml:space="preserve"> our interpretation</w:t>
      </w:r>
      <w:r>
        <w:t xml:space="preserve">: </w:t>
      </w:r>
    </w:p>
    <w:p w14:paraId="3808B6D5" w14:textId="60E89F74" w:rsidR="006C6AF4" w:rsidRPr="006C6AF4" w:rsidRDefault="009711F3" w:rsidP="00D70559">
      <w:pPr>
        <w:pStyle w:val="Heading4"/>
      </w:pPr>
      <w:r>
        <w:t xml:space="preserve">1. </w:t>
      </w:r>
      <w:r w:rsidR="006C6AF4" w:rsidRPr="006C6AF4">
        <w:rPr>
          <w:u w:val="single"/>
        </w:rPr>
        <w:t>LIMITS</w:t>
      </w:r>
      <w:r w:rsidR="006C6AF4">
        <w:t xml:space="preserve">. Their interpretation defines the </w:t>
      </w:r>
      <w:r w:rsidR="006C6AF4" w:rsidRPr="006C6AF4">
        <w:rPr>
          <w:u w:val="single"/>
        </w:rPr>
        <w:t>Consult CP</w:t>
      </w:r>
      <w:r w:rsidR="006C6AF4">
        <w:t xml:space="preserve"> as a </w:t>
      </w:r>
      <w:r w:rsidR="006C6AF4" w:rsidRPr="006C6AF4">
        <w:rPr>
          <w:u w:val="single"/>
        </w:rPr>
        <w:t>topical</w:t>
      </w:r>
      <w:r w:rsidR="006C6AF4">
        <w:t xml:space="preserve"> AFF, which is </w:t>
      </w:r>
      <w:r w:rsidR="006C6AF4" w:rsidRPr="006C6AF4">
        <w:rPr>
          <w:u w:val="single"/>
        </w:rPr>
        <w:t>unfair</w:t>
      </w:r>
      <w:r w:rsidR="006C6AF4">
        <w:t>---</w:t>
      </w:r>
      <w:r w:rsidR="00D70559">
        <w:t xml:space="preserve">adding consult to every AFF would </w:t>
      </w:r>
    </w:p>
    <w:p w14:paraId="34C70F74" w14:textId="573A1E26" w:rsidR="006C6AF4" w:rsidRPr="006C6AF4" w:rsidRDefault="006C6AF4" w:rsidP="00D70559">
      <w:pPr>
        <w:pStyle w:val="Heading4"/>
      </w:pPr>
      <w:r>
        <w:t xml:space="preserve">2. </w:t>
      </w:r>
      <w:r w:rsidR="009711F3" w:rsidRPr="009711F3">
        <w:rPr>
          <w:u w:val="single"/>
        </w:rPr>
        <w:t>NEG GROUND</w:t>
      </w:r>
      <w:r w:rsidR="009711F3">
        <w:t xml:space="preserve">. Ensuring that the AFF is both certain and immediate is </w:t>
      </w:r>
      <w:r w:rsidR="009711F3" w:rsidRPr="00D70559">
        <w:rPr>
          <w:u w:val="single"/>
        </w:rPr>
        <w:t>necessary</w:t>
      </w:r>
      <w:r w:rsidR="009711F3">
        <w:t>---</w:t>
      </w:r>
      <w:r w:rsidR="00D70559">
        <w:t xml:space="preserve">every disad </w:t>
      </w:r>
      <w:r w:rsidR="009711F3">
        <w:t>rel</w:t>
      </w:r>
      <w:r w:rsidR="00D70559">
        <w:t>ies</w:t>
      </w:r>
      <w:r w:rsidR="009711F3">
        <w:t xml:space="preserve"> on</w:t>
      </w:r>
      <w:r w:rsidR="00D70559">
        <w:t xml:space="preserve"> the guarantee that the </w:t>
      </w:r>
      <w:r w:rsidR="009711F3">
        <w:t xml:space="preserve"> </w:t>
      </w:r>
      <w:r w:rsidR="009711F3" w:rsidRPr="00AE165E">
        <w:rPr>
          <w:u w:val="single"/>
        </w:rPr>
        <w:t>guaranteed</w:t>
      </w:r>
      <w:r w:rsidR="009711F3">
        <w:t xml:space="preserve"> implementation</w:t>
      </w:r>
      <w:r w:rsidR="00D70559">
        <w:t xml:space="preserve"> of the plan</w:t>
      </w:r>
      <w:r w:rsidR="009711F3">
        <w:t xml:space="preserve">. </w:t>
      </w:r>
    </w:p>
    <w:p w14:paraId="08BDF9B6" w14:textId="47ECC259" w:rsidR="006C6AF4" w:rsidRPr="006C6AF4" w:rsidRDefault="00D70559" w:rsidP="00D70559">
      <w:pPr>
        <w:pStyle w:val="Heading4"/>
      </w:pPr>
      <w:r>
        <w:t xml:space="preserve">3. </w:t>
      </w:r>
      <w:r w:rsidRPr="00D70559">
        <w:rPr>
          <w:u w:val="single"/>
        </w:rPr>
        <w:t>EDUCATION</w:t>
      </w:r>
      <w:r>
        <w:t xml:space="preserve">. The Arctic Council is a </w:t>
      </w:r>
      <w:r w:rsidRPr="00D70559">
        <w:rPr>
          <w:u w:val="single"/>
        </w:rPr>
        <w:t>core</w:t>
      </w:r>
      <w:r>
        <w:t xml:space="preserve"> part of the topic, and debates about </w:t>
      </w:r>
      <w:r w:rsidRPr="00D70559">
        <w:rPr>
          <w:u w:val="single"/>
        </w:rPr>
        <w:t>unilateral</w:t>
      </w:r>
      <w:r>
        <w:t xml:space="preserve"> vs. </w:t>
      </w:r>
      <w:r w:rsidRPr="00D70559">
        <w:rPr>
          <w:u w:val="single"/>
        </w:rPr>
        <w:t>multilateral</w:t>
      </w:r>
      <w:r>
        <w:t xml:space="preserve"> action in the Arctic are </w:t>
      </w:r>
      <w:r w:rsidRPr="00D70559">
        <w:rPr>
          <w:u w:val="single"/>
        </w:rPr>
        <w:t>good</w:t>
      </w:r>
      <w:r>
        <w:t>.</w:t>
      </w:r>
    </w:p>
    <w:sectPr w:rsidR="006C6AF4" w:rsidRPr="006C6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B6D"/>
    <w:rsid w:val="00036F40"/>
    <w:rsid w:val="000550E0"/>
    <w:rsid w:val="00081A61"/>
    <w:rsid w:val="000B3896"/>
    <w:rsid w:val="00177C2D"/>
    <w:rsid w:val="001C1B6D"/>
    <w:rsid w:val="00355344"/>
    <w:rsid w:val="00432813"/>
    <w:rsid w:val="004D63CA"/>
    <w:rsid w:val="0057365E"/>
    <w:rsid w:val="005D4359"/>
    <w:rsid w:val="006C6AF4"/>
    <w:rsid w:val="008D7DE9"/>
    <w:rsid w:val="00907519"/>
    <w:rsid w:val="009209EC"/>
    <w:rsid w:val="009711F3"/>
    <w:rsid w:val="00AC1345"/>
    <w:rsid w:val="00B17B0A"/>
    <w:rsid w:val="00B91133"/>
    <w:rsid w:val="00BC14F1"/>
    <w:rsid w:val="00D20DF2"/>
    <w:rsid w:val="00D27592"/>
    <w:rsid w:val="00D70559"/>
    <w:rsid w:val="00E87D50"/>
    <w:rsid w:val="00EA5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4E0CB"/>
  <w15:chartTrackingRefBased/>
  <w15:docId w15:val="{E47D5409-1D4E-4B68-9C4E-B57FF8222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63C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D63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D63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D63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4D63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63C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C1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D63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63CA"/>
  </w:style>
  <w:style w:type="character" w:customStyle="1" w:styleId="Heading1Char">
    <w:name w:val="Heading 1 Char"/>
    <w:aliases w:val="Pocket Char"/>
    <w:basedOn w:val="DefaultParagraphFont"/>
    <w:link w:val="Heading1"/>
    <w:rsid w:val="004D63C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D63C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D63C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D63C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D63C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C1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B6D"/>
    <w:rPr>
      <w:rFonts w:eastAsiaTheme="majorEastAsia" w:cstheme="majorBidi"/>
      <w:color w:val="272727" w:themeColor="text1" w:themeTint="D8"/>
    </w:rPr>
  </w:style>
  <w:style w:type="paragraph" w:styleId="Title">
    <w:name w:val="Title"/>
    <w:basedOn w:val="Normal"/>
    <w:next w:val="Normal"/>
    <w:link w:val="TitleChar"/>
    <w:uiPriority w:val="10"/>
    <w:qFormat/>
    <w:rsid w:val="001C1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B6D"/>
    <w:pPr>
      <w:spacing w:before="160"/>
      <w:jc w:val="center"/>
    </w:pPr>
    <w:rPr>
      <w:i/>
      <w:iCs/>
      <w:color w:val="404040" w:themeColor="text1" w:themeTint="BF"/>
    </w:rPr>
  </w:style>
  <w:style w:type="character" w:customStyle="1" w:styleId="QuoteChar">
    <w:name w:val="Quote Char"/>
    <w:basedOn w:val="DefaultParagraphFont"/>
    <w:link w:val="Quote"/>
    <w:uiPriority w:val="29"/>
    <w:rsid w:val="001C1B6D"/>
    <w:rPr>
      <w:i/>
      <w:iCs/>
      <w:color w:val="404040" w:themeColor="text1" w:themeTint="BF"/>
    </w:rPr>
  </w:style>
  <w:style w:type="paragraph" w:styleId="ListParagraph">
    <w:name w:val="List Paragraph"/>
    <w:basedOn w:val="Normal"/>
    <w:uiPriority w:val="34"/>
    <w:qFormat/>
    <w:rsid w:val="001C1B6D"/>
    <w:pPr>
      <w:ind w:left="720"/>
      <w:contextualSpacing/>
    </w:pPr>
  </w:style>
  <w:style w:type="character" w:styleId="IntenseEmphasis">
    <w:name w:val="Intense Emphasis"/>
    <w:basedOn w:val="DefaultParagraphFont"/>
    <w:uiPriority w:val="21"/>
    <w:qFormat/>
    <w:rsid w:val="001C1B6D"/>
    <w:rPr>
      <w:i/>
      <w:iCs/>
      <w:color w:val="0F4761" w:themeColor="accent1" w:themeShade="BF"/>
    </w:rPr>
  </w:style>
  <w:style w:type="paragraph" w:styleId="IntenseQuote">
    <w:name w:val="Intense Quote"/>
    <w:basedOn w:val="Normal"/>
    <w:next w:val="Normal"/>
    <w:link w:val="IntenseQuoteChar"/>
    <w:uiPriority w:val="30"/>
    <w:qFormat/>
    <w:rsid w:val="001C1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B6D"/>
    <w:rPr>
      <w:i/>
      <w:iCs/>
      <w:color w:val="0F4761" w:themeColor="accent1" w:themeShade="BF"/>
    </w:rPr>
  </w:style>
  <w:style w:type="character" w:styleId="IntenseReference">
    <w:name w:val="Intense Reference"/>
    <w:basedOn w:val="DefaultParagraphFont"/>
    <w:uiPriority w:val="32"/>
    <w:qFormat/>
    <w:rsid w:val="001C1B6D"/>
    <w:rPr>
      <w:b/>
      <w:bCs/>
      <w:smallCaps/>
      <w:color w:val="0F4761" w:themeColor="accent1" w:themeShade="BF"/>
      <w:spacing w:val="5"/>
    </w:rPr>
  </w:style>
  <w:style w:type="character" w:styleId="Emphasis">
    <w:name w:val="Emphasis"/>
    <w:basedOn w:val="DefaultParagraphFont"/>
    <w:uiPriority w:val="8"/>
    <w:qFormat/>
    <w:rsid w:val="004D63C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D63C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D63CA"/>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
    <w:basedOn w:val="DefaultParagraphFont"/>
    <w:uiPriority w:val="7"/>
    <w:qFormat/>
    <w:rsid w:val="004D63CA"/>
    <w:rPr>
      <w:b w:val="0"/>
      <w:sz w:val="22"/>
      <w:u w:val="single"/>
    </w:rPr>
  </w:style>
  <w:style w:type="character" w:styleId="Strong">
    <w:name w:val="Strong"/>
    <w:basedOn w:val="DefaultParagraphFont"/>
    <w:uiPriority w:val="22"/>
    <w:qFormat/>
    <w:rsid w:val="004D63CA"/>
    <w:rPr>
      <w:b/>
      <w:bCs/>
    </w:rPr>
  </w:style>
  <w:style w:type="character" w:styleId="BookTitle">
    <w:name w:val="Book Title"/>
    <w:basedOn w:val="DefaultParagraphFont"/>
    <w:uiPriority w:val="33"/>
    <w:qFormat/>
    <w:rsid w:val="004D63CA"/>
    <w:rPr>
      <w:b/>
      <w:bCs/>
      <w:i/>
      <w:iCs/>
      <w:spacing w:val="5"/>
    </w:rPr>
  </w:style>
  <w:style w:type="numbering" w:styleId="111111">
    <w:name w:val="Outline List 2"/>
    <w:basedOn w:val="NoList"/>
    <w:uiPriority w:val="99"/>
    <w:semiHidden/>
    <w:unhideWhenUsed/>
    <w:rsid w:val="004D63CA"/>
  </w:style>
  <w:style w:type="paragraph" w:styleId="Header">
    <w:name w:val="header"/>
    <w:basedOn w:val="Normal"/>
    <w:link w:val="HeaderChar"/>
    <w:uiPriority w:val="99"/>
    <w:semiHidden/>
    <w:rsid w:val="004D63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63CA"/>
    <w:rPr>
      <w:rFonts w:ascii="Calibri" w:hAnsi="Calibri" w:cs="Calibri"/>
      <w:kern w:val="0"/>
      <w:sz w:val="22"/>
      <w:szCs w:val="22"/>
      <w14:ligatures w14:val="none"/>
    </w:rPr>
  </w:style>
  <w:style w:type="paragraph" w:styleId="Footer">
    <w:name w:val="footer"/>
    <w:basedOn w:val="Normal"/>
    <w:link w:val="FooterChar"/>
    <w:uiPriority w:val="99"/>
    <w:semiHidden/>
    <w:rsid w:val="004D63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63C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D63CA"/>
    <w:pPr>
      <w:spacing w:after="120"/>
    </w:pPr>
  </w:style>
  <w:style w:type="character" w:customStyle="1" w:styleId="BodyTextChar">
    <w:name w:val="Body Text Char"/>
    <w:basedOn w:val="DefaultParagraphFont"/>
    <w:link w:val="BodyText"/>
    <w:uiPriority w:val="99"/>
    <w:semiHidden/>
    <w:rsid w:val="004D63CA"/>
    <w:rPr>
      <w:rFonts w:ascii="Calibri" w:hAnsi="Calibri" w:cs="Calibri"/>
      <w:kern w:val="0"/>
      <w:sz w:val="22"/>
      <w:szCs w:val="22"/>
      <w14:ligatures w14:val="none"/>
    </w:rPr>
  </w:style>
  <w:style w:type="paragraph" w:styleId="NoSpacing">
    <w:name w:val="No Spacing"/>
    <w:link w:val="NoSpacingChar"/>
    <w:uiPriority w:val="99"/>
    <w:unhideWhenUsed/>
    <w:qFormat/>
    <w:rsid w:val="004D63C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D63CA"/>
    <w:rPr>
      <w:rFonts w:ascii="Calibri" w:hAnsi="Calibri" w:cs="Calibri"/>
      <w:kern w:val="0"/>
      <w:sz w:val="22"/>
      <w:szCs w:val="22"/>
      <w14:ligatures w14:val="none"/>
    </w:rPr>
  </w:style>
  <w:style w:type="character" w:styleId="Hyperlink">
    <w:name w:val="Hyperlink"/>
    <w:basedOn w:val="DefaultParagraphFont"/>
    <w:uiPriority w:val="99"/>
    <w:unhideWhenUsed/>
    <w:rsid w:val="004D63CA"/>
    <w:rPr>
      <w:color w:val="467886" w:themeColor="hyperlink"/>
      <w:u w:val="single"/>
    </w:rPr>
  </w:style>
  <w:style w:type="character" w:styleId="UnresolvedMention">
    <w:name w:val="Unresolved Mention"/>
    <w:basedOn w:val="DefaultParagraphFont"/>
    <w:uiPriority w:val="99"/>
    <w:semiHidden/>
    <w:unhideWhenUsed/>
    <w:rsid w:val="004D63CA"/>
    <w:rPr>
      <w:color w:val="605E5C"/>
      <w:shd w:val="clear" w:color="auto" w:fill="E1DFDD"/>
    </w:rPr>
  </w:style>
  <w:style w:type="paragraph" w:customStyle="1" w:styleId="Undertag">
    <w:name w:val="Undertag"/>
    <w:link w:val="UndertagChar"/>
    <w:autoRedefine/>
    <w:uiPriority w:val="5"/>
    <w:qFormat/>
    <w:rsid w:val="00D27592"/>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D27592"/>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D27592"/>
    <w:rPr>
      <w:color w:val="75100D"/>
    </w:rPr>
  </w:style>
  <w:style w:type="character" w:customStyle="1" w:styleId="AnalyticChar">
    <w:name w:val="Analytic Char"/>
    <w:basedOn w:val="DefaultParagraphFont"/>
    <w:link w:val="Analytic"/>
    <w:uiPriority w:val="5"/>
    <w:rsid w:val="00D27592"/>
    <w:rPr>
      <w:rFonts w:ascii="Calibri" w:eastAsiaTheme="majorEastAsia" w:hAnsi="Calibri" w:cstheme="majorBidi"/>
      <w:b/>
      <w:iCs/>
      <w:color w:val="75100D"/>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1874</Words>
  <Characters>10685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Morris, Eric R</cp:lastModifiedBy>
  <cp:revision>3</cp:revision>
  <dcterms:created xsi:type="dcterms:W3CDTF">2025-07-07T02:16:00Z</dcterms:created>
  <dcterms:modified xsi:type="dcterms:W3CDTF">2025-07-31T18:38:00Z</dcterms:modified>
</cp:coreProperties>
</file>