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5CC8A" w14:textId="2AD80846" w:rsidR="00551C7F" w:rsidRDefault="00551C7F" w:rsidP="006F2C07">
      <w:pPr>
        <w:pStyle w:val="Heading1"/>
      </w:pPr>
      <w:r>
        <w:t>Notes</w:t>
      </w:r>
    </w:p>
    <w:p w14:paraId="7FB7D1A1" w14:textId="344517FF" w:rsidR="00551C7F" w:rsidRPr="00551C7F" w:rsidRDefault="00551C7F" w:rsidP="00551C7F">
      <w:r>
        <w:t xml:space="preserve">It is not the explore the Arctic for Big Foot, but good work by Sophie, Matthew, Zarar, Andrew, and Miao. We will turn out an addendum to the </w:t>
      </w:r>
      <w:proofErr w:type="spellStart"/>
      <w:r>
        <w:t>aff</w:t>
      </w:r>
      <w:proofErr w:type="spellEnd"/>
      <w:r>
        <w:t xml:space="preserve"> and neg, but you should also use the work in the geoengineering files turned out elsewhere. </w:t>
      </w:r>
    </w:p>
    <w:p w14:paraId="2B8E4286" w14:textId="1EB76F4E" w:rsidR="006F2C07" w:rsidRDefault="006F2C07" w:rsidP="006F2C07">
      <w:pPr>
        <w:pStyle w:val="Heading1"/>
      </w:pPr>
      <w:r>
        <w:t>Aff</w:t>
      </w:r>
    </w:p>
    <w:p w14:paraId="0B9ACCCC" w14:textId="77777777" w:rsidR="006F2C07" w:rsidRDefault="006F2C07" w:rsidP="006F2C07">
      <w:pPr>
        <w:pStyle w:val="Heading2"/>
      </w:pPr>
      <w:r>
        <w:t>1AC---Geoengineering Pilots</w:t>
      </w:r>
    </w:p>
    <w:p w14:paraId="4CAF77D7" w14:textId="77777777" w:rsidR="006F2C07" w:rsidRDefault="006F2C07" w:rsidP="006F2C07">
      <w:pPr>
        <w:pStyle w:val="Heading3"/>
      </w:pPr>
      <w:r>
        <w:t>1AC---Climate</w:t>
      </w:r>
    </w:p>
    <w:p w14:paraId="029542C2" w14:textId="77777777" w:rsidR="006F2C07" w:rsidRDefault="006F2C07" w:rsidP="006F2C07">
      <w:pPr>
        <w:pStyle w:val="Heading4"/>
      </w:pPr>
      <w:r>
        <w:t>Rising emissions means even the most ambitious climate efforts fail --- only examining geoengineering possibilities now balances potential upsides with catastrophic risks.</w:t>
      </w:r>
    </w:p>
    <w:p w14:paraId="332EC32D" w14:textId="77777777" w:rsidR="006F2C07" w:rsidRPr="004B5795" w:rsidRDefault="006F2C07" w:rsidP="006F2C07">
      <w:proofErr w:type="spellStart"/>
      <w:r w:rsidRPr="009D3498">
        <w:rPr>
          <w:rStyle w:val="Style13ptBold"/>
        </w:rPr>
        <w:t>MacAyeal</w:t>
      </w:r>
      <w:proofErr w:type="spellEnd"/>
      <w:r w:rsidRPr="009D3498">
        <w:rPr>
          <w:rStyle w:val="Style13ptBold"/>
        </w:rPr>
        <w:t xml:space="preserve"> et al</w:t>
      </w:r>
      <w:r>
        <w:t xml:space="preserve"> </w:t>
      </w:r>
      <w:proofErr w:type="gramStart"/>
      <w:r w:rsidRPr="009D3498">
        <w:rPr>
          <w:rStyle w:val="Style13ptBold"/>
        </w:rPr>
        <w:t>24</w:t>
      </w:r>
      <w:r>
        <w:t>,---</w:t>
      </w:r>
      <w:proofErr w:type="gramEnd"/>
      <w:r>
        <w:t xml:space="preserve">Professor Emeritus in the Department of Geophysical Sciences at University of Chicago. (Douglas, Kenneth Mankoff, Brent Minchew, John </w:t>
      </w:r>
      <w:proofErr w:type="gramStart"/>
      <w:r>
        <w:t>Moore ,</w:t>
      </w:r>
      <w:proofErr w:type="gramEnd"/>
      <w:r>
        <w:t xml:space="preserve"> and Michael </w:t>
      </w:r>
      <w:proofErr w:type="spellStart"/>
      <w:r>
        <w:t>Wolovick</w:t>
      </w:r>
      <w:proofErr w:type="spellEnd"/>
      <w:r>
        <w:t>; “Glacial Climate Intervention: A Research Vision” p. 21-22, The Institute for Climate and Sustainable Growth, 5/5/24, https://climateengineering.uchicago.edu/wp-content/uploads/sites/6/2025/06/Glacial-Climate-Intervention_A-Research-Vision.pdf)</w:t>
      </w:r>
    </w:p>
    <w:p w14:paraId="24025FC1" w14:textId="77777777" w:rsidR="006F2C07" w:rsidRPr="009E3AFB" w:rsidRDefault="006F2C07" w:rsidP="006F2C07">
      <w:pPr>
        <w:rPr>
          <w:sz w:val="16"/>
        </w:rPr>
      </w:pPr>
      <w:r w:rsidRPr="009E3AFB">
        <w:rPr>
          <w:sz w:val="16"/>
        </w:rPr>
        <w:t xml:space="preserve"> </w:t>
      </w:r>
      <w:proofErr w:type="gramStart"/>
      <w:r w:rsidRPr="009E3AFB">
        <w:rPr>
          <w:sz w:val="16"/>
        </w:rPr>
        <w:t>4.0  Conclusion</w:t>
      </w:r>
      <w:proofErr w:type="gramEnd"/>
      <w:r w:rsidRPr="009E3AFB">
        <w:rPr>
          <w:sz w:val="16"/>
        </w:rPr>
        <w:t>: To Where Should Glaciological Science Evolve?</w:t>
      </w:r>
    </w:p>
    <w:p w14:paraId="0A2047C2" w14:textId="77777777" w:rsidR="006F2C07" w:rsidRPr="009E3AFB" w:rsidRDefault="006F2C07" w:rsidP="006F2C07">
      <w:pPr>
        <w:rPr>
          <w:sz w:val="16"/>
        </w:rPr>
      </w:pPr>
      <w:r w:rsidRPr="009E3AFB">
        <w:rPr>
          <w:rStyle w:val="StyleUnderline"/>
          <w:highlight w:val="cyan"/>
        </w:rPr>
        <w:t>In 1990</w:t>
      </w:r>
      <w:r w:rsidRPr="009E3AFB">
        <w:rPr>
          <w:rStyle w:val="StyleUnderline"/>
        </w:rPr>
        <w:t>,</w:t>
      </w:r>
      <w:r w:rsidRPr="009E3AFB">
        <w:rPr>
          <w:sz w:val="16"/>
        </w:rPr>
        <w:t xml:space="preserve"> when the Intergovernmental Panel on Climate Change first assessment report (FAR) was released, </w:t>
      </w:r>
      <w:r w:rsidRPr="00B16E6E">
        <w:rPr>
          <w:rStyle w:val="StyleUnderline"/>
        </w:rPr>
        <w:t xml:space="preserve">global </w:t>
      </w:r>
      <w:r w:rsidRPr="009E3AFB">
        <w:rPr>
          <w:rStyle w:val="StyleUnderline"/>
          <w:highlight w:val="cyan"/>
        </w:rPr>
        <w:t xml:space="preserve">CO2 emissions were 22.8 billion metric tons per </w:t>
      </w:r>
      <w:proofErr w:type="gramStart"/>
      <w:r w:rsidRPr="009E3AFB">
        <w:rPr>
          <w:rStyle w:val="StyleUnderline"/>
          <w:highlight w:val="cyan"/>
        </w:rPr>
        <w:t>year</w:t>
      </w:r>
      <w:proofErr w:type="gramEnd"/>
      <w:r w:rsidRPr="00B16E6E">
        <w:rPr>
          <w:rStyle w:val="StyleUnderline"/>
        </w:rPr>
        <w:t xml:space="preserve"> and atmospheric CO2 concentration was 354.5 ppm. </w:t>
      </w:r>
      <w:r w:rsidRPr="009E3AFB">
        <w:rPr>
          <w:rStyle w:val="StyleUnderline"/>
          <w:highlight w:val="cyan"/>
        </w:rPr>
        <w:t>Today, the figures are 37.6 billion</w:t>
      </w:r>
      <w:r w:rsidRPr="00B16E6E">
        <w:rPr>
          <w:rStyle w:val="StyleUnderline"/>
        </w:rPr>
        <w:t xml:space="preserve"> metric tons per year and 421.9 ppm, respectively. These metrics indicate that </w:t>
      </w:r>
      <w:r w:rsidRPr="009E3AFB">
        <w:rPr>
          <w:rStyle w:val="StyleUnderline"/>
          <w:highlight w:val="cyan"/>
        </w:rPr>
        <w:t>the world has done little to slow</w:t>
      </w:r>
      <w:r w:rsidRPr="00B16E6E">
        <w:rPr>
          <w:rStyle w:val="StyleUnderline"/>
        </w:rPr>
        <w:t xml:space="preserve"> the </w:t>
      </w:r>
      <w:r w:rsidRPr="009E3AFB">
        <w:rPr>
          <w:rStyle w:val="StyleUnderline"/>
          <w:highlight w:val="cyan"/>
        </w:rPr>
        <w:t>emission of CO2</w:t>
      </w:r>
      <w:r w:rsidRPr="00B16E6E">
        <w:rPr>
          <w:rStyle w:val="StyleUnderline"/>
        </w:rPr>
        <w:t xml:space="preserve"> in the 34 years since the first official report of the Intergovernmental Panel on Climate Change. </w:t>
      </w:r>
      <w:r w:rsidRPr="009E3AFB">
        <w:rPr>
          <w:rStyle w:val="Emphasis"/>
          <w:highlight w:val="cyan"/>
        </w:rPr>
        <w:t>Climate-system inertia</w:t>
      </w:r>
      <w:r w:rsidRPr="009E3AFB">
        <w:rPr>
          <w:rStyle w:val="StyleUnderline"/>
          <w:highlight w:val="cyan"/>
        </w:rPr>
        <w:t xml:space="preserve"> guarantees</w:t>
      </w:r>
      <w:r w:rsidRPr="00B16E6E">
        <w:rPr>
          <w:rStyle w:val="StyleUnderline"/>
        </w:rPr>
        <w:t xml:space="preserve"> that the consequences of </w:t>
      </w:r>
      <w:r w:rsidRPr="009E3AFB">
        <w:rPr>
          <w:rStyle w:val="StyleUnderline"/>
          <w:highlight w:val="cyan"/>
        </w:rPr>
        <w:t>these emissions will be with us for generations</w:t>
      </w:r>
      <w:r w:rsidRPr="00B16E6E">
        <w:rPr>
          <w:rStyle w:val="StyleUnderline"/>
        </w:rPr>
        <w:t xml:space="preserve">, as will those occurring </w:t>
      </w:r>
      <w:r w:rsidRPr="009E3AFB">
        <w:rPr>
          <w:rStyle w:val="StyleUnderline"/>
          <w:highlight w:val="cyan"/>
        </w:rPr>
        <w:t>even with the most ambitious</w:t>
      </w:r>
      <w:r w:rsidRPr="00B16E6E">
        <w:rPr>
          <w:rStyle w:val="StyleUnderline"/>
        </w:rPr>
        <w:t xml:space="preserve"> feasible emission </w:t>
      </w:r>
      <w:r w:rsidRPr="009E3AFB">
        <w:rPr>
          <w:rStyle w:val="StyleUnderline"/>
          <w:highlight w:val="cyan"/>
        </w:rPr>
        <w:t>mitigation efforts</w:t>
      </w:r>
      <w:r w:rsidRPr="009E3AFB">
        <w:rPr>
          <w:sz w:val="16"/>
        </w:rPr>
        <w:t>.</w:t>
      </w:r>
    </w:p>
    <w:p w14:paraId="136D8C62" w14:textId="77777777" w:rsidR="006F2C07" w:rsidRPr="009E3AFB" w:rsidRDefault="006F2C07" w:rsidP="006F2C07">
      <w:pPr>
        <w:rPr>
          <w:sz w:val="16"/>
        </w:rPr>
      </w:pPr>
      <w:r w:rsidRPr="009E3AFB">
        <w:rPr>
          <w:sz w:val="16"/>
        </w:rPr>
        <w:t xml:space="preserve">That first assessment report by the Intergovernmental Panel on Climate Change raised the specter of accelerating glacier melt propelling accelerated sea-level rise, with catastrophic global consequences. In the ensuing decades, research into the two basic questions that opened this white paper (see the Executive Summary) has had the unexpected practical benefit of uncovering a catastrophic threat to global well-being: dynamic collapse of portions of the Antarctic Ice Sheet, accelerating sea-level rise and the attendant damage to human and natural systems. </w:t>
      </w:r>
      <w:r w:rsidRPr="00B16E6E">
        <w:rPr>
          <w:rStyle w:val="StyleUnderline"/>
        </w:rPr>
        <w:t xml:space="preserve">Deep </w:t>
      </w:r>
      <w:r w:rsidRPr="009E3AFB">
        <w:rPr>
          <w:rStyle w:val="StyleUnderline"/>
          <w:highlight w:val="cyan"/>
        </w:rPr>
        <w:t>uncertainties</w:t>
      </w:r>
      <w:r w:rsidRPr="00B16E6E">
        <w:rPr>
          <w:rStyle w:val="StyleUnderline"/>
        </w:rPr>
        <w:t xml:space="preserve"> remain </w:t>
      </w:r>
      <w:r w:rsidRPr="009E3AFB">
        <w:rPr>
          <w:rStyle w:val="StyleUnderline"/>
          <w:highlight w:val="cyan"/>
        </w:rPr>
        <w:t>about the timing and rate of</w:t>
      </w:r>
      <w:r w:rsidRPr="00B16E6E">
        <w:rPr>
          <w:rStyle w:val="StyleUnderline"/>
        </w:rPr>
        <w:t xml:space="preserve"> potential </w:t>
      </w:r>
      <w:r w:rsidRPr="009E3AFB">
        <w:rPr>
          <w:rStyle w:val="StyleUnderline"/>
          <w:highlight w:val="cyan"/>
        </w:rPr>
        <w:t>ice-sheet collapse, produc</w:t>
      </w:r>
      <w:r w:rsidRPr="00B16E6E">
        <w:rPr>
          <w:rStyle w:val="StyleUnderline"/>
        </w:rPr>
        <w:t xml:space="preserve">ing correspondingly deep </w:t>
      </w:r>
      <w:r w:rsidRPr="009E3AFB">
        <w:rPr>
          <w:rStyle w:val="StyleUnderline"/>
          <w:highlight w:val="cyan"/>
        </w:rPr>
        <w:t>uncertainties in our knowledge of the human impacts</w:t>
      </w:r>
      <w:r w:rsidRPr="00B16E6E">
        <w:rPr>
          <w:rStyle w:val="StyleUnderline"/>
        </w:rPr>
        <w:t xml:space="preserve"> of that collapse. Yet that basic </w:t>
      </w:r>
      <w:r w:rsidRPr="00BC5DD2">
        <w:rPr>
          <w:rStyle w:val="StyleUnderline"/>
          <w:highlight w:val="cyan"/>
        </w:rPr>
        <w:t>research has</w:t>
      </w:r>
      <w:r w:rsidRPr="00B16E6E">
        <w:rPr>
          <w:rStyle w:val="StyleUnderline"/>
        </w:rPr>
        <w:t xml:space="preserve"> also </w:t>
      </w:r>
      <w:r w:rsidRPr="00BC5DD2">
        <w:rPr>
          <w:rStyle w:val="StyleUnderline"/>
          <w:highlight w:val="cyan"/>
        </w:rPr>
        <w:t>identified potential solutions, whose</w:t>
      </w:r>
      <w:r w:rsidRPr="00B16E6E">
        <w:rPr>
          <w:rStyle w:val="StyleUnderline"/>
        </w:rPr>
        <w:t xml:space="preserve"> global </w:t>
      </w:r>
      <w:r w:rsidRPr="00BC5DD2">
        <w:rPr>
          <w:rStyle w:val="StyleUnderline"/>
          <w:highlight w:val="cyan"/>
        </w:rPr>
        <w:t>return on investment might be enormous, but which may</w:t>
      </w:r>
      <w:r w:rsidRPr="00B16E6E">
        <w:rPr>
          <w:rStyle w:val="StyleUnderline"/>
        </w:rPr>
        <w:t xml:space="preserve"> have effects that could </w:t>
      </w:r>
      <w:r w:rsidRPr="00BC5DD2">
        <w:rPr>
          <w:rStyle w:val="StyleUnderline"/>
          <w:highlight w:val="cyan"/>
        </w:rPr>
        <w:t>induce further catastrophes. We see an urgent need to examine these solutions while the window of opportunity</w:t>
      </w:r>
      <w:r w:rsidRPr="009E3AFB">
        <w:rPr>
          <w:rStyle w:val="StyleUnderline"/>
        </w:rPr>
        <w:t xml:space="preserve"> for possible deployment </w:t>
      </w:r>
      <w:r w:rsidRPr="00BC5DD2">
        <w:rPr>
          <w:rStyle w:val="StyleUnderline"/>
          <w:highlight w:val="cyan"/>
        </w:rPr>
        <w:t>is</w:t>
      </w:r>
      <w:r w:rsidRPr="009E3AFB">
        <w:rPr>
          <w:rStyle w:val="StyleUnderline"/>
        </w:rPr>
        <w:t xml:space="preserve"> still </w:t>
      </w:r>
      <w:r w:rsidRPr="00BC5DD2">
        <w:rPr>
          <w:rStyle w:val="StyleUnderline"/>
          <w:highlight w:val="cyan"/>
        </w:rPr>
        <w:t>open</w:t>
      </w:r>
      <w:r w:rsidRPr="009E3AFB">
        <w:rPr>
          <w:sz w:val="16"/>
        </w:rPr>
        <w:t>.</w:t>
      </w:r>
    </w:p>
    <w:p w14:paraId="6CAF5A33" w14:textId="77777777" w:rsidR="006F2C07" w:rsidRPr="009E3AFB" w:rsidRDefault="006F2C07" w:rsidP="006F2C07">
      <w:pPr>
        <w:rPr>
          <w:rStyle w:val="StyleUnderline"/>
        </w:rPr>
      </w:pPr>
      <w:r w:rsidRPr="009E3AFB">
        <w:rPr>
          <w:sz w:val="16"/>
        </w:rPr>
        <w:t xml:space="preserve">Of course, basic research addressing the first two questions (see the Executive Summary) remains urgently needed if the people of the world are to prepare for their shared future. Yet, new research, focused on the three new questions that opened this white paper (in the Executive Summary), is also needed if we are to evaluate options for reducing that threat. </w:t>
      </w:r>
      <w:r w:rsidRPr="00BC5DD2">
        <w:rPr>
          <w:rStyle w:val="StyleUnderline"/>
        </w:rPr>
        <w:t xml:space="preserve">Some of that </w:t>
      </w:r>
      <w:r w:rsidRPr="00BC5DD2">
        <w:rPr>
          <w:rStyle w:val="StyleUnderline"/>
          <w:highlight w:val="cyan"/>
        </w:rPr>
        <w:t>investment will involve basic research</w:t>
      </w:r>
      <w:r w:rsidRPr="00BC5DD2">
        <w:rPr>
          <w:rStyle w:val="StyleUnderline"/>
        </w:rPr>
        <w:t xml:space="preserve"> focused on the topics discussed here, observing and </w:t>
      </w:r>
      <w:r w:rsidRPr="00BC5DD2">
        <w:rPr>
          <w:rStyle w:val="StyleUnderline"/>
          <w:highlight w:val="cyan"/>
        </w:rPr>
        <w:t>modeling</w:t>
      </w:r>
      <w:r w:rsidRPr="00BC5DD2">
        <w:rPr>
          <w:rStyle w:val="StyleUnderline"/>
        </w:rPr>
        <w:t xml:space="preserve"> </w:t>
      </w:r>
      <w:proofErr w:type="gramStart"/>
      <w:r w:rsidRPr="00BC5DD2">
        <w:rPr>
          <w:rStyle w:val="StyleUnderline"/>
        </w:rPr>
        <w:t>glacier</w:t>
      </w:r>
      <w:proofErr w:type="gramEnd"/>
      <w:r w:rsidRPr="00BC5DD2">
        <w:rPr>
          <w:rStyle w:val="StyleUnderline"/>
        </w:rPr>
        <w:t xml:space="preserve">, ocean, and biological </w:t>
      </w:r>
      <w:r w:rsidRPr="00BC5DD2">
        <w:rPr>
          <w:rStyle w:val="StyleUnderline"/>
          <w:highlight w:val="cyan"/>
        </w:rPr>
        <w:t>systems</w:t>
      </w:r>
      <w:r w:rsidRPr="00BC5DD2">
        <w:rPr>
          <w:rStyle w:val="StyleUnderline"/>
        </w:rPr>
        <w:t xml:space="preserve">. Some of that will be basic natural research </w:t>
      </w:r>
      <w:r w:rsidRPr="00BC5DD2">
        <w:rPr>
          <w:rStyle w:val="StyleUnderline"/>
          <w:highlight w:val="cyan"/>
        </w:rPr>
        <w:t>creating the foundations for</w:t>
      </w:r>
      <w:r w:rsidRPr="00BC5DD2">
        <w:rPr>
          <w:rStyle w:val="StyleUnderline"/>
        </w:rPr>
        <w:t xml:space="preserve"> potential </w:t>
      </w:r>
      <w:r w:rsidRPr="00BC5DD2">
        <w:rPr>
          <w:rStyle w:val="StyleUnderline"/>
          <w:highlight w:val="cyan"/>
        </w:rPr>
        <w:t>interventions</w:t>
      </w:r>
      <w:r w:rsidRPr="00BC5DD2">
        <w:rPr>
          <w:rStyle w:val="StyleUnderline"/>
        </w:rPr>
        <w:t xml:space="preserve"> (e.g., ice-stream movement, ecological effects of salinity changes). Some will be basic research involving </w:t>
      </w:r>
      <w:r w:rsidRPr="00BC5DD2">
        <w:rPr>
          <w:rStyle w:val="StyleUnderline"/>
          <w:highlight w:val="cyan"/>
        </w:rPr>
        <w:t>novel collaborations</w:t>
      </w:r>
      <w:r w:rsidRPr="00BC5DD2">
        <w:rPr>
          <w:rStyle w:val="StyleUnderline"/>
        </w:rPr>
        <w:t xml:space="preserve"> with social and engineering scientists. Some</w:t>
      </w:r>
      <w:r w:rsidRPr="009E3AFB">
        <w:rPr>
          <w:rStyle w:val="StyleUnderline"/>
        </w:rPr>
        <w:t xml:space="preserve"> of the </w:t>
      </w:r>
      <w:r w:rsidRPr="00BC5DD2">
        <w:rPr>
          <w:rStyle w:val="StyleUnderline"/>
        </w:rPr>
        <w:t>investment</w:t>
      </w:r>
      <w:r w:rsidRPr="009E3AFB">
        <w:rPr>
          <w:rStyle w:val="StyleUnderline"/>
        </w:rPr>
        <w:t xml:space="preserve">, though, will be largely practical: adapting </w:t>
      </w:r>
      <w:r w:rsidRPr="00BC5DD2">
        <w:rPr>
          <w:rStyle w:val="StyleUnderline"/>
          <w:highlight w:val="cyan"/>
        </w:rPr>
        <w:t xml:space="preserve">and testing </w:t>
      </w:r>
      <w:r w:rsidRPr="00BC5DD2">
        <w:rPr>
          <w:rStyle w:val="Emphasis"/>
          <w:highlight w:val="cyan"/>
        </w:rPr>
        <w:t xml:space="preserve">equipment, project management </w:t>
      </w:r>
      <w:r w:rsidRPr="00BC5DD2">
        <w:rPr>
          <w:rStyle w:val="Emphasis"/>
        </w:rPr>
        <w:t xml:space="preserve">and </w:t>
      </w:r>
      <w:r w:rsidRPr="00BC5DD2">
        <w:rPr>
          <w:rStyle w:val="Emphasis"/>
          <w:highlight w:val="cyan"/>
        </w:rPr>
        <w:t>negotiations</w:t>
      </w:r>
      <w:r w:rsidRPr="009E3AFB">
        <w:rPr>
          <w:rStyle w:val="StyleUnderline"/>
        </w:rPr>
        <w:t xml:space="preserve">, consultation </w:t>
      </w:r>
      <w:r w:rsidRPr="00BC5DD2">
        <w:rPr>
          <w:rStyle w:val="StyleUnderline"/>
          <w:highlight w:val="cyan"/>
        </w:rPr>
        <w:t>and communication</w:t>
      </w:r>
      <w:r w:rsidRPr="009E3AFB">
        <w:rPr>
          <w:rStyle w:val="StyleUnderline"/>
        </w:rPr>
        <w:t>.</w:t>
      </w:r>
    </w:p>
    <w:p w14:paraId="1E244520" w14:textId="77777777" w:rsidR="006F2C07" w:rsidRDefault="006F2C07" w:rsidP="006F2C07">
      <w:pPr>
        <w:rPr>
          <w:sz w:val="16"/>
        </w:rPr>
      </w:pPr>
      <w:r w:rsidRPr="00BC5DD2">
        <w:rPr>
          <w:rStyle w:val="StyleUnderline"/>
          <w:highlight w:val="cyan"/>
        </w:rPr>
        <w:t>It will take time to lay the</w:t>
      </w:r>
      <w:r w:rsidRPr="009E3AFB">
        <w:rPr>
          <w:rStyle w:val="StyleUnderline"/>
        </w:rPr>
        <w:t xml:space="preserve"> scientific, engineering, and social </w:t>
      </w:r>
      <w:r w:rsidRPr="00BC5DD2">
        <w:rPr>
          <w:rStyle w:val="StyleUnderline"/>
          <w:highlight w:val="cyan"/>
        </w:rPr>
        <w:t>groundwork for ice-sheet preservation</w:t>
      </w:r>
      <w:r w:rsidRPr="009E3AFB">
        <w:rPr>
          <w:rStyle w:val="StyleUnderline"/>
        </w:rPr>
        <w:t xml:space="preserve"> interventions. </w:t>
      </w:r>
      <w:r w:rsidRPr="00BC5DD2">
        <w:rPr>
          <w:rStyle w:val="StyleUnderline"/>
          <w:highlight w:val="cyan"/>
        </w:rPr>
        <w:t>It will take more time to</w:t>
      </w:r>
      <w:r w:rsidRPr="009E3AFB">
        <w:rPr>
          <w:rStyle w:val="StyleUnderline"/>
        </w:rPr>
        <w:t xml:space="preserve"> begin to </w:t>
      </w:r>
      <w:r w:rsidRPr="00BC5DD2">
        <w:rPr>
          <w:rStyle w:val="StyleUnderline"/>
          <w:highlight w:val="cyan"/>
        </w:rPr>
        <w:t>reap their</w:t>
      </w:r>
      <w:r w:rsidRPr="009E3AFB">
        <w:rPr>
          <w:rStyle w:val="StyleUnderline"/>
        </w:rPr>
        <w:t xml:space="preserve"> sustained </w:t>
      </w:r>
      <w:r w:rsidRPr="00BC5DD2">
        <w:rPr>
          <w:rStyle w:val="StyleUnderline"/>
          <w:highlight w:val="cyan"/>
        </w:rPr>
        <w:t>benefits</w:t>
      </w:r>
      <w:r w:rsidRPr="009E3AFB">
        <w:rPr>
          <w:rStyle w:val="StyleUnderline"/>
        </w:rPr>
        <w:t>, should they exist</w:t>
      </w:r>
      <w:r w:rsidRPr="009E3AFB">
        <w:rPr>
          <w:sz w:val="16"/>
        </w:rPr>
        <w:t xml:space="preserve">. During all that time, ice sheets will continue to melt, discharging mass across grounding lines and inducing sea-level rise. </w:t>
      </w:r>
      <w:r w:rsidRPr="00BC5DD2">
        <w:rPr>
          <w:rStyle w:val="StyleUnderline"/>
          <w:highlight w:val="cyan"/>
        </w:rPr>
        <w:t>Without research, we cannot know if there are viable interventions. Without</w:t>
      </w:r>
      <w:r w:rsidRPr="009E3AFB">
        <w:rPr>
          <w:rStyle w:val="StyleUnderline"/>
        </w:rPr>
        <w:t xml:space="preserve"> the concurrent practical </w:t>
      </w:r>
      <w:r w:rsidRPr="00BC5DD2">
        <w:rPr>
          <w:rStyle w:val="StyleUnderline"/>
          <w:highlight w:val="cyan"/>
        </w:rPr>
        <w:t>planning, engineering, and consultation, there will be an unconscionable delay</w:t>
      </w:r>
      <w:r w:rsidRPr="009E3AFB">
        <w:rPr>
          <w:rStyle w:val="StyleUnderline"/>
        </w:rPr>
        <w:t xml:space="preserve"> in action, should there be a solution</w:t>
      </w:r>
      <w:r w:rsidRPr="009E3AFB">
        <w:rPr>
          <w:sz w:val="16"/>
        </w:rPr>
        <w:t xml:space="preserve">. Such big science and engineering would entail a major expansion of glaciological research and its integration with other scientific, engineering, social, and governance bodies. </w:t>
      </w:r>
      <w:r w:rsidRPr="009E3AFB">
        <w:rPr>
          <w:rStyle w:val="StyleUnderline"/>
        </w:rPr>
        <w:t xml:space="preserve">We are proposing such an ambitious program because </w:t>
      </w:r>
      <w:r w:rsidRPr="00BC5DD2">
        <w:rPr>
          <w:rStyle w:val="StyleUnderline"/>
          <w:highlight w:val="cyan"/>
        </w:rPr>
        <w:t>we see examining options for reducing sea-level rise</w:t>
      </w:r>
      <w:r w:rsidRPr="009E3AFB">
        <w:rPr>
          <w:rStyle w:val="StyleUnderline"/>
        </w:rPr>
        <w:t xml:space="preserve"> from </w:t>
      </w:r>
      <w:proofErr w:type="gramStart"/>
      <w:r w:rsidRPr="009E3AFB">
        <w:rPr>
          <w:rStyle w:val="StyleUnderline"/>
        </w:rPr>
        <w:t>ice-sheet</w:t>
      </w:r>
      <w:proofErr w:type="gramEnd"/>
      <w:r w:rsidRPr="009E3AFB">
        <w:rPr>
          <w:rStyle w:val="StyleUnderline"/>
        </w:rPr>
        <w:t xml:space="preserve"> melting </w:t>
      </w:r>
      <w:r w:rsidRPr="00BC5DD2">
        <w:rPr>
          <w:rStyle w:val="StyleUnderline"/>
          <w:highlight w:val="cyan"/>
        </w:rPr>
        <w:t xml:space="preserve">as a </w:t>
      </w:r>
      <w:r w:rsidRPr="00BC5DD2">
        <w:rPr>
          <w:rStyle w:val="Emphasis"/>
          <w:highlight w:val="cyan"/>
        </w:rPr>
        <w:t>global imperative</w:t>
      </w:r>
      <w:r w:rsidRPr="00BC5DD2">
        <w:rPr>
          <w:sz w:val="16"/>
          <w:highlight w:val="cyan"/>
        </w:rPr>
        <w:t>.</w:t>
      </w:r>
    </w:p>
    <w:p w14:paraId="707C93FF" w14:textId="77777777" w:rsidR="006F2C07" w:rsidRDefault="006F2C07" w:rsidP="006F2C07">
      <w:pPr>
        <w:pStyle w:val="Heading4"/>
      </w:pPr>
      <w:r>
        <w:t xml:space="preserve">Geoengineering pilot projects </w:t>
      </w:r>
      <w:proofErr w:type="gramStart"/>
      <w:r>
        <w:t>are able to</w:t>
      </w:r>
      <w:proofErr w:type="gramEnd"/>
      <w:r>
        <w:t xml:space="preserve"> solve multiple causes including solar </w:t>
      </w:r>
      <w:proofErr w:type="gramStart"/>
      <w:r>
        <w:t>radiation, and</w:t>
      </w:r>
      <w:proofErr w:type="gramEnd"/>
      <w:r>
        <w:t xml:space="preserve"> melting sea ice. Only governed attempts </w:t>
      </w:r>
      <w:proofErr w:type="gramStart"/>
      <w:r>
        <w:t>solve</w:t>
      </w:r>
      <w:proofErr w:type="gramEnd"/>
      <w:r>
        <w:t xml:space="preserve">, and empirics disprove the supposed risks of </w:t>
      </w:r>
      <w:proofErr w:type="gramStart"/>
      <w:r>
        <w:t>geoengineering</w:t>
      </w:r>
      <w:proofErr w:type="gramEnd"/>
      <w:r>
        <w:t>.</w:t>
      </w:r>
    </w:p>
    <w:p w14:paraId="76468064" w14:textId="77777777" w:rsidR="006F2C07" w:rsidRPr="00842839" w:rsidRDefault="006F2C07" w:rsidP="006F2C07">
      <w:proofErr w:type="spellStart"/>
      <w:r w:rsidRPr="00842839">
        <w:rPr>
          <w:rStyle w:val="Style13ptBold"/>
        </w:rPr>
        <w:t>Baiman</w:t>
      </w:r>
      <w:proofErr w:type="spellEnd"/>
      <w:r w:rsidRPr="00842839">
        <w:rPr>
          <w:rStyle w:val="Style13ptBold"/>
        </w:rPr>
        <w:t xml:space="preserve"> et al. 24</w:t>
      </w:r>
      <w:r w:rsidRPr="00842839">
        <w:t>---Professor at Be</w:t>
      </w:r>
      <w:r>
        <w:t xml:space="preserve">nedictine University, previous researcher for Oxford environmental studies, and has a PhD from The New School. (Ron, Sev Clarke, Clive Elsworth, Leslie Field, Michael MacCracken, John Macdonald, David Mitchell, Franz Dietrich Oeste, Suzanne Reed, Stephen Salter, Herb Simmens, Ye Tao, and Robert Tulip; “Addressing the urgent need for direct climate cooling: Rationale and options”, Oxford Academic: Climate Change, 8/12/24, </w:t>
      </w:r>
      <w:r w:rsidRPr="00EA4D25">
        <w:t>https://academic.oup.com/oocc/article/4/1/kgae014/7731760</w:t>
      </w:r>
      <w:r>
        <w:t xml:space="preserve">) </w:t>
      </w:r>
      <w:proofErr w:type="spellStart"/>
      <w:r>
        <w:t>sh</w:t>
      </w:r>
      <w:proofErr w:type="spellEnd"/>
    </w:p>
    <w:p w14:paraId="09B865C2" w14:textId="77777777" w:rsidR="006F2C07" w:rsidRPr="004A0119" w:rsidRDefault="006F2C07" w:rsidP="006F2C07">
      <w:pPr>
        <w:rPr>
          <w:u w:val="single"/>
        </w:rPr>
      </w:pPr>
      <w:r w:rsidRPr="004A0119">
        <w:rPr>
          <w:u w:val="single"/>
        </w:rPr>
        <w:t>An increasing number of indicators suggest that no plausible cutback in emissions will be sufficient to keep warming below levels that could trigger very disruptive tipping points [</w:t>
      </w:r>
      <w:r w:rsidRPr="004A0119">
        <w:rPr>
          <w:sz w:val="16"/>
        </w:rPr>
        <w:t>9,</w:t>
      </w:r>
      <w:r>
        <w:rPr>
          <w:sz w:val="16"/>
        </w:rPr>
        <w:t xml:space="preserve"> </w:t>
      </w:r>
      <w:r w:rsidRPr="004A0119">
        <w:rPr>
          <w:sz w:val="16"/>
        </w:rPr>
        <w:t>10]. For example, the Greenland and Himalayan melt rates are strong indicators of accelerated warming that would in turn lead to more frequent and severe climate calamities</w:t>
      </w:r>
      <w:r w:rsidRPr="004A0119">
        <w:rPr>
          <w:u w:val="single"/>
        </w:rPr>
        <w:t>. More rapid loss of glacial ice in all three poles (</w:t>
      </w:r>
      <w:r w:rsidRPr="004A0119">
        <w:rPr>
          <w:sz w:val="16"/>
        </w:rPr>
        <w:t>i.e. including the Himalayas)</w:t>
      </w:r>
      <w:r w:rsidRPr="004A0119">
        <w:rPr>
          <w:u w:val="single"/>
        </w:rPr>
        <w:t xml:space="preserve"> is accelerating the rate of sea level rise. Polar warming is also triggering </w:t>
      </w:r>
      <w:r w:rsidRPr="004A0119">
        <w:rPr>
          <w:sz w:val="16"/>
        </w:rPr>
        <w:t>a change in the mid-latitude atmospheric circulation that is leading to</w:t>
      </w:r>
      <w:r w:rsidRPr="004A0119">
        <w:rPr>
          <w:u w:val="single"/>
        </w:rPr>
        <w:t xml:space="preserve"> an increasing incidence of extreme weather, fundamental disruption of natural systems, and a high risk that major critical tipping points will be overstepped to a state beyond repair.</w:t>
      </w:r>
    </w:p>
    <w:p w14:paraId="02246679" w14:textId="77777777" w:rsidR="006F2C07" w:rsidRPr="004A0119" w:rsidRDefault="006F2C07" w:rsidP="006F2C07">
      <w:pPr>
        <w:rPr>
          <w:sz w:val="16"/>
        </w:rPr>
      </w:pPr>
      <w:r w:rsidRPr="004A0119">
        <w:rPr>
          <w:u w:val="single"/>
        </w:rPr>
        <w:t>However, such an irreversible outcome is not yet inevitable. Limiting global warming with one or more direct global-scale climate cooling influences while also moderating the worst impacts using one or more</w:t>
      </w:r>
      <w:r w:rsidRPr="004A0119">
        <w:rPr>
          <w:sz w:val="16"/>
        </w:rPr>
        <w:t xml:space="preserve"> of the regional cooling influences (commonly referred to as </w:t>
      </w:r>
      <w:r w:rsidRPr="004A0119">
        <w:rPr>
          <w:u w:val="single"/>
        </w:rPr>
        <w:t>“geoengineering”) might well reduce the likelihood and severity of destructive climate calamities over the next few decades.</w:t>
      </w:r>
      <w:r w:rsidRPr="004A0119">
        <w:rPr>
          <w:sz w:val="16"/>
        </w:rPr>
        <w:t xml:space="preserve"> This would give emissions reduction and removal time to achieve net-zero and then net negative levels, lowering CO</w:t>
      </w:r>
      <w:r w:rsidRPr="004A0119">
        <w:rPr>
          <w:sz w:val="16"/>
          <w:vertAlign w:val="subscript"/>
        </w:rPr>
        <w:t>2</w:t>
      </w:r>
      <w:r>
        <w:rPr>
          <w:sz w:val="16"/>
        </w:rPr>
        <w:t xml:space="preserve"> </w:t>
      </w:r>
      <w:r w:rsidRPr="004A0119">
        <w:rPr>
          <w:sz w:val="16"/>
        </w:rPr>
        <w:t xml:space="preserve">and other greenhouse gas concentrations in the atmosphere to the habitable levels of the 20th Century. </w:t>
      </w:r>
      <w:r w:rsidRPr="004A0119">
        <w:rPr>
          <w:u w:val="single"/>
        </w:rPr>
        <w:t xml:space="preserve">Deploying cooling influences to limit global warming, especially peak global warming, would reduce </w:t>
      </w:r>
      <w:proofErr w:type="gramStart"/>
      <w:r w:rsidRPr="004A0119">
        <w:rPr>
          <w:u w:val="single"/>
        </w:rPr>
        <w:t>stresses</w:t>
      </w:r>
      <w:proofErr w:type="gramEnd"/>
      <w:r w:rsidRPr="004A0119">
        <w:rPr>
          <w:u w:val="single"/>
        </w:rPr>
        <w:t xml:space="preserve"> on ecosystems, thus helping to reinvigorate the natural environment over the longer term</w:t>
      </w:r>
      <w:r w:rsidRPr="004A0119">
        <w:rPr>
          <w:sz w:val="16"/>
        </w:rPr>
        <w:t xml:space="preserve"> [11].</w:t>
      </w:r>
    </w:p>
    <w:p w14:paraId="497BDCC4" w14:textId="77777777" w:rsidR="006F2C07" w:rsidRPr="004A0119" w:rsidRDefault="006F2C07" w:rsidP="006F2C07">
      <w:pPr>
        <w:rPr>
          <w:sz w:val="16"/>
        </w:rPr>
      </w:pPr>
      <w:r w:rsidRPr="004A0119">
        <w:rPr>
          <w:sz w:val="16"/>
        </w:rPr>
        <w:t xml:space="preserve">Despite recognition that potential cooling approaches exist, research and considerations of deployment of direct climate cooling, whether localized or global, co-deployed or not, have been held back by several opposing arguments [12] (Others, while not directly opposing DCC deployment, have suggested numerous checkpoints that do not seem to take into account the risk-risk tradeoff of excessively delaying deployment [13]. See section “Challenges and opportunities” for further discussion.). </w:t>
      </w:r>
      <w:r w:rsidRPr="004A0119">
        <w:rPr>
          <w:u w:val="single"/>
        </w:rPr>
        <w:t>A primary argument has been that pursuing such approaches constitutes a “moral hazard” because implementation might well slow GHG emissions mitigation efforts. However, the claim of “moral hazard” was for example applied to climate adaptation as a substitute for mitigation before climate impacts became more severe</w:t>
      </w:r>
      <w:r w:rsidRPr="004A0119">
        <w:rPr>
          <w:sz w:val="16"/>
        </w:rPr>
        <w:t xml:space="preserve"> [14], and </w:t>
      </w:r>
      <w:r w:rsidRPr="004A0119">
        <w:rPr>
          <w:u w:val="single"/>
        </w:rPr>
        <w:t>there appears to be little solid evidence for this when applied to “direct climate cooling”</w:t>
      </w:r>
      <w:r w:rsidRPr="004A0119">
        <w:rPr>
          <w:sz w:val="16"/>
        </w:rPr>
        <w:t xml:space="preserve"> (DCC) [15]. Now that costs for renewable energy have fallen below the costs of fossil-fuel energy this argument appears to have turned on its head as markets have begun to favor renewables, but global GHG emissions are still increasing. The real “moral hazard” is the failure to pursue cooling approaches that can reduce ecological and human disasters and costs. </w:t>
      </w:r>
      <w:r w:rsidRPr="004A0119">
        <w:rPr>
          <w:u w:val="single"/>
        </w:rPr>
        <w:t xml:space="preserve">Another concern expressed is that cooling technologies could have severe unanticipated consequences, although increasingly detailed climate modeling has not supported this speculation </w:t>
      </w:r>
      <w:r w:rsidRPr="004A0119">
        <w:rPr>
          <w:sz w:val="16"/>
        </w:rPr>
        <w:t>[16]. Finally, some climate cooling opponents argue that though cooling influences may be beneficial for a while, were they to be stopped for some reason, the climate would warm up relatively quickly resulting in “termination shock” and worse impacts than if the cooling influences had not been deployed at all.</w:t>
      </w:r>
    </w:p>
    <w:p w14:paraId="2FD11682" w14:textId="77777777" w:rsidR="006F2C07" w:rsidRPr="004A0119" w:rsidRDefault="006F2C07" w:rsidP="006F2C07">
      <w:pPr>
        <w:rPr>
          <w:sz w:val="16"/>
        </w:rPr>
      </w:pPr>
      <w:r w:rsidRPr="004A0119">
        <w:rPr>
          <w:u w:val="single"/>
        </w:rPr>
        <w:t>Against the termination shock hypothesis, projected costs and challenges of maintaining cooling influences, when compared to GHG removal, are much less than other approaches to limiting warming.</w:t>
      </w:r>
      <w:r w:rsidRPr="004A0119">
        <w:rPr>
          <w:sz w:val="16"/>
        </w:rPr>
        <w:t xml:space="preserve"> Responsible global actions would require continuance of direct cooling given the severe consequences of not doing </w:t>
      </w:r>
      <w:r w:rsidRPr="004A0119">
        <w:rPr>
          <w:u w:val="single"/>
        </w:rPr>
        <w:t xml:space="preserve">so. In the face of these concerns, </w:t>
      </w:r>
      <w:r w:rsidRPr="004A0119">
        <w:rPr>
          <w:b/>
          <w:bCs/>
          <w:u w:val="single"/>
        </w:rPr>
        <w:t>equitable and responsible global governance of cooling approaches will be crucial.</w:t>
      </w:r>
      <w:r w:rsidRPr="004A0119">
        <w:rPr>
          <w:u w:val="single"/>
        </w:rPr>
        <w:t xml:space="preserve"> </w:t>
      </w:r>
      <w:r w:rsidRPr="004A0119">
        <w:rPr>
          <w:sz w:val="16"/>
        </w:rPr>
        <w:t>The Montreal Protocol success in repairing the ozone layer suggests this is possible over an extended term [17,</w:t>
      </w:r>
      <w:r>
        <w:rPr>
          <w:sz w:val="16"/>
        </w:rPr>
        <w:t xml:space="preserve"> </w:t>
      </w:r>
      <w:r w:rsidRPr="004A0119">
        <w:rPr>
          <w:sz w:val="16"/>
        </w:rPr>
        <w:t>18]. However, the level of impact has now been allowed to increase so much that adaptation is becoming critical. Climate restoration measures to mitigate the increasing threats to global sustainability and governance must be stronger than the UNFCCC has endorsed [19] (By these statements regarding the governance problem of achieving rapid and at-scale emissions reductions, we do not mean to suggest that, particularly global-scale, DCC implementation and governance is not a challenge. Rather, using SAI as an example, it poses a different kind of governance challenge, having less to do with overcoming a costly resource intensive free-rider public good problem, and more to do with transparency and public trust for a very inexpensive, almost “free-driver”, global leverage problem [20]. See further discussion in section “Challenges and opportunities”.).</w:t>
      </w:r>
    </w:p>
    <w:p w14:paraId="035958C4" w14:textId="77777777" w:rsidR="006F2C07" w:rsidRPr="004A0119" w:rsidRDefault="006F2C07" w:rsidP="006F2C07">
      <w:pPr>
        <w:rPr>
          <w:sz w:val="16"/>
        </w:rPr>
      </w:pPr>
      <w:r w:rsidRPr="004A0119">
        <w:rPr>
          <w:u w:val="single"/>
        </w:rPr>
        <w:t xml:space="preserve">The </w:t>
      </w:r>
      <w:proofErr w:type="gramStart"/>
      <w:r w:rsidRPr="004A0119">
        <w:rPr>
          <w:u w:val="single"/>
        </w:rPr>
        <w:t>needed governance</w:t>
      </w:r>
      <w:proofErr w:type="gramEnd"/>
      <w:r w:rsidRPr="004A0119">
        <w:rPr>
          <w:u w:val="single"/>
        </w:rPr>
        <w:t xml:space="preserve"> for comprehensively limiting global warming </w:t>
      </w:r>
      <w:r w:rsidRPr="004A0119">
        <w:rPr>
          <w:b/>
          <w:bCs/>
          <w:u w:val="single"/>
        </w:rPr>
        <w:t>is not yet in place.</w:t>
      </w:r>
      <w:r w:rsidRPr="004A0119">
        <w:rPr>
          <w:sz w:val="16"/>
        </w:rPr>
        <w:t xml:space="preserve"> This is suggested by the failure to consider the climatic effects of the 2020 International Maritime Organization (IMO) regulations aimed at reducing sulfur emissions from the “bunker fuel” used to power cargo ships to protect public health.</w:t>
      </w:r>
      <w:r w:rsidRPr="00CB0328">
        <w:rPr>
          <w:sz w:val="16"/>
        </w:rPr>
        <w:t xml:space="preserve"> </w:t>
      </w:r>
      <w:r w:rsidRPr="004A0119">
        <w:rPr>
          <w:sz w:val="16"/>
        </w:rPr>
        <w:t>Observations of accelerated warming estimate that the regulations have unintentionally triggered rapid global warming of 0.1–10 W/m</w:t>
      </w:r>
      <w:r w:rsidRPr="004A0119">
        <w:rPr>
          <w:sz w:val="16"/>
          <w:vertAlign w:val="superscript"/>
        </w:rPr>
        <w:t>2</w:t>
      </w:r>
      <w:r w:rsidRPr="00CB0328">
        <w:rPr>
          <w:sz w:val="16"/>
        </w:rPr>
        <w:t xml:space="preserve"> </w:t>
      </w:r>
      <w:r w:rsidRPr="004A0119">
        <w:rPr>
          <w:sz w:val="16"/>
        </w:rPr>
        <w:t>not unlike the suggested “termination shock” [2,</w:t>
      </w:r>
      <w:r w:rsidRPr="00CB0328">
        <w:rPr>
          <w:sz w:val="16"/>
        </w:rPr>
        <w:t xml:space="preserve"> </w:t>
      </w:r>
      <w:r w:rsidRPr="004A0119">
        <w:rPr>
          <w:sz w:val="16"/>
        </w:rPr>
        <w:t>21–25]. Considering that recent (i.e. January 2020–June 2023) CERES data on the total Earth Energy Imbalance, or total excess energy from the sun absorbed by the earth, averages 1.37 W/m</w:t>
      </w:r>
      <w:r w:rsidRPr="004A0119">
        <w:rPr>
          <w:sz w:val="16"/>
          <w:vertAlign w:val="superscript"/>
        </w:rPr>
        <w:t>2</w:t>
      </w:r>
      <w:r w:rsidRPr="00CB0328">
        <w:rPr>
          <w:sz w:val="16"/>
        </w:rPr>
        <w:t xml:space="preserve"> </w:t>
      </w:r>
      <w:r w:rsidRPr="004A0119">
        <w:rPr>
          <w:sz w:val="16"/>
        </w:rPr>
        <w:t>compared an earlier (January 2015 to December 2019) average of 1.12 W/m</w:t>
      </w:r>
      <w:r w:rsidRPr="004A0119">
        <w:rPr>
          <w:sz w:val="16"/>
          <w:vertAlign w:val="superscript"/>
        </w:rPr>
        <w:t>2</w:t>
      </w:r>
      <w:r w:rsidRPr="004A0119">
        <w:rPr>
          <w:sz w:val="16"/>
        </w:rPr>
        <w:t>, all of these estimates suggest that a significant global heating impact has resulted from the regulations, as there are no other indications of such a large positive forcing [2,</w:t>
      </w:r>
      <w:r w:rsidRPr="00CB0328">
        <w:rPr>
          <w:sz w:val="16"/>
        </w:rPr>
        <w:t xml:space="preserve"> </w:t>
      </w:r>
      <w:r w:rsidRPr="004A0119">
        <w:rPr>
          <w:sz w:val="16"/>
        </w:rPr>
        <w:t>22,</w:t>
      </w:r>
      <w:r w:rsidRPr="00CB0328">
        <w:rPr>
          <w:sz w:val="16"/>
        </w:rPr>
        <w:t xml:space="preserve"> </w:t>
      </w:r>
      <w:r w:rsidRPr="004A0119">
        <w:rPr>
          <w:sz w:val="16"/>
        </w:rPr>
        <w:t>26]. This sudden warming should lead to IMO and governments coming together to respond to the problem by assessing relevant direct cooling influences as proposed in [23].</w:t>
      </w:r>
      <w:r w:rsidRPr="00CB0328">
        <w:rPr>
          <w:sz w:val="16"/>
        </w:rPr>
        <w:t xml:space="preserve"> </w:t>
      </w:r>
      <w:r w:rsidRPr="004A0119">
        <w:rPr>
          <w:sz w:val="16"/>
        </w:rPr>
        <w:t>A further concern regarding the potential deployment of cooling influences has been whether there are means to verify their performance before proceeding beyond very limited deployment. For most of the proposed cooling approaches described in this paper, pilot</w:t>
      </w:r>
      <w:r w:rsidRPr="004A0119">
        <w:rPr>
          <w:u w:val="single"/>
        </w:rPr>
        <w:t xml:space="preserve"> testing would </w:t>
      </w:r>
      <w:r w:rsidRPr="004A0119">
        <w:rPr>
          <w:sz w:val="16"/>
        </w:rPr>
        <w:t xml:space="preserve">have only local and transitory effects and </w:t>
      </w:r>
      <w:r w:rsidRPr="004A0119">
        <w:rPr>
          <w:u w:val="single"/>
        </w:rPr>
        <w:t>could be conducted transparently under local to national governance without requiring special approval and oversight by international governance bodies. Global climate models and other methods that simulate the climatic responses to both natural and human-induced forcings make it possible in many cases to evaluate major potential impacts on the atmosphere</w:t>
      </w:r>
      <w:r w:rsidRPr="004A0119">
        <w:rPr>
          <w:sz w:val="16"/>
        </w:rPr>
        <w:t xml:space="preserve">, oceans, and biosphere of the various types of cooling influences with reasonable confidence. Unfortunately, </w:t>
      </w:r>
      <w:r w:rsidRPr="004A0119">
        <w:rPr>
          <w:u w:val="single"/>
        </w:rPr>
        <w:t>sufficient research funds have yet to be provided</w:t>
      </w:r>
      <w:r w:rsidRPr="004A0119">
        <w:rPr>
          <w:sz w:val="16"/>
        </w:rPr>
        <w:t xml:space="preserve"> for many of the proposed approaches even though the cost would be very small compared to the likely benefits their deployment would deliver [27].</w:t>
      </w:r>
    </w:p>
    <w:p w14:paraId="15AEFB06" w14:textId="77777777" w:rsidR="006F2C07" w:rsidRPr="004A0119" w:rsidRDefault="006F2C07" w:rsidP="006F2C07">
      <w:pPr>
        <w:rPr>
          <w:sz w:val="16"/>
        </w:rPr>
      </w:pPr>
      <w:r w:rsidRPr="004A0119">
        <w:rPr>
          <w:sz w:val="16"/>
        </w:rPr>
        <w:t>Concerns represented in opposing arguments need to be addressed in any program advancing direct climate cooling, as discussed further in section “Challenges and opportunities” of this paper. However, the reality of accelerated warming, more intense catastrophic events and ever-increasing damage and loss has not enabled overall reduction in GHG emissions, much less support for a comprehensive research and demonstration effort focused on possible cooling approaches. The moral hazard no longer lies in researching and deploying climate cooling approaches, but now in the failure to explore all feasible approaches to reduce near-term global warming. How best to proceed can only be settled by a “risk-risk approach,” comparing, and contrasting the possible risks of outcomes in which climate cooling approaches are applied against those that lie ahead if directly cooling the climate is not pursued [2].</w:t>
      </w:r>
    </w:p>
    <w:p w14:paraId="74E0C1E9" w14:textId="77777777" w:rsidR="006F2C07" w:rsidRPr="004A0119" w:rsidRDefault="006F2C07" w:rsidP="006F2C07">
      <w:pPr>
        <w:rPr>
          <w:u w:val="single"/>
        </w:rPr>
      </w:pPr>
      <w:r w:rsidRPr="004A0119">
        <w:rPr>
          <w:u w:val="single"/>
        </w:rPr>
        <w:t xml:space="preserve">Many of the climate cooling approaches are low-tech and can be responsibly </w:t>
      </w:r>
      <w:proofErr w:type="gramStart"/>
      <w:r w:rsidRPr="004A0119">
        <w:rPr>
          <w:u w:val="single"/>
        </w:rPr>
        <w:t>deployed at</w:t>
      </w:r>
      <w:proofErr w:type="gramEnd"/>
      <w:r w:rsidRPr="004A0119">
        <w:rPr>
          <w:u w:val="single"/>
        </w:rPr>
        <w:t xml:space="preserve"> local to regional scales with few,</w:t>
      </w:r>
      <w:r w:rsidRPr="004A0119">
        <w:rPr>
          <w:sz w:val="16"/>
        </w:rPr>
        <w:t xml:space="preserve"> if any, potential risks and often, many co-benefits. Similarly, </w:t>
      </w:r>
      <w:r w:rsidRPr="004A0119">
        <w:rPr>
          <w:u w:val="single"/>
        </w:rPr>
        <w:t>various of the global-scale approaches can be tested and implemented at low intensity using an “apply, evaluate, adjust” sequencing because their effects are readily reversible if unexpected, potentially deleterious consequences arise.</w:t>
      </w:r>
      <w:r w:rsidRPr="004A0119">
        <w:rPr>
          <w:sz w:val="16"/>
        </w:rPr>
        <w:t xml:space="preserve"> Climate change and especially polar amplification, or disproportionate warming of polar regions relative to mid-latitudes, have already caused enormous damage. </w:t>
      </w:r>
      <w:r w:rsidRPr="004A0119">
        <w:rPr>
          <w:u w:val="single"/>
        </w:rPr>
        <w:t>Further loss of sea ice and particularly of glacial ice seem likely to accelerate the risk of catastrophic impacts worldwide.</w:t>
      </w:r>
    </w:p>
    <w:p w14:paraId="6D7BF257" w14:textId="77777777" w:rsidR="006F2C07" w:rsidRPr="00CB0328" w:rsidRDefault="006F2C07" w:rsidP="006F2C07">
      <w:pPr>
        <w:rPr>
          <w:sz w:val="16"/>
        </w:rPr>
      </w:pPr>
      <w:r w:rsidRPr="004A0119">
        <w:rPr>
          <w:sz w:val="16"/>
        </w:rPr>
        <w:t>This paper describes more than a dozen potential direct climate cooling approaches that merit initial consideration. More approaches, including variants of those presented here, continue to emerge. The summaries of the approaches that follow have been prepared primarily by those who are currently researching or promoting them. They are listed here in alphabetical order rather than, at this point, seeking to group them by metrics or qualitative characteristics (see section “Potential approaches for direct climate cooling,”</w:t>
      </w:r>
      <w:r w:rsidRPr="00CB0328">
        <w:rPr>
          <w:sz w:val="16"/>
        </w:rPr>
        <w:t xml:space="preserve"> </w:t>
      </w:r>
      <w:r w:rsidRPr="004A0119">
        <w:rPr>
          <w:sz w:val="16"/>
        </w:rPr>
        <w:t>Tables</w:t>
      </w:r>
      <w:r w:rsidRPr="00CB0328">
        <w:rPr>
          <w:sz w:val="16"/>
        </w:rPr>
        <w:t xml:space="preserve"> </w:t>
      </w:r>
      <w:r w:rsidRPr="004A0119">
        <w:rPr>
          <w:sz w:val="16"/>
        </w:rPr>
        <w:t>1</w:t>
      </w:r>
      <w:r w:rsidRPr="00CB0328">
        <w:rPr>
          <w:sz w:val="16"/>
        </w:rPr>
        <w:t xml:space="preserve"> </w:t>
      </w:r>
      <w:r w:rsidRPr="004A0119">
        <w:rPr>
          <w:sz w:val="16"/>
        </w:rPr>
        <w:t>and</w:t>
      </w:r>
      <w:r w:rsidRPr="00CB0328">
        <w:rPr>
          <w:sz w:val="16"/>
        </w:rPr>
        <w:t xml:space="preserve"> </w:t>
      </w:r>
      <w:r w:rsidRPr="004A0119">
        <w:rPr>
          <w:sz w:val="16"/>
        </w:rPr>
        <w:t>2). They are:</w:t>
      </w:r>
      <w:r w:rsidRPr="00CB0328">
        <w:rPr>
          <w:sz w:val="16"/>
        </w:rPr>
        <w:t xml:space="preserve"> [Figure omitted] We do not claim that this is an exhaustive list of all possible cooling approaches. For example, we have not included a summary of potential space-based DCC approaches that proponents suggest “be seriously considered in the long term” [28] (Abstract) rather than the near-term (next few decades) time-period during which we believe DCC is urgently necessary (Other examples are the sixty-one mostly geophysical “climate intervention” approaches listed in [29], with some overlap with our paper but with a specific Arctic region focus rather than urgent global DCC.).</w:t>
      </w:r>
    </w:p>
    <w:p w14:paraId="470CE69F" w14:textId="77777777" w:rsidR="006F2C07" w:rsidRPr="00CB0328" w:rsidRDefault="006F2C07" w:rsidP="006F2C07">
      <w:pPr>
        <w:rPr>
          <w:sz w:val="16"/>
        </w:rPr>
      </w:pPr>
      <w:r w:rsidRPr="00CB0328">
        <w:rPr>
          <w:sz w:val="16"/>
        </w:rPr>
        <w:t xml:space="preserve">With GHG emission reduction and removal proceeding at insufficient pace or scale to effectively keep warming below 1.5°C, 2.0°C or higher, </w:t>
      </w:r>
      <w:r w:rsidRPr="00CB0328">
        <w:rPr>
          <w:u w:val="single"/>
        </w:rPr>
        <w:t>we believe it is essential that direct climate cooling be added to the frontal set of policy options</w:t>
      </w:r>
      <w:r w:rsidRPr="00CB0328">
        <w:rPr>
          <w:sz w:val="16"/>
        </w:rPr>
        <w:t xml:space="preserve"> being considered by international negotiators and national governments. While GHG emissions reduction and removal may have the potential to achieve net-zero emissions in the second half of the 21st century and, over time, to reduce GHG concentrations, </w:t>
      </w:r>
      <w:r w:rsidRPr="00CB0328">
        <w:rPr>
          <w:u w:val="single"/>
        </w:rPr>
        <w:t>direct cooling options provide the only way to impel global warming back toward 1°C and below before even more key tipping points are passed</w:t>
      </w:r>
      <w:r w:rsidRPr="00CB0328">
        <w:rPr>
          <w:sz w:val="16"/>
        </w:rPr>
        <w:t xml:space="preserve"> (The rationale for a global warming threshold of 1°C is discussed at the end of section “The risks of not slowing the pace of global climate change”.).</w:t>
      </w:r>
    </w:p>
    <w:p w14:paraId="54F834B5" w14:textId="77777777" w:rsidR="006F2C07" w:rsidRPr="00CB0328" w:rsidRDefault="006F2C07" w:rsidP="006F2C07">
      <w:pPr>
        <w:rPr>
          <w:sz w:val="16"/>
        </w:rPr>
      </w:pPr>
      <w:r w:rsidRPr="00CB0328">
        <w:rPr>
          <w:u w:val="single"/>
        </w:rPr>
        <w:t xml:space="preserve">A credible and effective plan to restore the relatively beneficial climatic conditions of the 20th century would require that negotiators develop a three-component strategy: </w:t>
      </w:r>
      <w:r w:rsidRPr="00CB0328">
        <w:rPr>
          <w:sz w:val="16"/>
        </w:rPr>
        <w:t>(</w:t>
      </w:r>
      <w:proofErr w:type="spellStart"/>
      <w:r w:rsidRPr="00CB0328">
        <w:rPr>
          <w:sz w:val="16"/>
        </w:rPr>
        <w:t>i</w:t>
      </w:r>
      <w:proofErr w:type="spellEnd"/>
      <w:r w:rsidRPr="00CB0328">
        <w:rPr>
          <w:sz w:val="16"/>
        </w:rPr>
        <w:t xml:space="preserve">) </w:t>
      </w:r>
      <w:r w:rsidRPr="00CB0328">
        <w:rPr>
          <w:u w:val="single"/>
        </w:rPr>
        <w:t>researching, field testing, and deploying one or more large-scale cooling influence(</w:t>
      </w:r>
      <w:r w:rsidRPr="00CB0328">
        <w:rPr>
          <w:sz w:val="16"/>
        </w:rPr>
        <w:t xml:space="preserve">s) perhaps </w:t>
      </w:r>
      <w:r w:rsidRPr="00CB0328">
        <w:rPr>
          <w:u w:val="single"/>
        </w:rPr>
        <w:t xml:space="preserve">initially in polar regions </w:t>
      </w:r>
      <w:r w:rsidRPr="00CB0328">
        <w:rPr>
          <w:sz w:val="16"/>
        </w:rPr>
        <w:t>and applying local and regional cooling measures that also support adaptation, (ii) accelerating emissions reductions with an early prioritization of short-lived climate drivers (Net human emissions must be cut to zero, global warming induced increases in natural emissions must be offset with negative human emissions and over a trillion tons of legacy CO2eq GHG of all types that has accumulated in the atmosphere and oceans removed, to restore a stable climate not counting already triggered irreversible feedbacks that may continue for centuries [11] (footnote 9) [2]. However, as the rate of emissions of short-lived GHG such as methane is directly correlated with warming these should be prioritized to urgently achieve DCC.), and (iii) deploying large scale carbon removal to draw down legacy greenhouse gas.</w:t>
      </w:r>
    </w:p>
    <w:p w14:paraId="510AE084" w14:textId="77777777" w:rsidR="006F2C07" w:rsidRPr="00AE39BD" w:rsidRDefault="006F2C07" w:rsidP="006F2C07">
      <w:pPr>
        <w:rPr>
          <w:sz w:val="16"/>
        </w:rPr>
      </w:pPr>
      <w:r w:rsidRPr="00CB0328">
        <w:rPr>
          <w:u w:val="single"/>
        </w:rPr>
        <w:t>Humanity has never faced an existential threat so critical to the survival of civilization and our fellow living species on this planet</w:t>
      </w:r>
      <w:r w:rsidRPr="00CB0328">
        <w:rPr>
          <w:sz w:val="16"/>
        </w:rPr>
        <w:t xml:space="preserve">. Over at least the next several decades, and possibly much longer, direct cooling influences will be needed to keep climate change and its especially severe adverse impacts from spiraling out of control. </w:t>
      </w:r>
      <w:r w:rsidRPr="00CB0328">
        <w:rPr>
          <w:u w:val="single"/>
        </w:rPr>
        <w:t xml:space="preserve">Only the application of such emergency cooling “tourniquets,” applied as soon as reasonably feasible in </w:t>
      </w:r>
      <w:proofErr w:type="gramStart"/>
      <w:r w:rsidRPr="00CB0328">
        <w:rPr>
          <w:u w:val="single"/>
        </w:rPr>
        <w:t>a</w:t>
      </w:r>
      <w:proofErr w:type="gramEnd"/>
      <w:r w:rsidRPr="00CB0328">
        <w:rPr>
          <w:u w:val="single"/>
        </w:rPr>
        <w:t xml:space="preserve"> evaluating</w:t>
      </w:r>
      <w:r w:rsidRPr="00CB0328">
        <w:rPr>
          <w:sz w:val="16"/>
        </w:rPr>
        <w:t xml:space="preserve">/learning/adjusting </w:t>
      </w:r>
      <w:r w:rsidRPr="00CB0328">
        <w:rPr>
          <w:u w:val="single"/>
        </w:rPr>
        <w:t>strategy, has the potential to slow or reverse ongoing climate disruption</w:t>
      </w:r>
      <w:r w:rsidRPr="00CB0328">
        <w:rPr>
          <w:sz w:val="16"/>
        </w:rPr>
        <w:t xml:space="preserve"> and avoid crossing critical tipping points of no return over coming decades.</w:t>
      </w:r>
    </w:p>
    <w:p w14:paraId="2953FCD9" w14:textId="77777777" w:rsidR="006F2C07" w:rsidRPr="007402C4" w:rsidRDefault="006F2C07" w:rsidP="006F2C07">
      <w:pPr>
        <w:pStyle w:val="Heading4"/>
      </w:pPr>
      <w:r>
        <w:t>The first scenario is Sea Ice---</w:t>
      </w:r>
    </w:p>
    <w:p w14:paraId="1617E2F5" w14:textId="77777777" w:rsidR="006F2C07" w:rsidRDefault="006F2C07" w:rsidP="006F2C07">
      <w:pPr>
        <w:pStyle w:val="Heading4"/>
      </w:pPr>
      <w:r>
        <w:t xml:space="preserve">The melting of Arctic ice </w:t>
      </w:r>
      <w:proofErr w:type="gramStart"/>
      <w:r>
        <w:t>is accelerating</w:t>
      </w:r>
      <w:proofErr w:type="gramEnd"/>
      <w:r>
        <w:t xml:space="preserve"> warming and </w:t>
      </w:r>
      <w:proofErr w:type="gramStart"/>
      <w:r>
        <w:t>bringing</w:t>
      </w:r>
      <w:proofErr w:type="gramEnd"/>
      <w:r>
        <w:t xml:space="preserve"> us closer to tipping points. </w:t>
      </w:r>
    </w:p>
    <w:p w14:paraId="2D6A877A" w14:textId="77777777" w:rsidR="006F2C07" w:rsidRPr="000B6A1A" w:rsidRDefault="006F2C07" w:rsidP="006F2C07">
      <w:pPr>
        <w:rPr>
          <w:rStyle w:val="Style13ptBold"/>
        </w:rPr>
      </w:pPr>
      <w:r>
        <w:rPr>
          <w:rStyle w:val="Style13ptBold"/>
        </w:rPr>
        <w:t>Tsakali 25</w:t>
      </w:r>
      <w:r w:rsidRPr="000B6A1A">
        <w:t xml:space="preserve">---Sustainability advisor for the Royal Netherlands Meteorological Institute (Nicoleta, Marlen Kolbe, Richard </w:t>
      </w:r>
      <w:proofErr w:type="spellStart"/>
      <w:r w:rsidRPr="000B6A1A">
        <w:t>Bintanja</w:t>
      </w:r>
      <w:proofErr w:type="spellEnd"/>
      <w:r w:rsidRPr="000B6A1A">
        <w:t xml:space="preserve">, and Nomikos </w:t>
      </w:r>
      <w:proofErr w:type="spellStart"/>
      <w:r w:rsidRPr="000B6A1A">
        <w:t>Syllas</w:t>
      </w:r>
      <w:proofErr w:type="spellEnd"/>
      <w:r w:rsidRPr="000B6A1A">
        <w:t>; “The time of emergence of Arctic warming, wetting and sea ice melting”, Scientific Reports, 04/12/35, https://www.nature.com/articles/s41598-025-96607-1#Sec1)</w:t>
      </w:r>
      <w:r>
        <w:t xml:space="preserve"> </w:t>
      </w:r>
      <w:proofErr w:type="spellStart"/>
      <w:r>
        <w:t>sh</w:t>
      </w:r>
      <w:proofErr w:type="spellEnd"/>
    </w:p>
    <w:p w14:paraId="6ADC2F2E" w14:textId="77777777" w:rsidR="006F2C07" w:rsidRPr="009F1011" w:rsidRDefault="006F2C07" w:rsidP="006F2C07">
      <w:pPr>
        <w:rPr>
          <w:sz w:val="16"/>
        </w:rPr>
      </w:pPr>
      <w:r w:rsidRPr="009F1011">
        <w:rPr>
          <w:u w:val="single"/>
        </w:rPr>
        <w:t>In the rapidly warming and wetting Arctic, the time of emergence (</w:t>
      </w:r>
      <w:proofErr w:type="spellStart"/>
      <w:r w:rsidRPr="009F1011">
        <w:rPr>
          <w:u w:val="single"/>
        </w:rPr>
        <w:t>ToE</w:t>
      </w:r>
      <w:proofErr w:type="spellEnd"/>
      <w:r w:rsidRPr="009F1011">
        <w:rPr>
          <w:u w:val="single"/>
        </w:rPr>
        <w:t>) of a new climate state occurs when trends of climate indicators are large enough to surpass the strong natural climate fluctuations in the Arctic</w:t>
      </w:r>
      <w:r w:rsidRPr="009F1011">
        <w:rPr>
          <w:sz w:val="16"/>
        </w:rPr>
        <w:t xml:space="preserve">. Thus far, uncertainties in climate model projections, variability and methods have yielded diverging estimates of Arctic </w:t>
      </w:r>
      <w:proofErr w:type="spellStart"/>
      <w:r w:rsidRPr="009F1011">
        <w:rPr>
          <w:sz w:val="16"/>
        </w:rPr>
        <w:t>ToE</w:t>
      </w:r>
      <w:proofErr w:type="spellEnd"/>
      <w:r w:rsidRPr="009F1011">
        <w:rPr>
          <w:sz w:val="16"/>
        </w:rPr>
        <w:t xml:space="preserve">. Here we use a robust method and future projections of multiple state-of-the-art climate models to show that, generally, sea ice thickness (2036–2051) and surface air temperature (2033–2050) emerge first, followed by sea ice cover (2039–2074), and precipitation/rainfall (after 2077). Autumn generally exhibits the earliest </w:t>
      </w:r>
      <w:proofErr w:type="spellStart"/>
      <w:proofErr w:type="gramStart"/>
      <w:r w:rsidRPr="009F1011">
        <w:rPr>
          <w:sz w:val="16"/>
        </w:rPr>
        <w:t>ToE</w:t>
      </w:r>
      <w:proofErr w:type="spellEnd"/>
      <w:r w:rsidRPr="009F1011">
        <w:rPr>
          <w:sz w:val="16"/>
        </w:rPr>
        <w:t>-values</w:t>
      </w:r>
      <w:proofErr w:type="gramEnd"/>
      <w:r w:rsidRPr="009F1011">
        <w:rPr>
          <w:sz w:val="16"/>
        </w:rPr>
        <w:t xml:space="preserve"> due to rapid sea ice retreat. The earliest </w:t>
      </w:r>
      <w:proofErr w:type="spellStart"/>
      <w:r w:rsidRPr="009F1011">
        <w:rPr>
          <w:sz w:val="16"/>
        </w:rPr>
        <w:t>ToE</w:t>
      </w:r>
      <w:proofErr w:type="spellEnd"/>
      <w:r w:rsidRPr="009F1011">
        <w:rPr>
          <w:sz w:val="16"/>
        </w:rPr>
        <w:t xml:space="preserve"> for temperature and sea ice thickness occurs in the Central Arctic, whereas sea ice cover and rainfall first emerge in the Barents Sea region. </w:t>
      </w:r>
      <w:r w:rsidRPr="009F1011">
        <w:rPr>
          <w:u w:val="single"/>
        </w:rPr>
        <w:t>Most regions of the Arctic are close to a new climate state (for temperature and sea ice), with wide-ranging and possibly irreversible consequences for vulnerable Arctic ecosystems and human activities.</w:t>
      </w:r>
    </w:p>
    <w:p w14:paraId="1C0AEC14" w14:textId="77777777" w:rsidR="006F2C07" w:rsidRPr="009F1011" w:rsidRDefault="006F2C07" w:rsidP="006F2C07">
      <w:pPr>
        <w:rPr>
          <w:u w:val="single"/>
        </w:rPr>
      </w:pPr>
      <w:r w:rsidRPr="009F1011">
        <w:rPr>
          <w:sz w:val="16"/>
        </w:rPr>
        <w:t xml:space="preserve">In view of recent global increases in the occurrence of climate change-related natural disasters1,2,3, there is enhanced interest in determining whether extreme climate conditions are a regular feature of the current climate, or if they pose evidence of a new </w:t>
      </w:r>
      <w:proofErr w:type="gramStart"/>
      <w:r w:rsidRPr="009F1011">
        <w:rPr>
          <w:sz w:val="16"/>
        </w:rPr>
        <w:t>climate state</w:t>
      </w:r>
      <w:proofErr w:type="gramEnd"/>
      <w:r w:rsidRPr="009F1011">
        <w:rPr>
          <w:sz w:val="16"/>
        </w:rPr>
        <w:t xml:space="preserve"> having emerged. </w:t>
      </w:r>
      <w:r w:rsidRPr="009F1011">
        <w:rPr>
          <w:u w:val="single"/>
        </w:rPr>
        <w:t>One of the most vulnerable regions to climate change is the Arctic, which is warming two to four times faster than the global average over the last decades4</w:t>
      </w:r>
      <w:r w:rsidRPr="009F1011">
        <w:rPr>
          <w:sz w:val="16"/>
        </w:rPr>
        <w:t xml:space="preserve">,5,6, while also getting considerably wetter7,8,9,10. Understanding when the effects of anthropogenic climate change in the Arctic have/will become distinguishable from natural climate fluctuations is crucial for policymakers to develop effective mitigation and adaptation strategies, and to identify and quantify (potentially irreversible) impacts on vulnerable Arctic ecosystems. </w:t>
      </w:r>
      <w:r w:rsidRPr="009F1011">
        <w:rPr>
          <w:u w:val="single"/>
        </w:rPr>
        <w:t>A useful metric to establish when the forced climate change trend emerges from the ‘background noise’, or natural climate variability, is the time of emergence (</w:t>
      </w:r>
      <w:proofErr w:type="spellStart"/>
      <w:r w:rsidRPr="009F1011">
        <w:rPr>
          <w:u w:val="single"/>
        </w:rPr>
        <w:t>ToE</w:t>
      </w:r>
      <w:proofErr w:type="spellEnd"/>
      <w:r w:rsidRPr="009F1011">
        <w:rPr>
          <w:u w:val="single"/>
        </w:rPr>
        <w:t>).</w:t>
      </w:r>
    </w:p>
    <w:p w14:paraId="6A0F7230" w14:textId="77777777" w:rsidR="006F2C07" w:rsidRPr="009F1011" w:rsidRDefault="006F2C07" w:rsidP="006F2C07">
      <w:pPr>
        <w:rPr>
          <w:sz w:val="16"/>
        </w:rPr>
      </w:pPr>
    </w:p>
    <w:p w14:paraId="6D9C7ABE" w14:textId="77777777" w:rsidR="006F2C07" w:rsidRPr="009F1011" w:rsidRDefault="006F2C07" w:rsidP="006F2C07">
      <w:pPr>
        <w:rPr>
          <w:sz w:val="16"/>
        </w:rPr>
      </w:pPr>
      <w:r w:rsidRPr="009F1011">
        <w:rPr>
          <w:sz w:val="16"/>
        </w:rPr>
        <w:t xml:space="preserve">Thus far, the few studies that addressed Arctic </w:t>
      </w:r>
      <w:proofErr w:type="spellStart"/>
      <w:r w:rsidRPr="009F1011">
        <w:rPr>
          <w:sz w:val="16"/>
        </w:rPr>
        <w:t>ToE</w:t>
      </w:r>
      <w:proofErr w:type="spellEnd"/>
      <w:r w:rsidRPr="009F1011">
        <w:rPr>
          <w:sz w:val="16"/>
        </w:rPr>
        <w:t xml:space="preserve"> have provided inconclusive and diverging results, mainly because the methods to evaluate </w:t>
      </w:r>
      <w:proofErr w:type="spellStart"/>
      <w:r w:rsidRPr="009F1011">
        <w:rPr>
          <w:sz w:val="16"/>
        </w:rPr>
        <w:t>ToE</w:t>
      </w:r>
      <w:proofErr w:type="spellEnd"/>
      <w:r w:rsidRPr="009F1011">
        <w:rPr>
          <w:sz w:val="16"/>
        </w:rPr>
        <w:t xml:space="preserve"> and the climate variables/metrics that have been assessed differ greatly. Previous estimates of </w:t>
      </w:r>
      <w:proofErr w:type="spellStart"/>
      <w:r w:rsidRPr="009F1011">
        <w:rPr>
          <w:sz w:val="16"/>
        </w:rPr>
        <w:t>ToE</w:t>
      </w:r>
      <w:proofErr w:type="spellEnd"/>
      <w:r w:rsidRPr="009F1011">
        <w:rPr>
          <w:sz w:val="16"/>
        </w:rPr>
        <w:t xml:space="preserve"> for Arctic Amplification12, surface air temperature16, shortwave radiation11, sea ice extent (SIE)16, the freshwater budget15, or solar absorption14 focused on only one or a few variables and concluded that the forced trend has either already emerged or will likely emerge within the current decade13,16. </w:t>
      </w:r>
      <w:r w:rsidRPr="009F1011">
        <w:rPr>
          <w:u w:val="single"/>
        </w:rPr>
        <w:t xml:space="preserve">For rainfall, only the </w:t>
      </w:r>
      <w:proofErr w:type="spellStart"/>
      <w:r w:rsidRPr="009F1011">
        <w:rPr>
          <w:u w:val="single"/>
        </w:rPr>
        <w:t>ToEs</w:t>
      </w:r>
      <w:proofErr w:type="spellEnd"/>
      <w:r w:rsidRPr="009F1011">
        <w:rPr>
          <w:u w:val="single"/>
        </w:rPr>
        <w:t xml:space="preserve"> for the first, last, and duration of Arctic rain days were evaluated and found to occur later this century16. Studies that evaluated Arctic </w:t>
      </w:r>
      <w:proofErr w:type="spellStart"/>
      <w:r w:rsidRPr="009F1011">
        <w:rPr>
          <w:u w:val="single"/>
        </w:rPr>
        <w:t>ToE</w:t>
      </w:r>
      <w:proofErr w:type="spellEnd"/>
      <w:r w:rsidRPr="009F1011">
        <w:rPr>
          <w:u w:val="single"/>
        </w:rPr>
        <w:t xml:space="preserve"> were sometimes based on spatial and/or temporal averaging</w:t>
      </w:r>
      <w:r w:rsidRPr="009F1011">
        <w:rPr>
          <w:sz w:val="16"/>
        </w:rPr>
        <w:t xml:space="preserve"> (which reduces variability and hence results in an earlier </w:t>
      </w:r>
      <w:proofErr w:type="spellStart"/>
      <w:r w:rsidRPr="009F1011">
        <w:rPr>
          <w:sz w:val="16"/>
        </w:rPr>
        <w:t>ToE</w:t>
      </w:r>
      <w:proofErr w:type="spellEnd"/>
      <w:r w:rsidRPr="009F1011">
        <w:rPr>
          <w:sz w:val="16"/>
        </w:rPr>
        <w:t xml:space="preserve">, especially in sea ice, see Supplementary Information Figs. 1 and 2), </w:t>
      </w:r>
      <w:r w:rsidRPr="009F1011">
        <w:rPr>
          <w:u w:val="single"/>
        </w:rPr>
        <w:t>as such, these have mostly attributed emergence to processes associated with Arctic sea ice decline1</w:t>
      </w:r>
      <w:r w:rsidRPr="009F1011">
        <w:rPr>
          <w:sz w:val="16"/>
        </w:rPr>
        <w:t xml:space="preserve">2,16,17. For instance, a recent study suggested that the Arctic climate has already emerged decades ago in terms of both the seasonal minimum and maximum of SIE16, but these estimates are based on Arctic average SIE, which due to spatial averaging of variability yield an unrepresentative early </w:t>
      </w:r>
      <w:proofErr w:type="spellStart"/>
      <w:r w:rsidRPr="009F1011">
        <w:rPr>
          <w:sz w:val="16"/>
        </w:rPr>
        <w:t>ToE</w:t>
      </w:r>
      <w:proofErr w:type="spellEnd"/>
      <w:r w:rsidRPr="009F1011">
        <w:rPr>
          <w:sz w:val="16"/>
        </w:rPr>
        <w:t xml:space="preserve">. </w:t>
      </w:r>
      <w:r w:rsidRPr="009F1011">
        <w:rPr>
          <w:u w:val="single"/>
        </w:rPr>
        <w:t xml:space="preserve">To date, crucial Arctic variables such as sea ice thickness have not been </w:t>
      </w:r>
      <w:proofErr w:type="spellStart"/>
      <w:r w:rsidRPr="009F1011">
        <w:rPr>
          <w:u w:val="single"/>
        </w:rPr>
        <w:t>analysed</w:t>
      </w:r>
      <w:proofErr w:type="spellEnd"/>
      <w:r w:rsidRPr="009F1011">
        <w:rPr>
          <w:u w:val="single"/>
        </w:rPr>
        <w:t xml:space="preserve"> in terms of their first emergence. Precipitation/rainfall </w:t>
      </w:r>
      <w:proofErr w:type="gramStart"/>
      <w:r w:rsidRPr="009F1011">
        <w:rPr>
          <w:u w:val="single"/>
        </w:rPr>
        <w:t>exhibit</w:t>
      </w:r>
      <w:proofErr w:type="gramEnd"/>
      <w:r w:rsidRPr="009F1011">
        <w:rPr>
          <w:u w:val="single"/>
        </w:rPr>
        <w:t xml:space="preserve"> strongly increasing trends, </w:t>
      </w:r>
      <w:proofErr w:type="gramStart"/>
      <w:r w:rsidRPr="009F1011">
        <w:rPr>
          <w:u w:val="single"/>
        </w:rPr>
        <w:t>and also</w:t>
      </w:r>
      <w:proofErr w:type="gramEnd"/>
      <w:r w:rsidRPr="009F1011">
        <w:rPr>
          <w:u w:val="single"/>
        </w:rPr>
        <w:t xml:space="preserve"> considerable variability, but so far </w:t>
      </w:r>
      <w:proofErr w:type="spellStart"/>
      <w:r w:rsidRPr="009F1011">
        <w:rPr>
          <w:u w:val="single"/>
        </w:rPr>
        <w:t>ToE</w:t>
      </w:r>
      <w:proofErr w:type="spellEnd"/>
      <w:r w:rsidRPr="009F1011">
        <w:rPr>
          <w:u w:val="single"/>
        </w:rPr>
        <w:t xml:space="preserve"> has been evaluated only for specific precipitation indices and metrics based on only two climate models16</w:t>
      </w:r>
      <w:r w:rsidRPr="009F1011">
        <w:rPr>
          <w:sz w:val="16"/>
        </w:rPr>
        <w:t xml:space="preserve">. As a result, </w:t>
      </w:r>
      <w:proofErr w:type="spellStart"/>
      <w:r w:rsidRPr="009F1011">
        <w:rPr>
          <w:sz w:val="16"/>
        </w:rPr>
        <w:t>ToE</w:t>
      </w:r>
      <w:proofErr w:type="spellEnd"/>
      <w:r w:rsidRPr="009F1011">
        <w:rPr>
          <w:sz w:val="16"/>
        </w:rPr>
        <w:t>-estimates are often hard to intercompare because of differing climate variable indices and metrics, as well as differing methodology such as, most crucially, spatial and temporal averaging. Evidently, there is an urgent need for a complete, reliable and internally consistent estimate of the first emergence of the Arctic climate – including the associated uncertainties – based on a broad range of state-of-the-art climate models and five climate variables representative of the Arctic climate, including their geographical and seasonal variations.</w:t>
      </w:r>
    </w:p>
    <w:p w14:paraId="271DCD07" w14:textId="77777777" w:rsidR="006F2C07" w:rsidRPr="009F1011" w:rsidRDefault="006F2C07" w:rsidP="006F2C07">
      <w:pPr>
        <w:rPr>
          <w:sz w:val="16"/>
        </w:rPr>
      </w:pPr>
      <w:r w:rsidRPr="009F1011">
        <w:rPr>
          <w:sz w:val="16"/>
        </w:rPr>
        <w:t>Results</w:t>
      </w:r>
      <w:r>
        <w:rPr>
          <w:sz w:val="16"/>
        </w:rPr>
        <w:t xml:space="preserve">. </w:t>
      </w:r>
      <w:r w:rsidRPr="009F1011">
        <w:rPr>
          <w:sz w:val="16"/>
        </w:rPr>
        <w:t>Arctic mean time of emergence</w:t>
      </w:r>
    </w:p>
    <w:p w14:paraId="3D4F3EB7" w14:textId="77777777" w:rsidR="006F2C07" w:rsidRPr="009F1011" w:rsidRDefault="006F2C07" w:rsidP="006F2C07">
      <w:pPr>
        <w:rPr>
          <w:sz w:val="16"/>
        </w:rPr>
      </w:pPr>
      <w:r w:rsidRPr="009F1011">
        <w:rPr>
          <w:sz w:val="16"/>
        </w:rPr>
        <w:t xml:space="preserve">Here we use a detailed methodology (see Methods) to robustly determine Arctic </w:t>
      </w:r>
      <w:proofErr w:type="spellStart"/>
      <w:r w:rsidRPr="009F1011">
        <w:rPr>
          <w:sz w:val="16"/>
        </w:rPr>
        <w:t>ToE</w:t>
      </w:r>
      <w:proofErr w:type="spellEnd"/>
      <w:r w:rsidRPr="009F1011">
        <w:rPr>
          <w:sz w:val="16"/>
        </w:rPr>
        <w:t xml:space="preserve"> from state-of-the-art climate model simulations using 15 models in </w:t>
      </w:r>
      <w:proofErr w:type="spellStart"/>
      <w:r w:rsidRPr="009F1011">
        <w:rPr>
          <w:sz w:val="16"/>
        </w:rPr>
        <w:t>standardised</w:t>
      </w:r>
      <w:proofErr w:type="spellEnd"/>
      <w:r w:rsidRPr="009F1011">
        <w:rPr>
          <w:sz w:val="16"/>
        </w:rPr>
        <w:t xml:space="preserve"> scenario simulations (CMIP6, historical and SSP5-8.5)18 to show that, </w:t>
      </w:r>
      <w:r w:rsidRPr="009F1011">
        <w:rPr>
          <w:u w:val="single"/>
        </w:rPr>
        <w:t>averaged over the Arctic (70°N-90°N), the seasonal emergence of surface air temperature (TAS, 2033–2050) and sea ice thickness (SIT, 2036–2051) will precede sea ice cover (SIC, around 2039–2074), followed by rainfall and precipitation</w:t>
      </w:r>
      <w:r w:rsidRPr="009F1011">
        <w:rPr>
          <w:sz w:val="16"/>
        </w:rPr>
        <w:t xml:space="preserve"> (2077–2096, 2090-after the end of the century, respectively) (Fig. 1). In contrast to seasonal means, annual means average out seasonal variability; hence we find that annual mean </w:t>
      </w:r>
      <w:proofErr w:type="spellStart"/>
      <w:r w:rsidRPr="009F1011">
        <w:rPr>
          <w:sz w:val="16"/>
        </w:rPr>
        <w:t>ToE</w:t>
      </w:r>
      <w:proofErr w:type="spellEnd"/>
      <w:r w:rsidRPr="009F1011">
        <w:rPr>
          <w:sz w:val="16"/>
        </w:rPr>
        <w:t xml:space="preserve">-estimates precede seasonal values by 14 ± 5 years (Fig. 1). Strong future trends result in an earlier </w:t>
      </w:r>
      <w:proofErr w:type="spellStart"/>
      <w:r w:rsidRPr="009F1011">
        <w:rPr>
          <w:sz w:val="16"/>
        </w:rPr>
        <w:t>ToE</w:t>
      </w:r>
      <w:proofErr w:type="spellEnd"/>
      <w:r w:rsidRPr="009F1011">
        <w:rPr>
          <w:sz w:val="16"/>
        </w:rPr>
        <w:t xml:space="preserve">, but a large variability – and/or an increase in variability – will delay </w:t>
      </w:r>
      <w:proofErr w:type="spellStart"/>
      <w:r w:rsidRPr="009F1011">
        <w:rPr>
          <w:sz w:val="16"/>
        </w:rPr>
        <w:t>ToE</w:t>
      </w:r>
      <w:proofErr w:type="spellEnd"/>
      <w:r w:rsidRPr="009F1011">
        <w:rPr>
          <w:sz w:val="16"/>
        </w:rPr>
        <w:t xml:space="preserve"> (Supplementary Information Fig. 6). The later emergence of rainfall/precipitation </w:t>
      </w:r>
      <w:proofErr w:type="gramStart"/>
      <w:r w:rsidRPr="009F1011">
        <w:rPr>
          <w:sz w:val="16"/>
        </w:rPr>
        <w:t>in spite of</w:t>
      </w:r>
      <w:proofErr w:type="gramEnd"/>
      <w:r w:rsidRPr="009F1011">
        <w:rPr>
          <w:sz w:val="16"/>
        </w:rPr>
        <w:t xml:space="preserve"> strong future trends can be attributed to comparatively large past and present variability as well as to further future increases in variability19. </w:t>
      </w:r>
      <w:r w:rsidRPr="009F1011">
        <w:rPr>
          <w:u w:val="single"/>
        </w:rPr>
        <w:t xml:space="preserve">Until now, estimates of </w:t>
      </w:r>
      <w:proofErr w:type="spellStart"/>
      <w:r w:rsidRPr="009F1011">
        <w:rPr>
          <w:u w:val="single"/>
        </w:rPr>
        <w:t>ToE</w:t>
      </w:r>
      <w:proofErr w:type="spellEnd"/>
      <w:r w:rsidRPr="009F1011">
        <w:rPr>
          <w:u w:val="single"/>
        </w:rPr>
        <w:t xml:space="preserve"> for sea ice changes were based on Arctic mean/total sea ice concentration,</w:t>
      </w:r>
      <w:r w:rsidRPr="009F1011">
        <w:rPr>
          <w:sz w:val="16"/>
        </w:rPr>
        <w:t xml:space="preserve"> thus averaging out spatial variability, which likely resulted in too early </w:t>
      </w:r>
      <w:proofErr w:type="spellStart"/>
      <w:r w:rsidRPr="009F1011">
        <w:rPr>
          <w:sz w:val="16"/>
        </w:rPr>
        <w:t>ToE</w:t>
      </w:r>
      <w:proofErr w:type="spellEnd"/>
      <w:r w:rsidRPr="009F1011">
        <w:rPr>
          <w:sz w:val="16"/>
        </w:rPr>
        <w:t xml:space="preserve">-values (up to 56 years compared to our best estimates, see Supplementary Information Figs. 1 and 2). </w:t>
      </w:r>
      <w:r w:rsidRPr="009F1011">
        <w:rPr>
          <w:u w:val="single"/>
        </w:rPr>
        <w:t xml:space="preserve">Crucially, we find that evaluating the sea ice cover emergence per grid point considerably delays </w:t>
      </w:r>
      <w:proofErr w:type="spellStart"/>
      <w:r w:rsidRPr="009F1011">
        <w:rPr>
          <w:u w:val="single"/>
        </w:rPr>
        <w:t>ToE</w:t>
      </w:r>
      <w:proofErr w:type="spellEnd"/>
      <w:r w:rsidRPr="009F1011">
        <w:rPr>
          <w:u w:val="single"/>
        </w:rPr>
        <w:t xml:space="preserve"> to just after that of temperature</w:t>
      </w:r>
      <w:r w:rsidRPr="009F1011">
        <w:rPr>
          <w:sz w:val="16"/>
        </w:rPr>
        <w:t xml:space="preserve"> (Fig. 1). </w:t>
      </w:r>
      <w:r w:rsidRPr="009F1011">
        <w:rPr>
          <w:u w:val="single"/>
        </w:rPr>
        <w:t>These results suggest that, in contrast to earlier studies, the mean Arctic climate, despite exhibiting trends that are among the largest in the world4</w:t>
      </w:r>
      <w:proofErr w:type="gramStart"/>
      <w:r w:rsidRPr="009F1011">
        <w:rPr>
          <w:u w:val="single"/>
        </w:rPr>
        <w:t>,5,6</w:t>
      </w:r>
      <w:proofErr w:type="gramEnd"/>
      <w:r w:rsidRPr="009F1011">
        <w:rPr>
          <w:u w:val="single"/>
        </w:rPr>
        <w:t xml:space="preserve"> through local amplifying </w:t>
      </w:r>
      <w:proofErr w:type="gramStart"/>
      <w:r w:rsidRPr="009F1011">
        <w:rPr>
          <w:u w:val="single"/>
        </w:rPr>
        <w:t>feedbacks</w:t>
      </w:r>
      <w:proofErr w:type="gramEnd"/>
      <w:r w:rsidRPr="009F1011">
        <w:rPr>
          <w:u w:val="single"/>
        </w:rPr>
        <w:t>, has overall not yet moved significantly outside the current state</w:t>
      </w:r>
      <w:r w:rsidRPr="009F1011">
        <w:rPr>
          <w:sz w:val="16"/>
        </w:rPr>
        <w:t xml:space="preserve"> (although some regions and variables have already emerged). However, </w:t>
      </w:r>
      <w:proofErr w:type="spellStart"/>
      <w:r w:rsidRPr="009F1011">
        <w:rPr>
          <w:sz w:val="16"/>
        </w:rPr>
        <w:t>ToE</w:t>
      </w:r>
      <w:proofErr w:type="spellEnd"/>
      <w:r w:rsidRPr="009F1011">
        <w:rPr>
          <w:sz w:val="16"/>
        </w:rPr>
        <w:t xml:space="preserve"> values exhibit considerable </w:t>
      </w:r>
      <w:proofErr w:type="spellStart"/>
      <w:r w:rsidRPr="009F1011">
        <w:rPr>
          <w:sz w:val="16"/>
        </w:rPr>
        <w:t>intermodel</w:t>
      </w:r>
      <w:proofErr w:type="spellEnd"/>
      <w:r w:rsidRPr="009F1011">
        <w:rPr>
          <w:sz w:val="16"/>
        </w:rPr>
        <w:t xml:space="preserve"> differences (Supplementary Information Fig. 3), indicative of diverging model-specific simulated Arctic trends and variability – interannual and/or decadal – as well as the associated governing processes/feedbacks20,21. This clearly indicates that analyses of </w:t>
      </w:r>
      <w:proofErr w:type="spellStart"/>
      <w:r w:rsidRPr="009F1011">
        <w:rPr>
          <w:sz w:val="16"/>
        </w:rPr>
        <w:t>ToE</w:t>
      </w:r>
      <w:proofErr w:type="spellEnd"/>
      <w:r w:rsidRPr="009F1011">
        <w:rPr>
          <w:sz w:val="16"/>
        </w:rPr>
        <w:t xml:space="preserve"> should be based on as many models as possible to accurately quantify the associated uncertainties.</w:t>
      </w:r>
    </w:p>
    <w:p w14:paraId="2425BCA9" w14:textId="77777777" w:rsidR="006F2C07" w:rsidRPr="009F1011" w:rsidRDefault="006F2C07" w:rsidP="006F2C07">
      <w:pPr>
        <w:rPr>
          <w:sz w:val="16"/>
        </w:rPr>
      </w:pPr>
      <w:r w:rsidRPr="009F1011">
        <w:rPr>
          <w:sz w:val="16"/>
        </w:rPr>
        <w:t>TAS, SIC, and SIT are expected to transition to a new state across the Arctic by the end of this century, with changes occurring in all seasons (Fig. 1a-c). The earliest transitions are projected for autumn TAS, starting as soon as 2033 (Fig. 1a). SIT generally transitions around the same time as TAS, except for autumn, where TAS leads SIT by 13 years (Figs. 1a-b and 2a-b). Notably, some variables and regions have already emerged, such as SIT in the Central Arctic (Fig. 3e-h), while others, like winter TAS over Greenland (Fig. 3a) and spring SIC in most regions (Fig. 3j), are not expected to emerge until after 2100.</w:t>
      </w:r>
    </w:p>
    <w:p w14:paraId="56C3727D" w14:textId="77777777" w:rsidR="006F2C07" w:rsidRPr="009F1011" w:rsidRDefault="006F2C07" w:rsidP="006F2C07">
      <w:pPr>
        <w:rPr>
          <w:sz w:val="16"/>
        </w:rPr>
      </w:pPr>
      <w:r w:rsidRPr="009F1011">
        <w:rPr>
          <w:u w:val="single"/>
        </w:rPr>
        <w:t>The presence of sea ice influences the emergence of TAS particularly during warmer seasons, such as summer and autumn, when temperatures reach the melting point of ice. Once this point is reached, further warming is limited until the ice fully melts, resulting in TAS and SIC transitions occurring almost simultaneously during these months</w:t>
      </w:r>
      <w:r w:rsidRPr="009F1011">
        <w:rPr>
          <w:sz w:val="16"/>
        </w:rPr>
        <w:t xml:space="preserve"> (Fig. 2a, c). However</w:t>
      </w:r>
      <w:r w:rsidRPr="009F1011">
        <w:rPr>
          <w:u w:val="single"/>
        </w:rPr>
        <w:t>, in colder seasons, such as winter and spring, TAS remains well below the melting point and can thus increase freely.</w:t>
      </w:r>
      <w:r w:rsidRPr="009F1011">
        <w:rPr>
          <w:sz w:val="16"/>
        </w:rPr>
        <w:t xml:space="preserve"> As a result, TAS transitions occur up to 24 years earlier than SIC in spring (Fig. 2a, c). This pattern is particularly pronounced in the Central Arctic, where TAS is expected to transition before 2050 in spring (Fig. 3b), while SIC transitions will not occur until after 2070 or, in many areas, not even before the end of this century (Fig. 3j). In contrast, in regions with thin sea ice, such as the Barents Sea, the relationship between TAS and SIC is more synchronized, with </w:t>
      </w:r>
      <w:r w:rsidRPr="009F1011">
        <w:rPr>
          <w:u w:val="single"/>
        </w:rPr>
        <w:t>both transitioning relatively early (Fig. 3b, j) due to the already thin ice which suggests that surface temperatures have already reached the melting point.</w:t>
      </w:r>
      <w:r w:rsidRPr="009F1011">
        <w:rPr>
          <w:sz w:val="16"/>
        </w:rPr>
        <w:t xml:space="preserve"> When analyzing individual models, we find that those with an earlier </w:t>
      </w:r>
      <w:proofErr w:type="spellStart"/>
      <w:r w:rsidRPr="009F1011">
        <w:rPr>
          <w:sz w:val="16"/>
        </w:rPr>
        <w:t>ToE</w:t>
      </w:r>
      <w:proofErr w:type="spellEnd"/>
      <w:r w:rsidRPr="009F1011">
        <w:rPr>
          <w:sz w:val="16"/>
        </w:rPr>
        <w:t xml:space="preserve"> in temperature also tend to exhibit an earlier </w:t>
      </w:r>
      <w:proofErr w:type="spellStart"/>
      <w:r w:rsidRPr="009F1011">
        <w:rPr>
          <w:sz w:val="16"/>
        </w:rPr>
        <w:t>ToE</w:t>
      </w:r>
      <w:proofErr w:type="spellEnd"/>
      <w:r w:rsidRPr="009F1011">
        <w:rPr>
          <w:sz w:val="16"/>
        </w:rPr>
        <w:t xml:space="preserve"> in SIC (Supplementary Information Fig. 9). This approximately linear relationship is most pronounced in summer (R = 0.96), likely due to relatively high temperatures efficiently melting comparatively thin sea ice.</w:t>
      </w:r>
    </w:p>
    <w:p w14:paraId="230C101C" w14:textId="77777777" w:rsidR="006F2C07" w:rsidRDefault="006F2C07" w:rsidP="006F2C07">
      <w:pPr>
        <w:rPr>
          <w:sz w:val="16"/>
        </w:rPr>
      </w:pPr>
      <w:r w:rsidRPr="009F1011">
        <w:rPr>
          <w:u w:val="single"/>
        </w:rPr>
        <w:t>Sea ice cover demonstrates greater resilience than sea ice thickness, particularly in regions dominated by multiyear thick ice</w:t>
      </w:r>
      <w:r w:rsidRPr="009F1011">
        <w:rPr>
          <w:sz w:val="16"/>
        </w:rPr>
        <w:t xml:space="preserve"> (Fig. 3e-l), adding complexity to the timing of their transitions. In winter and spring, SIC transitions occur 17 and 31 years later than SIT, respectively (Fig. 2b, c), </w:t>
      </w:r>
      <w:r w:rsidRPr="009F1011">
        <w:rPr>
          <w:u w:val="single"/>
        </w:rPr>
        <w:t xml:space="preserve">as reductions in ice thickness do not immediately lead to a decline in sea ice cover in these regions. In contrast, regions with currently relatively thin ice, e.g. the Barents Sea, exhibit SIT transitions that often </w:t>
      </w:r>
      <w:proofErr w:type="gramStart"/>
      <w:r w:rsidRPr="009F1011">
        <w:rPr>
          <w:u w:val="single"/>
        </w:rPr>
        <w:t>lag behind</w:t>
      </w:r>
      <w:proofErr w:type="gramEnd"/>
      <w:r w:rsidRPr="009F1011">
        <w:rPr>
          <w:u w:val="single"/>
        </w:rPr>
        <w:t xml:space="preserve"> SIC </w:t>
      </w:r>
      <w:proofErr w:type="gramStart"/>
      <w:r w:rsidRPr="009F1011">
        <w:rPr>
          <w:u w:val="single"/>
        </w:rPr>
        <w:t>by</w:t>
      </w:r>
      <w:proofErr w:type="gramEnd"/>
      <w:r w:rsidRPr="009F1011">
        <w:rPr>
          <w:u w:val="single"/>
        </w:rPr>
        <w:t xml:space="preserve"> up to 20 years</w:t>
      </w:r>
      <w:r w:rsidRPr="009F1011">
        <w:rPr>
          <w:sz w:val="16"/>
        </w:rPr>
        <w:t xml:space="preserve"> (Fig. 3e-l), marking the final state before an ice-free state. This is especially true in regions where both variables are concurrently near the no-ice threshold. However, SIT exhibits </w:t>
      </w:r>
      <w:proofErr w:type="gramStart"/>
      <w:r w:rsidRPr="009F1011">
        <w:rPr>
          <w:sz w:val="16"/>
        </w:rPr>
        <w:t>greater</w:t>
      </w:r>
      <w:proofErr w:type="gramEnd"/>
      <w:r w:rsidRPr="009F1011">
        <w:rPr>
          <w:sz w:val="16"/>
        </w:rPr>
        <w:t xml:space="preserve"> ratio of variability and trend than SIC, especially in the Central Arctic (Figs. 4 and 5), introducing additional complexity to its spatiotemporal transition characteristics. This explains why, unlike SIT, SIC undergoes significant changes only when the ice is already thin, delaying its transition by up to 60 years compared to SIT—most notably in the Central Arctic during winter and spring (Fig. 3e-l). This lag is further exacerbated by the accelerated thinning of multiyear ice due to rising atmosphere and ocean temperatures20, which promote early SIT emergence.</w:t>
      </w:r>
    </w:p>
    <w:p w14:paraId="20D2CED3" w14:textId="77777777" w:rsidR="006F2C07" w:rsidRDefault="006F2C07" w:rsidP="006F2C07">
      <w:pPr>
        <w:pStyle w:val="Heading4"/>
      </w:pPr>
      <w:r>
        <w:t>That causes rapid ocean acidification due to a loss of ice protection from CO2</w:t>
      </w:r>
    </w:p>
    <w:p w14:paraId="52554786" w14:textId="77777777" w:rsidR="006F2C07" w:rsidRPr="006F6A01" w:rsidRDefault="006F2C07" w:rsidP="006F2C07">
      <w:pPr>
        <w:rPr>
          <w:b/>
          <w:bCs/>
        </w:rPr>
      </w:pPr>
      <w:r w:rsidRPr="006F6A01">
        <w:rPr>
          <w:rStyle w:val="Style13ptBold"/>
        </w:rPr>
        <w:t>Qi et al 22</w:t>
      </w:r>
      <w:r>
        <w:t xml:space="preserve">---Head of the Polar and Marine Research </w:t>
      </w:r>
      <w:proofErr w:type="spellStart"/>
      <w:r>
        <w:t>Institue</w:t>
      </w:r>
      <w:proofErr w:type="spellEnd"/>
      <w:r>
        <w:t xml:space="preserve">, and professor for </w:t>
      </w:r>
      <w:proofErr w:type="spellStart"/>
      <w:r>
        <w:t>Jimei</w:t>
      </w:r>
      <w:proofErr w:type="spellEnd"/>
      <w:r>
        <w:t xml:space="preserve"> University. (Di, </w:t>
      </w:r>
      <w:proofErr w:type="spellStart"/>
      <w:r>
        <w:t>Zhangxian</w:t>
      </w:r>
      <w:proofErr w:type="spellEnd"/>
      <w:r>
        <w:t xml:space="preserve"> Ouyang, </w:t>
      </w:r>
      <w:proofErr w:type="spellStart"/>
      <w:r>
        <w:t>Liqi</w:t>
      </w:r>
      <w:proofErr w:type="spellEnd"/>
      <w:r>
        <w:t xml:space="preserve"> Chen, </w:t>
      </w:r>
      <w:proofErr w:type="spellStart"/>
      <w:r>
        <w:t>Yingxu</w:t>
      </w:r>
      <w:proofErr w:type="spellEnd"/>
      <w:r>
        <w:t xml:space="preserve"> Wu, </w:t>
      </w:r>
      <w:proofErr w:type="spellStart"/>
      <w:r>
        <w:t>Ruibo</w:t>
      </w:r>
      <w:proofErr w:type="spellEnd"/>
      <w:r>
        <w:t xml:space="preserve"> Lei, Baoshan Chen, Richard A. Feely, Leif G. Anderson, </w:t>
      </w:r>
      <w:proofErr w:type="spellStart"/>
      <w:r>
        <w:t>Wenli</w:t>
      </w:r>
      <w:proofErr w:type="spellEnd"/>
      <w:r>
        <w:t xml:space="preserve"> Zhong, Hongmei Lin, Alexander </w:t>
      </w:r>
      <w:proofErr w:type="spellStart"/>
      <w:r>
        <w:t>Polukhin</w:t>
      </w:r>
      <w:proofErr w:type="spellEnd"/>
      <w:r>
        <w:t xml:space="preserve">, Yixing Zhang, </w:t>
      </w:r>
      <w:proofErr w:type="spellStart"/>
      <w:r>
        <w:t>Yongli</w:t>
      </w:r>
      <w:proofErr w:type="spellEnd"/>
      <w:r>
        <w:t xml:space="preserve"> Zhang, </w:t>
      </w:r>
      <w:proofErr w:type="spellStart"/>
      <w:r>
        <w:t>Haibo</w:t>
      </w:r>
      <w:proofErr w:type="spellEnd"/>
      <w:r>
        <w:t xml:space="preserve"> Bi, Xinyu Lin, Yiming Luo, </w:t>
      </w:r>
      <w:proofErr w:type="spellStart"/>
      <w:r>
        <w:t>Yanpei</w:t>
      </w:r>
      <w:proofErr w:type="spellEnd"/>
      <w:r>
        <w:t xml:space="preserve"> Zhuang, Jianfeng He, </w:t>
      </w:r>
      <w:proofErr w:type="spellStart"/>
      <w:r>
        <w:t>Jianfang</w:t>
      </w:r>
      <w:proofErr w:type="spellEnd"/>
      <w:r>
        <w:t xml:space="preserve"> Chen, and Wei-Jun Cai; “</w:t>
      </w:r>
      <w:r w:rsidRPr="006F6A01">
        <w:t>Climate change drives rapid decadal acidification in the Arctic Ocean from 1994 to 2020”, Science, 9/11/22, https://www.science.org/doi/10.1126/science.abo0383)</w:t>
      </w:r>
      <w:r>
        <w:t xml:space="preserve"> </w:t>
      </w:r>
      <w:proofErr w:type="spellStart"/>
      <w:r>
        <w:t>sh</w:t>
      </w:r>
      <w:proofErr w:type="spellEnd"/>
    </w:p>
    <w:p w14:paraId="2CA5B579" w14:textId="77777777" w:rsidR="006F2C07" w:rsidRPr="00623EB4" w:rsidRDefault="006F2C07" w:rsidP="006F2C07">
      <w:pPr>
        <w:rPr>
          <w:sz w:val="16"/>
        </w:rPr>
      </w:pPr>
      <w:r w:rsidRPr="00791D30">
        <w:rPr>
          <w:u w:val="single"/>
        </w:rPr>
        <w:t>The Arctic Ocean has experienced rapid warming and sea ice loss in recent decades,</w:t>
      </w:r>
      <w:r w:rsidRPr="00623EB4">
        <w:rPr>
          <w:sz w:val="16"/>
        </w:rPr>
        <w:t xml:space="preserve"> becoming the first open-ocean basin to experience widespread aragonite undersaturation [saturation state of aragonite (</w:t>
      </w:r>
      <w:proofErr w:type="spellStart"/>
      <w:r w:rsidRPr="00623EB4">
        <w:rPr>
          <w:sz w:val="16"/>
        </w:rPr>
        <w:t>Ωarag</w:t>
      </w:r>
      <w:proofErr w:type="spellEnd"/>
      <w:r w:rsidRPr="00623EB4">
        <w:rPr>
          <w:sz w:val="16"/>
        </w:rPr>
        <w:t>) &lt; 1</w:t>
      </w:r>
      <w:r w:rsidRPr="00791D30">
        <w:rPr>
          <w:u w:val="single"/>
        </w:rPr>
        <w:t xml:space="preserve">]. However, its trend toward long-term ocean acidification and the underlying mechanisms </w:t>
      </w:r>
      <w:proofErr w:type="gramStart"/>
      <w:r w:rsidRPr="00791D30">
        <w:rPr>
          <w:u w:val="single"/>
        </w:rPr>
        <w:t>remain</w:t>
      </w:r>
      <w:proofErr w:type="gramEnd"/>
      <w:r w:rsidRPr="00791D30">
        <w:rPr>
          <w:u w:val="single"/>
        </w:rPr>
        <w:t xml:space="preserve"> undocumented. Here, we report rapid acidification there, with rates three to four times higher than in other ocean basins, and attribute it to changing sea ice coverage on a decadal time scale. Sea ice melt exposes seawater to the atmosphere and promotes rapid uptake of atmospheric carbon dioxide, lowering its alkalinity and buffer capacity</w:t>
      </w:r>
      <w:r w:rsidRPr="00623EB4">
        <w:rPr>
          <w:sz w:val="16"/>
        </w:rPr>
        <w:t xml:space="preserve"> and thus leading to sharp declines in pH and </w:t>
      </w:r>
      <w:proofErr w:type="spellStart"/>
      <w:r w:rsidRPr="00623EB4">
        <w:rPr>
          <w:sz w:val="16"/>
        </w:rPr>
        <w:t>Ωarag</w:t>
      </w:r>
      <w:proofErr w:type="spellEnd"/>
      <w:r w:rsidRPr="00623EB4">
        <w:rPr>
          <w:sz w:val="16"/>
        </w:rPr>
        <w:t xml:space="preserve">. We predict a further decrease in pH, particularly at higher latitudes where sea ice retreat is active, whereas Arctic warming may counteract decreases in </w:t>
      </w:r>
      <w:proofErr w:type="spellStart"/>
      <w:r w:rsidRPr="00623EB4">
        <w:rPr>
          <w:sz w:val="16"/>
        </w:rPr>
        <w:t>Ωarag</w:t>
      </w:r>
      <w:proofErr w:type="spellEnd"/>
      <w:r w:rsidRPr="00623EB4">
        <w:rPr>
          <w:sz w:val="16"/>
        </w:rPr>
        <w:t xml:space="preserve"> in the future.</w:t>
      </w:r>
    </w:p>
    <w:p w14:paraId="6C2FBBF8" w14:textId="77777777" w:rsidR="006F2C07" w:rsidRPr="00623EB4" w:rsidRDefault="006F2C07" w:rsidP="006F2C07">
      <w:pPr>
        <w:rPr>
          <w:sz w:val="16"/>
        </w:rPr>
      </w:pPr>
      <w:r w:rsidRPr="00623EB4">
        <w:rPr>
          <w:u w:val="single"/>
        </w:rPr>
        <w:t>In the global ocean, an increase in anthropogenic carbon dioxide (CO2) has led to decreases in seawater pH based on the total hydrogen ion concentration</w:t>
      </w:r>
      <w:r w:rsidRPr="00623EB4">
        <w:rPr>
          <w:sz w:val="16"/>
        </w:rPr>
        <w:t xml:space="preserve"> scale (</w:t>
      </w:r>
      <w:proofErr w:type="spellStart"/>
      <w:r w:rsidRPr="00623EB4">
        <w:rPr>
          <w:sz w:val="16"/>
        </w:rPr>
        <w:t>pHT</w:t>
      </w:r>
      <w:proofErr w:type="spellEnd"/>
      <w:r w:rsidRPr="00623EB4">
        <w:rPr>
          <w:sz w:val="16"/>
        </w:rPr>
        <w:t xml:space="preserve">) </w:t>
      </w:r>
      <w:r w:rsidRPr="00623EB4">
        <w:rPr>
          <w:u w:val="single"/>
        </w:rPr>
        <w:t>and the saturation state of the calcium carbonate mineral aragonite (</w:t>
      </w:r>
      <w:proofErr w:type="spellStart"/>
      <w:r w:rsidRPr="00623EB4">
        <w:rPr>
          <w:u w:val="single"/>
        </w:rPr>
        <w:t>Ωarag</w:t>
      </w:r>
      <w:proofErr w:type="spellEnd"/>
      <w:r w:rsidRPr="00623EB4">
        <w:rPr>
          <w:u w:val="single"/>
        </w:rPr>
        <w:t>) in a process known as ocean acidification</w:t>
      </w:r>
      <w:r w:rsidRPr="00623EB4">
        <w:rPr>
          <w:sz w:val="16"/>
        </w:rPr>
        <w:t xml:space="preserve"> (1). Although substantial regional and decadal variability in ocean acidification, driven by climate-induced atmospheric and oceanic circulation changes, has been observed in low- and mid-latitude ocean basins (2–4) and in the Southern Ocean (3), long-term ocean acidification rates generally have followed the trends predicted from the increase in the concentration of CO2 in the atmosphere (2, 3). </w:t>
      </w:r>
      <w:r w:rsidRPr="00623EB4">
        <w:rPr>
          <w:u w:val="single"/>
        </w:rPr>
        <w:t>For the Arctic Ocean,</w:t>
      </w:r>
      <w:r w:rsidRPr="00623EB4">
        <w:rPr>
          <w:sz w:val="16"/>
        </w:rPr>
        <w:t xml:space="preserve"> although</w:t>
      </w:r>
      <w:r w:rsidRPr="00623EB4">
        <w:rPr>
          <w:u w:val="single"/>
        </w:rPr>
        <w:t xml:space="preserve"> numerical models have predicted high acidification rates</w:t>
      </w:r>
      <w:r w:rsidRPr="00623EB4">
        <w:rPr>
          <w:sz w:val="16"/>
        </w:rPr>
        <w:t xml:space="preserve"> (5–8), observation-based decadal rates of surface water </w:t>
      </w:r>
      <w:proofErr w:type="spellStart"/>
      <w:r w:rsidRPr="00623EB4">
        <w:rPr>
          <w:sz w:val="16"/>
        </w:rPr>
        <w:t>pHT</w:t>
      </w:r>
      <w:proofErr w:type="spellEnd"/>
      <w:r w:rsidRPr="00623EB4">
        <w:rPr>
          <w:sz w:val="16"/>
        </w:rPr>
        <w:t xml:space="preserve"> and </w:t>
      </w:r>
      <w:proofErr w:type="spellStart"/>
      <w:r w:rsidRPr="00623EB4">
        <w:rPr>
          <w:sz w:val="16"/>
        </w:rPr>
        <w:t>Ωarag</w:t>
      </w:r>
      <w:proofErr w:type="spellEnd"/>
      <w:r w:rsidRPr="00623EB4">
        <w:rPr>
          <w:sz w:val="16"/>
        </w:rPr>
        <w:t xml:space="preserve"> change are sparse</w:t>
      </w:r>
      <w:r w:rsidRPr="00623EB4">
        <w:rPr>
          <w:u w:val="single"/>
        </w:rPr>
        <w:t>. Over the past three decades, climate warming has induced notable changes in the Arctic atmosphere-ice-ocean system</w:t>
      </w:r>
      <w:r w:rsidRPr="00623EB4">
        <w:rPr>
          <w:sz w:val="16"/>
        </w:rPr>
        <w:t xml:space="preserve"> (fig. S1). </w:t>
      </w:r>
      <w:r w:rsidRPr="00623EB4">
        <w:rPr>
          <w:u w:val="single"/>
        </w:rPr>
        <w:t>These changes include (</w:t>
      </w:r>
      <w:proofErr w:type="spellStart"/>
      <w:r w:rsidRPr="00623EB4">
        <w:rPr>
          <w:u w:val="single"/>
        </w:rPr>
        <w:t>i</w:t>
      </w:r>
      <w:proofErr w:type="spellEnd"/>
      <w:r w:rsidRPr="00623EB4">
        <w:rPr>
          <w:u w:val="single"/>
        </w:rPr>
        <w:t>) a rapid sea ice retreat from a nearly fully ice-covered state</w:t>
      </w:r>
      <w:r w:rsidRPr="00623EB4">
        <w:rPr>
          <w:sz w:val="16"/>
        </w:rPr>
        <w:t xml:space="preserve"> before the 1990s to an ice-free state in the southern part of the Canada Basin and a partially ice-covered state in the northern part of the basin (9), (ii) </w:t>
      </w:r>
      <w:r w:rsidRPr="00623EB4">
        <w:rPr>
          <w:u w:val="single"/>
        </w:rPr>
        <w:t>a change</w:t>
      </w:r>
      <w:r w:rsidRPr="00623EB4">
        <w:rPr>
          <w:sz w:val="16"/>
        </w:rPr>
        <w:t xml:space="preserve"> from cyclonic circulation in the 1990s </w:t>
      </w:r>
      <w:r w:rsidRPr="00623EB4">
        <w:rPr>
          <w:u w:val="single"/>
        </w:rPr>
        <w:t xml:space="preserve">to an anomalous anticyclonic circulation pattern </w:t>
      </w:r>
      <w:r w:rsidRPr="00623EB4">
        <w:rPr>
          <w:sz w:val="16"/>
        </w:rPr>
        <w:t xml:space="preserve">(10), and (iii) a spin-up of the Beaufort Gyre (11) over the past 20 years (fig. S1). There are also increases in freshwater storage (11), Pacific Summer Water inflow (12), biological production (13), stratification (14), air-sea CO2 exchanges and carbon sinks (15, 16), and </w:t>
      </w:r>
      <w:proofErr w:type="spellStart"/>
      <w:r w:rsidRPr="00623EB4">
        <w:rPr>
          <w:sz w:val="16"/>
        </w:rPr>
        <w:t>nutricline</w:t>
      </w:r>
      <w:proofErr w:type="spellEnd"/>
      <w:r w:rsidRPr="00623EB4">
        <w:rPr>
          <w:sz w:val="16"/>
        </w:rPr>
        <w:t xml:space="preserve"> depth (17) and decreases in surface nutrients (18) and subsurface anthropogenic CO2 storage (19). In addition, </w:t>
      </w:r>
      <w:proofErr w:type="spellStart"/>
      <w:r w:rsidRPr="00623EB4">
        <w:rPr>
          <w:sz w:val="16"/>
        </w:rPr>
        <w:t>pHT</w:t>
      </w:r>
      <w:proofErr w:type="spellEnd"/>
      <w:r w:rsidRPr="00623EB4">
        <w:rPr>
          <w:sz w:val="16"/>
        </w:rPr>
        <w:t xml:space="preserve"> and calcium carbonate saturation conditions have been substantially altered by these changes (20–26). For example, the Canada Basin was the first open-ocean basin where surface aragonite undersaturation (i.e., </w:t>
      </w:r>
      <w:proofErr w:type="spellStart"/>
      <w:r w:rsidRPr="00623EB4">
        <w:rPr>
          <w:sz w:val="16"/>
        </w:rPr>
        <w:t>Ωarag</w:t>
      </w:r>
      <w:proofErr w:type="spellEnd"/>
      <w:r w:rsidRPr="00623EB4">
        <w:rPr>
          <w:sz w:val="16"/>
        </w:rPr>
        <w:t xml:space="preserve"> &lt; 1) was detected (20, 22) together with subsurface (21, 27) and intermediate water (28, 29) acidification. Thus, </w:t>
      </w:r>
      <w:r w:rsidRPr="00623EB4">
        <w:rPr>
          <w:u w:val="single"/>
        </w:rPr>
        <w:t xml:space="preserve">the Arctic Ocean </w:t>
      </w:r>
      <w:proofErr w:type="gramStart"/>
      <w:r w:rsidRPr="00623EB4">
        <w:rPr>
          <w:u w:val="single"/>
        </w:rPr>
        <w:t>is considered to be</w:t>
      </w:r>
      <w:proofErr w:type="gramEnd"/>
      <w:r w:rsidRPr="00623EB4">
        <w:rPr>
          <w:u w:val="single"/>
        </w:rPr>
        <w:t xml:space="preserve"> a bellwether of global climate change and ocean acidification</w:t>
      </w:r>
      <w:r w:rsidRPr="00623EB4">
        <w:rPr>
          <w:sz w:val="16"/>
        </w:rPr>
        <w:t xml:space="preserve"> (30).</w:t>
      </w:r>
    </w:p>
    <w:p w14:paraId="7E4B1133" w14:textId="77777777" w:rsidR="006F2C07" w:rsidRPr="00623EB4" w:rsidRDefault="006F2C07" w:rsidP="006F2C07">
      <w:pPr>
        <w:rPr>
          <w:sz w:val="16"/>
        </w:rPr>
      </w:pPr>
      <w:r w:rsidRPr="00623EB4">
        <w:rPr>
          <w:sz w:val="16"/>
        </w:rPr>
        <w:t xml:space="preserve">Here, by using </w:t>
      </w:r>
      <w:proofErr w:type="spellStart"/>
      <w:r w:rsidRPr="00623EB4">
        <w:rPr>
          <w:sz w:val="16"/>
        </w:rPr>
        <w:t>pHT</w:t>
      </w:r>
      <w:proofErr w:type="spellEnd"/>
      <w:r w:rsidRPr="00623EB4">
        <w:rPr>
          <w:sz w:val="16"/>
        </w:rPr>
        <w:t xml:space="preserve"> and </w:t>
      </w:r>
      <w:proofErr w:type="spellStart"/>
      <w:r w:rsidRPr="00623EB4">
        <w:rPr>
          <w:sz w:val="16"/>
        </w:rPr>
        <w:t>Ωarag</w:t>
      </w:r>
      <w:proofErr w:type="spellEnd"/>
      <w:r w:rsidRPr="00623EB4">
        <w:rPr>
          <w:sz w:val="16"/>
        </w:rPr>
        <w:t xml:space="preserve"> estimates derived from data collected on 47 Arctic research cruises from 1994 to 2020 (see materials and methods), we document </w:t>
      </w:r>
      <w:r w:rsidRPr="00623EB4">
        <w:rPr>
          <w:u w:val="single"/>
        </w:rPr>
        <w:t xml:space="preserve">the high rates of long-term ocean acidification trends and basin-scale spatial expansion in terms of both </w:t>
      </w:r>
      <w:proofErr w:type="spellStart"/>
      <w:r w:rsidRPr="00623EB4">
        <w:rPr>
          <w:u w:val="single"/>
        </w:rPr>
        <w:t>pHT</w:t>
      </w:r>
      <w:proofErr w:type="spellEnd"/>
      <w:r w:rsidRPr="00623EB4">
        <w:rPr>
          <w:u w:val="single"/>
        </w:rPr>
        <w:t xml:space="preserve"> and </w:t>
      </w:r>
      <w:proofErr w:type="spellStart"/>
      <w:r w:rsidRPr="00623EB4">
        <w:rPr>
          <w:u w:val="single"/>
        </w:rPr>
        <w:t>Ωarag</w:t>
      </w:r>
      <w:proofErr w:type="spellEnd"/>
      <w:r w:rsidRPr="00623EB4">
        <w:rPr>
          <w:u w:val="single"/>
        </w:rPr>
        <w:t xml:space="preserve"> declines in the western Arctic Ocean.</w:t>
      </w:r>
      <w:r w:rsidRPr="00623EB4">
        <w:rPr>
          <w:sz w:val="16"/>
        </w:rPr>
        <w:t xml:space="preserve"> With this dataset, we further examine </w:t>
      </w:r>
      <w:r w:rsidRPr="00623EB4">
        <w:rPr>
          <w:u w:val="single"/>
        </w:rPr>
        <w:t>how sea ice loss and increasing atmospheric CO2 have altered the sea-surface carbonate chemistry over the past two decades</w:t>
      </w:r>
      <w:r w:rsidRPr="00623EB4">
        <w:rPr>
          <w:sz w:val="16"/>
        </w:rPr>
        <w:t>, and we propose an “ice melt–driven enhanced anthropogenic CO2 acidification” mechanism to explain such rapid rates of regional ocean acidification.</w:t>
      </w:r>
    </w:p>
    <w:p w14:paraId="20DFD853" w14:textId="77777777" w:rsidR="006F2C07" w:rsidRPr="00623EB4" w:rsidRDefault="006F2C07" w:rsidP="006F2C07">
      <w:pPr>
        <w:rPr>
          <w:sz w:val="14"/>
          <w:szCs w:val="20"/>
        </w:rPr>
      </w:pPr>
      <w:r w:rsidRPr="00623EB4">
        <w:rPr>
          <w:sz w:val="14"/>
          <w:szCs w:val="20"/>
        </w:rPr>
        <w:t xml:space="preserve">The </w:t>
      </w:r>
      <w:proofErr w:type="spellStart"/>
      <w:r w:rsidRPr="00623EB4">
        <w:rPr>
          <w:sz w:val="14"/>
          <w:szCs w:val="20"/>
        </w:rPr>
        <w:t>pHT</w:t>
      </w:r>
      <w:proofErr w:type="spellEnd"/>
      <w:r w:rsidRPr="00623EB4">
        <w:rPr>
          <w:sz w:val="14"/>
          <w:szCs w:val="20"/>
        </w:rPr>
        <w:t xml:space="preserve"> and </w:t>
      </w:r>
      <w:proofErr w:type="spellStart"/>
      <w:r w:rsidRPr="00623EB4">
        <w:rPr>
          <w:sz w:val="14"/>
          <w:szCs w:val="20"/>
        </w:rPr>
        <w:t>Ωarag</w:t>
      </w:r>
      <w:proofErr w:type="spellEnd"/>
      <w:r w:rsidRPr="00623EB4">
        <w:rPr>
          <w:sz w:val="14"/>
          <w:szCs w:val="20"/>
        </w:rPr>
        <w:t xml:space="preserve"> values were calculated based on underway measurements of the partial pressure of CO2 (Pco2) and salinity-derived total alkalinity (TA), together with sea surface temperature and salinity, from 1994 to 2020 (table S1). Data were supplemented with </w:t>
      </w:r>
      <w:proofErr w:type="spellStart"/>
      <w:r w:rsidRPr="00623EB4">
        <w:rPr>
          <w:sz w:val="14"/>
          <w:szCs w:val="20"/>
        </w:rPr>
        <w:t>pHT</w:t>
      </w:r>
      <w:proofErr w:type="spellEnd"/>
      <w:r w:rsidRPr="00623EB4">
        <w:rPr>
          <w:sz w:val="14"/>
          <w:szCs w:val="20"/>
        </w:rPr>
        <w:t xml:space="preserve"> and </w:t>
      </w:r>
      <w:proofErr w:type="spellStart"/>
      <w:r w:rsidRPr="00623EB4">
        <w:rPr>
          <w:sz w:val="14"/>
          <w:szCs w:val="20"/>
        </w:rPr>
        <w:t>Ωarag</w:t>
      </w:r>
      <w:proofErr w:type="spellEnd"/>
      <w:r w:rsidRPr="00623EB4">
        <w:rPr>
          <w:sz w:val="14"/>
          <w:szCs w:val="20"/>
        </w:rPr>
        <w:t xml:space="preserve">, which were calculated from discrete measurements of TA and dissolved inorganic carbon (DIC) (see materials and methods). The salinity-derived TA and corresponding calculated DIC values match well with those of the discrete samples, yielding uncertainties of less than ±14 </w:t>
      </w:r>
      <w:proofErr w:type="spellStart"/>
      <w:r w:rsidRPr="00623EB4">
        <w:rPr>
          <w:sz w:val="14"/>
          <w:szCs w:val="20"/>
        </w:rPr>
        <w:t>μmol</w:t>
      </w:r>
      <w:proofErr w:type="spellEnd"/>
      <w:r w:rsidRPr="00623EB4">
        <w:rPr>
          <w:sz w:val="14"/>
          <w:szCs w:val="20"/>
        </w:rPr>
        <w:t xml:space="preserve"> kg−1 (fig. S2), which are further quality controlled as described in the materials and methods. The combined uncertainties of estimated </w:t>
      </w:r>
      <w:proofErr w:type="spellStart"/>
      <w:r w:rsidRPr="00623EB4">
        <w:rPr>
          <w:sz w:val="14"/>
          <w:szCs w:val="20"/>
        </w:rPr>
        <w:t>pHT</w:t>
      </w:r>
      <w:proofErr w:type="spellEnd"/>
      <w:r w:rsidRPr="00623EB4">
        <w:rPr>
          <w:sz w:val="14"/>
          <w:szCs w:val="20"/>
        </w:rPr>
        <w:t xml:space="preserve"> and </w:t>
      </w:r>
      <w:proofErr w:type="spellStart"/>
      <w:r w:rsidRPr="00623EB4">
        <w:rPr>
          <w:sz w:val="14"/>
          <w:szCs w:val="20"/>
        </w:rPr>
        <w:t>Ωarag</w:t>
      </w:r>
      <w:proofErr w:type="spellEnd"/>
      <w:r w:rsidRPr="00623EB4">
        <w:rPr>
          <w:sz w:val="14"/>
          <w:szCs w:val="20"/>
        </w:rPr>
        <w:t xml:space="preserve"> were 0.0113 and 0.0109, respectively, which were computed using the uncertainty propagation routine for CO2SYS (31).</w:t>
      </w:r>
    </w:p>
    <w:p w14:paraId="467AB94D" w14:textId="77777777" w:rsidR="006F2C07" w:rsidRPr="00623EB4" w:rsidRDefault="006F2C07" w:rsidP="006F2C07">
      <w:pPr>
        <w:rPr>
          <w:u w:val="single"/>
        </w:rPr>
      </w:pPr>
      <w:r w:rsidRPr="00623EB4">
        <w:rPr>
          <w:sz w:val="14"/>
          <w:szCs w:val="20"/>
        </w:rPr>
        <w:t xml:space="preserve">Our results show that the area of sea surface with relatively low </w:t>
      </w:r>
      <w:proofErr w:type="spellStart"/>
      <w:r w:rsidRPr="00623EB4">
        <w:rPr>
          <w:sz w:val="14"/>
          <w:szCs w:val="20"/>
        </w:rPr>
        <w:t>pHT</w:t>
      </w:r>
      <w:proofErr w:type="spellEnd"/>
      <w:r w:rsidRPr="00623EB4">
        <w:rPr>
          <w:sz w:val="14"/>
          <w:szCs w:val="20"/>
        </w:rPr>
        <w:t xml:space="preserve"> (&lt;8.05) and </w:t>
      </w:r>
      <w:proofErr w:type="spellStart"/>
      <w:r w:rsidRPr="00623EB4">
        <w:rPr>
          <w:sz w:val="14"/>
          <w:szCs w:val="20"/>
        </w:rPr>
        <w:t>Ωarag</w:t>
      </w:r>
      <w:proofErr w:type="spellEnd"/>
      <w:r w:rsidRPr="00623EB4">
        <w:rPr>
          <w:sz w:val="14"/>
          <w:szCs w:val="20"/>
        </w:rPr>
        <w:t xml:space="preserve"> (&lt;1) expanded substantially (~0 to 0.88 × 106 km2) from 1994 to 2020, not only increasing in areal coverage but also extending into higher latitudes in the western Arctic Ocean (Fig. 1). During the 1990s, more than 90% of the western Arctic Ocean basin waters were covered by sea ice, with a high </w:t>
      </w:r>
      <w:proofErr w:type="spellStart"/>
      <w:r w:rsidRPr="00623EB4">
        <w:rPr>
          <w:sz w:val="14"/>
          <w:szCs w:val="20"/>
        </w:rPr>
        <w:t>pHT</w:t>
      </w:r>
      <w:proofErr w:type="spellEnd"/>
      <w:r w:rsidRPr="00623EB4">
        <w:rPr>
          <w:sz w:val="14"/>
          <w:szCs w:val="20"/>
        </w:rPr>
        <w:t xml:space="preserve"> (8.17 ± 0.05), and were supersaturated with respect to aragonite (</w:t>
      </w:r>
      <w:proofErr w:type="spellStart"/>
      <w:r w:rsidRPr="00623EB4">
        <w:rPr>
          <w:sz w:val="14"/>
          <w:szCs w:val="20"/>
        </w:rPr>
        <w:t>Ωarag</w:t>
      </w:r>
      <w:proofErr w:type="spellEnd"/>
      <w:r w:rsidRPr="00623EB4">
        <w:rPr>
          <w:sz w:val="14"/>
          <w:szCs w:val="20"/>
        </w:rPr>
        <w:t xml:space="preserve"> = 1.46 ± 0.23) (Fig. 1, A and E). These initial conditions of the relatively higher </w:t>
      </w:r>
      <w:proofErr w:type="spellStart"/>
      <w:r w:rsidRPr="00623EB4">
        <w:rPr>
          <w:sz w:val="14"/>
          <w:szCs w:val="20"/>
        </w:rPr>
        <w:t>pHT</w:t>
      </w:r>
      <w:proofErr w:type="spellEnd"/>
      <w:r w:rsidRPr="00623EB4">
        <w:rPr>
          <w:sz w:val="14"/>
          <w:szCs w:val="20"/>
        </w:rPr>
        <w:t xml:space="preserve"> and </w:t>
      </w:r>
      <w:proofErr w:type="spellStart"/>
      <w:r w:rsidRPr="00623EB4">
        <w:rPr>
          <w:sz w:val="14"/>
          <w:szCs w:val="20"/>
        </w:rPr>
        <w:t>Ωarag</w:t>
      </w:r>
      <w:proofErr w:type="spellEnd"/>
      <w:r w:rsidRPr="00623EB4">
        <w:rPr>
          <w:sz w:val="14"/>
          <w:szCs w:val="20"/>
        </w:rPr>
        <w:t xml:space="preserve"> in the sea ice–covered period are due to the absence of gas exchange to replenish CO2 from the atmosphere and low water temperature (i.e., for the same TA and DIC values, </w:t>
      </w:r>
      <w:proofErr w:type="spellStart"/>
      <w:r w:rsidRPr="00623EB4">
        <w:rPr>
          <w:sz w:val="14"/>
          <w:szCs w:val="20"/>
        </w:rPr>
        <w:t>pHT</w:t>
      </w:r>
      <w:proofErr w:type="spellEnd"/>
      <w:r w:rsidRPr="00623EB4">
        <w:rPr>
          <w:sz w:val="14"/>
          <w:szCs w:val="20"/>
        </w:rPr>
        <w:t xml:space="preserve"> is higher in cold than warm waters). As sea ice in the western Arctic Ocean basin began to melt beyond the annual seasonal cycle of advance and retreat in the early 2000s, relatively lower </w:t>
      </w:r>
      <w:proofErr w:type="spellStart"/>
      <w:r w:rsidRPr="00623EB4">
        <w:rPr>
          <w:sz w:val="14"/>
          <w:szCs w:val="20"/>
        </w:rPr>
        <w:t>pHT</w:t>
      </w:r>
      <w:proofErr w:type="spellEnd"/>
      <w:r w:rsidRPr="00623EB4">
        <w:rPr>
          <w:sz w:val="14"/>
          <w:szCs w:val="20"/>
        </w:rPr>
        <w:t xml:space="preserve"> (8.12 ± 0.04) and </w:t>
      </w:r>
      <w:proofErr w:type="spellStart"/>
      <w:r w:rsidRPr="00623EB4">
        <w:rPr>
          <w:sz w:val="14"/>
          <w:szCs w:val="20"/>
        </w:rPr>
        <w:t>Ωarag</w:t>
      </w:r>
      <w:proofErr w:type="spellEnd"/>
      <w:r w:rsidRPr="00623EB4">
        <w:rPr>
          <w:sz w:val="14"/>
          <w:szCs w:val="20"/>
        </w:rPr>
        <w:t xml:space="preserve"> (1.21 ± 0.14) were observed in surface waters. </w:t>
      </w:r>
      <w:r w:rsidRPr="00623EB4">
        <w:rPr>
          <w:sz w:val="16"/>
        </w:rPr>
        <w:t xml:space="preserve">This acidification happened first in the southern Canada Basin and slope and then extended northward to 76°N (Fig. 1, B and F). By the late 2000s, extreme summertime sea ice retreat mediated by both climate change and natural variability led to a broad ice-free area (~1.7 × 106 km2) with a large-scale lower </w:t>
      </w:r>
      <w:proofErr w:type="spellStart"/>
      <w:r w:rsidRPr="00623EB4">
        <w:rPr>
          <w:sz w:val="16"/>
        </w:rPr>
        <w:t>pHT</w:t>
      </w:r>
      <w:proofErr w:type="spellEnd"/>
      <w:r w:rsidRPr="00623EB4">
        <w:rPr>
          <w:sz w:val="16"/>
        </w:rPr>
        <w:t xml:space="preserve"> (8.04 ± 0.02) and aragonite undersaturation (</w:t>
      </w:r>
      <w:proofErr w:type="spellStart"/>
      <w:r w:rsidRPr="00623EB4">
        <w:rPr>
          <w:sz w:val="16"/>
        </w:rPr>
        <w:t>Ωarag</w:t>
      </w:r>
      <w:proofErr w:type="spellEnd"/>
      <w:r w:rsidRPr="00623EB4">
        <w:rPr>
          <w:sz w:val="16"/>
        </w:rPr>
        <w:t xml:space="preserve"> = 0.97 ± 0.05) that extended into the central Canada Basin (Fig. 1, C and G). </w:t>
      </w:r>
      <w:r w:rsidRPr="00623EB4">
        <w:rPr>
          <w:u w:val="single"/>
        </w:rPr>
        <w:t xml:space="preserve">Whereas the </w:t>
      </w:r>
      <w:proofErr w:type="spellStart"/>
      <w:r w:rsidRPr="00623EB4">
        <w:rPr>
          <w:u w:val="single"/>
        </w:rPr>
        <w:t>pHT</w:t>
      </w:r>
      <w:proofErr w:type="spellEnd"/>
      <w:r w:rsidRPr="00623EB4">
        <w:rPr>
          <w:u w:val="single"/>
        </w:rPr>
        <w:t xml:space="preserve"> decrease could be attributed to a combination of rapid warming and CO2 uptake from the atmosphere, the </w:t>
      </w:r>
      <w:proofErr w:type="spellStart"/>
      <w:r w:rsidRPr="00623EB4">
        <w:rPr>
          <w:u w:val="single"/>
        </w:rPr>
        <w:t>Ωarag</w:t>
      </w:r>
      <w:proofErr w:type="spellEnd"/>
      <w:r w:rsidRPr="00623EB4">
        <w:rPr>
          <w:u w:val="single"/>
        </w:rPr>
        <w:t xml:space="preserve"> decrease was mainly due to CO2 uptake because warming would result in an opposite trend.</w:t>
      </w:r>
      <w:r w:rsidRPr="00623EB4">
        <w:rPr>
          <w:sz w:val="16"/>
        </w:rPr>
        <w:t xml:space="preserve"> From 2011 to 2020, although the overall sea ice concentration and </w:t>
      </w:r>
      <w:proofErr w:type="spellStart"/>
      <w:r w:rsidRPr="00623EB4">
        <w:rPr>
          <w:sz w:val="16"/>
        </w:rPr>
        <w:t>pHT</w:t>
      </w:r>
      <w:proofErr w:type="spellEnd"/>
      <w:r w:rsidRPr="00623EB4">
        <w:rPr>
          <w:sz w:val="16"/>
        </w:rPr>
        <w:t xml:space="preserve"> and </w:t>
      </w:r>
      <w:proofErr w:type="spellStart"/>
      <w:r w:rsidRPr="00623EB4">
        <w:rPr>
          <w:sz w:val="16"/>
        </w:rPr>
        <w:t>Ωarag</w:t>
      </w:r>
      <w:proofErr w:type="spellEnd"/>
      <w:r w:rsidRPr="00623EB4">
        <w:rPr>
          <w:sz w:val="16"/>
        </w:rPr>
        <w:t xml:space="preserve"> values were </w:t>
      </w:r>
      <w:proofErr w:type="gramStart"/>
      <w:r w:rsidRPr="00623EB4">
        <w:rPr>
          <w:sz w:val="16"/>
        </w:rPr>
        <w:t>similar to</w:t>
      </w:r>
      <w:proofErr w:type="gramEnd"/>
      <w:r w:rsidRPr="00623EB4">
        <w:rPr>
          <w:sz w:val="16"/>
        </w:rPr>
        <w:t xml:space="preserve"> those of the late 2000s, the areas of low-</w:t>
      </w:r>
      <w:proofErr w:type="spellStart"/>
      <w:r w:rsidRPr="00623EB4">
        <w:rPr>
          <w:sz w:val="16"/>
        </w:rPr>
        <w:t>pHT</w:t>
      </w:r>
      <w:proofErr w:type="spellEnd"/>
      <w:r w:rsidRPr="00623EB4">
        <w:rPr>
          <w:sz w:val="16"/>
        </w:rPr>
        <w:t xml:space="preserve"> (8.02 ± 0.01) and </w:t>
      </w:r>
      <w:proofErr w:type="spellStart"/>
      <w:r w:rsidRPr="00623EB4">
        <w:rPr>
          <w:sz w:val="16"/>
        </w:rPr>
        <w:t>Ωarag</w:t>
      </w:r>
      <w:proofErr w:type="spellEnd"/>
      <w:r w:rsidRPr="00623EB4">
        <w:rPr>
          <w:sz w:val="16"/>
        </w:rPr>
        <w:t xml:space="preserve">-undersaturated (0.95 ± 0.05) waters continued to expand northwestward (Fig. 1, D and H). </w:t>
      </w:r>
      <w:r w:rsidRPr="00623EB4">
        <w:rPr>
          <w:u w:val="single"/>
        </w:rPr>
        <w:t>We attribute this acidification to the continuously increasing atmospheric CO2 uptake over the expanded ice-free regions.</w:t>
      </w:r>
      <w:r w:rsidRPr="00623EB4">
        <w:rPr>
          <w:sz w:val="16"/>
        </w:rPr>
        <w:t xml:space="preserve"> </w:t>
      </w:r>
      <w:r w:rsidRPr="00623EB4">
        <w:rPr>
          <w:u w:val="single"/>
        </w:rPr>
        <w:t>Overall, from the 1990s to the 2010s, rapid sea ice loss and acidification co-occurred in the western Arctic Ocean, but thereafter, relatively slow acidification occurred, accompanied by interannual fluctuation in sea ice coverage.</w:t>
      </w:r>
    </w:p>
    <w:p w14:paraId="6D238DF2" w14:textId="77777777" w:rsidR="006F2C07" w:rsidRPr="00623EB4" w:rsidRDefault="006F2C07" w:rsidP="006F2C07">
      <w:pPr>
        <w:rPr>
          <w:sz w:val="10"/>
          <w:szCs w:val="16"/>
        </w:rPr>
      </w:pPr>
      <w:r w:rsidRPr="00623EB4">
        <w:rPr>
          <w:sz w:val="10"/>
          <w:szCs w:val="16"/>
        </w:rPr>
        <w:t xml:space="preserve">[Figure omitted] To quantify the long-term trends in </w:t>
      </w:r>
      <w:proofErr w:type="spellStart"/>
      <w:r w:rsidRPr="00623EB4">
        <w:rPr>
          <w:sz w:val="10"/>
          <w:szCs w:val="16"/>
        </w:rPr>
        <w:t>pHT</w:t>
      </w:r>
      <w:proofErr w:type="spellEnd"/>
      <w:r w:rsidRPr="00623EB4">
        <w:rPr>
          <w:sz w:val="10"/>
          <w:szCs w:val="16"/>
        </w:rPr>
        <w:t xml:space="preserve"> and </w:t>
      </w:r>
      <w:proofErr w:type="spellStart"/>
      <w:r w:rsidRPr="00623EB4">
        <w:rPr>
          <w:sz w:val="10"/>
          <w:szCs w:val="16"/>
        </w:rPr>
        <w:t>Ωarag</w:t>
      </w:r>
      <w:proofErr w:type="spellEnd"/>
      <w:r w:rsidRPr="00623EB4">
        <w:rPr>
          <w:sz w:val="10"/>
          <w:szCs w:val="16"/>
        </w:rPr>
        <w:t xml:space="preserve">, we first divided the western Arctic Ocean into five subregions based on spatial patterns of decadal ice retreat and ocean acidification expansion: the Chukchi Sea shelf (CS), Southern Canada Basin (SCB), Northeastern Canada Basin (NECB), Northwestern Canada Basin (NWCB), and permanent ice-covered region (IC, north of 80°N) (i.e., where minimal sea ice concentration is &gt;70%) (Fig. 1A). We then averaged </w:t>
      </w:r>
      <w:proofErr w:type="spellStart"/>
      <w:r w:rsidRPr="00623EB4">
        <w:rPr>
          <w:sz w:val="10"/>
          <w:szCs w:val="16"/>
        </w:rPr>
        <w:t>pHT</w:t>
      </w:r>
      <w:proofErr w:type="spellEnd"/>
      <w:r w:rsidRPr="00623EB4">
        <w:rPr>
          <w:sz w:val="10"/>
          <w:szCs w:val="16"/>
        </w:rPr>
        <w:t xml:space="preserve"> and </w:t>
      </w:r>
      <w:proofErr w:type="spellStart"/>
      <w:r w:rsidRPr="00623EB4">
        <w:rPr>
          <w:sz w:val="10"/>
          <w:szCs w:val="16"/>
        </w:rPr>
        <w:t>Ωarag</w:t>
      </w:r>
      <w:proofErr w:type="spellEnd"/>
      <w:r w:rsidRPr="00623EB4">
        <w:rPr>
          <w:sz w:val="10"/>
          <w:szCs w:val="16"/>
        </w:rPr>
        <w:t xml:space="preserve"> within each grid cell (0.1° latitude by 0.25° longitude) to obtain daily and monthly means for each cruise dataset. Finally, we averaged the gridded results within each subregion to obtain monthly and yearly (from June to October) means (see materials and methods). Different grid sizes, averaging schemes, </w:t>
      </w:r>
      <w:proofErr w:type="spellStart"/>
      <w:r w:rsidRPr="00623EB4">
        <w:rPr>
          <w:sz w:val="10"/>
          <w:szCs w:val="16"/>
        </w:rPr>
        <w:t>deseasonalization</w:t>
      </w:r>
      <w:proofErr w:type="spellEnd"/>
      <w:r w:rsidRPr="00623EB4">
        <w:rPr>
          <w:sz w:val="10"/>
          <w:szCs w:val="16"/>
        </w:rPr>
        <w:t xml:space="preserve"> treatments, and sensitivity tests (randomly removing 15 or 30% of measurements or cruises) were tested (figs. S3 to S11) for the determination of long-term trends. These various approaches yielded comparable and consistent rates of sea surface </w:t>
      </w:r>
      <w:proofErr w:type="spellStart"/>
      <w:r w:rsidRPr="00623EB4">
        <w:rPr>
          <w:sz w:val="10"/>
          <w:szCs w:val="16"/>
        </w:rPr>
        <w:t>pHT</w:t>
      </w:r>
      <w:proofErr w:type="spellEnd"/>
      <w:r w:rsidRPr="00623EB4">
        <w:rPr>
          <w:sz w:val="10"/>
          <w:szCs w:val="16"/>
        </w:rPr>
        <w:t xml:space="preserve"> and </w:t>
      </w:r>
      <w:proofErr w:type="spellStart"/>
      <w:r w:rsidRPr="00623EB4">
        <w:rPr>
          <w:sz w:val="10"/>
          <w:szCs w:val="16"/>
        </w:rPr>
        <w:t>Ωarag</w:t>
      </w:r>
      <w:proofErr w:type="spellEnd"/>
      <w:r w:rsidRPr="00623EB4">
        <w:rPr>
          <w:sz w:val="10"/>
          <w:szCs w:val="16"/>
        </w:rPr>
        <w:t xml:space="preserve"> decrease in all subregions except for the NWCB and CS, where </w:t>
      </w:r>
      <w:proofErr w:type="spellStart"/>
      <w:r w:rsidRPr="00623EB4">
        <w:rPr>
          <w:sz w:val="10"/>
          <w:szCs w:val="16"/>
        </w:rPr>
        <w:t>undersampling</w:t>
      </w:r>
      <w:proofErr w:type="spellEnd"/>
      <w:r w:rsidRPr="00623EB4">
        <w:rPr>
          <w:sz w:val="10"/>
          <w:szCs w:val="16"/>
        </w:rPr>
        <w:t xml:space="preserve"> in the former and the large natural spatiotemporal variability in the latter prohibit a good performance of </w:t>
      </w:r>
      <w:proofErr w:type="spellStart"/>
      <w:r w:rsidRPr="00623EB4">
        <w:rPr>
          <w:sz w:val="10"/>
          <w:szCs w:val="16"/>
        </w:rPr>
        <w:t>deseasonalization</w:t>
      </w:r>
      <w:proofErr w:type="spellEnd"/>
      <w:r w:rsidRPr="00623EB4">
        <w:rPr>
          <w:sz w:val="10"/>
          <w:szCs w:val="16"/>
        </w:rPr>
        <w:t xml:space="preserve">. Our results revealed rapid acidification in the western Arctic Ocean basins, with a mean annual rate of −0.0069 ± 0.0011 for </w:t>
      </w:r>
      <w:proofErr w:type="spellStart"/>
      <w:r w:rsidRPr="00623EB4">
        <w:rPr>
          <w:sz w:val="10"/>
          <w:szCs w:val="16"/>
        </w:rPr>
        <w:t>pHT</w:t>
      </w:r>
      <w:proofErr w:type="spellEnd"/>
      <w:r w:rsidRPr="00623EB4">
        <w:rPr>
          <w:sz w:val="10"/>
          <w:szCs w:val="16"/>
        </w:rPr>
        <w:t xml:space="preserve"> and −0.0216 ± 0.0040 for </w:t>
      </w:r>
      <w:proofErr w:type="spellStart"/>
      <w:r w:rsidRPr="00623EB4">
        <w:rPr>
          <w:sz w:val="10"/>
          <w:szCs w:val="16"/>
        </w:rPr>
        <w:t>Ωarag</w:t>
      </w:r>
      <w:proofErr w:type="spellEnd"/>
      <w:r w:rsidRPr="00623EB4">
        <w:rPr>
          <w:sz w:val="10"/>
          <w:szCs w:val="16"/>
        </w:rPr>
        <w:t xml:space="preserve"> from 1994 to 2020 (table S2). These rates are approximately four and three times faster, respectively, than the long-term decline rates in other ocean basins [Fig. 1, K and L, table S2, and (32)]. Similarly, the increase rate (0.128 ± 0.019 nmol kg−1 year−1) of hydrogen ion [H+] is also about four times faster than that in other ocean basins (table S2). The mean annual acidification rate was highest in the NECB (−0.0086 ± 0.0013 for </w:t>
      </w:r>
      <w:proofErr w:type="spellStart"/>
      <w:r w:rsidRPr="00623EB4">
        <w:rPr>
          <w:sz w:val="10"/>
          <w:szCs w:val="16"/>
        </w:rPr>
        <w:t>pHT</w:t>
      </w:r>
      <w:proofErr w:type="spellEnd"/>
      <w:r w:rsidRPr="00623EB4">
        <w:rPr>
          <w:sz w:val="10"/>
          <w:szCs w:val="16"/>
        </w:rPr>
        <w:t xml:space="preserve"> and −0.020 ± 0.0028 for </w:t>
      </w:r>
      <w:proofErr w:type="spellStart"/>
      <w:r w:rsidRPr="00623EB4">
        <w:rPr>
          <w:sz w:val="10"/>
          <w:szCs w:val="16"/>
        </w:rPr>
        <w:t>Ωarag</w:t>
      </w:r>
      <w:proofErr w:type="spellEnd"/>
      <w:r w:rsidRPr="00623EB4">
        <w:rPr>
          <w:sz w:val="10"/>
          <w:szCs w:val="16"/>
        </w:rPr>
        <w:t xml:space="preserve">) and slowest in the ice-covered higher-latitude ocean basin (Fig. 1, I and J). These observational rates in the western Arctic basins are much faster than those projected by both regional and global models (e.g., −0.0025 to −0.0030 year−1 for pH) (5–8). By contrast, we found a relatively slower rate of acidification on the CS than in the basins, with a mean annual rate of change of −0.0031 ± 0.0024 for </w:t>
      </w:r>
      <w:proofErr w:type="spellStart"/>
      <w:r w:rsidRPr="00623EB4">
        <w:rPr>
          <w:sz w:val="10"/>
          <w:szCs w:val="16"/>
        </w:rPr>
        <w:t>pHT</w:t>
      </w:r>
      <w:proofErr w:type="spellEnd"/>
      <w:r w:rsidRPr="00623EB4">
        <w:rPr>
          <w:sz w:val="10"/>
          <w:szCs w:val="16"/>
        </w:rPr>
        <w:t xml:space="preserve"> and −0.0009 ± 0.0138 for </w:t>
      </w:r>
      <w:proofErr w:type="spellStart"/>
      <w:r w:rsidRPr="00623EB4">
        <w:rPr>
          <w:sz w:val="10"/>
          <w:szCs w:val="16"/>
        </w:rPr>
        <w:t>Ωarag</w:t>
      </w:r>
      <w:proofErr w:type="spellEnd"/>
      <w:r w:rsidRPr="00623EB4">
        <w:rPr>
          <w:sz w:val="10"/>
          <w:szCs w:val="16"/>
        </w:rPr>
        <w:t xml:space="preserve"> (fig. S12). The long-term acidification rates on the CS are likely mitigated by a strong and increasing biological CO2 removal driven by nutrient inputs from the Pacific Ocean, which uses and counteracts CO2 influx from the atmosphere (13, 16, 33). When we focus on the regions of massive sea ice loss in the Canada Basin (including SCB, NWCB, and NECB), a notable finding appears—the decreases in </w:t>
      </w:r>
      <w:proofErr w:type="spellStart"/>
      <w:r w:rsidRPr="00623EB4">
        <w:rPr>
          <w:sz w:val="10"/>
          <w:szCs w:val="16"/>
        </w:rPr>
        <w:t>pHT</w:t>
      </w:r>
      <w:proofErr w:type="spellEnd"/>
      <w:r w:rsidRPr="00623EB4">
        <w:rPr>
          <w:sz w:val="10"/>
          <w:szCs w:val="16"/>
        </w:rPr>
        <w:t xml:space="preserve"> and </w:t>
      </w:r>
      <w:proofErr w:type="spellStart"/>
      <w:r w:rsidRPr="00623EB4">
        <w:rPr>
          <w:sz w:val="10"/>
          <w:szCs w:val="16"/>
        </w:rPr>
        <w:t>Ωarag</w:t>
      </w:r>
      <w:proofErr w:type="spellEnd"/>
      <w:r w:rsidRPr="00623EB4">
        <w:rPr>
          <w:sz w:val="10"/>
          <w:szCs w:val="16"/>
        </w:rPr>
        <w:t xml:space="preserve"> are strongly correlated with the decrease in sea ice extent over the past 26 years (Fig. 2). Notably, the earlier 18-year period (1994 to 2012) has the steepest decline trends in </w:t>
      </w:r>
      <w:proofErr w:type="spellStart"/>
      <w:r w:rsidRPr="00623EB4">
        <w:rPr>
          <w:sz w:val="10"/>
          <w:szCs w:val="16"/>
        </w:rPr>
        <w:t>pHT</w:t>
      </w:r>
      <w:proofErr w:type="spellEnd"/>
      <w:r w:rsidRPr="00623EB4">
        <w:rPr>
          <w:sz w:val="10"/>
          <w:szCs w:val="16"/>
        </w:rPr>
        <w:t xml:space="preserve"> (−0.0098 ± 0.0019 year−1) and </w:t>
      </w:r>
      <w:proofErr w:type="spellStart"/>
      <w:r w:rsidRPr="00623EB4">
        <w:rPr>
          <w:sz w:val="10"/>
          <w:szCs w:val="16"/>
        </w:rPr>
        <w:t>Ωarag</w:t>
      </w:r>
      <w:proofErr w:type="spellEnd"/>
      <w:r w:rsidRPr="00623EB4">
        <w:rPr>
          <w:sz w:val="10"/>
          <w:szCs w:val="16"/>
        </w:rPr>
        <w:t xml:space="preserve"> (−0.0342 ± 0.0077 year−1), which corresponds well with the steepest decrease in sea ice (Fig. 2). However, the decreasing trends of both </w:t>
      </w:r>
      <w:proofErr w:type="spellStart"/>
      <w:r w:rsidRPr="00623EB4">
        <w:rPr>
          <w:sz w:val="10"/>
          <w:szCs w:val="16"/>
        </w:rPr>
        <w:t>pHT</w:t>
      </w:r>
      <w:proofErr w:type="spellEnd"/>
      <w:r w:rsidRPr="00623EB4">
        <w:rPr>
          <w:sz w:val="10"/>
          <w:szCs w:val="16"/>
        </w:rPr>
        <w:t xml:space="preserve"> and </w:t>
      </w:r>
      <w:proofErr w:type="spellStart"/>
      <w:r w:rsidRPr="00623EB4">
        <w:rPr>
          <w:sz w:val="10"/>
          <w:szCs w:val="16"/>
        </w:rPr>
        <w:t>Ωarag</w:t>
      </w:r>
      <w:proofErr w:type="spellEnd"/>
      <w:r w:rsidRPr="00623EB4">
        <w:rPr>
          <w:sz w:val="10"/>
          <w:szCs w:val="16"/>
        </w:rPr>
        <w:t xml:space="preserve"> were slower during 2010 to 2020, which is consistent with the alleviated reduction of sea ice since 2008, though a strong interannual variability is apparent (Fig. 2A). Nevertheless, even during this period, the rate of </w:t>
      </w:r>
      <w:proofErr w:type="spellStart"/>
      <w:r w:rsidRPr="00623EB4">
        <w:rPr>
          <w:sz w:val="10"/>
          <w:szCs w:val="16"/>
        </w:rPr>
        <w:t>pHT</w:t>
      </w:r>
      <w:proofErr w:type="spellEnd"/>
      <w:r w:rsidRPr="00623EB4">
        <w:rPr>
          <w:sz w:val="10"/>
          <w:szCs w:val="16"/>
        </w:rPr>
        <w:t xml:space="preserve"> decrease is still comparable to rates of other ocean basins (Fig. 2A and table S2), which are mainly driven by the increasing atmospheric CO2. Unlike </w:t>
      </w:r>
      <w:proofErr w:type="spellStart"/>
      <w:r w:rsidRPr="00623EB4">
        <w:rPr>
          <w:sz w:val="10"/>
          <w:szCs w:val="16"/>
        </w:rPr>
        <w:t>pHT</w:t>
      </w:r>
      <w:proofErr w:type="spellEnd"/>
      <w:r w:rsidRPr="00623EB4">
        <w:rPr>
          <w:sz w:val="10"/>
          <w:szCs w:val="16"/>
        </w:rPr>
        <w:t xml:space="preserve">, no statistically significant trend for </w:t>
      </w:r>
      <w:proofErr w:type="spellStart"/>
      <w:r w:rsidRPr="00623EB4">
        <w:rPr>
          <w:sz w:val="10"/>
          <w:szCs w:val="16"/>
        </w:rPr>
        <w:t>Ωarag</w:t>
      </w:r>
      <w:proofErr w:type="spellEnd"/>
      <w:r w:rsidRPr="00623EB4">
        <w:rPr>
          <w:sz w:val="10"/>
          <w:szCs w:val="16"/>
        </w:rPr>
        <w:t xml:space="preserve"> was found during 2010 to 2020, reflecting the counteracting effect of warming. Clearly, massive sea ice retreat, modulated by the large-scale climate change pattern, has played a critical role in the fast acidification in the Arctic Ocean over the past two to three decades.</w:t>
      </w:r>
    </w:p>
    <w:p w14:paraId="080967FE" w14:textId="77777777" w:rsidR="006F2C07" w:rsidRPr="00623EB4" w:rsidRDefault="006F2C07" w:rsidP="006F2C07">
      <w:pPr>
        <w:rPr>
          <w:sz w:val="12"/>
          <w:szCs w:val="18"/>
        </w:rPr>
      </w:pPr>
      <w:r w:rsidRPr="00623EB4">
        <w:rPr>
          <w:sz w:val="12"/>
          <w:szCs w:val="18"/>
        </w:rPr>
        <w:t>[Figure omitted]</w:t>
      </w:r>
    </w:p>
    <w:p w14:paraId="6BE71E1D" w14:textId="77777777" w:rsidR="006F2C07" w:rsidRPr="00623EB4" w:rsidRDefault="006F2C07" w:rsidP="006F2C07">
      <w:pPr>
        <w:rPr>
          <w:sz w:val="12"/>
          <w:szCs w:val="18"/>
        </w:rPr>
      </w:pPr>
      <w:r w:rsidRPr="00623EB4">
        <w:rPr>
          <w:sz w:val="12"/>
          <w:szCs w:val="18"/>
        </w:rPr>
        <w:t xml:space="preserve">To explain the link between rapid long-term </w:t>
      </w:r>
      <w:proofErr w:type="spellStart"/>
      <w:r w:rsidRPr="00623EB4">
        <w:rPr>
          <w:sz w:val="12"/>
          <w:szCs w:val="18"/>
        </w:rPr>
        <w:t>pHT</w:t>
      </w:r>
      <w:proofErr w:type="spellEnd"/>
      <w:r w:rsidRPr="00623EB4">
        <w:rPr>
          <w:sz w:val="12"/>
          <w:szCs w:val="18"/>
        </w:rPr>
        <w:t xml:space="preserve"> and </w:t>
      </w:r>
      <w:proofErr w:type="spellStart"/>
      <w:r w:rsidRPr="00623EB4">
        <w:rPr>
          <w:sz w:val="12"/>
          <w:szCs w:val="18"/>
        </w:rPr>
        <w:t>Ωarag</w:t>
      </w:r>
      <w:proofErr w:type="spellEnd"/>
      <w:r w:rsidRPr="00623EB4">
        <w:rPr>
          <w:sz w:val="12"/>
          <w:szCs w:val="18"/>
        </w:rPr>
        <w:t xml:space="preserve"> decline rates and the massive sea ice loss in the Arctic Ocean, a thorough understanding of the evolution of carbonate chemistry in response to the sea ice condition is required. In the 1990s, when most of the Arctic Ocean surface was covered by sea ice, the transfer of CO2 from the atmosphere into the surface waters was impeded by sea ice (fig. S1A), resulting in a large deficit of DIC from the atmospheric equilibrium value (ΔDIC = −25 </w:t>
      </w:r>
      <w:proofErr w:type="spellStart"/>
      <w:r w:rsidRPr="00623EB4">
        <w:rPr>
          <w:sz w:val="12"/>
          <w:szCs w:val="18"/>
        </w:rPr>
        <w:t>μmol</w:t>
      </w:r>
      <w:proofErr w:type="spellEnd"/>
      <w:r w:rsidRPr="00623EB4">
        <w:rPr>
          <w:sz w:val="12"/>
          <w:szCs w:val="18"/>
        </w:rPr>
        <w:t xml:space="preserve"> kg−1; figs. S13C and S14). </w:t>
      </w:r>
      <w:proofErr w:type="gramStart"/>
      <w:r w:rsidRPr="00623EB4">
        <w:rPr>
          <w:sz w:val="12"/>
          <w:szCs w:val="18"/>
        </w:rPr>
        <w:t>As a consequence</w:t>
      </w:r>
      <w:proofErr w:type="gramEnd"/>
      <w:r w:rsidRPr="00623EB4">
        <w:rPr>
          <w:sz w:val="12"/>
          <w:szCs w:val="18"/>
        </w:rPr>
        <w:t xml:space="preserve">, the cold surface seawater beneath the sea ice has </w:t>
      </w:r>
      <w:proofErr w:type="gramStart"/>
      <w:r w:rsidRPr="00623EB4">
        <w:rPr>
          <w:sz w:val="12"/>
          <w:szCs w:val="18"/>
        </w:rPr>
        <w:t>a high</w:t>
      </w:r>
      <w:proofErr w:type="gramEnd"/>
      <w:r w:rsidRPr="00623EB4">
        <w:rPr>
          <w:sz w:val="12"/>
          <w:szCs w:val="18"/>
        </w:rPr>
        <w:t xml:space="preserve"> potential to absorb atmospheric CO2 once it is exposed to the atmosphere.</w:t>
      </w:r>
    </w:p>
    <w:p w14:paraId="1C7B2A22" w14:textId="77777777" w:rsidR="006F2C07" w:rsidRPr="00623EB4" w:rsidRDefault="006F2C07" w:rsidP="006F2C07">
      <w:pPr>
        <w:rPr>
          <w:sz w:val="16"/>
        </w:rPr>
      </w:pPr>
      <w:r w:rsidRPr="00623EB4">
        <w:rPr>
          <w:sz w:val="16"/>
        </w:rPr>
        <w:t xml:space="preserve">Since the 2000s, </w:t>
      </w:r>
      <w:r w:rsidRPr="00623EB4">
        <w:rPr>
          <w:u w:val="single"/>
        </w:rPr>
        <w:t>the Arctic Ocean has experienced accelerated warming and substantial sea ice retreat</w:t>
      </w:r>
      <w:r w:rsidRPr="00623EB4">
        <w:rPr>
          <w:sz w:val="16"/>
        </w:rPr>
        <w:t xml:space="preserve"> (e.g., ice extent was at its lowest in the summer of 2012) (Fig. 2A and fig. S1B). We used a simple one-dimensional (1D) dynamic model to simulate the response of Pco2, pH, and </w:t>
      </w:r>
      <w:proofErr w:type="spellStart"/>
      <w:r w:rsidRPr="00623EB4">
        <w:rPr>
          <w:sz w:val="16"/>
        </w:rPr>
        <w:t>Ωarag</w:t>
      </w:r>
      <w:proofErr w:type="spellEnd"/>
      <w:r w:rsidRPr="00623EB4">
        <w:rPr>
          <w:sz w:val="16"/>
        </w:rPr>
        <w:t xml:space="preserve"> to the decrease of sea ice (Fig. 3; see supplementary materials for a description of the model). We found that, under partially or newly ice-free conditions, the low-Pco2 waters that were originally under the ice were exposed to higher atmospheric Pco2 and rapidly took up CO2 through air-sea gas exchange (Fig. 3D). In other words, the initial CO2 deficit resulted in a CO2 increase “boost” over that </w:t>
      </w:r>
      <w:proofErr w:type="gramStart"/>
      <w:r w:rsidRPr="00623EB4">
        <w:rPr>
          <w:sz w:val="16"/>
        </w:rPr>
        <w:t>time period</w:t>
      </w:r>
      <w:proofErr w:type="gramEnd"/>
      <w:r w:rsidRPr="00623EB4">
        <w:rPr>
          <w:sz w:val="16"/>
        </w:rPr>
        <w:t>. The shallow surface mixed layer and strong stratification (34, 35) also prevented the dilution of the absorbed CO2, leading to rapid responses of the carbonate system parameters (Fig. 3, B and C, and fig. S1B).</w:t>
      </w:r>
    </w:p>
    <w:p w14:paraId="3C0C2DE6" w14:textId="77777777" w:rsidR="006F2C07" w:rsidRPr="00623EB4" w:rsidRDefault="006F2C07" w:rsidP="006F2C07">
      <w:pPr>
        <w:rPr>
          <w:sz w:val="16"/>
        </w:rPr>
      </w:pPr>
      <w:r w:rsidRPr="00623EB4">
        <w:rPr>
          <w:sz w:val="16"/>
        </w:rPr>
        <w:t>[Figure omitted]</w:t>
      </w:r>
    </w:p>
    <w:p w14:paraId="3A499856" w14:textId="77777777" w:rsidR="006F2C07" w:rsidRPr="00623EB4" w:rsidRDefault="006F2C07" w:rsidP="006F2C07">
      <w:pPr>
        <w:rPr>
          <w:sz w:val="16"/>
        </w:rPr>
      </w:pPr>
      <w:r w:rsidRPr="00623EB4">
        <w:rPr>
          <w:sz w:val="16"/>
        </w:rPr>
        <w:t xml:space="preserve">The rapid decreases in </w:t>
      </w:r>
      <w:proofErr w:type="spellStart"/>
      <w:r w:rsidRPr="00623EB4">
        <w:rPr>
          <w:sz w:val="16"/>
        </w:rPr>
        <w:t>pHT</w:t>
      </w:r>
      <w:proofErr w:type="spellEnd"/>
      <w:r w:rsidRPr="00623EB4">
        <w:rPr>
          <w:sz w:val="16"/>
        </w:rPr>
        <w:t xml:space="preserve"> and </w:t>
      </w:r>
      <w:proofErr w:type="spellStart"/>
      <w:r w:rsidRPr="00623EB4">
        <w:rPr>
          <w:sz w:val="16"/>
        </w:rPr>
        <w:t>Ωarag</w:t>
      </w:r>
      <w:proofErr w:type="spellEnd"/>
      <w:r w:rsidRPr="00623EB4">
        <w:rPr>
          <w:sz w:val="16"/>
        </w:rPr>
        <w:t xml:space="preserve"> along with </w:t>
      </w:r>
      <w:r w:rsidRPr="00623EB4">
        <w:rPr>
          <w:u w:val="single"/>
        </w:rPr>
        <w:t>sea ice retreat are seen not only over a seasonal time scale but also over a decadal time scale</w:t>
      </w:r>
      <w:r w:rsidRPr="00623EB4">
        <w:rPr>
          <w:sz w:val="16"/>
        </w:rPr>
        <w:t xml:space="preserve"> (Fig. 3). We further quantified and decomposed the decadal drivers of acidification (table S7) and translated the results to a graphic illustration (Fig. 4, A to C). We found that the net increase in DIC due to</w:t>
      </w:r>
      <w:r w:rsidRPr="00623EB4">
        <w:rPr>
          <w:u w:val="single"/>
        </w:rPr>
        <w:t xml:space="preserve"> CO2 uptake plays the predominant role in regulating acidification, with minor contributions from warming and dilution. However, we further diagnosed that, indirectly, approximately half of the changes </w:t>
      </w:r>
      <w:r w:rsidRPr="00623EB4">
        <w:rPr>
          <w:sz w:val="16"/>
        </w:rPr>
        <w:t xml:space="preserve">in Pco2, </w:t>
      </w:r>
      <w:proofErr w:type="spellStart"/>
      <w:r w:rsidRPr="00623EB4">
        <w:rPr>
          <w:sz w:val="16"/>
        </w:rPr>
        <w:t>pHT</w:t>
      </w:r>
      <w:proofErr w:type="spellEnd"/>
      <w:r w:rsidRPr="00623EB4">
        <w:rPr>
          <w:sz w:val="16"/>
        </w:rPr>
        <w:t xml:space="preserve">, and </w:t>
      </w:r>
      <w:proofErr w:type="spellStart"/>
      <w:r w:rsidRPr="00623EB4">
        <w:rPr>
          <w:sz w:val="16"/>
        </w:rPr>
        <w:t>Ωarag</w:t>
      </w:r>
      <w:proofErr w:type="spellEnd"/>
      <w:r w:rsidRPr="00623EB4">
        <w:rPr>
          <w:sz w:val="16"/>
        </w:rPr>
        <w:t xml:space="preserve"> that resulted from CO2 uptake are attributable to the additional CO2 </w:t>
      </w:r>
      <w:r w:rsidRPr="00623EB4">
        <w:rPr>
          <w:u w:val="single"/>
        </w:rPr>
        <w:t xml:space="preserve">deficit triggered by sea ice melt </w:t>
      </w:r>
      <w:r w:rsidRPr="00623EB4">
        <w:rPr>
          <w:sz w:val="16"/>
        </w:rPr>
        <w:t xml:space="preserve">(i.e., dilution of TA and DIC leads to lower initial Pco2; see Fig. 4, A to C, fig. S15, and table S7). Thus, </w:t>
      </w:r>
      <w:r w:rsidRPr="00623EB4">
        <w:rPr>
          <w:u w:val="single"/>
        </w:rPr>
        <w:t>the indirect effect of dilution on the seawater carbonate system through the promotion of CO2 uptake is an important factor driving acidification and weakening buffer capacity in the western Arctic Ocean</w:t>
      </w:r>
      <w:r w:rsidRPr="00623EB4">
        <w:rPr>
          <w:sz w:val="16"/>
        </w:rPr>
        <w:t xml:space="preserve"> (Fig. 4, A to C).</w:t>
      </w:r>
    </w:p>
    <w:p w14:paraId="3465F588" w14:textId="77777777" w:rsidR="006F2C07" w:rsidRPr="00623EB4" w:rsidRDefault="006F2C07" w:rsidP="006F2C07">
      <w:pPr>
        <w:rPr>
          <w:sz w:val="16"/>
        </w:rPr>
      </w:pPr>
      <w:r w:rsidRPr="00623EB4">
        <w:rPr>
          <w:sz w:val="16"/>
        </w:rPr>
        <w:t>[Figure omitted]</w:t>
      </w:r>
    </w:p>
    <w:p w14:paraId="46893786" w14:textId="77777777" w:rsidR="006F2C07" w:rsidRPr="00623EB4" w:rsidRDefault="006F2C07" w:rsidP="006F2C07">
      <w:pPr>
        <w:rPr>
          <w:sz w:val="16"/>
        </w:rPr>
      </w:pPr>
      <w:r w:rsidRPr="00623EB4">
        <w:rPr>
          <w:u w:val="single"/>
        </w:rPr>
        <w:t xml:space="preserve">The progression in sea ice loss represents a major change in seawater carbonate chemistry, from a state of well-buffered seawater with relatively high alkalinity </w:t>
      </w:r>
      <w:r w:rsidRPr="00623EB4">
        <w:rPr>
          <w:sz w:val="16"/>
        </w:rPr>
        <w:t>and low Pco2 underneath the sea ice (fig. S1A</w:t>
      </w:r>
      <w:r w:rsidRPr="00623EB4">
        <w:rPr>
          <w:u w:val="single"/>
        </w:rPr>
        <w:t>) to a meltwater-diluted state characterized by lower alkalinity</w:t>
      </w:r>
      <w:r w:rsidRPr="00623EB4">
        <w:rPr>
          <w:sz w:val="16"/>
        </w:rPr>
        <w:t>, higher Pco2</w:t>
      </w:r>
      <w:r w:rsidRPr="00623EB4">
        <w:rPr>
          <w:u w:val="single"/>
        </w:rPr>
        <w:t>, and lower buffer capacity</w:t>
      </w:r>
      <w:r w:rsidRPr="00623EB4">
        <w:rPr>
          <w:sz w:val="16"/>
        </w:rPr>
        <w:t xml:space="preserve"> under the partially or fully ice-free surface (Fig. 4, D to F, and fig. S1C). </w:t>
      </w:r>
      <w:r w:rsidRPr="00623EB4">
        <w:rPr>
          <w:u w:val="single"/>
        </w:rPr>
        <w:t>As a result, atmospheric CO2 invasion would lead to a greater overall decrease in</w:t>
      </w:r>
      <w:r w:rsidRPr="00623EB4">
        <w:rPr>
          <w:sz w:val="16"/>
        </w:rPr>
        <w:t xml:space="preserve"> </w:t>
      </w:r>
      <w:proofErr w:type="spellStart"/>
      <w:r w:rsidRPr="00623EB4">
        <w:rPr>
          <w:sz w:val="16"/>
        </w:rPr>
        <w:t>pHT</w:t>
      </w:r>
      <w:proofErr w:type="spellEnd"/>
      <w:r w:rsidRPr="00623EB4">
        <w:rPr>
          <w:sz w:val="16"/>
        </w:rPr>
        <w:t xml:space="preserve">, </w:t>
      </w:r>
      <w:proofErr w:type="spellStart"/>
      <w:r w:rsidRPr="00623EB4">
        <w:rPr>
          <w:sz w:val="16"/>
        </w:rPr>
        <w:t>Ωarag</w:t>
      </w:r>
      <w:proofErr w:type="spellEnd"/>
      <w:r w:rsidRPr="00623EB4">
        <w:rPr>
          <w:sz w:val="16"/>
        </w:rPr>
        <w:t xml:space="preserve">, and </w:t>
      </w:r>
      <w:r w:rsidRPr="00623EB4">
        <w:rPr>
          <w:u w:val="single"/>
        </w:rPr>
        <w:t>buffer capacity in seawater diluted by meltwater than the original water</w:t>
      </w:r>
      <w:r w:rsidRPr="00623EB4">
        <w:rPr>
          <w:sz w:val="16"/>
        </w:rPr>
        <w:t xml:space="preserve"> (Fig. 4, A to C, and fig. S15), illustrated also as a jump from one pHT-Pco2 evolving locus along the high iso-alkalinity line in the 1990s to the low iso-alkalinity line in the 2010s (Fig. 4, D to F). We name this distinctive mechanism “ice melt–driven enhanced anthropogenic CO2 acidification</w:t>
      </w:r>
      <w:r w:rsidRPr="00623EB4">
        <w:rPr>
          <w:u w:val="single"/>
        </w:rPr>
        <w:t>.” The mechanism explains the amplified rapid acidification observed in the Arctic Ocean over the past two to three decades, in contrast to the slower acidification in other global oceans along only one alkalinity line</w:t>
      </w:r>
      <w:r w:rsidRPr="00623EB4">
        <w:rPr>
          <w:sz w:val="16"/>
        </w:rPr>
        <w:t xml:space="preserve"> (Fig. 4, D to F). This mechanism could conceivably also operate in the sea ice zone within the Southern Ocean, where </w:t>
      </w:r>
      <w:r w:rsidRPr="00623EB4">
        <w:rPr>
          <w:u w:val="single"/>
        </w:rPr>
        <w:t>seasonal sea ice melt also plays an important role in sea surface CO2 dynamics and in air-sea CO2 gas exchange</w:t>
      </w:r>
      <w:r w:rsidRPr="00623EB4">
        <w:rPr>
          <w:sz w:val="16"/>
        </w:rPr>
        <w:t xml:space="preserve"> (36).</w:t>
      </w:r>
    </w:p>
    <w:p w14:paraId="1923F6B5" w14:textId="77777777" w:rsidR="006F2C07" w:rsidRPr="00623EB4" w:rsidRDefault="006F2C07" w:rsidP="006F2C07">
      <w:pPr>
        <w:rPr>
          <w:sz w:val="14"/>
          <w:szCs w:val="20"/>
        </w:rPr>
      </w:pPr>
      <w:r w:rsidRPr="00623EB4">
        <w:rPr>
          <w:sz w:val="14"/>
          <w:szCs w:val="20"/>
        </w:rPr>
        <w:t xml:space="preserve">We must also point out that further warming could result in contrasting impacts on </w:t>
      </w:r>
      <w:proofErr w:type="spellStart"/>
      <w:r w:rsidRPr="00623EB4">
        <w:rPr>
          <w:sz w:val="14"/>
          <w:szCs w:val="20"/>
        </w:rPr>
        <w:t>pHT</w:t>
      </w:r>
      <w:proofErr w:type="spellEnd"/>
      <w:r w:rsidRPr="00623EB4">
        <w:rPr>
          <w:sz w:val="14"/>
          <w:szCs w:val="20"/>
        </w:rPr>
        <w:t xml:space="preserve"> and </w:t>
      </w:r>
      <w:proofErr w:type="spellStart"/>
      <w:r w:rsidRPr="00623EB4">
        <w:rPr>
          <w:sz w:val="14"/>
          <w:szCs w:val="20"/>
        </w:rPr>
        <w:t>Ωarag</w:t>
      </w:r>
      <w:proofErr w:type="spellEnd"/>
      <w:r w:rsidRPr="00623EB4">
        <w:rPr>
          <w:sz w:val="14"/>
          <w:szCs w:val="20"/>
        </w:rPr>
        <w:t xml:space="preserve"> trends (fig. S16; see supplementary text for details). This phenomenon has emerged in late summer in ice-free southern regions since the 2010s, where both warming and CO2 uptake from the atmosphere decreased </w:t>
      </w:r>
      <w:proofErr w:type="spellStart"/>
      <w:r w:rsidRPr="00623EB4">
        <w:rPr>
          <w:sz w:val="14"/>
          <w:szCs w:val="20"/>
        </w:rPr>
        <w:t>pHT</w:t>
      </w:r>
      <w:proofErr w:type="spellEnd"/>
      <w:r w:rsidRPr="00623EB4">
        <w:rPr>
          <w:sz w:val="14"/>
          <w:szCs w:val="20"/>
        </w:rPr>
        <w:t xml:space="preserve"> (fig. S16A), whereas warming (when it exceeds +1°C) increased and CO2 uptake decreased </w:t>
      </w:r>
      <w:proofErr w:type="spellStart"/>
      <w:r w:rsidRPr="00623EB4">
        <w:rPr>
          <w:sz w:val="14"/>
          <w:szCs w:val="20"/>
        </w:rPr>
        <w:t>Ωarag</w:t>
      </w:r>
      <w:proofErr w:type="spellEnd"/>
      <w:r w:rsidRPr="00623EB4">
        <w:rPr>
          <w:sz w:val="14"/>
          <w:szCs w:val="20"/>
        </w:rPr>
        <w:t xml:space="preserve"> (fig. S16B). When temperature further increases, the net </w:t>
      </w:r>
      <w:proofErr w:type="spellStart"/>
      <w:r w:rsidRPr="00623EB4">
        <w:rPr>
          <w:sz w:val="14"/>
          <w:szCs w:val="20"/>
        </w:rPr>
        <w:t>Ωarag</w:t>
      </w:r>
      <w:proofErr w:type="spellEnd"/>
      <w:r w:rsidRPr="00623EB4">
        <w:rPr>
          <w:sz w:val="14"/>
          <w:szCs w:val="20"/>
        </w:rPr>
        <w:t xml:space="preserve"> trend could even be positive, </w:t>
      </w:r>
      <w:proofErr w:type="gramStart"/>
      <w:r w:rsidRPr="00623EB4">
        <w:rPr>
          <w:sz w:val="14"/>
          <w:szCs w:val="20"/>
        </w:rPr>
        <w:t>similar to</w:t>
      </w:r>
      <w:proofErr w:type="gramEnd"/>
      <w:r w:rsidRPr="00623EB4">
        <w:rPr>
          <w:sz w:val="14"/>
          <w:szCs w:val="20"/>
        </w:rPr>
        <w:t xml:space="preserve"> what has been observed in some other parts of the world’s oceans (37, 38); this is also illustrated as the cancellation effect of the red-plus circle by the blue-minus circle in Fig. 1L).</w:t>
      </w:r>
    </w:p>
    <w:p w14:paraId="13BC4E3B" w14:textId="77777777" w:rsidR="006F2C07" w:rsidRPr="00623EB4" w:rsidRDefault="006F2C07" w:rsidP="006F2C07">
      <w:pPr>
        <w:rPr>
          <w:sz w:val="16"/>
        </w:rPr>
      </w:pPr>
      <w:proofErr w:type="gramStart"/>
      <w:r w:rsidRPr="00623EB4">
        <w:rPr>
          <w:sz w:val="16"/>
        </w:rPr>
        <w:t>Although Arctic sea</w:t>
      </w:r>
      <w:proofErr w:type="gramEnd"/>
      <w:r w:rsidRPr="00623EB4">
        <w:rPr>
          <w:sz w:val="16"/>
        </w:rPr>
        <w:t xml:space="preserve"> ice coverage has fluctuated over the past decade, it is also shifting from multiyear ice to first-year ice (fig. S17). </w:t>
      </w:r>
      <w:r w:rsidRPr="00623EB4">
        <w:rPr>
          <w:u w:val="single"/>
        </w:rPr>
        <w:t>This thinning trend of sea ice implies that summer sea ice will continue to decline in extent and lower the seawater alkalinity and buffer capacity until the Arctic Ocean is turned into an ice-free region</w:t>
      </w:r>
      <w:r w:rsidRPr="00623EB4">
        <w:rPr>
          <w:sz w:val="16"/>
        </w:rPr>
        <w:t xml:space="preserve">. Finally, although the overall freshwater increase, including that from rivers, has decreased the anthropogenic CO2 inventory in the subsurface water (19), there is, at present, no significant decadal trend in river-water content in the surface layer (Fig. 2B). Therefore, both larger winter-to-summer meltwater-induced seawater alkalinity dilution and greater subsequent CO2 uptake from the atmosphere are expected to be the dominant processes in surface waters. </w:t>
      </w:r>
      <w:proofErr w:type="gramStart"/>
      <w:r w:rsidRPr="00623EB4">
        <w:rPr>
          <w:u w:val="single"/>
        </w:rPr>
        <w:t>As a consequence</w:t>
      </w:r>
      <w:proofErr w:type="gramEnd"/>
      <w:r w:rsidRPr="00623EB4">
        <w:rPr>
          <w:u w:val="single"/>
        </w:rPr>
        <w:t>, the “ice melt–driven enhanced anthropogenic CO2 acidification” mechanism may continue to operate over the next few decades, becoming even more pronounced until the time that sea ice completely disappears during summer</w:t>
      </w:r>
      <w:r w:rsidRPr="00623EB4">
        <w:rPr>
          <w:sz w:val="16"/>
        </w:rPr>
        <w:t xml:space="preserve"> (at which time, Arctic Ocean surface seawater may reach its lowest alkalinity) (Fig. 4). </w:t>
      </w:r>
      <w:r w:rsidRPr="00623EB4">
        <w:rPr>
          <w:u w:val="single"/>
        </w:rPr>
        <w:t>Therefore, this greatly amplified summertime ocean acidification modulated by large-scale climate change may lead to long-lasting impacts on the biogeochemistry, ecosystem, and organisms in the Arctic Ocean basins.</w:t>
      </w:r>
    </w:p>
    <w:p w14:paraId="3A11E40F" w14:textId="77777777" w:rsidR="006F2C07" w:rsidRDefault="006F2C07" w:rsidP="006F2C07">
      <w:pPr>
        <w:pStyle w:val="Heading4"/>
      </w:pPr>
      <w:r>
        <w:t>Ocean acidification causes mass ecosystem collapses and loss of biodiversity---history proves</w:t>
      </w:r>
    </w:p>
    <w:p w14:paraId="5B66D6E2" w14:textId="77777777" w:rsidR="006F2C07" w:rsidRPr="00E42D6F" w:rsidRDefault="006F2C07" w:rsidP="006F2C07">
      <w:r w:rsidRPr="00E42D6F">
        <w:rPr>
          <w:rStyle w:val="Style13ptBold"/>
        </w:rPr>
        <w:t>Carrington 19</w:t>
      </w:r>
      <w:r>
        <w:t>---PhD in geology from the University of Edinburgh where he dd post-doctoral research at and now is a journalist. (Damian, “</w:t>
      </w:r>
      <w:r w:rsidRPr="00E42D6F">
        <w:t>Ocean acidification can cause mass extinctions, fossils reveal</w:t>
      </w:r>
      <w:r>
        <w:t xml:space="preserve">”, The Guardian, 10/21/19, </w:t>
      </w:r>
      <w:r w:rsidRPr="00E42D6F">
        <w:t>https://www.theguardian.com/environment/2019/oct/21/ocean-acidification-can-cause-mass-extinctions-fossils-reveal</w:t>
      </w:r>
      <w:r>
        <w:t xml:space="preserve">) </w:t>
      </w:r>
      <w:proofErr w:type="spellStart"/>
      <w:r>
        <w:t>sh</w:t>
      </w:r>
      <w:proofErr w:type="spellEnd"/>
    </w:p>
    <w:p w14:paraId="134E883A" w14:textId="77777777" w:rsidR="006F2C07" w:rsidRPr="00E42D6F" w:rsidRDefault="006F2C07" w:rsidP="006F2C07">
      <w:pPr>
        <w:rPr>
          <w:u w:val="single"/>
        </w:rPr>
      </w:pPr>
      <w:r w:rsidRPr="004825AE">
        <w:rPr>
          <w:u w:val="single"/>
        </w:rPr>
        <w:t>Ocean acidification can cause the mass extinction of marine life, fossil evidence from 66m years ago has revealed.</w:t>
      </w:r>
    </w:p>
    <w:p w14:paraId="46CCD0AB" w14:textId="77777777" w:rsidR="006F2C07" w:rsidRPr="00E42D6F" w:rsidRDefault="006F2C07" w:rsidP="006F2C07">
      <w:pPr>
        <w:rPr>
          <w:u w:val="single"/>
        </w:rPr>
      </w:pPr>
      <w:r w:rsidRPr="004825AE">
        <w:rPr>
          <w:u w:val="single"/>
        </w:rPr>
        <w:t>A key impact of today’s climate crisis is that seas are again getting more acidic, as they absorb carbon emissions from the burning of coal, oil and gas. Scientists said the latest research is a warning that humanity is risking potential “ecological collapse” in the oceans, which produce half the oxygen we breathe.</w:t>
      </w:r>
    </w:p>
    <w:p w14:paraId="3A6E016B" w14:textId="77777777" w:rsidR="006F2C07" w:rsidRPr="00E42D6F" w:rsidRDefault="006F2C07" w:rsidP="006F2C07">
      <w:pPr>
        <w:rPr>
          <w:sz w:val="16"/>
        </w:rPr>
      </w:pPr>
      <w:r w:rsidRPr="00E42D6F">
        <w:rPr>
          <w:sz w:val="16"/>
        </w:rPr>
        <w:t xml:space="preserve">The researchers </w:t>
      </w:r>
      <w:proofErr w:type="spellStart"/>
      <w:r w:rsidRPr="00E42D6F">
        <w:rPr>
          <w:sz w:val="16"/>
        </w:rPr>
        <w:t>analysed</w:t>
      </w:r>
      <w:proofErr w:type="spellEnd"/>
      <w:r w:rsidRPr="00E42D6F">
        <w:rPr>
          <w:sz w:val="16"/>
        </w:rPr>
        <w:t xml:space="preserve"> small seashells in sediment laid down shortly after a giant meteorite hit the Earth, wiping out the dinosaurs and three-quarters of marine species. Chemical analysis of the shells showed a sharp drop in the pH of the ocean in the century to the millennium after the strike.</w:t>
      </w:r>
    </w:p>
    <w:p w14:paraId="293942C9" w14:textId="77777777" w:rsidR="006F2C07" w:rsidRPr="00E42D6F" w:rsidRDefault="006F2C07" w:rsidP="006F2C07">
      <w:pPr>
        <w:rPr>
          <w:sz w:val="16"/>
        </w:rPr>
      </w:pPr>
      <w:r w:rsidRPr="00E42D6F">
        <w:rPr>
          <w:sz w:val="16"/>
        </w:rPr>
        <w:t>This spike demonstrated it was the meteorite impact that made the ocean more acidic, effectively dissolving the chalky shells of many species. Large-scale volcanic activity was also considered a possible culprit, but this occurred over a much longer period.</w:t>
      </w:r>
    </w:p>
    <w:p w14:paraId="14C3D57D" w14:textId="77777777" w:rsidR="006F2C07" w:rsidRPr="00E42D6F" w:rsidRDefault="006F2C07" w:rsidP="006F2C07">
      <w:pPr>
        <w:rPr>
          <w:u w:val="single"/>
        </w:rPr>
      </w:pPr>
      <w:r w:rsidRPr="00E42D6F">
        <w:rPr>
          <w:sz w:val="16"/>
        </w:rPr>
        <w:t xml:space="preserve">The oceans acidified because the meteorite impact </w:t>
      </w:r>
      <w:proofErr w:type="spellStart"/>
      <w:r w:rsidRPr="00E42D6F">
        <w:rPr>
          <w:sz w:val="16"/>
        </w:rPr>
        <w:t>vaporised</w:t>
      </w:r>
      <w:proofErr w:type="spellEnd"/>
      <w:r w:rsidRPr="00E42D6F">
        <w:rPr>
          <w:sz w:val="16"/>
        </w:rPr>
        <w:t xml:space="preserve"> rocks containing sulphates and carbonates, causing </w:t>
      </w:r>
      <w:proofErr w:type="spellStart"/>
      <w:r w:rsidRPr="00E42D6F">
        <w:rPr>
          <w:sz w:val="16"/>
        </w:rPr>
        <w:t>sulphuric</w:t>
      </w:r>
      <w:proofErr w:type="spellEnd"/>
      <w:r w:rsidRPr="00E42D6F">
        <w:rPr>
          <w:sz w:val="16"/>
        </w:rPr>
        <w:t xml:space="preserve"> acid and carbonic acid to rain down. </w:t>
      </w:r>
      <w:r w:rsidRPr="004825AE">
        <w:rPr>
          <w:u w:val="single"/>
        </w:rPr>
        <w:t>The mass die-off of plants on land after the strike also increased CO2 in the atmosphere.</w:t>
      </w:r>
    </w:p>
    <w:p w14:paraId="37E1E64A" w14:textId="77777777" w:rsidR="006F2C07" w:rsidRPr="00E42D6F" w:rsidRDefault="006F2C07" w:rsidP="006F2C07">
      <w:pPr>
        <w:rPr>
          <w:sz w:val="16"/>
        </w:rPr>
      </w:pPr>
      <w:r w:rsidRPr="00E42D6F">
        <w:rPr>
          <w:sz w:val="16"/>
        </w:rPr>
        <w:t>“</w:t>
      </w:r>
      <w:r w:rsidRPr="004825AE">
        <w:rPr>
          <w:u w:val="single"/>
        </w:rPr>
        <w:t>We show ocean acidification can precipitate ecological collapse,” said</w:t>
      </w:r>
      <w:r w:rsidRPr="00E42D6F">
        <w:rPr>
          <w:sz w:val="16"/>
        </w:rPr>
        <w:t xml:space="preserve"> Michael Henehan at the GFZ German research </w:t>
      </w:r>
      <w:proofErr w:type="spellStart"/>
      <w:r w:rsidRPr="00E42D6F">
        <w:rPr>
          <w:sz w:val="16"/>
        </w:rPr>
        <w:t>centre</w:t>
      </w:r>
      <w:proofErr w:type="spellEnd"/>
      <w:r w:rsidRPr="00E42D6F">
        <w:rPr>
          <w:sz w:val="16"/>
        </w:rPr>
        <w:t xml:space="preserve"> for geosciences in Potsdam, who led the study. “</w:t>
      </w:r>
      <w:r w:rsidRPr="004825AE">
        <w:rPr>
          <w:u w:val="single"/>
        </w:rPr>
        <w:t>Before we had the idea, but we did not have the empirical proof</w:t>
      </w:r>
      <w:r w:rsidRPr="00E42D6F">
        <w:rPr>
          <w:sz w:val="16"/>
        </w:rPr>
        <w:t>.”</w:t>
      </w:r>
    </w:p>
    <w:p w14:paraId="704C8277" w14:textId="77777777" w:rsidR="006F2C07" w:rsidRPr="00E42D6F" w:rsidRDefault="006F2C07" w:rsidP="006F2C07">
      <w:pPr>
        <w:rPr>
          <w:sz w:val="16"/>
        </w:rPr>
      </w:pPr>
      <w:r w:rsidRPr="00E42D6F">
        <w:rPr>
          <w:sz w:val="16"/>
          <w:u w:val="single"/>
        </w:rPr>
        <w:t>T</w:t>
      </w:r>
      <w:r w:rsidRPr="004825AE">
        <w:rPr>
          <w:u w:val="single"/>
        </w:rPr>
        <w:t>he researchers found that the pH dropped by 0.25 pH units in the 100-1,000 y</w:t>
      </w:r>
      <w:r w:rsidRPr="00E42D6F">
        <w:rPr>
          <w:sz w:val="16"/>
        </w:rPr>
        <w:t>ears after the strike. It is possible that there was an even bigger drop in pH in the decade or two after the strike and the scientists are examining other sediments in even finer detail.</w:t>
      </w:r>
    </w:p>
    <w:p w14:paraId="42360A6A" w14:textId="77777777" w:rsidR="006F2C07" w:rsidRPr="00E42D6F" w:rsidRDefault="006F2C07" w:rsidP="006F2C07">
      <w:pPr>
        <w:rPr>
          <w:sz w:val="16"/>
        </w:rPr>
      </w:pPr>
      <w:r w:rsidRPr="00E42D6F">
        <w:rPr>
          <w:sz w:val="16"/>
        </w:rPr>
        <w:t>Henehan said: “</w:t>
      </w:r>
      <w:r w:rsidRPr="004825AE">
        <w:rPr>
          <w:u w:val="single"/>
        </w:rPr>
        <w:t xml:space="preserve">If 0.25 was enough to precipitate a mass extinction, we should be worried.” Researchers estimate that the pH of the ocean will drop by 0.4 pH units by the end of this century </w:t>
      </w:r>
      <w:r w:rsidRPr="00E42D6F">
        <w:rPr>
          <w:sz w:val="16"/>
        </w:rPr>
        <w:t>if carbon emissions are not stopped, or by 0.15 units if global temperature rise is limited to 2C.</w:t>
      </w:r>
    </w:p>
    <w:p w14:paraId="2E3A4FAA" w14:textId="77777777" w:rsidR="006F2C07" w:rsidRPr="00E42D6F" w:rsidRDefault="006F2C07" w:rsidP="006F2C07">
      <w:pPr>
        <w:rPr>
          <w:sz w:val="16"/>
        </w:rPr>
      </w:pPr>
      <w:r w:rsidRPr="00E42D6F">
        <w:rPr>
          <w:sz w:val="16"/>
        </w:rPr>
        <w:t>Henehan said: “We may think of [acidification] as something to worry about for our grandchildren. But if it truly does get to the same acidification as at the [meteorite strike] boundary, then you are talking about effects that will last for the lifetime of our species. It was hundreds of thousands of years before carbon cycling returned to normal.”</w:t>
      </w:r>
    </w:p>
    <w:p w14:paraId="0E0EE75B" w14:textId="77777777" w:rsidR="006F2C07" w:rsidRPr="00E42D6F" w:rsidRDefault="006F2C07" w:rsidP="006F2C07">
      <w:pPr>
        <w:rPr>
          <w:sz w:val="16"/>
        </w:rPr>
      </w:pPr>
      <w:r w:rsidRPr="00E42D6F">
        <w:rPr>
          <w:sz w:val="16"/>
        </w:rPr>
        <w:t xml:space="preserve">The research, published in the journal Proceedings of the National Academy of Sciences, </w:t>
      </w:r>
      <w:proofErr w:type="spellStart"/>
      <w:r w:rsidRPr="00E42D6F">
        <w:rPr>
          <w:sz w:val="16"/>
        </w:rPr>
        <w:t>analysed</w:t>
      </w:r>
      <w:proofErr w:type="spellEnd"/>
      <w:r w:rsidRPr="00E42D6F">
        <w:rPr>
          <w:sz w:val="16"/>
        </w:rPr>
        <w:t xml:space="preserve"> sediments that Henehan encountered by chance, during a conference field trip in the Netherlands. The sediments, which straddle the moment of the impact, lie in caves that were used by people hiding from the Nazis during the second world war. “It was so lucky,” said Henehan.</w:t>
      </w:r>
    </w:p>
    <w:p w14:paraId="6CCE432E" w14:textId="77777777" w:rsidR="006F2C07" w:rsidRPr="00E42D6F" w:rsidRDefault="006F2C07" w:rsidP="006F2C07">
      <w:pPr>
        <w:rPr>
          <w:sz w:val="16"/>
        </w:rPr>
      </w:pPr>
      <w:r w:rsidRPr="00E42D6F">
        <w:rPr>
          <w:sz w:val="16"/>
        </w:rPr>
        <w:t>The rocks contained foraminifera, small-shelled marine organisms. “In the boundary clay, we managed to capture them just limping on past the asteroid impact. But you can see their shell walls were much thinner and poorly calcified after the impact,” he said.</w:t>
      </w:r>
    </w:p>
    <w:p w14:paraId="3FF43399" w14:textId="77777777" w:rsidR="006F2C07" w:rsidRPr="00E42D6F" w:rsidRDefault="006F2C07" w:rsidP="006F2C07">
      <w:pPr>
        <w:rPr>
          <w:sz w:val="16"/>
        </w:rPr>
      </w:pPr>
      <w:r w:rsidRPr="004825AE">
        <w:rPr>
          <w:u w:val="single"/>
        </w:rPr>
        <w:t>It was the knock-on effects of acidification and other stresses, such as the “nuclear winter” that followed the impact, that finally drove these foraminifera to extinction, he said: “You have the complete breakdown of the whole food chain.”</w:t>
      </w:r>
      <w:r w:rsidRPr="00E42D6F">
        <w:rPr>
          <w:sz w:val="16"/>
        </w:rPr>
        <w:t xml:space="preserve"> He said oceans also </w:t>
      </w:r>
      <w:proofErr w:type="gramStart"/>
      <w:r w:rsidRPr="00E42D6F">
        <w:rPr>
          <w:sz w:val="16"/>
        </w:rPr>
        <w:t>faced</w:t>
      </w:r>
      <w:proofErr w:type="gramEnd"/>
      <w:r w:rsidRPr="00E42D6F">
        <w:rPr>
          <w:sz w:val="16"/>
        </w:rPr>
        <w:t xml:space="preserve"> additional </w:t>
      </w:r>
      <w:proofErr w:type="gramStart"/>
      <w:r w:rsidRPr="00E42D6F">
        <w:rPr>
          <w:sz w:val="16"/>
        </w:rPr>
        <w:t>stresses</w:t>
      </w:r>
      <w:proofErr w:type="gramEnd"/>
      <w:r w:rsidRPr="00E42D6F">
        <w:rPr>
          <w:sz w:val="16"/>
        </w:rPr>
        <w:t xml:space="preserve"> today, from global heating to widespread pollution, overfishing and invasive alien species.</w:t>
      </w:r>
    </w:p>
    <w:p w14:paraId="166C400A" w14:textId="77777777" w:rsidR="006F2C07" w:rsidRPr="004825AE" w:rsidRDefault="006F2C07" w:rsidP="006F2C07">
      <w:pPr>
        <w:rPr>
          <w:u w:val="single"/>
        </w:rPr>
      </w:pPr>
      <w:r w:rsidRPr="00E42D6F">
        <w:rPr>
          <w:sz w:val="16"/>
        </w:rPr>
        <w:t>Phil Williamson, at the University of East Anglia, who was not involved in the research, said: “</w:t>
      </w:r>
      <w:r w:rsidRPr="004825AE">
        <w:rPr>
          <w:u w:val="single"/>
        </w:rPr>
        <w:t>It is relatively easy to identify mass extinction events in the fossil record, but much harder to know exactly what caused them. Evidence for the role of ocean acidification has generally been weak, until now.”</w:t>
      </w:r>
    </w:p>
    <w:p w14:paraId="51E16FBC" w14:textId="77777777" w:rsidR="006F2C07" w:rsidRPr="00E42D6F" w:rsidRDefault="006F2C07" w:rsidP="006F2C07">
      <w:pPr>
        <w:rPr>
          <w:sz w:val="16"/>
        </w:rPr>
      </w:pPr>
      <w:r w:rsidRPr="00E42D6F">
        <w:rPr>
          <w:sz w:val="16"/>
        </w:rPr>
        <w:t>He said caution was needed in making the comparison between the acidification spike 66m years ago and today: “When the asteroid struck, atmospheric CO2 was naturally already much higher than today, and the pH much lower. Furthermore, large asteroid impacts cause prolonged darkness.”</w:t>
      </w:r>
    </w:p>
    <w:p w14:paraId="508870AA" w14:textId="77777777" w:rsidR="006F2C07" w:rsidRPr="00E42D6F" w:rsidRDefault="006F2C07" w:rsidP="006F2C07">
      <w:pPr>
        <w:rPr>
          <w:sz w:val="16"/>
        </w:rPr>
      </w:pPr>
      <w:r w:rsidRPr="00E42D6F">
        <w:rPr>
          <w:sz w:val="16"/>
        </w:rPr>
        <w:t xml:space="preserve">Williamson added: “Nevertheless, this study </w:t>
      </w:r>
      <w:r w:rsidRPr="004825AE">
        <w:rPr>
          <w:u w:val="single"/>
        </w:rPr>
        <w:t>provides further warning that the global changes in ocean chemistry that we are currently driving have the potential to cause highly undesirable and effectively irreversible damage to ocean biology.”</w:t>
      </w:r>
    </w:p>
    <w:p w14:paraId="1D56FCC8" w14:textId="77777777" w:rsidR="006F2C07" w:rsidRDefault="006F2C07" w:rsidP="006F2C07">
      <w:pPr>
        <w:rPr>
          <w:sz w:val="16"/>
        </w:rPr>
      </w:pPr>
      <w:r w:rsidRPr="00E42D6F">
        <w:rPr>
          <w:sz w:val="16"/>
        </w:rPr>
        <w:t>Henehan said the generally lower ocean pH 66m years ago might have made shelled organisms more resilient to acidification. “Who knows if our current [marine] system is as well set up to cope with sudden acidification?”</w:t>
      </w:r>
    </w:p>
    <w:p w14:paraId="2D2C4206" w14:textId="77777777" w:rsidR="006F2C07" w:rsidRPr="00E42D6F" w:rsidRDefault="006F2C07" w:rsidP="006F2C07">
      <w:pPr>
        <w:rPr>
          <w:sz w:val="16"/>
        </w:rPr>
      </w:pPr>
    </w:p>
    <w:p w14:paraId="15EDB0F5" w14:textId="77777777" w:rsidR="006F2C07" w:rsidRPr="00E42D6F" w:rsidRDefault="006F2C07" w:rsidP="006F2C07">
      <w:pPr>
        <w:pStyle w:val="Heading4"/>
        <w:rPr>
          <w:rFonts w:cs="Calibri"/>
        </w:rPr>
      </w:pPr>
      <w:r w:rsidRPr="00E42D6F">
        <w:rPr>
          <w:rFonts w:cs="Calibri"/>
        </w:rPr>
        <w:t xml:space="preserve">Biodiversity collapse is </w:t>
      </w:r>
      <w:r w:rsidRPr="00E42D6F">
        <w:rPr>
          <w:rFonts w:cs="Calibri"/>
          <w:u w:val="single"/>
        </w:rPr>
        <w:t>existential</w:t>
      </w:r>
      <w:r w:rsidRPr="00E42D6F">
        <w:rPr>
          <w:rFonts w:cs="Calibri"/>
        </w:rPr>
        <w:t xml:space="preserve">---it’s a </w:t>
      </w:r>
      <w:r w:rsidRPr="00E42D6F">
        <w:rPr>
          <w:rFonts w:cs="Calibri"/>
          <w:u w:val="single"/>
        </w:rPr>
        <w:t>threat</w:t>
      </w:r>
      <w:r w:rsidRPr="00E42D6F">
        <w:rPr>
          <w:rFonts w:cs="Calibri"/>
        </w:rPr>
        <w:t xml:space="preserve"> multiplier.</w:t>
      </w:r>
    </w:p>
    <w:p w14:paraId="5AAA5323" w14:textId="77777777" w:rsidR="006F2C07" w:rsidRPr="00E42D6F" w:rsidRDefault="006F2C07" w:rsidP="006F2C07">
      <w:r w:rsidRPr="00E42D6F">
        <w:t xml:space="preserve">Phil </w:t>
      </w:r>
      <w:r w:rsidRPr="00E42D6F">
        <w:rPr>
          <w:rStyle w:val="Style13ptBold"/>
        </w:rPr>
        <w:t>Torres ’19</w:t>
      </w:r>
      <w:r w:rsidRPr="00E42D6F">
        <w:t xml:space="preserve"> [Phil Torres, Affiliate Scholar at the Institute for Ethics and Emerging Technologies, Founder of the X-Risks Institute, Writer Appearing in Skeptic, Free Inquiry, Bulletin of the Atomic Scientists, Salon, Truthout, </w:t>
      </w:r>
      <w:proofErr w:type="spellStart"/>
      <w:r w:rsidRPr="00E42D6F">
        <w:t>Erkenntnis</w:t>
      </w:r>
      <w:proofErr w:type="spellEnd"/>
      <w:r w:rsidRPr="00E42D6F">
        <w:t xml:space="preserve">, </w:t>
      </w:r>
      <w:proofErr w:type="spellStart"/>
      <w:r w:rsidRPr="00E42D6F">
        <w:t>Metaphilosophy</w:t>
      </w:r>
      <w:proofErr w:type="spellEnd"/>
      <w:r w:rsidRPr="00E42D6F">
        <w:t xml:space="preserve">, “Biodiversity Loss: An Existential Risk Comparable </w:t>
      </w:r>
      <w:proofErr w:type="gramStart"/>
      <w:r w:rsidRPr="00E42D6F">
        <w:t>To</w:t>
      </w:r>
      <w:proofErr w:type="gramEnd"/>
      <w:r w:rsidRPr="00E42D6F">
        <w:t xml:space="preserve"> Climate Change,” Bulletin of the Atomic Scientists, April 11, 2016, https://thebulletin.org/2016/04/biodiversity-loss-an-existential-risk-comparable-to-climate-change]</w:t>
      </w:r>
    </w:p>
    <w:p w14:paraId="53443F07" w14:textId="77777777" w:rsidR="006F2C07" w:rsidRPr="00E42D6F" w:rsidRDefault="006F2C07" w:rsidP="006F2C07">
      <w:pPr>
        <w:rPr>
          <w:sz w:val="16"/>
        </w:rPr>
      </w:pPr>
      <w:r w:rsidRPr="00E42D6F">
        <w:rPr>
          <w:sz w:val="16"/>
        </w:rPr>
        <w:t xml:space="preserve">Catastrophic consequences for civilization. </w:t>
      </w:r>
      <w:r w:rsidRPr="00E42D6F">
        <w:rPr>
          <w:u w:val="single"/>
        </w:rPr>
        <w:t xml:space="preserve">The </w:t>
      </w:r>
      <w:r w:rsidRPr="00E42D6F">
        <w:rPr>
          <w:highlight w:val="cyan"/>
          <w:u w:val="single"/>
        </w:rPr>
        <w:t>consequences of</w:t>
      </w:r>
      <w:r w:rsidRPr="00E42D6F">
        <w:rPr>
          <w:sz w:val="16"/>
        </w:rPr>
        <w:t xml:space="preserve"> this </w:t>
      </w:r>
      <w:r w:rsidRPr="00E42D6F">
        <w:rPr>
          <w:u w:val="single"/>
        </w:rPr>
        <w:t xml:space="preserve">rapid </w:t>
      </w:r>
      <w:r w:rsidRPr="00E42D6F">
        <w:rPr>
          <w:rStyle w:val="Emphasis"/>
          <w:highlight w:val="cyan"/>
        </w:rPr>
        <w:t>pruning</w:t>
      </w:r>
      <w:r w:rsidRPr="00E42D6F">
        <w:rPr>
          <w:highlight w:val="cyan"/>
          <w:u w:val="single"/>
        </w:rPr>
        <w:t xml:space="preserve"> of</w:t>
      </w:r>
      <w:r w:rsidRPr="00E42D6F">
        <w:rPr>
          <w:u w:val="single"/>
        </w:rPr>
        <w:t xml:space="preserve"> the </w:t>
      </w:r>
      <w:r w:rsidRPr="00E42D6F">
        <w:rPr>
          <w:highlight w:val="cyan"/>
          <w:u w:val="single"/>
        </w:rPr>
        <w:t>evolution</w:t>
      </w:r>
      <w:r w:rsidRPr="00E42D6F">
        <w:rPr>
          <w:u w:val="single"/>
        </w:rPr>
        <w:t xml:space="preserve">ary </w:t>
      </w:r>
      <w:r w:rsidRPr="00E42D6F">
        <w:rPr>
          <w:rStyle w:val="Emphasis"/>
        </w:rPr>
        <w:t>tree of life</w:t>
      </w:r>
      <w:r w:rsidRPr="00E42D6F">
        <w:rPr>
          <w:u w:val="single"/>
        </w:rPr>
        <w:t xml:space="preserve"> extend beyond the obvious</w:t>
      </w:r>
      <w:r w:rsidRPr="00E42D6F">
        <w:rPr>
          <w:sz w:val="16"/>
        </w:rPr>
        <w:t xml:space="preserve">. There could be surprising effects of biodiversity loss that scientists are unable to fully anticipate in advance. For example, prior research has shown that </w:t>
      </w:r>
      <w:r w:rsidRPr="00E42D6F">
        <w:rPr>
          <w:rStyle w:val="StyleUnderline"/>
        </w:rPr>
        <w:t xml:space="preserve">localized </w:t>
      </w:r>
      <w:r w:rsidRPr="00E42D6F">
        <w:rPr>
          <w:rStyle w:val="StyleUnderline"/>
          <w:highlight w:val="cyan"/>
        </w:rPr>
        <w:t>ecosystems</w:t>
      </w:r>
      <w:r w:rsidRPr="00E42D6F">
        <w:rPr>
          <w:rStyle w:val="StyleUnderline"/>
        </w:rPr>
        <w:t xml:space="preserve"> can </w:t>
      </w:r>
      <w:r w:rsidRPr="00E42D6F">
        <w:rPr>
          <w:rStyle w:val="StyleUnderline"/>
          <w:highlight w:val="cyan"/>
        </w:rPr>
        <w:t>undergo</w:t>
      </w:r>
      <w:r w:rsidRPr="00E42D6F">
        <w:rPr>
          <w:highlight w:val="cyan"/>
          <w:u w:val="single"/>
        </w:rPr>
        <w:t xml:space="preserve"> </w:t>
      </w:r>
      <w:r w:rsidRPr="00E42D6F">
        <w:rPr>
          <w:rStyle w:val="Emphasis"/>
        </w:rPr>
        <w:t>abrupt</w:t>
      </w:r>
      <w:r w:rsidRPr="00E42D6F">
        <w:rPr>
          <w:u w:val="single"/>
        </w:rPr>
        <w:t xml:space="preserve"> and </w:t>
      </w:r>
      <w:r w:rsidRPr="00E42D6F">
        <w:rPr>
          <w:rStyle w:val="Emphasis"/>
        </w:rPr>
        <w:t>irreversible</w:t>
      </w:r>
      <w:r w:rsidRPr="00E42D6F">
        <w:rPr>
          <w:u w:val="single"/>
        </w:rPr>
        <w:t xml:space="preserve"> shifts when they reach a </w:t>
      </w:r>
      <w:r w:rsidRPr="00E42D6F">
        <w:rPr>
          <w:rStyle w:val="Emphasis"/>
          <w:highlight w:val="cyan"/>
        </w:rPr>
        <w:t>tipping point</w:t>
      </w:r>
      <w:r w:rsidRPr="00E42D6F">
        <w:rPr>
          <w:sz w:val="16"/>
        </w:rPr>
        <w:t xml:space="preserve">. According to a 2012 paper published in Nature, there are reasons for thinking that </w:t>
      </w:r>
      <w:r w:rsidRPr="00E42D6F">
        <w:rPr>
          <w:u w:val="single"/>
        </w:rPr>
        <w:t xml:space="preserve">we may be </w:t>
      </w:r>
      <w:r w:rsidRPr="00E42D6F">
        <w:rPr>
          <w:rStyle w:val="Emphasis"/>
        </w:rPr>
        <w:t>approach</w:t>
      </w:r>
      <w:r w:rsidRPr="00E42D6F">
        <w:rPr>
          <w:u w:val="single"/>
        </w:rPr>
        <w:t xml:space="preserve">ing a </w:t>
      </w:r>
      <w:r w:rsidRPr="00E42D6F">
        <w:rPr>
          <w:rStyle w:val="Emphasis"/>
        </w:rPr>
        <w:t>tipping point</w:t>
      </w:r>
      <w:r w:rsidRPr="00E42D6F">
        <w:rPr>
          <w:sz w:val="16"/>
        </w:rPr>
        <w:t xml:space="preserve"> of this sort </w:t>
      </w:r>
      <w:r w:rsidRPr="00E42D6F">
        <w:rPr>
          <w:u w:val="single"/>
        </w:rPr>
        <w:t xml:space="preserve">in the </w:t>
      </w:r>
      <w:r w:rsidRPr="00E42D6F">
        <w:rPr>
          <w:rStyle w:val="Emphasis"/>
        </w:rPr>
        <w:t>global</w:t>
      </w:r>
      <w:r w:rsidRPr="00E42D6F">
        <w:rPr>
          <w:u w:val="single"/>
        </w:rPr>
        <w:t xml:space="preserve"> ecosystem, beyond which the </w:t>
      </w:r>
      <w:r w:rsidRPr="00E42D6F">
        <w:rPr>
          <w:highlight w:val="cyan"/>
          <w:u w:val="single"/>
        </w:rPr>
        <w:t>consequences</w:t>
      </w:r>
      <w:r w:rsidRPr="00E42D6F">
        <w:rPr>
          <w:u w:val="single"/>
        </w:rPr>
        <w:t xml:space="preserve"> could be </w:t>
      </w:r>
      <w:r w:rsidRPr="00E42D6F">
        <w:rPr>
          <w:rStyle w:val="Emphasis"/>
          <w:highlight w:val="cyan"/>
        </w:rPr>
        <w:t>catastrophic</w:t>
      </w:r>
      <w:r w:rsidRPr="00E42D6F">
        <w:rPr>
          <w:rStyle w:val="Emphasis"/>
        </w:rPr>
        <w:t xml:space="preserve"> for civilization</w:t>
      </w:r>
      <w:r w:rsidRPr="00E42D6F">
        <w:rPr>
          <w:sz w:val="16"/>
        </w:rPr>
        <w:t xml:space="preserve">. As the authors write, </w:t>
      </w:r>
      <w:r w:rsidRPr="00E42D6F">
        <w:rPr>
          <w:u w:val="single"/>
        </w:rPr>
        <w:t xml:space="preserve">a </w:t>
      </w:r>
      <w:r w:rsidRPr="00E42D6F">
        <w:rPr>
          <w:rStyle w:val="Emphasis"/>
          <w:highlight w:val="cyan"/>
        </w:rPr>
        <w:t>planetary-scale transition</w:t>
      </w:r>
      <w:r w:rsidRPr="00E42D6F">
        <w:rPr>
          <w:u w:val="single"/>
        </w:rPr>
        <w:t xml:space="preserve"> could </w:t>
      </w:r>
      <w:r w:rsidRPr="00E42D6F">
        <w:rPr>
          <w:highlight w:val="cyan"/>
          <w:u w:val="single"/>
        </w:rPr>
        <w:t>precipitate “</w:t>
      </w:r>
      <w:r w:rsidRPr="00E42D6F">
        <w:rPr>
          <w:rStyle w:val="Emphasis"/>
          <w:highlight w:val="cyan"/>
        </w:rPr>
        <w:t>substantial losses</w:t>
      </w:r>
      <w:r w:rsidRPr="00E42D6F">
        <w:rPr>
          <w:highlight w:val="cyan"/>
          <w:u w:val="single"/>
        </w:rPr>
        <w:t xml:space="preserve"> of </w:t>
      </w:r>
      <w:r w:rsidRPr="00E42D6F">
        <w:rPr>
          <w:u w:val="single"/>
        </w:rPr>
        <w:t xml:space="preserve">ecosystem </w:t>
      </w:r>
      <w:r w:rsidRPr="00E42D6F">
        <w:rPr>
          <w:highlight w:val="cyan"/>
          <w:u w:val="single"/>
        </w:rPr>
        <w:t xml:space="preserve">services </w:t>
      </w:r>
      <w:r w:rsidRPr="00E42D6F">
        <w:rPr>
          <w:rStyle w:val="Emphasis"/>
          <w:highlight w:val="cyan"/>
        </w:rPr>
        <w:t xml:space="preserve">required </w:t>
      </w:r>
      <w:r w:rsidRPr="00E42D6F">
        <w:rPr>
          <w:rStyle w:val="StyleUnderline"/>
          <w:highlight w:val="cyan"/>
        </w:rPr>
        <w:t>to</w:t>
      </w:r>
      <w:r w:rsidRPr="00E42D6F">
        <w:rPr>
          <w:rStyle w:val="Emphasis"/>
        </w:rPr>
        <w:t xml:space="preserve"> </w:t>
      </w:r>
      <w:r w:rsidRPr="00E42D6F">
        <w:rPr>
          <w:rStyle w:val="Emphasis"/>
          <w:highlight w:val="cyan"/>
        </w:rPr>
        <w:t>sustain</w:t>
      </w:r>
      <w:r w:rsidRPr="00E42D6F">
        <w:rPr>
          <w:rStyle w:val="Emphasis"/>
        </w:rPr>
        <w:t xml:space="preserve"> </w:t>
      </w:r>
      <w:r w:rsidRPr="00E42D6F">
        <w:rPr>
          <w:rStyle w:val="StyleUnderline"/>
        </w:rPr>
        <w:t>the</w:t>
      </w:r>
      <w:r w:rsidRPr="00E42D6F">
        <w:rPr>
          <w:rStyle w:val="Emphasis"/>
        </w:rPr>
        <w:t xml:space="preserve"> human </w:t>
      </w:r>
      <w:r w:rsidRPr="00E42D6F">
        <w:rPr>
          <w:rStyle w:val="Emphasis"/>
          <w:highlight w:val="cyan"/>
        </w:rPr>
        <w:t>population</w:t>
      </w:r>
      <w:r w:rsidRPr="00E42D6F">
        <w:rPr>
          <w:u w:val="single"/>
        </w:rPr>
        <w:t>.”</w:t>
      </w:r>
      <w:r w:rsidRPr="00E42D6F">
        <w:rPr>
          <w:sz w:val="16"/>
        </w:rPr>
        <w:t xml:space="preserve"> An ecosystem service is any ecological process that benefits humanity, such as food production and crop pollination. If the global ecosystem were to cross a tipping point and substantial ecosystem services were lost, </w:t>
      </w:r>
      <w:r w:rsidRPr="00E42D6F">
        <w:rPr>
          <w:u w:val="single"/>
        </w:rPr>
        <w:t xml:space="preserve">the </w:t>
      </w:r>
      <w:r w:rsidRPr="00E42D6F">
        <w:rPr>
          <w:highlight w:val="cyan"/>
          <w:u w:val="single"/>
        </w:rPr>
        <w:t>results</w:t>
      </w:r>
      <w:r w:rsidRPr="00E42D6F">
        <w:rPr>
          <w:u w:val="single"/>
        </w:rPr>
        <w:t xml:space="preserve"> could be “</w:t>
      </w:r>
      <w:r w:rsidRPr="00E42D6F">
        <w:rPr>
          <w:rStyle w:val="Emphasis"/>
        </w:rPr>
        <w:t xml:space="preserve">widespread </w:t>
      </w:r>
      <w:r w:rsidRPr="00E42D6F">
        <w:rPr>
          <w:rStyle w:val="Emphasis"/>
          <w:highlight w:val="cyan"/>
        </w:rPr>
        <w:t>social unrest</w:t>
      </w:r>
      <w:r w:rsidRPr="00E42D6F">
        <w:rPr>
          <w:highlight w:val="cyan"/>
          <w:u w:val="single"/>
        </w:rPr>
        <w:t xml:space="preserve">, </w:t>
      </w:r>
      <w:r w:rsidRPr="00E42D6F">
        <w:rPr>
          <w:rStyle w:val="Emphasis"/>
          <w:highlight w:val="cyan"/>
        </w:rPr>
        <w:t>economic instability</w:t>
      </w:r>
      <w:r w:rsidRPr="00E42D6F">
        <w:rPr>
          <w:u w:val="single"/>
        </w:rPr>
        <w:t xml:space="preserve">, and </w:t>
      </w:r>
      <w:r w:rsidRPr="00E42D6F">
        <w:rPr>
          <w:rStyle w:val="Emphasis"/>
        </w:rPr>
        <w:t>loss of human life</w:t>
      </w:r>
      <w:r w:rsidRPr="00E42D6F">
        <w:rPr>
          <w:u w:val="single"/>
        </w:rPr>
        <w:t>.”</w:t>
      </w:r>
      <w:r w:rsidRPr="00E42D6F">
        <w:rPr>
          <w:sz w:val="16"/>
        </w:rPr>
        <w:t xml:space="preserve"> According to Missouri Botanical Garden ecologist Adam Smith, one of the paper’s co-authors, this could occur in a matter of decades—far more quickly than most of the expected consequences of climate change, yet equally destructive. </w:t>
      </w:r>
      <w:r w:rsidRPr="00E42D6F">
        <w:rPr>
          <w:rStyle w:val="Emphasis"/>
        </w:rPr>
        <w:t>Biod</w:t>
      </w:r>
      <w:r w:rsidRPr="00E42D6F">
        <w:rPr>
          <w:u w:val="single"/>
        </w:rPr>
        <w:t xml:space="preserve">iversity loss is </w:t>
      </w:r>
      <w:r w:rsidRPr="00E42D6F">
        <w:rPr>
          <w:highlight w:val="cyan"/>
          <w:u w:val="single"/>
        </w:rPr>
        <w:t xml:space="preserve">a </w:t>
      </w:r>
      <w:r w:rsidRPr="00E42D6F">
        <w:rPr>
          <w:rStyle w:val="Emphasis"/>
          <w:highlight w:val="cyan"/>
        </w:rPr>
        <w:t>“threat multiplier”</w:t>
      </w:r>
      <w:r w:rsidRPr="00E42D6F">
        <w:rPr>
          <w:u w:val="single"/>
        </w:rPr>
        <w:t xml:space="preserve"> that, by pushing societies to the brink of collapse, will </w:t>
      </w:r>
      <w:r w:rsidRPr="00E42D6F">
        <w:rPr>
          <w:rStyle w:val="Emphasis"/>
          <w:highlight w:val="cyan"/>
        </w:rPr>
        <w:t>exacerbate</w:t>
      </w:r>
      <w:r w:rsidRPr="00E42D6F">
        <w:rPr>
          <w:rStyle w:val="Emphasis"/>
        </w:rPr>
        <w:t xml:space="preserve"> existing </w:t>
      </w:r>
      <w:r w:rsidRPr="00E42D6F">
        <w:rPr>
          <w:rStyle w:val="Emphasis"/>
          <w:highlight w:val="cyan"/>
        </w:rPr>
        <w:t>conflicts</w:t>
      </w:r>
      <w:r w:rsidRPr="00E42D6F">
        <w:rPr>
          <w:u w:val="single"/>
        </w:rPr>
        <w:t xml:space="preserve"> and </w:t>
      </w:r>
      <w:r w:rsidRPr="00E42D6F">
        <w:rPr>
          <w:highlight w:val="cyan"/>
          <w:u w:val="single"/>
        </w:rPr>
        <w:t>introduce</w:t>
      </w:r>
      <w:r w:rsidRPr="00E42D6F">
        <w:rPr>
          <w:u w:val="single"/>
        </w:rPr>
        <w:t xml:space="preserve"> entirely new </w:t>
      </w:r>
      <w:r w:rsidRPr="00E42D6F">
        <w:rPr>
          <w:highlight w:val="cyan"/>
          <w:u w:val="single"/>
        </w:rPr>
        <w:t>struggles</w:t>
      </w:r>
      <w:r w:rsidRPr="00E42D6F">
        <w:rPr>
          <w:u w:val="single"/>
        </w:rPr>
        <w:t xml:space="preserve"> between state and non-state actors. Indeed, it could even </w:t>
      </w:r>
      <w:r w:rsidRPr="00E42D6F">
        <w:rPr>
          <w:highlight w:val="cyan"/>
          <w:u w:val="single"/>
        </w:rPr>
        <w:t>fuel</w:t>
      </w:r>
      <w:r w:rsidRPr="00E42D6F">
        <w:rPr>
          <w:u w:val="single"/>
        </w:rPr>
        <w:t xml:space="preserve"> the rise of </w:t>
      </w:r>
      <w:r w:rsidRPr="00E42D6F">
        <w:rPr>
          <w:rStyle w:val="Emphasis"/>
          <w:highlight w:val="cyan"/>
        </w:rPr>
        <w:t>terrorism</w:t>
      </w:r>
      <w:r w:rsidRPr="00E42D6F">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w:t>
      </w:r>
      <w:proofErr w:type="gramStart"/>
      <w:r w:rsidRPr="00E42D6F">
        <w:rPr>
          <w:sz w:val="16"/>
        </w:rPr>
        <w:t>aforementioned 2012</w:t>
      </w:r>
      <w:proofErr w:type="gramEnd"/>
      <w:r w:rsidRPr="00E42D6F">
        <w:rPr>
          <w:sz w:val="16"/>
        </w:rPr>
        <w:t xml:space="preserve"> Nature paper notes. Furthermore, the widespread decline of biological populations could plausibly initiate a dramatic transformation of the global ecosystem on an even faster timescale: perhaps a single human lifetime. The unavoidable conclusion is that </w:t>
      </w:r>
      <w:r w:rsidRPr="00E42D6F">
        <w:rPr>
          <w:rStyle w:val="StyleUnderline"/>
          <w:highlight w:val="cyan"/>
        </w:rPr>
        <w:t>biod</w:t>
      </w:r>
      <w:r w:rsidRPr="00E42D6F">
        <w:rPr>
          <w:u w:val="single"/>
        </w:rPr>
        <w:t xml:space="preserve">iversity </w:t>
      </w:r>
      <w:r w:rsidRPr="00E42D6F">
        <w:rPr>
          <w:highlight w:val="cyan"/>
          <w:u w:val="single"/>
        </w:rPr>
        <w:t>loss</w:t>
      </w:r>
      <w:r w:rsidRPr="00E42D6F">
        <w:rPr>
          <w:u w:val="single"/>
        </w:rPr>
        <w:t xml:space="preserve"> constitutes </w:t>
      </w:r>
      <w:r w:rsidRPr="00E42D6F">
        <w:rPr>
          <w:highlight w:val="cyan"/>
          <w:u w:val="single"/>
        </w:rPr>
        <w:t xml:space="preserve">an </w:t>
      </w:r>
      <w:r w:rsidRPr="00E42D6F">
        <w:rPr>
          <w:rStyle w:val="StyleUnderline"/>
          <w:highlight w:val="cyan"/>
        </w:rPr>
        <w:t xml:space="preserve">existential </w:t>
      </w:r>
      <w:proofErr w:type="gramStart"/>
      <w:r w:rsidRPr="00E42D6F">
        <w:rPr>
          <w:rStyle w:val="StyleUnderline"/>
          <w:highlight w:val="cyan"/>
        </w:rPr>
        <w:t>threat</w:t>
      </w:r>
      <w:r w:rsidRPr="00E42D6F">
        <w:rPr>
          <w:rStyle w:val="StyleUnderline"/>
        </w:rPr>
        <w:t xml:space="preserve"> </w:t>
      </w:r>
      <w:r w:rsidRPr="00E42D6F">
        <w:rPr>
          <w:sz w:val="16"/>
        </w:rPr>
        <w:t>in its own right</w:t>
      </w:r>
      <w:proofErr w:type="gramEnd"/>
      <w:r w:rsidRPr="00E42D6F">
        <w:rPr>
          <w:sz w:val="16"/>
        </w:rPr>
        <w:t xml:space="preserve">. As such, </w:t>
      </w:r>
      <w:r w:rsidRPr="00E42D6F">
        <w:rPr>
          <w:u w:val="single"/>
        </w:rPr>
        <w:t>it ought to be considered alongside climate change and nuclear weapons as one of the most significant contemporary risks to human prosperity and survival.</w:t>
      </w:r>
    </w:p>
    <w:p w14:paraId="7C32DD29" w14:textId="77777777" w:rsidR="006F2C07" w:rsidRDefault="006F2C07" w:rsidP="006F2C07">
      <w:pPr>
        <w:pStyle w:val="Heading4"/>
      </w:pPr>
      <w:r>
        <w:t>The second scenario is Solar Warming---</w:t>
      </w:r>
    </w:p>
    <w:p w14:paraId="465B6422" w14:textId="77777777" w:rsidR="006F2C07" w:rsidRPr="007402C4" w:rsidRDefault="006F2C07" w:rsidP="006F2C07"/>
    <w:p w14:paraId="3B1D381B" w14:textId="77777777" w:rsidR="006F2C07" w:rsidRDefault="006F2C07" w:rsidP="006F2C07">
      <w:pPr>
        <w:pStyle w:val="Heading4"/>
      </w:pPr>
      <w:r>
        <w:t>As surface albedo decreases in the Arctic solar radiation will affect temperatures more and warming will accelerate</w:t>
      </w:r>
    </w:p>
    <w:p w14:paraId="6AFE2FC9" w14:textId="77777777" w:rsidR="006F2C07" w:rsidRPr="00BB63BD" w:rsidRDefault="006F2C07" w:rsidP="006F2C07">
      <w:r w:rsidRPr="00BB63BD">
        <w:rPr>
          <w:rStyle w:val="Style13ptBold"/>
        </w:rPr>
        <w:t>Stamatis et al. 24</w:t>
      </w:r>
      <w:r w:rsidRPr="00BB63BD">
        <w:t>---</w:t>
      </w:r>
      <w:r>
        <w:t>Leader</w:t>
      </w:r>
      <w:r w:rsidRPr="00BB63BD">
        <w:t xml:space="preserve"> fo</w:t>
      </w:r>
      <w:r>
        <w:t xml:space="preserve">r the </w:t>
      </w:r>
      <w:r w:rsidRPr="00BB63BD">
        <w:t xml:space="preserve">Laboratory of Meteorology &amp; Climatology, Department of Physics, </w:t>
      </w:r>
      <w:r>
        <w:t xml:space="preserve">and professor at the </w:t>
      </w:r>
      <w:r w:rsidRPr="00BB63BD">
        <w:t>University of Ioannina</w:t>
      </w:r>
      <w:r>
        <w:t xml:space="preserve">. </w:t>
      </w:r>
      <w:r w:rsidRPr="00BB63BD">
        <w:t xml:space="preserve">(Micael, Nikolaos </w:t>
      </w:r>
      <w:proofErr w:type="spellStart"/>
      <w:r w:rsidRPr="00BB63BD">
        <w:t>Hatzianastassiou</w:t>
      </w:r>
      <w:proofErr w:type="spellEnd"/>
      <w:r w:rsidRPr="00BB63BD">
        <w:t xml:space="preserve">, Marios-Bruno </w:t>
      </w:r>
      <w:proofErr w:type="spellStart"/>
      <w:r w:rsidRPr="00BB63BD">
        <w:t>Korras-Carraca</w:t>
      </w:r>
      <w:proofErr w:type="spellEnd"/>
      <w:r w:rsidRPr="00BB63BD">
        <w:t xml:space="preserve">, Christos Matsoukas, Martin Wild, and Ilias </w:t>
      </w:r>
      <w:proofErr w:type="spellStart"/>
      <w:r w:rsidRPr="00BB63BD">
        <w:t>Vardavas</w:t>
      </w:r>
      <w:proofErr w:type="spellEnd"/>
      <w:r w:rsidRPr="00BB63BD">
        <w:t>; “</w:t>
      </w:r>
      <w:r>
        <w:t xml:space="preserve">How strong are the links between global warming and surface solar radiation changes?”, Springer Nature, 10/09/24, </w:t>
      </w:r>
      <w:r w:rsidRPr="00BB63BD">
        <w:t>https://link.springer.com/article/10.1007/s10584-024-03810-6#Sec5</w:t>
      </w:r>
      <w:r>
        <w:t xml:space="preserve">) </w:t>
      </w:r>
      <w:proofErr w:type="spellStart"/>
      <w:r>
        <w:t>sh</w:t>
      </w:r>
      <w:proofErr w:type="spellEnd"/>
    </w:p>
    <w:p w14:paraId="347C12E7" w14:textId="77777777" w:rsidR="006F2C07" w:rsidRPr="00BB63BD" w:rsidRDefault="006F2C07" w:rsidP="006F2C07">
      <w:pPr>
        <w:rPr>
          <w:sz w:val="16"/>
        </w:rPr>
      </w:pPr>
      <w:proofErr w:type="gramStart"/>
      <w:r w:rsidRPr="00BB63BD">
        <w:rPr>
          <w:sz w:val="16"/>
        </w:rPr>
        <w:t>In order to</w:t>
      </w:r>
      <w:proofErr w:type="gramEnd"/>
      <w:r w:rsidRPr="00BB63BD">
        <w:rPr>
          <w:sz w:val="16"/>
        </w:rPr>
        <w:t xml:space="preserve"> examine and quantify the theoretically established dependence of surface temperature on SSR, the two parameters were correlated all over the globe, </w:t>
      </w:r>
      <w:proofErr w:type="gramStart"/>
      <w:r w:rsidRPr="00BB63BD">
        <w:rPr>
          <w:sz w:val="16"/>
        </w:rPr>
        <w:t>on a monthly basis</w:t>
      </w:r>
      <w:proofErr w:type="gramEnd"/>
      <w:r w:rsidRPr="00BB63BD">
        <w:rPr>
          <w:sz w:val="16"/>
        </w:rPr>
        <w:t xml:space="preserve">, and the 35-year study period (1984-2018). </w:t>
      </w:r>
      <w:r w:rsidRPr="005F7F98">
        <w:rPr>
          <w:u w:val="single"/>
        </w:rPr>
        <w:t xml:space="preserve">In general, SSR is positively correlated with surface temperature </w:t>
      </w:r>
      <w:r w:rsidRPr="00BB63BD">
        <w:rPr>
          <w:sz w:val="16"/>
        </w:rPr>
        <w:t xml:space="preserve">(yellowish and reddish colors), as expected, over most areas of the globe. Figure 1a shows that </w:t>
      </w:r>
      <w:proofErr w:type="spellStart"/>
      <w:r w:rsidRPr="00BB63BD">
        <w:rPr>
          <w:sz w:val="16"/>
        </w:rPr>
        <w:t>Tmean</w:t>
      </w:r>
      <w:proofErr w:type="spellEnd"/>
      <w:r w:rsidRPr="00BB63BD">
        <w:rPr>
          <w:sz w:val="16"/>
        </w:rPr>
        <w:t xml:space="preserve"> is more strongly correlated with SSR over land areas such as Europe, much of Asia, especially its southern parts, and South America, as well as over western North America and eastern southern Africa, </w:t>
      </w:r>
      <w:proofErr w:type="spellStart"/>
      <w:r w:rsidRPr="00BB63BD">
        <w:rPr>
          <w:sz w:val="16"/>
        </w:rPr>
        <w:t>wherervalues</w:t>
      </w:r>
      <w:proofErr w:type="spellEnd"/>
      <w:r w:rsidRPr="00BB63BD">
        <w:rPr>
          <w:sz w:val="16"/>
        </w:rPr>
        <w:t xml:space="preserve"> reach 0.70. On the other hand, however, a negative correlation appears mainly over the polar regions and the Sahara with the maximum negative value being -0.62. </w:t>
      </w:r>
      <w:r w:rsidRPr="005F7F98">
        <w:rPr>
          <w:u w:val="single"/>
        </w:rPr>
        <w:t>While, theoretically, a positive correlation (i.e., more solar radiation leading to higher temperatures) is generally expected, local and regional factors, such as changing surface albedo or changes in temperature advection through changes in atmospheric circulation, can influence the distribution of heat within a region and introduce complexities</w:t>
      </w:r>
      <w:r w:rsidRPr="00BB63BD">
        <w:rPr>
          <w:sz w:val="16"/>
        </w:rPr>
        <w:t xml:space="preserve">. For instance, </w:t>
      </w:r>
      <w:r w:rsidRPr="005F7F98">
        <w:rPr>
          <w:u w:val="single"/>
        </w:rPr>
        <w:t xml:space="preserve">regions with high and increasing surface reflectivity (albedo), such as areas covered by snow, ice, or deserts, may experience lower temperatures due to the decrease of </w:t>
      </w:r>
      <w:proofErr w:type="gramStart"/>
      <w:r w:rsidRPr="005F7F98">
        <w:rPr>
          <w:u w:val="single"/>
        </w:rPr>
        <w:t>the surface absorbed</w:t>
      </w:r>
      <w:proofErr w:type="gramEnd"/>
      <w:r w:rsidRPr="005F7F98">
        <w:rPr>
          <w:u w:val="single"/>
        </w:rPr>
        <w:t xml:space="preserve"> solar radiation.</w:t>
      </w:r>
      <w:r w:rsidRPr="00BB63BD">
        <w:rPr>
          <w:sz w:val="16"/>
        </w:rPr>
        <w:t xml:space="preserve"> </w:t>
      </w:r>
      <w:r w:rsidRPr="005F7F98">
        <w:rPr>
          <w:u w:val="single"/>
        </w:rPr>
        <w:t>The dependence of surface temperature on SSR is expected to be stronger</w:t>
      </w:r>
      <w:r w:rsidRPr="00BB63BD">
        <w:rPr>
          <w:sz w:val="16"/>
        </w:rPr>
        <w:t xml:space="preserve"> for </w:t>
      </w:r>
      <w:proofErr w:type="spellStart"/>
      <w:r w:rsidRPr="00BB63BD">
        <w:rPr>
          <w:sz w:val="16"/>
        </w:rPr>
        <w:t>Tmax</w:t>
      </w:r>
      <w:proofErr w:type="spellEnd"/>
      <w:r w:rsidRPr="00BB63BD">
        <w:rPr>
          <w:sz w:val="16"/>
        </w:rPr>
        <w:t xml:space="preserve">, </w:t>
      </w:r>
      <w:r w:rsidRPr="005F7F98">
        <w:rPr>
          <w:u w:val="single"/>
        </w:rPr>
        <w:t>since the temperature daily maximum values, occurring around noon, are largely determined by the surface incoming solar radiation</w:t>
      </w:r>
      <w:r w:rsidRPr="00BB63BD">
        <w:rPr>
          <w:sz w:val="16"/>
        </w:rPr>
        <w:t xml:space="preserve">, especially in cloudless skies (Wild 2009). Indeed, this is confirmed in Fig. 1b, which shows larger correlation coefficients between SSR and </w:t>
      </w:r>
      <w:proofErr w:type="spellStart"/>
      <w:r w:rsidRPr="00BB63BD">
        <w:rPr>
          <w:sz w:val="16"/>
        </w:rPr>
        <w:t>Tmax</w:t>
      </w:r>
      <w:proofErr w:type="spellEnd"/>
      <w:r w:rsidRPr="00BB63BD">
        <w:rPr>
          <w:sz w:val="16"/>
        </w:rPr>
        <w:t xml:space="preserve"> than between SSR and </w:t>
      </w:r>
      <w:proofErr w:type="spellStart"/>
      <w:r w:rsidRPr="00BB63BD">
        <w:rPr>
          <w:sz w:val="16"/>
        </w:rPr>
        <w:t>Tmean</w:t>
      </w:r>
      <w:proofErr w:type="spellEnd"/>
      <w:r w:rsidRPr="00BB63BD">
        <w:rPr>
          <w:sz w:val="16"/>
        </w:rPr>
        <w:t xml:space="preserve">. Now, the regions that already had high correlation coefficients with </w:t>
      </w:r>
      <w:proofErr w:type="spellStart"/>
      <w:r w:rsidRPr="00BB63BD">
        <w:rPr>
          <w:sz w:val="16"/>
        </w:rPr>
        <w:t>Tmean</w:t>
      </w:r>
      <w:proofErr w:type="spellEnd"/>
      <w:r w:rsidRPr="00BB63BD">
        <w:rPr>
          <w:sz w:val="16"/>
        </w:rPr>
        <w:t xml:space="preserve"> show even higher coefficients with </w:t>
      </w:r>
      <w:proofErr w:type="spellStart"/>
      <w:r w:rsidRPr="00BB63BD">
        <w:rPr>
          <w:sz w:val="16"/>
        </w:rPr>
        <w:t>Tmax</w:t>
      </w:r>
      <w:proofErr w:type="spellEnd"/>
      <w:r w:rsidRPr="00BB63BD">
        <w:rPr>
          <w:sz w:val="16"/>
        </w:rPr>
        <w:t xml:space="preserve">, with values reaching 0.78, again being larger over land than over ocean. </w:t>
      </w:r>
      <w:r w:rsidRPr="005F7F98">
        <w:rPr>
          <w:u w:val="single"/>
        </w:rPr>
        <w:t>Yet still a slight negative correlation remains over the polar regions and the Sahara.</w:t>
      </w:r>
      <w:r w:rsidRPr="00BB63BD">
        <w:rPr>
          <w:sz w:val="16"/>
        </w:rPr>
        <w:t xml:space="preserve"> The r values between SSR and </w:t>
      </w:r>
      <w:proofErr w:type="spellStart"/>
      <w:r w:rsidRPr="00BB63BD">
        <w:rPr>
          <w:sz w:val="16"/>
        </w:rPr>
        <w:t>Tmin</w:t>
      </w:r>
      <w:proofErr w:type="spellEnd"/>
      <w:r w:rsidRPr="00BB63BD">
        <w:rPr>
          <w:sz w:val="16"/>
        </w:rPr>
        <w:t xml:space="preserve"> generally remain the lowest in Fig. 1, which has to do with the fact that the daily minimum temperature, practically occurring during the night, is determined by the emitted thermal radiation by the Earth’s surface and the associated longwave radiative cooling and not by solar radiation (Campbell and VonderHaar 1997; Makowski et al. 2008; Wild et al. 2007). </w:t>
      </w:r>
      <w:r w:rsidRPr="00BB63BD">
        <w:rPr>
          <w:sz w:val="12"/>
          <w:szCs w:val="18"/>
        </w:rPr>
        <w:t xml:space="preserve">The strongest correlation is found between SSR and DTR, but this is valid over land, whereas over the oceans the corresponding r values are either smaller in magnitude when positive or larger in magnitude when negative, i.e. they are worse than r values for the SSR and </w:t>
      </w:r>
      <w:proofErr w:type="spellStart"/>
      <w:r w:rsidRPr="00BB63BD">
        <w:rPr>
          <w:sz w:val="12"/>
          <w:szCs w:val="18"/>
        </w:rPr>
        <w:t>Tmax</w:t>
      </w:r>
      <w:proofErr w:type="spellEnd"/>
      <w:r w:rsidRPr="00BB63BD">
        <w:rPr>
          <w:sz w:val="12"/>
          <w:szCs w:val="18"/>
        </w:rPr>
        <w:t xml:space="preserve"> and the SSR and </w:t>
      </w:r>
      <w:proofErr w:type="spellStart"/>
      <w:r w:rsidRPr="00BB63BD">
        <w:rPr>
          <w:sz w:val="12"/>
          <w:szCs w:val="18"/>
        </w:rPr>
        <w:t>Tmin</w:t>
      </w:r>
      <w:proofErr w:type="spellEnd"/>
      <w:r w:rsidRPr="00BB63BD">
        <w:rPr>
          <w:sz w:val="12"/>
          <w:szCs w:val="18"/>
        </w:rPr>
        <w:t xml:space="preserve"> pairs. This can be expected, since the sea surface temperature and the temperature near over the sea change much less over the course of </w:t>
      </w:r>
      <w:proofErr w:type="gramStart"/>
      <w:r w:rsidRPr="00BB63BD">
        <w:rPr>
          <w:sz w:val="12"/>
          <w:szCs w:val="18"/>
        </w:rPr>
        <w:t>a day</w:t>
      </w:r>
      <w:proofErr w:type="gramEnd"/>
      <w:r w:rsidRPr="00BB63BD">
        <w:rPr>
          <w:sz w:val="12"/>
          <w:szCs w:val="18"/>
        </w:rPr>
        <w:t xml:space="preserve"> than over land. Hence, the correlation coefficients between SSR and DTR range between -0.84 and 0.88, reaching larger values for positive correlation over land and negative correlation over ocean. This confirms that DTR is a good proxy of the interannual change of SSR over land, </w:t>
      </w:r>
      <w:proofErr w:type="gramStart"/>
      <w:r w:rsidRPr="00BB63BD">
        <w:rPr>
          <w:sz w:val="12"/>
          <w:szCs w:val="18"/>
        </w:rPr>
        <w:t>as it</w:t>
      </w:r>
      <w:proofErr w:type="gramEnd"/>
      <w:r w:rsidRPr="00BB63BD">
        <w:rPr>
          <w:sz w:val="12"/>
          <w:szCs w:val="18"/>
        </w:rPr>
        <w:t xml:space="preserve"> is expected, since the subtraction of </w:t>
      </w:r>
      <w:proofErr w:type="spellStart"/>
      <w:r w:rsidRPr="00BB63BD">
        <w:rPr>
          <w:sz w:val="12"/>
          <w:szCs w:val="18"/>
        </w:rPr>
        <w:t>Tmin</w:t>
      </w:r>
      <w:proofErr w:type="spellEnd"/>
      <w:r w:rsidRPr="00BB63BD">
        <w:rPr>
          <w:sz w:val="12"/>
          <w:szCs w:val="18"/>
        </w:rPr>
        <w:t xml:space="preserve"> from </w:t>
      </w:r>
      <w:proofErr w:type="spellStart"/>
      <w:proofErr w:type="gramStart"/>
      <w:r w:rsidRPr="00BB63BD">
        <w:rPr>
          <w:sz w:val="12"/>
          <w:szCs w:val="18"/>
        </w:rPr>
        <w:t>Tmax</w:t>
      </w:r>
      <w:proofErr w:type="spellEnd"/>
      <w:r w:rsidRPr="00BB63BD">
        <w:rPr>
          <w:sz w:val="12"/>
          <w:szCs w:val="18"/>
        </w:rPr>
        <w:t>,</w:t>
      </w:r>
      <w:proofErr w:type="gramEnd"/>
      <w:r w:rsidRPr="00BB63BD">
        <w:rPr>
          <w:sz w:val="12"/>
          <w:szCs w:val="18"/>
        </w:rPr>
        <w:t xml:space="preserve"> minimizes the thermal effects </w:t>
      </w:r>
      <w:proofErr w:type="spellStart"/>
      <w:proofErr w:type="gramStart"/>
      <w:r w:rsidRPr="00BB63BD">
        <w:rPr>
          <w:sz w:val="12"/>
          <w:szCs w:val="18"/>
        </w:rPr>
        <w:t>inthe</w:t>
      </w:r>
      <w:proofErr w:type="spellEnd"/>
      <w:proofErr w:type="gramEnd"/>
      <w:r w:rsidRPr="00BB63BD">
        <w:rPr>
          <w:sz w:val="12"/>
          <w:szCs w:val="18"/>
        </w:rPr>
        <w:t xml:space="preserve"> DTR records (Wild et al. 2007; Wild 2009). The stronger negative correlation between SSR and DTR over oceans should be attributed either to the larger thermal inertia of oceans compared to land as well as to the different meteorological conditions that prevail over them. The larger thermal inertia of oceans means that they respond more slowly to changes in solar radiation, as the heat absorbed during the day is released more gradually over time. Besides, evaporation from the ocean surface absorbs a significant amount of solar energy, leading to cooling. This latent heat flux can act as a buffer, dampening the direct impact of solar radiation on surface temperature over oceans (</w:t>
      </w:r>
      <w:proofErr w:type="spellStart"/>
      <w:r w:rsidRPr="00BB63BD">
        <w:rPr>
          <w:sz w:val="12"/>
          <w:szCs w:val="18"/>
        </w:rPr>
        <w:t>Hastenrath</w:t>
      </w:r>
      <w:proofErr w:type="spellEnd"/>
      <w:r w:rsidRPr="00BB63BD">
        <w:rPr>
          <w:sz w:val="12"/>
          <w:szCs w:val="18"/>
        </w:rPr>
        <w:t xml:space="preserve"> 1991). There is a noticeable strong anticorrelation between SSR and surface temperatures (</w:t>
      </w:r>
      <w:proofErr w:type="spellStart"/>
      <w:r w:rsidRPr="00BB63BD">
        <w:rPr>
          <w:sz w:val="12"/>
          <w:szCs w:val="18"/>
        </w:rPr>
        <w:t>Tmean</w:t>
      </w:r>
      <w:proofErr w:type="spellEnd"/>
      <w:r w:rsidRPr="00BB63BD">
        <w:rPr>
          <w:sz w:val="12"/>
          <w:szCs w:val="18"/>
        </w:rPr>
        <w:t xml:space="preserve">, </w:t>
      </w:r>
      <w:proofErr w:type="spellStart"/>
      <w:r w:rsidRPr="00BB63BD">
        <w:rPr>
          <w:sz w:val="12"/>
          <w:szCs w:val="18"/>
        </w:rPr>
        <w:t>Tmax</w:t>
      </w:r>
      <w:proofErr w:type="spellEnd"/>
      <w:r w:rsidRPr="00BB63BD">
        <w:rPr>
          <w:sz w:val="12"/>
          <w:szCs w:val="18"/>
        </w:rPr>
        <w:t xml:space="preserve">, </w:t>
      </w:r>
      <w:proofErr w:type="spellStart"/>
      <w:r w:rsidRPr="00BB63BD">
        <w:rPr>
          <w:sz w:val="12"/>
          <w:szCs w:val="18"/>
        </w:rPr>
        <w:t>Tmin</w:t>
      </w:r>
      <w:proofErr w:type="spellEnd"/>
      <w:r w:rsidRPr="00BB63BD">
        <w:rPr>
          <w:sz w:val="12"/>
          <w:szCs w:val="18"/>
        </w:rPr>
        <w:t xml:space="preserve"> and DTR) over the tropical oceans, which is even more evident for DTR (Fig. 1d). This can be explained by the intricate interplay of factors unique to tropical climates. The combination of high convective cloud activity, which limits the solar radiation impact, and the thermal dynamics associated with elevated temperatures and enhanced latent heat release can contribute to an anticorrelation between SSR and temperatures. Furthermore, the influence of phenomena like El Niño and the trade winds introduce additional complexities, altering atmospheric circulation patterns and intensifying the estimated negative correlation between solar radiation and DTR in tropical regions (</w:t>
      </w:r>
      <w:proofErr w:type="spellStart"/>
      <w:r w:rsidRPr="00BB63BD">
        <w:rPr>
          <w:sz w:val="12"/>
          <w:szCs w:val="18"/>
        </w:rPr>
        <w:t>Hastenrath</w:t>
      </w:r>
      <w:proofErr w:type="spellEnd"/>
      <w:r w:rsidRPr="00BB63BD">
        <w:rPr>
          <w:sz w:val="12"/>
          <w:szCs w:val="18"/>
        </w:rPr>
        <w:t xml:space="preserve"> 1991).</w:t>
      </w:r>
    </w:p>
    <w:p w14:paraId="16EDFC84" w14:textId="77777777" w:rsidR="006F2C07" w:rsidRPr="00BB63BD" w:rsidRDefault="006F2C07" w:rsidP="006F2C07">
      <w:pPr>
        <w:rPr>
          <w:u w:val="single"/>
        </w:rPr>
      </w:pPr>
      <w:r w:rsidRPr="00BB63BD">
        <w:rPr>
          <w:u w:val="single"/>
        </w:rPr>
        <w:t>In the next step, we investigated if there is a correlation between the long-term changes of SSR, namely the GDB, and the Earth’s surface temperatures,</w:t>
      </w:r>
      <w:r w:rsidRPr="00BB63BD">
        <w:rPr>
          <w:sz w:val="16"/>
        </w:rPr>
        <w:t xml:space="preserve"> but on a global average </w:t>
      </w:r>
      <w:proofErr w:type="spellStart"/>
      <w:r w:rsidRPr="00BB63BD">
        <w:rPr>
          <w:sz w:val="16"/>
        </w:rPr>
        <w:t>scaleand</w:t>
      </w:r>
      <w:proofErr w:type="spellEnd"/>
      <w:r w:rsidRPr="00BB63BD">
        <w:rPr>
          <w:sz w:val="16"/>
        </w:rPr>
        <w:t xml:space="preserve"> annual basis and the results are shown in Fig. </w:t>
      </w:r>
      <w:r w:rsidRPr="00BB63BD">
        <w:t>2</w:t>
      </w:r>
      <w:r w:rsidRPr="00BB63BD">
        <w:rPr>
          <w:sz w:val="16"/>
        </w:rPr>
        <w:t xml:space="preserve">. Different temporal changing patterns are observed between the time series of both SSR and temperatures over land and ocean as it is shown in detail in </w:t>
      </w:r>
      <w:r w:rsidRPr="00BB63BD">
        <w:rPr>
          <w:sz w:val="14"/>
        </w:rPr>
        <w:t>Table S1. More specifically, over land (Fig. 2a), in parallel to the brightening (0.58 [-5.74, 5.71] Wm</w:t>
      </w:r>
      <w:r w:rsidRPr="00BB63BD">
        <w:rPr>
          <w:sz w:val="14"/>
          <w:vertAlign w:val="superscript"/>
        </w:rPr>
        <w:t>-2</w:t>
      </w:r>
      <w:r w:rsidRPr="00BB63BD">
        <w:rPr>
          <w:sz w:val="14"/>
        </w:rPr>
        <w:t>decade</w:t>
      </w:r>
      <w:r w:rsidRPr="00BB63BD">
        <w:rPr>
          <w:sz w:val="14"/>
          <w:vertAlign w:val="superscript"/>
        </w:rPr>
        <w:t>-1</w:t>
      </w:r>
      <w:r w:rsidRPr="00BB63BD">
        <w:rPr>
          <w:sz w:val="14"/>
        </w:rPr>
        <w:t xml:space="preserve">) occurring from 1984 to 1999 there is a corresponding accelerated rate of land warming, with the changes of </w:t>
      </w:r>
      <w:proofErr w:type="spellStart"/>
      <w:r w:rsidRPr="00BB63BD">
        <w:rPr>
          <w:sz w:val="14"/>
        </w:rPr>
        <w:t>T</w:t>
      </w:r>
      <w:r w:rsidRPr="00BB63BD">
        <w:rPr>
          <w:sz w:val="14"/>
          <w:vertAlign w:val="subscript"/>
        </w:rPr>
        <w:t>mean</w:t>
      </w:r>
      <w:proofErr w:type="spellEnd"/>
      <w:r w:rsidRPr="00BB63BD">
        <w:rPr>
          <w:sz w:val="14"/>
        </w:rPr>
        <w:t xml:space="preserve">, </w:t>
      </w:r>
      <w:proofErr w:type="spellStart"/>
      <w:r w:rsidRPr="00BB63BD">
        <w:rPr>
          <w:sz w:val="14"/>
        </w:rPr>
        <w:t>T</w:t>
      </w:r>
      <w:r w:rsidRPr="00BB63BD">
        <w:rPr>
          <w:sz w:val="14"/>
          <w:vertAlign w:val="subscript"/>
        </w:rPr>
        <w:t>max</w:t>
      </w:r>
      <w:proofErr w:type="spellEnd"/>
      <w:r w:rsidRPr="00BB63BD">
        <w:rPr>
          <w:sz w:val="14"/>
        </w:rPr>
        <w:t xml:space="preserve"> and </w:t>
      </w:r>
      <w:proofErr w:type="spellStart"/>
      <w:r w:rsidRPr="00BB63BD">
        <w:rPr>
          <w:sz w:val="14"/>
        </w:rPr>
        <w:t>T</w:t>
      </w:r>
      <w:r w:rsidRPr="00BB63BD">
        <w:rPr>
          <w:sz w:val="14"/>
          <w:vertAlign w:val="subscript"/>
        </w:rPr>
        <w:t>min</w:t>
      </w:r>
      <w:proofErr w:type="spellEnd"/>
      <w:r w:rsidRPr="00BB63BD">
        <w:rPr>
          <w:sz w:val="14"/>
        </w:rPr>
        <w:t> being equal to 0.37 [0.12, 0.63], 0.37 [0.11, 0.68] and 0.35 [0.11, 0.63] </w:t>
      </w:r>
      <w:r w:rsidRPr="00BB63BD">
        <w:rPr>
          <w:sz w:val="14"/>
          <w:vertAlign w:val="superscript"/>
        </w:rPr>
        <w:t>o</w:t>
      </w:r>
      <w:r w:rsidRPr="00BB63BD">
        <w:rPr>
          <w:sz w:val="14"/>
        </w:rPr>
        <w:t>Cdecade</w:t>
      </w:r>
      <w:r w:rsidRPr="00BB63BD">
        <w:rPr>
          <w:sz w:val="14"/>
          <w:vertAlign w:val="superscript"/>
        </w:rPr>
        <w:t>-1</w:t>
      </w:r>
      <w:r w:rsidRPr="00BB63BD">
        <w:rPr>
          <w:sz w:val="14"/>
        </w:rPr>
        <w:t>, respectively. On the contrary, when the brightening over land ceased during 2000-2009 and GDB shifted to a slight dimming (-0.02 [-3.56, 2.35] Wm</w:t>
      </w:r>
      <w:r w:rsidRPr="00BB63BD">
        <w:rPr>
          <w:sz w:val="14"/>
          <w:vertAlign w:val="superscript"/>
        </w:rPr>
        <w:t>-2</w:t>
      </w:r>
      <w:r w:rsidRPr="00BB63BD">
        <w:rPr>
          <w:sz w:val="14"/>
        </w:rPr>
        <w:t>decade</w:t>
      </w:r>
      <w:r w:rsidRPr="00BB63BD">
        <w:rPr>
          <w:sz w:val="14"/>
          <w:vertAlign w:val="superscript"/>
        </w:rPr>
        <w:t>-1</w:t>
      </w:r>
      <w:r w:rsidRPr="00BB63BD">
        <w:rPr>
          <w:sz w:val="14"/>
        </w:rPr>
        <w:t>), the land warming slowed down, actually at least halved to 0.19 [-0.45, 0.65], 0.26 [-0.38, 0.74] and 0.11 [-0.32, 0.65] </w:t>
      </w:r>
      <w:r w:rsidRPr="00BB63BD">
        <w:rPr>
          <w:sz w:val="14"/>
          <w:vertAlign w:val="superscript"/>
        </w:rPr>
        <w:t>o</w:t>
      </w:r>
      <w:r w:rsidRPr="00BB63BD">
        <w:rPr>
          <w:sz w:val="14"/>
        </w:rPr>
        <w:t>Cdecade</w:t>
      </w:r>
      <w:r w:rsidRPr="00BB63BD">
        <w:rPr>
          <w:sz w:val="14"/>
          <w:vertAlign w:val="superscript"/>
        </w:rPr>
        <w:t>-1</w:t>
      </w:r>
      <w:r w:rsidRPr="00BB63BD">
        <w:rPr>
          <w:sz w:val="14"/>
        </w:rPr>
        <w:t xml:space="preserve"> for </w:t>
      </w:r>
      <w:proofErr w:type="spellStart"/>
      <w:r w:rsidRPr="00BB63BD">
        <w:rPr>
          <w:sz w:val="14"/>
        </w:rPr>
        <w:t>T</w:t>
      </w:r>
      <w:r w:rsidRPr="00BB63BD">
        <w:rPr>
          <w:sz w:val="14"/>
          <w:vertAlign w:val="subscript"/>
        </w:rPr>
        <w:t>mean</w:t>
      </w:r>
      <w:proofErr w:type="spellEnd"/>
      <w:r w:rsidRPr="00BB63BD">
        <w:rPr>
          <w:sz w:val="14"/>
        </w:rPr>
        <w:t xml:space="preserve">, </w:t>
      </w:r>
      <w:proofErr w:type="spellStart"/>
      <w:r w:rsidRPr="00BB63BD">
        <w:rPr>
          <w:sz w:val="14"/>
        </w:rPr>
        <w:t>T</w:t>
      </w:r>
      <w:r w:rsidRPr="00BB63BD">
        <w:rPr>
          <w:sz w:val="14"/>
          <w:vertAlign w:val="subscript"/>
        </w:rPr>
        <w:t>max</w:t>
      </w:r>
      <w:proofErr w:type="spellEnd"/>
      <w:r w:rsidRPr="00BB63BD">
        <w:rPr>
          <w:sz w:val="14"/>
        </w:rPr>
        <w:t xml:space="preserve"> and </w:t>
      </w:r>
      <w:proofErr w:type="spellStart"/>
      <w:r w:rsidRPr="00BB63BD">
        <w:rPr>
          <w:sz w:val="14"/>
        </w:rPr>
        <w:t>T</w:t>
      </w:r>
      <w:r w:rsidRPr="00BB63BD">
        <w:rPr>
          <w:sz w:val="14"/>
          <w:vertAlign w:val="subscript"/>
        </w:rPr>
        <w:t>min</w:t>
      </w:r>
      <w:proofErr w:type="spellEnd"/>
      <w:r w:rsidRPr="00BB63BD">
        <w:rPr>
          <w:sz w:val="14"/>
        </w:rPr>
        <w:t xml:space="preserve">, respectively, corresponding to the so-called recent hiatus (Douville et al. 2015; Gou et al. 2022; Xie and Kosaka 2017; Yan et al. 2016; Yang et al. 2023). This behavior is remarkable as similar findings were observed in the 1950-1980 dimming (Wang and Dickinson 2013; Wild et al. 2007) which preceded the brightening starting in the early </w:t>
      </w:r>
      <w:r w:rsidRPr="00BB63BD">
        <w:rPr>
          <w:sz w:val="16"/>
        </w:rPr>
        <w:t>1980s. Following the 2000’s slight dimming and recent hiatus, in the absence of dimming during the 2010s, the SSR increased producing a brightening of 7.47 [4.93, 11.18] Wm</w:t>
      </w:r>
      <w:r w:rsidRPr="00BB63BD">
        <w:rPr>
          <w:sz w:val="16"/>
          <w:vertAlign w:val="superscript"/>
        </w:rPr>
        <w:t>-2</w:t>
      </w:r>
      <w:r w:rsidRPr="00BB63BD">
        <w:rPr>
          <w:sz w:val="16"/>
        </w:rPr>
        <w:t>decade</w:t>
      </w:r>
      <w:r w:rsidRPr="00BB63BD">
        <w:rPr>
          <w:sz w:val="16"/>
          <w:vertAlign w:val="superscript"/>
        </w:rPr>
        <w:t>-1</w:t>
      </w:r>
      <w:r w:rsidRPr="00BB63BD">
        <w:rPr>
          <w:sz w:val="16"/>
        </w:rPr>
        <w:t xml:space="preserve"> (note that this high value is </w:t>
      </w:r>
      <w:proofErr w:type="spellStart"/>
      <w:r w:rsidRPr="00BB63BD">
        <w:rPr>
          <w:sz w:val="16"/>
        </w:rPr>
        <w:t>associatedwith</w:t>
      </w:r>
      <w:proofErr w:type="spellEnd"/>
      <w:r w:rsidRPr="00BB63BD">
        <w:rPr>
          <w:sz w:val="16"/>
        </w:rPr>
        <w:t xml:space="preserve"> the negative 2012 anomaly of -1.65 Wm</w:t>
      </w:r>
      <w:r w:rsidRPr="00BB63BD">
        <w:rPr>
          <w:sz w:val="16"/>
          <w:vertAlign w:val="superscript"/>
        </w:rPr>
        <w:t>-2</w:t>
      </w:r>
      <w:r w:rsidRPr="00BB63BD">
        <w:rPr>
          <w:sz w:val="16"/>
        </w:rPr>
        <w:t> and the large 2017 and 2018 anomalies both 3.44 Wm</w:t>
      </w:r>
      <w:r w:rsidRPr="00BB63BD">
        <w:rPr>
          <w:sz w:val="16"/>
          <w:vertAlign w:val="superscript"/>
        </w:rPr>
        <w:t>-2</w:t>
      </w:r>
      <w:r w:rsidRPr="00BB63BD">
        <w:rPr>
          <w:sz w:val="16"/>
        </w:rPr>
        <w:t> and 5.72 Wm</w:t>
      </w:r>
      <w:r w:rsidRPr="00BB63BD">
        <w:rPr>
          <w:sz w:val="16"/>
          <w:vertAlign w:val="superscript"/>
        </w:rPr>
        <w:t>-2</w:t>
      </w:r>
      <w:r w:rsidRPr="00BB63BD">
        <w:rPr>
          <w:sz w:val="16"/>
        </w:rPr>
        <w:t xml:space="preserve">, respectively), while the land warming continued its accelerating pace, with the </w:t>
      </w:r>
      <w:proofErr w:type="spellStart"/>
      <w:r w:rsidRPr="00BB63BD">
        <w:rPr>
          <w:sz w:val="16"/>
        </w:rPr>
        <w:t>T</w:t>
      </w:r>
      <w:r w:rsidRPr="00BB63BD">
        <w:rPr>
          <w:sz w:val="16"/>
          <w:vertAlign w:val="subscript"/>
        </w:rPr>
        <w:t>mean</w:t>
      </w:r>
      <w:proofErr w:type="spellEnd"/>
      <w:r w:rsidRPr="00BB63BD">
        <w:rPr>
          <w:sz w:val="16"/>
        </w:rPr>
        <w:t> increasing by 0.45 [-0.29, 1.22] </w:t>
      </w:r>
      <w:r w:rsidRPr="00BB63BD">
        <w:rPr>
          <w:sz w:val="16"/>
          <w:vertAlign w:val="superscript"/>
        </w:rPr>
        <w:t>o</w:t>
      </w:r>
      <w:r w:rsidRPr="00BB63BD">
        <w:rPr>
          <w:sz w:val="16"/>
        </w:rPr>
        <w:t>Cdecade</w:t>
      </w:r>
      <w:r w:rsidRPr="00BB63BD">
        <w:rPr>
          <w:sz w:val="16"/>
          <w:vertAlign w:val="superscript"/>
        </w:rPr>
        <w:t>-1</w:t>
      </w:r>
      <w:r w:rsidRPr="00BB63BD">
        <w:rPr>
          <w:u w:val="single"/>
        </w:rPr>
        <w:t>. Thus, our findings reinforce the hypothesis that a solar dimming is accompanied by a decelerated warming of global land areas, while the brightening is associated with an accelerated global warming.</w:t>
      </w:r>
      <w:r w:rsidRPr="00BB63BD">
        <w:rPr>
          <w:sz w:val="16"/>
        </w:rPr>
        <w:t xml:space="preserve"> It should be noted that in contrast to the clear increase in temperatures (</w:t>
      </w:r>
      <w:proofErr w:type="spellStart"/>
      <w:r w:rsidRPr="00BB63BD">
        <w:rPr>
          <w:sz w:val="16"/>
        </w:rPr>
        <w:t>T</w:t>
      </w:r>
      <w:r w:rsidRPr="00BB63BD">
        <w:rPr>
          <w:sz w:val="16"/>
          <w:vertAlign w:val="subscript"/>
        </w:rPr>
        <w:t>mean</w:t>
      </w:r>
      <w:proofErr w:type="spellEnd"/>
      <w:r w:rsidRPr="00BB63BD">
        <w:rPr>
          <w:sz w:val="16"/>
        </w:rPr>
        <w:t xml:space="preserve">, </w:t>
      </w:r>
      <w:proofErr w:type="spellStart"/>
      <w:r w:rsidRPr="00BB63BD">
        <w:rPr>
          <w:sz w:val="16"/>
        </w:rPr>
        <w:t>T</w:t>
      </w:r>
      <w:r w:rsidRPr="00BB63BD">
        <w:rPr>
          <w:sz w:val="16"/>
          <w:vertAlign w:val="subscript"/>
        </w:rPr>
        <w:t>max</w:t>
      </w:r>
      <w:proofErr w:type="spellEnd"/>
      <w:r w:rsidRPr="00BB63BD">
        <w:rPr>
          <w:sz w:val="16"/>
        </w:rPr>
        <w:t xml:space="preserve">, </w:t>
      </w:r>
      <w:proofErr w:type="spellStart"/>
      <w:r w:rsidRPr="00BB63BD">
        <w:rPr>
          <w:sz w:val="16"/>
        </w:rPr>
        <w:t>T</w:t>
      </w:r>
      <w:r w:rsidRPr="00BB63BD">
        <w:rPr>
          <w:sz w:val="16"/>
          <w:vertAlign w:val="subscript"/>
        </w:rPr>
        <w:t>min</w:t>
      </w:r>
      <w:proofErr w:type="spellEnd"/>
      <w:r w:rsidRPr="00BB63BD">
        <w:rPr>
          <w:sz w:val="16"/>
        </w:rPr>
        <w:t>) over the entire 35-year study period, the DTR does not show a noticeable change, but only a small increase equal to 0.06 [0.05, 0.08] </w:t>
      </w:r>
      <w:r w:rsidRPr="00BB63BD">
        <w:rPr>
          <w:sz w:val="16"/>
          <w:vertAlign w:val="superscript"/>
        </w:rPr>
        <w:t>o</w:t>
      </w:r>
      <w:r w:rsidRPr="00BB63BD">
        <w:rPr>
          <w:sz w:val="16"/>
        </w:rPr>
        <w:t>Cdecade</w:t>
      </w:r>
      <w:r w:rsidRPr="00BB63BD">
        <w:rPr>
          <w:sz w:val="16"/>
          <w:vertAlign w:val="superscript"/>
        </w:rPr>
        <w:t>-1</w:t>
      </w:r>
      <w:r w:rsidRPr="00BB63BD">
        <w:rPr>
          <w:sz w:val="16"/>
        </w:rPr>
        <w:t>, which is qualitatively consistent with the overall increase of SSR (1.79 [0.58, 3.21] Wm</w:t>
      </w:r>
      <w:r w:rsidRPr="00BB63BD">
        <w:rPr>
          <w:sz w:val="16"/>
          <w:vertAlign w:val="superscript"/>
        </w:rPr>
        <w:t>-2</w:t>
      </w:r>
      <w:r w:rsidRPr="00BB63BD">
        <w:rPr>
          <w:sz w:val="16"/>
        </w:rPr>
        <w:t>decade</w:t>
      </w:r>
      <w:r w:rsidRPr="00BB63BD">
        <w:rPr>
          <w:sz w:val="16"/>
          <w:vertAlign w:val="superscript"/>
        </w:rPr>
        <w:t>-1</w:t>
      </w:r>
      <w:r w:rsidRPr="00BB63BD">
        <w:rPr>
          <w:sz w:val="16"/>
        </w:rPr>
        <w:t>) over the entire study period of 1984-2018. Furthermore, the interdecadal changes of DTR, which are clearly smaller than those of the other surface temperature variables, do not seem to be in line with the phases of GDB. On the other hand, the interdecadal changes show a bit different behavior over oceans. The temperature appears to have undergone a much smaller increase compared to over land, 0.54 [0.43, 0.66] versus 1.19 [0.97, 1.39] </w:t>
      </w:r>
      <w:proofErr w:type="spellStart"/>
      <w:r w:rsidRPr="00BB63BD">
        <w:rPr>
          <w:sz w:val="16"/>
          <w:vertAlign w:val="superscript"/>
        </w:rPr>
        <w:t>o</w:t>
      </w:r>
      <w:r w:rsidRPr="00BB63BD">
        <w:rPr>
          <w:sz w:val="16"/>
        </w:rPr>
        <w:t>C</w:t>
      </w:r>
      <w:proofErr w:type="spellEnd"/>
      <w:r w:rsidRPr="00BB63BD">
        <w:rPr>
          <w:sz w:val="16"/>
        </w:rPr>
        <w:t>, respectively for the entire time period 1984-2018, while it appears to be increasing continuously (0.15 [0.12, 0.19] </w:t>
      </w:r>
      <w:r w:rsidRPr="00BB63BD">
        <w:rPr>
          <w:sz w:val="16"/>
          <w:vertAlign w:val="superscript"/>
        </w:rPr>
        <w:t>o</w:t>
      </w:r>
      <w:r w:rsidRPr="00BB63BD">
        <w:rPr>
          <w:sz w:val="16"/>
        </w:rPr>
        <w:t>Cdecade</w:t>
      </w:r>
      <w:r w:rsidRPr="00BB63BD">
        <w:rPr>
          <w:sz w:val="16"/>
          <w:vertAlign w:val="superscript"/>
        </w:rPr>
        <w:t>-1</w:t>
      </w:r>
      <w:r w:rsidRPr="00BB63BD">
        <w:rPr>
          <w:sz w:val="16"/>
        </w:rPr>
        <w:t xml:space="preserve"> for </w:t>
      </w:r>
      <w:proofErr w:type="spellStart"/>
      <w:r w:rsidRPr="00BB63BD">
        <w:rPr>
          <w:sz w:val="16"/>
        </w:rPr>
        <w:t>T</w:t>
      </w:r>
      <w:r w:rsidRPr="00BB63BD">
        <w:rPr>
          <w:sz w:val="16"/>
          <w:vertAlign w:val="subscript"/>
        </w:rPr>
        <w:t>mean</w:t>
      </w:r>
      <w:proofErr w:type="spellEnd"/>
      <w:r w:rsidRPr="00BB63BD">
        <w:rPr>
          <w:sz w:val="16"/>
        </w:rPr>
        <w:t xml:space="preserve">, </w:t>
      </w:r>
      <w:proofErr w:type="spellStart"/>
      <w:r w:rsidRPr="00BB63BD">
        <w:rPr>
          <w:sz w:val="16"/>
        </w:rPr>
        <w:t>T</w:t>
      </w:r>
      <w:r w:rsidRPr="00BB63BD">
        <w:rPr>
          <w:sz w:val="16"/>
          <w:vertAlign w:val="subscript"/>
        </w:rPr>
        <w:t>max</w:t>
      </w:r>
      <w:proofErr w:type="spellEnd"/>
      <w:r w:rsidRPr="00BB63BD">
        <w:rPr>
          <w:sz w:val="16"/>
        </w:rPr>
        <w:t xml:space="preserve">, </w:t>
      </w:r>
      <w:proofErr w:type="spellStart"/>
      <w:r w:rsidRPr="00BB63BD">
        <w:rPr>
          <w:sz w:val="16"/>
        </w:rPr>
        <w:t>T</w:t>
      </w:r>
      <w:r w:rsidRPr="00BB63BD">
        <w:rPr>
          <w:sz w:val="16"/>
          <w:vertAlign w:val="subscript"/>
        </w:rPr>
        <w:t>min</w:t>
      </w:r>
      <w:proofErr w:type="spellEnd"/>
      <w:r w:rsidRPr="00BB63BD">
        <w:rPr>
          <w:sz w:val="16"/>
        </w:rPr>
        <w:t> and 0.005 [0.0002, 0.01] </w:t>
      </w:r>
      <w:r w:rsidRPr="00BB63BD">
        <w:rPr>
          <w:sz w:val="16"/>
          <w:vertAlign w:val="superscript"/>
        </w:rPr>
        <w:t>o</w:t>
      </w:r>
      <w:r w:rsidRPr="00BB63BD">
        <w:rPr>
          <w:sz w:val="16"/>
        </w:rPr>
        <w:t>Cdecade</w:t>
      </w:r>
      <w:r w:rsidRPr="00BB63BD">
        <w:rPr>
          <w:sz w:val="16"/>
          <w:vertAlign w:val="superscript"/>
        </w:rPr>
        <w:t>-1</w:t>
      </w:r>
      <w:r w:rsidRPr="00BB63BD">
        <w:rPr>
          <w:sz w:val="16"/>
        </w:rPr>
        <w:t> for DTR) despite the decreasing SSR during the study period. Note that although during the 2000s the dimming is stronger over the oceans than land areas (-0.35 [-7.19, 3.04] versus -0.02 [-3.56, 2.35] Wm</w:t>
      </w:r>
      <w:r w:rsidRPr="00BB63BD">
        <w:rPr>
          <w:sz w:val="16"/>
          <w:vertAlign w:val="superscript"/>
        </w:rPr>
        <w:t>-2</w:t>
      </w:r>
      <w:r w:rsidRPr="00BB63BD">
        <w:rPr>
          <w:sz w:val="16"/>
        </w:rPr>
        <w:t>decade</w:t>
      </w:r>
      <w:r w:rsidRPr="00BB63BD">
        <w:rPr>
          <w:sz w:val="16"/>
          <w:vertAlign w:val="superscript"/>
        </w:rPr>
        <w:t>-1</w:t>
      </w:r>
      <w:r w:rsidRPr="00BB63BD">
        <w:rPr>
          <w:sz w:val="16"/>
        </w:rPr>
        <w:t>), the decelerated rate of the warming, in comparison to the rate of the 1990s</w:t>
      </w:r>
      <w:r w:rsidRPr="00BB63BD">
        <w:rPr>
          <w:u w:val="single"/>
        </w:rPr>
        <w:t>, is more apparent over the land than the ocean (maybe also related to the higher heat capacity and associated inertia of the oceans), indicating a stronger link of GDB with the global warming rate over land areas that over oceans.</w:t>
      </w:r>
    </w:p>
    <w:p w14:paraId="42FD0A34" w14:textId="77777777" w:rsidR="006F2C07" w:rsidRPr="00BB63BD" w:rsidRDefault="006F2C07" w:rsidP="006F2C07">
      <w:pPr>
        <w:rPr>
          <w:sz w:val="16"/>
        </w:rPr>
      </w:pPr>
      <w:r w:rsidRPr="00BB63BD">
        <w:rPr>
          <w:sz w:val="16"/>
        </w:rPr>
        <w:t>The same analysis was performed for the Northern and Southern Hemispheres, both over land and oceans (Fig. </w:t>
      </w:r>
      <w:r w:rsidRPr="00BB63BD">
        <w:t>3</w:t>
      </w:r>
      <w:r w:rsidRPr="00BB63BD">
        <w:rPr>
          <w:sz w:val="16"/>
        </w:rPr>
        <w:t xml:space="preserve">). </w:t>
      </w:r>
      <w:r w:rsidRPr="00BB63BD">
        <w:rPr>
          <w:u w:val="single"/>
        </w:rPr>
        <w:t>The warming is larger for the NH than SH,</w:t>
      </w:r>
      <w:r w:rsidRPr="00BB63BD">
        <w:rPr>
          <w:sz w:val="16"/>
        </w:rPr>
        <w:t xml:space="preserve"> being equal to 0.31 [0.26, 0.35] and 0.11 [0.08, 0.15] </w:t>
      </w:r>
      <w:r w:rsidRPr="00BB63BD">
        <w:rPr>
          <w:sz w:val="16"/>
          <w:vertAlign w:val="superscript"/>
        </w:rPr>
        <w:t>o</w:t>
      </w:r>
      <w:r w:rsidRPr="00BB63BD">
        <w:rPr>
          <w:sz w:val="16"/>
        </w:rPr>
        <w:t>Cdecade</w:t>
      </w:r>
      <w:r w:rsidRPr="00BB63BD">
        <w:rPr>
          <w:sz w:val="16"/>
          <w:vertAlign w:val="superscript"/>
        </w:rPr>
        <w:t>-1</w:t>
      </w:r>
      <w:r w:rsidRPr="00BB63BD">
        <w:rPr>
          <w:sz w:val="16"/>
        </w:rPr>
        <w:t>, respectively. In addition, this warming is stronger over land than oceans in both hemispheres with the largest rate of warming occurring over land in the NH (0.40 [0.32, 0.48] </w:t>
      </w:r>
      <w:r w:rsidRPr="00BB63BD">
        <w:rPr>
          <w:sz w:val="16"/>
          <w:vertAlign w:val="superscript"/>
        </w:rPr>
        <w:t>o</w:t>
      </w:r>
      <w:r w:rsidRPr="00BB63BD">
        <w:rPr>
          <w:sz w:val="16"/>
        </w:rPr>
        <w:t>Cdecade</w:t>
      </w:r>
      <w:r w:rsidRPr="00BB63BD">
        <w:rPr>
          <w:sz w:val="16"/>
          <w:vertAlign w:val="superscript"/>
        </w:rPr>
        <w:t>-1</w:t>
      </w:r>
      <w:r w:rsidRPr="00BB63BD">
        <w:rPr>
          <w:sz w:val="16"/>
        </w:rPr>
        <w:t xml:space="preserve">). </w:t>
      </w:r>
      <w:r w:rsidRPr="00BB63BD">
        <w:rPr>
          <w:u w:val="single"/>
        </w:rPr>
        <w:t>With respect to the GDB, the NH experienced a brightening equal to 0.60</w:t>
      </w:r>
      <w:r w:rsidRPr="00BB63BD">
        <w:rPr>
          <w:sz w:val="16"/>
        </w:rPr>
        <w:t xml:space="preserve"> [0.05, 1.20] Wm</w:t>
      </w:r>
      <w:r w:rsidRPr="00BB63BD">
        <w:rPr>
          <w:sz w:val="16"/>
          <w:vertAlign w:val="superscript"/>
        </w:rPr>
        <w:t>-2</w:t>
      </w:r>
      <w:r w:rsidRPr="00BB63BD">
        <w:rPr>
          <w:sz w:val="16"/>
        </w:rPr>
        <w:t>decade</w:t>
      </w:r>
      <w:r w:rsidRPr="00BB63BD">
        <w:rPr>
          <w:sz w:val="16"/>
          <w:vertAlign w:val="superscript"/>
        </w:rPr>
        <w:t>-1</w:t>
      </w:r>
      <w:r w:rsidRPr="00BB63BD">
        <w:rPr>
          <w:sz w:val="16"/>
        </w:rPr>
        <w:t> during the study period, which arose mainly from land, while the SH underwent a dimming that mainly occurs over the oceans. Moreover, Fig. </w:t>
      </w:r>
      <w:r w:rsidRPr="00BB63BD">
        <w:t>3</w:t>
      </w:r>
      <w:r w:rsidRPr="00BB63BD">
        <w:rPr>
          <w:sz w:val="16"/>
        </w:rPr>
        <w:t> reveals that during the 2000s the warming rate slowed down with respect to the period 1984-99 on the NH, which is not evident on the SH, although the 2000s dimming seems to be stronger on the SH. This is rather expected since during the 2000s dimming over land, the decelerated rate of the warming is more apparent than over the ocean as Fig. </w:t>
      </w:r>
      <w:r w:rsidRPr="00BB63BD">
        <w:t>2</w:t>
      </w:r>
      <w:r w:rsidRPr="00BB63BD">
        <w:rPr>
          <w:sz w:val="16"/>
        </w:rPr>
        <w:t> shows, and the NH contains much more land areas than the SH. Also, the stronger dimming in the 2000s over NH land leads to a clearer slowdown of the warming rate than over SH land, which experiences a weak dimming, while oceans show an almost steadily increasing warming despite the GDB phases.</w:t>
      </w:r>
    </w:p>
    <w:p w14:paraId="007D33DA" w14:textId="77777777" w:rsidR="006F2C07" w:rsidRDefault="006F2C07" w:rsidP="006F2C07">
      <w:pPr>
        <w:pStyle w:val="Heading4"/>
      </w:pPr>
      <w:r>
        <w:t>Irreversible warming causes devastating climate scenarios and extinction</w:t>
      </w:r>
    </w:p>
    <w:p w14:paraId="5E3AE632" w14:textId="77777777" w:rsidR="006F2C07" w:rsidRPr="00F10E40" w:rsidRDefault="006F2C07" w:rsidP="006F2C07">
      <w:r w:rsidRPr="00763E40">
        <w:rPr>
          <w:rStyle w:val="Style13ptBold"/>
        </w:rPr>
        <w:t>Kemp et al 22</w:t>
      </w:r>
      <w:r>
        <w:t>---</w:t>
      </w:r>
      <w:r w:rsidRPr="00763E40">
        <w:rPr>
          <w:rFonts w:ascii="Open Sans" w:hAnsi="Open Sans" w:cs="Open Sans"/>
          <w:color w:val="707070"/>
          <w:sz w:val="18"/>
          <w:szCs w:val="18"/>
          <w:shd w:val="clear" w:color="auto" w:fill="FFFFFF"/>
        </w:rPr>
        <w:t xml:space="preserve"> </w:t>
      </w:r>
      <w:r w:rsidRPr="00763E40">
        <w:t>Lead researcher at The Centre for the Study of Existential Risk, and professor at the University of Cambridge, Cambridge</w:t>
      </w:r>
      <w:r>
        <w:t xml:space="preserve">. (Luke, </w:t>
      </w:r>
      <w:r w:rsidRPr="00763E40">
        <w:t>Chi Xu, Joanna Depledge, Kristie L. </w:t>
      </w:r>
      <w:r>
        <w:t>Ebi</w:t>
      </w:r>
      <w:r w:rsidRPr="00763E40">
        <w:t>, Goodwin Gibbins, Timothy A. Kohler</w:t>
      </w:r>
      <w:r>
        <w:t xml:space="preserve">, </w:t>
      </w:r>
      <w:r w:rsidRPr="00763E40">
        <w:t>Johan </w:t>
      </w:r>
      <w:proofErr w:type="spellStart"/>
      <w:r w:rsidRPr="00763E40">
        <w:t>Rockström</w:t>
      </w:r>
      <w:proofErr w:type="spellEnd"/>
      <w:r w:rsidRPr="00763E40">
        <w:t>, Marten Scheffer, Hans Joachim </w:t>
      </w:r>
      <w:proofErr w:type="spellStart"/>
      <w:r w:rsidRPr="00763E40">
        <w:t>Schellnhuber</w:t>
      </w:r>
      <w:proofErr w:type="spellEnd"/>
      <w:r w:rsidRPr="00763E40">
        <w:t>, Will Steffen, and Timothy M. Lenton</w:t>
      </w:r>
      <w:r>
        <w:t xml:space="preserve">; “Climate Endgame: Exploring catastrophic climate change scenarios”, Proceedings of the National Academy of Sciences of the United States of America, 8/1/22, </w:t>
      </w:r>
      <w:r w:rsidRPr="00763E40">
        <w:t>https://www.pnas.org/doi/full/10.1073/pnas.2108146119</w:t>
      </w:r>
      <w:r>
        <w:t xml:space="preserve">) </w:t>
      </w:r>
      <w:proofErr w:type="spellStart"/>
      <w:r>
        <w:t>sh</w:t>
      </w:r>
      <w:proofErr w:type="spellEnd"/>
    </w:p>
    <w:p w14:paraId="149DE841" w14:textId="77777777" w:rsidR="006F2C07" w:rsidRPr="00BE73AB" w:rsidRDefault="006F2C07" w:rsidP="006F2C07">
      <w:pPr>
        <w:rPr>
          <w:u w:val="single"/>
        </w:rPr>
      </w:pPr>
      <w:r w:rsidRPr="00F10E40">
        <w:rPr>
          <w:u w:val="single"/>
        </w:rPr>
        <w:t>Prudent risk management requires consideration of bad-to-worst-case scenarios.</w:t>
      </w:r>
      <w:r w:rsidRPr="00F10E40">
        <w:rPr>
          <w:sz w:val="16"/>
        </w:rPr>
        <w:t xml:space="preserve"> Yet, for climate change, such potential futures are poorly understood. Could anthropogenic </w:t>
      </w:r>
      <w:r w:rsidRPr="00F10E40">
        <w:rPr>
          <w:u w:val="single"/>
        </w:rPr>
        <w:t>climate change result in worldwide societal collapse or even eventual human extinction? At present, this is a dangerously underexplored topic. Yet there are ample reasons to suspect that climate change could result in a global catastrophe</w:t>
      </w:r>
      <w:r w:rsidRPr="00F10E40">
        <w:rPr>
          <w:sz w:val="16"/>
        </w:rPr>
        <w:t>. Analyzing the mechanisms for these extreme consequences could help galvanize action, improve resilience, and inform policy, including emergency responses. We outline current knowledge about the likelihood of extreme climate change, discuss why understanding bad-to-worst cases is vital, articulate reasons for concern about catastrophic outcomes, define key terms, and put forward a research agenda. The proposed agenda covers four main questions: 1) What is the potential for climate change to drive mass extinction events? 2) What are the mechanisms that could result in human mass mortality and morbidity? 3) What are human societies' vulnerabilities to climate-triggered risk cascades, such as from conflict, political instability, and systemic financial risk? 4) How can these multiple strands of evidence—together with other global dangers—be usefully synthesized into an “integrated catastrophe assessment</w:t>
      </w:r>
      <w:r w:rsidRPr="00F10E40">
        <w:rPr>
          <w:u w:val="single"/>
        </w:rPr>
        <w:t>”? It is time for the scientific community to grapple with the challenge of better understanding catastrophic climate change.</w:t>
      </w:r>
      <w:r>
        <w:rPr>
          <w:u w:val="single"/>
        </w:rPr>
        <w:t xml:space="preserve"> </w:t>
      </w:r>
      <w:r w:rsidRPr="00BE73AB">
        <w:rPr>
          <w:sz w:val="14"/>
          <w:szCs w:val="20"/>
        </w:rPr>
        <w:t>How bad could climate change get? As early as 1988, the landmark Toronto Conference declaration described the ultimate consequences of climate change as potentially “second only to a global nuclear war.” Despite such proclamations decades ago, climate catastrophe is relatively under-studied and poorly understood.</w:t>
      </w:r>
    </w:p>
    <w:p w14:paraId="08E3CDA0" w14:textId="77777777" w:rsidR="006F2C07" w:rsidRPr="00F10E40" w:rsidRDefault="006F2C07" w:rsidP="006F2C07">
      <w:pPr>
        <w:rPr>
          <w:sz w:val="16"/>
        </w:rPr>
      </w:pPr>
      <w:r w:rsidRPr="00F10E40">
        <w:rPr>
          <w:sz w:val="16"/>
        </w:rPr>
        <w:t xml:space="preserve">The potential for catastrophic impacts depends on the magnitude and rate of climate change, the damage inflicted on Earth and human systems, and the vulnerability and response of those affected systems. </w:t>
      </w:r>
      <w:r w:rsidRPr="00F10E40">
        <w:rPr>
          <w:u w:val="single"/>
        </w:rPr>
        <w:t>The extremes of these areas, such as high temperature rise and cascading impacts, are underexamined</w:t>
      </w:r>
      <w:r w:rsidRPr="00F10E40">
        <w:rPr>
          <w:sz w:val="16"/>
        </w:rPr>
        <w:t>. As noted by the Intergovernmental Panel on Climate Change (IPCC), there have been few quantitative estimates of global aggregate impacts from warming of 3 °C or above (1). Text mining of IPCC reports similarly found that coverage of temperature rises of 3 °C or higher is underrepresented relative to their likelihood (2). Text-mining analysis also suggests that over time the coverage of IPCC reports has shifted towards temperature rise of 2 °C and below. Research has focused on the impacts of 1.5 °C and 2 °C, and studies of how climate impacts could cascade or trigger larger crises are sparse.</w:t>
      </w:r>
    </w:p>
    <w:p w14:paraId="26541598" w14:textId="77777777" w:rsidR="006F2C07" w:rsidRPr="00F10E40" w:rsidRDefault="006F2C07" w:rsidP="006F2C07">
      <w:pPr>
        <w:rPr>
          <w:u w:val="single"/>
        </w:rPr>
      </w:pPr>
      <w:r w:rsidRPr="00F10E40">
        <w:rPr>
          <w:sz w:val="16"/>
        </w:rPr>
        <w:t xml:space="preserve">A thorough risk assessment would need to consider how risks spread, interact, amplify, and are aggravated by human responses (3), but even </w:t>
      </w:r>
      <w:r w:rsidRPr="00F10E40">
        <w:rPr>
          <w:u w:val="single"/>
        </w:rPr>
        <w:t>simpler “compound hazard” analyses of interacting climate hazards and drivers are underused. Yet this is how risk unfolds in the real world.</w:t>
      </w:r>
      <w:r w:rsidRPr="00F10E40">
        <w:rPr>
          <w:sz w:val="16"/>
        </w:rPr>
        <w:t xml:space="preserve"> For example, a cyclone destroys electrical infrastructure, leaving a population vulnerable to an ensuing deadly heat wave (4). Recently, </w:t>
      </w:r>
      <w:r w:rsidRPr="00F10E40">
        <w:rPr>
          <w:u w:val="single"/>
        </w:rPr>
        <w:t>we have seen compound hazards emerge between climate change and the COVID-19 pandemic</w:t>
      </w:r>
      <w:r w:rsidRPr="00F10E40">
        <w:rPr>
          <w:sz w:val="16"/>
        </w:rPr>
        <w:t xml:space="preserve"> (5). As the IPCC notes, </w:t>
      </w:r>
      <w:r w:rsidRPr="00F10E40">
        <w:rPr>
          <w:u w:val="single"/>
        </w:rPr>
        <w:t xml:space="preserve">climate risks are becoming more complex and difficult to </w:t>
      </w:r>
      <w:proofErr w:type="gramStart"/>
      <w:r w:rsidRPr="00F10E40">
        <w:rPr>
          <w:u w:val="single"/>
        </w:rPr>
        <w:t>manage, and</w:t>
      </w:r>
      <w:proofErr w:type="gramEnd"/>
      <w:r w:rsidRPr="00F10E40">
        <w:rPr>
          <w:u w:val="single"/>
        </w:rPr>
        <w:t xml:space="preserve"> are cascading across regions and sectors (6).</w:t>
      </w:r>
    </w:p>
    <w:p w14:paraId="02CD30FA" w14:textId="77777777" w:rsidR="006F2C07" w:rsidRPr="00F10E40" w:rsidRDefault="006F2C07" w:rsidP="006F2C07">
      <w:pPr>
        <w:rPr>
          <w:sz w:val="16"/>
        </w:rPr>
      </w:pPr>
      <w:r w:rsidRPr="00F10E40">
        <w:rPr>
          <w:sz w:val="16"/>
        </w:rPr>
        <w:t xml:space="preserve">Why the focus on </w:t>
      </w:r>
      <w:proofErr w:type="gramStart"/>
      <w:r w:rsidRPr="00F10E40">
        <w:rPr>
          <w:sz w:val="16"/>
        </w:rPr>
        <w:t>lower-end</w:t>
      </w:r>
      <w:proofErr w:type="gramEnd"/>
      <w:r w:rsidRPr="00F10E40">
        <w:rPr>
          <w:sz w:val="16"/>
        </w:rPr>
        <w:t xml:space="preserve"> warming and simple risk analyses? One reason is the benchmark of the international targets: the Paris Agreement goal of limiting warming to well below 2 °C, with an aspiration of 1.5 °C. Another reason is the culture of climate science to “err on the side of least drama” (7), to not to be alarmists, which can be compounded by the consensus processes of the IPCC (8). Complex risk assessments, while more realistic, are also more difficult to do.</w:t>
      </w:r>
    </w:p>
    <w:p w14:paraId="14DCA89C" w14:textId="77777777" w:rsidR="006F2C07" w:rsidRPr="00F10E40" w:rsidRDefault="006F2C07" w:rsidP="006F2C07">
      <w:pPr>
        <w:rPr>
          <w:sz w:val="16"/>
        </w:rPr>
      </w:pPr>
      <w:r w:rsidRPr="00F10E40">
        <w:rPr>
          <w:sz w:val="16"/>
        </w:rPr>
        <w:t xml:space="preserve">This caution is understandable, yet it is mismatched to the risks and potential </w:t>
      </w:r>
      <w:proofErr w:type="gramStart"/>
      <w:r w:rsidRPr="00F10E40">
        <w:rPr>
          <w:sz w:val="16"/>
        </w:rPr>
        <w:t>damages</w:t>
      </w:r>
      <w:proofErr w:type="gramEnd"/>
      <w:r w:rsidRPr="00F10E40">
        <w:rPr>
          <w:sz w:val="16"/>
        </w:rPr>
        <w:t xml:space="preserve"> posed by climate change. We know that temperature rise has “fat tails”: low-probability, high-impact extreme outcomes (9). C</w:t>
      </w:r>
      <w:r w:rsidRPr="00F10E40">
        <w:rPr>
          <w:u w:val="single"/>
        </w:rPr>
        <w:t xml:space="preserve">limate </w:t>
      </w:r>
      <w:proofErr w:type="gramStart"/>
      <w:r w:rsidRPr="00F10E40">
        <w:rPr>
          <w:u w:val="single"/>
        </w:rPr>
        <w:t>damages are</w:t>
      </w:r>
      <w:proofErr w:type="gramEnd"/>
      <w:r w:rsidRPr="00F10E40">
        <w:rPr>
          <w:u w:val="single"/>
        </w:rPr>
        <w:t xml:space="preserve"> likely to be nonlinear and result in an even larger tail (10). Too much is at stake to refrain from examining high-impact low-likelihood scenarios. </w:t>
      </w:r>
      <w:r w:rsidRPr="00F10E40">
        <w:rPr>
          <w:sz w:val="16"/>
        </w:rPr>
        <w:t>The COVID-19 pandemic has underlined the need to consider and prepare for infrequent, high-impact global risks, and the systemic dangers they can spark. Prudent risk management demands that we thoroughly assess worst-case scenarios.</w:t>
      </w:r>
      <w:r>
        <w:rPr>
          <w:sz w:val="16"/>
        </w:rPr>
        <w:t xml:space="preserve"> </w:t>
      </w:r>
      <w:r w:rsidRPr="00F10E40">
        <w:rPr>
          <w:sz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r>
        <w:rPr>
          <w:sz w:val="16"/>
        </w:rPr>
        <w:t xml:space="preserve"> </w:t>
      </w:r>
      <w:r w:rsidRPr="00F10E40">
        <w:rPr>
          <w:sz w:val="16"/>
        </w:rPr>
        <w:t>Worst-Case Climate Change</w:t>
      </w:r>
    </w:p>
    <w:p w14:paraId="703D2E94" w14:textId="77777777" w:rsidR="006F2C07" w:rsidRPr="00F10E40" w:rsidRDefault="006F2C07" w:rsidP="006F2C07">
      <w:pPr>
        <w:rPr>
          <w:sz w:val="16"/>
        </w:rPr>
      </w:pPr>
      <w:r w:rsidRPr="00F10E40">
        <w:rPr>
          <w:sz w:val="16"/>
        </w:rPr>
        <w:t>Despite 30 y of efforts and some progress under the United Nations Framework Convention on Climate Change (UNFCCC)</w:t>
      </w:r>
      <w:proofErr w:type="gramStart"/>
      <w:r w:rsidRPr="00F10E40">
        <w:rPr>
          <w:sz w:val="16"/>
        </w:rPr>
        <w:t xml:space="preserve"> anthropogenic</w:t>
      </w:r>
      <w:proofErr w:type="gramEnd"/>
      <w:r w:rsidRPr="00F10E40">
        <w:rPr>
          <w:sz w:val="16"/>
        </w:rPr>
        <w:t xml:space="preserve"> greenhouse gas (GHG) emissions continue to increase. </w:t>
      </w:r>
      <w:r w:rsidRPr="00F10E40">
        <w:rPr>
          <w:u w:val="single"/>
        </w:rPr>
        <w:t>Even without considering worst-case climate responses, the current trajectory puts the world on track for a temperature rise between 2.1 °C and 3.9 °C by 2100</w:t>
      </w:r>
      <w:r w:rsidRPr="00F10E40">
        <w:rPr>
          <w:sz w:val="16"/>
        </w:rPr>
        <w:t xml:space="preserve"> (11). If all 2030 nationally determined contributions are fully implemented, warming of 2.4 °C (1.9 °C to 3.0 °C) is expected by 2100. Meeting all long-term pledges and targets could reduce this to 2.1 °C (1.7 °C to 2.6 °C) (12). </w:t>
      </w:r>
      <w:r w:rsidRPr="00F10E40">
        <w:rPr>
          <w:u w:val="single"/>
        </w:rPr>
        <w:t>Even these optimistic assumptions lead to dangerous Earth system trajectories. Temperatures of more than 2 °C above preindustrial values have not been sustained on Earth’s surface since before the Pleistocene Epoch</w:t>
      </w:r>
      <w:r w:rsidRPr="00F10E40">
        <w:rPr>
          <w:sz w:val="16"/>
        </w:rPr>
        <w:t xml:space="preserve"> (or more than 2.6 million years ago) (13).</w:t>
      </w:r>
    </w:p>
    <w:p w14:paraId="7630E6AA" w14:textId="77777777" w:rsidR="006F2C07" w:rsidRPr="00F10E40" w:rsidRDefault="006F2C07" w:rsidP="006F2C07">
      <w:pPr>
        <w:rPr>
          <w:sz w:val="16"/>
        </w:rPr>
      </w:pPr>
      <w:r w:rsidRPr="00F10E40">
        <w:rPr>
          <w:sz w:val="16"/>
        </w:rPr>
        <w:t xml:space="preserve">Even if anthropogenic GHG emissions start to decline soon, this does not rule out high future GHG concentrations or extreme climate change, particularly beyond 2100. </w:t>
      </w:r>
      <w:r w:rsidRPr="00F10E40">
        <w:rPr>
          <w:u w:val="single"/>
        </w:rPr>
        <w:t xml:space="preserve">There are </w:t>
      </w:r>
      <w:proofErr w:type="gramStart"/>
      <w:r w:rsidRPr="00F10E40">
        <w:rPr>
          <w:u w:val="single"/>
        </w:rPr>
        <w:t>feedbacks</w:t>
      </w:r>
      <w:proofErr w:type="gramEnd"/>
      <w:r w:rsidRPr="00F10E40">
        <w:rPr>
          <w:u w:val="single"/>
        </w:rPr>
        <w:t xml:space="preserve"> in the carbon cycle and potential tipping points that could generate high GHG concentrations</w:t>
      </w:r>
      <w:r w:rsidRPr="00F10E40">
        <w:rPr>
          <w:sz w:val="16"/>
        </w:rPr>
        <w:t xml:space="preserve"> (14) that are often missing from models. </w:t>
      </w:r>
      <w:r w:rsidRPr="00F10E40">
        <w:rPr>
          <w:u w:val="single"/>
        </w:rPr>
        <w:t>Examples include Arctic permafrost thawing that releases methane and CO2 (15), carbon loss due to intense droughts and fires in the Amazon (</w:t>
      </w:r>
      <w:r w:rsidRPr="00F10E40">
        <w:rPr>
          <w:sz w:val="16"/>
        </w:rPr>
        <w:t xml:space="preserve">16), and the apparent slowing of dampening </w:t>
      </w:r>
      <w:proofErr w:type="gramStart"/>
      <w:r w:rsidRPr="00F10E40">
        <w:rPr>
          <w:sz w:val="16"/>
        </w:rPr>
        <w:t>feedbacks</w:t>
      </w:r>
      <w:proofErr w:type="gramEnd"/>
      <w:r w:rsidRPr="00F10E40">
        <w:rPr>
          <w:sz w:val="16"/>
        </w:rPr>
        <w:t xml:space="preserve"> such as natural carbon sink capacity (17, 18). These are likely to not be proportional to warming, as is sometimes assumed. </w:t>
      </w:r>
      <w:r w:rsidRPr="00F10E40">
        <w:rPr>
          <w:u w:val="single"/>
        </w:rPr>
        <w:t>Instead, abrupt and/or irreversible changes may be triggered at a temperature threshold. Such changes are evident in Earth’s geological record, and their impacts cascaded across the coupled climate–ecological–social system (19). Particularly worrying is a “tipping cascade” in which multiple tipping elements interact in such a way that tipping one threshold increases the likelihood of tipping another</w:t>
      </w:r>
      <w:r w:rsidRPr="00F10E40">
        <w:rPr>
          <w:sz w:val="16"/>
        </w:rPr>
        <w:t xml:space="preserve"> (20). Temperature rise is crucially dependent on the overall dynamics of the Earth system, not just the anthropogenic emissions trajectory.</w:t>
      </w:r>
    </w:p>
    <w:p w14:paraId="4D0DEE2F" w14:textId="77777777" w:rsidR="006F2C07" w:rsidRPr="00F10E40" w:rsidRDefault="006F2C07" w:rsidP="006F2C07">
      <w:pPr>
        <w:rPr>
          <w:sz w:val="16"/>
        </w:rPr>
      </w:pPr>
      <w:r w:rsidRPr="00F10E40">
        <w:rPr>
          <w:sz w:val="16"/>
        </w:rPr>
        <w:t xml:space="preserve">The potential for tipping points and higher concentrations despite lower anthropogenic emissions is evident in existing models. Variability among the latest Coupled Model Intercomparison Project Phase 6 (CMIP6) climate models results in </w:t>
      </w:r>
      <w:proofErr w:type="gramStart"/>
      <w:r w:rsidRPr="00F10E40">
        <w:rPr>
          <w:sz w:val="16"/>
        </w:rPr>
        <w:t>overlap</w:t>
      </w:r>
      <w:proofErr w:type="gramEnd"/>
      <w:r w:rsidRPr="00F10E40">
        <w:rPr>
          <w:sz w:val="16"/>
        </w:rPr>
        <w:t xml:space="preserve">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r>
        <w:rPr>
          <w:sz w:val="16"/>
        </w:rPr>
        <w:t xml:space="preserve"> </w:t>
      </w:r>
      <w:r w:rsidRPr="00763E40">
        <w:rPr>
          <w:szCs w:val="32"/>
          <w:u w:val="single"/>
        </w:rPr>
        <w:t xml:space="preserve">There are even more uncertain </w:t>
      </w:r>
      <w:proofErr w:type="gramStart"/>
      <w:r w:rsidRPr="00763E40">
        <w:rPr>
          <w:szCs w:val="32"/>
          <w:u w:val="single"/>
        </w:rPr>
        <w:t>feedbacks</w:t>
      </w:r>
      <w:proofErr w:type="gramEnd"/>
      <w:r w:rsidRPr="00763E40">
        <w:rPr>
          <w:szCs w:val="32"/>
          <w:u w:val="single"/>
        </w:rPr>
        <w:t>, which, in a very worst case, might amplify to an irreversible transition into a “Hothouse Earth” state</w:t>
      </w:r>
      <w:r w:rsidRPr="00763E40">
        <w:rPr>
          <w:szCs w:val="32"/>
        </w:rPr>
        <w:t xml:space="preserve"> </w:t>
      </w:r>
      <w:r w:rsidRPr="00F10E40">
        <w:rPr>
          <w:sz w:val="16"/>
        </w:rPr>
        <w:t xml:space="preserve">(21) (although there may be negative </w:t>
      </w:r>
      <w:proofErr w:type="gramStart"/>
      <w:r w:rsidRPr="00F10E40">
        <w:rPr>
          <w:sz w:val="16"/>
        </w:rPr>
        <w:t>feedbacks</w:t>
      </w:r>
      <w:proofErr w:type="gramEnd"/>
      <w:r w:rsidRPr="00F10E40">
        <w:rPr>
          <w:sz w:val="16"/>
        </w:rPr>
        <w:t xml:space="preserve"> that help buffer the Earth system). </w:t>
      </w:r>
      <w:proofErr w:type="gramStart"/>
      <w:r w:rsidRPr="00F10E40">
        <w:rPr>
          <w:u w:val="single"/>
        </w:rPr>
        <w:t>In particular, poorly</w:t>
      </w:r>
      <w:proofErr w:type="gramEnd"/>
      <w:r w:rsidRPr="00F10E40">
        <w:rPr>
          <w:u w:val="single"/>
        </w:rPr>
        <w:t xml:space="preserve"> understood cloud </w:t>
      </w:r>
      <w:proofErr w:type="gramStart"/>
      <w:r w:rsidRPr="00F10E40">
        <w:rPr>
          <w:u w:val="single"/>
        </w:rPr>
        <w:t>feedbacks</w:t>
      </w:r>
      <w:proofErr w:type="gramEnd"/>
      <w:r w:rsidRPr="00F10E40">
        <w:rPr>
          <w:u w:val="single"/>
        </w:rPr>
        <w:t xml:space="preserve"> might trigger sudden and irreversible global warming</w:t>
      </w:r>
      <w:r w:rsidRPr="00F10E40">
        <w:rPr>
          <w:sz w:val="16"/>
        </w:rPr>
        <w:t xml:space="preserve"> (22).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F10E40">
        <w:rPr>
          <w:rFonts w:ascii="Cambria Math" w:hAnsi="Cambria Math" w:cs="Cambria Math"/>
          <w:sz w:val="16"/>
        </w:rPr>
        <w:t>∼</w:t>
      </w:r>
      <w:r w:rsidRPr="00F10E40">
        <w:rPr>
          <w:sz w:val="16"/>
        </w:rPr>
        <w:t>8 °C global warming (23). Large uncertainties about dangerous surprises are reasons to prioritize rather than neglect them.</w:t>
      </w:r>
    </w:p>
    <w:p w14:paraId="2A77669B" w14:textId="77777777" w:rsidR="006F2C07" w:rsidRDefault="006F2C07" w:rsidP="006F2C07">
      <w:pPr>
        <w:pStyle w:val="Heading4"/>
      </w:pPr>
      <w:r>
        <w:t>Independently, as</w:t>
      </w:r>
      <w:r w:rsidRPr="00265226">
        <w:t xml:space="preserve"> climate cris</w:t>
      </w:r>
      <w:r>
        <w:t>e</w:t>
      </w:r>
      <w:r w:rsidRPr="00265226">
        <w:t>s</w:t>
      </w:r>
      <w:r>
        <w:t xml:space="preserve"> </w:t>
      </w:r>
      <w:r w:rsidRPr="00265226">
        <w:t>occur tha</w:t>
      </w:r>
      <w:r>
        <w:t>t leads to global and civil wars</w:t>
      </w:r>
    </w:p>
    <w:p w14:paraId="41A80081" w14:textId="77777777" w:rsidR="006F2C07" w:rsidRPr="00265226" w:rsidRDefault="006F2C07" w:rsidP="006F2C07">
      <w:r w:rsidRPr="00265226">
        <w:rPr>
          <w:rStyle w:val="Style13ptBold"/>
        </w:rPr>
        <w:t>Bhatt 22</w:t>
      </w:r>
      <w:r>
        <w:t xml:space="preserve">---Manager for the Center for Diplomatic Engagement in Washington D.C. with a BA in International Relations and Environmental Studies from </w:t>
      </w:r>
      <w:proofErr w:type="gramStart"/>
      <w:r>
        <w:t>The George</w:t>
      </w:r>
      <w:proofErr w:type="gramEnd"/>
      <w:r>
        <w:t xml:space="preserve"> Washington University. (Vishva, “Is climate change causing more wars?”, The YEARS Project, 2/1/22, </w:t>
      </w:r>
      <w:r w:rsidRPr="00265226">
        <w:t>https://theyearsproject.com/latest/is-climate-change-causing-more-wars</w:t>
      </w:r>
      <w:r>
        <w:t xml:space="preserve">) </w:t>
      </w:r>
      <w:proofErr w:type="spellStart"/>
      <w:r>
        <w:t>sh</w:t>
      </w:r>
      <w:proofErr w:type="spellEnd"/>
    </w:p>
    <w:p w14:paraId="6528378B" w14:textId="77777777" w:rsidR="006F2C07" w:rsidRPr="00265226" w:rsidRDefault="006F2C07" w:rsidP="006F2C07">
      <w:pPr>
        <w:rPr>
          <w:sz w:val="16"/>
        </w:rPr>
      </w:pPr>
      <w:r w:rsidRPr="00265226">
        <w:rPr>
          <w:szCs w:val="32"/>
          <w:u w:val="single"/>
        </w:rPr>
        <w:t>A</w:t>
      </w:r>
      <w:r w:rsidRPr="00BE73AB">
        <w:rPr>
          <w:u w:val="single"/>
        </w:rPr>
        <w:t>s climate change has caused global temperatures to rise, there also seems to be an ever-growing number of conflicts around the worl</w:t>
      </w:r>
      <w:r w:rsidRPr="00265226">
        <w:rPr>
          <w:sz w:val="16"/>
        </w:rPr>
        <w:t xml:space="preserve">d. So, what is the evidence linking climate change to war? </w:t>
      </w:r>
    </w:p>
    <w:p w14:paraId="52E7B1CD" w14:textId="77777777" w:rsidR="006F2C07" w:rsidRPr="00265226" w:rsidRDefault="006F2C07" w:rsidP="006F2C07">
      <w:pPr>
        <w:rPr>
          <w:u w:val="single"/>
        </w:rPr>
      </w:pPr>
      <w:r w:rsidRPr="00265226">
        <w:rPr>
          <w:sz w:val="16"/>
        </w:rPr>
        <w:t>Alarmingly</w:t>
      </w:r>
      <w:r w:rsidRPr="00BE73AB">
        <w:rPr>
          <w:u w:val="single"/>
        </w:rPr>
        <w:t>, several studies suggest that climate change makes conflicts such as civil war or genocide more likely</w:t>
      </w:r>
      <w:r w:rsidRPr="00265226">
        <w:rPr>
          <w:sz w:val="16"/>
        </w:rPr>
        <w:t xml:space="preserve">. It is important to note that climate change alone has not been proven to increase the likelihood of discord; however, </w:t>
      </w:r>
      <w:r w:rsidRPr="00BE73AB">
        <w:rPr>
          <w:u w:val="single"/>
        </w:rPr>
        <w:t>climate change compounded with challenging economic, political, or social conditions can heighten the risk of conflict. Climate change is a threat multiplier,</w:t>
      </w:r>
      <w:r w:rsidRPr="00265226">
        <w:rPr>
          <w:sz w:val="16"/>
        </w:rPr>
        <w:t xml:space="preserve"> which means it amplifies problems already facing the world. </w:t>
      </w:r>
      <w:r w:rsidRPr="00BE73AB">
        <w:rPr>
          <w:u w:val="single"/>
        </w:rPr>
        <w:t>Stressors such as poverty, political instability, and crime are magnified by increased droughts, floods, or heat waves.</w:t>
      </w:r>
    </w:p>
    <w:p w14:paraId="1D9CEB4D" w14:textId="77777777" w:rsidR="006F2C07" w:rsidRPr="00265226" w:rsidRDefault="006F2C07" w:rsidP="006F2C07">
      <w:pPr>
        <w:rPr>
          <w:sz w:val="16"/>
        </w:rPr>
      </w:pPr>
      <w:r w:rsidRPr="00265226">
        <w:rPr>
          <w:u w:val="single"/>
        </w:rPr>
        <w:t>As anthropogenic climate change continues to alter the environment, scientists have been tracking an increase in the frequency and intensity of extreme weather events</w:t>
      </w:r>
      <w:r w:rsidRPr="00265226">
        <w:rPr>
          <w:sz w:val="16"/>
        </w:rPr>
        <w:t xml:space="preserve">. Extreme weather events adversely affect communities around the world as they experience unusually warm winters or sweltering summer temperatures much higher than usual. Fluctuating temperatures may not derail urban areas that have adequate coping capacities, but they are detrimental to communities that depend on agriculture or other natural resources for their livelihoods. </w:t>
      </w:r>
    </w:p>
    <w:p w14:paraId="27FBBD0B" w14:textId="77777777" w:rsidR="006F2C07" w:rsidRPr="00265226" w:rsidRDefault="006F2C07" w:rsidP="006F2C07">
      <w:pPr>
        <w:rPr>
          <w:sz w:val="16"/>
        </w:rPr>
      </w:pPr>
      <w:r w:rsidRPr="00265226">
        <w:rPr>
          <w:u w:val="single"/>
        </w:rPr>
        <w:t xml:space="preserve">Increases in various climate-related disturbances such as floods, droughts, or fires further stress already-vulnerable communities and threaten their livelihoods. Evidence links </w:t>
      </w:r>
      <w:proofErr w:type="gramStart"/>
      <w:r w:rsidRPr="00265226">
        <w:rPr>
          <w:u w:val="single"/>
        </w:rPr>
        <w:t>rise</w:t>
      </w:r>
      <w:proofErr w:type="gramEnd"/>
      <w:r w:rsidRPr="00265226">
        <w:rPr>
          <w:u w:val="single"/>
        </w:rPr>
        <w:t xml:space="preserve"> in temperature to a rise in civil war. Researchers at Princeton University and UC Berkeley found that a rise in average annual temperature by even 1° Celsius (1.8° Fahrenheit) leads to a 4.5% increase in civil war that year</w:t>
      </w:r>
      <w:r w:rsidRPr="00265226">
        <w:rPr>
          <w:sz w:val="16"/>
        </w:rPr>
        <w:t xml:space="preserve">. There has been a global increase in the incidence of civil war following World War II, with civil wars even having a greater number of casualties than international wars. </w:t>
      </w:r>
      <w:r w:rsidRPr="00265226">
        <w:rPr>
          <w:u w:val="single"/>
        </w:rPr>
        <w:t xml:space="preserve">Civil wars are dangerous, and climate change is making them more common. </w:t>
      </w:r>
    </w:p>
    <w:p w14:paraId="7F902130" w14:textId="77777777" w:rsidR="006F2C07" w:rsidRPr="00265226" w:rsidRDefault="006F2C07" w:rsidP="006F2C07">
      <w:pPr>
        <w:rPr>
          <w:sz w:val="16"/>
        </w:rPr>
      </w:pPr>
      <w:r w:rsidRPr="00265226">
        <w:rPr>
          <w:sz w:val="16"/>
        </w:rPr>
        <w:t>S</w:t>
      </w:r>
      <w:r w:rsidRPr="00265226">
        <w:rPr>
          <w:u w:val="single"/>
        </w:rPr>
        <w:t>yria has been engulfed in a civil war since 2011. Experts agree that a detrimental drought played a major role in triggering the war. Climate modeling at UC Santa Barbara shows that greenhouse gas emissions made the drought two times more likely than it would have been with natural fluctuation.</w:t>
      </w:r>
      <w:r w:rsidRPr="00265226">
        <w:rPr>
          <w:sz w:val="16"/>
        </w:rPr>
        <w:t xml:space="preserve"> Drought and famine still plague the country. While acknowledging that factors such as economic hardship, corrupt leadership, and inequality factor into Syria’s uprising, the severe drought played a significant role. It was worsened by climate change, and as farmers were forced to flee to cities to find food for their starving families, tensions continued to amass. A climate change fueled drought coupled with Syria’s weak economy, poor governance, and social inequality made the perfect breeding ground for civil war. </w:t>
      </w:r>
    </w:p>
    <w:p w14:paraId="5756389B" w14:textId="77777777" w:rsidR="006F2C07" w:rsidRPr="00265226" w:rsidRDefault="006F2C07" w:rsidP="006F2C07">
      <w:pPr>
        <w:rPr>
          <w:sz w:val="16"/>
        </w:rPr>
      </w:pPr>
      <w:r w:rsidRPr="00265226">
        <w:rPr>
          <w:sz w:val="16"/>
        </w:rPr>
        <w:t xml:space="preserve">A decade-long drought in the late-1900s caused Lake Chad, then the sixth-largest freshwater lake in the world, to shrink. The drought was attributed to rising greenhouse gas emissions mixed with natural environmental factors. On the edge of the Sahara, Lake Chad is a life source for those populating Niger, Nigeria, Cameroon, and Chad. As the lake began to shrink in the 1970s, the surrounding population was forced to move towards it and began competing for access. As the </w:t>
      </w:r>
      <w:proofErr w:type="gramStart"/>
      <w:r w:rsidRPr="00265226">
        <w:rPr>
          <w:sz w:val="16"/>
        </w:rPr>
        <w:t>people became</w:t>
      </w:r>
      <w:proofErr w:type="gramEnd"/>
      <w:r w:rsidRPr="00265226">
        <w:rPr>
          <w:sz w:val="16"/>
        </w:rPr>
        <w:t xml:space="preserve"> concentrated </w:t>
      </w:r>
      <w:proofErr w:type="gramStart"/>
      <w:r w:rsidRPr="00265226">
        <w:rPr>
          <w:sz w:val="16"/>
        </w:rPr>
        <w:t>in</w:t>
      </w:r>
      <w:proofErr w:type="gramEnd"/>
      <w:r w:rsidRPr="00265226">
        <w:rPr>
          <w:sz w:val="16"/>
        </w:rPr>
        <w:t xml:space="preserve"> a significantly smaller area, there was a measurable rise in confrontations between local farmers and herders. As climate change altered the landscape, the competition for access to Lake Chad and its precious resources rose, and so did the conflict. </w:t>
      </w:r>
    </w:p>
    <w:p w14:paraId="21C66A0D" w14:textId="77777777" w:rsidR="006F2C07" w:rsidRPr="00265226" w:rsidRDefault="006F2C07" w:rsidP="006F2C07">
      <w:pPr>
        <w:rPr>
          <w:sz w:val="16"/>
        </w:rPr>
      </w:pPr>
      <w:r w:rsidRPr="00265226">
        <w:rPr>
          <w:u w:val="single"/>
        </w:rPr>
        <w:t xml:space="preserve">Experts point to Sudan’s civil war as the first example of a modern climate change-induced conflict. The United Nations linked desertification and dwindling rainfall caused by rising temperatures to food and water insecurity; </w:t>
      </w:r>
      <w:r w:rsidRPr="00265226">
        <w:rPr>
          <w:sz w:val="16"/>
        </w:rPr>
        <w:t xml:space="preserve">the </w:t>
      </w:r>
      <w:r w:rsidRPr="00265226">
        <w:rPr>
          <w:u w:val="single"/>
        </w:rPr>
        <w:t xml:space="preserve">insecurity then resulted in a rebellion that the Sudanese government </w:t>
      </w:r>
      <w:r w:rsidRPr="00265226">
        <w:rPr>
          <w:sz w:val="16"/>
        </w:rPr>
        <w:t xml:space="preserve">reacted to with a campaign of violence. Famine plagued Sudan, as rains dwindled and fertile land became arid. The lack of food paired with deep-rooted social and political tensions exacerbated the risk of conflict until the country broke into civil war. </w:t>
      </w:r>
      <w:r w:rsidRPr="00265226">
        <w:rPr>
          <w:u w:val="single"/>
        </w:rPr>
        <w:t>Climate change heightened the competition for invaluable resources, further intensifying the preexistent tensions between ethnic groups</w:t>
      </w:r>
      <w:r w:rsidRPr="00265226">
        <w:rPr>
          <w:sz w:val="16"/>
        </w:rPr>
        <w:t xml:space="preserve">. Average temperatures </w:t>
      </w:r>
      <w:proofErr w:type="gramStart"/>
      <w:r w:rsidRPr="00265226">
        <w:rPr>
          <w:sz w:val="16"/>
        </w:rPr>
        <w:t>are  expected</w:t>
      </w:r>
      <w:proofErr w:type="gramEnd"/>
      <w:r w:rsidRPr="00265226">
        <w:rPr>
          <w:sz w:val="16"/>
        </w:rPr>
        <w:t xml:space="preserve"> to rise if the amount of carbon in the atmosphere is not significantly reduced within the next few years. The high temperatures will lead to more drought, which has the potential to be an impetus for more conflict. </w:t>
      </w:r>
    </w:p>
    <w:p w14:paraId="53DF4319" w14:textId="77777777" w:rsidR="006F2C07" w:rsidRPr="00121CEE" w:rsidRDefault="006F2C07" w:rsidP="006F2C07">
      <w:pPr>
        <w:rPr>
          <w:sz w:val="16"/>
        </w:rPr>
      </w:pPr>
      <w:r w:rsidRPr="00265226">
        <w:rPr>
          <w:u w:val="single"/>
        </w:rPr>
        <w:t xml:space="preserve">Climate change is threatening not only people’s livelihoods but also their lives. Its adverse effects on global temperatures and rainfall result in increased competition for necessary resources, such as food and water. </w:t>
      </w:r>
      <w:r w:rsidRPr="00265226">
        <w:rPr>
          <w:sz w:val="16"/>
        </w:rPr>
        <w:t xml:space="preserve">As competition for life-sustaining resources continues to rise, so does the potential for violent, deadly conflict. In Syria, climate change’s adverse environmental effects on top of existing instability sparked civil war, resulting in hundreds of thousands of deaths. The shrinking of Lake Chad forced communities to compete for precious resources, and conflict arose between previously friendly neighbors. </w:t>
      </w:r>
      <w:r w:rsidRPr="00265226">
        <w:rPr>
          <w:u w:val="single"/>
        </w:rPr>
        <w:t>The continuous rise of global temperatures has induced food and water insecurity in Sudan, and violence has broken out as people fight for control of life-sustaining resources. While climate change itself does not cause war, with a mix of economic, social, or political tensions the ground is ripe for conflict to grow</w:t>
      </w:r>
      <w:r w:rsidRPr="00265226">
        <w:rPr>
          <w:sz w:val="16"/>
        </w:rPr>
        <w:t xml:space="preserve">. </w:t>
      </w:r>
    </w:p>
    <w:p w14:paraId="371DEFC6" w14:textId="77777777" w:rsidR="006F2C07" w:rsidRDefault="006F2C07" w:rsidP="006F2C07">
      <w:pPr>
        <w:pStyle w:val="Heading3"/>
      </w:pPr>
      <w:r>
        <w:t>1AC---Plan</w:t>
      </w:r>
    </w:p>
    <w:p w14:paraId="128442AB" w14:textId="77777777" w:rsidR="006F2C07" w:rsidRPr="00B51A23" w:rsidRDefault="006F2C07" w:rsidP="006F2C07">
      <w:pPr>
        <w:pStyle w:val="Heading4"/>
      </w:pPr>
      <w:r>
        <w:t>The United States federal government should significantly increase its development of geoengineering pilot projects in the Arctic.</w:t>
      </w:r>
    </w:p>
    <w:p w14:paraId="76FE5563" w14:textId="77777777" w:rsidR="006F2C07" w:rsidRDefault="006F2C07" w:rsidP="006F2C07">
      <w:pPr>
        <w:pStyle w:val="Heading3"/>
      </w:pPr>
      <w:r>
        <w:t>1AC---Governance Advantage</w:t>
      </w:r>
    </w:p>
    <w:p w14:paraId="161EAACF" w14:textId="77777777" w:rsidR="006F2C07" w:rsidRDefault="006F2C07" w:rsidP="006F2C07">
      <w:pPr>
        <w:pStyle w:val="Heading4"/>
      </w:pPr>
      <w:r>
        <w:t xml:space="preserve">Geoengineering is rapidly developing </w:t>
      </w:r>
      <w:proofErr w:type="gramStart"/>
      <w:r>
        <w:t>now, but</w:t>
      </w:r>
      <w:proofErr w:type="gramEnd"/>
      <w:r>
        <w:t xml:space="preserve"> presents governance challenges absent regulation and research --- specifically domestic governance solves best by elevating governance and triggering stakeholder engagement that spill over to global governance. </w:t>
      </w:r>
    </w:p>
    <w:p w14:paraId="318B73C8" w14:textId="77777777" w:rsidR="006F2C07" w:rsidRPr="00390BC2" w:rsidRDefault="006F2C07" w:rsidP="006F2C07">
      <w:r>
        <w:t xml:space="preserve">Kerryn </w:t>
      </w:r>
      <w:r w:rsidRPr="00DD3764">
        <w:rPr>
          <w:rStyle w:val="Style13ptBold"/>
        </w:rPr>
        <w:t>Brent et al</w:t>
      </w:r>
      <w:r>
        <w:t xml:space="preserve"> 11-22-20</w:t>
      </w:r>
      <w:r w:rsidRPr="00DD3764">
        <w:rPr>
          <w:rStyle w:val="Style13ptBold"/>
        </w:rPr>
        <w:t>24</w:t>
      </w:r>
      <w:r>
        <w:t xml:space="preserve">, Dr Kerryn Brent is a research scientist based at Waite Campus, South Australia. Kerryn's research focuses on the governance of emerging climate intervention technologies. Manon Simon is PhD candidate from Brittany, France. She graduated with a </w:t>
      </w:r>
      <w:proofErr w:type="gramStart"/>
      <w:r>
        <w:t>Bachelor’s in Public and International Law</w:t>
      </w:r>
      <w:proofErr w:type="gramEnd"/>
      <w:r>
        <w:t xml:space="preserve"> from the University of Poitiers, before pursuing </w:t>
      </w:r>
      <w:proofErr w:type="gramStart"/>
      <w:r>
        <w:t>a LL</w:t>
      </w:r>
      <w:proofErr w:type="gramEnd"/>
      <w:r>
        <w:t xml:space="preserve">.M. in Environmental and Natural Resources Law at the University of Oregon, USA. She started her PhD in 2017 at the University of Wuhan, China, working on international regulations of weather modification activities. Jan McDonald is the New Star Professor of Environmental and Climate Law at </w:t>
      </w:r>
      <w:proofErr w:type="gramStart"/>
      <w:r>
        <w:t>University</w:t>
      </w:r>
      <w:proofErr w:type="gramEnd"/>
      <w:r>
        <w:t xml:space="preserve"> of Tasmania. </w:t>
      </w:r>
      <w:r>
        <w:rPr>
          <w:i/>
          <w:iCs/>
        </w:rPr>
        <w:t>Climate Policy</w:t>
      </w:r>
      <w:r>
        <w:t xml:space="preserve">, p.948-949 “From informal to formal governance of solar radiation management” </w:t>
      </w:r>
      <w:r w:rsidRPr="0096142A">
        <w:t>https://www.tandfonline.com/doi/pdf/10.1080/14693062.2024.2430688</w:t>
      </w:r>
      <w:r>
        <w:t xml:space="preserve"> //MDC</w:t>
      </w:r>
    </w:p>
    <w:p w14:paraId="4DE59C6B" w14:textId="77777777" w:rsidR="006F2C07" w:rsidRPr="00390BC2" w:rsidRDefault="006F2C07" w:rsidP="006F2C07">
      <w:pPr>
        <w:rPr>
          <w:sz w:val="16"/>
        </w:rPr>
      </w:pPr>
      <w:r w:rsidRPr="00390BC2">
        <w:rPr>
          <w:sz w:val="16"/>
        </w:rPr>
        <w:t>1. Introduction</w:t>
      </w:r>
    </w:p>
    <w:p w14:paraId="7CAE89C3" w14:textId="77777777" w:rsidR="006F2C07" w:rsidRPr="002303D0" w:rsidRDefault="006F2C07" w:rsidP="006F2C07">
      <w:pPr>
        <w:rPr>
          <w:rStyle w:val="StyleUnderline"/>
        </w:rPr>
      </w:pPr>
      <w:r w:rsidRPr="002303D0">
        <w:rPr>
          <w:rStyle w:val="StyleUnderline"/>
        </w:rPr>
        <w:t>Solar radiation management (</w:t>
      </w:r>
      <w:r w:rsidRPr="00DD3764">
        <w:rPr>
          <w:rStyle w:val="StyleUnderline"/>
          <w:highlight w:val="cyan"/>
        </w:rPr>
        <w:t>SRM</w:t>
      </w:r>
      <w:r w:rsidRPr="002303D0">
        <w:rPr>
          <w:rStyle w:val="StyleUnderline"/>
        </w:rPr>
        <w:t xml:space="preserve">) technologies that reflect sunlight away from Earth </w:t>
      </w:r>
      <w:r w:rsidRPr="00DD3764">
        <w:rPr>
          <w:rStyle w:val="StyleUnderline"/>
          <w:highlight w:val="cyan"/>
        </w:rPr>
        <w:t>are being proposed to address climate change, by limiting temperature rise</w:t>
      </w:r>
      <w:r w:rsidRPr="002303D0">
        <w:rPr>
          <w:rStyle w:val="StyleUnderline"/>
        </w:rPr>
        <w:t xml:space="preserve"> while emissions reductions occur</w:t>
      </w:r>
      <w:r w:rsidRPr="00390BC2">
        <w:rPr>
          <w:sz w:val="16"/>
        </w:rPr>
        <w:t xml:space="preserve"> (</w:t>
      </w:r>
      <w:proofErr w:type="spellStart"/>
      <w:r w:rsidRPr="00390BC2">
        <w:rPr>
          <w:sz w:val="16"/>
        </w:rPr>
        <w:t>Crutzen</w:t>
      </w:r>
      <w:proofErr w:type="spellEnd"/>
      <w:r w:rsidRPr="00390BC2">
        <w:rPr>
          <w:sz w:val="16"/>
        </w:rPr>
        <w:t xml:space="preserve">, 2006; NASEM, 2021). The most prominent technology, stratospheric aerosol injection (SAI), would involve placing particles in the stratosphere to reflect a percentage of incoming sunlight (NASEM, 2021). Some technologies are also being developed to bolster the resilience of vulnerable ecosystems. Most notably, marine cloud brightening (MCB) is being investigated for regional-scale applications (Latham et al., 2014), including to prevent coral bleaching on the Great Barrier Reef (RRAP, n.d.; McDonald et al., 2019) and protect </w:t>
      </w:r>
      <w:proofErr w:type="gramStart"/>
      <w:r w:rsidRPr="00390BC2">
        <w:rPr>
          <w:sz w:val="16"/>
        </w:rPr>
        <w:t>Arctic sea</w:t>
      </w:r>
      <w:proofErr w:type="gramEnd"/>
      <w:r w:rsidRPr="00390BC2">
        <w:rPr>
          <w:sz w:val="16"/>
        </w:rPr>
        <w:t xml:space="preserve"> ice (Kurvits et al., 2023; </w:t>
      </w:r>
      <w:proofErr w:type="spellStart"/>
      <w:r w:rsidRPr="00390BC2">
        <w:rPr>
          <w:sz w:val="16"/>
        </w:rPr>
        <w:t>Argüello</w:t>
      </w:r>
      <w:proofErr w:type="spellEnd"/>
      <w:r w:rsidRPr="00390BC2">
        <w:rPr>
          <w:sz w:val="16"/>
        </w:rPr>
        <w:t xml:space="preserve"> &amp; Johansson, 2022). Other SRM proposals involve increasing surface albedo in key locations (e.g. glaciers, polar regions) (Lockley et al., 2020; Duffey et al., 2023). </w:t>
      </w:r>
      <w:r w:rsidRPr="00DD3764">
        <w:rPr>
          <w:rStyle w:val="StyleUnderline"/>
          <w:highlight w:val="cyan"/>
        </w:rPr>
        <w:t>However</w:t>
      </w:r>
      <w:r w:rsidRPr="002303D0">
        <w:rPr>
          <w:rStyle w:val="StyleUnderline"/>
        </w:rPr>
        <w:t>, the feasibility of SRM proposals remains poorly understood (</w:t>
      </w:r>
      <w:proofErr w:type="spellStart"/>
      <w:r w:rsidRPr="002303D0">
        <w:rPr>
          <w:rStyle w:val="StyleUnderline"/>
        </w:rPr>
        <w:t>Pörtner</w:t>
      </w:r>
      <w:proofErr w:type="spellEnd"/>
      <w:r w:rsidRPr="002303D0">
        <w:rPr>
          <w:rStyle w:val="StyleUnderline"/>
        </w:rPr>
        <w:t xml:space="preserve"> et al., 2022) and </w:t>
      </w:r>
      <w:r w:rsidRPr="00DD3764">
        <w:rPr>
          <w:rStyle w:val="Emphasis"/>
          <w:highlight w:val="cyan"/>
        </w:rPr>
        <w:t>further research is essential</w:t>
      </w:r>
      <w:r w:rsidRPr="00DD3764">
        <w:rPr>
          <w:rStyle w:val="StyleUnderline"/>
          <w:highlight w:val="cyan"/>
        </w:rPr>
        <w:t xml:space="preserve"> to resolve uncertainties</w:t>
      </w:r>
      <w:r w:rsidRPr="002303D0">
        <w:rPr>
          <w:rStyle w:val="StyleUnderline"/>
        </w:rPr>
        <w:t xml:space="preserve"> and assess appropriateness (NASEM, 2021).</w:t>
      </w:r>
    </w:p>
    <w:p w14:paraId="4EE7F653" w14:textId="77777777" w:rsidR="006F2C07" w:rsidRPr="00390BC2" w:rsidRDefault="006F2C07" w:rsidP="006F2C07">
      <w:pPr>
        <w:rPr>
          <w:sz w:val="16"/>
        </w:rPr>
      </w:pPr>
      <w:r w:rsidRPr="00DD3764">
        <w:rPr>
          <w:rStyle w:val="StyleUnderline"/>
          <w:highlight w:val="cyan"/>
        </w:rPr>
        <w:t xml:space="preserve">SRM presents </w:t>
      </w:r>
      <w:r w:rsidRPr="00DD3764">
        <w:rPr>
          <w:rStyle w:val="Emphasis"/>
          <w:highlight w:val="cyan"/>
        </w:rPr>
        <w:t>significant governance challenges</w:t>
      </w:r>
      <w:r w:rsidRPr="00DD3764">
        <w:rPr>
          <w:rStyle w:val="StyleUnderline"/>
        </w:rPr>
        <w:t>,</w:t>
      </w:r>
      <w:r w:rsidRPr="002303D0">
        <w:rPr>
          <w:rStyle w:val="StyleUnderline"/>
        </w:rPr>
        <w:t xml:space="preserve"> and it is well-recognized that robust governance is needed to address risks and enable responsible R&amp;D </w:t>
      </w:r>
      <w:r w:rsidRPr="00390BC2">
        <w:rPr>
          <w:sz w:val="16"/>
        </w:rPr>
        <w:t xml:space="preserve">(e.g. Nicholson et al., 2018; Brent et al., 2015). </w:t>
      </w:r>
      <w:r w:rsidRPr="00776FF2">
        <w:rPr>
          <w:rStyle w:val="StyleUnderline"/>
        </w:rPr>
        <w:t xml:space="preserve">The </w:t>
      </w:r>
      <w:r w:rsidRPr="00DD3764">
        <w:rPr>
          <w:rStyle w:val="StyleUnderline"/>
          <w:highlight w:val="cyan"/>
        </w:rPr>
        <w:t>potential risks</w:t>
      </w:r>
      <w:r w:rsidRPr="00DD3764">
        <w:rPr>
          <w:rStyle w:val="StyleUnderline"/>
        </w:rPr>
        <w:t xml:space="preserve"> associated</w:t>
      </w:r>
      <w:r w:rsidRPr="00776FF2">
        <w:rPr>
          <w:rStyle w:val="StyleUnderline"/>
        </w:rPr>
        <w:t xml:space="preserve"> with global-scale SRM technologies have generated strong opposition. In addition to environmental impacts, opponents </w:t>
      </w:r>
      <w:r w:rsidRPr="00DD3764">
        <w:rPr>
          <w:rStyle w:val="StyleUnderline"/>
          <w:highlight w:val="cyan"/>
        </w:rPr>
        <w:t>raise questions about</w:t>
      </w:r>
      <w:r w:rsidRPr="00776FF2">
        <w:rPr>
          <w:rStyle w:val="StyleUnderline"/>
        </w:rPr>
        <w:t xml:space="preserve"> technological </w:t>
      </w:r>
      <w:r w:rsidRPr="00DD3764">
        <w:rPr>
          <w:rStyle w:val="StyleUnderline"/>
          <w:highlight w:val="cyan"/>
        </w:rPr>
        <w:t>lock-in, moral hazard, and social acceptability</w:t>
      </w:r>
      <w:r w:rsidRPr="00390BC2">
        <w:rPr>
          <w:sz w:val="16"/>
        </w:rPr>
        <w:t xml:space="preserve"> (e.g. McKinnon, 2019; Stephens &amp; Surprise, 2020). These challenges manifest even at the research and development (R&amp;D) stage, presenting significant hurdles for progressing research (Parker, 2014; McLaren &amp; Corry, 2021). Efforts to conduct even modest outdoor trials have been opposed by environmental and indigenous groups (Risse, 2023). Some researchers are calling for states to negotiate a ‘non-use agreement’ for global-scale SRM to prohibit outdoor experimentation, deployment, and the public funding of research for global scale SRM (Biermann et al., 2022). Regional SRM proposals are generally considered more feasible and less controversial than global SRM (Bernstein et al., 2013; Low et al., 2022). Indeed, proponents of an international non-use agreement recognize that localized SRM could fall outside any such prohibitive framework, provided that adequate safeguards are in place (Biermann et al., 2022, p. 2; Gupta et al., 2024, p. 16).</w:t>
      </w:r>
    </w:p>
    <w:p w14:paraId="33E1AAFD" w14:textId="77777777" w:rsidR="006F2C07" w:rsidRPr="00390BC2" w:rsidRDefault="006F2C07" w:rsidP="006F2C07">
      <w:pPr>
        <w:rPr>
          <w:sz w:val="16"/>
        </w:rPr>
      </w:pPr>
      <w:r w:rsidRPr="00DD3764">
        <w:rPr>
          <w:rStyle w:val="StyleUnderline"/>
          <w:highlight w:val="cyan"/>
        </w:rPr>
        <w:t>There is a pressing need to develop rules that</w:t>
      </w:r>
      <w:r w:rsidRPr="003372B4">
        <w:rPr>
          <w:rStyle w:val="StyleUnderline"/>
        </w:rPr>
        <w:t xml:space="preserve"> can </w:t>
      </w:r>
      <w:r w:rsidRPr="00DD3764">
        <w:rPr>
          <w:rStyle w:val="StyleUnderline"/>
          <w:highlight w:val="cyan"/>
        </w:rPr>
        <w:t>provide</w:t>
      </w:r>
      <w:r w:rsidRPr="003372B4">
        <w:rPr>
          <w:rStyle w:val="StyleUnderline"/>
        </w:rPr>
        <w:t xml:space="preserve"> robust and </w:t>
      </w:r>
      <w:r w:rsidRPr="00DD3764">
        <w:rPr>
          <w:rStyle w:val="StyleUnderline"/>
          <w:highlight w:val="cyan"/>
        </w:rPr>
        <w:t>effective governance for SRM</w:t>
      </w:r>
      <w:r w:rsidRPr="00390BC2">
        <w:rPr>
          <w:sz w:val="16"/>
        </w:rPr>
        <w:t xml:space="preserve">. In Australia, MCB field tests have been conducted on the Great Barrier Reef since 2020 to test the delivery system (Brent et al., 2020). </w:t>
      </w:r>
      <w:r w:rsidRPr="00DD3764">
        <w:rPr>
          <w:rStyle w:val="StyleUnderline"/>
          <w:highlight w:val="cyan"/>
        </w:rPr>
        <w:t>In the US</w:t>
      </w:r>
      <w:r w:rsidRPr="003372B4">
        <w:rPr>
          <w:rStyle w:val="StyleUnderline"/>
        </w:rPr>
        <w:t xml:space="preserve">, the first MCB outdoor </w:t>
      </w:r>
      <w:r w:rsidRPr="00DD3764">
        <w:rPr>
          <w:rStyle w:val="StyleUnderline"/>
          <w:highlight w:val="cyan"/>
        </w:rPr>
        <w:t>experiment</w:t>
      </w:r>
      <w:r w:rsidRPr="003372B4">
        <w:rPr>
          <w:rStyle w:val="StyleUnderline"/>
        </w:rPr>
        <w:t xml:space="preserve"> commenced in May 2024 in California, led by scientists from the University of Washington. However, it </w:t>
      </w:r>
      <w:r w:rsidRPr="00DD3764">
        <w:rPr>
          <w:rStyle w:val="StyleUnderline"/>
          <w:highlight w:val="cyan"/>
        </w:rPr>
        <w:t>was suspended</w:t>
      </w:r>
      <w:r w:rsidRPr="003372B4">
        <w:rPr>
          <w:rStyle w:val="StyleUnderline"/>
        </w:rPr>
        <w:t xml:space="preserve"> soon after </w:t>
      </w:r>
      <w:r w:rsidRPr="00DD3764">
        <w:rPr>
          <w:rStyle w:val="StyleUnderline"/>
          <w:highlight w:val="cyan"/>
        </w:rPr>
        <w:t>due to concerns</w:t>
      </w:r>
      <w:r w:rsidRPr="003372B4">
        <w:rPr>
          <w:rStyle w:val="StyleUnderline"/>
        </w:rPr>
        <w:t xml:space="preserve"> from the local officials </w:t>
      </w:r>
      <w:r w:rsidRPr="00DD3764">
        <w:rPr>
          <w:rStyle w:val="StyleUnderline"/>
          <w:highlight w:val="cyan"/>
        </w:rPr>
        <w:t xml:space="preserve">over </w:t>
      </w:r>
      <w:r w:rsidRPr="00DD3764">
        <w:rPr>
          <w:rStyle w:val="Emphasis"/>
          <w:highlight w:val="cyan"/>
        </w:rPr>
        <w:t>lack of engagement and transparency</w:t>
      </w:r>
      <w:r w:rsidRPr="003372B4">
        <w:rPr>
          <w:rStyle w:val="StyleUnderline"/>
        </w:rPr>
        <w:t xml:space="preserve"> about the experiment</w:t>
      </w:r>
      <w:r w:rsidRPr="00390BC2">
        <w:rPr>
          <w:sz w:val="16"/>
        </w:rPr>
        <w:t xml:space="preserve"> (</w:t>
      </w:r>
      <w:proofErr w:type="spellStart"/>
      <w:r w:rsidRPr="00390BC2">
        <w:rPr>
          <w:sz w:val="16"/>
        </w:rPr>
        <w:t>Flavelle</w:t>
      </w:r>
      <w:proofErr w:type="spellEnd"/>
      <w:r w:rsidRPr="00390BC2">
        <w:rPr>
          <w:sz w:val="16"/>
        </w:rPr>
        <w:t xml:space="preserve">, 2024). Proposed SAI outdoor experiments have also been cancelled due to public opposition, the most recent example being the US-led </w:t>
      </w:r>
      <w:proofErr w:type="spellStart"/>
      <w:r w:rsidRPr="00390BC2">
        <w:rPr>
          <w:sz w:val="16"/>
        </w:rPr>
        <w:t>SCoPEx</w:t>
      </w:r>
      <w:proofErr w:type="spellEnd"/>
      <w:r w:rsidRPr="00390BC2">
        <w:rPr>
          <w:sz w:val="16"/>
        </w:rPr>
        <w:t xml:space="preserve"> </w:t>
      </w:r>
      <w:proofErr w:type="spellStart"/>
      <w:r w:rsidRPr="00390BC2">
        <w:rPr>
          <w:sz w:val="16"/>
        </w:rPr>
        <w:t>programme</w:t>
      </w:r>
      <w:proofErr w:type="spellEnd"/>
      <w:r w:rsidRPr="00390BC2">
        <w:rPr>
          <w:sz w:val="16"/>
        </w:rPr>
        <w:t xml:space="preserve"> (further discussed below, see Jinnah et al., 2024). </w:t>
      </w:r>
      <w:r w:rsidRPr="00DD3764">
        <w:rPr>
          <w:rStyle w:val="StyleUnderline"/>
          <w:highlight w:val="cyan"/>
        </w:rPr>
        <w:t xml:space="preserve">SRM R&amp;D is already taking place, so </w:t>
      </w:r>
      <w:r w:rsidRPr="00DD3764">
        <w:rPr>
          <w:rStyle w:val="Emphasis"/>
          <w:highlight w:val="cyan"/>
        </w:rPr>
        <w:t xml:space="preserve">it is not a question of </w:t>
      </w:r>
      <w:proofErr w:type="gramStart"/>
      <w:r w:rsidRPr="00DD3764">
        <w:rPr>
          <w:rStyle w:val="Emphasis"/>
          <w:highlight w:val="cyan"/>
        </w:rPr>
        <w:t>should we</w:t>
      </w:r>
      <w:proofErr w:type="gramEnd"/>
      <w:r w:rsidRPr="00DD3764">
        <w:rPr>
          <w:rStyle w:val="Emphasis"/>
          <w:highlight w:val="cyan"/>
        </w:rPr>
        <w:t xml:space="preserve"> develop governance</w:t>
      </w:r>
      <w:r w:rsidRPr="003372B4">
        <w:rPr>
          <w:rStyle w:val="Emphasis"/>
        </w:rPr>
        <w:t xml:space="preserve"> norms, </w:t>
      </w:r>
      <w:r w:rsidRPr="00DD3764">
        <w:rPr>
          <w:rStyle w:val="Emphasis"/>
          <w:highlight w:val="cyan"/>
        </w:rPr>
        <w:t>but how</w:t>
      </w:r>
      <w:r w:rsidRPr="00390BC2">
        <w:rPr>
          <w:sz w:val="16"/>
        </w:rPr>
        <w:t>.</w:t>
      </w:r>
    </w:p>
    <w:p w14:paraId="736987C5" w14:textId="77777777" w:rsidR="006F2C07" w:rsidRPr="00ED53BD" w:rsidRDefault="006F2C07" w:rsidP="006F2C07">
      <w:pPr>
        <w:rPr>
          <w:rStyle w:val="StyleUnderline"/>
        </w:rPr>
      </w:pPr>
      <w:r w:rsidRPr="00DD3764">
        <w:rPr>
          <w:rStyle w:val="StyleUnderline"/>
          <w:highlight w:val="cyan"/>
        </w:rPr>
        <w:t>Despite</w:t>
      </w:r>
      <w:r w:rsidRPr="005C5EFC">
        <w:rPr>
          <w:rStyle w:val="StyleUnderline"/>
        </w:rPr>
        <w:t xml:space="preserve"> more than </w:t>
      </w:r>
      <w:r w:rsidRPr="00DD3764">
        <w:rPr>
          <w:rStyle w:val="StyleUnderline"/>
          <w:highlight w:val="cyan"/>
        </w:rPr>
        <w:t>15 years of governance research</w:t>
      </w:r>
      <w:r w:rsidRPr="005C5EFC">
        <w:rPr>
          <w:rStyle w:val="StyleUnderline"/>
        </w:rPr>
        <w:t xml:space="preserve"> (Reynolds, 2019b), </w:t>
      </w:r>
      <w:r w:rsidRPr="00DD3764">
        <w:rPr>
          <w:rStyle w:val="StyleUnderline"/>
          <w:highlight w:val="cyan"/>
        </w:rPr>
        <w:t>there are no</w:t>
      </w:r>
      <w:r w:rsidRPr="005C5EFC">
        <w:rPr>
          <w:rStyle w:val="StyleUnderline"/>
        </w:rPr>
        <w:t xml:space="preserve"> binding </w:t>
      </w:r>
      <w:r w:rsidRPr="00DD3764">
        <w:rPr>
          <w:rStyle w:val="StyleUnderline"/>
          <w:highlight w:val="cyan"/>
        </w:rPr>
        <w:t>international</w:t>
      </w:r>
      <w:r w:rsidRPr="005C5EFC">
        <w:rPr>
          <w:rStyle w:val="StyleUnderline"/>
        </w:rPr>
        <w:t xml:space="preserve"> legal </w:t>
      </w:r>
      <w:r w:rsidRPr="00DD3764">
        <w:rPr>
          <w:rStyle w:val="StyleUnderline"/>
          <w:highlight w:val="cyan"/>
        </w:rPr>
        <w:t>instruments</w:t>
      </w:r>
      <w:r w:rsidRPr="005C5EFC">
        <w:rPr>
          <w:rStyle w:val="StyleUnderline"/>
        </w:rPr>
        <w:t xml:space="preserve"> specifically </w:t>
      </w:r>
      <w:r w:rsidRPr="00DD3764">
        <w:rPr>
          <w:rStyle w:val="StyleUnderline"/>
          <w:highlight w:val="cyan"/>
        </w:rPr>
        <w:t>governing SRM</w:t>
      </w:r>
      <w:r w:rsidRPr="005C5EFC">
        <w:rPr>
          <w:rStyle w:val="StyleUnderline"/>
        </w:rPr>
        <w:t xml:space="preserve"> at any scale. </w:t>
      </w:r>
      <w:r w:rsidRPr="00DD3764">
        <w:rPr>
          <w:rStyle w:val="StyleUnderline"/>
          <w:highlight w:val="cyan"/>
        </w:rPr>
        <w:t>Nor have national</w:t>
      </w:r>
      <w:r w:rsidRPr="005C5EFC">
        <w:rPr>
          <w:rStyle w:val="StyleUnderline"/>
        </w:rPr>
        <w:t xml:space="preserve"> </w:t>
      </w:r>
      <w:r w:rsidRPr="00DD3764">
        <w:rPr>
          <w:rStyle w:val="StyleUnderline"/>
          <w:highlight w:val="cyan"/>
        </w:rPr>
        <w:t>governments enacted SRM- specific legislation</w:t>
      </w:r>
      <w:r w:rsidRPr="005C5EFC">
        <w:rPr>
          <w:rStyle w:val="StyleUnderline"/>
        </w:rPr>
        <w:t xml:space="preserve"> or policies, including rules directed at research</w:t>
      </w:r>
      <w:r w:rsidRPr="00390BC2">
        <w:rPr>
          <w:sz w:val="16"/>
        </w:rPr>
        <w:t xml:space="preserve">. 1 Scholars provide multiple reasons for this inertia, including uncertainty over which international forums are most appropriate to govern SRM, and how the ambiguity/indeterminacy of these technologies could stymie political action (Rabitz et al., 2022). </w:t>
      </w:r>
      <w:r w:rsidRPr="00DD3764">
        <w:rPr>
          <w:rStyle w:val="StyleUnderline"/>
          <w:highlight w:val="cyan"/>
        </w:rPr>
        <w:t>The international community has been extremely reluctant</w:t>
      </w:r>
      <w:r w:rsidRPr="005C5EFC">
        <w:rPr>
          <w:rStyle w:val="StyleUnderline"/>
        </w:rPr>
        <w:t xml:space="preserve"> to develop norms that might be seen to legitimize R&amp;D of these controversial technologies (Biermann &amp; Gupta, 2024). Yet the development of anticipatory and precautionary </w:t>
      </w:r>
      <w:r w:rsidRPr="00D10917">
        <w:rPr>
          <w:rStyle w:val="StyleUnderline"/>
          <w:highlight w:val="cyan"/>
        </w:rPr>
        <w:t>governance</w:t>
      </w:r>
      <w:r w:rsidRPr="005C5EFC">
        <w:rPr>
          <w:rStyle w:val="StyleUnderline"/>
        </w:rPr>
        <w:t xml:space="preserve"> for SRM </w:t>
      </w:r>
      <w:r w:rsidRPr="00D10917">
        <w:rPr>
          <w:rStyle w:val="StyleUnderline"/>
          <w:highlight w:val="cyan"/>
        </w:rPr>
        <w:t>should not</w:t>
      </w:r>
      <w:r w:rsidRPr="005C5EFC">
        <w:rPr>
          <w:rStyle w:val="StyleUnderline"/>
        </w:rPr>
        <w:t xml:space="preserve"> </w:t>
      </w:r>
      <w:r w:rsidRPr="00D10917">
        <w:rPr>
          <w:rStyle w:val="StyleUnderline"/>
          <w:highlight w:val="cyan"/>
        </w:rPr>
        <w:t>be postponed until</w:t>
      </w:r>
      <w:r w:rsidRPr="005C5EFC">
        <w:rPr>
          <w:rStyle w:val="StyleUnderline"/>
        </w:rPr>
        <w:t xml:space="preserve"> the </w:t>
      </w:r>
      <w:r w:rsidRPr="00D10917">
        <w:rPr>
          <w:rStyle w:val="StyleUnderline"/>
          <w:highlight w:val="cyan"/>
        </w:rPr>
        <w:t>technologies are ready for deployment</w:t>
      </w:r>
      <w:r w:rsidRPr="005C5EFC">
        <w:rPr>
          <w:rStyle w:val="StyleUnderline"/>
        </w:rPr>
        <w:t xml:space="preserve">. Instead, </w:t>
      </w:r>
      <w:r w:rsidRPr="00D10917">
        <w:rPr>
          <w:rStyle w:val="StyleUnderline"/>
          <w:highlight w:val="cyan"/>
        </w:rPr>
        <w:t>governance must be developed alongside research</w:t>
      </w:r>
      <w:r w:rsidRPr="005C5EFC">
        <w:rPr>
          <w:rStyle w:val="StyleUnderline"/>
        </w:rPr>
        <w:t xml:space="preserve"> (Stilgoe et al., 2013; Geden &amp; </w:t>
      </w:r>
      <w:proofErr w:type="spellStart"/>
      <w:r w:rsidRPr="005C5EFC">
        <w:rPr>
          <w:rStyle w:val="StyleUnderline"/>
        </w:rPr>
        <w:t>Dröge</w:t>
      </w:r>
      <w:proofErr w:type="spellEnd"/>
      <w:r w:rsidRPr="005C5EFC">
        <w:rPr>
          <w:rStyle w:val="StyleUnderline"/>
        </w:rPr>
        <w:t>, 2019) and respond as we learn more from R&amp;D</w:t>
      </w:r>
      <w:r w:rsidRPr="00390BC2">
        <w:rPr>
          <w:sz w:val="16"/>
        </w:rPr>
        <w:t xml:space="preserve"> (Buck &amp; Nicholson, 2023, p. 1653). Given the evident reluctance to develop international law, and because research and development of SRM will be site specific, SRM governance must look beyond international law and institutions (Hester, 2013). </w:t>
      </w:r>
      <w:r w:rsidRPr="00D10917">
        <w:rPr>
          <w:rStyle w:val="Emphasis"/>
          <w:highlight w:val="cyan"/>
        </w:rPr>
        <w:t>Domestic governance holds promise</w:t>
      </w:r>
      <w:r w:rsidRPr="00D10917">
        <w:rPr>
          <w:rStyle w:val="StyleUnderline"/>
          <w:highlight w:val="cyan"/>
        </w:rPr>
        <w:t xml:space="preserve"> as a starting point</w:t>
      </w:r>
      <w:r w:rsidRPr="00ED53BD">
        <w:rPr>
          <w:rStyle w:val="StyleUnderline"/>
        </w:rPr>
        <w:t xml:space="preserve"> for formal SRM governance. As well as governing the risks of local-level R&amp;D, </w:t>
      </w:r>
      <w:r w:rsidRPr="00D10917">
        <w:rPr>
          <w:rStyle w:val="StyleUnderline"/>
          <w:highlight w:val="cyan"/>
        </w:rPr>
        <w:t>domestic measures</w:t>
      </w:r>
      <w:r w:rsidRPr="00ED53BD">
        <w:rPr>
          <w:rStyle w:val="StyleUnderline"/>
        </w:rPr>
        <w:t xml:space="preserve"> may </w:t>
      </w:r>
      <w:r w:rsidRPr="00D10917">
        <w:rPr>
          <w:rStyle w:val="StyleUnderline"/>
          <w:highlight w:val="cyan"/>
        </w:rPr>
        <w:t>afford</w:t>
      </w:r>
      <w:r w:rsidRPr="00ED53BD">
        <w:rPr>
          <w:rStyle w:val="StyleUnderline"/>
        </w:rPr>
        <w:t xml:space="preserve"> </w:t>
      </w:r>
      <w:r w:rsidRPr="00D10917">
        <w:rPr>
          <w:rStyle w:val="StyleUnderline"/>
          <w:highlight w:val="cyan"/>
        </w:rPr>
        <w:t>opportunities to trial different approaches and provide</w:t>
      </w:r>
      <w:r w:rsidRPr="00ED53BD">
        <w:rPr>
          <w:rStyle w:val="StyleUnderline"/>
        </w:rPr>
        <w:t xml:space="preserve"> levels of </w:t>
      </w:r>
      <w:r w:rsidRPr="00D10917">
        <w:rPr>
          <w:rStyle w:val="StyleUnderline"/>
          <w:highlight w:val="cyan"/>
        </w:rPr>
        <w:t>confidence in</w:t>
      </w:r>
      <w:r w:rsidRPr="00ED53BD">
        <w:rPr>
          <w:rStyle w:val="StyleUnderline"/>
        </w:rPr>
        <w:t xml:space="preserve"> the </w:t>
      </w:r>
      <w:r w:rsidRPr="00D10917">
        <w:rPr>
          <w:rStyle w:val="StyleUnderline"/>
          <w:highlight w:val="cyan"/>
        </w:rPr>
        <w:t>subsequent</w:t>
      </w:r>
      <w:r w:rsidRPr="00ED53BD">
        <w:rPr>
          <w:rStyle w:val="StyleUnderline"/>
        </w:rPr>
        <w:t xml:space="preserve"> development of </w:t>
      </w:r>
      <w:r w:rsidRPr="00D10917">
        <w:rPr>
          <w:rStyle w:val="StyleUnderline"/>
          <w:highlight w:val="cyan"/>
        </w:rPr>
        <w:t>international rules</w:t>
      </w:r>
      <w:r w:rsidRPr="00ED53BD">
        <w:rPr>
          <w:rStyle w:val="StyleUnderline"/>
        </w:rPr>
        <w:t>.</w:t>
      </w:r>
    </w:p>
    <w:p w14:paraId="328A84EE" w14:textId="77777777" w:rsidR="006F2C07" w:rsidRPr="00390BC2" w:rsidRDefault="006F2C07" w:rsidP="006F2C07">
      <w:pPr>
        <w:rPr>
          <w:sz w:val="16"/>
        </w:rPr>
      </w:pPr>
      <w:r w:rsidRPr="00390BC2">
        <w:rPr>
          <w:sz w:val="16"/>
        </w:rPr>
        <w:t xml:space="preserve">Academics, scientific bodies, and non-governmental organizations (NGOs) have attempted to build governance norms for climate intervention generally, and SRM </w:t>
      </w:r>
      <w:proofErr w:type="gramStart"/>
      <w:r w:rsidRPr="00390BC2">
        <w:rPr>
          <w:sz w:val="16"/>
        </w:rPr>
        <w:t>specifically, ‘</w:t>
      </w:r>
      <w:proofErr w:type="gramEnd"/>
      <w:r w:rsidRPr="00390BC2">
        <w:rPr>
          <w:sz w:val="16"/>
        </w:rPr>
        <w:t>from the bottom up’. Numerous sets of principles and frameworks for good governance have been published, using a variety of terms to label these sets of principles (Brooks et al., 2023), including ‘code of conduct</w:t>
      </w:r>
      <w:proofErr w:type="gramStart"/>
      <w:r w:rsidRPr="00390BC2">
        <w:rPr>
          <w:sz w:val="16"/>
        </w:rPr>
        <w:t>’, ‘</w:t>
      </w:r>
      <w:proofErr w:type="gramEnd"/>
      <w:r w:rsidRPr="00390BC2">
        <w:rPr>
          <w:sz w:val="16"/>
        </w:rPr>
        <w:t>guidelines</w:t>
      </w:r>
      <w:proofErr w:type="gramStart"/>
      <w:r w:rsidRPr="00390BC2">
        <w:rPr>
          <w:sz w:val="16"/>
        </w:rPr>
        <w:t>’, ‘</w:t>
      </w:r>
      <w:proofErr w:type="gramEnd"/>
      <w:r w:rsidRPr="00390BC2">
        <w:rPr>
          <w:sz w:val="16"/>
        </w:rPr>
        <w:t xml:space="preserve">policy </w:t>
      </w:r>
      <w:proofErr w:type="gramStart"/>
      <w:r w:rsidRPr="00390BC2">
        <w:rPr>
          <w:sz w:val="16"/>
        </w:rPr>
        <w:t>considerations’</w:t>
      </w:r>
      <w:proofErr w:type="gramEnd"/>
      <w:r w:rsidRPr="00390BC2">
        <w:rPr>
          <w:sz w:val="16"/>
        </w:rPr>
        <w:t xml:space="preserve">. For simplicity, we refer to them collectively as ‘governance </w:t>
      </w:r>
      <w:proofErr w:type="gramStart"/>
      <w:r w:rsidRPr="00390BC2">
        <w:rPr>
          <w:sz w:val="16"/>
        </w:rPr>
        <w:t>proposals’</w:t>
      </w:r>
      <w:proofErr w:type="gramEnd"/>
      <w:r w:rsidRPr="00390BC2">
        <w:rPr>
          <w:sz w:val="16"/>
        </w:rPr>
        <w:t xml:space="preserve">. Since 2009, ten prominent proposals for SRM research governance have been published (Table 1), and there is a significant push to develop additional informal frameworks. In its One Atmosphere report, the United Nations Environment </w:t>
      </w:r>
      <w:proofErr w:type="spellStart"/>
      <w:r w:rsidRPr="00390BC2">
        <w:rPr>
          <w:sz w:val="16"/>
        </w:rPr>
        <w:t>Programme</w:t>
      </w:r>
      <w:proofErr w:type="spellEnd"/>
      <w:r w:rsidRPr="00390BC2">
        <w:rPr>
          <w:sz w:val="16"/>
        </w:rPr>
        <w:t xml:space="preserve"> recommended developing further ‘codes of conduct’ for SRM (UNEP, 2023, p. 25). Similar recommendations have been made by the Council on Foreign Relations (Geden &amp; </w:t>
      </w:r>
      <w:proofErr w:type="spellStart"/>
      <w:r w:rsidRPr="00390BC2">
        <w:rPr>
          <w:sz w:val="16"/>
        </w:rPr>
        <w:t>Dröge</w:t>
      </w:r>
      <w:proofErr w:type="spellEnd"/>
      <w:r w:rsidRPr="00390BC2">
        <w:rPr>
          <w:sz w:val="16"/>
        </w:rPr>
        <w:t xml:space="preserve">, 2019) and Brookings Institution (Versen et al., 2021). The American Geophysical Union is currently developing its own set of ethical principles for SRM research, experimentation and deployment (AGU, 2022). </w:t>
      </w:r>
      <w:r w:rsidRPr="00DA52E7">
        <w:rPr>
          <w:rStyle w:val="StyleUnderline"/>
        </w:rPr>
        <w:t xml:space="preserve">However, additional </w:t>
      </w:r>
      <w:r w:rsidRPr="00FF23C4">
        <w:rPr>
          <w:rStyle w:val="StyleUnderline"/>
          <w:highlight w:val="cyan"/>
        </w:rPr>
        <w:t>voluntary frameworks will not ensure adequate governance</w:t>
      </w:r>
      <w:r w:rsidRPr="00DA52E7">
        <w:rPr>
          <w:rStyle w:val="StyleUnderline"/>
        </w:rPr>
        <w:t xml:space="preserve"> of SRM R&amp;D. </w:t>
      </w:r>
      <w:r w:rsidRPr="00FF23C4">
        <w:rPr>
          <w:rStyle w:val="StyleUnderline"/>
          <w:highlight w:val="cyan"/>
        </w:rPr>
        <w:t>Voluntary frameworks</w:t>
      </w:r>
      <w:r w:rsidRPr="00DA52E7">
        <w:rPr>
          <w:rStyle w:val="StyleUnderline"/>
        </w:rPr>
        <w:t xml:space="preserve"> tend to espouse general principles that </w:t>
      </w:r>
      <w:r w:rsidRPr="00FF23C4">
        <w:rPr>
          <w:rStyle w:val="StyleUnderline"/>
          <w:highlight w:val="cyan"/>
        </w:rPr>
        <w:t>need to be interpreted</w:t>
      </w:r>
      <w:r w:rsidRPr="00DA52E7">
        <w:rPr>
          <w:rStyle w:val="StyleUnderline"/>
        </w:rPr>
        <w:t xml:space="preserve"> and operationalized </w:t>
      </w:r>
      <w:r w:rsidRPr="00FF23C4">
        <w:rPr>
          <w:rStyle w:val="StyleUnderline"/>
          <w:highlight w:val="cyan"/>
        </w:rPr>
        <w:t>in a specific</w:t>
      </w:r>
      <w:r w:rsidRPr="00DA52E7">
        <w:rPr>
          <w:rStyle w:val="StyleUnderline"/>
        </w:rPr>
        <w:t xml:space="preserve"> jurisdictional </w:t>
      </w:r>
      <w:r w:rsidRPr="00FF23C4">
        <w:rPr>
          <w:rStyle w:val="StyleUnderline"/>
          <w:highlight w:val="cyan"/>
        </w:rPr>
        <w:t>context. They</w:t>
      </w:r>
      <w:r w:rsidRPr="00DA52E7">
        <w:rPr>
          <w:rStyle w:val="StyleUnderline"/>
        </w:rPr>
        <w:t xml:space="preserve"> also </w:t>
      </w:r>
      <w:r w:rsidRPr="00FF23C4">
        <w:rPr>
          <w:rStyle w:val="StyleUnderline"/>
          <w:highlight w:val="cyan"/>
        </w:rPr>
        <w:t>lack oversight and</w:t>
      </w:r>
      <w:r w:rsidRPr="00DA52E7">
        <w:rPr>
          <w:rStyle w:val="StyleUnderline"/>
        </w:rPr>
        <w:t xml:space="preserve"> </w:t>
      </w:r>
      <w:r w:rsidRPr="00FF23C4">
        <w:rPr>
          <w:rStyle w:val="StyleUnderline"/>
          <w:highlight w:val="cyan"/>
        </w:rPr>
        <w:t>accountability</w:t>
      </w:r>
      <w:r w:rsidRPr="00DA52E7">
        <w:rPr>
          <w:rStyle w:val="StyleUnderline"/>
        </w:rPr>
        <w:t xml:space="preserve"> mechanisms which are </w:t>
      </w:r>
      <w:r w:rsidRPr="00FF23C4">
        <w:rPr>
          <w:rStyle w:val="StyleUnderline"/>
          <w:highlight w:val="cyan"/>
        </w:rPr>
        <w:t>essential to promote compliance and</w:t>
      </w:r>
      <w:r w:rsidRPr="00DA52E7">
        <w:rPr>
          <w:rStyle w:val="StyleUnderline"/>
        </w:rPr>
        <w:t xml:space="preserve"> to </w:t>
      </w:r>
      <w:r w:rsidRPr="00FF23C4">
        <w:rPr>
          <w:rStyle w:val="StyleUnderline"/>
          <w:highlight w:val="cyan"/>
        </w:rPr>
        <w:t>ensure that governance remains relevant</w:t>
      </w:r>
      <w:r w:rsidRPr="00DA52E7">
        <w:rPr>
          <w:rStyle w:val="StyleUnderline"/>
        </w:rPr>
        <w:t xml:space="preserve"> and responsive to changing conditions</w:t>
      </w:r>
      <w:r w:rsidRPr="00390BC2">
        <w:rPr>
          <w:sz w:val="16"/>
        </w:rPr>
        <w:t>.</w:t>
      </w:r>
    </w:p>
    <w:p w14:paraId="071A7BC0" w14:textId="77777777" w:rsidR="006F2C07" w:rsidRPr="00390BC2" w:rsidRDefault="006F2C07" w:rsidP="006F2C07">
      <w:pPr>
        <w:rPr>
          <w:sz w:val="16"/>
        </w:rPr>
      </w:pPr>
      <w:r w:rsidRPr="00390BC2">
        <w:rPr>
          <w:sz w:val="16"/>
        </w:rPr>
        <w:t xml:space="preserve">The priority is to see general principles expounded in instruments that impose binding obligations, such as domestic legislation and institutional research ethics processes, especially in countries where SRM R&amp;D is already afoot. We investigate whether the principles set out in the various governance proposals published to date are a useful and expedient starting point for progressing SRM governance. We do not suggest that existing governance proposals are complete, or that policymakers should accept their principles on face- value. Indeed, most were developed by participants in the Global North. They will therefore require adjustment and augmentation to suit the specific governance needs of SRM R&amp;D in individual jurisdictions. </w:t>
      </w:r>
      <w:r w:rsidRPr="002D757C">
        <w:rPr>
          <w:rStyle w:val="StyleUnderline"/>
        </w:rPr>
        <w:t xml:space="preserve">Indeed, the process of </w:t>
      </w:r>
      <w:r w:rsidRPr="00FF23C4">
        <w:rPr>
          <w:rStyle w:val="StyleUnderline"/>
          <w:highlight w:val="cyan"/>
        </w:rPr>
        <w:t>translating</w:t>
      </w:r>
      <w:r w:rsidRPr="002D757C">
        <w:rPr>
          <w:rStyle w:val="StyleUnderline"/>
        </w:rPr>
        <w:t xml:space="preserve"> these </w:t>
      </w:r>
      <w:r w:rsidRPr="00FF23C4">
        <w:rPr>
          <w:rStyle w:val="StyleUnderline"/>
          <w:highlight w:val="cyan"/>
        </w:rPr>
        <w:t xml:space="preserve">principles into formal rules may trigger </w:t>
      </w:r>
      <w:r w:rsidRPr="00FF23C4">
        <w:rPr>
          <w:rStyle w:val="Emphasis"/>
          <w:highlight w:val="cyan"/>
        </w:rPr>
        <w:t>multistakeholder processes at the domestic level</w:t>
      </w:r>
      <w:r w:rsidRPr="00FF23C4">
        <w:rPr>
          <w:rStyle w:val="StyleUnderline"/>
          <w:highlight w:val="cyan"/>
        </w:rPr>
        <w:t>, including</w:t>
      </w:r>
      <w:r w:rsidRPr="002D757C">
        <w:rPr>
          <w:rStyle w:val="StyleUnderline"/>
        </w:rPr>
        <w:t xml:space="preserve"> broader </w:t>
      </w:r>
      <w:r w:rsidRPr="00FF23C4">
        <w:rPr>
          <w:rStyle w:val="StyleUnderline"/>
          <w:highlight w:val="cyan"/>
        </w:rPr>
        <w:t>community engagement, deliberation and consensus-building</w:t>
      </w:r>
      <w:r w:rsidRPr="002D757C">
        <w:rPr>
          <w:rStyle w:val="StyleUnderline"/>
        </w:rPr>
        <w:t xml:space="preserve"> regarding SRM governance. </w:t>
      </w:r>
      <w:r w:rsidRPr="00FF23C4">
        <w:rPr>
          <w:rStyle w:val="StyleUnderline"/>
          <w:highlight w:val="cyan"/>
        </w:rPr>
        <w:t>This would</w:t>
      </w:r>
      <w:r w:rsidRPr="002D757C">
        <w:rPr>
          <w:rStyle w:val="StyleUnderline"/>
        </w:rPr>
        <w:t xml:space="preserve"> also </w:t>
      </w:r>
      <w:r w:rsidRPr="00FF23C4">
        <w:rPr>
          <w:rStyle w:val="StyleUnderline"/>
          <w:highlight w:val="cyan"/>
        </w:rPr>
        <w:t>elevate</w:t>
      </w:r>
      <w:r w:rsidRPr="002D757C">
        <w:rPr>
          <w:rStyle w:val="StyleUnderline"/>
        </w:rPr>
        <w:t xml:space="preserve"> questions of </w:t>
      </w:r>
      <w:r w:rsidRPr="00FF23C4">
        <w:rPr>
          <w:rStyle w:val="StyleUnderline"/>
          <w:highlight w:val="cyan"/>
        </w:rPr>
        <w:t>SRM governance beyond</w:t>
      </w:r>
      <w:r w:rsidRPr="002D757C">
        <w:rPr>
          <w:rStyle w:val="StyleUnderline"/>
        </w:rPr>
        <w:t xml:space="preserve"> a scant </w:t>
      </w:r>
      <w:r w:rsidRPr="00FF23C4">
        <w:rPr>
          <w:rStyle w:val="StyleUnderline"/>
          <w:highlight w:val="cyan"/>
        </w:rPr>
        <w:t>few international institutions</w:t>
      </w:r>
      <w:r w:rsidRPr="002D757C">
        <w:rPr>
          <w:rStyle w:val="StyleUnderline"/>
        </w:rPr>
        <w:t>, expert circles and the pages of academic journals</w:t>
      </w:r>
      <w:r w:rsidRPr="00390BC2">
        <w:rPr>
          <w:sz w:val="16"/>
        </w:rPr>
        <w:t>. However, given the increasing number of informal governance proposals, each with different target audiences, scope and terminology, it may be challenging for domestic law and policymakers, and research institutions, to put these principles into practice for SRM R&amp;D.</w:t>
      </w:r>
    </w:p>
    <w:p w14:paraId="1E0A2DB3" w14:textId="77777777" w:rsidR="006F2C07" w:rsidRPr="00390BC2" w:rsidRDefault="006F2C07" w:rsidP="006F2C07">
      <w:pPr>
        <w:rPr>
          <w:sz w:val="16"/>
        </w:rPr>
      </w:pPr>
      <w:r w:rsidRPr="00390BC2">
        <w:rPr>
          <w:sz w:val="16"/>
        </w:rPr>
        <w:t xml:space="preserve">To assist these bodies in developing domestic governance of SRM R&amp;D, this article considers ten prominent informal governance proposals for SRM and </w:t>
      </w:r>
      <w:proofErr w:type="gramStart"/>
      <w:r w:rsidRPr="00390BC2">
        <w:rPr>
          <w:sz w:val="16"/>
        </w:rPr>
        <w:t>distils</w:t>
      </w:r>
      <w:proofErr w:type="gramEnd"/>
      <w:r w:rsidRPr="00390BC2">
        <w:rPr>
          <w:sz w:val="16"/>
        </w:rPr>
        <w:t xml:space="preserve"> a common set of principles. We highlight the level of commonality regarding key principles as well as gaps and ambiguities that domestic policymakers will need to address, in consultation with communities and stakeholders. The next section introduces the relevant governance proposals and examines the context for their development. It highlights that these proposals are the product of extensive multi-disciplinary expert deliberation, and provide a foundation for developing robust domestic instruments for the good governance of SRM R&amp;D. In Section 3, we </w:t>
      </w:r>
      <w:proofErr w:type="gramStart"/>
      <w:r w:rsidRPr="00390BC2">
        <w:rPr>
          <w:sz w:val="16"/>
        </w:rPr>
        <w:t>distil</w:t>
      </w:r>
      <w:proofErr w:type="gramEnd"/>
      <w:r w:rsidRPr="00390BC2">
        <w:rPr>
          <w:sz w:val="16"/>
        </w:rPr>
        <w:t xml:space="preserve"> common principles from the proposals. Section 4 considers the implications of the high level of commonality between these various proposals. </w:t>
      </w:r>
      <w:r w:rsidRPr="00390BC2">
        <w:rPr>
          <w:rStyle w:val="StyleUnderline"/>
        </w:rPr>
        <w:t xml:space="preserve">We </w:t>
      </w:r>
      <w:proofErr w:type="gramStart"/>
      <w:r w:rsidRPr="00390BC2">
        <w:rPr>
          <w:rStyle w:val="StyleUnderline"/>
        </w:rPr>
        <w:t>conclude in</w:t>
      </w:r>
      <w:proofErr w:type="gramEnd"/>
      <w:r w:rsidRPr="00390BC2">
        <w:rPr>
          <w:rStyle w:val="StyleUnderline"/>
        </w:rPr>
        <w:t xml:space="preserve"> Section 5 with a call for governments of countries involved in SRM research to recognize the necessary elements of a domestic SRM regime and progress the implementation of those requirements, either through research ethics frameworks or law reform</w:t>
      </w:r>
      <w:r w:rsidRPr="00390BC2">
        <w:rPr>
          <w:sz w:val="16"/>
        </w:rPr>
        <w:t>.</w:t>
      </w:r>
    </w:p>
    <w:p w14:paraId="0787E14E" w14:textId="77777777" w:rsidR="006F2C07" w:rsidRDefault="006F2C07" w:rsidP="006F2C07">
      <w:pPr>
        <w:pStyle w:val="Heading4"/>
      </w:pPr>
      <w:r>
        <w:t xml:space="preserve">Effective governance and engagement </w:t>
      </w:r>
      <w:proofErr w:type="gramStart"/>
      <w:r>
        <w:t>is</w:t>
      </w:r>
      <w:proofErr w:type="gramEnd"/>
      <w:r>
        <w:t xml:space="preserve"> key to holistically regulating Arctic geoengineering.</w:t>
      </w:r>
    </w:p>
    <w:p w14:paraId="02DB266F" w14:textId="77777777" w:rsidR="006F2C07" w:rsidRPr="00822229" w:rsidRDefault="006F2C07" w:rsidP="006F2C07">
      <w:r>
        <w:t xml:space="preserve">Federica </w:t>
      </w:r>
      <w:proofErr w:type="spellStart"/>
      <w:r w:rsidRPr="00830951">
        <w:rPr>
          <w:rStyle w:val="Style13ptBold"/>
        </w:rPr>
        <w:t>Catonini</w:t>
      </w:r>
      <w:proofErr w:type="spellEnd"/>
      <w:r w:rsidRPr="00830951">
        <w:rPr>
          <w:rStyle w:val="Style13ptBold"/>
        </w:rPr>
        <w:t xml:space="preserve"> et al</w:t>
      </w:r>
      <w:r>
        <w:t xml:space="preserve"> 4-20-20</w:t>
      </w:r>
      <w:r w:rsidRPr="00830951">
        <w:rPr>
          <w:rStyle w:val="Style13ptBold"/>
        </w:rPr>
        <w:t>25</w:t>
      </w:r>
      <w:r>
        <w:t xml:space="preserve">, Federica </w:t>
      </w:r>
      <w:proofErr w:type="spellStart"/>
      <w:r>
        <w:t>Cantonini</w:t>
      </w:r>
      <w:proofErr w:type="spellEnd"/>
      <w:r>
        <w:t xml:space="preserve"> is a PhD candidate at the Centre for Climate Change Law and Governance (CLIMA) at the University of Copenhagen. Her PhD research focuses on the regulation of ocean carbon sinks (conservation and enhancement) in international climate change, ocean and biodiversity law and governance. Johanna Sophie </w:t>
      </w:r>
      <w:proofErr w:type="spellStart"/>
      <w:r>
        <w:t>Buerkert</w:t>
      </w:r>
      <w:proofErr w:type="spellEnd"/>
      <w:r>
        <w:t xml:space="preserve"> is a postdoc at the Environmental Policy Group. She obtained her PhD in international law from the University of Copenhagen in 2024. Kristian Søby Kristensen is the head of the Department of Strategy and War Studies at the Royal Danish </w:t>
      </w:r>
      <w:proofErr w:type="spellStart"/>
      <w:r>
        <w:t>Defence</w:t>
      </w:r>
      <w:proofErr w:type="spellEnd"/>
      <w:r>
        <w:t xml:space="preserve"> College. “Arctic Geoengineering Between Governance and Science: A Structured Literature Review of the Arctic Geoengineering Discourse” p. 7 //MDC</w:t>
      </w:r>
    </w:p>
    <w:p w14:paraId="2C5E3389" w14:textId="77777777" w:rsidR="006F2C07" w:rsidRPr="006E51A1" w:rsidRDefault="006F2C07" w:rsidP="006F2C07">
      <w:pPr>
        <w:rPr>
          <w:sz w:val="16"/>
        </w:rPr>
      </w:pPr>
      <w:r w:rsidRPr="006E51A1">
        <w:rPr>
          <w:sz w:val="16"/>
        </w:rPr>
        <w:t xml:space="preserve"> 5   |   Conclusion: A Call for Interdisciplinarity</w:t>
      </w:r>
    </w:p>
    <w:p w14:paraId="34EBE5FD" w14:textId="77777777" w:rsidR="006F2C07" w:rsidRPr="006E51A1" w:rsidRDefault="006F2C07" w:rsidP="006F2C07">
      <w:pPr>
        <w:rPr>
          <w:sz w:val="16"/>
        </w:rPr>
      </w:pPr>
      <w:r w:rsidRPr="006E51A1">
        <w:rPr>
          <w:sz w:val="16"/>
        </w:rPr>
        <w:t xml:space="preserve">As the effects of climate change are materializing rapidly in the Arctic, the geoengineering discourse is gaining traction. However, the present state of the literature raises </w:t>
      </w:r>
      <w:proofErr w:type="gramStart"/>
      <w:r w:rsidRPr="006E51A1">
        <w:rPr>
          <w:sz w:val="16"/>
        </w:rPr>
        <w:t>a number of</w:t>
      </w:r>
      <w:proofErr w:type="gramEnd"/>
      <w:r w:rsidRPr="006E51A1">
        <w:rPr>
          <w:sz w:val="16"/>
        </w:rPr>
        <w:t xml:space="preserve"> questions. </w:t>
      </w:r>
      <w:r w:rsidRPr="009F0C62">
        <w:rPr>
          <w:rStyle w:val="StyleUnderline"/>
        </w:rPr>
        <w:t xml:space="preserve">While necessary to have strong scientific and technical foundational studies on Arctic geoengineering, we believe that the </w:t>
      </w:r>
      <w:r w:rsidRPr="006E51A1">
        <w:rPr>
          <w:rStyle w:val="StyleUnderline"/>
          <w:highlight w:val="cyan"/>
        </w:rPr>
        <w:t>divide between the natural sciences and technology</w:t>
      </w:r>
      <w:r w:rsidRPr="009F0C62">
        <w:rPr>
          <w:rStyle w:val="StyleUnderline"/>
        </w:rPr>
        <w:t xml:space="preserve"> studies on the one hand, and societal considerations on the other hand, </w:t>
      </w:r>
      <w:r w:rsidRPr="006E51A1">
        <w:rPr>
          <w:rStyle w:val="StyleUnderline"/>
          <w:highlight w:val="cyan"/>
        </w:rPr>
        <w:t xml:space="preserve">has the potential to lead to </w:t>
      </w:r>
      <w:r w:rsidRPr="006E51A1">
        <w:rPr>
          <w:rStyle w:val="Emphasis"/>
          <w:highlight w:val="cyan"/>
        </w:rPr>
        <w:t>technocratic decision-making</w:t>
      </w:r>
      <w:r w:rsidRPr="006E51A1">
        <w:rPr>
          <w:rStyle w:val="StyleUnderline"/>
          <w:highlight w:val="cyan"/>
        </w:rPr>
        <w:t xml:space="preserve"> that fails to consider the</w:t>
      </w:r>
      <w:r w:rsidRPr="009F0C62">
        <w:rPr>
          <w:rStyle w:val="StyleUnderline"/>
        </w:rPr>
        <w:t xml:space="preserve"> possible </w:t>
      </w:r>
      <w:r w:rsidRPr="006E51A1">
        <w:rPr>
          <w:rStyle w:val="StyleUnderline"/>
          <w:highlight w:val="cyan"/>
        </w:rPr>
        <w:t>effects of these technologies on the Arctic environment</w:t>
      </w:r>
      <w:r w:rsidRPr="009F0C62">
        <w:rPr>
          <w:rStyle w:val="StyleUnderline"/>
        </w:rPr>
        <w:t xml:space="preserve">, on the Arctic </w:t>
      </w:r>
      <w:r w:rsidRPr="006E51A1">
        <w:rPr>
          <w:rStyle w:val="StyleUnderline"/>
          <w:highlight w:val="cyan"/>
        </w:rPr>
        <w:t>peoples, and</w:t>
      </w:r>
      <w:r w:rsidRPr="009F0C62">
        <w:rPr>
          <w:rStyle w:val="StyleUnderline"/>
        </w:rPr>
        <w:t xml:space="preserve"> the potential </w:t>
      </w:r>
      <w:r w:rsidRPr="006E51A1">
        <w:rPr>
          <w:rStyle w:val="StyleUnderline"/>
          <w:highlight w:val="cyan"/>
        </w:rPr>
        <w:t>security</w:t>
      </w:r>
      <w:r w:rsidRPr="009F0C62">
        <w:rPr>
          <w:rStyle w:val="StyleUnderline"/>
        </w:rPr>
        <w:t xml:space="preserve"> concerns both inside and beyond the Arctic</w:t>
      </w:r>
      <w:r w:rsidRPr="006E51A1">
        <w:rPr>
          <w:sz w:val="16"/>
        </w:rPr>
        <w:t>. Interdisciplinary and inclusive decision</w:t>
      </w:r>
      <w:proofErr w:type="gramStart"/>
      <w:r w:rsidRPr="006E51A1">
        <w:rPr>
          <w:sz w:val="16"/>
        </w:rPr>
        <w:t>- making</w:t>
      </w:r>
      <w:proofErr w:type="gramEnd"/>
      <w:r w:rsidRPr="006E51A1">
        <w:rPr>
          <w:sz w:val="16"/>
        </w:rPr>
        <w:t xml:space="preserve"> processes that take all stake- and right- holders into account are a precondition for effective and just governance of geoengineering. </w:t>
      </w:r>
      <w:r w:rsidRPr="009F0C62">
        <w:rPr>
          <w:rStyle w:val="StyleUnderline"/>
        </w:rPr>
        <w:t xml:space="preserve">Moreover, we observe an urgent need to bridge the divide between governance, scientific research, and Indigenous knowledge. </w:t>
      </w:r>
      <w:proofErr w:type="gramStart"/>
      <w:r w:rsidRPr="006E51A1">
        <w:rPr>
          <w:rStyle w:val="StyleUnderline"/>
          <w:highlight w:val="cyan"/>
        </w:rPr>
        <w:t>In order to</w:t>
      </w:r>
      <w:proofErr w:type="gramEnd"/>
      <w:r w:rsidRPr="006E51A1">
        <w:rPr>
          <w:rStyle w:val="StyleUnderline"/>
          <w:highlight w:val="cyan"/>
        </w:rPr>
        <w:t xml:space="preserve"> avoid</w:t>
      </w:r>
      <w:r w:rsidRPr="009F0C62">
        <w:rPr>
          <w:rStyle w:val="StyleUnderline"/>
        </w:rPr>
        <w:t xml:space="preserve"> </w:t>
      </w:r>
      <w:r w:rsidRPr="006E51A1">
        <w:rPr>
          <w:rStyle w:val="StyleUnderline"/>
          <w:highlight w:val="cyan"/>
        </w:rPr>
        <w:t>governance traps and a governance vacuum, it is essential that governance develops</w:t>
      </w:r>
      <w:r w:rsidRPr="009F0C62">
        <w:rPr>
          <w:rStyle w:val="StyleUnderline"/>
        </w:rPr>
        <w:t xml:space="preserve"> closely </w:t>
      </w:r>
      <w:r w:rsidRPr="006E51A1">
        <w:rPr>
          <w:rStyle w:val="StyleUnderline"/>
          <w:highlight w:val="cyan"/>
        </w:rPr>
        <w:t>alongside technology</w:t>
      </w:r>
      <w:r w:rsidRPr="009F0C62">
        <w:rPr>
          <w:rStyle w:val="StyleUnderline"/>
        </w:rPr>
        <w:t xml:space="preserve">—this also has merit from a security aspect, </w:t>
      </w:r>
      <w:r w:rsidRPr="006E51A1">
        <w:rPr>
          <w:rStyle w:val="StyleUnderline"/>
          <w:highlight w:val="cyan"/>
        </w:rPr>
        <w:t>as it may contribute to</w:t>
      </w:r>
      <w:r w:rsidRPr="009F0C62">
        <w:rPr>
          <w:rStyle w:val="StyleUnderline"/>
        </w:rPr>
        <w:t xml:space="preserve"> </w:t>
      </w:r>
      <w:r w:rsidRPr="006E51A1">
        <w:rPr>
          <w:rStyle w:val="StyleUnderline"/>
          <w:highlight w:val="cyan"/>
        </w:rPr>
        <w:t>preventing security concerns that unilateral development</w:t>
      </w:r>
      <w:r w:rsidRPr="009F0C62">
        <w:rPr>
          <w:rStyle w:val="StyleUnderline"/>
        </w:rPr>
        <w:t xml:space="preserve"> of technologies </w:t>
      </w:r>
      <w:r w:rsidRPr="006E51A1">
        <w:rPr>
          <w:rStyle w:val="StyleUnderline"/>
          <w:highlight w:val="cyan"/>
        </w:rPr>
        <w:t>may bring</w:t>
      </w:r>
      <w:r w:rsidRPr="006E51A1">
        <w:rPr>
          <w:sz w:val="16"/>
        </w:rPr>
        <w:t>. Research that focuses on the technological aspects of geoengineering should therefore include governance and policy considerations, instead of leaving the “governance problem” to later or to other disciplines.</w:t>
      </w:r>
    </w:p>
    <w:p w14:paraId="58E2F5DF" w14:textId="77777777" w:rsidR="006F2C07" w:rsidRDefault="006F2C07" w:rsidP="006F2C07">
      <w:pPr>
        <w:rPr>
          <w:sz w:val="16"/>
        </w:rPr>
      </w:pPr>
      <w:r w:rsidRPr="006E51A1">
        <w:rPr>
          <w:sz w:val="16"/>
        </w:rPr>
        <w:t xml:space="preserve">Overall, </w:t>
      </w:r>
      <w:r w:rsidRPr="0031547C">
        <w:rPr>
          <w:rStyle w:val="StyleUnderline"/>
          <w:highlight w:val="cyan"/>
        </w:rPr>
        <w:t>this review highlights the</w:t>
      </w:r>
      <w:r w:rsidRPr="006E51A1">
        <w:rPr>
          <w:rStyle w:val="StyleUnderline"/>
        </w:rPr>
        <w:t xml:space="preserve"> benefits and </w:t>
      </w:r>
      <w:r w:rsidRPr="0031547C">
        <w:rPr>
          <w:rStyle w:val="StyleUnderline"/>
          <w:highlight w:val="cyan"/>
        </w:rPr>
        <w:t>need for cooperation and inter- and transdisciplinary approaches to Arctic geoengineering</w:t>
      </w:r>
      <w:r w:rsidRPr="006E51A1">
        <w:rPr>
          <w:rStyle w:val="StyleUnderline"/>
        </w:rPr>
        <w:t xml:space="preserve"> research, including both western science and other types of knowledge. </w:t>
      </w:r>
      <w:r w:rsidRPr="0031547C">
        <w:rPr>
          <w:rStyle w:val="StyleUnderline"/>
          <w:highlight w:val="cyan"/>
        </w:rPr>
        <w:t>These would help</w:t>
      </w:r>
      <w:r w:rsidRPr="006E51A1">
        <w:rPr>
          <w:rStyle w:val="StyleUnderline"/>
        </w:rPr>
        <w:t xml:space="preserve"> the development of </w:t>
      </w:r>
      <w:r w:rsidRPr="0031547C">
        <w:rPr>
          <w:rStyle w:val="StyleUnderline"/>
          <w:highlight w:val="cyan"/>
        </w:rPr>
        <w:t xml:space="preserve">governance proposals that consider </w:t>
      </w:r>
      <w:r w:rsidRPr="00591537">
        <w:rPr>
          <w:rStyle w:val="StyleUnderline"/>
          <w:highlight w:val="cyan"/>
        </w:rPr>
        <w:t xml:space="preserve">the wider consequences of Arctic </w:t>
      </w:r>
      <w:r w:rsidRPr="0031547C">
        <w:rPr>
          <w:rStyle w:val="StyleUnderline"/>
          <w:highlight w:val="cyan"/>
        </w:rPr>
        <w:t>geoengineering</w:t>
      </w:r>
      <w:r w:rsidRPr="006E51A1">
        <w:rPr>
          <w:rStyle w:val="StyleUnderline"/>
        </w:rPr>
        <w:t xml:space="preserve"> for the environment, people, and security </w:t>
      </w:r>
      <w:r w:rsidRPr="0031547C">
        <w:rPr>
          <w:rStyle w:val="StyleUnderline"/>
          <w:highlight w:val="cyan"/>
        </w:rPr>
        <w:t>in a holistic manner</w:t>
      </w:r>
      <w:r w:rsidRPr="006E51A1">
        <w:rPr>
          <w:sz w:val="16"/>
        </w:rPr>
        <w:t>.</w:t>
      </w:r>
    </w:p>
    <w:p w14:paraId="15FF597C" w14:textId="77777777" w:rsidR="006F2C07" w:rsidRDefault="006F2C07" w:rsidP="006F2C07">
      <w:pPr>
        <w:pStyle w:val="Heading4"/>
      </w:pPr>
      <w:r>
        <w:t xml:space="preserve">Lack of geoengineering governance triggers unilateral use by both </w:t>
      </w:r>
      <w:r>
        <w:rPr>
          <w:u w:val="single"/>
        </w:rPr>
        <w:t>state</w:t>
      </w:r>
      <w:r>
        <w:t xml:space="preserve"> and </w:t>
      </w:r>
      <w:r>
        <w:rPr>
          <w:u w:val="single"/>
        </w:rPr>
        <w:t>non-state</w:t>
      </w:r>
      <w:r>
        <w:t xml:space="preserve"> actors.</w:t>
      </w:r>
    </w:p>
    <w:p w14:paraId="0018ABFD" w14:textId="77777777" w:rsidR="006F2C07" w:rsidRPr="00A53874" w:rsidRDefault="006F2C07" w:rsidP="006F2C07">
      <w:r>
        <w:t xml:space="preserve">Craig </w:t>
      </w:r>
      <w:r w:rsidRPr="00FE17B5">
        <w:rPr>
          <w:rStyle w:val="Style13ptBold"/>
        </w:rPr>
        <w:t>Martin and</w:t>
      </w:r>
      <w:r>
        <w:t xml:space="preserve"> Scott </w:t>
      </w:r>
      <w:r w:rsidRPr="00FE17B5">
        <w:rPr>
          <w:rStyle w:val="Style13ptBold"/>
        </w:rPr>
        <w:t>Moore</w:t>
      </w:r>
      <w:r>
        <w:t xml:space="preserve"> 1-7-20</w:t>
      </w:r>
      <w:r w:rsidRPr="00FE17B5">
        <w:rPr>
          <w:rStyle w:val="Style13ptBold"/>
        </w:rPr>
        <w:t>25</w:t>
      </w:r>
      <w:r>
        <w:t xml:space="preserve">, Craig Martin is Professor of Law and Co-Director of the International and Comparative Law Center, Washburn University School of Law; Scott Moore is Practice Professor of Political Science and Director of China Programs and Strategic Initiatives, University of Pennsylvania. </w:t>
      </w:r>
      <w:r>
        <w:rPr>
          <w:i/>
          <w:iCs/>
        </w:rPr>
        <w:t>Harvard International Law Journal, Vol. 66</w:t>
      </w:r>
      <w:r>
        <w:t>,</w:t>
      </w:r>
      <w:r w:rsidRPr="00FE17B5">
        <w:t xml:space="preserve"> </w:t>
      </w:r>
      <w:r>
        <w:t>p. 123-124</w:t>
      </w:r>
      <w:r>
        <w:rPr>
          <w:i/>
          <w:iCs/>
        </w:rPr>
        <w:t xml:space="preserve"> </w:t>
      </w:r>
      <w:r>
        <w:t>“Geoengineering Wars and Atmospheric Governance” //MDC</w:t>
      </w:r>
    </w:p>
    <w:p w14:paraId="4D8AB664" w14:textId="77777777" w:rsidR="006F2C07" w:rsidRPr="00460B33" w:rsidRDefault="006F2C07" w:rsidP="006F2C07">
      <w:pPr>
        <w:rPr>
          <w:sz w:val="16"/>
        </w:rPr>
      </w:pPr>
      <w:r w:rsidRPr="00460B33">
        <w:rPr>
          <w:sz w:val="16"/>
        </w:rPr>
        <w:t>III. The Risk of Armed Conflict</w:t>
      </w:r>
    </w:p>
    <w:p w14:paraId="5D83FDFC" w14:textId="77777777" w:rsidR="006F2C07" w:rsidRPr="00460B33" w:rsidRDefault="006F2C07" w:rsidP="006F2C07">
      <w:pPr>
        <w:rPr>
          <w:sz w:val="16"/>
        </w:rPr>
      </w:pPr>
      <w:r w:rsidRPr="00460B33">
        <w:rPr>
          <w:sz w:val="16"/>
        </w:rPr>
        <w:t xml:space="preserve">In Part I we examined the strong incentives for engaging in SAI, as well as the considerable risk of both direct and indirect </w:t>
      </w:r>
      <w:proofErr w:type="gramStart"/>
      <w:r w:rsidRPr="00460B33">
        <w:rPr>
          <w:sz w:val="16"/>
        </w:rPr>
        <w:t>harms</w:t>
      </w:r>
      <w:proofErr w:type="gramEnd"/>
      <w:r w:rsidRPr="00460B33">
        <w:rPr>
          <w:sz w:val="16"/>
        </w:rPr>
        <w:t xml:space="preserve"> that SAI poses to the environment and to the climate system. </w:t>
      </w:r>
      <w:r w:rsidRPr="00104F8D">
        <w:rPr>
          <w:rStyle w:val="StyleUnderline"/>
        </w:rPr>
        <w:t xml:space="preserve">We also explained the </w:t>
      </w:r>
      <w:r w:rsidRPr="00460B33">
        <w:rPr>
          <w:rStyle w:val="StyleUnderline"/>
          <w:highlight w:val="cyan"/>
        </w:rPr>
        <w:t>increasing possibility</w:t>
      </w:r>
      <w:r w:rsidRPr="00104F8D">
        <w:rPr>
          <w:rStyle w:val="StyleUnderline"/>
        </w:rPr>
        <w:t xml:space="preserve"> </w:t>
      </w:r>
      <w:r w:rsidRPr="00460B33">
        <w:rPr>
          <w:rStyle w:val="StyleUnderline"/>
          <w:highlight w:val="cyan"/>
        </w:rPr>
        <w:t>that</w:t>
      </w:r>
      <w:r w:rsidRPr="00104F8D">
        <w:rPr>
          <w:rStyle w:val="StyleUnderline"/>
        </w:rPr>
        <w:t xml:space="preserve"> some </w:t>
      </w:r>
      <w:r w:rsidRPr="00460B33">
        <w:rPr>
          <w:rStyle w:val="Emphasis"/>
          <w:highlight w:val="cyan"/>
        </w:rPr>
        <w:t>states, or</w:t>
      </w:r>
      <w:r w:rsidRPr="00104F8D">
        <w:rPr>
          <w:rStyle w:val="Emphasis"/>
        </w:rPr>
        <w:t xml:space="preserve"> even </w:t>
      </w:r>
      <w:r w:rsidRPr="00460B33">
        <w:rPr>
          <w:rStyle w:val="Emphasis"/>
          <w:highlight w:val="cyan"/>
        </w:rPr>
        <w:t>non-state actors</w:t>
      </w:r>
      <w:r w:rsidRPr="00460B33">
        <w:rPr>
          <w:rStyle w:val="StyleUnderline"/>
          <w:highlight w:val="cyan"/>
        </w:rPr>
        <w:t>, may</w:t>
      </w:r>
      <w:r w:rsidRPr="00104F8D">
        <w:rPr>
          <w:rStyle w:val="StyleUnderline"/>
        </w:rPr>
        <w:t xml:space="preserve"> nonetheless attempt to </w:t>
      </w:r>
      <w:r w:rsidRPr="00460B33">
        <w:rPr>
          <w:rStyle w:val="StyleUnderline"/>
          <w:highlight w:val="cyan"/>
        </w:rPr>
        <w:t>engage in unilateral SAI efforts</w:t>
      </w:r>
      <w:r w:rsidRPr="00104F8D">
        <w:rPr>
          <w:rStyle w:val="StyleUnderline"/>
        </w:rPr>
        <w:t>. In Part</w:t>
      </w:r>
      <w:r w:rsidRPr="004A2D83">
        <w:rPr>
          <w:rStyle w:val="StyleUnderline"/>
        </w:rPr>
        <w:t xml:space="preserve"> II we explored the </w:t>
      </w:r>
      <w:r w:rsidRPr="00460B33">
        <w:rPr>
          <w:rStyle w:val="StyleUnderline"/>
          <w:highlight w:val="cyan"/>
        </w:rPr>
        <w:t>existing</w:t>
      </w:r>
      <w:r w:rsidRPr="004A2D83">
        <w:rPr>
          <w:rStyle w:val="StyleUnderline"/>
        </w:rPr>
        <w:t xml:space="preserve"> international law and other forms of international </w:t>
      </w:r>
      <w:r w:rsidRPr="00460B33">
        <w:rPr>
          <w:rStyle w:val="StyleUnderline"/>
          <w:highlight w:val="cyan"/>
        </w:rPr>
        <w:t>governance structures that may</w:t>
      </w:r>
      <w:r w:rsidRPr="004A2D83">
        <w:rPr>
          <w:rStyle w:val="StyleUnderline"/>
        </w:rPr>
        <w:t xml:space="preserve"> operate to limit or </w:t>
      </w:r>
      <w:r w:rsidRPr="00460B33">
        <w:rPr>
          <w:rStyle w:val="StyleUnderline"/>
          <w:highlight w:val="cyan"/>
        </w:rPr>
        <w:t>deter</w:t>
      </w:r>
      <w:r w:rsidRPr="004A2D83">
        <w:rPr>
          <w:rStyle w:val="StyleUnderline"/>
        </w:rPr>
        <w:t xml:space="preserve"> such </w:t>
      </w:r>
      <w:proofErr w:type="gramStart"/>
      <w:r w:rsidRPr="00460B33">
        <w:rPr>
          <w:rStyle w:val="StyleUnderline"/>
          <w:highlight w:val="cyan"/>
        </w:rPr>
        <w:t>action</w:t>
      </w:r>
      <w:r w:rsidRPr="004A2D83">
        <w:rPr>
          <w:rStyle w:val="StyleUnderline"/>
        </w:rPr>
        <w:t>, and</w:t>
      </w:r>
      <w:proofErr w:type="gramEnd"/>
      <w:r w:rsidRPr="004A2D83">
        <w:rPr>
          <w:rStyle w:val="StyleUnderline"/>
        </w:rPr>
        <w:t xml:space="preserve"> noted that these constraints </w:t>
      </w:r>
      <w:r w:rsidRPr="00460B33">
        <w:rPr>
          <w:rStyle w:val="StyleUnderline"/>
          <w:highlight w:val="cyan"/>
        </w:rPr>
        <w:t>are</w:t>
      </w:r>
      <w:r w:rsidRPr="004A2D83">
        <w:rPr>
          <w:rStyle w:val="StyleUnderline"/>
        </w:rPr>
        <w:t xml:space="preserve"> rather </w:t>
      </w:r>
      <w:r w:rsidRPr="00460B33">
        <w:rPr>
          <w:rStyle w:val="StyleUnderline"/>
          <w:highlight w:val="cyan"/>
        </w:rPr>
        <w:t xml:space="preserve">weak and </w:t>
      </w:r>
      <w:r w:rsidRPr="0091173D">
        <w:rPr>
          <w:rStyle w:val="StyleUnderline"/>
          <w:highlight w:val="cyan"/>
        </w:rPr>
        <w:t>uncertain</w:t>
      </w:r>
      <w:r w:rsidRPr="0091173D">
        <w:rPr>
          <w:rStyle w:val="StyleUnderline"/>
        </w:rPr>
        <w:t xml:space="preserve">. This combination of </w:t>
      </w:r>
      <w:r w:rsidRPr="0091173D">
        <w:rPr>
          <w:rStyle w:val="StyleUnderline"/>
          <w:highlight w:val="cyan"/>
        </w:rPr>
        <w:t>strong incentives</w:t>
      </w:r>
      <w:r w:rsidRPr="0091173D">
        <w:rPr>
          <w:rStyle w:val="StyleUnderline"/>
        </w:rPr>
        <w:t xml:space="preserve"> </w:t>
      </w:r>
      <w:r w:rsidRPr="0091173D">
        <w:rPr>
          <w:rStyle w:val="StyleUnderline"/>
          <w:highlight w:val="cyan"/>
        </w:rPr>
        <w:t>for action</w:t>
      </w:r>
      <w:r w:rsidRPr="0091173D">
        <w:rPr>
          <w:rStyle w:val="StyleUnderline"/>
        </w:rPr>
        <w:t xml:space="preserve">, the risk of harm from such action, </w:t>
      </w:r>
      <w:r w:rsidRPr="0091173D">
        <w:rPr>
          <w:rStyle w:val="StyleUnderline"/>
          <w:highlight w:val="cyan"/>
        </w:rPr>
        <w:t>and the absence of</w:t>
      </w:r>
      <w:r w:rsidRPr="0091173D">
        <w:rPr>
          <w:rStyle w:val="StyleUnderline"/>
        </w:rPr>
        <w:t xml:space="preserve"> effective legal </w:t>
      </w:r>
      <w:r w:rsidRPr="0091173D">
        <w:rPr>
          <w:rStyle w:val="StyleUnderline"/>
          <w:highlight w:val="cyan"/>
        </w:rPr>
        <w:t>constraints, should be cause for</w:t>
      </w:r>
      <w:r w:rsidRPr="0091173D">
        <w:rPr>
          <w:rStyle w:val="StyleUnderline"/>
        </w:rPr>
        <w:t xml:space="preserve"> considerable </w:t>
      </w:r>
      <w:r w:rsidRPr="0091173D">
        <w:rPr>
          <w:rStyle w:val="StyleUnderline"/>
          <w:highlight w:val="cyan"/>
        </w:rPr>
        <w:t>apprehension</w:t>
      </w:r>
      <w:r w:rsidRPr="00460B33">
        <w:rPr>
          <w:sz w:val="16"/>
        </w:rPr>
        <w:t xml:space="preserve">. And it is indeed the basis for many concerns that have been raised elsewhere regarding possible unilateral SAI efforts. On the other hand, as we discussed briefly above, some argue that due to the future warming already baked into the climate system, the risk of harm posed by not doing everything we can to moderate rising temperatures, including the use of SAI in the short term, is actually greater than the risk of harm that SAI poses.182 Those who take this view argue that employing some form of SAI as a temporary stop-gap measure to moderate global temperature until we can bring emissions down is the lesser evil.183 </w:t>
      </w:r>
    </w:p>
    <w:p w14:paraId="2BB383FD" w14:textId="77777777" w:rsidR="006F2C07" w:rsidRPr="00460B33" w:rsidRDefault="006F2C07" w:rsidP="006F2C07">
      <w:pPr>
        <w:rPr>
          <w:sz w:val="16"/>
        </w:rPr>
      </w:pPr>
      <w:r w:rsidRPr="00460B33">
        <w:rPr>
          <w:sz w:val="16"/>
        </w:rPr>
        <w:t xml:space="preserve">There is, however, </w:t>
      </w:r>
      <w:r w:rsidRPr="004A2FE0">
        <w:rPr>
          <w:rStyle w:val="StyleUnderline"/>
        </w:rPr>
        <w:t xml:space="preserve">a second-order or </w:t>
      </w:r>
      <w:r w:rsidRPr="0091173D">
        <w:rPr>
          <w:rStyle w:val="StyleUnderline"/>
        </w:rPr>
        <w:t>knock-on risk</w:t>
      </w:r>
      <w:r w:rsidRPr="004A2FE0">
        <w:rPr>
          <w:rStyle w:val="StyleUnderline"/>
        </w:rPr>
        <w:t xml:space="preserve"> posed by </w:t>
      </w:r>
      <w:r w:rsidRPr="0091173D">
        <w:rPr>
          <w:rStyle w:val="StyleUnderline"/>
          <w:highlight w:val="cyan"/>
        </w:rPr>
        <w:t>unilateral SAI efforts</w:t>
      </w:r>
      <w:r w:rsidRPr="004A2FE0">
        <w:rPr>
          <w:rStyle w:val="StyleUnderline"/>
        </w:rPr>
        <w:t xml:space="preserve"> that is under-appreciated and under-theorized in this debate: The risk that a unilateral effort to engage in SAI will </w:t>
      </w:r>
      <w:r w:rsidRPr="0091173D">
        <w:rPr>
          <w:rStyle w:val="StyleUnderline"/>
          <w:highlight w:val="cyan"/>
        </w:rPr>
        <w:t>provoke an armed response leading to armed conflict</w:t>
      </w:r>
      <w:r w:rsidRPr="00460B33">
        <w:rPr>
          <w:sz w:val="16"/>
        </w:rPr>
        <w:t xml:space="preserve">. This risk is often gestured to in passing as a “geopolitical risk,” including by such institutions as the IPCC,184 UNEP,185 and the U.S. national intelligence community,186 but this risk has not been unpacked and explained, and thus it is not sufficiently accounted for in the debate on SAI. This risk is certainly not sufficiently considered by policymakers trying to balance the risks of action and inaction on the geoengineering front. </w:t>
      </w:r>
      <w:r w:rsidRPr="004A2FE0">
        <w:rPr>
          <w:rStyle w:val="StyleUnderline"/>
        </w:rPr>
        <w:t xml:space="preserve">In our view, </w:t>
      </w:r>
      <w:r w:rsidRPr="0091173D">
        <w:rPr>
          <w:rStyle w:val="StyleUnderline"/>
          <w:highlight w:val="cyan"/>
        </w:rPr>
        <w:t>this risk</w:t>
      </w:r>
      <w:r w:rsidRPr="004A2FE0">
        <w:rPr>
          <w:rStyle w:val="StyleUnderline"/>
        </w:rPr>
        <w:t xml:space="preserve">, when fully appreciated, likely tips the balance of precaution and prudence firmly in favor of constraint on SAI, and </w:t>
      </w:r>
      <w:r w:rsidRPr="0091173D">
        <w:rPr>
          <w:rStyle w:val="StyleUnderline"/>
          <w:highlight w:val="cyan"/>
        </w:rPr>
        <w:t>adds to the urgency of establishing</w:t>
      </w:r>
      <w:r w:rsidRPr="004A2FE0">
        <w:rPr>
          <w:rStyle w:val="StyleUnderline"/>
        </w:rPr>
        <w:t xml:space="preserve"> a strong </w:t>
      </w:r>
      <w:r w:rsidRPr="0091173D">
        <w:rPr>
          <w:rStyle w:val="StyleUnderline"/>
          <w:highlight w:val="cyan"/>
        </w:rPr>
        <w:t>global governance structure for atmospheric SRM</w:t>
      </w:r>
      <w:r w:rsidRPr="004A2FE0">
        <w:rPr>
          <w:rStyle w:val="StyleUnderline"/>
        </w:rPr>
        <w:t xml:space="preserve"> in general </w:t>
      </w:r>
      <w:r w:rsidRPr="0091173D">
        <w:rPr>
          <w:rStyle w:val="StyleUnderline"/>
          <w:highlight w:val="cyan"/>
        </w:rPr>
        <w:t>and SAI</w:t>
      </w:r>
      <w:r w:rsidRPr="004A2FE0">
        <w:rPr>
          <w:rStyle w:val="StyleUnderline"/>
        </w:rPr>
        <w:t xml:space="preserve"> in particular</w:t>
      </w:r>
      <w:r w:rsidRPr="00460B33">
        <w:rPr>
          <w:sz w:val="16"/>
        </w:rPr>
        <w:t xml:space="preserve">. </w:t>
      </w:r>
    </w:p>
    <w:p w14:paraId="20DB59C7" w14:textId="77777777" w:rsidR="006F2C07" w:rsidRDefault="006F2C07" w:rsidP="006F2C07">
      <w:pPr>
        <w:pStyle w:val="Heading4"/>
      </w:pPr>
      <w:r>
        <w:t>Unilateral geoengineering by states triggers conflicts that collapse international law.</w:t>
      </w:r>
    </w:p>
    <w:p w14:paraId="1A0FEB1B" w14:textId="77777777" w:rsidR="006F2C07" w:rsidRPr="00687A2B" w:rsidRDefault="006F2C07" w:rsidP="006F2C07">
      <w:r>
        <w:t xml:space="preserve">Craig </w:t>
      </w:r>
      <w:r w:rsidRPr="00FE17B5">
        <w:rPr>
          <w:rStyle w:val="Style13ptBold"/>
        </w:rPr>
        <w:t>Martin and</w:t>
      </w:r>
      <w:r>
        <w:t xml:space="preserve"> Scott </w:t>
      </w:r>
      <w:r w:rsidRPr="00FE17B5">
        <w:rPr>
          <w:rStyle w:val="Style13ptBold"/>
        </w:rPr>
        <w:t>Moore</w:t>
      </w:r>
      <w:r>
        <w:t xml:space="preserve"> 1-7-20</w:t>
      </w:r>
      <w:r w:rsidRPr="00FE17B5">
        <w:rPr>
          <w:rStyle w:val="Style13ptBold"/>
        </w:rPr>
        <w:t>25</w:t>
      </w:r>
      <w:r>
        <w:t xml:space="preserve">, Craig Martin is Professor of Law and Co-Director of the International and Comparative Law Center, Washburn University School of Law; Scott Moore is Practice Professor of Political Science and Director of China Programs and Strategic Initiatives, University of Pennsylvania. </w:t>
      </w:r>
      <w:r>
        <w:rPr>
          <w:i/>
          <w:iCs/>
        </w:rPr>
        <w:t>Harvard International Law Journal, Vol. 66</w:t>
      </w:r>
      <w:r>
        <w:t>,</w:t>
      </w:r>
      <w:r w:rsidRPr="00FE17B5">
        <w:t xml:space="preserve"> </w:t>
      </w:r>
      <w:r>
        <w:t>p. 137-138</w:t>
      </w:r>
      <w:r>
        <w:rPr>
          <w:i/>
          <w:iCs/>
        </w:rPr>
        <w:t xml:space="preserve"> </w:t>
      </w:r>
      <w:r>
        <w:t>“Geoengineering Wars and Atmospheric Governance” //MDC</w:t>
      </w:r>
    </w:p>
    <w:p w14:paraId="6FBB2D0B" w14:textId="77777777" w:rsidR="006F2C07" w:rsidRPr="007F118A" w:rsidRDefault="006F2C07" w:rsidP="006F2C07">
      <w:pPr>
        <w:rPr>
          <w:sz w:val="16"/>
        </w:rPr>
      </w:pPr>
      <w:r w:rsidRPr="007F118A">
        <w:rPr>
          <w:sz w:val="16"/>
        </w:rPr>
        <w:t xml:space="preserve">In </w:t>
      </w:r>
      <w:proofErr w:type="gramStart"/>
      <w:r w:rsidRPr="007F118A">
        <w:rPr>
          <w:sz w:val="16"/>
        </w:rPr>
        <w:t>sum</w:t>
      </w:r>
      <w:proofErr w:type="gramEnd"/>
      <w:r w:rsidRPr="007F118A">
        <w:rPr>
          <w:sz w:val="16"/>
        </w:rPr>
        <w:t xml:space="preserve">, </w:t>
      </w:r>
      <w:r w:rsidRPr="002034C3">
        <w:rPr>
          <w:rStyle w:val="StyleUnderline"/>
          <w:highlight w:val="cyan"/>
        </w:rPr>
        <w:t>governments</w:t>
      </w:r>
      <w:r w:rsidRPr="00351E58">
        <w:rPr>
          <w:rStyle w:val="StyleUnderline"/>
        </w:rPr>
        <w:t xml:space="preserve"> already quite clearly and explicitly </w:t>
      </w:r>
      <w:r w:rsidRPr="002034C3">
        <w:rPr>
          <w:rStyle w:val="StyleUnderline"/>
          <w:highlight w:val="cyan"/>
        </w:rPr>
        <w:t>view</w:t>
      </w:r>
      <w:r w:rsidRPr="00351E58">
        <w:rPr>
          <w:rStyle w:val="StyleUnderline"/>
        </w:rPr>
        <w:t xml:space="preserve"> the consequences of </w:t>
      </w:r>
      <w:r w:rsidRPr="002034C3">
        <w:rPr>
          <w:rStyle w:val="StyleUnderline"/>
          <w:highlight w:val="cyan"/>
        </w:rPr>
        <w:t>climate change as a threat to</w:t>
      </w:r>
      <w:r w:rsidRPr="00351E58">
        <w:rPr>
          <w:rStyle w:val="StyleUnderline"/>
        </w:rPr>
        <w:t xml:space="preserve"> both </w:t>
      </w:r>
      <w:r w:rsidRPr="002034C3">
        <w:rPr>
          <w:rStyle w:val="StyleUnderline"/>
          <w:highlight w:val="cyan"/>
        </w:rPr>
        <w:t>national security</w:t>
      </w:r>
      <w:r w:rsidRPr="00351E58">
        <w:rPr>
          <w:rStyle w:val="StyleUnderline"/>
        </w:rPr>
        <w:t xml:space="preserve"> and to international peace and security. Thus, some </w:t>
      </w:r>
      <w:r w:rsidRPr="00967D94">
        <w:rPr>
          <w:rStyle w:val="StyleUnderline"/>
          <w:highlight w:val="cyan"/>
        </w:rPr>
        <w:t>governments would similarly view</w:t>
      </w:r>
      <w:r w:rsidRPr="00351E58">
        <w:rPr>
          <w:rStyle w:val="StyleUnderline"/>
        </w:rPr>
        <w:t xml:space="preserve"> the risk of harm posed by </w:t>
      </w:r>
      <w:r w:rsidRPr="00967D94">
        <w:rPr>
          <w:rStyle w:val="StyleUnderline"/>
          <w:highlight w:val="cyan"/>
        </w:rPr>
        <w:t>unilateral SAI</w:t>
      </w:r>
      <w:r w:rsidRPr="00351E58">
        <w:rPr>
          <w:rStyle w:val="StyleUnderline"/>
        </w:rPr>
        <w:t xml:space="preserve"> efforts </w:t>
      </w:r>
      <w:r w:rsidRPr="00967D94">
        <w:rPr>
          <w:rStyle w:val="StyleUnderline"/>
          <w:highlight w:val="cyan"/>
        </w:rPr>
        <w:t xml:space="preserve">as a </w:t>
      </w:r>
      <w:r w:rsidRPr="00967D94">
        <w:rPr>
          <w:rStyle w:val="Emphasis"/>
          <w:highlight w:val="cyan"/>
        </w:rPr>
        <w:t>threat to their security</w:t>
      </w:r>
      <w:r w:rsidRPr="00967D94">
        <w:rPr>
          <w:rStyle w:val="StyleUnderline"/>
          <w:highlight w:val="cyan"/>
        </w:rPr>
        <w:t>. Without</w:t>
      </w:r>
      <w:r w:rsidRPr="00351E58">
        <w:rPr>
          <w:rStyle w:val="StyleUnderline"/>
        </w:rPr>
        <w:t xml:space="preserve"> sufficiently institutionalized and enforceable </w:t>
      </w:r>
      <w:r w:rsidRPr="00967D94">
        <w:rPr>
          <w:rStyle w:val="StyleUnderline"/>
          <w:highlight w:val="cyan"/>
        </w:rPr>
        <w:t>international law</w:t>
      </w:r>
      <w:r w:rsidRPr="00351E58">
        <w:rPr>
          <w:rStyle w:val="StyleUnderline"/>
        </w:rPr>
        <w:t xml:space="preserve"> and policy constraints to prevent such unilateral SAI activity, there is a considerable risk that </w:t>
      </w:r>
      <w:r w:rsidRPr="00967D94">
        <w:rPr>
          <w:rStyle w:val="StyleUnderline"/>
          <w:highlight w:val="cyan"/>
        </w:rPr>
        <w:t>states would consider</w:t>
      </w:r>
      <w:r w:rsidRPr="00351E58">
        <w:rPr>
          <w:rStyle w:val="StyleUnderline"/>
        </w:rPr>
        <w:t xml:space="preserve"> resorting to </w:t>
      </w:r>
      <w:r w:rsidRPr="00967D94">
        <w:rPr>
          <w:rStyle w:val="StyleUnderline"/>
          <w:highlight w:val="cyan"/>
        </w:rPr>
        <w:t>armed force</w:t>
      </w:r>
      <w:r w:rsidRPr="00351E58">
        <w:rPr>
          <w:rStyle w:val="StyleUnderline"/>
        </w:rPr>
        <w:t xml:space="preserve"> to do so</w:t>
      </w:r>
      <w:r w:rsidRPr="007F118A">
        <w:rPr>
          <w:sz w:val="16"/>
        </w:rPr>
        <w:t xml:space="preserve">. Then, the question becomes whether there are sufficient legal constraints to prevent </w:t>
      </w:r>
      <w:proofErr w:type="gramStart"/>
      <w:r w:rsidRPr="007F118A">
        <w:rPr>
          <w:sz w:val="16"/>
        </w:rPr>
        <w:t>such a</w:t>
      </w:r>
      <w:proofErr w:type="gramEnd"/>
      <w:r w:rsidRPr="007F118A">
        <w:rPr>
          <w:sz w:val="16"/>
        </w:rPr>
        <w:t xml:space="preserve"> unilateral use of </w:t>
      </w:r>
      <w:proofErr w:type="gramStart"/>
      <w:r w:rsidRPr="007F118A">
        <w:rPr>
          <w:sz w:val="16"/>
        </w:rPr>
        <w:t>force, and</w:t>
      </w:r>
      <w:proofErr w:type="gramEnd"/>
      <w:r w:rsidRPr="007F118A">
        <w:rPr>
          <w:sz w:val="16"/>
        </w:rPr>
        <w:t xml:space="preserve"> thus limit the risk of armed conflict in response to unilateral SAI. This requires assessing whether the jus ad bellum regime would provide such a constraint.</w:t>
      </w:r>
    </w:p>
    <w:p w14:paraId="7ABBEEB6" w14:textId="77777777" w:rsidR="006F2C07" w:rsidRPr="007F118A" w:rsidRDefault="006F2C07" w:rsidP="006F2C07">
      <w:pPr>
        <w:rPr>
          <w:sz w:val="16"/>
        </w:rPr>
      </w:pPr>
      <w:r w:rsidRPr="007F118A">
        <w:rPr>
          <w:sz w:val="16"/>
        </w:rPr>
        <w:t xml:space="preserve">The foregoing analysis suggests that </w:t>
      </w:r>
      <w:r w:rsidRPr="00351E58">
        <w:rPr>
          <w:rStyle w:val="StyleUnderline"/>
        </w:rPr>
        <w:t xml:space="preserve">the </w:t>
      </w:r>
      <w:r w:rsidRPr="00967D94">
        <w:rPr>
          <w:rStyle w:val="StyleUnderline"/>
          <w:highlight w:val="cyan"/>
        </w:rPr>
        <w:t>current</w:t>
      </w:r>
      <w:r w:rsidRPr="00351E58">
        <w:rPr>
          <w:rStyle w:val="StyleUnderline"/>
        </w:rPr>
        <w:t xml:space="preserve"> </w:t>
      </w:r>
      <w:proofErr w:type="gramStart"/>
      <w:r w:rsidRPr="00351E58">
        <w:rPr>
          <w:rStyle w:val="StyleUnderline"/>
        </w:rPr>
        <w:t>jus</w:t>
      </w:r>
      <w:proofErr w:type="gramEnd"/>
      <w:r w:rsidRPr="00351E58">
        <w:rPr>
          <w:rStyle w:val="StyleUnderline"/>
        </w:rPr>
        <w:t xml:space="preserve"> </w:t>
      </w:r>
      <w:proofErr w:type="gramStart"/>
      <w:r w:rsidRPr="00351E58">
        <w:rPr>
          <w:rStyle w:val="StyleUnderline"/>
        </w:rPr>
        <w:t>ad</w:t>
      </w:r>
      <w:proofErr w:type="gramEnd"/>
      <w:r w:rsidRPr="00351E58">
        <w:rPr>
          <w:rStyle w:val="StyleUnderline"/>
        </w:rPr>
        <w:t xml:space="preserve"> bellum </w:t>
      </w:r>
      <w:r w:rsidRPr="00967D94">
        <w:rPr>
          <w:rStyle w:val="StyleUnderline"/>
          <w:highlight w:val="cyan"/>
        </w:rPr>
        <w:t>regime would impose only a weak check on such</w:t>
      </w:r>
      <w:r w:rsidRPr="00351E58">
        <w:rPr>
          <w:rStyle w:val="StyleUnderline"/>
        </w:rPr>
        <w:t xml:space="preserve"> a use of </w:t>
      </w:r>
      <w:r w:rsidRPr="00967D94">
        <w:rPr>
          <w:rStyle w:val="StyleUnderline"/>
          <w:highlight w:val="cyan"/>
        </w:rPr>
        <w:t>force</w:t>
      </w:r>
      <w:r w:rsidRPr="00351E58">
        <w:rPr>
          <w:rStyle w:val="StyleUnderline"/>
        </w:rPr>
        <w:t xml:space="preserve">. Indeed, </w:t>
      </w:r>
      <w:r w:rsidRPr="00967D94">
        <w:rPr>
          <w:rStyle w:val="StyleUnderline"/>
          <w:highlight w:val="cyan"/>
        </w:rPr>
        <w:t>depending on</w:t>
      </w:r>
      <w:r w:rsidRPr="00351E58">
        <w:rPr>
          <w:rStyle w:val="StyleUnderline"/>
        </w:rPr>
        <w:t xml:space="preserve"> which </w:t>
      </w:r>
      <w:r w:rsidRPr="00967D94">
        <w:rPr>
          <w:rStyle w:val="StyleUnderline"/>
          <w:highlight w:val="cyan"/>
        </w:rPr>
        <w:t>states</w:t>
      </w:r>
      <w:r w:rsidRPr="00351E58">
        <w:rPr>
          <w:rStyle w:val="StyleUnderline"/>
        </w:rPr>
        <w:t xml:space="preserve"> were proposing to undertake the SAI activity and the configuration of political dynamics at the time, the </w:t>
      </w:r>
      <w:r w:rsidRPr="00967D94">
        <w:rPr>
          <w:rStyle w:val="StyleUnderline"/>
          <w:highlight w:val="cyan"/>
        </w:rPr>
        <w:t>jus ad bellum</w:t>
      </w:r>
      <w:r w:rsidRPr="00351E58">
        <w:rPr>
          <w:rStyle w:val="StyleUnderline"/>
        </w:rPr>
        <w:t xml:space="preserve"> regime </w:t>
      </w:r>
      <w:r w:rsidRPr="00967D94">
        <w:rPr>
          <w:rStyle w:val="StyleUnderline"/>
          <w:highlight w:val="cyan"/>
        </w:rPr>
        <w:t>could enable</w:t>
      </w:r>
      <w:r w:rsidRPr="00351E58">
        <w:rPr>
          <w:rStyle w:val="StyleUnderline"/>
        </w:rPr>
        <w:t xml:space="preserve"> the </w:t>
      </w:r>
      <w:r w:rsidRPr="00967D94">
        <w:rPr>
          <w:rStyle w:val="StyleUnderline"/>
          <w:highlight w:val="cyan"/>
        </w:rPr>
        <w:t>use of force</w:t>
      </w:r>
      <w:r w:rsidRPr="00351E58">
        <w:rPr>
          <w:rStyle w:val="StyleUnderline"/>
        </w:rPr>
        <w:t xml:space="preserve"> through a U.N. Security Council authorization, </w:t>
      </w:r>
      <w:r w:rsidRPr="00967D94">
        <w:rPr>
          <w:rStyle w:val="StyleUnderline"/>
          <w:highlight w:val="cyan"/>
        </w:rPr>
        <w:t>and thereby</w:t>
      </w:r>
      <w:r w:rsidRPr="00351E58">
        <w:rPr>
          <w:rStyle w:val="StyleUnderline"/>
        </w:rPr>
        <w:t xml:space="preserve"> </w:t>
      </w:r>
      <w:r w:rsidRPr="00967D94">
        <w:rPr>
          <w:rStyle w:val="StyleUnderline"/>
          <w:highlight w:val="cyan"/>
        </w:rPr>
        <w:t xml:space="preserve">increase the </w:t>
      </w:r>
      <w:r w:rsidRPr="00967D94">
        <w:rPr>
          <w:rStyle w:val="Emphasis"/>
          <w:highlight w:val="cyan"/>
        </w:rPr>
        <w:t>risk of armed conflict</w:t>
      </w:r>
      <w:r w:rsidRPr="007F118A">
        <w:rPr>
          <w:sz w:val="16"/>
        </w:rPr>
        <w:t xml:space="preserve">. But even in the more likely event that the U.N. Security Council remained uninvolved, recent history suggests that states would be inclined to engage in a unilateral use of force to address the threat, and advance creative ways to justify that use of force as being compliant with an adjusted and relaxed </w:t>
      </w:r>
      <w:proofErr w:type="gramStart"/>
      <w:r w:rsidRPr="007F118A">
        <w:rPr>
          <w:sz w:val="16"/>
        </w:rPr>
        <w:t>jus</w:t>
      </w:r>
      <w:proofErr w:type="gramEnd"/>
      <w:r w:rsidRPr="007F118A">
        <w:rPr>
          <w:sz w:val="16"/>
        </w:rPr>
        <w:t xml:space="preserve"> ad bellum regime. </w:t>
      </w:r>
      <w:r w:rsidRPr="00351E58">
        <w:rPr>
          <w:rStyle w:val="StyleUnderline"/>
        </w:rPr>
        <w:t xml:space="preserve">In short, the more seriously states view the threat posed by unilateral SAI efforts, the more pressure there will be to relax the constraints on the use of force to permit military action to address the threat. The </w:t>
      </w:r>
      <w:r w:rsidRPr="00967D94">
        <w:rPr>
          <w:rStyle w:val="StyleUnderline"/>
          <w:highlight w:val="cyan"/>
        </w:rPr>
        <w:t>further weakening of</w:t>
      </w:r>
      <w:r w:rsidRPr="00351E58">
        <w:rPr>
          <w:rStyle w:val="StyleUnderline"/>
        </w:rPr>
        <w:t xml:space="preserve"> the </w:t>
      </w:r>
      <w:r w:rsidRPr="00967D94">
        <w:rPr>
          <w:rStyle w:val="StyleUnderline"/>
          <w:highlight w:val="cyan"/>
        </w:rPr>
        <w:t>jus ad bellum</w:t>
      </w:r>
      <w:r w:rsidRPr="00351E58">
        <w:rPr>
          <w:rStyle w:val="StyleUnderline"/>
        </w:rPr>
        <w:t xml:space="preserve"> regime itself, </w:t>
      </w:r>
      <w:r w:rsidRPr="00967D94">
        <w:rPr>
          <w:rStyle w:val="StyleUnderline"/>
          <w:highlight w:val="cyan"/>
        </w:rPr>
        <w:t>and</w:t>
      </w:r>
      <w:r w:rsidRPr="00351E58">
        <w:rPr>
          <w:rStyle w:val="StyleUnderline"/>
        </w:rPr>
        <w:t xml:space="preserve"> the </w:t>
      </w:r>
      <w:r w:rsidRPr="00967D94">
        <w:rPr>
          <w:rStyle w:val="StyleUnderline"/>
          <w:highlight w:val="cyan"/>
        </w:rPr>
        <w:t>undermining of</w:t>
      </w:r>
      <w:r w:rsidRPr="00351E58">
        <w:rPr>
          <w:rStyle w:val="StyleUnderline"/>
        </w:rPr>
        <w:t xml:space="preserve"> the </w:t>
      </w:r>
      <w:r w:rsidRPr="00967D94">
        <w:rPr>
          <w:rStyle w:val="StyleUnderline"/>
          <w:highlight w:val="cyan"/>
        </w:rPr>
        <w:t>international</w:t>
      </w:r>
      <w:r w:rsidRPr="00C23111">
        <w:rPr>
          <w:rStyle w:val="StyleUnderline"/>
        </w:rPr>
        <w:t xml:space="preserve"> rule</w:t>
      </w:r>
      <w:r w:rsidRPr="00351E58">
        <w:rPr>
          <w:rStyle w:val="StyleUnderline"/>
        </w:rPr>
        <w:t xml:space="preserve"> of </w:t>
      </w:r>
      <w:r w:rsidRPr="00C23111">
        <w:rPr>
          <w:rStyle w:val="StyleUnderline"/>
          <w:highlight w:val="cyan"/>
        </w:rPr>
        <w:t>law</w:t>
      </w:r>
      <w:r w:rsidRPr="00351E58">
        <w:rPr>
          <w:rStyle w:val="StyleUnderline"/>
        </w:rPr>
        <w:t xml:space="preserve"> more generally, </w:t>
      </w:r>
      <w:r w:rsidRPr="00967D94">
        <w:rPr>
          <w:rStyle w:val="StyleUnderline"/>
          <w:highlight w:val="cyan"/>
        </w:rPr>
        <w:t>would be</w:t>
      </w:r>
      <w:r w:rsidRPr="00351E58">
        <w:rPr>
          <w:rStyle w:val="StyleUnderline"/>
        </w:rPr>
        <w:t xml:space="preserve"> yet another </w:t>
      </w:r>
      <w:r w:rsidRPr="00967D94">
        <w:rPr>
          <w:rStyle w:val="StyleUnderline"/>
          <w:highlight w:val="cyan"/>
        </w:rPr>
        <w:t>collateral harm caused by</w:t>
      </w:r>
      <w:r w:rsidRPr="00351E58">
        <w:rPr>
          <w:rStyle w:val="StyleUnderline"/>
        </w:rPr>
        <w:t xml:space="preserve"> the </w:t>
      </w:r>
      <w:r w:rsidRPr="00967D94">
        <w:rPr>
          <w:rStyle w:val="StyleUnderline"/>
          <w:highlight w:val="cyan"/>
        </w:rPr>
        <w:t>unilateral SAI</w:t>
      </w:r>
      <w:r w:rsidRPr="00351E58">
        <w:rPr>
          <w:rStyle w:val="StyleUnderline"/>
        </w:rPr>
        <w:t xml:space="preserve"> effort</w:t>
      </w:r>
      <w:r w:rsidRPr="007F118A">
        <w:rPr>
          <w:sz w:val="16"/>
        </w:rPr>
        <w:t xml:space="preserve">. The forgoing analysis explains how attempts to engage in unilateral SAI </w:t>
      </w:r>
      <w:proofErr w:type="gramStart"/>
      <w:r w:rsidRPr="007F118A">
        <w:rPr>
          <w:sz w:val="16"/>
        </w:rPr>
        <w:t>programs at</w:t>
      </w:r>
      <w:proofErr w:type="gramEnd"/>
      <w:r w:rsidRPr="007F118A">
        <w:rPr>
          <w:sz w:val="16"/>
        </w:rPr>
        <w:t xml:space="preserve"> scale would create a significant risk of armed conflict. In our view, </w:t>
      </w:r>
      <w:r w:rsidRPr="00967D94">
        <w:rPr>
          <w:rStyle w:val="StyleUnderline"/>
          <w:highlight w:val="cyan"/>
        </w:rPr>
        <w:t>this</w:t>
      </w:r>
      <w:r w:rsidRPr="007F118A">
        <w:rPr>
          <w:rStyle w:val="StyleUnderline"/>
        </w:rPr>
        <w:t xml:space="preserve"> additional risk significantly </w:t>
      </w:r>
      <w:r w:rsidRPr="00967D94">
        <w:rPr>
          <w:rStyle w:val="StyleUnderline"/>
          <w:highlight w:val="cyan"/>
        </w:rPr>
        <w:t>strengthens the argument for</w:t>
      </w:r>
      <w:r w:rsidRPr="007F118A">
        <w:rPr>
          <w:rStyle w:val="StyleUnderline"/>
        </w:rPr>
        <w:t xml:space="preserve"> prudence, and for a much </w:t>
      </w:r>
      <w:r w:rsidRPr="00967D94">
        <w:rPr>
          <w:rStyle w:val="StyleUnderline"/>
          <w:highlight w:val="cyan"/>
        </w:rPr>
        <w:t xml:space="preserve">stronger global governance of </w:t>
      </w:r>
      <w:proofErr w:type="gramStart"/>
      <w:r w:rsidRPr="00967D94">
        <w:rPr>
          <w:rStyle w:val="StyleUnderline"/>
          <w:highlight w:val="cyan"/>
        </w:rPr>
        <w:t>geoengineering</w:t>
      </w:r>
      <w:proofErr w:type="gramEnd"/>
      <w:r w:rsidRPr="00967D94">
        <w:rPr>
          <w:rStyle w:val="StyleUnderline"/>
          <w:highlight w:val="cyan"/>
        </w:rPr>
        <w:t xml:space="preserve"> activity</w:t>
      </w:r>
      <w:r w:rsidRPr="007F118A">
        <w:rPr>
          <w:sz w:val="16"/>
        </w:rPr>
        <w:t>. We turn next to discuss what form such governance should take.</w:t>
      </w:r>
    </w:p>
    <w:p w14:paraId="16C1B5BB" w14:textId="77777777" w:rsidR="006F2C07" w:rsidRDefault="006F2C07" w:rsidP="006F2C07">
      <w:pPr>
        <w:pStyle w:val="Heading4"/>
      </w:pPr>
      <w:r>
        <w:t>International law is key to maintaining global peace and deescalating conflict through diplomacy.</w:t>
      </w:r>
    </w:p>
    <w:p w14:paraId="206572EB" w14:textId="77777777" w:rsidR="006F2C07" w:rsidRPr="00343644" w:rsidRDefault="006F2C07" w:rsidP="006F2C07">
      <w:r>
        <w:t xml:space="preserve">Adama </w:t>
      </w:r>
      <w:r w:rsidRPr="00F44A9F">
        <w:rPr>
          <w:rStyle w:val="Style13ptBold"/>
        </w:rPr>
        <w:t>Gross</w:t>
      </w:r>
      <w:r>
        <w:t xml:space="preserve"> 2-18-20</w:t>
      </w:r>
      <w:r w:rsidRPr="00F44A9F">
        <w:rPr>
          <w:rStyle w:val="Style13ptBold"/>
        </w:rPr>
        <w:t>24</w:t>
      </w:r>
      <w:r>
        <w:t xml:space="preserve">, Gross has a Master of Science degree in Political Science and is a PhD candidate for a degree in Political Science with an emphasis in International Law and Diplomacy from Babcock University in Nigeria. “International Law and Diplomacy: </w:t>
      </w:r>
      <w:proofErr w:type="gramStart"/>
      <w:r>
        <w:t>a</w:t>
      </w:r>
      <w:proofErr w:type="gramEnd"/>
      <w:r>
        <w:t xml:space="preserve"> Sine Qua Non of Global Peace?” p. 24-25 //MDC</w:t>
      </w:r>
    </w:p>
    <w:p w14:paraId="6EF66CBF" w14:textId="77777777" w:rsidR="006F2C07" w:rsidRPr="001D3EC9" w:rsidRDefault="006F2C07" w:rsidP="006F2C07">
      <w:pPr>
        <w:rPr>
          <w:sz w:val="16"/>
        </w:rPr>
      </w:pPr>
      <w:r w:rsidRPr="001D3EC9">
        <w:rPr>
          <w:sz w:val="16"/>
        </w:rPr>
        <w:t>Conclusion</w:t>
      </w:r>
    </w:p>
    <w:p w14:paraId="7EB6D13F" w14:textId="77777777" w:rsidR="006F2C07" w:rsidRPr="001D3EC9" w:rsidRDefault="006F2C07" w:rsidP="006F2C07">
      <w:pPr>
        <w:rPr>
          <w:rStyle w:val="StyleUnderline"/>
        </w:rPr>
      </w:pPr>
      <w:r w:rsidRPr="001D3EC9">
        <w:rPr>
          <w:sz w:val="16"/>
        </w:rPr>
        <w:t xml:space="preserve">The </w:t>
      </w:r>
      <w:r w:rsidRPr="001D3EC9">
        <w:rPr>
          <w:rStyle w:val="StyleUnderline"/>
        </w:rPr>
        <w:t xml:space="preserve">study on international law and diplomacy underscores their indispensable role as the sine qua </w:t>
      </w:r>
      <w:proofErr w:type="gramStart"/>
      <w:r w:rsidRPr="001D3EC9">
        <w:rPr>
          <w:rStyle w:val="StyleUnderline"/>
        </w:rPr>
        <w:t>non</w:t>
      </w:r>
      <w:proofErr w:type="gramEnd"/>
      <w:r w:rsidRPr="001D3EC9">
        <w:rPr>
          <w:rStyle w:val="StyleUnderline"/>
        </w:rPr>
        <w:t xml:space="preserve"> for upholding </w:t>
      </w:r>
      <w:r w:rsidRPr="001D3EC9">
        <w:rPr>
          <w:rStyle w:val="Emphasis"/>
        </w:rPr>
        <w:t>international peace</w:t>
      </w:r>
      <w:r w:rsidRPr="001D3EC9">
        <w:rPr>
          <w:sz w:val="16"/>
        </w:rPr>
        <w:t xml:space="preserve">. Through a comprehensive examination of their interplay, it becomes evident that these two pillars form the bedrock of a stable and cooperative global community. </w:t>
      </w:r>
      <w:r w:rsidRPr="001D3EC9">
        <w:rPr>
          <w:rStyle w:val="StyleUnderline"/>
          <w:highlight w:val="cyan"/>
        </w:rPr>
        <w:t>International law serves as a normative framework, providing</w:t>
      </w:r>
      <w:r w:rsidRPr="001D3EC9">
        <w:rPr>
          <w:rStyle w:val="StyleUnderline"/>
        </w:rPr>
        <w:t xml:space="preserve"> states with a set of </w:t>
      </w:r>
      <w:r w:rsidRPr="001D3EC9">
        <w:rPr>
          <w:rStyle w:val="StyleUnderline"/>
          <w:highlight w:val="cyan"/>
        </w:rPr>
        <w:t>rules</w:t>
      </w:r>
      <w:r w:rsidRPr="001D3EC9">
        <w:rPr>
          <w:rStyle w:val="StyleUnderline"/>
        </w:rPr>
        <w:t xml:space="preserve"> and principles </w:t>
      </w:r>
      <w:r w:rsidRPr="001D3EC9">
        <w:rPr>
          <w:rStyle w:val="StyleUnderline"/>
          <w:highlight w:val="cyan"/>
        </w:rPr>
        <w:t>that</w:t>
      </w:r>
      <w:r w:rsidRPr="001D3EC9">
        <w:rPr>
          <w:rStyle w:val="StyleUnderline"/>
        </w:rPr>
        <w:t xml:space="preserve"> </w:t>
      </w:r>
      <w:r w:rsidRPr="001D3EC9">
        <w:rPr>
          <w:rStyle w:val="StyleUnderline"/>
          <w:highlight w:val="cyan"/>
        </w:rPr>
        <w:t>govern</w:t>
      </w:r>
      <w:r w:rsidRPr="001D3EC9">
        <w:rPr>
          <w:rStyle w:val="StyleUnderline"/>
        </w:rPr>
        <w:t xml:space="preserve"> their </w:t>
      </w:r>
      <w:r w:rsidRPr="001D3EC9">
        <w:rPr>
          <w:rStyle w:val="StyleUnderline"/>
          <w:highlight w:val="cyan"/>
        </w:rPr>
        <w:t>interactions. It establishes</w:t>
      </w:r>
      <w:r w:rsidRPr="001D3EC9">
        <w:rPr>
          <w:rStyle w:val="StyleUnderline"/>
        </w:rPr>
        <w:t xml:space="preserve"> a common ground for </w:t>
      </w:r>
      <w:r w:rsidRPr="001D3EC9">
        <w:rPr>
          <w:rStyle w:val="StyleUnderline"/>
          <w:highlight w:val="cyan"/>
        </w:rPr>
        <w:t>dispute resolution</w:t>
      </w:r>
      <w:r w:rsidRPr="001D3EC9">
        <w:rPr>
          <w:rStyle w:val="StyleUnderline"/>
        </w:rPr>
        <w:t xml:space="preserve">, delineates </w:t>
      </w:r>
      <w:r w:rsidRPr="001D3EC9">
        <w:rPr>
          <w:rStyle w:val="StyleUnderline"/>
          <w:highlight w:val="cyan"/>
        </w:rPr>
        <w:t>boundaries, and</w:t>
      </w:r>
      <w:r w:rsidRPr="001D3EC9">
        <w:rPr>
          <w:rStyle w:val="StyleUnderline"/>
        </w:rPr>
        <w:t xml:space="preserve"> promotes the </w:t>
      </w:r>
      <w:r w:rsidRPr="001D3EC9">
        <w:rPr>
          <w:rStyle w:val="StyleUnderline"/>
          <w:highlight w:val="cyan"/>
        </w:rPr>
        <w:t>peaceful coexistence</w:t>
      </w:r>
      <w:r w:rsidRPr="001D3EC9">
        <w:rPr>
          <w:rStyle w:val="StyleUnderline"/>
        </w:rPr>
        <w:t xml:space="preserve"> of nations. The adherence to </w:t>
      </w:r>
      <w:r w:rsidRPr="001D3EC9">
        <w:rPr>
          <w:rStyle w:val="StyleUnderline"/>
          <w:highlight w:val="cyan"/>
        </w:rPr>
        <w:t>international law fosters trust and predictability, reducing</w:t>
      </w:r>
      <w:r w:rsidRPr="001D3EC9">
        <w:rPr>
          <w:rStyle w:val="StyleUnderline"/>
        </w:rPr>
        <w:t xml:space="preserve"> the likelihood of </w:t>
      </w:r>
      <w:r w:rsidRPr="001D3EC9">
        <w:rPr>
          <w:rStyle w:val="StyleUnderline"/>
          <w:highlight w:val="cyan"/>
        </w:rPr>
        <w:t>conflicts</w:t>
      </w:r>
      <w:r w:rsidRPr="001D3EC9">
        <w:rPr>
          <w:rStyle w:val="StyleUnderline"/>
        </w:rPr>
        <w:t xml:space="preserve"> and contributing to the maintenance of a just and equitable world order. </w:t>
      </w:r>
    </w:p>
    <w:p w14:paraId="46865373" w14:textId="77777777" w:rsidR="006F2C07" w:rsidRPr="001D3EC9" w:rsidRDefault="006F2C07" w:rsidP="006F2C07">
      <w:pPr>
        <w:rPr>
          <w:sz w:val="16"/>
        </w:rPr>
      </w:pPr>
      <w:r w:rsidRPr="001D3EC9">
        <w:rPr>
          <w:sz w:val="16"/>
        </w:rPr>
        <w:t xml:space="preserve">Diplomacy, as the art of negotiation and communication between states, complements international law by providing the channels through which disputes can be addressed and agreements reached. Effective diplomacy fosters dialogue, encourages compromise, and builds relationships that contribute to the prevention of conflicts. Skillful diplomats navigate complex geopolitical landscapes, working to find common ground and advance shared interests. </w:t>
      </w:r>
    </w:p>
    <w:p w14:paraId="2A3C3C78" w14:textId="77777777" w:rsidR="006F2C07" w:rsidRPr="001D3EC9" w:rsidRDefault="006F2C07" w:rsidP="006F2C07">
      <w:pPr>
        <w:rPr>
          <w:sz w:val="16"/>
        </w:rPr>
      </w:pPr>
      <w:r w:rsidRPr="001D3EC9">
        <w:rPr>
          <w:sz w:val="16"/>
        </w:rPr>
        <w:t xml:space="preserve">The symbiotic relationship between international law and diplomacy becomes particularly evident in times of crisis, where diplomatic efforts guided by legal frameworks offer viable solutions to mitigate tensions and prevent the escalation of conflicts. </w:t>
      </w:r>
      <w:r w:rsidRPr="001D3EC9">
        <w:rPr>
          <w:rStyle w:val="StyleUnderline"/>
        </w:rPr>
        <w:t>Treaties and agreements negotiated through diplomatic channels not only provide a roadmap for resolving disputes but also serve as a testament to the commitment of nations to uphold the principles of international law</w:t>
      </w:r>
      <w:r w:rsidRPr="001D3EC9">
        <w:rPr>
          <w:sz w:val="16"/>
        </w:rPr>
        <w:t xml:space="preserve">. </w:t>
      </w:r>
    </w:p>
    <w:p w14:paraId="63E88B54" w14:textId="77777777" w:rsidR="006F2C07" w:rsidRPr="001D3EC9" w:rsidRDefault="006F2C07" w:rsidP="006F2C07">
      <w:pPr>
        <w:rPr>
          <w:sz w:val="16"/>
        </w:rPr>
      </w:pPr>
      <w:r w:rsidRPr="001D3EC9">
        <w:rPr>
          <w:sz w:val="16"/>
        </w:rPr>
        <w:t xml:space="preserve">In a world characterized by interconnectedness and interdependence, the study affirms that the </w:t>
      </w:r>
      <w:r w:rsidRPr="001D3EC9">
        <w:rPr>
          <w:rStyle w:val="StyleUnderline"/>
          <w:highlight w:val="cyan"/>
        </w:rPr>
        <w:t>continued adherence to international law</w:t>
      </w:r>
      <w:r w:rsidRPr="001D3EC9">
        <w:rPr>
          <w:rStyle w:val="StyleUnderline"/>
        </w:rPr>
        <w:t xml:space="preserve"> and the practice of effective diplomacy </w:t>
      </w:r>
      <w:r w:rsidRPr="001D3EC9">
        <w:rPr>
          <w:rStyle w:val="StyleUnderline"/>
          <w:highlight w:val="cyan"/>
        </w:rPr>
        <w:t>are imperative for</w:t>
      </w:r>
      <w:r w:rsidRPr="001D3EC9">
        <w:rPr>
          <w:rStyle w:val="StyleUnderline"/>
        </w:rPr>
        <w:t xml:space="preserve"> the preservation of </w:t>
      </w:r>
      <w:r w:rsidRPr="001D3EC9">
        <w:rPr>
          <w:rStyle w:val="StyleUnderline"/>
          <w:highlight w:val="cyan"/>
        </w:rPr>
        <w:t>global peace. As nations grapple with</w:t>
      </w:r>
      <w:r w:rsidRPr="001D3EC9">
        <w:rPr>
          <w:rStyle w:val="StyleUnderline"/>
        </w:rPr>
        <w:t xml:space="preserve"> diverse </w:t>
      </w:r>
      <w:r w:rsidRPr="001D3EC9">
        <w:rPr>
          <w:rStyle w:val="StyleUnderline"/>
          <w:highlight w:val="cyan"/>
        </w:rPr>
        <w:t>challenges</w:t>
      </w:r>
      <w:r w:rsidRPr="001D3EC9">
        <w:rPr>
          <w:rStyle w:val="StyleUnderline"/>
        </w:rPr>
        <w:t xml:space="preserve">, ranging </w:t>
      </w:r>
      <w:r w:rsidRPr="001D3EC9">
        <w:rPr>
          <w:rStyle w:val="StyleUnderline"/>
          <w:highlight w:val="cyan"/>
        </w:rPr>
        <w:t>from transnational threats to economic inequalities</w:t>
      </w:r>
      <w:r w:rsidRPr="001D3EC9">
        <w:rPr>
          <w:rStyle w:val="StyleUnderline"/>
        </w:rPr>
        <w:t xml:space="preserve">, the </w:t>
      </w:r>
      <w:r w:rsidRPr="001D3EC9">
        <w:rPr>
          <w:rStyle w:val="StyleUnderline"/>
          <w:highlight w:val="cyan"/>
        </w:rPr>
        <w:t>collaborative spirit</w:t>
      </w:r>
      <w:r w:rsidRPr="001D3EC9">
        <w:rPr>
          <w:rStyle w:val="StyleUnderline"/>
        </w:rPr>
        <w:t xml:space="preserve"> embedded </w:t>
      </w:r>
      <w:r w:rsidRPr="001D3EC9">
        <w:rPr>
          <w:rStyle w:val="StyleUnderline"/>
          <w:highlight w:val="cyan"/>
        </w:rPr>
        <w:t>in these</w:t>
      </w:r>
      <w:r w:rsidRPr="001D3EC9">
        <w:rPr>
          <w:rStyle w:val="StyleUnderline"/>
        </w:rPr>
        <w:t xml:space="preserve"> </w:t>
      </w:r>
      <w:r w:rsidRPr="001D3EC9">
        <w:rPr>
          <w:rStyle w:val="StyleUnderline"/>
          <w:highlight w:val="cyan"/>
        </w:rPr>
        <w:t>principles becomes</w:t>
      </w:r>
      <w:r w:rsidRPr="001D3EC9">
        <w:rPr>
          <w:rStyle w:val="StyleUnderline"/>
        </w:rPr>
        <w:t xml:space="preserve"> increasingly </w:t>
      </w:r>
      <w:r w:rsidRPr="001D3EC9">
        <w:rPr>
          <w:rStyle w:val="StyleUnderline"/>
          <w:highlight w:val="cyan"/>
        </w:rPr>
        <w:t>vital</w:t>
      </w:r>
      <w:r w:rsidRPr="001D3EC9">
        <w:rPr>
          <w:sz w:val="16"/>
        </w:rPr>
        <w:t xml:space="preserve">. In essence, the study underscores that international law and diplomacy are inseparable elements in the pursuit of a peaceful world order. </w:t>
      </w:r>
      <w:r w:rsidRPr="001D3EC9">
        <w:rPr>
          <w:rStyle w:val="StyleUnderline"/>
          <w:highlight w:val="cyan"/>
        </w:rPr>
        <w:t>Their</w:t>
      </w:r>
      <w:r w:rsidRPr="001D3EC9">
        <w:rPr>
          <w:rStyle w:val="StyleUnderline"/>
        </w:rPr>
        <w:t xml:space="preserve"> combined </w:t>
      </w:r>
      <w:r w:rsidRPr="001D3EC9">
        <w:rPr>
          <w:rStyle w:val="StyleUnderline"/>
          <w:highlight w:val="cyan"/>
        </w:rPr>
        <w:t>strength fosters an</w:t>
      </w:r>
      <w:r w:rsidRPr="001D3EC9">
        <w:rPr>
          <w:rStyle w:val="StyleUnderline"/>
        </w:rPr>
        <w:t xml:space="preserve"> </w:t>
      </w:r>
      <w:r w:rsidRPr="001D3EC9">
        <w:rPr>
          <w:rStyle w:val="StyleUnderline"/>
          <w:highlight w:val="cyan"/>
        </w:rPr>
        <w:t>environment where nations</w:t>
      </w:r>
      <w:r w:rsidRPr="001D3EC9">
        <w:rPr>
          <w:rStyle w:val="StyleUnderline"/>
        </w:rPr>
        <w:t xml:space="preserve"> can coexist, </w:t>
      </w:r>
      <w:r w:rsidRPr="001D3EC9">
        <w:rPr>
          <w:rStyle w:val="StyleUnderline"/>
          <w:highlight w:val="cyan"/>
        </w:rPr>
        <w:t xml:space="preserve">cooperate, and </w:t>
      </w:r>
      <w:r w:rsidRPr="001D3EC9">
        <w:rPr>
          <w:rStyle w:val="Emphasis"/>
          <w:highlight w:val="cyan"/>
        </w:rPr>
        <w:t>address shared challenges</w:t>
      </w:r>
      <w:r w:rsidRPr="001D3EC9">
        <w:rPr>
          <w:sz w:val="16"/>
        </w:rPr>
        <w:t>. As we navigate an ever-evolving international landscape, it is imperative that the global community reaffirms its commitment to these fundamental principles, recognizing them as indispensable instruments for upholding international peace.</w:t>
      </w:r>
    </w:p>
    <w:p w14:paraId="6B35F725" w14:textId="77777777" w:rsidR="006F2C07" w:rsidRPr="00AD7767" w:rsidRDefault="006F2C07" w:rsidP="006F2C07">
      <w:pPr>
        <w:pStyle w:val="Heading4"/>
      </w:pPr>
      <w:r>
        <w:t xml:space="preserve">Independently, rogue terrorist groups cause extinction from </w:t>
      </w:r>
      <w:r>
        <w:rPr>
          <w:u w:val="single"/>
        </w:rPr>
        <w:t>climate weapons</w:t>
      </w:r>
      <w:r>
        <w:t>.</w:t>
      </w:r>
    </w:p>
    <w:p w14:paraId="10573A49" w14:textId="77777777" w:rsidR="006F2C07" w:rsidRDefault="006F2C07" w:rsidP="006F2C07">
      <w:r>
        <w:t xml:space="preserve">Bartłomiej </w:t>
      </w:r>
      <w:proofErr w:type="spellStart"/>
      <w:r w:rsidRPr="00F5400D">
        <w:rPr>
          <w:rStyle w:val="Style13ptBold"/>
        </w:rPr>
        <w:t>Terebiński</w:t>
      </w:r>
      <w:proofErr w:type="spellEnd"/>
      <w:r>
        <w:t xml:space="preserve"> 9-30-20</w:t>
      </w:r>
      <w:r w:rsidRPr="00F5400D">
        <w:rPr>
          <w:rStyle w:val="Style13ptBold"/>
        </w:rPr>
        <w:t>24</w:t>
      </w:r>
      <w:r>
        <w:t xml:space="preserve">, Lt. Col. Bartłomiej </w:t>
      </w:r>
      <w:proofErr w:type="spellStart"/>
      <w:r>
        <w:t>Terebiński</w:t>
      </w:r>
      <w:proofErr w:type="spellEnd"/>
      <w:r>
        <w:t xml:space="preserve">, PhD Eng is the head of the Department of Cybersecurity, Military Faculty of the War Studies University in Warsaw.  </w:t>
      </w:r>
      <w:r w:rsidRPr="007959DA">
        <w:rPr>
          <w:i/>
          <w:iCs/>
        </w:rPr>
        <w:t>Scientific Journal of the Military University of Land Forces</w:t>
      </w:r>
      <w:r>
        <w:t xml:space="preserve"> p. 56-57 "Climate weapons – a new weapon of mass destruction?" //MDC</w:t>
      </w:r>
    </w:p>
    <w:p w14:paraId="7D63AF19" w14:textId="77777777" w:rsidR="006F2C07" w:rsidRPr="004723EB" w:rsidRDefault="006F2C07" w:rsidP="006F2C07">
      <w:pPr>
        <w:rPr>
          <w:sz w:val="16"/>
        </w:rPr>
      </w:pPr>
      <w:r w:rsidRPr="004723EB">
        <w:rPr>
          <w:sz w:val="16"/>
        </w:rPr>
        <w:t>Conclusion</w:t>
      </w:r>
    </w:p>
    <w:p w14:paraId="74415534" w14:textId="77777777" w:rsidR="006F2C07" w:rsidRPr="004723EB" w:rsidRDefault="006F2C07" w:rsidP="006F2C07">
      <w:pPr>
        <w:rPr>
          <w:sz w:val="16"/>
        </w:rPr>
      </w:pPr>
      <w:r w:rsidRPr="004723EB">
        <w:rPr>
          <w:sz w:val="16"/>
        </w:rPr>
        <w:t xml:space="preserve">The history of international relations indicates that in the conditions of modern civilization, armed conflicts and wars are still constant companions of humanity, fulfilling the function of redistributing resources and spheres of influence, and sometimes contributing to a radical change in the geopolitical situation between the warring parties. A society developing asymmetrically and unevenly, </w:t>
      </w:r>
      <w:proofErr w:type="gramStart"/>
      <w:r w:rsidRPr="004723EB">
        <w:rPr>
          <w:sz w:val="16"/>
        </w:rPr>
        <w:t>in order to</w:t>
      </w:r>
      <w:proofErr w:type="gramEnd"/>
      <w:r w:rsidRPr="004723EB">
        <w:rPr>
          <w:sz w:val="16"/>
        </w:rPr>
        <w:t xml:space="preserve"> overcome external and internal conflicts, resorts to one of two ways of solving them within the political process – cooperation or confrontation. </w:t>
      </w:r>
    </w:p>
    <w:p w14:paraId="096EA74D" w14:textId="77777777" w:rsidR="006F2C07" w:rsidRPr="004723EB" w:rsidRDefault="006F2C07" w:rsidP="006F2C07">
      <w:pPr>
        <w:rPr>
          <w:sz w:val="16"/>
        </w:rPr>
      </w:pPr>
      <w:r w:rsidRPr="004723EB">
        <w:rPr>
          <w:sz w:val="16"/>
        </w:rPr>
        <w:t xml:space="preserve">Since there is a stable cause-and-effect relationship between war and politics, each civilization corresponds to a certain level of development of weapons and military equipment. The tendency of the 21st century to constantly accumulate and improve weapons, which began in the 20th century, has led to the creation of advanced technologies, forms and methods of armed combat. </w:t>
      </w:r>
    </w:p>
    <w:p w14:paraId="7514EEBD" w14:textId="77777777" w:rsidR="006F2C07" w:rsidRPr="004723EB" w:rsidRDefault="006F2C07" w:rsidP="006F2C07">
      <w:pPr>
        <w:rPr>
          <w:rStyle w:val="StyleUnderline"/>
        </w:rPr>
      </w:pPr>
      <w:r w:rsidRPr="004723EB">
        <w:rPr>
          <w:sz w:val="16"/>
        </w:rPr>
        <w:t xml:space="preserve">In place of the “old” wars (Antczak, 2018), </w:t>
      </w:r>
      <w:r w:rsidRPr="004723EB">
        <w:rPr>
          <w:rStyle w:val="StyleUnderline"/>
          <w:highlight w:val="cyan"/>
        </w:rPr>
        <w:t>it is a time of</w:t>
      </w:r>
      <w:r w:rsidRPr="004723EB">
        <w:rPr>
          <w:rStyle w:val="StyleUnderline"/>
        </w:rPr>
        <w:t xml:space="preserve"> new, so called “</w:t>
      </w:r>
      <w:r w:rsidRPr="004723EB">
        <w:rPr>
          <w:rStyle w:val="Emphasis"/>
          <w:highlight w:val="cyan"/>
        </w:rPr>
        <w:t>sixth generation” wars</w:t>
      </w:r>
      <w:r w:rsidRPr="004723EB">
        <w:rPr>
          <w:rStyle w:val="StyleUnderline"/>
        </w:rPr>
        <w:t xml:space="preserve"> (Alderman, 2015, May 12), </w:t>
      </w:r>
      <w:r w:rsidRPr="004723EB">
        <w:rPr>
          <w:rStyle w:val="StyleUnderline"/>
          <w:highlight w:val="cyan"/>
        </w:rPr>
        <w:t>based on advanced-technology</w:t>
      </w:r>
      <w:r w:rsidRPr="004723EB">
        <w:rPr>
          <w:rStyle w:val="StyleUnderline"/>
        </w:rPr>
        <w:t xml:space="preserve"> weapons that reduce the degree of direct involvement of soldiers by using physical, chemical and biological factors, and the natural environment, based on geophysical, information and network-centric weapons.</w:t>
      </w:r>
    </w:p>
    <w:p w14:paraId="3F17CA96" w14:textId="77777777" w:rsidR="006F2C07" w:rsidRPr="004723EB" w:rsidRDefault="006F2C07" w:rsidP="006F2C07">
      <w:pPr>
        <w:rPr>
          <w:rStyle w:val="StyleUnderline"/>
        </w:rPr>
      </w:pPr>
      <w:r w:rsidRPr="004723EB">
        <w:rPr>
          <w:sz w:val="16"/>
        </w:rPr>
        <w:t xml:space="preserve">The concepts of cyber-war, war based on computer technology, emerged. Consequently, armed violence is no longer the dominant feature of war. The socio-political dimension of war is replaced by military-technical and informational-psychological capabilities. </w:t>
      </w:r>
      <w:r w:rsidRPr="004723EB">
        <w:rPr>
          <w:rStyle w:val="StyleUnderline"/>
        </w:rPr>
        <w:t xml:space="preserve">Therefore, it seems justified to define the concept of </w:t>
      </w:r>
      <w:r w:rsidRPr="004723EB">
        <w:rPr>
          <w:rStyle w:val="StyleUnderline"/>
          <w:highlight w:val="cyan"/>
        </w:rPr>
        <w:t>the “climate weapon</w:t>
      </w:r>
      <w:r w:rsidRPr="004723EB">
        <w:rPr>
          <w:rStyle w:val="StyleUnderline"/>
        </w:rPr>
        <w:t xml:space="preserve">”, which </w:t>
      </w:r>
      <w:r w:rsidRPr="004723EB">
        <w:rPr>
          <w:rStyle w:val="StyleUnderline"/>
          <w:highlight w:val="cyan"/>
        </w:rPr>
        <w:t>can be assigned to a new generation of weapons</w:t>
      </w:r>
      <w:r w:rsidRPr="004723EB">
        <w:rPr>
          <w:rStyle w:val="StyleUnderline"/>
        </w:rPr>
        <w:t xml:space="preserve">, for example non-traditional ones, </w:t>
      </w:r>
      <w:r w:rsidRPr="00AD7767">
        <w:rPr>
          <w:rStyle w:val="StyleUnderline"/>
          <w:highlight w:val="cyan"/>
        </w:rPr>
        <w:t>as a type</w:t>
      </w:r>
      <w:r w:rsidRPr="004723EB">
        <w:rPr>
          <w:rStyle w:val="StyleUnderline"/>
        </w:rPr>
        <w:t xml:space="preserve"> </w:t>
      </w:r>
      <w:r w:rsidRPr="00AD7767">
        <w:rPr>
          <w:rStyle w:val="StyleUnderline"/>
          <w:highlight w:val="cyan"/>
        </w:rPr>
        <w:t>of geo physical weapon</w:t>
      </w:r>
      <w:r w:rsidRPr="004723EB">
        <w:rPr>
          <w:rStyle w:val="StyleUnderline"/>
        </w:rPr>
        <w:t xml:space="preserve"> (Fig. 9). Moreover, “</w:t>
      </w:r>
      <w:r w:rsidRPr="00AD7767">
        <w:rPr>
          <w:rStyle w:val="StyleUnderline"/>
          <w:highlight w:val="cyan"/>
        </w:rPr>
        <w:t>climate weapons” can be considered</w:t>
      </w:r>
      <w:r w:rsidRPr="004723EB">
        <w:rPr>
          <w:rStyle w:val="StyleUnderline"/>
        </w:rPr>
        <w:t xml:space="preserve"> one of </w:t>
      </w:r>
      <w:r w:rsidRPr="00AD7767">
        <w:rPr>
          <w:rStyle w:val="StyleUnderline"/>
          <w:highlight w:val="cyan"/>
        </w:rPr>
        <w:t xml:space="preserve">the </w:t>
      </w:r>
      <w:r w:rsidRPr="00AD7767">
        <w:rPr>
          <w:rStyle w:val="Emphasis"/>
          <w:highlight w:val="cyan"/>
        </w:rPr>
        <w:t>most dangerous types of w</w:t>
      </w:r>
      <w:r w:rsidRPr="004723EB">
        <w:rPr>
          <w:rStyle w:val="Emphasis"/>
        </w:rPr>
        <w:t xml:space="preserve">eapons of </w:t>
      </w:r>
      <w:r w:rsidRPr="00AD7767">
        <w:rPr>
          <w:rStyle w:val="Emphasis"/>
          <w:highlight w:val="cyan"/>
        </w:rPr>
        <w:t>m</w:t>
      </w:r>
      <w:r w:rsidRPr="004723EB">
        <w:rPr>
          <w:rStyle w:val="Emphasis"/>
        </w:rPr>
        <w:t xml:space="preserve">ass </w:t>
      </w:r>
      <w:r w:rsidRPr="00AD7767">
        <w:rPr>
          <w:rStyle w:val="Emphasis"/>
          <w:highlight w:val="cyan"/>
        </w:rPr>
        <w:t>d</w:t>
      </w:r>
      <w:r w:rsidRPr="004723EB">
        <w:rPr>
          <w:rStyle w:val="Emphasis"/>
        </w:rPr>
        <w:t>estruction</w:t>
      </w:r>
      <w:r w:rsidRPr="004723EB">
        <w:rPr>
          <w:rStyle w:val="StyleUnderline"/>
        </w:rPr>
        <w:t xml:space="preserve">, on a par with traditional forms (nuclear, chemical and biological) </w:t>
      </w:r>
      <w:r w:rsidRPr="00C151C8">
        <w:rPr>
          <w:rStyle w:val="StyleUnderline"/>
          <w:highlight w:val="cyan"/>
        </w:rPr>
        <w:t>because their use can have</w:t>
      </w:r>
      <w:r w:rsidRPr="004723EB">
        <w:rPr>
          <w:rStyle w:val="StyleUnderline"/>
        </w:rPr>
        <w:t xml:space="preserve"> global and largely </w:t>
      </w:r>
      <w:r w:rsidRPr="00C151C8">
        <w:rPr>
          <w:rStyle w:val="StyleUnderline"/>
          <w:highlight w:val="cyan"/>
        </w:rPr>
        <w:t>unpredictable consequences</w:t>
      </w:r>
      <w:r w:rsidRPr="004723EB">
        <w:rPr>
          <w:rStyle w:val="StyleUnderline"/>
        </w:rPr>
        <w:t xml:space="preserve">, where a possible aggressor may later also be their victim. </w:t>
      </w:r>
    </w:p>
    <w:p w14:paraId="0EC3B523" w14:textId="77777777" w:rsidR="006F2C07" w:rsidRPr="004723EB" w:rsidRDefault="006F2C07" w:rsidP="006F2C07">
      <w:pPr>
        <w:rPr>
          <w:sz w:val="16"/>
        </w:rPr>
      </w:pPr>
      <w:r w:rsidRPr="004723EB">
        <w:rPr>
          <w:sz w:val="16"/>
        </w:rPr>
        <w:t>[Figure 9 omitted]</w:t>
      </w:r>
    </w:p>
    <w:p w14:paraId="0508AEA0" w14:textId="77777777" w:rsidR="006F2C07" w:rsidRPr="004723EB" w:rsidRDefault="006F2C07" w:rsidP="006F2C07">
      <w:pPr>
        <w:rPr>
          <w:sz w:val="16"/>
        </w:rPr>
      </w:pPr>
      <w:r w:rsidRPr="004723EB">
        <w:rPr>
          <w:sz w:val="16"/>
        </w:rPr>
        <w:t xml:space="preserve">In the current situation, </w:t>
      </w:r>
      <w:r w:rsidRPr="00417448">
        <w:rPr>
          <w:rStyle w:val="StyleUnderline"/>
        </w:rPr>
        <w:t xml:space="preserve">the possibility of </w:t>
      </w:r>
      <w:r w:rsidRPr="00C151C8">
        <w:rPr>
          <w:rStyle w:val="StyleUnderline"/>
          <w:highlight w:val="cyan"/>
        </w:rPr>
        <w:t>terrorist groups acquiring “</w:t>
      </w:r>
      <w:r w:rsidRPr="00C151C8">
        <w:rPr>
          <w:rStyle w:val="Emphasis"/>
          <w:highlight w:val="cyan"/>
        </w:rPr>
        <w:t>climate weapons</w:t>
      </w:r>
      <w:r w:rsidRPr="00417448">
        <w:rPr>
          <w:rStyle w:val="StyleUnderline"/>
        </w:rPr>
        <w:t xml:space="preserve">” or other types of weapons of mass destruction </w:t>
      </w:r>
      <w:r w:rsidRPr="00C151C8">
        <w:rPr>
          <w:rStyle w:val="StyleUnderline"/>
          <w:highlight w:val="cyan"/>
        </w:rPr>
        <w:t>is becoming increasingly worrying, given</w:t>
      </w:r>
      <w:r w:rsidRPr="00417448">
        <w:rPr>
          <w:rStyle w:val="StyleUnderline"/>
        </w:rPr>
        <w:t xml:space="preserve"> the </w:t>
      </w:r>
      <w:r w:rsidRPr="00C151C8">
        <w:rPr>
          <w:rStyle w:val="StyleUnderline"/>
          <w:highlight w:val="cyan"/>
        </w:rPr>
        <w:t>increased</w:t>
      </w:r>
      <w:r w:rsidRPr="00417448">
        <w:rPr>
          <w:rStyle w:val="StyleUnderline"/>
        </w:rPr>
        <w:t xml:space="preserve"> frequency and scale of the </w:t>
      </w:r>
      <w:r w:rsidRPr="00C151C8">
        <w:rPr>
          <w:rStyle w:val="StyleUnderline"/>
          <w:highlight w:val="cyan"/>
        </w:rPr>
        <w:t>terrorist threat</w:t>
      </w:r>
      <w:r w:rsidRPr="00417448">
        <w:rPr>
          <w:rStyle w:val="StyleUnderline"/>
        </w:rPr>
        <w:t xml:space="preserve"> around the world. </w:t>
      </w:r>
      <w:r w:rsidRPr="00C151C8">
        <w:rPr>
          <w:rStyle w:val="StyleUnderline"/>
          <w:highlight w:val="cyan"/>
        </w:rPr>
        <w:t>The potential use</w:t>
      </w:r>
      <w:r w:rsidRPr="00417448">
        <w:rPr>
          <w:rStyle w:val="StyleUnderline"/>
        </w:rPr>
        <w:t xml:space="preserve"> of such weapons to achieve political goals during armed conflicts </w:t>
      </w:r>
      <w:r w:rsidRPr="00C151C8">
        <w:rPr>
          <w:rStyle w:val="StyleUnderline"/>
          <w:highlight w:val="cyan"/>
        </w:rPr>
        <w:t>could lead to mass accidents and put</w:t>
      </w:r>
      <w:r w:rsidRPr="00417448">
        <w:rPr>
          <w:rStyle w:val="StyleUnderline"/>
        </w:rPr>
        <w:t xml:space="preserve"> </w:t>
      </w:r>
      <w:r w:rsidRPr="00C151C8">
        <w:rPr>
          <w:rStyle w:val="StyleUnderline"/>
          <w:highlight w:val="cyan"/>
        </w:rPr>
        <w:t xml:space="preserve">humanity on the </w:t>
      </w:r>
      <w:r w:rsidRPr="00C151C8">
        <w:rPr>
          <w:rStyle w:val="Emphasis"/>
          <w:highlight w:val="cyan"/>
        </w:rPr>
        <w:t>brink of survival</w:t>
      </w:r>
      <w:r w:rsidRPr="00C151C8">
        <w:rPr>
          <w:rStyle w:val="StyleUnderline"/>
          <w:highlight w:val="cyan"/>
        </w:rPr>
        <w:t>, not to mention</w:t>
      </w:r>
      <w:r w:rsidRPr="00417448">
        <w:rPr>
          <w:rStyle w:val="StyleUnderline"/>
        </w:rPr>
        <w:t xml:space="preserve"> the occurrence of a global </w:t>
      </w:r>
      <w:r w:rsidRPr="00C151C8">
        <w:rPr>
          <w:rStyle w:val="StyleUnderline"/>
          <w:highlight w:val="cyan"/>
        </w:rPr>
        <w:t>environmental “</w:t>
      </w:r>
      <w:r w:rsidRPr="00C151C8">
        <w:rPr>
          <w:rStyle w:val="Emphasis"/>
          <w:highlight w:val="cyan"/>
        </w:rPr>
        <w:t>apocalypse</w:t>
      </w:r>
      <w:r w:rsidRPr="004723EB">
        <w:rPr>
          <w:sz w:val="16"/>
        </w:rPr>
        <w:t>”. It cannot be ruled out that recent unusual forms of climate change may be linked to the hidden use of “climate weapons”, and the complete lack or unavailability of both analyses and information does not help to identify problems in this field or to find ways to effectively solve them.</w:t>
      </w:r>
    </w:p>
    <w:p w14:paraId="391FD85D" w14:textId="77777777" w:rsidR="006F2C07" w:rsidRDefault="006F2C07" w:rsidP="006F2C07">
      <w:pPr>
        <w:pStyle w:val="Heading4"/>
      </w:pPr>
      <w:r>
        <w:t>US leadership in geoengineering is key to global governance.</w:t>
      </w:r>
    </w:p>
    <w:p w14:paraId="15BC3005" w14:textId="77777777" w:rsidR="006F2C07" w:rsidRPr="002A58DA" w:rsidRDefault="006F2C07" w:rsidP="006F2C07">
      <w:pPr>
        <w:rPr>
          <w:rStyle w:val="Style13ptBold"/>
        </w:rPr>
      </w:pPr>
      <w:r>
        <w:rPr>
          <w:rStyle w:val="Style13ptBold"/>
        </w:rPr>
        <w:t>Sikorsky and Ellison 24</w:t>
      </w:r>
      <w:r w:rsidRPr="00050ABE">
        <w:t>--- Erin</w:t>
      </w:r>
      <w:r>
        <w:t xml:space="preserve"> Sikorsky</w:t>
      </w:r>
      <w:r w:rsidRPr="00050ABE">
        <w:t>: Director of the </w:t>
      </w:r>
      <w:r w:rsidRPr="00F464C0">
        <w:t>Center for Climate and Security</w:t>
      </w:r>
      <w:r w:rsidRPr="00050ABE">
        <w:t> (CCS), and the </w:t>
      </w:r>
      <w:r w:rsidRPr="00F464C0">
        <w:t>International Military Council on Climate and Security</w:t>
      </w:r>
      <w:r w:rsidRPr="00050ABE">
        <w:t> (IMCCS)</w:t>
      </w:r>
      <w:r>
        <w:t xml:space="preserve"> with a masters of International Affairs at Columbia University, Tom Ellison: </w:t>
      </w:r>
      <w:r w:rsidRPr="00050ABE">
        <w:t>Deputy Director of the Center for Climate and Security (CCS)</w:t>
      </w:r>
      <w:r>
        <w:t xml:space="preserve"> with a M.A. in Security Studies from Georgetown University (“Geoengineering and Climate Change in an Age of Disinformation and Strategic Competition”, Council on Strategic Risks, 04/23/24, </w:t>
      </w:r>
      <w:r w:rsidRPr="00050ABE">
        <w:t>https://councilonstrategicrisks.org/2024/04/23/geoengineering-and-climate-change-in-an-age-of-disinformation-and-strategic-competition/</w:t>
      </w:r>
      <w:r>
        <w:t>)</w:t>
      </w:r>
    </w:p>
    <w:p w14:paraId="6F8AE730" w14:textId="77777777" w:rsidR="006F2C07" w:rsidRPr="002A58DA" w:rsidRDefault="006F2C07" w:rsidP="006F2C07">
      <w:pPr>
        <w:rPr>
          <w:sz w:val="16"/>
        </w:rPr>
      </w:pPr>
      <w:r w:rsidRPr="00F464C0">
        <w:rPr>
          <w:highlight w:val="cyan"/>
          <w:u w:val="single"/>
        </w:rPr>
        <w:t>Geoengineering</w:t>
      </w:r>
      <w:r w:rsidRPr="002A58DA">
        <w:rPr>
          <w:u w:val="single"/>
        </w:rPr>
        <w:t xml:space="preserve">, sometimes called climate intervention, </w:t>
      </w:r>
      <w:r w:rsidRPr="00F464C0">
        <w:rPr>
          <w:highlight w:val="cyan"/>
          <w:u w:val="single"/>
        </w:rPr>
        <w:t>is gaining more attention</w:t>
      </w:r>
      <w:r w:rsidRPr="002A58DA">
        <w:rPr>
          <w:u w:val="single"/>
        </w:rPr>
        <w:t xml:space="preserve"> as a potential tool to manage the impacts of climate change</w:t>
      </w:r>
      <w:r w:rsidRPr="002A58DA">
        <w:rPr>
          <w:sz w:val="16"/>
        </w:rPr>
        <w:t xml:space="preserve">. A steady drumbeat of reports from governments and scientific institutions argue for developing research programs to allow for better informed decisions on the risks and benefits of geoengineering. </w:t>
      </w:r>
      <w:r w:rsidRPr="002A58DA">
        <w:rPr>
          <w:u w:val="single"/>
        </w:rPr>
        <w:t xml:space="preserve">At the same time, </w:t>
      </w:r>
      <w:r w:rsidRPr="00F464C0">
        <w:rPr>
          <w:highlight w:val="cyan"/>
          <w:u w:val="single"/>
        </w:rPr>
        <w:t>the national security community is raising concerns</w:t>
      </w:r>
      <w:r w:rsidRPr="002A58DA">
        <w:rPr>
          <w:u w:val="single"/>
        </w:rPr>
        <w:t xml:space="preserve"> emphasizing the risk </w:t>
      </w:r>
      <w:r w:rsidRPr="00F464C0">
        <w:rPr>
          <w:highlight w:val="cyan"/>
          <w:u w:val="single"/>
        </w:rPr>
        <w:t>of</w:t>
      </w:r>
      <w:r w:rsidRPr="002A58DA">
        <w:rPr>
          <w:u w:val="single"/>
        </w:rPr>
        <w:t xml:space="preserve"> large-scale, successful </w:t>
      </w:r>
      <w:r w:rsidRPr="00F464C0">
        <w:rPr>
          <w:highlight w:val="cyan"/>
          <w:u w:val="single"/>
        </w:rPr>
        <w:t>unilateral deployment by a middle or rogue power</w:t>
      </w:r>
      <w:r w:rsidRPr="002A58DA">
        <w:rPr>
          <w:u w:val="single"/>
        </w:rPr>
        <w:t>.</w:t>
      </w:r>
    </w:p>
    <w:p w14:paraId="3ED3FF32" w14:textId="77777777" w:rsidR="006F2C07" w:rsidRPr="002A58DA" w:rsidRDefault="006F2C07" w:rsidP="006F2C07">
      <w:pPr>
        <w:rPr>
          <w:sz w:val="16"/>
        </w:rPr>
      </w:pPr>
      <w:r w:rsidRPr="002A58DA">
        <w:rPr>
          <w:sz w:val="16"/>
        </w:rPr>
        <w:t xml:space="preserve">However, the more acute, </w:t>
      </w:r>
      <w:r w:rsidRPr="002A58DA">
        <w:rPr>
          <w:u w:val="single"/>
        </w:rPr>
        <w:t xml:space="preserve">near-term </w:t>
      </w:r>
      <w:r w:rsidRPr="00F464C0">
        <w:rPr>
          <w:highlight w:val="cyan"/>
          <w:u w:val="single"/>
        </w:rPr>
        <w:t>security risks</w:t>
      </w:r>
      <w:r w:rsidRPr="002A58DA">
        <w:rPr>
          <w:u w:val="single"/>
        </w:rPr>
        <w:t xml:space="preserve"> associated with geoengineering </w:t>
      </w:r>
      <w:r w:rsidRPr="00F464C0">
        <w:rPr>
          <w:highlight w:val="cyan"/>
          <w:u w:val="single"/>
        </w:rPr>
        <w:t>have little to do with the ultimate effect of such interventions, but instead with</w:t>
      </w:r>
      <w:r w:rsidRPr="002A58DA">
        <w:rPr>
          <w:u w:val="single"/>
        </w:rPr>
        <w:t xml:space="preserve"> the </w:t>
      </w:r>
      <w:r w:rsidRPr="00F464C0">
        <w:rPr>
          <w:rStyle w:val="Emphasis"/>
          <w:highlight w:val="cyan"/>
        </w:rPr>
        <w:t>perceptions</w:t>
      </w:r>
      <w:r w:rsidRPr="002A58DA">
        <w:rPr>
          <w:u w:val="single"/>
        </w:rPr>
        <w:t xml:space="preserve"> of such interventions, </w:t>
      </w:r>
      <w:r w:rsidRPr="00F464C0">
        <w:rPr>
          <w:highlight w:val="cyan"/>
          <w:u w:val="single"/>
        </w:rPr>
        <w:t>particularly</w:t>
      </w:r>
      <w:r w:rsidRPr="002A58DA">
        <w:rPr>
          <w:u w:val="single"/>
        </w:rPr>
        <w:t xml:space="preserve"> in a world </w:t>
      </w:r>
      <w:r w:rsidRPr="00F464C0">
        <w:rPr>
          <w:highlight w:val="cyan"/>
          <w:u w:val="single"/>
        </w:rPr>
        <w:t>shaped by geopolitical competition, growing divides between the</w:t>
      </w:r>
      <w:r w:rsidRPr="002A58DA">
        <w:rPr>
          <w:u w:val="single"/>
        </w:rPr>
        <w:t xml:space="preserve"> Global </w:t>
      </w:r>
      <w:r w:rsidRPr="00F464C0">
        <w:rPr>
          <w:highlight w:val="cyan"/>
          <w:u w:val="single"/>
        </w:rPr>
        <w:t>North and</w:t>
      </w:r>
      <w:r w:rsidRPr="002A58DA">
        <w:rPr>
          <w:u w:val="single"/>
        </w:rPr>
        <w:t xml:space="preserve"> Global </w:t>
      </w:r>
      <w:r w:rsidRPr="00F464C0">
        <w:rPr>
          <w:highlight w:val="cyan"/>
          <w:u w:val="single"/>
        </w:rPr>
        <w:t>South, and dis/misinformation</w:t>
      </w:r>
      <w:r w:rsidRPr="002A58DA">
        <w:rPr>
          <w:u w:val="single"/>
        </w:rPr>
        <w:t>. These risks include rising tensions between or among states attributing disasters to each other’s real or perceived geoengineering attempts,</w:t>
      </w:r>
      <w:r w:rsidRPr="002A58DA">
        <w:rPr>
          <w:sz w:val="16"/>
        </w:rPr>
        <w:t xml:space="preserve"> a dynamic that could arise even in the research or testing phase of geoengineering projects. Additionally, expanding geoengineering efforts may exacerbate the growth of harmful conspiracy theories and influence campaigns that further undermine trust in government and science. Such issues have gotten comparably little attention in the national security discourse and are largely absent in discussions about geoengineering among the scientific and environmental community.</w:t>
      </w:r>
    </w:p>
    <w:p w14:paraId="65F1E439" w14:textId="77777777" w:rsidR="006F2C07" w:rsidRPr="002A58DA" w:rsidRDefault="006F2C07" w:rsidP="006F2C07">
      <w:pPr>
        <w:rPr>
          <w:sz w:val="16"/>
        </w:rPr>
      </w:pPr>
      <w:r w:rsidRPr="002A58DA">
        <w:rPr>
          <w:sz w:val="16"/>
        </w:rPr>
        <w:t xml:space="preserve">To manage such risks, a push for a full ban or prohibition on geoengineering will become </w:t>
      </w:r>
      <w:proofErr w:type="gramStart"/>
      <w:r w:rsidRPr="002A58DA">
        <w:rPr>
          <w:sz w:val="16"/>
        </w:rPr>
        <w:t>more and more</w:t>
      </w:r>
      <w:proofErr w:type="gramEnd"/>
      <w:r w:rsidRPr="002A58DA">
        <w:rPr>
          <w:sz w:val="16"/>
        </w:rPr>
        <w:t xml:space="preserve"> unrealistic, and perhaps harmful, particularly as the climate crisis intensifies. Instead, </w:t>
      </w:r>
      <w:r w:rsidRPr="00F464C0">
        <w:rPr>
          <w:highlight w:val="cyan"/>
          <w:u w:val="single"/>
        </w:rPr>
        <w:t>the United States</w:t>
      </w:r>
      <w:r w:rsidRPr="002A58DA">
        <w:rPr>
          <w:u w:val="single"/>
        </w:rPr>
        <w:t xml:space="preserve">, with its allies and partners, </w:t>
      </w:r>
      <w:r w:rsidRPr="00F464C0">
        <w:rPr>
          <w:highlight w:val="cyan"/>
          <w:u w:val="single"/>
        </w:rPr>
        <w:t>should lead the development of guardrails and norms that manage</w:t>
      </w:r>
      <w:r w:rsidRPr="002A58DA">
        <w:rPr>
          <w:u w:val="single"/>
        </w:rPr>
        <w:t xml:space="preserve"> not only the </w:t>
      </w:r>
      <w:r w:rsidRPr="00F464C0">
        <w:rPr>
          <w:highlight w:val="cyan"/>
          <w:u w:val="single"/>
        </w:rPr>
        <w:t>scientific challenges but also</w:t>
      </w:r>
      <w:r w:rsidRPr="002A58DA">
        <w:rPr>
          <w:u w:val="single"/>
        </w:rPr>
        <w:t xml:space="preserve"> the </w:t>
      </w:r>
      <w:r w:rsidRPr="00F464C0">
        <w:rPr>
          <w:highlight w:val="cyan"/>
          <w:u w:val="single"/>
        </w:rPr>
        <w:t>geopolitical risks</w:t>
      </w:r>
      <w:r w:rsidRPr="002A58DA">
        <w:rPr>
          <w:u w:val="single"/>
        </w:rPr>
        <w:t xml:space="preserve"> associated with geoengineering</w:t>
      </w:r>
      <w:r w:rsidRPr="002A58DA">
        <w:rPr>
          <w:sz w:val="16"/>
        </w:rPr>
        <w:t xml:space="preserve">. </w:t>
      </w:r>
      <w:r w:rsidRPr="002A58DA">
        <w:rPr>
          <w:u w:val="single"/>
        </w:rPr>
        <w:t>A responsible framework would ensure that research is conducted transparently, led by civilian institutions and agencies, and integrates political, sociological and historical viewpoints.</w:t>
      </w:r>
      <w:r w:rsidRPr="002A58DA">
        <w:rPr>
          <w:sz w:val="16"/>
        </w:rPr>
        <w:t xml:space="preserve"> In building the framework, the United States should learn from weather modification controversies in the 1960s and 1970s, nuclear nonproliferation negotiations, and the development of bioethics – all of which offer lessons regarding norm building for complex, nascent technologies. The United States must also develop robust science communication and science diplomacy to engage the public, the private sector and other governments on geoengineering in the coming years to combat mis- and disinformation. Such efforts should draw lessons from analogous science communication and misinformation challenges–such as vaccine skepticism and election interference.</w:t>
      </w:r>
    </w:p>
    <w:p w14:paraId="0BCD4E5B" w14:textId="77777777" w:rsidR="006F2C07" w:rsidRPr="002A58DA" w:rsidRDefault="006F2C07" w:rsidP="006F2C07">
      <w:pPr>
        <w:rPr>
          <w:u w:val="single"/>
        </w:rPr>
      </w:pPr>
      <w:r w:rsidRPr="002A58DA">
        <w:rPr>
          <w:sz w:val="16"/>
        </w:rPr>
        <w:t xml:space="preserve">Importantly, geoengineering discussions should not siphon resources or political capital from continuing the transition away from fossil fuels as quickly as possible, while also robustly investing in adaptation–policies that will lessen the need for more radical solutions. Realistically, however, </w:t>
      </w:r>
      <w:r w:rsidRPr="00F464C0">
        <w:rPr>
          <w:highlight w:val="cyan"/>
          <w:u w:val="single"/>
        </w:rPr>
        <w:t>interest in geoengineering will only grow</w:t>
      </w:r>
      <w:r w:rsidRPr="002A58DA">
        <w:rPr>
          <w:u w:val="single"/>
        </w:rPr>
        <w:t xml:space="preserve"> in the next few decades </w:t>
      </w:r>
      <w:r w:rsidRPr="00F464C0">
        <w:rPr>
          <w:highlight w:val="cyan"/>
          <w:u w:val="single"/>
        </w:rPr>
        <w:t>and the United States cannot afford to be caught flat-footed</w:t>
      </w:r>
      <w:r w:rsidRPr="002A58DA">
        <w:rPr>
          <w:u w:val="single"/>
        </w:rPr>
        <w:t xml:space="preserve"> on the associated security risks.</w:t>
      </w:r>
    </w:p>
    <w:p w14:paraId="5E439EE5" w14:textId="77777777" w:rsidR="006F2C07" w:rsidRPr="002A58DA" w:rsidRDefault="006F2C07" w:rsidP="006F2C07">
      <w:pPr>
        <w:rPr>
          <w:sz w:val="16"/>
        </w:rPr>
      </w:pPr>
      <w:r w:rsidRPr="002A58DA">
        <w:rPr>
          <w:sz w:val="16"/>
        </w:rPr>
        <w:t>Current State of Play</w:t>
      </w:r>
    </w:p>
    <w:p w14:paraId="6333ACFA" w14:textId="77777777" w:rsidR="006F2C07" w:rsidRPr="002A58DA" w:rsidRDefault="006F2C07" w:rsidP="006F2C07">
      <w:pPr>
        <w:rPr>
          <w:sz w:val="16"/>
        </w:rPr>
      </w:pPr>
      <w:r w:rsidRPr="002A58DA">
        <w:rPr>
          <w:u w:val="single"/>
        </w:rPr>
        <w:t>As climate-driven disasters pile up around the world, there is growing interest among governments and scientific bodies in exploring climate intervention or geoengineering techniques</w:t>
      </w:r>
      <w:r w:rsidRPr="002A58DA">
        <w:rPr>
          <w:sz w:val="16"/>
        </w:rPr>
        <w:t xml:space="preserve">. The long-held taboo in the scientific community that prevented even basic research into climate intervention approaches such as Solar Radiation Management (SRM) appears to be weakening. China launched a large, government-funded program in 2017, while in the United States universities like Harvard (though its major effort shuttered in 2024), the University of Chicago and the University of Washington have been leaders in the field.1 </w:t>
      </w:r>
      <w:r w:rsidRPr="002A58DA">
        <w:rPr>
          <w:u w:val="single"/>
        </w:rPr>
        <w:t xml:space="preserve">2 A 2021 </w:t>
      </w:r>
      <w:r w:rsidRPr="00F464C0">
        <w:rPr>
          <w:highlight w:val="cyan"/>
          <w:u w:val="single"/>
        </w:rPr>
        <w:t>report</w:t>
      </w:r>
      <w:r w:rsidRPr="002A58DA">
        <w:rPr>
          <w:u w:val="single"/>
        </w:rPr>
        <w:t xml:space="preserve"> from the US National Academy of Sciences argued it was time to create a transdisciplinary geoengineering research program in the United States, </w:t>
      </w:r>
      <w:r w:rsidRPr="00F464C0">
        <w:rPr>
          <w:highlight w:val="cyan"/>
          <w:u w:val="single"/>
        </w:rPr>
        <w:t>focused on developing “policy-relevant knowledge,” not</w:t>
      </w:r>
      <w:r w:rsidRPr="002A58DA">
        <w:rPr>
          <w:u w:val="single"/>
        </w:rPr>
        <w:t xml:space="preserve"> advancing </w:t>
      </w:r>
      <w:r w:rsidRPr="00F464C0">
        <w:rPr>
          <w:highlight w:val="cyan"/>
          <w:u w:val="single"/>
        </w:rPr>
        <w:t>deployment</w:t>
      </w:r>
      <w:r w:rsidRPr="002A58DA">
        <w:rPr>
          <w:sz w:val="16"/>
        </w:rPr>
        <w:t>.3 Two years later, in June 2023, a Congressionally-mandated report from the White House Office of Science and Technology Policy echoed the Academy’s recommendations and laid out a US research program on solar radiation modification, noting such a program would, “…enable better-informed decisions about the potential risks and benefits of SRM as a component of climate policy.”4</w:t>
      </w:r>
    </w:p>
    <w:p w14:paraId="507FE157" w14:textId="77777777" w:rsidR="006F2C07" w:rsidRPr="002A58DA" w:rsidRDefault="006F2C07" w:rsidP="006F2C07">
      <w:pPr>
        <w:rPr>
          <w:u w:val="single"/>
        </w:rPr>
      </w:pPr>
      <w:r w:rsidRPr="002A58DA">
        <w:rPr>
          <w:sz w:val="16"/>
        </w:rPr>
        <w:t xml:space="preserve">Of note, </w:t>
      </w:r>
      <w:r w:rsidRPr="00F464C0">
        <w:rPr>
          <w:highlight w:val="cyan"/>
          <w:u w:val="single"/>
        </w:rPr>
        <w:t>the US government reports</w:t>
      </w:r>
      <w:r w:rsidRPr="002A58DA">
        <w:rPr>
          <w:u w:val="single"/>
        </w:rPr>
        <w:t xml:space="preserve"> mentioned above </w:t>
      </w:r>
      <w:r w:rsidRPr="00F464C0">
        <w:rPr>
          <w:highlight w:val="cyan"/>
          <w:u w:val="single"/>
        </w:rPr>
        <w:t>emphasize the importance of</w:t>
      </w:r>
      <w:r w:rsidRPr="002A58DA">
        <w:rPr>
          <w:u w:val="single"/>
        </w:rPr>
        <w:t xml:space="preserve"> developing </w:t>
      </w:r>
      <w:r w:rsidRPr="00F464C0">
        <w:rPr>
          <w:highlight w:val="cyan"/>
          <w:u w:val="single"/>
        </w:rPr>
        <w:t xml:space="preserve">international governance mechanisms alongside </w:t>
      </w:r>
      <w:proofErr w:type="gramStart"/>
      <w:r w:rsidRPr="00F464C0">
        <w:rPr>
          <w:highlight w:val="cyan"/>
          <w:u w:val="single"/>
        </w:rPr>
        <w:t>the scientific</w:t>
      </w:r>
      <w:proofErr w:type="gramEnd"/>
      <w:r w:rsidRPr="00F464C0">
        <w:rPr>
          <w:highlight w:val="cyan"/>
          <w:u w:val="single"/>
        </w:rPr>
        <w:t xml:space="preserve"> research</w:t>
      </w:r>
      <w:r w:rsidRPr="002A58DA">
        <w:rPr>
          <w:sz w:val="16"/>
        </w:rPr>
        <w:t xml:space="preserve">, yet little detail is provided on how such mechanisms might be developed, and what the obstacles might be. While the White House report details a short list of US principles for governing research, </w:t>
      </w:r>
      <w:r w:rsidRPr="00F464C0">
        <w:rPr>
          <w:u w:val="single"/>
        </w:rPr>
        <w:t xml:space="preserve">it does not address how </w:t>
      </w:r>
      <w:r w:rsidRPr="00F464C0">
        <w:rPr>
          <w:highlight w:val="cyan"/>
          <w:u w:val="single"/>
        </w:rPr>
        <w:t>the United States will encourage</w:t>
      </w:r>
      <w:r w:rsidRPr="002A58DA">
        <w:rPr>
          <w:u w:val="single"/>
        </w:rPr>
        <w:t xml:space="preserve"> </w:t>
      </w:r>
      <w:r w:rsidRPr="00F464C0">
        <w:rPr>
          <w:highlight w:val="cyan"/>
          <w:u w:val="single"/>
        </w:rPr>
        <w:t>other countries to adhere to</w:t>
      </w:r>
      <w:r w:rsidRPr="002A58DA">
        <w:rPr>
          <w:u w:val="single"/>
        </w:rPr>
        <w:t xml:space="preserve"> such </w:t>
      </w:r>
      <w:r w:rsidRPr="00F464C0">
        <w:rPr>
          <w:highlight w:val="cyan"/>
          <w:u w:val="single"/>
        </w:rPr>
        <w:t>principles</w:t>
      </w:r>
      <w:r w:rsidRPr="002A58DA">
        <w:rPr>
          <w:u w:val="single"/>
        </w:rPr>
        <w:t xml:space="preserve"> or what to do if countries decide not to adhere or develop principles of their own. </w:t>
      </w:r>
      <w:r w:rsidRPr="002A58DA">
        <w:rPr>
          <w:sz w:val="16"/>
        </w:rPr>
        <w:t xml:space="preserve">This gap is likely </w:t>
      </w:r>
      <w:proofErr w:type="gramStart"/>
      <w:r w:rsidRPr="002A58DA">
        <w:rPr>
          <w:sz w:val="16"/>
        </w:rPr>
        <w:t>due to the fact that</w:t>
      </w:r>
      <w:proofErr w:type="gramEnd"/>
      <w:r w:rsidRPr="002A58DA">
        <w:rPr>
          <w:sz w:val="16"/>
        </w:rPr>
        <w:t xml:space="preserve"> these reports are largely led by the scientific community, while questions related to international governance and risk perceptions are best answered by social scientists, diplomats and security policymakers and practitioners. Also, these questions are frankly thornier and harder to address than laying out a sensible scientific research agenda. One can assess the types of planes needed to consistently inject aerosols into the atmosphere (as would be needed for stratospheric aerosol injections, a likely form of geoengineering) </w:t>
      </w:r>
      <w:r w:rsidRPr="002A58DA">
        <w:rPr>
          <w:u w:val="single"/>
        </w:rPr>
        <w:t>with much more certainty than one can understand the range of reactions governments and societies may have to the deployment of such planes.</w:t>
      </w:r>
    </w:p>
    <w:p w14:paraId="54F49D5F" w14:textId="77777777" w:rsidR="006F2C07" w:rsidRPr="002A58DA" w:rsidRDefault="006F2C07" w:rsidP="006F2C07">
      <w:pPr>
        <w:rPr>
          <w:u w:val="single"/>
        </w:rPr>
      </w:pPr>
      <w:r w:rsidRPr="002A58DA">
        <w:rPr>
          <w:u w:val="single"/>
        </w:rPr>
        <w:t xml:space="preserve">On the international stage, the topic is gaining attention as well, with the EU and the UN Environment </w:t>
      </w:r>
      <w:proofErr w:type="spellStart"/>
      <w:r w:rsidRPr="002A58DA">
        <w:rPr>
          <w:u w:val="single"/>
        </w:rPr>
        <w:t>Programme</w:t>
      </w:r>
      <w:proofErr w:type="spellEnd"/>
      <w:r w:rsidRPr="002A58DA">
        <w:rPr>
          <w:u w:val="single"/>
        </w:rPr>
        <w:t xml:space="preserve"> endorsing international efforts to assess the risks and uncertainties of climate intervention</w:t>
      </w:r>
      <w:r w:rsidRPr="002A58DA">
        <w:rPr>
          <w:sz w:val="16"/>
        </w:rPr>
        <w:t xml:space="preserve">.5 While in February 2024 a Swiss proposal to establish an expert panel to examine SRM technologies was withdrawn at the UN Environmental Assembly in Nairobi due to lack of support, </w:t>
      </w:r>
      <w:r w:rsidRPr="002A58DA">
        <w:rPr>
          <w:u w:val="single"/>
        </w:rPr>
        <w:t>it is likely that the topic will continue to gain time on the agenda in the environmental and climate communities in coming years.</w:t>
      </w:r>
    </w:p>
    <w:p w14:paraId="47462C63" w14:textId="77777777" w:rsidR="006F2C07" w:rsidRDefault="006F2C07" w:rsidP="006F2C07">
      <w:pPr>
        <w:pStyle w:val="Heading2"/>
      </w:pPr>
      <w:r>
        <w:t>Climate Advantage</w:t>
      </w:r>
    </w:p>
    <w:p w14:paraId="6A21BADD" w14:textId="77777777" w:rsidR="006F2C07" w:rsidRDefault="006F2C07" w:rsidP="006F2C07">
      <w:pPr>
        <w:pStyle w:val="Heading3"/>
      </w:pPr>
      <w:r>
        <w:t>2AC---AT: Trump</w:t>
      </w:r>
    </w:p>
    <w:p w14:paraId="2B0A9584" w14:textId="77777777" w:rsidR="006F2C07" w:rsidRDefault="006F2C07" w:rsidP="006F2C07">
      <w:pPr>
        <w:pStyle w:val="Heading4"/>
      </w:pPr>
      <w:r>
        <w:t>Trump will love geoengineering.</w:t>
      </w:r>
    </w:p>
    <w:p w14:paraId="5016ABA3" w14:textId="77777777" w:rsidR="006F2C07" w:rsidRPr="000E3510" w:rsidRDefault="006F2C07" w:rsidP="006F2C07">
      <w:r>
        <w:t xml:space="preserve">Hugh </w:t>
      </w:r>
      <w:r w:rsidRPr="00BB0B4F">
        <w:rPr>
          <w:rStyle w:val="Style13ptBold"/>
        </w:rPr>
        <w:t>Hunt</w:t>
      </w:r>
      <w:r>
        <w:t xml:space="preserve"> and Shaun </w:t>
      </w:r>
      <w:r w:rsidRPr="00BB0B4F">
        <w:rPr>
          <w:rStyle w:val="Style13ptBold"/>
        </w:rPr>
        <w:t>Fitzgerald</w:t>
      </w:r>
      <w:r>
        <w:t xml:space="preserve"> 2-17-20</w:t>
      </w:r>
      <w:r w:rsidRPr="00BB0B4F">
        <w:rPr>
          <w:rStyle w:val="Style13ptBold"/>
        </w:rPr>
        <w:t>25</w:t>
      </w:r>
      <w:r>
        <w:t xml:space="preserve">, Hugh Hunt is Professor of Engineering Dynamics and Vibration in Cambridge University's Engineering Department. He is Deputy Director of the Centre for Climate Repair in Cambridge. Shaun Fitzgerald is the Direct of the Centre for Climate Repair in Cambridge. “Geoengineering is politically off-limits – could a Trump presidency change that?” </w:t>
      </w:r>
      <w:r w:rsidRPr="00552547">
        <w:t>https://theconversation.com/geoengineering-is-politically-off-limits-could-a-trump-presidency-change-that-248589</w:t>
      </w:r>
      <w:r>
        <w:t xml:space="preserve"> //MDC</w:t>
      </w:r>
    </w:p>
    <w:p w14:paraId="10C37F62" w14:textId="77777777" w:rsidR="006F2C07" w:rsidRPr="00BB0B4F" w:rsidRDefault="006F2C07" w:rsidP="006F2C07">
      <w:pPr>
        <w:rPr>
          <w:sz w:val="16"/>
        </w:rPr>
      </w:pPr>
      <w:r w:rsidRPr="001D3A77">
        <w:rPr>
          <w:rStyle w:val="StyleUnderline"/>
        </w:rPr>
        <w:t xml:space="preserve">Donald </w:t>
      </w:r>
      <w:r w:rsidRPr="00BB0B4F">
        <w:rPr>
          <w:rStyle w:val="StyleUnderline"/>
          <w:highlight w:val="cyan"/>
        </w:rPr>
        <w:t>Trump’s second</w:t>
      </w:r>
      <w:r w:rsidRPr="001D3A77">
        <w:rPr>
          <w:rStyle w:val="StyleUnderline"/>
        </w:rPr>
        <w:t xml:space="preserve"> presidential </w:t>
      </w:r>
      <w:r w:rsidRPr="00BB0B4F">
        <w:rPr>
          <w:rStyle w:val="StyleUnderline"/>
          <w:highlight w:val="cyan"/>
        </w:rPr>
        <w:t>term is likely to mean big changes for those</w:t>
      </w:r>
      <w:r w:rsidRPr="001D3A77">
        <w:rPr>
          <w:rStyle w:val="StyleUnderline"/>
        </w:rPr>
        <w:t xml:space="preserve"> of us </w:t>
      </w:r>
      <w:r w:rsidRPr="00BB0B4F">
        <w:rPr>
          <w:rStyle w:val="StyleUnderline"/>
          <w:highlight w:val="cyan"/>
        </w:rPr>
        <w:t>interested in geoengineering</w:t>
      </w:r>
      <w:r w:rsidRPr="00BB0B4F">
        <w:rPr>
          <w:sz w:val="16"/>
        </w:rPr>
        <w:t>. The term refers to deliberate large-scale manipulation of the climate, perhaps by blocking out some sunlight or directly removing greenhouse gases from the atmosphere. Sometimes called climate engineering, we prefer the term “climate repair”.</w:t>
      </w:r>
    </w:p>
    <w:p w14:paraId="36FA8D0C" w14:textId="77777777" w:rsidR="006F2C07" w:rsidRPr="00BB0B4F" w:rsidRDefault="006F2C07" w:rsidP="006F2C07">
      <w:pPr>
        <w:rPr>
          <w:sz w:val="16"/>
        </w:rPr>
      </w:pPr>
      <w:r w:rsidRPr="00BB0B4F">
        <w:rPr>
          <w:sz w:val="16"/>
        </w:rPr>
        <w:t>Trump is not the most natural supporter of climate change interventions. He is set to expand oil and gas production hot on the heels of the most terrible wildfires in California. At some point the US could see hurricanes on scales even more extreme than Katrina or Helene.</w:t>
      </w:r>
    </w:p>
    <w:p w14:paraId="4501D2E9" w14:textId="77777777" w:rsidR="006F2C07" w:rsidRPr="001D3A77" w:rsidRDefault="006F2C07" w:rsidP="006F2C07">
      <w:pPr>
        <w:rPr>
          <w:rStyle w:val="StyleUnderline"/>
        </w:rPr>
      </w:pPr>
      <w:r w:rsidRPr="001D3A77">
        <w:rPr>
          <w:rStyle w:val="StyleUnderline"/>
        </w:rPr>
        <w:t xml:space="preserve">Extreme </w:t>
      </w:r>
      <w:r w:rsidRPr="00BB0B4F">
        <w:rPr>
          <w:rStyle w:val="StyleUnderline"/>
          <w:highlight w:val="cyan"/>
        </w:rPr>
        <w:t xml:space="preserve">weather will become </w:t>
      </w:r>
      <w:r w:rsidRPr="00BB0B4F">
        <w:rPr>
          <w:rStyle w:val="Emphasis"/>
          <w:highlight w:val="cyan"/>
        </w:rPr>
        <w:t>harder to ignore</w:t>
      </w:r>
      <w:r w:rsidRPr="00BB0B4F">
        <w:rPr>
          <w:rStyle w:val="StyleUnderline"/>
          <w:highlight w:val="cyan"/>
        </w:rPr>
        <w:t>. Trump</w:t>
      </w:r>
      <w:r w:rsidRPr="001D3A77">
        <w:rPr>
          <w:rStyle w:val="StyleUnderline"/>
        </w:rPr>
        <w:t xml:space="preserve"> could of course downplay any link to climate change but there’s a chance this </w:t>
      </w:r>
      <w:r w:rsidRPr="00BB0B4F">
        <w:rPr>
          <w:rStyle w:val="StyleUnderline"/>
          <w:highlight w:val="cyan"/>
        </w:rPr>
        <w:t>might</w:t>
      </w:r>
      <w:r w:rsidRPr="001D3A77">
        <w:rPr>
          <w:rStyle w:val="StyleUnderline"/>
        </w:rPr>
        <w:t xml:space="preserve"> trigger him to decide emergency action is required and </w:t>
      </w:r>
      <w:r w:rsidRPr="00BB0B4F">
        <w:rPr>
          <w:rStyle w:val="StyleUnderline"/>
          <w:highlight w:val="cyan"/>
        </w:rPr>
        <w:t>demand to know more about climate engineering</w:t>
      </w:r>
      <w:r w:rsidRPr="001D3A77">
        <w:rPr>
          <w:rStyle w:val="StyleUnderline"/>
        </w:rPr>
        <w:t xml:space="preserve"> options.</w:t>
      </w:r>
    </w:p>
    <w:p w14:paraId="72050E68" w14:textId="77777777" w:rsidR="006F2C07" w:rsidRPr="00BB0B4F" w:rsidRDefault="006F2C07" w:rsidP="006F2C07">
      <w:pPr>
        <w:rPr>
          <w:sz w:val="16"/>
        </w:rPr>
      </w:pPr>
      <w:r w:rsidRPr="00BB0B4F">
        <w:rPr>
          <w:sz w:val="16"/>
        </w:rPr>
        <w:t xml:space="preserve">After all, </w:t>
      </w:r>
      <w:r w:rsidRPr="00BB0B4F">
        <w:rPr>
          <w:rStyle w:val="StyleUnderline"/>
          <w:highlight w:val="cyan"/>
        </w:rPr>
        <w:t>Trump is close to</w:t>
      </w:r>
      <w:r w:rsidRPr="001D3A77">
        <w:rPr>
          <w:rStyle w:val="StyleUnderline"/>
        </w:rPr>
        <w:t xml:space="preserve"> certain </w:t>
      </w:r>
      <w:r w:rsidRPr="00BB0B4F">
        <w:rPr>
          <w:rStyle w:val="StyleUnderline"/>
          <w:highlight w:val="cyan"/>
        </w:rPr>
        <w:t>tech figures who like big technological solutions</w:t>
      </w:r>
      <w:r w:rsidRPr="001D3A77">
        <w:rPr>
          <w:rStyle w:val="StyleUnderline"/>
        </w:rPr>
        <w:t xml:space="preserve"> to global problems. </w:t>
      </w:r>
      <w:r w:rsidRPr="00BB0B4F">
        <w:rPr>
          <w:rStyle w:val="StyleUnderline"/>
          <w:highlight w:val="cyan"/>
        </w:rPr>
        <w:t>He likes to act fast</w:t>
      </w:r>
      <w:r w:rsidRPr="001D3A77">
        <w:rPr>
          <w:rStyle w:val="StyleUnderline"/>
        </w:rPr>
        <w:t xml:space="preserve"> and is prepared to deal with democratic reactions later. In those circumstances </w:t>
      </w:r>
      <w:r w:rsidRPr="00BB0B4F">
        <w:rPr>
          <w:rStyle w:val="StyleUnderline"/>
          <w:highlight w:val="cyan"/>
        </w:rPr>
        <w:t>he might feel that we should do whatever it takes to deploy new climate-saving strategies</w:t>
      </w:r>
      <w:r w:rsidRPr="001D3A77">
        <w:rPr>
          <w:rStyle w:val="StyleUnderline"/>
        </w:rPr>
        <w:t xml:space="preserve"> at speed</w:t>
      </w:r>
      <w:r w:rsidRPr="00BB0B4F">
        <w:rPr>
          <w:sz w:val="16"/>
        </w:rPr>
        <w:t>.</w:t>
      </w:r>
    </w:p>
    <w:p w14:paraId="47069CD9" w14:textId="77777777" w:rsidR="006F2C07" w:rsidRPr="00BB0B4F" w:rsidRDefault="006F2C07" w:rsidP="006F2C07">
      <w:pPr>
        <w:rPr>
          <w:sz w:val="16"/>
        </w:rPr>
      </w:pPr>
      <w:r w:rsidRPr="00BB0B4F">
        <w:rPr>
          <w:sz w:val="16"/>
        </w:rPr>
        <w:t xml:space="preserve">The most effective methods for cooling the planet involve making the Earth more reflective so that it absorbs less heat from the sun. One option, known as stratospheric aerosol injection, involves spraying </w:t>
      </w:r>
      <w:proofErr w:type="spellStart"/>
      <w:r w:rsidRPr="00BB0B4F">
        <w:rPr>
          <w:sz w:val="16"/>
        </w:rPr>
        <w:t>sulphur</w:t>
      </w:r>
      <w:proofErr w:type="spellEnd"/>
      <w:r w:rsidRPr="00BB0B4F">
        <w:rPr>
          <w:sz w:val="16"/>
        </w:rPr>
        <w:t xml:space="preserve"> dioxide into the upper atmosphere to mimic the cooling effect of volcanic eruptions.</w:t>
      </w:r>
    </w:p>
    <w:p w14:paraId="63BC0E6A" w14:textId="77777777" w:rsidR="006F2C07" w:rsidRPr="00BB0B4F" w:rsidRDefault="006F2C07" w:rsidP="006F2C07">
      <w:pPr>
        <w:rPr>
          <w:sz w:val="16"/>
        </w:rPr>
      </w:pPr>
      <w:r w:rsidRPr="00BB0B4F">
        <w:rPr>
          <w:sz w:val="16"/>
        </w:rPr>
        <w:t>Clouds could also be altered to become more reflective, an option known as marine cloud brightening. We can even make ice in the Arctic more reflective by thickening it during the winter months so that it lasts longer in the summer, reflecting the sun’s heat back into space.</w:t>
      </w:r>
    </w:p>
    <w:p w14:paraId="4081F3B1" w14:textId="77777777" w:rsidR="006F2C07" w:rsidRPr="00BB0B4F" w:rsidRDefault="006F2C07" w:rsidP="006F2C07">
      <w:pPr>
        <w:rPr>
          <w:sz w:val="16"/>
        </w:rPr>
      </w:pPr>
      <w:r w:rsidRPr="00BB0B4F">
        <w:rPr>
          <w:sz w:val="16"/>
        </w:rPr>
        <w:t xml:space="preserve">These technologies sound rather fanciful. Some might find them scary. </w:t>
      </w:r>
      <w:r w:rsidRPr="00BB0B4F">
        <w:rPr>
          <w:rStyle w:val="StyleUnderline"/>
        </w:rPr>
        <w:t>But with the devastation of hurricanes and wildfires, Trump could potentially instruct the US military to give aerosol injection a go</w:t>
      </w:r>
      <w:r w:rsidRPr="00BB0B4F">
        <w:rPr>
          <w:sz w:val="16"/>
        </w:rPr>
        <w:t xml:space="preserve">. At present, </w:t>
      </w:r>
      <w:proofErr w:type="gramStart"/>
      <w:r w:rsidRPr="00BB0B4F">
        <w:rPr>
          <w:sz w:val="16"/>
        </w:rPr>
        <w:t>the technology</w:t>
      </w:r>
      <w:proofErr w:type="gramEnd"/>
      <w:r w:rsidRPr="00BB0B4F">
        <w:rPr>
          <w:sz w:val="16"/>
        </w:rPr>
        <w:t xml:space="preserve"> would rely on high-altitude jets to take millions of </w:t>
      </w:r>
      <w:proofErr w:type="spellStart"/>
      <w:r w:rsidRPr="00BB0B4F">
        <w:rPr>
          <w:sz w:val="16"/>
        </w:rPr>
        <w:t>tonnes</w:t>
      </w:r>
      <w:proofErr w:type="spellEnd"/>
      <w:r w:rsidRPr="00BB0B4F">
        <w:rPr>
          <w:sz w:val="16"/>
        </w:rPr>
        <w:t xml:space="preserve"> of </w:t>
      </w:r>
      <w:proofErr w:type="spellStart"/>
      <w:r w:rsidRPr="00BB0B4F">
        <w:rPr>
          <w:sz w:val="16"/>
        </w:rPr>
        <w:t>sulphur</w:t>
      </w:r>
      <w:proofErr w:type="spellEnd"/>
      <w:r w:rsidRPr="00BB0B4F">
        <w:rPr>
          <w:sz w:val="16"/>
        </w:rPr>
        <w:t xml:space="preserve"> dioxide up to the stratosphere above the Arctic, and the US has a lot of these planes.</w:t>
      </w:r>
    </w:p>
    <w:p w14:paraId="546E9874" w14:textId="77777777" w:rsidR="006F2C07" w:rsidRPr="00BB0B4F" w:rsidRDefault="006F2C07" w:rsidP="006F2C07">
      <w:pPr>
        <w:rPr>
          <w:sz w:val="16"/>
        </w:rPr>
      </w:pPr>
      <w:r w:rsidRPr="00BB0B4F">
        <w:rPr>
          <w:sz w:val="16"/>
        </w:rPr>
        <w:t xml:space="preserve">Alternatively, Trump might take the opposite path and </w:t>
      </w:r>
      <w:proofErr w:type="gramStart"/>
      <w:r w:rsidRPr="00BB0B4F">
        <w:rPr>
          <w:sz w:val="16"/>
        </w:rPr>
        <w:t>say</w:t>
      </w:r>
      <w:proofErr w:type="gramEnd"/>
      <w:r w:rsidRPr="00BB0B4F">
        <w:rPr>
          <w:sz w:val="16"/>
        </w:rPr>
        <w:t xml:space="preserve"> “this is just part of the natural cycle of weather”. Climate-change deniers or those who believe reducing emissions alone will work to hit the 1.5°C or even 2°C targets may be given a platform to convince us all that there is no need for geoengineering.</w:t>
      </w:r>
    </w:p>
    <w:p w14:paraId="31DB7B19" w14:textId="77777777" w:rsidR="006F2C07" w:rsidRPr="00BB0B4F" w:rsidRDefault="006F2C07" w:rsidP="006F2C07">
      <w:pPr>
        <w:rPr>
          <w:sz w:val="16"/>
        </w:rPr>
      </w:pPr>
      <w:r w:rsidRPr="00BB0B4F">
        <w:rPr>
          <w:sz w:val="16"/>
        </w:rPr>
        <w:t>Geoengineering as an investment</w:t>
      </w:r>
    </w:p>
    <w:p w14:paraId="4C0E4992" w14:textId="77777777" w:rsidR="006F2C07" w:rsidRPr="00BB0B4F" w:rsidRDefault="006F2C07" w:rsidP="006F2C07">
      <w:pPr>
        <w:rPr>
          <w:rStyle w:val="StyleUnderline"/>
        </w:rPr>
      </w:pPr>
      <w:r w:rsidRPr="00BB0B4F">
        <w:rPr>
          <w:sz w:val="16"/>
        </w:rPr>
        <w:t xml:space="preserve">Maybe there is a middle ground. </w:t>
      </w:r>
      <w:r w:rsidRPr="00BB0B4F">
        <w:rPr>
          <w:rStyle w:val="StyleUnderline"/>
          <w:highlight w:val="cyan"/>
        </w:rPr>
        <w:t>Trump could decide to support geoengineering</w:t>
      </w:r>
      <w:r w:rsidRPr="00BB0B4F">
        <w:rPr>
          <w:rStyle w:val="StyleUnderline"/>
        </w:rPr>
        <w:t xml:space="preserve"> research </w:t>
      </w:r>
      <w:r w:rsidRPr="00BB0B4F">
        <w:rPr>
          <w:rStyle w:val="StyleUnderline"/>
          <w:highlight w:val="cyan"/>
        </w:rPr>
        <w:t xml:space="preserve">to help the </w:t>
      </w:r>
      <w:r w:rsidRPr="00BB0B4F">
        <w:rPr>
          <w:rStyle w:val="Emphasis"/>
          <w:highlight w:val="cyan"/>
        </w:rPr>
        <w:t>insurance industry</w:t>
      </w:r>
      <w:r w:rsidRPr="00BB0B4F">
        <w:rPr>
          <w:rStyle w:val="StyleUnderline"/>
        </w:rPr>
        <w:t xml:space="preserve">. If insurance companies will benefit by having fewer storms and fires, then </w:t>
      </w:r>
      <w:r w:rsidRPr="00BB0B4F">
        <w:rPr>
          <w:rStyle w:val="StyleUnderline"/>
          <w:highlight w:val="cyan"/>
        </w:rPr>
        <w:t>this would be good for the US economy</w:t>
      </w:r>
      <w:r w:rsidRPr="00BB0B4F">
        <w:rPr>
          <w:rStyle w:val="StyleUnderline"/>
        </w:rPr>
        <w:t>. So perhaps some expenditure on research right now may be a strategic investment.</w:t>
      </w:r>
    </w:p>
    <w:p w14:paraId="5B29378F" w14:textId="77777777" w:rsidR="006F2C07" w:rsidRPr="00BB0B4F" w:rsidRDefault="006F2C07" w:rsidP="006F2C07">
      <w:pPr>
        <w:rPr>
          <w:sz w:val="16"/>
        </w:rPr>
      </w:pPr>
      <w:r w:rsidRPr="00BB0B4F">
        <w:rPr>
          <w:sz w:val="16"/>
        </w:rPr>
        <w:t>Behind the scenes are deep discussions on geoengineering governance. There are some who argue that geoengineering is so risky for the climate (what if the world cools too much? are we prepared for any unintended consequences?) that it shouldn’t be researched – or at least the research should not be funded by governments.</w:t>
      </w:r>
    </w:p>
    <w:p w14:paraId="57455AC4" w14:textId="77777777" w:rsidR="006F2C07" w:rsidRPr="00BB0B4F" w:rsidRDefault="006F2C07" w:rsidP="006F2C07">
      <w:pPr>
        <w:rPr>
          <w:sz w:val="16"/>
        </w:rPr>
      </w:pPr>
      <w:r w:rsidRPr="00BB0B4F">
        <w:rPr>
          <w:sz w:val="16"/>
        </w:rPr>
        <w:t>Others argue that global governance and democratic issues (who is in charge? who gets a say?) need to be addressed before any research can begin. Then there’s the “slippery slope” argument, that once we start then we’ll never stop.</w:t>
      </w:r>
    </w:p>
    <w:p w14:paraId="1AB7E7AC" w14:textId="77777777" w:rsidR="006F2C07" w:rsidRPr="00BB0B4F" w:rsidRDefault="006F2C07" w:rsidP="006F2C07">
      <w:pPr>
        <w:rPr>
          <w:sz w:val="16"/>
        </w:rPr>
      </w:pPr>
      <w:r w:rsidRPr="00BB0B4F">
        <w:rPr>
          <w:sz w:val="16"/>
        </w:rPr>
        <w:t xml:space="preserve">Until now these kinds of arguments have slowed the pace of research, but Trump could say that the current position is wrong, as it holds back our knowledge of something which might help the US economy. </w:t>
      </w:r>
      <w:r w:rsidRPr="00BB0B4F">
        <w:rPr>
          <w:rStyle w:val="StyleUnderline"/>
        </w:rPr>
        <w:t xml:space="preserve">If Trump decides to unlock geoengineering as an opportunity, then </w:t>
      </w:r>
      <w:r w:rsidRPr="00BB0B4F">
        <w:rPr>
          <w:rStyle w:val="StyleUnderline"/>
          <w:highlight w:val="cyan"/>
        </w:rPr>
        <w:t>he may not just provide funding but instruct the national labs to get on with research at pace</w:t>
      </w:r>
      <w:r w:rsidRPr="00BB0B4F">
        <w:rPr>
          <w:rStyle w:val="StyleUnderline"/>
        </w:rPr>
        <w:t xml:space="preserve">, thereby </w:t>
      </w:r>
      <w:r w:rsidRPr="00BB0B4F">
        <w:rPr>
          <w:rStyle w:val="StyleUnderline"/>
          <w:highlight w:val="cyan"/>
        </w:rPr>
        <w:t>accelerating our knowledge</w:t>
      </w:r>
      <w:r w:rsidRPr="00BB0B4F">
        <w:rPr>
          <w:rStyle w:val="StyleUnderline"/>
        </w:rPr>
        <w:t xml:space="preserve"> of the different options. With good data we can make informed decisions</w:t>
      </w:r>
      <w:r w:rsidRPr="00BB0B4F">
        <w:rPr>
          <w:sz w:val="16"/>
        </w:rPr>
        <w:t>.</w:t>
      </w:r>
    </w:p>
    <w:p w14:paraId="1C3F7C7D" w14:textId="77777777" w:rsidR="006F2C07" w:rsidRPr="00BB0B4F" w:rsidRDefault="006F2C07" w:rsidP="006F2C07">
      <w:pPr>
        <w:rPr>
          <w:sz w:val="16"/>
        </w:rPr>
      </w:pPr>
      <w:r w:rsidRPr="00BB0B4F">
        <w:rPr>
          <w:sz w:val="16"/>
        </w:rPr>
        <w:t xml:space="preserve">How much would this cost? </w:t>
      </w:r>
      <w:r w:rsidRPr="00BB0B4F">
        <w:rPr>
          <w:rStyle w:val="StyleUnderline"/>
        </w:rPr>
        <w:t xml:space="preserve">It turns out that </w:t>
      </w:r>
      <w:r w:rsidRPr="00BB0B4F">
        <w:rPr>
          <w:rStyle w:val="StyleUnderline"/>
          <w:highlight w:val="cyan"/>
        </w:rPr>
        <w:t xml:space="preserve">geoengineering research is </w:t>
      </w:r>
      <w:r w:rsidRPr="00BB0B4F">
        <w:rPr>
          <w:rStyle w:val="Emphasis"/>
          <w:highlight w:val="cyan"/>
        </w:rPr>
        <w:t>not very expensive</w:t>
      </w:r>
      <w:r w:rsidRPr="00BB0B4F">
        <w:rPr>
          <w:rStyle w:val="StyleUnderline"/>
          <w:highlight w:val="cyan"/>
        </w:rPr>
        <w:t xml:space="preserve"> and Trump may figure that the potential upside is huge</w:t>
      </w:r>
      <w:r w:rsidRPr="00BB0B4F">
        <w:rPr>
          <w:sz w:val="16"/>
        </w:rPr>
        <w:t>. If he gets excited about it, then geoengineering might suddenly capture the imagination of the US public.</w:t>
      </w:r>
    </w:p>
    <w:p w14:paraId="4A979A6E" w14:textId="77777777" w:rsidR="006F2C07" w:rsidRPr="00BB0B4F" w:rsidRDefault="006F2C07" w:rsidP="006F2C07">
      <w:pPr>
        <w:rPr>
          <w:rStyle w:val="StyleUnderline"/>
        </w:rPr>
      </w:pPr>
      <w:r w:rsidRPr="00BB0B4F">
        <w:rPr>
          <w:sz w:val="16"/>
        </w:rPr>
        <w:t xml:space="preserve">There is increased interest around the world so the situation in the US is being watched closely. </w:t>
      </w:r>
      <w:r w:rsidRPr="00BB0B4F">
        <w:rPr>
          <w:rStyle w:val="StyleUnderline"/>
          <w:highlight w:val="cyan"/>
        </w:rPr>
        <w:t>With</w:t>
      </w:r>
      <w:r w:rsidRPr="00BB0B4F">
        <w:rPr>
          <w:rStyle w:val="StyleUnderline"/>
        </w:rPr>
        <w:t xml:space="preserve"> additional </w:t>
      </w:r>
      <w:r w:rsidRPr="00BB0B4F">
        <w:rPr>
          <w:rStyle w:val="StyleUnderline"/>
          <w:highlight w:val="cyan"/>
        </w:rPr>
        <w:t>funding</w:t>
      </w:r>
      <w:r w:rsidRPr="00BB0B4F">
        <w:rPr>
          <w:rStyle w:val="StyleUnderline"/>
        </w:rPr>
        <w:t xml:space="preserve"> and instructions from the new president, </w:t>
      </w:r>
      <w:r w:rsidRPr="00BB0B4F">
        <w:rPr>
          <w:rStyle w:val="StyleUnderline"/>
          <w:highlight w:val="cyan"/>
        </w:rPr>
        <w:t>geoengineering would soon become</w:t>
      </w:r>
      <w:r w:rsidRPr="00BB0B4F">
        <w:rPr>
          <w:rStyle w:val="StyleUnderline"/>
        </w:rPr>
        <w:t xml:space="preserve"> established in the </w:t>
      </w:r>
      <w:r w:rsidRPr="00BB0B4F">
        <w:rPr>
          <w:rStyle w:val="StyleUnderline"/>
          <w:highlight w:val="cyan"/>
        </w:rPr>
        <w:t>mainstream</w:t>
      </w:r>
      <w:r w:rsidRPr="00BB0B4F">
        <w:rPr>
          <w:rStyle w:val="StyleUnderline"/>
        </w:rPr>
        <w:t>.</w:t>
      </w:r>
    </w:p>
    <w:p w14:paraId="350C51B1" w14:textId="77777777" w:rsidR="006F2C07" w:rsidRPr="00BB0B4F" w:rsidRDefault="006F2C07" w:rsidP="006F2C07">
      <w:pPr>
        <w:rPr>
          <w:sz w:val="16"/>
        </w:rPr>
      </w:pPr>
      <w:r w:rsidRPr="00BB0B4F">
        <w:rPr>
          <w:sz w:val="16"/>
        </w:rPr>
        <w:t>Our team at the Centre for Climate Repair in Cambridge are not the only ones thinking about all of this. This is a hot topic and one which is likely to see significant changes in the coming year.</w:t>
      </w:r>
    </w:p>
    <w:p w14:paraId="34A6C413" w14:textId="77777777" w:rsidR="006F2C07" w:rsidRPr="001D3A77" w:rsidRDefault="006F2C07" w:rsidP="006F2C07"/>
    <w:p w14:paraId="41B8E9BB" w14:textId="3D3558F4" w:rsidR="006F2C07" w:rsidRPr="006F2C07" w:rsidRDefault="006F2C07" w:rsidP="006F2C07">
      <w:pPr>
        <w:keepNext/>
        <w:keepLines/>
        <w:pageBreakBefore/>
        <w:spacing w:before="40" w:after="0" w:line="256" w:lineRule="auto"/>
        <w:jc w:val="center"/>
        <w:outlineLvl w:val="2"/>
        <w:rPr>
          <w:rFonts w:eastAsia="Times New Roman" w:cs="Times New Roman"/>
          <w:b/>
          <w:sz w:val="32"/>
          <w:szCs w:val="24"/>
          <w:u w:val="single"/>
        </w:rPr>
      </w:pPr>
      <w:bookmarkStart w:id="0" w:name="_Hlk202023026"/>
      <w:r>
        <w:rPr>
          <w:rFonts w:eastAsia="Times New Roman" w:cs="Times New Roman"/>
          <w:b/>
          <w:sz w:val="32"/>
          <w:szCs w:val="24"/>
          <w:u w:val="single"/>
        </w:rPr>
        <w:t>2AC – Warming Tipping Points</w:t>
      </w:r>
    </w:p>
    <w:bookmarkEnd w:id="0"/>
    <w:p w14:paraId="6DEB775C"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 xml:space="preserve">The melting of ice in the Arctic is accelerating warming and bringing us closer to tipping points. </w:t>
      </w:r>
    </w:p>
    <w:p w14:paraId="7D4EE8BF" w14:textId="77777777" w:rsidR="006F2C07" w:rsidRPr="006F2C07" w:rsidRDefault="006F2C07" w:rsidP="006F2C07">
      <w:pPr>
        <w:spacing w:line="256" w:lineRule="auto"/>
        <w:rPr>
          <w:rFonts w:eastAsia="Calibri"/>
          <w:b/>
          <w:bCs/>
          <w:sz w:val="26"/>
        </w:rPr>
      </w:pPr>
      <w:r w:rsidRPr="006F2C07">
        <w:rPr>
          <w:rFonts w:eastAsia="Calibri"/>
          <w:b/>
          <w:bCs/>
          <w:sz w:val="26"/>
        </w:rPr>
        <w:t>Tsakali 25</w:t>
      </w:r>
      <w:r w:rsidRPr="006F2C07">
        <w:rPr>
          <w:rFonts w:eastAsia="Calibri"/>
        </w:rPr>
        <w:t xml:space="preserve">---Sustainability advisor for the Royal Netherlands Meteorological Institute (Nicoleta, Marlen Kolbe, Richard </w:t>
      </w:r>
      <w:proofErr w:type="spellStart"/>
      <w:r w:rsidRPr="006F2C07">
        <w:rPr>
          <w:rFonts w:eastAsia="Calibri"/>
        </w:rPr>
        <w:t>Bintanja</w:t>
      </w:r>
      <w:proofErr w:type="spellEnd"/>
      <w:r w:rsidRPr="006F2C07">
        <w:rPr>
          <w:rFonts w:eastAsia="Calibri"/>
        </w:rPr>
        <w:t xml:space="preserve">, and Nomikos </w:t>
      </w:r>
      <w:proofErr w:type="spellStart"/>
      <w:r w:rsidRPr="006F2C07">
        <w:rPr>
          <w:rFonts w:eastAsia="Calibri"/>
        </w:rPr>
        <w:t>Syllas</w:t>
      </w:r>
      <w:proofErr w:type="spellEnd"/>
      <w:r w:rsidRPr="006F2C07">
        <w:rPr>
          <w:rFonts w:eastAsia="Calibri"/>
        </w:rPr>
        <w:t>; “The time of emergence of Arctic warming, wetting and sea ice melting”, Scientific Reports, 04/12/35, https://www.nature.com/articles/s41598-025-96607-1#Sec1)</w:t>
      </w:r>
    </w:p>
    <w:p w14:paraId="5743EFFB" w14:textId="77777777" w:rsidR="006F2C07" w:rsidRPr="006F2C07" w:rsidRDefault="006F2C07" w:rsidP="006F2C07">
      <w:pPr>
        <w:spacing w:line="256" w:lineRule="auto"/>
        <w:rPr>
          <w:rFonts w:eastAsia="Calibri"/>
          <w:sz w:val="16"/>
        </w:rPr>
      </w:pPr>
      <w:r w:rsidRPr="006F2C07">
        <w:rPr>
          <w:rFonts w:eastAsia="Calibri"/>
          <w:u w:val="single"/>
        </w:rPr>
        <w:t>In the rapidly warming and wetting Arctic, the time of emergence (</w:t>
      </w:r>
      <w:proofErr w:type="spellStart"/>
      <w:r w:rsidRPr="006F2C07">
        <w:rPr>
          <w:rFonts w:eastAsia="Calibri"/>
          <w:u w:val="single"/>
        </w:rPr>
        <w:t>ToE</w:t>
      </w:r>
      <w:proofErr w:type="spellEnd"/>
      <w:r w:rsidRPr="006F2C07">
        <w:rPr>
          <w:rFonts w:eastAsia="Calibri"/>
          <w:u w:val="single"/>
        </w:rPr>
        <w:t>) of a new climate state occurs when trends of climate indicators are large enough to surpass the strong natural climate fluctuations in the Arctic</w:t>
      </w:r>
      <w:r w:rsidRPr="006F2C07">
        <w:rPr>
          <w:rFonts w:eastAsia="Calibri"/>
          <w:sz w:val="16"/>
        </w:rPr>
        <w:t xml:space="preserve">. Thus far, uncertainties in climate model projections, variability and methods have yielded diverging estimates of Arctic </w:t>
      </w:r>
      <w:proofErr w:type="spellStart"/>
      <w:r w:rsidRPr="006F2C07">
        <w:rPr>
          <w:rFonts w:eastAsia="Calibri"/>
          <w:sz w:val="16"/>
        </w:rPr>
        <w:t>ToE</w:t>
      </w:r>
      <w:proofErr w:type="spellEnd"/>
      <w:r w:rsidRPr="006F2C07">
        <w:rPr>
          <w:rFonts w:eastAsia="Calibri"/>
          <w:sz w:val="16"/>
        </w:rPr>
        <w:t xml:space="preserve">. Here we use a robust method and future projections of multiple state-of-the-art climate models to show that, generally, sea ice thickness (2036–2051) and surface air temperature (2033–2050) emerge first, followed by sea ice cover (2039–2074), and precipitation/rainfall (after 2077). Autumn generally exhibits the earliest </w:t>
      </w:r>
      <w:proofErr w:type="spellStart"/>
      <w:proofErr w:type="gramStart"/>
      <w:r w:rsidRPr="006F2C07">
        <w:rPr>
          <w:rFonts w:eastAsia="Calibri"/>
          <w:sz w:val="16"/>
        </w:rPr>
        <w:t>ToE</w:t>
      </w:r>
      <w:proofErr w:type="spellEnd"/>
      <w:r w:rsidRPr="006F2C07">
        <w:rPr>
          <w:rFonts w:eastAsia="Calibri"/>
          <w:sz w:val="16"/>
        </w:rPr>
        <w:t>-values</w:t>
      </w:r>
      <w:proofErr w:type="gramEnd"/>
      <w:r w:rsidRPr="006F2C07">
        <w:rPr>
          <w:rFonts w:eastAsia="Calibri"/>
          <w:sz w:val="16"/>
        </w:rPr>
        <w:t xml:space="preserve"> due to rapid sea ice retreat. The earliest </w:t>
      </w:r>
      <w:proofErr w:type="spellStart"/>
      <w:r w:rsidRPr="006F2C07">
        <w:rPr>
          <w:rFonts w:eastAsia="Calibri"/>
          <w:sz w:val="16"/>
        </w:rPr>
        <w:t>ToE</w:t>
      </w:r>
      <w:proofErr w:type="spellEnd"/>
      <w:r w:rsidRPr="006F2C07">
        <w:rPr>
          <w:rFonts w:eastAsia="Calibri"/>
          <w:sz w:val="16"/>
        </w:rPr>
        <w:t xml:space="preserve"> for temperature and sea ice thickness occurs in the Central Arctic, whereas sea ice cover and rainfall first emerge in the Barents Sea region. </w:t>
      </w:r>
      <w:r w:rsidRPr="006F2C07">
        <w:rPr>
          <w:rFonts w:eastAsia="Calibri"/>
          <w:u w:val="single"/>
        </w:rPr>
        <w:t>Most regions of the Arctic are close to a new climate state (for temperature and sea ice), with wide-ranging and possibly irreversible consequences for vulnerable Arctic ecosystems and human activities.</w:t>
      </w:r>
    </w:p>
    <w:p w14:paraId="645A4F1E" w14:textId="77777777" w:rsidR="006F2C07" w:rsidRPr="006F2C07" w:rsidRDefault="006F2C07" w:rsidP="006F2C07">
      <w:pPr>
        <w:spacing w:line="256" w:lineRule="auto"/>
        <w:rPr>
          <w:rFonts w:eastAsia="Calibri"/>
          <w:u w:val="single"/>
        </w:rPr>
      </w:pPr>
      <w:r w:rsidRPr="006F2C07">
        <w:rPr>
          <w:rFonts w:eastAsia="Calibri"/>
          <w:sz w:val="16"/>
        </w:rPr>
        <w:t xml:space="preserve">In view of recent global increases in the occurrence of climate change-related natural disasters1,2,3, there is enhanced interest in determining whether extreme climate conditions are a regular feature of the current climate, or if they pose evidence of a new </w:t>
      </w:r>
      <w:proofErr w:type="gramStart"/>
      <w:r w:rsidRPr="006F2C07">
        <w:rPr>
          <w:rFonts w:eastAsia="Calibri"/>
          <w:sz w:val="16"/>
        </w:rPr>
        <w:t>climate state</w:t>
      </w:r>
      <w:proofErr w:type="gramEnd"/>
      <w:r w:rsidRPr="006F2C07">
        <w:rPr>
          <w:rFonts w:eastAsia="Calibri"/>
          <w:sz w:val="16"/>
        </w:rPr>
        <w:t xml:space="preserve"> having emerged. </w:t>
      </w:r>
      <w:r w:rsidRPr="006F2C07">
        <w:rPr>
          <w:rFonts w:eastAsia="Calibri"/>
          <w:u w:val="single"/>
        </w:rPr>
        <w:t>One of the most vulnerable regions to climate change is the Arctic, which is warming two to four times faster than the global average over the last decades4</w:t>
      </w:r>
      <w:r w:rsidRPr="006F2C07">
        <w:rPr>
          <w:rFonts w:eastAsia="Calibri"/>
          <w:sz w:val="16"/>
        </w:rPr>
        <w:t xml:space="preserve">,5,6, while also getting considerably wetter7,8,9,10. Understanding when the effects of anthropogenic climate change in the Arctic have/will become distinguishable from natural climate fluctuations is crucial for policymakers to develop effective mitigation and adaptation strategies, and to identify and quantify (potentially irreversible) impacts on vulnerable Arctic ecosystems. </w:t>
      </w:r>
      <w:r w:rsidRPr="006F2C07">
        <w:rPr>
          <w:rFonts w:eastAsia="Calibri"/>
          <w:u w:val="single"/>
        </w:rPr>
        <w:t>A useful metric to establish when the forced climate change trend emerges from the ‘background noise’, or natural climate variability, is the time of emergence (</w:t>
      </w:r>
      <w:proofErr w:type="spellStart"/>
      <w:r w:rsidRPr="006F2C07">
        <w:rPr>
          <w:rFonts w:eastAsia="Calibri"/>
          <w:u w:val="single"/>
        </w:rPr>
        <w:t>ToE</w:t>
      </w:r>
      <w:proofErr w:type="spellEnd"/>
      <w:r w:rsidRPr="006F2C07">
        <w:rPr>
          <w:rFonts w:eastAsia="Calibri"/>
          <w:u w:val="single"/>
        </w:rPr>
        <w:t>).</w:t>
      </w:r>
    </w:p>
    <w:p w14:paraId="779A110E" w14:textId="77777777" w:rsidR="006F2C07" w:rsidRPr="006F2C07" w:rsidRDefault="006F2C07" w:rsidP="006F2C07">
      <w:pPr>
        <w:spacing w:line="256" w:lineRule="auto"/>
        <w:rPr>
          <w:rFonts w:eastAsia="Calibri"/>
          <w:sz w:val="16"/>
        </w:rPr>
      </w:pPr>
    </w:p>
    <w:p w14:paraId="6C8D3A26" w14:textId="77777777" w:rsidR="006F2C07" w:rsidRPr="006F2C07" w:rsidRDefault="006F2C07" w:rsidP="006F2C07">
      <w:pPr>
        <w:spacing w:line="256" w:lineRule="auto"/>
        <w:rPr>
          <w:rFonts w:eastAsia="Calibri"/>
          <w:sz w:val="16"/>
        </w:rPr>
      </w:pPr>
      <w:r w:rsidRPr="006F2C07">
        <w:rPr>
          <w:rFonts w:eastAsia="Calibri"/>
          <w:sz w:val="16"/>
        </w:rPr>
        <w:t xml:space="preserve">Thus far, the few studies that addressed Arctic </w:t>
      </w:r>
      <w:proofErr w:type="spellStart"/>
      <w:r w:rsidRPr="006F2C07">
        <w:rPr>
          <w:rFonts w:eastAsia="Calibri"/>
          <w:sz w:val="16"/>
        </w:rPr>
        <w:t>ToE</w:t>
      </w:r>
      <w:proofErr w:type="spellEnd"/>
      <w:r w:rsidRPr="006F2C07">
        <w:rPr>
          <w:rFonts w:eastAsia="Calibri"/>
          <w:sz w:val="16"/>
        </w:rPr>
        <w:t xml:space="preserve"> have provided inconclusive and diverging results, mainly because the methods to evaluate </w:t>
      </w:r>
      <w:proofErr w:type="spellStart"/>
      <w:r w:rsidRPr="006F2C07">
        <w:rPr>
          <w:rFonts w:eastAsia="Calibri"/>
          <w:sz w:val="16"/>
        </w:rPr>
        <w:t>ToE</w:t>
      </w:r>
      <w:proofErr w:type="spellEnd"/>
      <w:r w:rsidRPr="006F2C07">
        <w:rPr>
          <w:rFonts w:eastAsia="Calibri"/>
          <w:sz w:val="16"/>
        </w:rPr>
        <w:t xml:space="preserve"> and the climate variables/metrics that have been assessed differ greatly. Previous estimates of </w:t>
      </w:r>
      <w:proofErr w:type="spellStart"/>
      <w:r w:rsidRPr="006F2C07">
        <w:rPr>
          <w:rFonts w:eastAsia="Calibri"/>
          <w:sz w:val="16"/>
        </w:rPr>
        <w:t>ToE</w:t>
      </w:r>
      <w:proofErr w:type="spellEnd"/>
      <w:r w:rsidRPr="006F2C07">
        <w:rPr>
          <w:rFonts w:eastAsia="Calibri"/>
          <w:sz w:val="16"/>
        </w:rPr>
        <w:t xml:space="preserve"> for Arctic Amplification12, surface air temperature16, shortwave radiation11, sea ice extent (SIE)16, the freshwater budget15, or solar absorption14 focused on only one or a few variables and concluded that the forced trend has either already emerged or will likely emerge within the current decade13,16. </w:t>
      </w:r>
      <w:r w:rsidRPr="006F2C07">
        <w:rPr>
          <w:rFonts w:eastAsia="Calibri"/>
          <w:u w:val="single"/>
        </w:rPr>
        <w:t xml:space="preserve">For rainfall, only the </w:t>
      </w:r>
      <w:proofErr w:type="spellStart"/>
      <w:r w:rsidRPr="006F2C07">
        <w:rPr>
          <w:rFonts w:eastAsia="Calibri"/>
          <w:u w:val="single"/>
        </w:rPr>
        <w:t>ToEs</w:t>
      </w:r>
      <w:proofErr w:type="spellEnd"/>
      <w:r w:rsidRPr="006F2C07">
        <w:rPr>
          <w:rFonts w:eastAsia="Calibri"/>
          <w:u w:val="single"/>
        </w:rPr>
        <w:t xml:space="preserve"> for the first, last, and duration of Arctic rain days were evaluated and found to occur later this century16. Studies that evaluated Arctic </w:t>
      </w:r>
      <w:proofErr w:type="spellStart"/>
      <w:r w:rsidRPr="006F2C07">
        <w:rPr>
          <w:rFonts w:eastAsia="Calibri"/>
          <w:u w:val="single"/>
        </w:rPr>
        <w:t>ToE</w:t>
      </w:r>
      <w:proofErr w:type="spellEnd"/>
      <w:r w:rsidRPr="006F2C07">
        <w:rPr>
          <w:rFonts w:eastAsia="Calibri"/>
          <w:u w:val="single"/>
        </w:rPr>
        <w:t xml:space="preserve"> were sometimes based on spatial and/or temporal averaging</w:t>
      </w:r>
      <w:r w:rsidRPr="006F2C07">
        <w:rPr>
          <w:rFonts w:eastAsia="Calibri"/>
          <w:sz w:val="16"/>
        </w:rPr>
        <w:t xml:space="preserve"> (which reduces variability and hence results in an earlier </w:t>
      </w:r>
      <w:proofErr w:type="spellStart"/>
      <w:r w:rsidRPr="006F2C07">
        <w:rPr>
          <w:rFonts w:eastAsia="Calibri"/>
          <w:sz w:val="16"/>
        </w:rPr>
        <w:t>ToE</w:t>
      </w:r>
      <w:proofErr w:type="spellEnd"/>
      <w:r w:rsidRPr="006F2C07">
        <w:rPr>
          <w:rFonts w:eastAsia="Calibri"/>
          <w:sz w:val="16"/>
        </w:rPr>
        <w:t xml:space="preserve">, especially in sea ice, see Supplementary Information Figs. 1 and 2), </w:t>
      </w:r>
      <w:r w:rsidRPr="006F2C07">
        <w:rPr>
          <w:rFonts w:eastAsia="Calibri"/>
          <w:u w:val="single"/>
        </w:rPr>
        <w:t>as such, these have mostly attributed emergence to processes associated with Arctic sea ice decline1</w:t>
      </w:r>
      <w:r w:rsidRPr="006F2C07">
        <w:rPr>
          <w:rFonts w:eastAsia="Calibri"/>
          <w:sz w:val="16"/>
        </w:rPr>
        <w:t xml:space="preserve">2,16,17. For instance, a recent study suggested that the Arctic climate has already emerged decades ago in terms of both the seasonal minimum and maximum of SIE16, but these estimates are based on Arctic average SIE, which due to spatial averaging of variability yield an unrepresentative early </w:t>
      </w:r>
      <w:proofErr w:type="spellStart"/>
      <w:r w:rsidRPr="006F2C07">
        <w:rPr>
          <w:rFonts w:eastAsia="Calibri"/>
          <w:sz w:val="16"/>
        </w:rPr>
        <w:t>ToE</w:t>
      </w:r>
      <w:proofErr w:type="spellEnd"/>
      <w:r w:rsidRPr="006F2C07">
        <w:rPr>
          <w:rFonts w:eastAsia="Calibri"/>
          <w:sz w:val="16"/>
        </w:rPr>
        <w:t xml:space="preserve">. </w:t>
      </w:r>
      <w:r w:rsidRPr="006F2C07">
        <w:rPr>
          <w:rFonts w:eastAsia="Calibri"/>
          <w:u w:val="single"/>
        </w:rPr>
        <w:t xml:space="preserve">To date, crucial Arctic variables such as sea ice thickness have not been </w:t>
      </w:r>
      <w:proofErr w:type="spellStart"/>
      <w:r w:rsidRPr="006F2C07">
        <w:rPr>
          <w:rFonts w:eastAsia="Calibri"/>
          <w:u w:val="single"/>
        </w:rPr>
        <w:t>analysed</w:t>
      </w:r>
      <w:proofErr w:type="spellEnd"/>
      <w:r w:rsidRPr="006F2C07">
        <w:rPr>
          <w:rFonts w:eastAsia="Calibri"/>
          <w:u w:val="single"/>
        </w:rPr>
        <w:t xml:space="preserve"> in terms of their first emergence. Precipitation/rainfall </w:t>
      </w:r>
      <w:proofErr w:type="gramStart"/>
      <w:r w:rsidRPr="006F2C07">
        <w:rPr>
          <w:rFonts w:eastAsia="Calibri"/>
          <w:u w:val="single"/>
        </w:rPr>
        <w:t>exhibit</w:t>
      </w:r>
      <w:proofErr w:type="gramEnd"/>
      <w:r w:rsidRPr="006F2C07">
        <w:rPr>
          <w:rFonts w:eastAsia="Calibri"/>
          <w:u w:val="single"/>
        </w:rPr>
        <w:t xml:space="preserve"> strongly increasing trends, </w:t>
      </w:r>
      <w:proofErr w:type="gramStart"/>
      <w:r w:rsidRPr="006F2C07">
        <w:rPr>
          <w:rFonts w:eastAsia="Calibri"/>
          <w:u w:val="single"/>
        </w:rPr>
        <w:t>and also</w:t>
      </w:r>
      <w:proofErr w:type="gramEnd"/>
      <w:r w:rsidRPr="006F2C07">
        <w:rPr>
          <w:rFonts w:eastAsia="Calibri"/>
          <w:u w:val="single"/>
        </w:rPr>
        <w:t xml:space="preserve"> considerable variability, but so far </w:t>
      </w:r>
      <w:proofErr w:type="spellStart"/>
      <w:r w:rsidRPr="006F2C07">
        <w:rPr>
          <w:rFonts w:eastAsia="Calibri"/>
          <w:u w:val="single"/>
        </w:rPr>
        <w:t>ToE</w:t>
      </w:r>
      <w:proofErr w:type="spellEnd"/>
      <w:r w:rsidRPr="006F2C07">
        <w:rPr>
          <w:rFonts w:eastAsia="Calibri"/>
          <w:u w:val="single"/>
        </w:rPr>
        <w:t xml:space="preserve"> has been evaluated only for specific precipitation indices and metrics based on only two climate models16</w:t>
      </w:r>
      <w:r w:rsidRPr="006F2C07">
        <w:rPr>
          <w:rFonts w:eastAsia="Calibri"/>
          <w:sz w:val="16"/>
        </w:rPr>
        <w:t xml:space="preserve">. As a result, </w:t>
      </w:r>
      <w:proofErr w:type="spellStart"/>
      <w:r w:rsidRPr="006F2C07">
        <w:rPr>
          <w:rFonts w:eastAsia="Calibri"/>
          <w:sz w:val="16"/>
        </w:rPr>
        <w:t>ToE</w:t>
      </w:r>
      <w:proofErr w:type="spellEnd"/>
      <w:r w:rsidRPr="006F2C07">
        <w:rPr>
          <w:rFonts w:eastAsia="Calibri"/>
          <w:sz w:val="16"/>
        </w:rPr>
        <w:t>-estimates are often hard to intercompare because of differing climate variable indices and metrics, as well as differing methodology such as, most crucially, spatial and temporal averaging. Evidently, there is an urgent need for a complete, reliable and internally consistent estimate of the first emergence of the Arctic climate – including the associated uncertainties – based on a broad range of state-of-the-art climate models and five climate variables representative of the Arctic climate, including their geographical and seasonal variations.</w:t>
      </w:r>
    </w:p>
    <w:p w14:paraId="00FCAB96" w14:textId="77777777" w:rsidR="006F2C07" w:rsidRPr="006F2C07" w:rsidRDefault="006F2C07" w:rsidP="006F2C07">
      <w:pPr>
        <w:spacing w:line="256" w:lineRule="auto"/>
        <w:rPr>
          <w:rFonts w:eastAsia="Calibri"/>
          <w:sz w:val="16"/>
        </w:rPr>
      </w:pPr>
      <w:r w:rsidRPr="006F2C07">
        <w:rPr>
          <w:rFonts w:eastAsia="Calibri"/>
          <w:sz w:val="16"/>
        </w:rPr>
        <w:t>Results. Arctic mean time of emergence</w:t>
      </w:r>
    </w:p>
    <w:p w14:paraId="784F3CA1" w14:textId="77777777" w:rsidR="006F2C07" w:rsidRPr="006F2C07" w:rsidRDefault="006F2C07" w:rsidP="006F2C07">
      <w:pPr>
        <w:spacing w:line="256" w:lineRule="auto"/>
        <w:rPr>
          <w:rFonts w:eastAsia="Calibri"/>
          <w:sz w:val="16"/>
        </w:rPr>
      </w:pPr>
      <w:r w:rsidRPr="006F2C07">
        <w:rPr>
          <w:rFonts w:eastAsia="Calibri"/>
          <w:sz w:val="16"/>
        </w:rPr>
        <w:t xml:space="preserve">Here we use a detailed methodology (see Methods) to robustly determine Arctic </w:t>
      </w:r>
      <w:proofErr w:type="spellStart"/>
      <w:r w:rsidRPr="006F2C07">
        <w:rPr>
          <w:rFonts w:eastAsia="Calibri"/>
          <w:sz w:val="16"/>
        </w:rPr>
        <w:t>ToE</w:t>
      </w:r>
      <w:proofErr w:type="spellEnd"/>
      <w:r w:rsidRPr="006F2C07">
        <w:rPr>
          <w:rFonts w:eastAsia="Calibri"/>
          <w:sz w:val="16"/>
        </w:rPr>
        <w:t xml:space="preserve"> from state-of-the-art climate model simulations using 15 models in </w:t>
      </w:r>
      <w:proofErr w:type="spellStart"/>
      <w:r w:rsidRPr="006F2C07">
        <w:rPr>
          <w:rFonts w:eastAsia="Calibri"/>
          <w:sz w:val="16"/>
        </w:rPr>
        <w:t>standardised</w:t>
      </w:r>
      <w:proofErr w:type="spellEnd"/>
      <w:r w:rsidRPr="006F2C07">
        <w:rPr>
          <w:rFonts w:eastAsia="Calibri"/>
          <w:sz w:val="16"/>
        </w:rPr>
        <w:t xml:space="preserve"> scenario simulations (CMIP6, historical and SSP5-8.5)18 to show that, </w:t>
      </w:r>
      <w:r w:rsidRPr="006F2C07">
        <w:rPr>
          <w:rFonts w:eastAsia="Calibri"/>
          <w:u w:val="single"/>
        </w:rPr>
        <w:t>averaged over the Arctic (70°N-90°N), the seasonal emergence of surface air temperature (TAS, 2033–2050) and sea ice thickness (SIT, 2036–2051) will precede sea ice cover (SIC, around 2039–2074), followed by rainfall and precipitation</w:t>
      </w:r>
      <w:r w:rsidRPr="006F2C07">
        <w:rPr>
          <w:rFonts w:eastAsia="Calibri"/>
          <w:sz w:val="16"/>
        </w:rPr>
        <w:t xml:space="preserve"> (2077–2096, 2090-after the end of the century, respectively) (Fig. 1). In contrast to seasonal means, annual means average out seasonal variability; hence we find that annual mean </w:t>
      </w:r>
      <w:proofErr w:type="spellStart"/>
      <w:r w:rsidRPr="006F2C07">
        <w:rPr>
          <w:rFonts w:eastAsia="Calibri"/>
          <w:sz w:val="16"/>
        </w:rPr>
        <w:t>ToE</w:t>
      </w:r>
      <w:proofErr w:type="spellEnd"/>
      <w:r w:rsidRPr="006F2C07">
        <w:rPr>
          <w:rFonts w:eastAsia="Calibri"/>
          <w:sz w:val="16"/>
        </w:rPr>
        <w:t xml:space="preserve">-estimates precede seasonal values by 14 ± 5 years (Fig. 1). Strong future trends result in an earlier </w:t>
      </w:r>
      <w:proofErr w:type="spellStart"/>
      <w:r w:rsidRPr="006F2C07">
        <w:rPr>
          <w:rFonts w:eastAsia="Calibri"/>
          <w:sz w:val="16"/>
        </w:rPr>
        <w:t>ToE</w:t>
      </w:r>
      <w:proofErr w:type="spellEnd"/>
      <w:r w:rsidRPr="006F2C07">
        <w:rPr>
          <w:rFonts w:eastAsia="Calibri"/>
          <w:sz w:val="16"/>
        </w:rPr>
        <w:t xml:space="preserve">, but a large variability – and/or an increase in variability – will delay </w:t>
      </w:r>
      <w:proofErr w:type="spellStart"/>
      <w:r w:rsidRPr="006F2C07">
        <w:rPr>
          <w:rFonts w:eastAsia="Calibri"/>
          <w:sz w:val="16"/>
        </w:rPr>
        <w:t>ToE</w:t>
      </w:r>
      <w:proofErr w:type="spellEnd"/>
      <w:r w:rsidRPr="006F2C07">
        <w:rPr>
          <w:rFonts w:eastAsia="Calibri"/>
          <w:sz w:val="16"/>
        </w:rPr>
        <w:t xml:space="preserve"> (Supplementary Information Fig. 6). The later emergence of rainfall/precipitation </w:t>
      </w:r>
      <w:proofErr w:type="gramStart"/>
      <w:r w:rsidRPr="006F2C07">
        <w:rPr>
          <w:rFonts w:eastAsia="Calibri"/>
          <w:sz w:val="16"/>
        </w:rPr>
        <w:t>in spite of</w:t>
      </w:r>
      <w:proofErr w:type="gramEnd"/>
      <w:r w:rsidRPr="006F2C07">
        <w:rPr>
          <w:rFonts w:eastAsia="Calibri"/>
          <w:sz w:val="16"/>
        </w:rPr>
        <w:t xml:space="preserve"> strong future trends can be attributed to comparatively large past and present variability as well as to further future increases in variability19. </w:t>
      </w:r>
      <w:r w:rsidRPr="006F2C07">
        <w:rPr>
          <w:rFonts w:eastAsia="Calibri"/>
          <w:u w:val="single"/>
        </w:rPr>
        <w:t xml:space="preserve">Until now, estimates of </w:t>
      </w:r>
      <w:proofErr w:type="spellStart"/>
      <w:r w:rsidRPr="006F2C07">
        <w:rPr>
          <w:rFonts w:eastAsia="Calibri"/>
          <w:u w:val="single"/>
        </w:rPr>
        <w:t>ToE</w:t>
      </w:r>
      <w:proofErr w:type="spellEnd"/>
      <w:r w:rsidRPr="006F2C07">
        <w:rPr>
          <w:rFonts w:eastAsia="Calibri"/>
          <w:u w:val="single"/>
        </w:rPr>
        <w:t xml:space="preserve"> for sea ice changes were based on Arctic mean/total sea ice concentration,</w:t>
      </w:r>
      <w:r w:rsidRPr="006F2C07">
        <w:rPr>
          <w:rFonts w:eastAsia="Calibri"/>
          <w:sz w:val="16"/>
        </w:rPr>
        <w:t xml:space="preserve"> thus averaging out spatial variability, which likely resulted in too early </w:t>
      </w:r>
      <w:proofErr w:type="spellStart"/>
      <w:r w:rsidRPr="006F2C07">
        <w:rPr>
          <w:rFonts w:eastAsia="Calibri"/>
          <w:sz w:val="16"/>
        </w:rPr>
        <w:t>ToE</w:t>
      </w:r>
      <w:proofErr w:type="spellEnd"/>
      <w:r w:rsidRPr="006F2C07">
        <w:rPr>
          <w:rFonts w:eastAsia="Calibri"/>
          <w:sz w:val="16"/>
        </w:rPr>
        <w:t xml:space="preserve">-values (up to 56 years compared to our best estimates, see Supplementary Information Figs. 1 and 2). </w:t>
      </w:r>
      <w:r w:rsidRPr="006F2C07">
        <w:rPr>
          <w:rFonts w:eastAsia="Calibri"/>
          <w:u w:val="single"/>
        </w:rPr>
        <w:t xml:space="preserve">Crucially, we find that evaluating the sea ice cover emergence per grid point considerably delays </w:t>
      </w:r>
      <w:proofErr w:type="spellStart"/>
      <w:r w:rsidRPr="006F2C07">
        <w:rPr>
          <w:rFonts w:eastAsia="Calibri"/>
          <w:u w:val="single"/>
        </w:rPr>
        <w:t>ToE</w:t>
      </w:r>
      <w:proofErr w:type="spellEnd"/>
      <w:r w:rsidRPr="006F2C07">
        <w:rPr>
          <w:rFonts w:eastAsia="Calibri"/>
          <w:u w:val="single"/>
        </w:rPr>
        <w:t xml:space="preserve"> to just after that of temperature</w:t>
      </w:r>
      <w:r w:rsidRPr="006F2C07">
        <w:rPr>
          <w:rFonts w:eastAsia="Calibri"/>
          <w:sz w:val="16"/>
        </w:rPr>
        <w:t xml:space="preserve"> (Fig. 1). </w:t>
      </w:r>
      <w:r w:rsidRPr="006F2C07">
        <w:rPr>
          <w:rFonts w:eastAsia="Calibri"/>
          <w:u w:val="single"/>
        </w:rPr>
        <w:t>These results suggest that, in contrast to earlier studies, the mean Arctic climate, despite exhibiting trends that are among the largest in the world4</w:t>
      </w:r>
      <w:proofErr w:type="gramStart"/>
      <w:r w:rsidRPr="006F2C07">
        <w:rPr>
          <w:rFonts w:eastAsia="Calibri"/>
          <w:u w:val="single"/>
        </w:rPr>
        <w:t>,5,6</w:t>
      </w:r>
      <w:proofErr w:type="gramEnd"/>
      <w:r w:rsidRPr="006F2C07">
        <w:rPr>
          <w:rFonts w:eastAsia="Calibri"/>
          <w:u w:val="single"/>
        </w:rPr>
        <w:t xml:space="preserve"> through local amplifying </w:t>
      </w:r>
      <w:proofErr w:type="gramStart"/>
      <w:r w:rsidRPr="006F2C07">
        <w:rPr>
          <w:rFonts w:eastAsia="Calibri"/>
          <w:u w:val="single"/>
        </w:rPr>
        <w:t>feedbacks</w:t>
      </w:r>
      <w:proofErr w:type="gramEnd"/>
      <w:r w:rsidRPr="006F2C07">
        <w:rPr>
          <w:rFonts w:eastAsia="Calibri"/>
          <w:u w:val="single"/>
        </w:rPr>
        <w:t>, has overall not yet moved significantly outside the current state</w:t>
      </w:r>
      <w:r w:rsidRPr="006F2C07">
        <w:rPr>
          <w:rFonts w:eastAsia="Calibri"/>
          <w:sz w:val="16"/>
        </w:rPr>
        <w:t xml:space="preserve"> (although some regions and variables have already emerged). However, </w:t>
      </w:r>
      <w:proofErr w:type="spellStart"/>
      <w:r w:rsidRPr="006F2C07">
        <w:rPr>
          <w:rFonts w:eastAsia="Calibri"/>
          <w:sz w:val="16"/>
        </w:rPr>
        <w:t>ToE</w:t>
      </w:r>
      <w:proofErr w:type="spellEnd"/>
      <w:r w:rsidRPr="006F2C07">
        <w:rPr>
          <w:rFonts w:eastAsia="Calibri"/>
          <w:sz w:val="16"/>
        </w:rPr>
        <w:t xml:space="preserve"> values exhibit considerable </w:t>
      </w:r>
      <w:proofErr w:type="spellStart"/>
      <w:r w:rsidRPr="006F2C07">
        <w:rPr>
          <w:rFonts w:eastAsia="Calibri"/>
          <w:sz w:val="16"/>
        </w:rPr>
        <w:t>intermodel</w:t>
      </w:r>
      <w:proofErr w:type="spellEnd"/>
      <w:r w:rsidRPr="006F2C07">
        <w:rPr>
          <w:rFonts w:eastAsia="Calibri"/>
          <w:sz w:val="16"/>
        </w:rPr>
        <w:t xml:space="preserve"> differences (Supplementary Information Fig. 3), indicative of diverging model-specific simulated Arctic trends and variability – interannual and/or decadal – as well as the associated governing processes/feedbacks20,21. This clearly indicates that analyses of </w:t>
      </w:r>
      <w:proofErr w:type="spellStart"/>
      <w:r w:rsidRPr="006F2C07">
        <w:rPr>
          <w:rFonts w:eastAsia="Calibri"/>
          <w:sz w:val="16"/>
        </w:rPr>
        <w:t>ToE</w:t>
      </w:r>
      <w:proofErr w:type="spellEnd"/>
      <w:r w:rsidRPr="006F2C07">
        <w:rPr>
          <w:rFonts w:eastAsia="Calibri"/>
          <w:sz w:val="16"/>
        </w:rPr>
        <w:t xml:space="preserve"> should be based on as many models as possible to accurately quantify the associated uncertainties.</w:t>
      </w:r>
    </w:p>
    <w:p w14:paraId="12D5F3F6" w14:textId="77777777" w:rsidR="006F2C07" w:rsidRPr="006F2C07" w:rsidRDefault="006F2C07" w:rsidP="006F2C07">
      <w:pPr>
        <w:spacing w:line="256" w:lineRule="auto"/>
        <w:rPr>
          <w:rFonts w:eastAsia="Calibri"/>
          <w:sz w:val="16"/>
        </w:rPr>
      </w:pPr>
      <w:r w:rsidRPr="006F2C07">
        <w:rPr>
          <w:rFonts w:eastAsia="Calibri"/>
          <w:sz w:val="16"/>
        </w:rPr>
        <w:t>TAS, SIC, and SIT are expected to transition to a new state across the Arctic by the end of this century, with changes occurring in all seasons (Fig. 1a-c). The earliest transitions are projected for autumn TAS, starting as soon as 2033 (Fig. 1a). SIT generally transitions around the same time as TAS, except for autumn, where TAS leads SIT by 13 years (Figs. 1a-b and 2a-b). Notably, some variables and regions have already emerged, such as SIT in the Central Arctic (Fig. 3e-h), while others, like winter TAS over Greenland (Fig. 3a) and spring SIC in most regions (Fig. 3j), are not expected to emerge until after 2100.</w:t>
      </w:r>
    </w:p>
    <w:p w14:paraId="34FCF2F8" w14:textId="77777777" w:rsidR="006F2C07" w:rsidRPr="006F2C07" w:rsidRDefault="006F2C07" w:rsidP="006F2C07">
      <w:pPr>
        <w:spacing w:line="256" w:lineRule="auto"/>
        <w:rPr>
          <w:rFonts w:eastAsia="Calibri"/>
          <w:sz w:val="16"/>
        </w:rPr>
      </w:pPr>
      <w:r w:rsidRPr="006F2C07">
        <w:rPr>
          <w:rFonts w:eastAsia="Calibri"/>
          <w:u w:val="single"/>
        </w:rPr>
        <w:t>The presence of sea ice influences the emergence of TAS particularly during warmer seasons, such as summer and autumn, when temperatures reach the melting point of ice. Once this point is reached, further warming is limited until the ice fully melts, resulting in TAS and SIC transitions occurring almost simultaneously during these months</w:t>
      </w:r>
      <w:r w:rsidRPr="006F2C07">
        <w:rPr>
          <w:rFonts w:eastAsia="Calibri"/>
          <w:sz w:val="16"/>
        </w:rPr>
        <w:t xml:space="preserve"> (Fig. 2a, c). However</w:t>
      </w:r>
      <w:r w:rsidRPr="006F2C07">
        <w:rPr>
          <w:rFonts w:eastAsia="Calibri"/>
          <w:u w:val="single"/>
        </w:rPr>
        <w:t>, in colder seasons, such as winter and spring, TAS remains well below the melting point and can thus increase freely.</w:t>
      </w:r>
      <w:r w:rsidRPr="006F2C07">
        <w:rPr>
          <w:rFonts w:eastAsia="Calibri"/>
          <w:sz w:val="16"/>
        </w:rPr>
        <w:t xml:space="preserve"> As a result, TAS transitions occur up to 24 years earlier than SIC in spring (Fig. 2a, c). This pattern is particularly pronounced in the Central Arctic, where TAS is expected to transition before 2050 in spring (Fig. 3b), while SIC transitions will not occur until after 2070 or, in many areas, not even before the end of this century (Fig. 3j). In contrast, in regions with thin sea ice, such as the Barents Sea, the relationship between TAS and SIC is more synchronized, with </w:t>
      </w:r>
      <w:r w:rsidRPr="006F2C07">
        <w:rPr>
          <w:rFonts w:eastAsia="Calibri"/>
          <w:u w:val="single"/>
        </w:rPr>
        <w:t>both transitioning relatively early (Fig. 3b, j) due to the already thin ice which suggests that surface temperatures have already reached the melting point.</w:t>
      </w:r>
      <w:r w:rsidRPr="006F2C07">
        <w:rPr>
          <w:rFonts w:eastAsia="Calibri"/>
          <w:sz w:val="16"/>
        </w:rPr>
        <w:t xml:space="preserve"> When analyzing individual models, we find that those with an earlier </w:t>
      </w:r>
      <w:proofErr w:type="spellStart"/>
      <w:r w:rsidRPr="006F2C07">
        <w:rPr>
          <w:rFonts w:eastAsia="Calibri"/>
          <w:sz w:val="16"/>
        </w:rPr>
        <w:t>ToE</w:t>
      </w:r>
      <w:proofErr w:type="spellEnd"/>
      <w:r w:rsidRPr="006F2C07">
        <w:rPr>
          <w:rFonts w:eastAsia="Calibri"/>
          <w:sz w:val="16"/>
        </w:rPr>
        <w:t xml:space="preserve"> in temperature also tend to exhibit an earlier </w:t>
      </w:r>
      <w:proofErr w:type="spellStart"/>
      <w:r w:rsidRPr="006F2C07">
        <w:rPr>
          <w:rFonts w:eastAsia="Calibri"/>
          <w:sz w:val="16"/>
        </w:rPr>
        <w:t>ToE</w:t>
      </w:r>
      <w:proofErr w:type="spellEnd"/>
      <w:r w:rsidRPr="006F2C07">
        <w:rPr>
          <w:rFonts w:eastAsia="Calibri"/>
          <w:sz w:val="16"/>
        </w:rPr>
        <w:t xml:space="preserve"> in SIC (Supplementary Information Fig. 9). This approximately linear relationship is most pronounced in summer (R = 0.96), likely due to relatively high temperatures efficiently melting comparatively thin sea ice.</w:t>
      </w:r>
    </w:p>
    <w:p w14:paraId="6701DC53" w14:textId="77777777" w:rsidR="006F2C07" w:rsidRPr="006F2C07" w:rsidRDefault="006F2C07" w:rsidP="006F2C07">
      <w:pPr>
        <w:spacing w:line="256" w:lineRule="auto"/>
        <w:rPr>
          <w:rFonts w:eastAsia="Calibri"/>
          <w:sz w:val="16"/>
        </w:rPr>
      </w:pPr>
      <w:r w:rsidRPr="006F2C07">
        <w:rPr>
          <w:rFonts w:eastAsia="Calibri"/>
          <w:u w:val="single"/>
        </w:rPr>
        <w:t>Sea ice cover demonstrates greater resilience than sea ice thickness, particularly in regions dominated by multiyear thick ice</w:t>
      </w:r>
      <w:r w:rsidRPr="006F2C07">
        <w:rPr>
          <w:rFonts w:eastAsia="Calibri"/>
          <w:sz w:val="16"/>
        </w:rPr>
        <w:t xml:space="preserve"> (Fig. 3e-l), adding complexity to the timing of their transitions. In winter and spring, SIC transitions occur 17 and 31 years later than SIT, respectively (Fig. 2b, c), </w:t>
      </w:r>
      <w:r w:rsidRPr="006F2C07">
        <w:rPr>
          <w:rFonts w:eastAsia="Calibri"/>
          <w:u w:val="single"/>
        </w:rPr>
        <w:t xml:space="preserve">as reductions in ice thickness do not immediately lead to a decline in sea ice cover in these regions. In contrast, regions with currently relatively thin ice, e.g. the Barents Sea, exhibit SIT transitions that often </w:t>
      </w:r>
      <w:proofErr w:type="gramStart"/>
      <w:r w:rsidRPr="006F2C07">
        <w:rPr>
          <w:rFonts w:eastAsia="Calibri"/>
          <w:u w:val="single"/>
        </w:rPr>
        <w:t>lag behind</w:t>
      </w:r>
      <w:proofErr w:type="gramEnd"/>
      <w:r w:rsidRPr="006F2C07">
        <w:rPr>
          <w:rFonts w:eastAsia="Calibri"/>
          <w:u w:val="single"/>
        </w:rPr>
        <w:t xml:space="preserve"> SIC </w:t>
      </w:r>
      <w:proofErr w:type="gramStart"/>
      <w:r w:rsidRPr="006F2C07">
        <w:rPr>
          <w:rFonts w:eastAsia="Calibri"/>
          <w:u w:val="single"/>
        </w:rPr>
        <w:t>by</w:t>
      </w:r>
      <w:proofErr w:type="gramEnd"/>
      <w:r w:rsidRPr="006F2C07">
        <w:rPr>
          <w:rFonts w:eastAsia="Calibri"/>
          <w:u w:val="single"/>
        </w:rPr>
        <w:t xml:space="preserve"> up to 20 years</w:t>
      </w:r>
      <w:r w:rsidRPr="006F2C07">
        <w:rPr>
          <w:rFonts w:eastAsia="Calibri"/>
          <w:sz w:val="16"/>
        </w:rPr>
        <w:t xml:space="preserve"> (Fig. 3e-l), marking the final state before an ice-free state. This is especially true in regions where both variables are concurrently near the no-ice threshold. However, SIT exhibits </w:t>
      </w:r>
      <w:proofErr w:type="gramStart"/>
      <w:r w:rsidRPr="006F2C07">
        <w:rPr>
          <w:rFonts w:eastAsia="Calibri"/>
          <w:sz w:val="16"/>
        </w:rPr>
        <w:t>greater</w:t>
      </w:r>
      <w:proofErr w:type="gramEnd"/>
      <w:r w:rsidRPr="006F2C07">
        <w:rPr>
          <w:rFonts w:eastAsia="Calibri"/>
          <w:sz w:val="16"/>
        </w:rPr>
        <w:t xml:space="preserve"> ratio of variability and trend than SIC, especially in the Central Arctic (Figs. 4 and 5), introducing additional complexity to its spatiotemporal transition characteristics. This explains why, unlike SIT, SIC undergoes significant changes only when the ice is already thin, delaying its transition by up to 60 years compared to SIT—most notably in the Central Arctic during winter and spring (Fig. 3e-l). This lag is further exacerbated by the accelerated thinning of multiyear ice due to rising atmosphere and ocean temperatures20, which promote early SIT emergence.</w:t>
      </w:r>
    </w:p>
    <w:p w14:paraId="4D6E39E3" w14:textId="0EF82645" w:rsidR="006F2C07" w:rsidRPr="006F2C07" w:rsidRDefault="006F2C07" w:rsidP="006F2C07">
      <w:pPr>
        <w:pStyle w:val="Heading3"/>
        <w:rPr>
          <w:rFonts w:eastAsia="Calibri"/>
        </w:rPr>
      </w:pPr>
      <w:r>
        <w:rPr>
          <w:rFonts w:eastAsia="Calibri"/>
        </w:rPr>
        <w:t xml:space="preserve">2AC – </w:t>
      </w:r>
      <w:proofErr w:type="gramStart"/>
      <w:r>
        <w:rPr>
          <w:rFonts w:eastAsia="Calibri"/>
        </w:rPr>
        <w:t>Yes</w:t>
      </w:r>
      <w:proofErr w:type="gramEnd"/>
      <w:r>
        <w:rPr>
          <w:rFonts w:eastAsia="Calibri"/>
        </w:rPr>
        <w:t xml:space="preserve"> Feedback Loops</w:t>
      </w:r>
    </w:p>
    <w:p w14:paraId="18AF9C39"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The sea ice albedo feedback and longwave radiation caused by melting and warmer ice are accelerating the rate of shrinking ice in the Arctic</w:t>
      </w:r>
    </w:p>
    <w:p w14:paraId="2408F99F" w14:textId="77777777" w:rsidR="006F2C07" w:rsidRPr="006F2C07" w:rsidRDefault="006F2C07" w:rsidP="006F2C07">
      <w:pPr>
        <w:spacing w:line="256" w:lineRule="auto"/>
        <w:rPr>
          <w:rFonts w:eastAsia="Calibri"/>
          <w:b/>
          <w:bCs/>
          <w:sz w:val="26"/>
        </w:rPr>
      </w:pPr>
      <w:r w:rsidRPr="006F2C07">
        <w:rPr>
          <w:rFonts w:eastAsia="Calibri"/>
          <w:b/>
          <w:bCs/>
          <w:sz w:val="26"/>
        </w:rPr>
        <w:t>Cao et al. 17</w:t>
      </w:r>
      <w:r w:rsidRPr="006F2C07">
        <w:rPr>
          <w:rFonts w:eastAsia="Calibri"/>
        </w:rPr>
        <w:t>---PhD from the China University of Mining and Technology, professor at Beijing Forestry University who does research in Remote Sensing, Geoinformatics (GIS) and Climatology (Yunfeng,</w:t>
      </w:r>
      <w:r w:rsidRPr="006F2C07">
        <w:rPr>
          <w:rFonts w:eastAsia="Calibri"/>
          <w:b/>
          <w:bCs/>
          <w:sz w:val="26"/>
        </w:rPr>
        <w:t xml:space="preserve"> </w:t>
      </w:r>
      <w:proofErr w:type="spellStart"/>
      <w:r w:rsidRPr="006F2C07">
        <w:rPr>
          <w:rFonts w:eastAsia="Calibri"/>
        </w:rPr>
        <w:t>Shunlin</w:t>
      </w:r>
      <w:proofErr w:type="spellEnd"/>
      <w:r w:rsidRPr="006F2C07">
        <w:rPr>
          <w:rFonts w:eastAsia="Calibri"/>
        </w:rPr>
        <w:t xml:space="preserve"> Liang, </w:t>
      </w:r>
      <w:proofErr w:type="spellStart"/>
      <w:r w:rsidRPr="006F2C07">
        <w:rPr>
          <w:rFonts w:eastAsia="Calibri"/>
        </w:rPr>
        <w:t>Xiaona</w:t>
      </w:r>
      <w:proofErr w:type="spellEnd"/>
      <w:r w:rsidRPr="006F2C07">
        <w:rPr>
          <w:rFonts w:eastAsia="Calibri"/>
        </w:rPr>
        <w:t xml:space="preserve"> Chen, Tao He, </w:t>
      </w:r>
      <w:proofErr w:type="spellStart"/>
      <w:r w:rsidRPr="006F2C07">
        <w:rPr>
          <w:rFonts w:eastAsia="Calibri"/>
        </w:rPr>
        <w:t>Dongdong</w:t>
      </w:r>
      <w:proofErr w:type="spellEnd"/>
      <w:r w:rsidRPr="006F2C07">
        <w:rPr>
          <w:rFonts w:eastAsia="Calibri"/>
        </w:rPr>
        <w:t xml:space="preserve"> Wang, and Xiao Cheng; “Enhanced wintertime greenhouse effect reinforcing Arctic amplification and initial sea-ice melting”, Scientific Reports, 8/16/17, https://www.nature.com/articles/s41598-017-08545-2)</w:t>
      </w:r>
    </w:p>
    <w:p w14:paraId="075D041C" w14:textId="77777777" w:rsidR="006F2C07" w:rsidRPr="006F2C07" w:rsidRDefault="006F2C07" w:rsidP="006F2C07">
      <w:pPr>
        <w:spacing w:line="256" w:lineRule="auto"/>
        <w:rPr>
          <w:rFonts w:eastAsia="Calibri"/>
          <w:u w:val="single"/>
        </w:rPr>
      </w:pPr>
      <w:r w:rsidRPr="006F2C07">
        <w:rPr>
          <w:rFonts w:eastAsia="Calibri"/>
          <w:u w:val="single"/>
        </w:rPr>
        <w:t>The speeds of both Arctic surface warming and sea-ice shrinking have accelerated over recent decades.</w:t>
      </w:r>
      <w:r w:rsidRPr="006F2C07">
        <w:rPr>
          <w:rFonts w:eastAsia="Calibri"/>
          <w:sz w:val="16"/>
        </w:rPr>
        <w:t xml:space="preserve"> However, the causes of this unprecedented phenomenon remain unclear and are subjects of considerable debate. In this study, we report strong observational evidence, for the first time from long-term (1984–2014) spatially complete satellite records, that increased cloudiness and atmospheric water vapor in winter and spring have caused an extraordinary downward longwave radiative flux to the ice surface, which may then amplify the Arctic wintertime ice-surface warming. In addition, </w:t>
      </w:r>
      <w:r w:rsidRPr="006F2C07">
        <w:rPr>
          <w:rFonts w:eastAsia="Calibri"/>
          <w:u w:val="single"/>
        </w:rPr>
        <w:t>we also provide observed evidence that it is quite likely the enhancement of the wintertime greenhouse effect caused by water vapor and cloudiness has advanced the time of onset of ice melting in mid-May through inhibiting sea-ice refreezing in the winter and accelerating the pre-melting process in the spring, and in turn triggered the positive sea-ice albedo feedback process and accelerated the sea ice melting in the summer.</w:t>
      </w:r>
    </w:p>
    <w:p w14:paraId="16735441" w14:textId="77777777" w:rsidR="006F2C07" w:rsidRPr="006F2C07" w:rsidRDefault="006F2C07" w:rsidP="006F2C07">
      <w:pPr>
        <w:spacing w:line="256" w:lineRule="auto"/>
        <w:rPr>
          <w:rFonts w:eastAsia="Calibri"/>
          <w:sz w:val="16"/>
        </w:rPr>
      </w:pPr>
      <w:r w:rsidRPr="006F2C07">
        <w:rPr>
          <w:rFonts w:eastAsia="Calibri"/>
          <w:sz w:val="16"/>
        </w:rPr>
        <w:t xml:space="preserve">Despite an apparent hiatus in global warming1,2,3, </w:t>
      </w:r>
      <w:r w:rsidRPr="006F2C07">
        <w:rPr>
          <w:rFonts w:eastAsia="Calibri"/>
          <w:u w:val="single"/>
        </w:rPr>
        <w:t>the Arctic climate continues to experience unprecedented changes. Summer sea ice is retreating at an accelerated rate4, 5, and surface temperatures in this region are rising at a rate double that of the global average</w:t>
      </w:r>
      <w:r w:rsidRPr="006F2C07">
        <w:rPr>
          <w:rFonts w:eastAsia="Calibri"/>
          <w:sz w:val="16"/>
        </w:rPr>
        <w:t xml:space="preserve">, a phenomenon known as Arctic amplification6, 7. Several major competing hypotheses have been proposed to explain the causes of Arctic amplification and summer sea-ice retreat. For instance, an enhanced Atlantic Meridional Overturning Circulation (AMOC) transporting extraordinary amounts of heat northward to the Arctic Ocean has been hypothesized to substantially amplify Arctic warming and accelerate summer sea-ice melting in this region8,9,10,11. However, evidence has instead shown significant slowing of the AMOC over the last few decades12, 13. </w:t>
      </w:r>
      <w:r w:rsidRPr="006F2C07">
        <w:rPr>
          <w:rFonts w:eastAsia="Calibri"/>
          <w:u w:val="single"/>
        </w:rPr>
        <w:t>Sea-ice albedo feedback caused by the continuously shrinking summer sea ice potentially increasing the absorption of shortwave radiation is also believed to play a critical role in recent Arctic amplification14</w:t>
      </w:r>
      <w:r w:rsidRPr="006F2C07">
        <w:rPr>
          <w:rFonts w:eastAsia="Calibri"/>
          <w:sz w:val="16"/>
        </w:rPr>
        <w:t xml:space="preserve">,15,16,17. But certain model simulations have indicated that sea-ice albedo feedback was likely not the dominant factor18, 19 - robust warming amplification still occurs in the Arctic in the absence of albedo feedback20, 21. </w:t>
      </w:r>
      <w:r w:rsidRPr="006F2C07">
        <w:rPr>
          <w:rFonts w:eastAsia="Calibri"/>
          <w:u w:val="single"/>
        </w:rPr>
        <w:t>Recently, downward longwave radiation (LWD) at the surface has been suggested as an important driver of Arctic winter warming and summer sea-ice dynamics1</w:t>
      </w:r>
      <w:r w:rsidRPr="006F2C07">
        <w:rPr>
          <w:rFonts w:eastAsia="Calibri"/>
          <w:sz w:val="16"/>
        </w:rPr>
        <w:t xml:space="preserve">9, 22,23,24,25,26. </w:t>
      </w:r>
      <w:r w:rsidRPr="006F2C07">
        <w:rPr>
          <w:rFonts w:eastAsia="Calibri"/>
          <w:u w:val="single"/>
        </w:rPr>
        <w:t>Because LWD is affected by several highly correlated climatic factors, including atmospheric temperature, and the amounts of water vapor and cloudiness27, which of these factors has been the fundamental force driving Arctic amplification is still under debate. Based on model simulations, several studies have claimed that atmospheric temperature feedback (also called lapse-rate feedback at the top of the atmosphere), which is associated with wintertime temperature inversions in the Arctic boundary layer, is the dominant factor responsible for amplifying Arctic surface warming</w:t>
      </w:r>
      <w:r w:rsidRPr="006F2C07">
        <w:rPr>
          <w:rFonts w:eastAsia="Calibri"/>
          <w:sz w:val="16"/>
        </w:rPr>
        <w:t xml:space="preserve">18, 28. The other two greenhouse effect factors, water vapor and cloudiness, have very limited (even negative) effects on Arctic amplification17, 18. However, other analyses, based on observations24, 29 and atmospheric reanalysis23, 25, have pointed in the opposite direction and demonstrated that the cloud- and water vapor-induced greenhouse effect is crucial to Arctic winter warming and the development of summer sea ice. In fact, LWD is much more sensitive to water vapor anomalies at high latitudes30,31,32,33, which suggests that the water vapor effect in the Arctic may be considerably stronger than that at lower latitudes. </w:t>
      </w:r>
      <w:proofErr w:type="gramStart"/>
      <w:r w:rsidRPr="006F2C07">
        <w:rPr>
          <w:rFonts w:eastAsia="Calibri"/>
          <w:sz w:val="16"/>
        </w:rPr>
        <w:t>However</w:t>
      </w:r>
      <w:proofErr w:type="gramEnd"/>
      <w:r w:rsidRPr="006F2C07">
        <w:rPr>
          <w:rFonts w:eastAsia="Calibri"/>
          <w:sz w:val="16"/>
        </w:rPr>
        <w:t xml:space="preserve"> the findings that support this hypothesis are either from small regions23 or very short spans of time (early winter24, 25 or late spring23, 34</w:t>
      </w:r>
      <w:proofErr w:type="gramStart"/>
      <w:r w:rsidRPr="006F2C07">
        <w:rPr>
          <w:rFonts w:eastAsia="Calibri"/>
          <w:sz w:val="16"/>
        </w:rPr>
        <w:t>), and</w:t>
      </w:r>
      <w:proofErr w:type="gramEnd"/>
      <w:r w:rsidRPr="006F2C07">
        <w:rPr>
          <w:rFonts w:eastAsia="Calibri"/>
          <w:sz w:val="16"/>
        </w:rPr>
        <w:t xml:space="preserve"> therefore are insufficient and problematic for fully interpreting the mechanism that drives variation in LWD at the surface and its effects on Arctic amplification and sea-ice variations. Strong and comprehensive additional evidence is therefore required to clarify the relationship between LWD at the surface and Arctic amplification.</w:t>
      </w:r>
    </w:p>
    <w:p w14:paraId="61741049" w14:textId="77777777" w:rsidR="006F2C07" w:rsidRPr="006F2C07" w:rsidRDefault="006F2C07" w:rsidP="006F2C07">
      <w:pPr>
        <w:spacing w:line="256" w:lineRule="auto"/>
        <w:rPr>
          <w:rFonts w:eastAsia="Calibri"/>
          <w:sz w:val="16"/>
        </w:rPr>
      </w:pPr>
      <w:r w:rsidRPr="006F2C07">
        <w:rPr>
          <w:rFonts w:eastAsia="Calibri"/>
          <w:sz w:val="16"/>
        </w:rPr>
        <w:t>Furthermore</w:t>
      </w:r>
      <w:r w:rsidRPr="006F2C07">
        <w:rPr>
          <w:rFonts w:eastAsia="Calibri"/>
          <w:u w:val="single"/>
        </w:rPr>
        <w:t>, because the state of sea ice at the onset of the melting season is crucial for evaluating surface energy uptake35, 36 which largely determines the minimum sea-ice coverage reached in the fall37, and is asynchronous with Arctic amplification, which occurs mainly in the wintertime6</w:t>
      </w:r>
      <w:r w:rsidRPr="006F2C07">
        <w:rPr>
          <w:rFonts w:eastAsia="Calibri"/>
          <w:sz w:val="16"/>
        </w:rPr>
        <w:t>, 15, it is important to chronologically investigate the causal relationships between Arctic wintertime amplification and initial sea-ice melting to elucidate the physical mechanisms of recent Arctic warming.</w:t>
      </w:r>
    </w:p>
    <w:p w14:paraId="3CA1B615" w14:textId="77777777" w:rsidR="006F2C07" w:rsidRPr="006F2C07" w:rsidRDefault="006F2C07" w:rsidP="006F2C07">
      <w:pPr>
        <w:spacing w:line="256" w:lineRule="auto"/>
        <w:rPr>
          <w:rFonts w:eastAsia="Calibri"/>
          <w:u w:val="single"/>
        </w:rPr>
      </w:pPr>
      <w:r w:rsidRPr="006F2C07">
        <w:rPr>
          <w:rFonts w:eastAsia="Calibri"/>
          <w:sz w:val="16"/>
        </w:rPr>
        <w:t xml:space="preserve">For this study, we use for the first time, long-term (1984–2014) spatially complete satellite data to provide strong observational evidence that </w:t>
      </w:r>
      <w:r w:rsidRPr="006F2C07">
        <w:rPr>
          <w:rFonts w:eastAsia="Calibri"/>
          <w:u w:val="single"/>
        </w:rPr>
        <w:t>the enhanced greenhouse effect from increased atmospheric water vapor and cloudiness in both winter and spring may reinforce the amplification of Arctic wintertime warming, which in turn has triggered the accelerated sea-ice melting in the summer.</w:t>
      </w:r>
    </w:p>
    <w:p w14:paraId="22D31D3F" w14:textId="77777777" w:rsidR="006F2C07" w:rsidRPr="006F2C07" w:rsidRDefault="006F2C07" w:rsidP="006F2C07">
      <w:pPr>
        <w:spacing w:line="256" w:lineRule="auto"/>
        <w:rPr>
          <w:rFonts w:eastAsia="Calibri"/>
          <w:sz w:val="16"/>
        </w:rPr>
      </w:pPr>
      <w:r w:rsidRPr="006F2C07">
        <w:rPr>
          <w:rFonts w:eastAsia="Calibri"/>
          <w:sz w:val="16"/>
        </w:rPr>
        <w:t>Results and Analysis</w:t>
      </w:r>
    </w:p>
    <w:p w14:paraId="1815B6A8" w14:textId="77777777" w:rsidR="006F2C07" w:rsidRPr="006F2C07" w:rsidRDefault="006F2C07" w:rsidP="006F2C07">
      <w:pPr>
        <w:spacing w:line="256" w:lineRule="auto"/>
        <w:rPr>
          <w:rFonts w:eastAsia="Calibri"/>
          <w:sz w:val="16"/>
        </w:rPr>
      </w:pPr>
      <w:r w:rsidRPr="006F2C07">
        <w:rPr>
          <w:rFonts w:eastAsia="Calibri"/>
          <w:u w:val="single"/>
        </w:rPr>
        <w:t>To investigate the relationships among atmospheric longwave radiative forcing, wintertime surface warming and the late spring initial sea-ice melting in the Arctic, we calculated long-term anomalies</w:t>
      </w:r>
      <w:r w:rsidRPr="006F2C07">
        <w:rPr>
          <w:rFonts w:eastAsia="Calibri"/>
          <w:sz w:val="16"/>
        </w:rPr>
        <w:t xml:space="preserve"> in spatial (maximum sea-ice coverage north of 60°N) and wintertime (including both winter and spring) temporally averaged surface downward longwave radiative flux (LWD), water vapor (WV), cloud area fraction (CFC), skin temperature (SKT), and sea ice concentration (SIC) for the melting onset period37 between May 16 and June 5 (days of year 136 to 156). In addition, we identified the correlations between these variables from records of the last 30 years (1985–2014) (Fig. 1a and b, SIC shown here represent inverted records). The wintertime SKT of the Arctic Ocean is strongly correlated (r = 0.95, and 0.89 after de-trending, p &lt; 0.001) with the surface LWD, and both exhibit a pronounced upward trend over the 30-year study period. Given LWD is the main source energy at the Arctic surface in boreal wintertime and a continually weakening AMOC12, 13 would unlikely transport extraordinary heat northward to the Arctic, the strong coupling of surface LWD and SKT imply that both inter-annual and long-term changes in SKT in the Arctic have been closely associated with surface LWD over this period. Surface LWD is related to three main parameters: temperature, clouds and water vapor18, 28. Therefore, the high correlation coefficients between wintertime LWD and WV over 1985–2014 (r = 0.91, and 0.82 after de-trending, p &lt; 0.001), and between wintertime LWD and CFC over 2001–2014 (r = 0.93, and 0.82 after de-trending, p &lt; 0.001; a high correlation was also detected for 1985–2000, Fig. S10</w:t>
      </w:r>
      <w:r w:rsidRPr="006F2C07">
        <w:rPr>
          <w:rFonts w:eastAsia="Calibri"/>
          <w:u w:val="single"/>
        </w:rPr>
        <w:t>) imply the likelihood that it is the enhanced greenhouse effect from water vapor and cloudiness that caused the increase of surface LWD, and in turn reinforced the Arctic wintertime warming over the past several decades. I</w:t>
      </w:r>
      <w:r w:rsidRPr="006F2C07">
        <w:rPr>
          <w:rFonts w:eastAsia="Calibri"/>
          <w:sz w:val="16"/>
        </w:rPr>
        <w:t xml:space="preserve">t is indicated that poleward moisture fluxes into the Arctic associated with large-scale circulations significantly contributed to the variation of precipitable water vapor in the Arctic38, 39. We also examined the relationship between the injected moisture across 70°N and the total precipitable water vapor in the Arctic (Fig. S11), the strong correlation between the two variables demonstrate that the variation of the Arctic water vapor is primarily controlled by the transported convergence of moisture from the lower latitude. The poleward transported moisture would bring not only water vapor, but also latent energy into </w:t>
      </w:r>
      <w:proofErr w:type="gramStart"/>
      <w:r w:rsidRPr="006F2C07">
        <w:rPr>
          <w:rFonts w:eastAsia="Calibri"/>
          <w:sz w:val="16"/>
        </w:rPr>
        <w:t>the Arctic23</w:t>
      </w:r>
      <w:proofErr w:type="gramEnd"/>
      <w:r w:rsidRPr="006F2C07">
        <w:rPr>
          <w:rFonts w:eastAsia="Calibri"/>
          <w:sz w:val="16"/>
        </w:rPr>
        <w:t>, 38.</w:t>
      </w:r>
    </w:p>
    <w:p w14:paraId="140D0A6C" w14:textId="77777777" w:rsidR="006F2C07" w:rsidRPr="006F2C07" w:rsidRDefault="006F2C07" w:rsidP="006F2C07">
      <w:pPr>
        <w:spacing w:line="256" w:lineRule="auto"/>
        <w:rPr>
          <w:rFonts w:eastAsia="Calibri"/>
          <w:sz w:val="16"/>
        </w:rPr>
      </w:pPr>
      <w:r w:rsidRPr="006F2C07">
        <w:rPr>
          <w:rFonts w:eastAsia="Calibri"/>
          <w:sz w:val="16"/>
        </w:rPr>
        <w:t>[Figure omitted]</w:t>
      </w:r>
    </w:p>
    <w:p w14:paraId="53559E56" w14:textId="77777777" w:rsidR="006F2C07" w:rsidRPr="006F2C07" w:rsidRDefault="006F2C07" w:rsidP="006F2C07">
      <w:pPr>
        <w:spacing w:line="256" w:lineRule="auto"/>
        <w:rPr>
          <w:rFonts w:eastAsia="Calibri"/>
          <w:sz w:val="16"/>
        </w:rPr>
      </w:pPr>
      <w:r w:rsidRPr="006F2C07">
        <w:rPr>
          <w:rFonts w:eastAsia="Calibri"/>
          <w:u w:val="single"/>
        </w:rPr>
        <w:t>To investigate the influence of wintertime surface LWD on the state of sea ice at the onset of melting, we directly calculated the correlation between wintertime LWD and the melting onset SIC</w:t>
      </w:r>
      <w:r w:rsidRPr="006F2C07">
        <w:rPr>
          <w:rFonts w:eastAsia="Calibri"/>
          <w:sz w:val="16"/>
        </w:rPr>
        <w:t xml:space="preserve"> in late spring. As shown in Fig. 1a and b, </w:t>
      </w:r>
      <w:r w:rsidRPr="006F2C07">
        <w:rPr>
          <w:rFonts w:eastAsia="Calibri"/>
          <w:u w:val="single"/>
        </w:rPr>
        <w:t>the total wintertime surface LWD is strongly negatively correlated with the subsequent onset SIC</w:t>
      </w:r>
      <w:r w:rsidRPr="006F2C07">
        <w:rPr>
          <w:rFonts w:eastAsia="Calibri"/>
          <w:sz w:val="16"/>
        </w:rPr>
        <w:t xml:space="preserve"> (r = −0.90, and −0.76 after de-trending) in late spring. Arctic sea ice usually begins to refreeze in early October and attains its maximum coverage in early March40, 41 before entering an ice pre-melting state until the onset of melting in mid-May40. The gradual increase in correlation coefficients between the integrated surface LWD and onset SIC (Fig. 1c,d, two correlation maps are also generated and shown in Fig. S12) </w:t>
      </w:r>
      <w:r w:rsidRPr="006F2C07">
        <w:rPr>
          <w:rFonts w:eastAsia="Calibri"/>
          <w:u w:val="single"/>
        </w:rPr>
        <w:t>demonstrates that the accumulated wintertime surface LWD potentially influences both the ice refreezing and pre-melting processes through reducing ice thickness25, and the perturbing of ice thickness would in turn affects the SIC during the period of melting onset</w:t>
      </w:r>
      <w:r w:rsidRPr="006F2C07">
        <w:rPr>
          <w:rFonts w:eastAsia="Calibri"/>
          <w:sz w:val="16"/>
        </w:rPr>
        <w:t xml:space="preserve"> (especially over these coastal regions with thin ice)42. </w:t>
      </w:r>
      <w:r w:rsidRPr="006F2C07">
        <w:rPr>
          <w:rFonts w:eastAsia="Calibri"/>
          <w:u w:val="single"/>
        </w:rPr>
        <w:t>After sea-ice melting begins, shortwave albedo feedback becomes more important on driving variations in ice coverage over the subsequent months35</w:t>
      </w:r>
      <w:r w:rsidRPr="006F2C07">
        <w:rPr>
          <w:rFonts w:eastAsia="Calibri"/>
          <w:sz w:val="16"/>
        </w:rPr>
        <w:t xml:space="preserve">, 36. The conclusions of this study, based on long-term observational evidence, are partially consistent with previous studies that have reported isolated cases of atmospheric conditions influencing ice melting in either the late spring23, 29, 34 or winter24, 25. However, our results indicate that the downward longwave radiation from early winter to late spring is continually affecting both the inter-annual and long-term changes of the </w:t>
      </w:r>
    </w:p>
    <w:p w14:paraId="16A81F90"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 xml:space="preserve">Longwave radiation and ice melting are heavily correlated to ice thickness and temperature </w:t>
      </w:r>
    </w:p>
    <w:p w14:paraId="4ACF9461" w14:textId="77777777" w:rsidR="006F2C07" w:rsidRPr="006F2C07" w:rsidRDefault="006F2C07" w:rsidP="006F2C07">
      <w:pPr>
        <w:spacing w:line="256" w:lineRule="auto"/>
        <w:rPr>
          <w:rFonts w:eastAsia="Calibri"/>
        </w:rPr>
      </w:pPr>
      <w:proofErr w:type="spellStart"/>
      <w:r w:rsidRPr="006F2C07">
        <w:rPr>
          <w:rFonts w:eastAsia="Calibri"/>
          <w:b/>
          <w:bCs/>
          <w:sz w:val="26"/>
        </w:rPr>
        <w:t>Uhlíková</w:t>
      </w:r>
      <w:proofErr w:type="spellEnd"/>
      <w:r w:rsidRPr="006F2C07">
        <w:rPr>
          <w:rFonts w:eastAsia="Calibri"/>
          <w:b/>
          <w:bCs/>
          <w:sz w:val="26"/>
        </w:rPr>
        <w:t xml:space="preserve"> et al 25</w:t>
      </w:r>
      <w:r w:rsidRPr="006F2C07">
        <w:rPr>
          <w:rFonts w:eastAsia="Calibri"/>
        </w:rPr>
        <w:t xml:space="preserve">--- Author for the Institute for Atmospheric and Earth System Research, Faculty of Science, University of </w:t>
      </w:r>
      <w:proofErr w:type="spellStart"/>
      <w:r w:rsidRPr="006F2C07">
        <w:rPr>
          <w:rFonts w:eastAsia="Calibri"/>
        </w:rPr>
        <w:t>Helsink</w:t>
      </w:r>
      <w:proofErr w:type="spellEnd"/>
      <w:r w:rsidRPr="006F2C07">
        <w:rPr>
          <w:rFonts w:eastAsia="Calibri"/>
        </w:rPr>
        <w:t xml:space="preserve">. (Tereza, Timo </w:t>
      </w:r>
      <w:proofErr w:type="spellStart"/>
      <w:r w:rsidRPr="006F2C07">
        <w:rPr>
          <w:rFonts w:eastAsia="Calibri"/>
        </w:rPr>
        <w:t>Vihma</w:t>
      </w:r>
      <w:proofErr w:type="spellEnd"/>
      <w:r w:rsidRPr="006F2C07">
        <w:rPr>
          <w:rFonts w:eastAsia="Calibri"/>
        </w:rPr>
        <w:t xml:space="preserve">, Alexey Yu </w:t>
      </w:r>
      <w:proofErr w:type="spellStart"/>
      <w:r w:rsidRPr="006F2C07">
        <w:rPr>
          <w:rFonts w:eastAsia="Calibri"/>
        </w:rPr>
        <w:t>Karpechko</w:t>
      </w:r>
      <w:proofErr w:type="spellEnd"/>
      <w:r w:rsidRPr="006F2C07">
        <w:rPr>
          <w:rFonts w:eastAsia="Calibri"/>
        </w:rPr>
        <w:t xml:space="preserve">, and Petteri Uotila; “Effects of Arctic sea-ice concentration on surface radiative fluxes in four atmospheric </w:t>
      </w:r>
      <w:proofErr w:type="spellStart"/>
      <w:r w:rsidRPr="006F2C07">
        <w:rPr>
          <w:rFonts w:eastAsia="Calibri"/>
        </w:rPr>
        <w:t>reanalyses</w:t>
      </w:r>
      <w:proofErr w:type="spellEnd"/>
      <w:r w:rsidRPr="006F2C07">
        <w:rPr>
          <w:rFonts w:eastAsia="Calibri"/>
        </w:rPr>
        <w:t>”, European Geosciences Union, 03/06/25, https://tc.copernicus.org/articles/19/1031/2025/)</w:t>
      </w:r>
    </w:p>
    <w:p w14:paraId="187C2881" w14:textId="77777777" w:rsidR="006F2C07" w:rsidRPr="006F2C07" w:rsidRDefault="006F2C07" w:rsidP="006F2C07">
      <w:pPr>
        <w:spacing w:line="256" w:lineRule="auto"/>
        <w:rPr>
          <w:rFonts w:eastAsia="Calibri"/>
        </w:rPr>
      </w:pPr>
      <w:r w:rsidRPr="006F2C07">
        <w:rPr>
          <w:rFonts w:eastAsia="Calibri"/>
        </w:rPr>
        <w:t>*</w:t>
      </w:r>
      <w:r w:rsidRPr="006F2C07">
        <w:rPr>
          <w:rFonts w:eastAsia="Calibri"/>
          <w:i/>
          <w:iCs/>
          <w:u w:val="single"/>
        </w:rPr>
        <w:t xml:space="preserve"> T</w:t>
      </w:r>
      <w:r w:rsidRPr="006F2C07">
        <w:rPr>
          <w:rFonts w:eastAsia="Calibri"/>
          <w:u w:val="single"/>
          <w:vertAlign w:val="subscript"/>
        </w:rPr>
        <w:t xml:space="preserve">ice </w:t>
      </w:r>
      <w:r w:rsidRPr="006F2C07">
        <w:rPr>
          <w:rFonts w:eastAsia="Calibri"/>
        </w:rPr>
        <w:t>= Surface temperature of Arctic Sea ice</w:t>
      </w:r>
    </w:p>
    <w:p w14:paraId="6E2A997A" w14:textId="77777777" w:rsidR="006F2C07" w:rsidRPr="006F2C07" w:rsidRDefault="006F2C07" w:rsidP="006F2C07">
      <w:pPr>
        <w:spacing w:line="256" w:lineRule="auto"/>
        <w:rPr>
          <w:rFonts w:eastAsia="Calibri"/>
        </w:rPr>
      </w:pPr>
      <w:r w:rsidRPr="006F2C07">
        <w:rPr>
          <w:rFonts w:eastAsia="Calibri"/>
        </w:rPr>
        <w:t>*SIC = Sea Ice concentration</w:t>
      </w:r>
    </w:p>
    <w:p w14:paraId="734EDB7F" w14:textId="77777777" w:rsidR="006F2C07" w:rsidRPr="006F2C07" w:rsidRDefault="006F2C07" w:rsidP="006F2C07">
      <w:pPr>
        <w:spacing w:line="256" w:lineRule="auto"/>
        <w:rPr>
          <w:rFonts w:eastAsia="Calibri"/>
        </w:rPr>
      </w:pPr>
      <w:r w:rsidRPr="006F2C07">
        <w:rPr>
          <w:rFonts w:eastAsia="Calibri"/>
        </w:rPr>
        <w:t>*ULW = Upward longwave radiation</w:t>
      </w:r>
    </w:p>
    <w:p w14:paraId="334792D8" w14:textId="77777777" w:rsidR="006F2C07" w:rsidRPr="006F2C07" w:rsidRDefault="006F2C07" w:rsidP="006F2C07">
      <w:pPr>
        <w:spacing w:line="256" w:lineRule="auto"/>
        <w:rPr>
          <w:rFonts w:eastAsia="Calibri"/>
          <w:sz w:val="12"/>
          <w:szCs w:val="18"/>
        </w:rPr>
      </w:pPr>
      <w:r w:rsidRPr="006F2C07">
        <w:rPr>
          <w:rFonts w:eastAsia="Calibri"/>
          <w:u w:val="single"/>
        </w:rPr>
        <w:t>Utilizing linear bilateral ODR analysis, we assessed the effects of SIC on ULW. These two variables were negatively correlated in all seasons and both study periods</w:t>
      </w:r>
      <w:r w:rsidRPr="006F2C07">
        <w:rPr>
          <w:rFonts w:eastAsia="Calibri"/>
          <w:sz w:val="16"/>
        </w:rPr>
        <w:t xml:space="preserve"> (Fig. 1; see Figs. S1, S3, and S4 in the Supplement), meaning that </w:t>
      </w:r>
      <w:r w:rsidRPr="006F2C07">
        <w:rPr>
          <w:rFonts w:eastAsia="Calibri"/>
          <w:u w:val="single"/>
        </w:rPr>
        <w:t xml:space="preserve">less SIC leads to more ULW or more SIC leads to less ULW. The sign of the correlation </w:t>
      </w:r>
      <w:proofErr w:type="gramStart"/>
      <w:r w:rsidRPr="006F2C07">
        <w:rPr>
          <w:rFonts w:eastAsia="Calibri"/>
          <w:u w:val="single"/>
        </w:rPr>
        <w:t>was in agreement</w:t>
      </w:r>
      <w:proofErr w:type="gramEnd"/>
      <w:r w:rsidRPr="006F2C07">
        <w:rPr>
          <w:rFonts w:eastAsia="Calibri"/>
          <w:u w:val="single"/>
        </w:rPr>
        <w:t xml:space="preserve"> with the theoretical expectations as the open-ocean surface in the Arctic is usually warmer than the sea-ice surface </w:t>
      </w:r>
      <w:r w:rsidRPr="006F2C07">
        <w:rPr>
          <w:rFonts w:eastAsia="Calibri"/>
          <w:sz w:val="16"/>
        </w:rPr>
        <w:t xml:space="preserve">(and much warmer in the cold season from November–April) </w:t>
      </w:r>
      <w:r w:rsidRPr="006F2C07">
        <w:rPr>
          <w:rFonts w:eastAsia="Calibri"/>
          <w:u w:val="single"/>
        </w:rPr>
        <w:t>and accordingly emits more longwave radiation</w:t>
      </w:r>
      <w:r w:rsidRPr="006F2C07">
        <w:rPr>
          <w:rFonts w:eastAsia="Calibri"/>
          <w:sz w:val="16"/>
        </w:rPr>
        <w:t xml:space="preserve">. As depicted in the above-mentioned figures, the sensitivity of ULW to SIC (slope of the regression line) did not vary considerably among </w:t>
      </w:r>
      <w:proofErr w:type="spellStart"/>
      <w:r w:rsidRPr="006F2C07">
        <w:rPr>
          <w:rFonts w:eastAsia="Calibri"/>
          <w:sz w:val="16"/>
        </w:rPr>
        <w:t>reanalyses</w:t>
      </w:r>
      <w:proofErr w:type="spellEnd"/>
      <w:r w:rsidRPr="006F2C07">
        <w:rPr>
          <w:rFonts w:eastAsia="Calibri"/>
          <w:sz w:val="16"/>
        </w:rPr>
        <w:t>, with the highest values over 150 W m</w:t>
      </w:r>
      <w:r w:rsidRPr="006F2C07">
        <w:rPr>
          <w:rFonts w:eastAsia="Calibri"/>
          <w:sz w:val="16"/>
          <w:vertAlign w:val="superscript"/>
        </w:rPr>
        <w:t>−2</w:t>
      </w:r>
      <w:r w:rsidRPr="006F2C07">
        <w:rPr>
          <w:rFonts w:eastAsia="Calibri"/>
          <w:sz w:val="16"/>
        </w:rPr>
        <w:t> ULW per −0.1 change in SIC in November–April in the Central Arctic (north of 81.5° N).</w:t>
      </w:r>
      <w:r w:rsidRPr="006F2C07">
        <w:rPr>
          <w:rFonts w:eastAsia="Calibri"/>
          <w:sz w:val="12"/>
          <w:szCs w:val="18"/>
        </w:rPr>
        <w:t xml:space="preserve"> The dark grey areas in Figs. 1, S1, S3, and S4 indicate a failure of the linear bilateral ODR model to converge. For JRA-55 (panels b, f, and j in these figures), this was caused by the binary representation of SIC in the reanalysis, which assigns a value of 1 to SIC &gt; 0.55 and a value of 0 to SIC ≤ 0.55. Then, because the SIC in these dark grey areas was never less than 0.55 during the 21-year periods, every grid cell was assigned a value of 1. Hence, no dependence </w:t>
      </w:r>
      <w:proofErr w:type="gramStart"/>
      <w:r w:rsidRPr="006F2C07">
        <w:rPr>
          <w:rFonts w:eastAsia="Calibri"/>
          <w:sz w:val="12"/>
          <w:szCs w:val="18"/>
        </w:rPr>
        <w:t>with</w:t>
      </w:r>
      <w:proofErr w:type="gramEnd"/>
      <w:r w:rsidRPr="006F2C07">
        <w:rPr>
          <w:rFonts w:eastAsia="Calibri"/>
          <w:sz w:val="12"/>
          <w:szCs w:val="18"/>
        </w:rPr>
        <w:t xml:space="preserve"> ULW or any other variable could be found. In other </w:t>
      </w:r>
      <w:proofErr w:type="spellStart"/>
      <w:r w:rsidRPr="006F2C07">
        <w:rPr>
          <w:rFonts w:eastAsia="Calibri"/>
          <w:sz w:val="12"/>
          <w:szCs w:val="18"/>
        </w:rPr>
        <w:t>reanalyses</w:t>
      </w:r>
      <w:proofErr w:type="spellEnd"/>
      <w:r w:rsidRPr="006F2C07">
        <w:rPr>
          <w:rFonts w:eastAsia="Calibri"/>
          <w:sz w:val="12"/>
          <w:szCs w:val="18"/>
        </w:rPr>
        <w:t>, the ODR model failure also occurred either because of very low variability in SIC or due to high uncertainty in the slope of regression between the two variables (as shown in Figs. S1 and S2). In the warm season (May–October), the effect of SIC on ULW was generally weaker, with up to 80 W m</w:t>
      </w:r>
      <w:r w:rsidRPr="006F2C07">
        <w:rPr>
          <w:rFonts w:eastAsia="Calibri"/>
          <w:sz w:val="12"/>
          <w:szCs w:val="18"/>
          <w:vertAlign w:val="superscript"/>
        </w:rPr>
        <w:t>−2</w:t>
      </w:r>
      <w:r w:rsidRPr="006F2C07">
        <w:rPr>
          <w:rFonts w:eastAsia="Calibri"/>
          <w:sz w:val="12"/>
          <w:szCs w:val="18"/>
        </w:rPr>
        <w:t> ULW per −0.1 change in SIC (Figs. S3 and S4).</w:t>
      </w:r>
    </w:p>
    <w:p w14:paraId="5BD93E1C" w14:textId="77777777" w:rsidR="006F2C07" w:rsidRPr="006F2C07" w:rsidRDefault="006F2C07" w:rsidP="006F2C07">
      <w:pPr>
        <w:spacing w:line="256" w:lineRule="auto"/>
        <w:rPr>
          <w:rFonts w:eastAsia="Calibri"/>
          <w:sz w:val="12"/>
          <w:szCs w:val="18"/>
        </w:rPr>
      </w:pPr>
      <w:r w:rsidRPr="006F2C07">
        <w:rPr>
          <w:rFonts w:eastAsia="Calibri"/>
          <w:sz w:val="12"/>
          <w:szCs w:val="18"/>
        </w:rPr>
        <w:t>[Figures omitted]</w:t>
      </w:r>
    </w:p>
    <w:p w14:paraId="3830A99D" w14:textId="77777777" w:rsidR="006F2C07" w:rsidRPr="006F2C07" w:rsidRDefault="006F2C07" w:rsidP="006F2C07">
      <w:pPr>
        <w:spacing w:line="256" w:lineRule="auto"/>
        <w:rPr>
          <w:rFonts w:eastAsia="Calibri"/>
          <w:sz w:val="12"/>
          <w:szCs w:val="18"/>
        </w:rPr>
      </w:pPr>
      <w:r w:rsidRPr="006F2C07">
        <w:rPr>
          <w:rFonts w:eastAsia="Calibri"/>
          <w:sz w:val="12"/>
          <w:szCs w:val="18"/>
        </w:rPr>
        <w:t>The sensitivity of ULW to SIC mostly decreased in all seasons between 1980–2000 and 2001–2021 (shades of red in panels </w:t>
      </w:r>
      <w:proofErr w:type="spellStart"/>
      <w:r w:rsidRPr="006F2C07">
        <w:rPr>
          <w:rFonts w:eastAsia="Calibri"/>
          <w:sz w:val="12"/>
          <w:szCs w:val="18"/>
        </w:rPr>
        <w:t>i</w:t>
      </w:r>
      <w:proofErr w:type="spellEnd"/>
      <w:r w:rsidRPr="006F2C07">
        <w:rPr>
          <w:rFonts w:eastAsia="Calibri"/>
          <w:sz w:val="12"/>
          <w:szCs w:val="18"/>
        </w:rPr>
        <w:t>–l in Figs. 1, S1, S3, and S4) but strengthened in the Central Arctic (shades of blue panels </w:t>
      </w:r>
      <w:proofErr w:type="spellStart"/>
      <w:r w:rsidRPr="006F2C07">
        <w:rPr>
          <w:rFonts w:eastAsia="Calibri"/>
          <w:sz w:val="12"/>
          <w:szCs w:val="18"/>
        </w:rPr>
        <w:t>i</w:t>
      </w:r>
      <w:proofErr w:type="spellEnd"/>
      <w:r w:rsidRPr="006F2C07">
        <w:rPr>
          <w:rFonts w:eastAsia="Calibri"/>
          <w:sz w:val="12"/>
          <w:szCs w:val="18"/>
        </w:rPr>
        <w:t>–l in Figs. 1, S1, S3, and S4). To explain these changes, in Fig. 2, we show the daily values of SIC and ULW in grid cells from ERA5, MERRA-2, and NCEP/CFSR data, where the sensitivity changed considerably between 1980–2000 and 2001–2021 in November–December–January. While in Point 1 (see Fig. 1), from the border of the Chukchi and East Siberian seas, the slope of the regression line became less steep in 2001–2021 compared to 1980–2000, in Point 2, from the Central Arctic, the slope became steeper in the second (more recent) study period.</w:t>
      </w:r>
    </w:p>
    <w:p w14:paraId="3DE7C606" w14:textId="77777777" w:rsidR="006F2C07" w:rsidRPr="006F2C07" w:rsidRDefault="006F2C07" w:rsidP="006F2C07">
      <w:pPr>
        <w:spacing w:line="256" w:lineRule="auto"/>
        <w:rPr>
          <w:rFonts w:eastAsia="Calibri"/>
          <w:sz w:val="16"/>
        </w:rPr>
      </w:pPr>
      <w:r w:rsidRPr="006F2C07">
        <w:rPr>
          <w:rFonts w:eastAsia="Calibri"/>
          <w:sz w:val="16"/>
        </w:rPr>
        <w:t xml:space="preserve">As shown in </w:t>
      </w:r>
      <w:proofErr w:type="spellStart"/>
      <w:r w:rsidRPr="006F2C07">
        <w:rPr>
          <w:rFonts w:eastAsia="Calibri"/>
          <w:sz w:val="16"/>
        </w:rPr>
        <w:t>Uhlíková</w:t>
      </w:r>
      <w:proofErr w:type="spellEnd"/>
      <w:r w:rsidRPr="006F2C07">
        <w:rPr>
          <w:rFonts w:eastAsia="Calibri"/>
          <w:sz w:val="16"/>
        </w:rPr>
        <w:t xml:space="preserve"> et al. (2024; Fig. 5), </w:t>
      </w:r>
      <w:r w:rsidRPr="006F2C07">
        <w:rPr>
          <w:rFonts w:eastAsia="Calibri"/>
          <w:u w:val="single"/>
        </w:rPr>
        <w:t xml:space="preserve">the surface temperature of the </w:t>
      </w:r>
      <w:proofErr w:type="gramStart"/>
      <w:r w:rsidRPr="006F2C07">
        <w:rPr>
          <w:rFonts w:eastAsia="Calibri"/>
          <w:u w:val="single"/>
        </w:rPr>
        <w:t>Arctic sea</w:t>
      </w:r>
      <w:proofErr w:type="gramEnd"/>
      <w:r w:rsidRPr="006F2C07">
        <w:rPr>
          <w:rFonts w:eastAsia="Calibri"/>
          <w:u w:val="single"/>
        </w:rPr>
        <w:t xml:space="preserve"> ice (bare or snow-covered; </w:t>
      </w:r>
      <w:r w:rsidRPr="006F2C07">
        <w:rPr>
          <w:rFonts w:eastAsia="Calibri"/>
          <w:i/>
          <w:iCs/>
          <w:u w:val="single"/>
        </w:rPr>
        <w:t>T</w:t>
      </w:r>
      <w:r w:rsidRPr="006F2C07">
        <w:rPr>
          <w:rFonts w:eastAsia="Calibri"/>
          <w:u w:val="single"/>
          <w:vertAlign w:val="subscript"/>
        </w:rPr>
        <w:t>ice</w:t>
      </w:r>
      <w:r w:rsidRPr="006F2C07">
        <w:rPr>
          <w:rFonts w:eastAsia="Calibri"/>
          <w:u w:val="single"/>
        </w:rPr>
        <w:t>) generally increased between the two study periods; hence, the difference between </w:t>
      </w:r>
      <w:r w:rsidRPr="006F2C07">
        <w:rPr>
          <w:rFonts w:eastAsia="Calibri"/>
          <w:i/>
          <w:iCs/>
          <w:u w:val="single"/>
        </w:rPr>
        <w:t>T</w:t>
      </w:r>
      <w:r w:rsidRPr="006F2C07">
        <w:rPr>
          <w:rFonts w:eastAsia="Calibri"/>
          <w:u w:val="single"/>
          <w:vertAlign w:val="subscript"/>
        </w:rPr>
        <w:t>ice</w:t>
      </w:r>
      <w:r w:rsidRPr="006F2C07">
        <w:rPr>
          <w:rFonts w:eastAsia="Calibri"/>
          <w:u w:val="single"/>
        </w:rPr>
        <w:t xml:space="preserve"> and the sea surface temperature decreased, causing lower sensitivity of ULW to SIC in </w:t>
      </w:r>
      <w:proofErr w:type="gramStart"/>
      <w:r w:rsidRPr="006F2C07">
        <w:rPr>
          <w:rFonts w:eastAsia="Calibri"/>
          <w:u w:val="single"/>
        </w:rPr>
        <w:t>the majority of</w:t>
      </w:r>
      <w:proofErr w:type="gramEnd"/>
      <w:r w:rsidRPr="006F2C07">
        <w:rPr>
          <w:rFonts w:eastAsia="Calibri"/>
          <w:u w:val="single"/>
        </w:rPr>
        <w:t xml:space="preserve"> the Arctic in all seasons</w:t>
      </w:r>
      <w:r w:rsidRPr="006F2C07">
        <w:rPr>
          <w:rFonts w:eastAsia="Calibri"/>
          <w:sz w:val="16"/>
        </w:rPr>
        <w:t xml:space="preserve"> in the second study period. Also in this study, we show in Point 1 of Fig. 2 that ULW (and therefore the surface temperature) is generally higher in 2001–2021 (lower panels) than 1980–2000 (upper panels) in days with SIC = 1. Another cause of decreasing sensitivity of ULW to SIC is the fact that in areas where the SIC declined or disappeared completely between the two study periods, there is naturally a smaller effect or no effect of SIC on ULW in the second study period. </w:t>
      </w:r>
      <w:r w:rsidRPr="006F2C07">
        <w:rPr>
          <w:rFonts w:eastAsia="Calibri"/>
          <w:u w:val="single"/>
        </w:rPr>
        <w:t>ULW is also generally not so sensitive to SIC in regions where SIC is low because, in such regions, </w:t>
      </w:r>
      <w:r w:rsidRPr="006F2C07">
        <w:rPr>
          <w:rFonts w:eastAsia="Calibri"/>
          <w:i/>
          <w:iCs/>
          <w:u w:val="single"/>
        </w:rPr>
        <w:t>T</w:t>
      </w:r>
      <w:r w:rsidRPr="006F2C07">
        <w:rPr>
          <w:rFonts w:eastAsia="Calibri"/>
          <w:u w:val="single"/>
          <w:vertAlign w:val="subscript"/>
        </w:rPr>
        <w:t>ice</w:t>
      </w:r>
      <w:r w:rsidRPr="006F2C07">
        <w:rPr>
          <w:rFonts w:eastAsia="Calibri"/>
          <w:u w:val="single"/>
        </w:rPr>
        <w:t> is typically higher and closer to the sea surface temperature.</w:t>
      </w:r>
      <w:r w:rsidRPr="006F2C07">
        <w:rPr>
          <w:rFonts w:eastAsia="Calibri"/>
          <w:sz w:val="16"/>
        </w:rPr>
        <w:t xml:space="preserve"> This is illustrated in the lower panels of Point 1 of Fig. 2, where all the values of ULW in the grid cells with SIC lower than approximately 0.5 fluctuate close to 300 W m</w:t>
      </w:r>
      <w:r w:rsidRPr="006F2C07">
        <w:rPr>
          <w:rFonts w:eastAsia="Calibri"/>
          <w:sz w:val="16"/>
          <w:vertAlign w:val="superscript"/>
        </w:rPr>
        <w:t>−2</w:t>
      </w:r>
      <w:r w:rsidRPr="006F2C07">
        <w:rPr>
          <w:rFonts w:eastAsia="Calibri"/>
          <w:sz w:val="16"/>
        </w:rPr>
        <w:t>.</w:t>
      </w:r>
    </w:p>
    <w:p w14:paraId="7FA4B3C9" w14:textId="77777777" w:rsidR="006F2C07" w:rsidRPr="006F2C07" w:rsidRDefault="006F2C07" w:rsidP="006F2C07">
      <w:pPr>
        <w:spacing w:line="256" w:lineRule="auto"/>
        <w:rPr>
          <w:rFonts w:eastAsia="Calibri"/>
          <w:sz w:val="12"/>
          <w:szCs w:val="18"/>
        </w:rPr>
      </w:pPr>
      <w:r w:rsidRPr="006F2C07">
        <w:rPr>
          <w:rFonts w:eastAsia="Calibri"/>
          <w:sz w:val="12"/>
          <w:szCs w:val="18"/>
        </w:rPr>
        <w:t xml:space="preserve">The increased sensitivity of ULW to SIC in smaller areas in the Central Arctic may be due to increased SIC in </w:t>
      </w:r>
      <w:proofErr w:type="spellStart"/>
      <w:r w:rsidRPr="006F2C07">
        <w:rPr>
          <w:rFonts w:eastAsia="Calibri"/>
          <w:sz w:val="12"/>
          <w:szCs w:val="18"/>
        </w:rPr>
        <w:t>reanalyses</w:t>
      </w:r>
      <w:proofErr w:type="spellEnd"/>
      <w:r w:rsidRPr="006F2C07">
        <w:rPr>
          <w:rFonts w:eastAsia="Calibri"/>
          <w:sz w:val="12"/>
          <w:szCs w:val="18"/>
        </w:rPr>
        <w:t xml:space="preserve"> in these areas in 2001–2021 compared to 1980–2000. As shown in Point 2 of Fig. 2, there is indeed higher SIC, as well as steeper slopes of the regression lines in the second study period (lower panels), than in the first one (upper panels). We </w:t>
      </w:r>
      <w:proofErr w:type="gramStart"/>
      <w:r w:rsidRPr="006F2C07">
        <w:rPr>
          <w:rFonts w:eastAsia="Calibri"/>
          <w:sz w:val="12"/>
          <w:szCs w:val="18"/>
        </w:rPr>
        <w:t>discuss</w:t>
      </w:r>
      <w:proofErr w:type="gramEnd"/>
      <w:r w:rsidRPr="006F2C07">
        <w:rPr>
          <w:rFonts w:eastAsia="Calibri"/>
          <w:sz w:val="12"/>
          <w:szCs w:val="18"/>
        </w:rPr>
        <w:t xml:space="preserve"> the possible mechanisms of the increased SIC in Sect. 4.1.</w:t>
      </w:r>
    </w:p>
    <w:p w14:paraId="6C921D87" w14:textId="77777777" w:rsidR="006F2C07" w:rsidRPr="006F2C07" w:rsidRDefault="006F2C07" w:rsidP="006F2C07">
      <w:pPr>
        <w:spacing w:line="256" w:lineRule="auto"/>
        <w:rPr>
          <w:rFonts w:eastAsia="Calibri"/>
          <w:sz w:val="12"/>
          <w:szCs w:val="18"/>
        </w:rPr>
      </w:pPr>
      <w:r w:rsidRPr="006F2C07">
        <w:rPr>
          <w:rFonts w:eastAsia="Calibri"/>
          <w:sz w:val="12"/>
          <w:szCs w:val="18"/>
        </w:rPr>
        <w:t>To further explore the effect of the surface type in the marine Arctic on ULW, we investigated whether the main driver of ULW is the SIC or </w:t>
      </w:r>
      <w:r w:rsidRPr="006F2C07">
        <w:rPr>
          <w:rFonts w:eastAsia="Calibri"/>
          <w:i/>
          <w:iCs/>
          <w:sz w:val="12"/>
          <w:szCs w:val="18"/>
        </w:rPr>
        <w:t>T</w:t>
      </w:r>
      <w:r w:rsidRPr="006F2C07">
        <w:rPr>
          <w:rFonts w:eastAsia="Calibri"/>
          <w:sz w:val="12"/>
          <w:szCs w:val="18"/>
          <w:vertAlign w:val="subscript"/>
        </w:rPr>
        <w:t>ice</w:t>
      </w:r>
      <w:r w:rsidRPr="006F2C07">
        <w:rPr>
          <w:rFonts w:eastAsia="Calibri"/>
          <w:sz w:val="12"/>
          <w:szCs w:val="18"/>
        </w:rPr>
        <w:t>. To answer this question, we compared </w:t>
      </w:r>
      <w:r w:rsidRPr="006F2C07">
        <w:rPr>
          <w:rFonts w:eastAsia="Calibri"/>
          <w:i/>
          <w:iCs/>
          <w:sz w:val="12"/>
          <w:szCs w:val="18"/>
        </w:rPr>
        <w:t>R</w:t>
      </w:r>
      <w:r w:rsidRPr="006F2C07">
        <w:rPr>
          <w:rFonts w:eastAsia="Calibri"/>
          <w:sz w:val="12"/>
          <w:szCs w:val="18"/>
          <w:vertAlign w:val="superscript"/>
        </w:rPr>
        <w:t>2</w:t>
      </w:r>
      <w:r w:rsidRPr="006F2C07">
        <w:rPr>
          <w:rFonts w:eastAsia="Calibri"/>
          <w:sz w:val="12"/>
          <w:szCs w:val="18"/>
        </w:rPr>
        <w:t> (coefficient of determination) using SIC and </w:t>
      </w:r>
      <w:r w:rsidRPr="006F2C07">
        <w:rPr>
          <w:rFonts w:eastAsia="Calibri"/>
          <w:i/>
          <w:iCs/>
          <w:sz w:val="12"/>
          <w:szCs w:val="18"/>
        </w:rPr>
        <w:t>T</w:t>
      </w:r>
      <w:r w:rsidRPr="006F2C07">
        <w:rPr>
          <w:rFonts w:eastAsia="Calibri"/>
          <w:sz w:val="12"/>
          <w:szCs w:val="18"/>
          <w:vertAlign w:val="subscript"/>
        </w:rPr>
        <w:t>ice</w:t>
      </w:r>
      <w:r w:rsidRPr="006F2C07">
        <w:rPr>
          <w:rFonts w:eastAsia="Calibri"/>
          <w:sz w:val="12"/>
          <w:szCs w:val="18"/>
        </w:rPr>
        <w:t> as explanatory variables for ULW. To calculate </w:t>
      </w:r>
      <w:r w:rsidRPr="006F2C07">
        <w:rPr>
          <w:rFonts w:eastAsia="Calibri"/>
          <w:i/>
          <w:iCs/>
          <w:sz w:val="12"/>
          <w:szCs w:val="18"/>
        </w:rPr>
        <w:t>T</w:t>
      </w:r>
      <w:r w:rsidRPr="006F2C07">
        <w:rPr>
          <w:rFonts w:eastAsia="Calibri"/>
          <w:sz w:val="12"/>
          <w:szCs w:val="18"/>
          <w:vertAlign w:val="subscript"/>
        </w:rPr>
        <w:t>ice</w:t>
      </w:r>
      <w:r w:rsidRPr="006F2C07">
        <w:rPr>
          <w:rFonts w:eastAsia="Calibri"/>
          <w:sz w:val="12"/>
          <w:szCs w:val="18"/>
        </w:rPr>
        <w:t> from the grid-averaged surface temperature (</w:t>
      </w:r>
      <w:r w:rsidRPr="006F2C07">
        <w:rPr>
          <w:rFonts w:eastAsia="Calibri"/>
          <w:i/>
          <w:iCs/>
          <w:sz w:val="12"/>
          <w:szCs w:val="18"/>
        </w:rPr>
        <w:t>T</w:t>
      </w:r>
      <w:r w:rsidRPr="006F2C07">
        <w:rPr>
          <w:rFonts w:eastAsia="Calibri"/>
          <w:sz w:val="12"/>
          <w:szCs w:val="18"/>
          <w:vertAlign w:val="subscript"/>
        </w:rPr>
        <w:t>s</w:t>
      </w:r>
      <w:r w:rsidRPr="006F2C07">
        <w:rPr>
          <w:rFonts w:eastAsia="Calibri"/>
          <w:sz w:val="12"/>
          <w:szCs w:val="18"/>
        </w:rPr>
        <w:t>), we utilized the following equation:</w:t>
      </w:r>
    </w:p>
    <w:p w14:paraId="3C83B975" w14:textId="77777777" w:rsidR="006F2C07" w:rsidRPr="006F2C07" w:rsidRDefault="006F2C07" w:rsidP="006F2C07">
      <w:pPr>
        <w:spacing w:line="256" w:lineRule="auto"/>
        <w:rPr>
          <w:rFonts w:eastAsia="Calibri"/>
          <w:sz w:val="16"/>
        </w:rPr>
      </w:pPr>
      <w:r w:rsidRPr="006F2C07">
        <w:rPr>
          <w:rFonts w:eastAsia="Calibri"/>
          <w:sz w:val="16"/>
        </w:rPr>
        <w:t>where we assumed the temperature of the ocean (</w:t>
      </w:r>
      <w:proofErr w:type="spellStart"/>
      <w:r w:rsidRPr="006F2C07">
        <w:rPr>
          <w:rFonts w:eastAsia="Calibri"/>
          <w:i/>
          <w:iCs/>
          <w:sz w:val="16"/>
        </w:rPr>
        <w:t>T</w:t>
      </w:r>
      <w:r w:rsidRPr="006F2C07">
        <w:rPr>
          <w:rFonts w:eastAsia="Calibri"/>
          <w:sz w:val="16"/>
          <w:vertAlign w:val="subscript"/>
        </w:rPr>
        <w:t>ocean</w:t>
      </w:r>
      <w:proofErr w:type="spellEnd"/>
      <w:r w:rsidRPr="006F2C07">
        <w:rPr>
          <w:rFonts w:eastAsia="Calibri"/>
          <w:sz w:val="16"/>
        </w:rPr>
        <w:t xml:space="preserve">) at −1.8 °C (271.35 K). This assumption cannot be applied in the warm season (May–October) in </w:t>
      </w:r>
      <w:proofErr w:type="gramStart"/>
      <w:r w:rsidRPr="006F2C07">
        <w:rPr>
          <w:rFonts w:eastAsia="Calibri"/>
          <w:sz w:val="16"/>
        </w:rPr>
        <w:t>the majority of</w:t>
      </w:r>
      <w:proofErr w:type="gramEnd"/>
      <w:r w:rsidRPr="006F2C07">
        <w:rPr>
          <w:rFonts w:eastAsia="Calibri"/>
          <w:sz w:val="16"/>
        </w:rPr>
        <w:t xml:space="preserve"> adjacent seas outside the Central Arctic because the surface temperature of the ocean is likely often higher than −1.8 °C. Hence, we focused on the cold season (November–April) in these analyses. We are also aware that in the Greenland and Barents seas, even cold-season ocean temperature may be warmer than −1.8 °C due to the North Atlantic Current carrying warm Atlantic water to this area. We utilized data from only ERA5, MERRA-2, and NCEP/CFSR because JRA-55 comes with binary representation of SIC; hence, Eq. (2) is not applicable for this data set. As shown in Figs. 3 and S5, in November–April, </w:t>
      </w:r>
      <w:r w:rsidRPr="006F2C07">
        <w:rPr>
          <w:rFonts w:eastAsia="Calibri"/>
          <w:i/>
          <w:iCs/>
          <w:u w:val="single"/>
        </w:rPr>
        <w:t>T</w:t>
      </w:r>
      <w:r w:rsidRPr="006F2C07">
        <w:rPr>
          <w:rFonts w:eastAsia="Calibri"/>
          <w:u w:val="single"/>
          <w:vertAlign w:val="subscript"/>
        </w:rPr>
        <w:t>ice</w:t>
      </w:r>
      <w:r w:rsidRPr="006F2C07">
        <w:rPr>
          <w:rFonts w:eastAsia="Calibri"/>
          <w:u w:val="single"/>
        </w:rPr>
        <w:t xml:space="preserve"> explained over 90 % of the variance of ULW in areas, where SIC is very high, whereas SIC explained only around 30 % of the variance in ULW in these areas. </w:t>
      </w:r>
      <w:r w:rsidRPr="006F2C07">
        <w:rPr>
          <w:rFonts w:eastAsia="Calibri"/>
          <w:sz w:val="16"/>
        </w:rPr>
        <w:t>However, in the marginal ice zone, the coefficient of determination was higher for SIC (around 60 %) compared to </w:t>
      </w:r>
      <w:r w:rsidRPr="006F2C07">
        <w:rPr>
          <w:rFonts w:eastAsia="Calibri"/>
          <w:i/>
          <w:iCs/>
          <w:sz w:val="16"/>
        </w:rPr>
        <w:t>T</w:t>
      </w:r>
      <w:r w:rsidRPr="006F2C07">
        <w:rPr>
          <w:rFonts w:eastAsia="Calibri"/>
          <w:sz w:val="16"/>
          <w:vertAlign w:val="subscript"/>
        </w:rPr>
        <w:t>ice</w:t>
      </w:r>
      <w:r w:rsidRPr="006F2C07">
        <w:rPr>
          <w:rFonts w:eastAsia="Calibri"/>
          <w:sz w:val="16"/>
        </w:rPr>
        <w:t xml:space="preserve"> (&lt; 30 %). These results were quantitatively very similar in both study periods, and we found very good agreement between the three </w:t>
      </w:r>
      <w:proofErr w:type="spellStart"/>
      <w:r w:rsidRPr="006F2C07">
        <w:rPr>
          <w:rFonts w:eastAsia="Calibri"/>
          <w:sz w:val="16"/>
        </w:rPr>
        <w:t>reanalyses</w:t>
      </w:r>
      <w:proofErr w:type="spellEnd"/>
      <w:r w:rsidRPr="006F2C07">
        <w:rPr>
          <w:rFonts w:eastAsia="Calibri"/>
          <w:sz w:val="16"/>
        </w:rPr>
        <w:t>. [Figure omitted]</w:t>
      </w:r>
    </w:p>
    <w:p w14:paraId="246E8942" w14:textId="77777777" w:rsidR="006F2C07" w:rsidRPr="006F2C07" w:rsidRDefault="006F2C07" w:rsidP="006F2C07">
      <w:pPr>
        <w:spacing w:line="256" w:lineRule="auto"/>
        <w:rPr>
          <w:rFonts w:eastAsia="Calibri"/>
          <w:sz w:val="16"/>
        </w:rPr>
      </w:pPr>
      <w:r w:rsidRPr="006F2C07">
        <w:rPr>
          <w:rFonts w:eastAsia="Calibri"/>
          <w:u w:val="single"/>
        </w:rPr>
        <w:t xml:space="preserve">In addition to SIC, sea-ice thickness and snow depth on top of sea ice affect the surface temperature and, hence, the upward longwave radiation. </w:t>
      </w:r>
      <w:r w:rsidRPr="006F2C07">
        <w:rPr>
          <w:rFonts w:eastAsia="Calibri"/>
          <w:sz w:val="16"/>
        </w:rPr>
        <w:t>Due to the limited amount and accuracy of data on sea-ice thickness and snow depth in the Arctic Ocean, we estimate their effect on ULW via analytic calculations, analogous to those in </w:t>
      </w:r>
      <w:proofErr w:type="spellStart"/>
      <w:r w:rsidRPr="006F2C07">
        <w:rPr>
          <w:rFonts w:eastAsia="Calibri"/>
          <w:sz w:val="16"/>
        </w:rPr>
        <w:t>Uhlíková</w:t>
      </w:r>
      <w:proofErr w:type="spellEnd"/>
      <w:r w:rsidRPr="006F2C07">
        <w:rPr>
          <w:rFonts w:eastAsia="Calibri"/>
          <w:sz w:val="16"/>
        </w:rPr>
        <w:t xml:space="preserve"> et al. (2024). We focus on the cold season when the insulating effects of ice and snow are largest. As a first approximation, we assume that the temperature profile through ice and snow is piecewise linear, resulting in the following expression for the conductive heat flux </w:t>
      </w:r>
      <w:r w:rsidRPr="006F2C07">
        <w:rPr>
          <w:rFonts w:eastAsia="Calibri"/>
          <w:i/>
          <w:iCs/>
          <w:sz w:val="16"/>
        </w:rPr>
        <w:t>C</w:t>
      </w:r>
      <w:r w:rsidRPr="006F2C07">
        <w:rPr>
          <w:rFonts w:eastAsia="Calibri"/>
          <w:sz w:val="16"/>
        </w:rPr>
        <w:t> (</w:t>
      </w:r>
      <w:proofErr w:type="spellStart"/>
      <w:r w:rsidRPr="006F2C07">
        <w:rPr>
          <w:rFonts w:eastAsia="Calibri"/>
          <w:sz w:val="16"/>
        </w:rPr>
        <w:t>Makshtas</w:t>
      </w:r>
      <w:proofErr w:type="spellEnd"/>
      <w:r w:rsidRPr="006F2C07">
        <w:rPr>
          <w:rFonts w:eastAsia="Calibri"/>
          <w:sz w:val="16"/>
        </w:rPr>
        <w:t>, 1991):</w:t>
      </w:r>
    </w:p>
    <w:p w14:paraId="3F9474F4" w14:textId="77777777" w:rsidR="006F2C07" w:rsidRPr="006F2C07" w:rsidRDefault="006F2C07" w:rsidP="006F2C07">
      <w:pPr>
        <w:spacing w:line="256" w:lineRule="auto"/>
        <w:rPr>
          <w:rFonts w:eastAsia="Calibri"/>
          <w:sz w:val="8"/>
          <w:szCs w:val="14"/>
        </w:rPr>
      </w:pPr>
      <w:r w:rsidRPr="006F2C07">
        <w:rPr>
          <w:rFonts w:eastAsia="Calibri"/>
          <w:sz w:val="8"/>
          <w:szCs w:val="14"/>
        </w:rPr>
        <w:t xml:space="preserve">where </w:t>
      </w:r>
      <w:r w:rsidRPr="006F2C07">
        <w:rPr>
          <w:rFonts w:eastAsia="Calibri"/>
          <w:i/>
          <w:iCs/>
          <w:sz w:val="8"/>
          <w:szCs w:val="14"/>
        </w:rPr>
        <w:t>k</w:t>
      </w:r>
      <w:r w:rsidRPr="006F2C07">
        <w:rPr>
          <w:rFonts w:eastAsia="Calibri"/>
          <w:sz w:val="8"/>
          <w:szCs w:val="14"/>
          <w:vertAlign w:val="subscript"/>
        </w:rPr>
        <w:t>i</w:t>
      </w:r>
      <w:r w:rsidRPr="006F2C07">
        <w:rPr>
          <w:rFonts w:eastAsia="Calibri"/>
          <w:sz w:val="8"/>
          <w:szCs w:val="14"/>
        </w:rPr>
        <w:t xml:space="preserve"> stands for the heat conductivity of ice,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for the ice surface temperature, </w:t>
      </w:r>
      <w:r w:rsidRPr="006F2C07">
        <w:rPr>
          <w:rFonts w:eastAsia="Calibri"/>
          <w:i/>
          <w:iCs/>
          <w:sz w:val="8"/>
          <w:szCs w:val="14"/>
        </w:rPr>
        <w:t>T</w:t>
      </w:r>
      <w:r w:rsidRPr="006F2C07">
        <w:rPr>
          <w:rFonts w:eastAsia="Calibri"/>
          <w:sz w:val="8"/>
          <w:szCs w:val="14"/>
          <w:vertAlign w:val="subscript"/>
        </w:rPr>
        <w:t>b</w:t>
      </w:r>
      <w:r w:rsidRPr="006F2C07">
        <w:rPr>
          <w:rFonts w:eastAsia="Calibri"/>
          <w:sz w:val="8"/>
          <w:szCs w:val="14"/>
        </w:rPr>
        <w:t xml:space="preserve"> for the ice bottom temperature,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for the ice thickness, </w:t>
      </w:r>
      <w:proofErr w:type="spellStart"/>
      <w:r w:rsidRPr="006F2C07">
        <w:rPr>
          <w:rFonts w:eastAsia="Calibri"/>
          <w:i/>
          <w:iCs/>
          <w:sz w:val="8"/>
          <w:szCs w:val="14"/>
        </w:rPr>
        <w:t>k</w:t>
      </w:r>
      <w:r w:rsidRPr="006F2C07">
        <w:rPr>
          <w:rFonts w:eastAsia="Calibri"/>
          <w:sz w:val="8"/>
          <w:szCs w:val="14"/>
          <w:vertAlign w:val="subscript"/>
        </w:rPr>
        <w:t>s</w:t>
      </w:r>
      <w:proofErr w:type="spellEnd"/>
      <w:r w:rsidRPr="006F2C07">
        <w:rPr>
          <w:rFonts w:eastAsia="Calibri"/>
          <w:sz w:val="8"/>
          <w:szCs w:val="14"/>
        </w:rPr>
        <w:t xml:space="preserve"> for the heat conductivity of snow, and </w:t>
      </w:r>
      <w:proofErr w:type="spellStart"/>
      <w:r w:rsidRPr="006F2C07">
        <w:rPr>
          <w:rFonts w:eastAsia="Calibri"/>
          <w:i/>
          <w:iCs/>
          <w:sz w:val="8"/>
          <w:szCs w:val="14"/>
        </w:rPr>
        <w:t>h</w:t>
      </w:r>
      <w:r w:rsidRPr="006F2C07">
        <w:rPr>
          <w:rFonts w:eastAsia="Calibri"/>
          <w:sz w:val="8"/>
          <w:szCs w:val="14"/>
          <w:vertAlign w:val="subscript"/>
        </w:rPr>
        <w:t>s</w:t>
      </w:r>
      <w:proofErr w:type="spellEnd"/>
      <w:r w:rsidRPr="006F2C07">
        <w:rPr>
          <w:rFonts w:eastAsia="Calibri"/>
          <w:sz w:val="8"/>
          <w:szCs w:val="14"/>
        </w:rPr>
        <w:t xml:space="preserve"> for snow thickness. We used −1.8 °C for </w:t>
      </w:r>
      <w:r w:rsidRPr="006F2C07">
        <w:rPr>
          <w:rFonts w:eastAsia="Calibri"/>
          <w:i/>
          <w:iCs/>
          <w:sz w:val="8"/>
          <w:szCs w:val="14"/>
        </w:rPr>
        <w:t>T</w:t>
      </w:r>
      <w:r w:rsidRPr="006F2C07">
        <w:rPr>
          <w:rFonts w:eastAsia="Calibri"/>
          <w:sz w:val="8"/>
          <w:szCs w:val="14"/>
          <w:vertAlign w:val="subscript"/>
        </w:rPr>
        <w:t>b</w:t>
      </w:r>
      <w:r w:rsidRPr="006F2C07">
        <w:rPr>
          <w:rFonts w:eastAsia="Calibri"/>
          <w:sz w:val="8"/>
          <w:szCs w:val="14"/>
        </w:rPr>
        <w:t>, 2.1 W m</w:t>
      </w:r>
      <w:r w:rsidRPr="006F2C07">
        <w:rPr>
          <w:rFonts w:eastAsia="Calibri"/>
          <w:sz w:val="8"/>
          <w:szCs w:val="14"/>
          <w:vertAlign w:val="superscript"/>
        </w:rPr>
        <w:t>−1</w:t>
      </w:r>
      <w:r w:rsidRPr="006F2C07">
        <w:rPr>
          <w:rFonts w:eastAsia="Calibri"/>
          <w:sz w:val="8"/>
          <w:szCs w:val="14"/>
        </w:rPr>
        <w:t> K</w:t>
      </w:r>
      <w:r w:rsidRPr="006F2C07">
        <w:rPr>
          <w:rFonts w:eastAsia="Calibri"/>
          <w:sz w:val="8"/>
          <w:szCs w:val="14"/>
          <w:vertAlign w:val="superscript"/>
        </w:rPr>
        <w:t>−1</w:t>
      </w:r>
      <w:r w:rsidRPr="006F2C07">
        <w:rPr>
          <w:rFonts w:eastAsia="Calibri"/>
          <w:sz w:val="8"/>
          <w:szCs w:val="14"/>
        </w:rPr>
        <w:t xml:space="preserve"> for </w:t>
      </w:r>
      <w:r w:rsidRPr="006F2C07">
        <w:rPr>
          <w:rFonts w:eastAsia="Calibri"/>
          <w:i/>
          <w:iCs/>
          <w:sz w:val="8"/>
          <w:szCs w:val="14"/>
        </w:rPr>
        <w:t>k</w:t>
      </w:r>
      <w:r w:rsidRPr="006F2C07">
        <w:rPr>
          <w:rFonts w:eastAsia="Calibri"/>
          <w:sz w:val="8"/>
          <w:szCs w:val="14"/>
          <w:vertAlign w:val="subscript"/>
        </w:rPr>
        <w:t>i</w:t>
      </w:r>
      <w:r w:rsidRPr="006F2C07">
        <w:rPr>
          <w:rFonts w:eastAsia="Calibri"/>
          <w:sz w:val="8"/>
          <w:szCs w:val="14"/>
        </w:rPr>
        <w:t>, and 0.3 W m</w:t>
      </w:r>
      <w:r w:rsidRPr="006F2C07">
        <w:rPr>
          <w:rFonts w:eastAsia="Calibri"/>
          <w:sz w:val="8"/>
          <w:szCs w:val="14"/>
          <w:vertAlign w:val="superscript"/>
        </w:rPr>
        <w:t>−1</w:t>
      </w:r>
      <w:r w:rsidRPr="006F2C07">
        <w:rPr>
          <w:rFonts w:eastAsia="Calibri"/>
          <w:sz w:val="8"/>
          <w:szCs w:val="14"/>
        </w:rPr>
        <w:t> K</w:t>
      </w:r>
      <w:r w:rsidRPr="006F2C07">
        <w:rPr>
          <w:rFonts w:eastAsia="Calibri"/>
          <w:sz w:val="8"/>
          <w:szCs w:val="14"/>
          <w:vertAlign w:val="superscript"/>
        </w:rPr>
        <w:t>−1</w:t>
      </w:r>
      <w:r w:rsidRPr="006F2C07">
        <w:rPr>
          <w:rFonts w:eastAsia="Calibri"/>
          <w:sz w:val="8"/>
          <w:szCs w:val="14"/>
        </w:rPr>
        <w:t xml:space="preserve"> for </w:t>
      </w:r>
      <w:proofErr w:type="spellStart"/>
      <w:r w:rsidRPr="006F2C07">
        <w:rPr>
          <w:rFonts w:eastAsia="Calibri"/>
          <w:i/>
          <w:iCs/>
          <w:sz w:val="8"/>
          <w:szCs w:val="14"/>
        </w:rPr>
        <w:t>k</w:t>
      </w:r>
      <w:r w:rsidRPr="006F2C07">
        <w:rPr>
          <w:rFonts w:eastAsia="Calibri"/>
          <w:sz w:val="8"/>
          <w:szCs w:val="14"/>
          <w:vertAlign w:val="subscript"/>
        </w:rPr>
        <w:t>s</w:t>
      </w:r>
      <w:proofErr w:type="spellEnd"/>
      <w:r w:rsidRPr="006F2C07">
        <w:rPr>
          <w:rFonts w:eastAsia="Calibri"/>
          <w:sz w:val="8"/>
          <w:szCs w:val="14"/>
        </w:rPr>
        <w:t>. The turbulent fluxes of latent and sensible heat (LHF and SHF) were calculated by applying the following standard bulk formulae:</w:t>
      </w:r>
    </w:p>
    <w:p w14:paraId="3D579586" w14:textId="77777777" w:rsidR="006F2C07" w:rsidRPr="006F2C07" w:rsidRDefault="006F2C07" w:rsidP="006F2C07">
      <w:pPr>
        <w:spacing w:line="256" w:lineRule="auto"/>
        <w:rPr>
          <w:rFonts w:eastAsia="Calibri"/>
          <w:sz w:val="8"/>
          <w:szCs w:val="14"/>
        </w:rPr>
      </w:pPr>
      <w:r w:rsidRPr="006F2C07">
        <w:rPr>
          <w:rFonts w:eastAsia="Calibri"/>
          <w:sz w:val="8"/>
          <w:szCs w:val="14"/>
        </w:rPr>
        <w:t xml:space="preserve">where </w:t>
      </w:r>
      <w:r w:rsidRPr="006F2C07">
        <w:rPr>
          <w:rFonts w:eastAsia="Calibri"/>
          <w:i/>
          <w:iCs/>
          <w:sz w:val="8"/>
          <w:szCs w:val="14"/>
        </w:rPr>
        <w:t>ρ</w:t>
      </w:r>
      <w:r w:rsidRPr="006F2C07">
        <w:rPr>
          <w:rFonts w:eastAsia="Calibri"/>
          <w:sz w:val="8"/>
          <w:szCs w:val="14"/>
        </w:rPr>
        <w:t xml:space="preserve"> stands for the air density, </w:t>
      </w:r>
      <w:r w:rsidRPr="006F2C07">
        <w:rPr>
          <w:rFonts w:eastAsia="Calibri"/>
          <w:i/>
          <w:iCs/>
          <w:sz w:val="8"/>
          <w:szCs w:val="14"/>
        </w:rPr>
        <w:t>LE</w:t>
      </w:r>
      <w:r w:rsidRPr="006F2C07">
        <w:rPr>
          <w:rFonts w:eastAsia="Calibri"/>
          <w:sz w:val="8"/>
          <w:szCs w:val="14"/>
        </w:rPr>
        <w:t xml:space="preserve"> for the latent heat of sublimation, </w:t>
      </w:r>
      <w:r w:rsidRPr="006F2C07">
        <w:rPr>
          <w:rFonts w:eastAsia="Calibri"/>
          <w:i/>
          <w:iCs/>
          <w:sz w:val="8"/>
          <w:szCs w:val="14"/>
        </w:rPr>
        <w:t>c</w:t>
      </w:r>
      <w:r w:rsidRPr="006F2C07">
        <w:rPr>
          <w:rFonts w:eastAsia="Calibri"/>
          <w:sz w:val="8"/>
          <w:szCs w:val="14"/>
          <w:vertAlign w:val="subscript"/>
        </w:rPr>
        <w:t>p</w:t>
      </w:r>
      <w:r w:rsidRPr="006F2C07">
        <w:rPr>
          <w:rFonts w:eastAsia="Calibri"/>
          <w:sz w:val="8"/>
          <w:szCs w:val="14"/>
        </w:rPr>
        <w:t xml:space="preserve"> for the specific heat of the air, and </w:t>
      </w:r>
      <w:r w:rsidRPr="006F2C07">
        <w:rPr>
          <w:rFonts w:eastAsia="Calibri"/>
          <w:i/>
          <w:iCs/>
          <w:sz w:val="8"/>
          <w:szCs w:val="14"/>
        </w:rPr>
        <w:t>C</w:t>
      </w:r>
      <w:r w:rsidRPr="006F2C07">
        <w:rPr>
          <w:rFonts w:eastAsia="Calibri"/>
          <w:sz w:val="8"/>
          <w:szCs w:val="14"/>
          <w:vertAlign w:val="subscript"/>
        </w:rPr>
        <w:t>HE</w:t>
      </w:r>
      <w:r w:rsidRPr="006F2C07">
        <w:rPr>
          <w:rFonts w:eastAsia="Calibri"/>
          <w:sz w:val="8"/>
          <w:szCs w:val="14"/>
        </w:rPr>
        <w:t xml:space="preserve"> for the turbulent exchange coefficient. (</w:t>
      </w:r>
      <w:proofErr w:type="spellStart"/>
      <w:r w:rsidRPr="006F2C07">
        <w:rPr>
          <w:rFonts w:eastAsia="Calibri"/>
          <w:i/>
          <w:iCs/>
          <w:sz w:val="8"/>
          <w:szCs w:val="14"/>
        </w:rPr>
        <w:t>Q</w:t>
      </w:r>
      <w:r w:rsidRPr="006F2C07">
        <w:rPr>
          <w:rFonts w:eastAsia="Calibri"/>
          <w:sz w:val="8"/>
          <w:szCs w:val="14"/>
          <w:vertAlign w:val="subscript"/>
        </w:rPr>
        <w:t>a</w:t>
      </w:r>
      <w:proofErr w:type="spellEnd"/>
      <w:r w:rsidRPr="006F2C07">
        <w:rPr>
          <w:rFonts w:eastAsia="Calibri"/>
          <w:sz w:val="8"/>
          <w:szCs w:val="14"/>
        </w:rPr>
        <w:t>−</w:t>
      </w:r>
      <w:r w:rsidRPr="006F2C07">
        <w:rPr>
          <w:rFonts w:eastAsia="Calibri"/>
          <w:i/>
          <w:iCs/>
          <w:sz w:val="8"/>
          <w:szCs w:val="14"/>
        </w:rPr>
        <w:t>Q</w:t>
      </w:r>
      <w:r w:rsidRPr="006F2C07">
        <w:rPr>
          <w:rFonts w:eastAsia="Calibri"/>
          <w:sz w:val="8"/>
          <w:szCs w:val="14"/>
          <w:vertAlign w:val="subscript"/>
        </w:rPr>
        <w:t>s</w:t>
      </w:r>
      <w:r w:rsidRPr="006F2C07">
        <w:rPr>
          <w:rFonts w:eastAsia="Calibri"/>
          <w:sz w:val="8"/>
          <w:szCs w:val="14"/>
        </w:rPr>
        <w:t>) and (</w:t>
      </w:r>
      <w:r w:rsidRPr="006F2C07">
        <w:rPr>
          <w:rFonts w:eastAsia="Calibri"/>
          <w:i/>
          <w:iCs/>
          <w:sz w:val="8"/>
          <w:szCs w:val="14"/>
        </w:rPr>
        <w:t>T</w:t>
      </w:r>
      <w:r w:rsidRPr="006F2C07">
        <w:rPr>
          <w:rFonts w:eastAsia="Calibri"/>
          <w:sz w:val="8"/>
          <w:szCs w:val="14"/>
          <w:vertAlign w:val="subscript"/>
        </w:rPr>
        <w:t>a</w:t>
      </w:r>
      <w:r w:rsidRPr="006F2C07">
        <w:rPr>
          <w:rFonts w:eastAsia="Calibri"/>
          <w:sz w:val="8"/>
          <w:szCs w:val="14"/>
        </w:rPr>
        <w:t>−</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are the differences in the specific humidity and temperature between the lowest atmospheric level and the surface, and </w:t>
      </w:r>
      <w:r w:rsidRPr="006F2C07">
        <w:rPr>
          <w:rFonts w:eastAsia="Calibri"/>
          <w:i/>
          <w:iCs/>
          <w:sz w:val="8"/>
          <w:szCs w:val="14"/>
        </w:rPr>
        <w:t>V</w:t>
      </w:r>
      <w:r w:rsidRPr="006F2C07">
        <w:rPr>
          <w:rFonts w:eastAsia="Calibri"/>
          <w:sz w:val="8"/>
          <w:szCs w:val="14"/>
        </w:rPr>
        <w:t xml:space="preserve"> stands for the wind speed at the lowest atmospheric level of the model applied in each reanalysis. The upward longwave radiation (ULW) was calculated as follows:</w:t>
      </w:r>
    </w:p>
    <w:p w14:paraId="64100A32" w14:textId="77777777" w:rsidR="006F2C07" w:rsidRPr="006F2C07" w:rsidRDefault="006F2C07" w:rsidP="006F2C07">
      <w:pPr>
        <w:spacing w:line="256" w:lineRule="auto"/>
        <w:rPr>
          <w:rFonts w:eastAsia="Calibri"/>
          <w:sz w:val="16"/>
        </w:rPr>
      </w:pPr>
      <w:r w:rsidRPr="006F2C07">
        <w:rPr>
          <w:rFonts w:eastAsia="Calibri"/>
          <w:sz w:val="8"/>
          <w:szCs w:val="14"/>
        </w:rPr>
        <w:t xml:space="preserve">where </w:t>
      </w:r>
      <w:r w:rsidRPr="006F2C07">
        <w:rPr>
          <w:rFonts w:eastAsia="Calibri"/>
          <w:i/>
          <w:iCs/>
          <w:sz w:val="8"/>
          <w:szCs w:val="14"/>
        </w:rPr>
        <w:t>σ</w:t>
      </w:r>
      <w:r w:rsidRPr="006F2C07">
        <w:rPr>
          <w:rFonts w:eastAsia="Calibri"/>
          <w:sz w:val="8"/>
          <w:szCs w:val="14"/>
        </w:rPr>
        <w:t xml:space="preserve"> stands for the Stefan–Boltzmann constant </w:t>
      </w:r>
      <w:proofErr w:type="gramStart"/>
      <w:r w:rsidRPr="006F2C07">
        <w:rPr>
          <w:rFonts w:eastAsia="Calibri"/>
          <w:sz w:val="8"/>
          <w:szCs w:val="14"/>
        </w:rPr>
        <w:t>( W</w:t>
      </w:r>
      <w:proofErr w:type="gramEnd"/>
      <w:r w:rsidRPr="006F2C07">
        <w:rPr>
          <w:rFonts w:eastAsia="Calibri"/>
          <w:sz w:val="8"/>
          <w:szCs w:val="14"/>
        </w:rPr>
        <w:t> m</w:t>
      </w:r>
      <w:r w:rsidRPr="006F2C07">
        <w:rPr>
          <w:rFonts w:eastAsia="Calibri"/>
          <w:sz w:val="8"/>
          <w:szCs w:val="14"/>
          <w:vertAlign w:val="superscript"/>
        </w:rPr>
        <w:t>−2</w:t>
      </w:r>
      <w:r w:rsidRPr="006F2C07">
        <w:rPr>
          <w:rFonts w:eastAsia="Calibri"/>
          <w:sz w:val="8"/>
          <w:szCs w:val="14"/>
        </w:rPr>
        <w:t> K</w:t>
      </w:r>
      <w:r w:rsidRPr="006F2C07">
        <w:rPr>
          <w:rFonts w:eastAsia="Calibri"/>
          <w:sz w:val="8"/>
          <w:szCs w:val="14"/>
          <w:vertAlign w:val="superscript"/>
        </w:rPr>
        <w:t>−4</w:t>
      </w:r>
      <w:r w:rsidRPr="006F2C07">
        <w:rPr>
          <w:rFonts w:eastAsia="Calibri"/>
          <w:sz w:val="8"/>
          <w:szCs w:val="14"/>
        </w:rPr>
        <w:t xml:space="preserve">). As in </w:t>
      </w:r>
      <w:proofErr w:type="spellStart"/>
      <w:r w:rsidRPr="006F2C07">
        <w:rPr>
          <w:rFonts w:eastAsia="Calibri"/>
          <w:sz w:val="8"/>
          <w:szCs w:val="14"/>
        </w:rPr>
        <w:t>Uhlíková</w:t>
      </w:r>
      <w:proofErr w:type="spellEnd"/>
      <w:r w:rsidRPr="006F2C07">
        <w:rPr>
          <w:rFonts w:eastAsia="Calibri"/>
          <w:sz w:val="8"/>
          <w:szCs w:val="14"/>
        </w:rPr>
        <w:t xml:space="preserve"> et al. (2024), the downward longwave radiation (DLW) and the input for </w:t>
      </w:r>
      <w:proofErr w:type="spellStart"/>
      <w:r w:rsidRPr="006F2C07">
        <w:rPr>
          <w:rFonts w:eastAsia="Calibri"/>
          <w:sz w:val="8"/>
          <w:szCs w:val="14"/>
        </w:rPr>
        <w:t>Eqs</w:t>
      </w:r>
      <w:proofErr w:type="spellEnd"/>
      <w:r w:rsidRPr="006F2C07">
        <w:rPr>
          <w:rFonts w:eastAsia="Calibri"/>
          <w:sz w:val="8"/>
          <w:szCs w:val="14"/>
        </w:rPr>
        <w:t>. (3) to (6) were taken from observations from the SHEBA campaign in the Central Arctic in February 1998 (Persson et al., 2002) when the mean values were as follows: 155 W m</w:t>
      </w:r>
      <w:r w:rsidRPr="006F2C07">
        <w:rPr>
          <w:rFonts w:eastAsia="Calibri"/>
          <w:sz w:val="8"/>
          <w:szCs w:val="14"/>
          <w:vertAlign w:val="superscript"/>
        </w:rPr>
        <w:t>−2</w:t>
      </w:r>
      <w:r w:rsidRPr="006F2C07">
        <w:rPr>
          <w:rFonts w:eastAsia="Calibri"/>
          <w:sz w:val="8"/>
          <w:szCs w:val="14"/>
        </w:rPr>
        <w:t xml:space="preserve"> for DLW, 5.0 m s</w:t>
      </w:r>
      <w:r w:rsidRPr="006F2C07">
        <w:rPr>
          <w:rFonts w:eastAsia="Calibri"/>
          <w:sz w:val="8"/>
          <w:szCs w:val="14"/>
          <w:vertAlign w:val="superscript"/>
        </w:rPr>
        <w:t>−1</w:t>
      </w:r>
      <w:r w:rsidRPr="006F2C07">
        <w:rPr>
          <w:rFonts w:eastAsia="Calibri"/>
          <w:sz w:val="8"/>
          <w:szCs w:val="14"/>
        </w:rPr>
        <w:t xml:space="preserve"> for </w:t>
      </w:r>
      <w:r w:rsidRPr="006F2C07">
        <w:rPr>
          <w:rFonts w:eastAsia="Calibri"/>
          <w:i/>
          <w:iCs/>
          <w:sz w:val="8"/>
          <w:szCs w:val="14"/>
        </w:rPr>
        <w:t>V</w:t>
      </w:r>
      <w:r w:rsidRPr="006F2C07">
        <w:rPr>
          <w:rFonts w:eastAsia="Calibri"/>
          <w:sz w:val="8"/>
          <w:szCs w:val="14"/>
        </w:rPr>
        <w:t xml:space="preserve">, −32 °C for </w:t>
      </w:r>
      <w:r w:rsidRPr="006F2C07">
        <w:rPr>
          <w:rFonts w:eastAsia="Calibri"/>
          <w:i/>
          <w:iCs/>
          <w:sz w:val="8"/>
          <w:szCs w:val="14"/>
        </w:rPr>
        <w:t>T</w:t>
      </w:r>
      <w:r w:rsidRPr="006F2C07">
        <w:rPr>
          <w:rFonts w:eastAsia="Calibri"/>
          <w:sz w:val="8"/>
          <w:szCs w:val="14"/>
          <w:vertAlign w:val="subscript"/>
        </w:rPr>
        <w:t>a</w:t>
      </w:r>
      <w:r w:rsidRPr="006F2C07">
        <w:rPr>
          <w:rFonts w:eastAsia="Calibri"/>
          <w:sz w:val="8"/>
          <w:szCs w:val="14"/>
        </w:rPr>
        <w:t>, and 0.9 for the relative humidity, yielding 0.17 g kg</w:t>
      </w:r>
      <w:r w:rsidRPr="006F2C07">
        <w:rPr>
          <w:rFonts w:eastAsia="Calibri"/>
          <w:sz w:val="8"/>
          <w:szCs w:val="14"/>
          <w:vertAlign w:val="superscript"/>
        </w:rPr>
        <w:t>−1</w:t>
      </w:r>
      <w:r w:rsidRPr="006F2C07">
        <w:rPr>
          <w:rFonts w:eastAsia="Calibri"/>
          <w:sz w:val="8"/>
          <w:szCs w:val="14"/>
        </w:rPr>
        <w:t xml:space="preserve"> for </w:t>
      </w:r>
      <w:proofErr w:type="spellStart"/>
      <w:r w:rsidRPr="006F2C07">
        <w:rPr>
          <w:rFonts w:eastAsia="Calibri"/>
          <w:i/>
          <w:iCs/>
          <w:sz w:val="8"/>
          <w:szCs w:val="14"/>
        </w:rPr>
        <w:t>Q</w:t>
      </w:r>
      <w:r w:rsidRPr="006F2C07">
        <w:rPr>
          <w:rFonts w:eastAsia="Calibri"/>
          <w:sz w:val="8"/>
          <w:szCs w:val="14"/>
          <w:vertAlign w:val="subscript"/>
        </w:rPr>
        <w:t>a</w:t>
      </w:r>
      <w:proofErr w:type="spellEnd"/>
      <w:r w:rsidRPr="006F2C07">
        <w:rPr>
          <w:rFonts w:eastAsia="Calibri"/>
          <w:sz w:val="8"/>
          <w:szCs w:val="14"/>
        </w:rPr>
        <w:t xml:space="preserve">. Then </w:t>
      </w:r>
      <w:proofErr w:type="spellStart"/>
      <w:r w:rsidRPr="006F2C07">
        <w:rPr>
          <w:rFonts w:eastAsia="Calibri"/>
          <w:sz w:val="8"/>
          <w:szCs w:val="14"/>
        </w:rPr>
        <w:t>Eqs</w:t>
      </w:r>
      <w:proofErr w:type="spellEnd"/>
      <w:r w:rsidRPr="006F2C07">
        <w:rPr>
          <w:rFonts w:eastAsia="Calibri"/>
          <w:sz w:val="8"/>
          <w:szCs w:val="14"/>
        </w:rPr>
        <w:t xml:space="preserve">. (3) to (6) were solved by applying the following values of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0.2, 0.5, 1.0, 1.5, 2.0, 2.5, and 3.0 m, with </w:t>
      </w:r>
      <w:proofErr w:type="spellStart"/>
      <w:r w:rsidRPr="006F2C07">
        <w:rPr>
          <w:rFonts w:eastAsia="Calibri"/>
          <w:i/>
          <w:iCs/>
          <w:sz w:val="8"/>
          <w:szCs w:val="14"/>
        </w:rPr>
        <w:t>h</w:t>
      </w:r>
      <w:r w:rsidRPr="006F2C07">
        <w:rPr>
          <w:rFonts w:eastAsia="Calibri"/>
          <w:sz w:val="8"/>
          <w:szCs w:val="14"/>
          <w:vertAlign w:val="subscript"/>
        </w:rPr>
        <w:t>s</w:t>
      </w:r>
      <w:proofErr w:type="spellEnd"/>
      <w:r w:rsidRPr="006F2C07">
        <w:rPr>
          <w:rFonts w:eastAsia="Calibri"/>
          <w:sz w:val="8"/>
          <w:szCs w:val="14"/>
        </w:rPr>
        <w:t xml:space="preserve"> systematically set as 0.1 ×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As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is unknown, and all the fluxes except DLW depend on it, a set of calculations with various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values was carried out for each combination of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and </w:t>
      </w:r>
      <w:proofErr w:type="spellStart"/>
      <w:r w:rsidRPr="006F2C07">
        <w:rPr>
          <w:rFonts w:eastAsia="Calibri"/>
          <w:i/>
          <w:iCs/>
          <w:sz w:val="8"/>
          <w:szCs w:val="14"/>
        </w:rPr>
        <w:t>h</w:t>
      </w:r>
      <w:r w:rsidRPr="006F2C07">
        <w:rPr>
          <w:rFonts w:eastAsia="Calibri"/>
          <w:sz w:val="8"/>
          <w:szCs w:val="14"/>
          <w:vertAlign w:val="subscript"/>
        </w:rPr>
        <w:t>s</w:t>
      </w:r>
      <w:proofErr w:type="spellEnd"/>
      <w:r w:rsidRPr="006F2C07">
        <w:rPr>
          <w:rFonts w:eastAsia="Calibri"/>
          <w:sz w:val="8"/>
          <w:szCs w:val="14"/>
        </w:rPr>
        <w:t xml:space="preserve"> until the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yielded a zero net heat flux (DLW − ULW + SHF + LHF + </w:t>
      </w:r>
      <w:r w:rsidRPr="006F2C07">
        <w:rPr>
          <w:rFonts w:eastAsia="Calibri"/>
          <w:i/>
          <w:iCs/>
          <w:sz w:val="8"/>
          <w:szCs w:val="14"/>
        </w:rPr>
        <w:t>C</w:t>
      </w:r>
      <w:r w:rsidRPr="006F2C07">
        <w:rPr>
          <w:rFonts w:eastAsia="Calibri"/>
          <w:sz w:val="8"/>
          <w:szCs w:val="14"/>
        </w:rPr>
        <w:t>) at the snow surface to represent equilibrium conditions.</w:t>
      </w:r>
    </w:p>
    <w:p w14:paraId="56641C2B" w14:textId="77777777" w:rsidR="006F2C07" w:rsidRPr="006F2C07" w:rsidRDefault="006F2C07" w:rsidP="006F2C07">
      <w:pPr>
        <w:spacing w:line="256" w:lineRule="auto"/>
        <w:rPr>
          <w:rFonts w:eastAsia="Calibri"/>
          <w:sz w:val="16"/>
        </w:rPr>
      </w:pPr>
      <w:r w:rsidRPr="006F2C07">
        <w:rPr>
          <w:rFonts w:eastAsia="Calibri"/>
          <w:u w:val="single"/>
        </w:rPr>
        <w:t>The sensitivity of </w:t>
      </w:r>
      <w:r w:rsidRPr="006F2C07">
        <w:rPr>
          <w:rFonts w:eastAsia="Calibri"/>
          <w:i/>
          <w:iCs/>
          <w:u w:val="single"/>
        </w:rPr>
        <w:t>T</w:t>
      </w:r>
      <w:r w:rsidRPr="006F2C07">
        <w:rPr>
          <w:rFonts w:eastAsia="Calibri"/>
          <w:u w:val="single"/>
          <w:vertAlign w:val="subscript"/>
        </w:rPr>
        <w:t>s</w:t>
      </w:r>
      <w:r w:rsidRPr="006F2C07">
        <w:rPr>
          <w:rFonts w:eastAsia="Calibri"/>
          <w:u w:val="single"/>
        </w:rPr>
        <w:t>, </w:t>
      </w:r>
      <w:r w:rsidRPr="006F2C07">
        <w:rPr>
          <w:rFonts w:eastAsia="Calibri"/>
          <w:i/>
          <w:iCs/>
          <w:u w:val="single"/>
        </w:rPr>
        <w:t>C</w:t>
      </w:r>
      <w:r w:rsidRPr="006F2C07">
        <w:rPr>
          <w:rFonts w:eastAsia="Calibri"/>
          <w:u w:val="single"/>
        </w:rPr>
        <w:t>, and ULW to snow and ice thickness is presented in Fig. 4. In the case of thin ice, the snow surface temperature is highly sensitive to ice thickness, but the sensitivity decreases when the ice gets thicker</w:t>
      </w:r>
      <w:r w:rsidRPr="006F2C07">
        <w:rPr>
          <w:rFonts w:eastAsia="Calibri"/>
          <w:sz w:val="16"/>
        </w:rPr>
        <w:t xml:space="preserve"> (Fig. 4a). This is reflected in ULW. For 0.2 m ice thickness (0.02 m snow depth), ULW is 227 W m</w:t>
      </w:r>
      <w:r w:rsidRPr="006F2C07">
        <w:rPr>
          <w:rFonts w:eastAsia="Calibri"/>
          <w:sz w:val="16"/>
          <w:vertAlign w:val="superscript"/>
        </w:rPr>
        <w:t>−2</w:t>
      </w:r>
      <w:r w:rsidRPr="006F2C07">
        <w:rPr>
          <w:rFonts w:eastAsia="Calibri"/>
          <w:sz w:val="16"/>
        </w:rPr>
        <w:t>, whereas for 3 m ice thickness (0.3 m snow depth) ULW is 183 W m</w:t>
      </w:r>
      <w:r w:rsidRPr="006F2C07">
        <w:rPr>
          <w:rFonts w:eastAsia="Calibri"/>
          <w:sz w:val="16"/>
          <w:vertAlign w:val="superscript"/>
        </w:rPr>
        <w:t>−2</w:t>
      </w:r>
      <w:r w:rsidRPr="006F2C07">
        <w:rPr>
          <w:rFonts w:eastAsia="Calibri"/>
          <w:sz w:val="16"/>
        </w:rPr>
        <w:t>, representing a difference of −44 W m</w:t>
      </w:r>
      <w:r w:rsidRPr="006F2C07">
        <w:rPr>
          <w:rFonts w:eastAsia="Calibri"/>
          <w:sz w:val="16"/>
          <w:vertAlign w:val="superscript"/>
        </w:rPr>
        <w:t>−2</w:t>
      </w:r>
      <w:r w:rsidRPr="006F2C07">
        <w:rPr>
          <w:rFonts w:eastAsia="Calibri"/>
          <w:sz w:val="16"/>
        </w:rPr>
        <w:t>. The difference in ULW between ice thicknesses of 2 and 3 m is minor (−2 W m</w:t>
      </w:r>
      <w:r w:rsidRPr="006F2C07">
        <w:rPr>
          <w:rFonts w:eastAsia="Calibri"/>
          <w:sz w:val="16"/>
          <w:vertAlign w:val="superscript"/>
        </w:rPr>
        <w:t>−2</w:t>
      </w:r>
      <w:r w:rsidRPr="006F2C07">
        <w:rPr>
          <w:rFonts w:eastAsia="Calibri"/>
          <w:sz w:val="16"/>
        </w:rPr>
        <w:t xml:space="preserve">), as the conductive heat flux through ice and snow is small already for 2 m thick ice (covered by 0.2 m snowpack). A comparison of Figs. 4 and S1 shows that in winter in the Bering Sea, the Sea of Okhotsk, and the Barents Sea, </w:t>
      </w:r>
      <w:r w:rsidRPr="006F2C07">
        <w:rPr>
          <w:rFonts w:eastAsia="Calibri"/>
          <w:u w:val="single"/>
        </w:rPr>
        <w:t xml:space="preserve">ULW is approximately equally sensitive to a decrease in ice thickness from 3 to 0.2 m and to a decrease in SIC by 0.1. However, closer to the central Arctic Ocean and in the </w:t>
      </w:r>
      <w:proofErr w:type="gramStart"/>
      <w:r w:rsidRPr="006F2C07">
        <w:rPr>
          <w:rFonts w:eastAsia="Calibri"/>
          <w:u w:val="single"/>
        </w:rPr>
        <w:t>Canadian Arctic archipelago</w:t>
      </w:r>
      <w:proofErr w:type="gramEnd"/>
      <w:r w:rsidRPr="006F2C07">
        <w:rPr>
          <w:rFonts w:eastAsia="Calibri"/>
          <w:u w:val="single"/>
        </w:rPr>
        <w:t>, the sensitivity is higher for a decrease in SIC</w:t>
      </w:r>
      <w:r w:rsidRPr="006F2C07">
        <w:rPr>
          <w:rFonts w:eastAsia="Calibri"/>
          <w:sz w:val="16"/>
        </w:rPr>
        <w:t xml:space="preserve"> by 0.1. These high statistical sensitivities to SIC may be partly due to co-occurrence of low SIC and high ice surface temperatures.</w:t>
      </w:r>
    </w:p>
    <w:p w14:paraId="7C771D9A" w14:textId="0F47147E" w:rsidR="006F2C07" w:rsidRPr="006F2C07" w:rsidRDefault="006F2C07" w:rsidP="006F2C0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2AC – Ice Pumps Good</w:t>
      </w:r>
    </w:p>
    <w:p w14:paraId="00B78B05"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Using wind power to pump water directly onto the surface of the arctic thickens ice and prevents melting</w:t>
      </w:r>
    </w:p>
    <w:p w14:paraId="1C5CEBDA" w14:textId="77777777" w:rsidR="006F2C07" w:rsidRPr="006F2C07" w:rsidRDefault="006F2C07" w:rsidP="006F2C07">
      <w:pPr>
        <w:spacing w:line="256" w:lineRule="auto"/>
        <w:rPr>
          <w:rFonts w:eastAsia="Calibri"/>
          <w:b/>
          <w:bCs/>
          <w:sz w:val="26"/>
        </w:rPr>
      </w:pPr>
      <w:r w:rsidRPr="006F2C07">
        <w:rPr>
          <w:rFonts w:eastAsia="Calibri"/>
          <w:b/>
          <w:bCs/>
          <w:sz w:val="26"/>
        </w:rPr>
        <w:t>Desch et al. 16</w:t>
      </w:r>
      <w:r w:rsidRPr="006F2C07">
        <w:rPr>
          <w:rFonts w:eastAsia="Calibri"/>
        </w:rPr>
        <w:t xml:space="preserve">---Professor of astrophysics in the School of Earth and Space Exploration at ASU (Steven, Nathan Smith, Christopher Groppi, Perry Vargas, Rebecca Jackson, Anusha </w:t>
      </w:r>
      <w:proofErr w:type="spellStart"/>
      <w:r w:rsidRPr="006F2C07">
        <w:rPr>
          <w:rFonts w:eastAsia="Calibri"/>
        </w:rPr>
        <w:t>Kalyaan</w:t>
      </w:r>
      <w:proofErr w:type="spellEnd"/>
      <w:r w:rsidRPr="006F2C07">
        <w:rPr>
          <w:rFonts w:eastAsia="Calibri"/>
        </w:rPr>
        <w:t xml:space="preserve">, Peter Nguyen, Luke Probst, Mark E. Rubin, Heather Singleton, Alexander Spacek, Amanda Truitt, Pye </w:t>
      </w:r>
      <w:proofErr w:type="spellStart"/>
      <w:r w:rsidRPr="006F2C07">
        <w:rPr>
          <w:rFonts w:eastAsia="Calibri"/>
        </w:rPr>
        <w:t>Pye</w:t>
      </w:r>
      <w:proofErr w:type="spellEnd"/>
      <w:r w:rsidRPr="006F2C07">
        <w:rPr>
          <w:rFonts w:eastAsia="Calibri"/>
        </w:rPr>
        <w:t xml:space="preserve"> Zaw, </w:t>
      </w:r>
      <w:proofErr w:type="spellStart"/>
      <w:r w:rsidRPr="006F2C07">
        <w:rPr>
          <w:rFonts w:eastAsia="Calibri"/>
        </w:rPr>
        <w:t>Hilairy</w:t>
      </w:r>
      <w:proofErr w:type="spellEnd"/>
      <w:r w:rsidRPr="006F2C07">
        <w:rPr>
          <w:rFonts w:eastAsia="Calibri"/>
        </w:rPr>
        <w:t xml:space="preserve"> E. Hartnett; “Arctic ice management”, American Geophysical Union, 12/16/16, https://agupubs.onlinelibrary.wiley.com/doi/full/10.1002/2016ef000410)</w:t>
      </w:r>
    </w:p>
    <w:p w14:paraId="33D0C40B" w14:textId="77777777" w:rsidR="006F2C07" w:rsidRPr="006F2C07" w:rsidRDefault="006F2C07" w:rsidP="006F2C07">
      <w:pPr>
        <w:spacing w:line="256" w:lineRule="auto"/>
        <w:rPr>
          <w:rFonts w:eastAsia="Calibri"/>
          <w:sz w:val="16"/>
        </w:rPr>
      </w:pPr>
      <w:r w:rsidRPr="006F2C07">
        <w:rPr>
          <w:rFonts w:eastAsia="Calibri"/>
          <w:sz w:val="16"/>
        </w:rPr>
        <w:t xml:space="preserve">To constrain the ability of mechanical devices to thicken </w:t>
      </w:r>
      <w:proofErr w:type="gramStart"/>
      <w:r w:rsidRPr="006F2C07">
        <w:rPr>
          <w:rFonts w:eastAsia="Calibri"/>
          <w:sz w:val="16"/>
        </w:rPr>
        <w:t>Arctic sea</w:t>
      </w:r>
      <w:proofErr w:type="gramEnd"/>
      <w:r w:rsidRPr="006F2C07">
        <w:rPr>
          <w:rFonts w:eastAsia="Calibri"/>
          <w:sz w:val="16"/>
        </w:rPr>
        <w:t xml:space="preserve"> ice, it is first necessary to have a model of how seawater freezes. Here we derive such a model, similar in spirit to the pioneering work of Maykut and </w:t>
      </w:r>
      <w:proofErr w:type="spellStart"/>
      <w:r w:rsidRPr="006F2C07">
        <w:rPr>
          <w:rFonts w:eastAsia="Calibri"/>
          <w:sz w:val="16"/>
        </w:rPr>
        <w:t>Untersteiner</w:t>
      </w:r>
      <w:proofErr w:type="spellEnd"/>
      <w:r w:rsidRPr="006F2C07">
        <w:rPr>
          <w:rFonts w:eastAsia="Calibri"/>
          <w:sz w:val="16"/>
        </w:rPr>
        <w:t xml:space="preserve"> [1971]. </w:t>
      </w:r>
      <w:r w:rsidRPr="006F2C07">
        <w:rPr>
          <w:rFonts w:eastAsia="Calibri"/>
          <w:u w:val="single"/>
        </w:rPr>
        <w:t>Seawater in the Arctic Ocean typically starts to freeze in September, when insolation ceases and the surface temperature stays below −1.8°C</w:t>
      </w:r>
      <w:r w:rsidRPr="006F2C07">
        <w:rPr>
          <w:rFonts w:eastAsia="Calibri"/>
          <w:sz w:val="16"/>
        </w:rPr>
        <w:t xml:space="preserve"> (271 K), the freezing point of water with ocean-level salinity near 35 parts per thousand (ppt). (Salinity varies from 32 to 37 ppt, and each 5 ppt of extra salinity depresses the freezing point by 0.28°C.) The first ice crystals to form on the surface agglomerate into a slush known as frazil. </w:t>
      </w:r>
      <w:r w:rsidRPr="006F2C07">
        <w:rPr>
          <w:rFonts w:eastAsia="Calibri"/>
          <w:u w:val="single"/>
        </w:rPr>
        <w:t>As freezing continues, the ice thickens and becomes fresher.</w:t>
      </w:r>
      <w:r w:rsidRPr="006F2C07">
        <w:rPr>
          <w:rFonts w:eastAsia="Calibri"/>
          <w:sz w:val="16"/>
        </w:rPr>
        <w:t xml:space="preserve"> If pockets of liquid brine are trapped in the ice, they will slowly migrate downward, depressing the melting point of the ice the brine is in contact with, eventually reaching the ocean at the base of the ice. This leaves long thin trails in the ice that cause the mechanical properties of the ice to change. Snow may also cover the sheet of ice.</w:t>
      </w:r>
    </w:p>
    <w:p w14:paraId="6AFDA1AA" w14:textId="77777777" w:rsidR="006F2C07" w:rsidRPr="006F2C07" w:rsidRDefault="006F2C07" w:rsidP="006F2C07">
      <w:pPr>
        <w:spacing w:line="256" w:lineRule="auto"/>
        <w:rPr>
          <w:rFonts w:eastAsia="Calibri"/>
          <w:sz w:val="10"/>
          <w:szCs w:val="10"/>
        </w:rPr>
      </w:pPr>
      <w:r w:rsidRPr="006F2C07">
        <w:rPr>
          <w:rFonts w:eastAsia="Calibri"/>
          <w:sz w:val="10"/>
          <w:szCs w:val="10"/>
        </w:rPr>
        <w:t xml:space="preserve">Because the surface temperatures in the Arctic winter drop to −35°C to −40°C on average, the ice is very cold, and seawater in contact with the ice can continue to freeze, but only if the latent heat of fusion can be carried away from the bottom of the ice to the cold surface. From the surface the heat can be carried away by wind or radiated to free space. If the heat flux through the ice, F, is known, then the rate at which the ice thickness, x, changes is easily found, since where </w:t>
      </w:r>
      <w:proofErr w:type="spellStart"/>
      <w:r w:rsidRPr="006F2C07">
        <w:rPr>
          <w:rFonts w:eastAsia="Calibri"/>
          <w:sz w:val="10"/>
          <w:szCs w:val="10"/>
        </w:rPr>
        <w:t>ρi</w:t>
      </w:r>
      <w:proofErr w:type="spellEnd"/>
      <w:r w:rsidRPr="006F2C07">
        <w:rPr>
          <w:rFonts w:eastAsia="Calibri"/>
          <w:sz w:val="10"/>
          <w:szCs w:val="10"/>
        </w:rPr>
        <w:t xml:space="preserve"> = 917 kg m−3 is the ice density, and li = 3.32 × 105 J kg−1 is the latent heat of fusion. The heat flux is carried through the ice by conduction, and so is related to the temperature gradient across the ice: where k(x) is the thermal conductivity and is a function of the ice thickness, x. Following </w:t>
      </w:r>
      <w:proofErr w:type="spellStart"/>
      <w:r w:rsidRPr="006F2C07">
        <w:rPr>
          <w:rFonts w:eastAsia="Calibri"/>
          <w:sz w:val="10"/>
          <w:szCs w:val="10"/>
        </w:rPr>
        <w:t>Trodahl</w:t>
      </w:r>
      <w:proofErr w:type="spellEnd"/>
      <w:r w:rsidRPr="006F2C07">
        <w:rPr>
          <w:rFonts w:eastAsia="Calibri"/>
          <w:sz w:val="10"/>
          <w:szCs w:val="10"/>
        </w:rPr>
        <w:t xml:space="preserve"> et al. [2001], we assume k(x) = ki = 2 W m−1 K−1 if x &gt; x0 = 0.5 m, but for x &lt; x0, k(x) = ki [1 + x/x</w:t>
      </w:r>
      <w:proofErr w:type="gramStart"/>
      <w:r w:rsidRPr="006F2C07">
        <w:rPr>
          <w:rFonts w:eastAsia="Calibri"/>
          <w:sz w:val="10"/>
          <w:szCs w:val="10"/>
        </w:rPr>
        <w:t>0 ]</w:t>
      </w:r>
      <w:proofErr w:type="gramEnd"/>
      <w:r w:rsidRPr="006F2C07">
        <w:rPr>
          <w:rFonts w:eastAsia="Calibri"/>
          <w:sz w:val="10"/>
          <w:szCs w:val="10"/>
        </w:rPr>
        <w:t xml:space="preserve">/2, accounting for the fact that ice near the surface is more porous and less conductive. We also assume a thin layer of snow with relatively low thermal conductivity </w:t>
      </w:r>
      <w:proofErr w:type="spellStart"/>
      <w:r w:rsidRPr="006F2C07">
        <w:rPr>
          <w:rFonts w:eastAsia="Calibri"/>
          <w:sz w:val="10"/>
          <w:szCs w:val="10"/>
        </w:rPr>
        <w:t>ks</w:t>
      </w:r>
      <w:proofErr w:type="spellEnd"/>
      <w:r w:rsidRPr="006F2C07">
        <w:rPr>
          <w:rFonts w:eastAsia="Calibri"/>
          <w:sz w:val="10"/>
          <w:szCs w:val="10"/>
        </w:rPr>
        <w:t xml:space="preserve"> and thickness d, on top of the ice. Above the snow, the temperature is </w:t>
      </w:r>
      <w:proofErr w:type="gramStart"/>
      <w:r w:rsidRPr="006F2C07">
        <w:rPr>
          <w:rFonts w:eastAsia="Calibri"/>
          <w:sz w:val="10"/>
          <w:szCs w:val="10"/>
        </w:rPr>
        <w:t>the</w:t>
      </w:r>
      <w:proofErr w:type="gramEnd"/>
      <w:r w:rsidRPr="006F2C07">
        <w:rPr>
          <w:rFonts w:eastAsia="Calibri"/>
          <w:sz w:val="10"/>
          <w:szCs w:val="10"/>
        </w:rPr>
        <w:t xml:space="preserve"> ambient surface temperature, which is ΔT degrees colder than the base of the ice, which is at −1.8°C. Integrating between the surface and the base of the ice, we solve for the flux F, as a function of x. We then relate dx/dt to x, and then integrate to find x as a function of (ΔT) t. This product is related to the commonly used quantity known as freezing degree days, or FDDs. Each day spent below freezing, the FDDs are augmented by the number of degrees </w:t>
      </w:r>
      <w:proofErr w:type="spellStart"/>
      <w:r w:rsidRPr="006F2C07">
        <w:rPr>
          <w:rFonts w:eastAsia="Calibri"/>
          <w:sz w:val="10"/>
          <w:szCs w:val="10"/>
        </w:rPr>
        <w:t>celsius</w:t>
      </w:r>
      <w:proofErr w:type="spellEnd"/>
      <w:r w:rsidRPr="006F2C07">
        <w:rPr>
          <w:rFonts w:eastAsia="Calibri"/>
          <w:sz w:val="10"/>
          <w:szCs w:val="10"/>
        </w:rPr>
        <w:t xml:space="preserve"> the surface is below </w:t>
      </w:r>
      <w:proofErr w:type="gramStart"/>
      <w:r w:rsidRPr="006F2C07">
        <w:rPr>
          <w:rFonts w:eastAsia="Calibri"/>
          <w:sz w:val="10"/>
          <w:szCs w:val="10"/>
        </w:rPr>
        <w:t>freezing:</w:t>
      </w:r>
      <w:proofErr w:type="gramEnd"/>
      <w:r w:rsidRPr="006F2C07">
        <w:rPr>
          <w:rFonts w:eastAsia="Calibri"/>
          <w:sz w:val="10"/>
          <w:szCs w:val="10"/>
        </w:rPr>
        <w:t xml:space="preserve"> where </w:t>
      </w:r>
      <w:proofErr w:type="spellStart"/>
      <w:r w:rsidRPr="006F2C07">
        <w:rPr>
          <w:rFonts w:eastAsia="Calibri"/>
          <w:sz w:val="10"/>
          <w:szCs w:val="10"/>
        </w:rPr>
        <w:t>Tfrz</w:t>
      </w:r>
      <w:proofErr w:type="spellEnd"/>
      <w:r w:rsidRPr="006F2C07">
        <w:rPr>
          <w:rFonts w:eastAsia="Calibri"/>
          <w:sz w:val="10"/>
          <w:szCs w:val="10"/>
        </w:rPr>
        <w:t xml:space="preserve"> = −1.8°C, and t is measured in days. In our derivation, there is one unknown quantity, the product of the snow's thermal conductivity and its thickness, which we parameterize by c = (ki d)</w:t>
      </w:r>
      <w:proofErr w:type="gramStart"/>
      <w:r w:rsidRPr="006F2C07">
        <w:rPr>
          <w:rFonts w:eastAsia="Calibri"/>
          <w:sz w:val="10"/>
          <w:szCs w:val="10"/>
        </w:rPr>
        <w:t>/(</w:t>
      </w:r>
      <w:proofErr w:type="spellStart"/>
      <w:proofErr w:type="gramEnd"/>
      <w:r w:rsidRPr="006F2C07">
        <w:rPr>
          <w:rFonts w:eastAsia="Calibri"/>
          <w:sz w:val="10"/>
          <w:szCs w:val="10"/>
        </w:rPr>
        <w:t>ks</w:t>
      </w:r>
      <w:proofErr w:type="spellEnd"/>
      <w:r w:rsidRPr="006F2C07">
        <w:rPr>
          <w:rFonts w:eastAsia="Calibri"/>
          <w:sz w:val="10"/>
          <w:szCs w:val="10"/>
        </w:rPr>
        <w:t xml:space="preserve"> x0). We set this to c = 0.68, equivalent to a snow thermal conductivity </w:t>
      </w:r>
      <w:proofErr w:type="spellStart"/>
      <w:r w:rsidRPr="006F2C07">
        <w:rPr>
          <w:rFonts w:eastAsia="Calibri"/>
          <w:sz w:val="10"/>
          <w:szCs w:val="10"/>
        </w:rPr>
        <w:t>ks</w:t>
      </w:r>
      <w:proofErr w:type="spellEnd"/>
      <w:r w:rsidRPr="006F2C07">
        <w:rPr>
          <w:rFonts w:eastAsia="Calibri"/>
          <w:sz w:val="10"/>
          <w:szCs w:val="10"/>
        </w:rPr>
        <w:t xml:space="preserve"> = 0.045 W m−1 K−1 [Pomeroy and Brun, 2001] and (time-averaged) thickness d = 8 mm. We choose this value to match our derived x(t) to an empirical formula found by Maykut [1986]:</w:t>
      </w:r>
    </w:p>
    <w:p w14:paraId="1F2FD9C7" w14:textId="77777777" w:rsidR="006F2C07" w:rsidRPr="006F2C07" w:rsidRDefault="006F2C07" w:rsidP="006F2C07">
      <w:pPr>
        <w:spacing w:line="256" w:lineRule="auto"/>
        <w:rPr>
          <w:rFonts w:eastAsia="Calibri"/>
          <w:sz w:val="10"/>
          <w:szCs w:val="10"/>
        </w:rPr>
      </w:pPr>
      <w:r w:rsidRPr="006F2C07">
        <w:rPr>
          <w:rFonts w:eastAsia="Calibri"/>
          <w:sz w:val="10"/>
          <w:szCs w:val="10"/>
        </w:rPr>
        <w:t xml:space="preserve">In Appendix A we solve the above formulas. The results are displayed in Figure 4. For the optimal value of c = 0.68, deriving the following formula (for x &gt; x0): Winter Arctic ice thickness as a function of FDD (see text for definition). The black curve is the empirical fit from Maykut [1986]. The other curves are results from our first-principles model using three different assumptions about snow cover (parameterized by c; see text). The orange curve (c = 0.68) is our best fit to the empirical data and corresponds to a thin (time average </w:t>
      </w:r>
      <w:r w:rsidRPr="006F2C07">
        <w:rPr>
          <w:rFonts w:ascii="Cambria Math" w:eastAsia="Calibri" w:hAnsi="Cambria Math" w:cs="Cambria Math"/>
          <w:sz w:val="10"/>
          <w:szCs w:val="10"/>
        </w:rPr>
        <w:t>∼</w:t>
      </w:r>
      <w:r w:rsidRPr="006F2C07">
        <w:rPr>
          <w:rFonts w:eastAsia="Calibri"/>
          <w:sz w:val="10"/>
          <w:szCs w:val="10"/>
        </w:rPr>
        <w:t>8 mm) layer of snow on the ice. For 100 &lt; FDD &lt; 5000 (a typical value at the end of the Arctic winter), our formula predicts the thickness of ice in the Arctic to within 10%. Both formulas predict that at the end of Arctic winter, if FDD = 5000, about 1.92 m of ice should grow.</w:t>
      </w:r>
    </w:p>
    <w:p w14:paraId="09C26F74" w14:textId="77777777" w:rsidR="006F2C07" w:rsidRPr="006F2C07" w:rsidRDefault="006F2C07" w:rsidP="006F2C07">
      <w:pPr>
        <w:spacing w:line="256" w:lineRule="auto"/>
        <w:rPr>
          <w:rFonts w:eastAsia="Calibri"/>
          <w:sz w:val="16"/>
        </w:rPr>
      </w:pPr>
      <w:r w:rsidRPr="006F2C07">
        <w:rPr>
          <w:rFonts w:eastAsia="Calibri"/>
          <w:sz w:val="16"/>
        </w:rPr>
        <w:t xml:space="preserve">2.2 Thickening Arctic Ice </w:t>
      </w:r>
      <w:proofErr w:type="gramStart"/>
      <w:r w:rsidRPr="006F2C07">
        <w:rPr>
          <w:rFonts w:eastAsia="Calibri"/>
          <w:sz w:val="16"/>
        </w:rPr>
        <w:t>With</w:t>
      </w:r>
      <w:proofErr w:type="gramEnd"/>
      <w:r w:rsidRPr="006F2C07">
        <w:rPr>
          <w:rFonts w:eastAsia="Calibri"/>
          <w:sz w:val="16"/>
        </w:rPr>
        <w:t xml:space="preserve"> Pumping</w:t>
      </w:r>
    </w:p>
    <w:p w14:paraId="033A658C" w14:textId="77777777" w:rsidR="006F2C07" w:rsidRPr="006F2C07" w:rsidRDefault="006F2C07" w:rsidP="006F2C07">
      <w:pPr>
        <w:spacing w:line="256" w:lineRule="auto"/>
        <w:rPr>
          <w:rFonts w:eastAsia="Calibri"/>
          <w:sz w:val="16"/>
        </w:rPr>
      </w:pPr>
      <w:r w:rsidRPr="006F2C07">
        <w:rPr>
          <w:rFonts w:eastAsia="Calibri"/>
          <w:u w:val="single"/>
        </w:rPr>
        <w:t>Water pumped directly to the surface can freeze more rapidly, because the latent heat of fusion can immediately be lost to the atmosphere or space</w:t>
      </w:r>
      <w:r w:rsidRPr="006F2C07">
        <w:rPr>
          <w:rFonts w:eastAsia="Calibri"/>
          <w:sz w:val="16"/>
        </w:rPr>
        <w:t xml:space="preserve">. </w:t>
      </w:r>
      <w:r w:rsidRPr="006F2C07">
        <w:rPr>
          <w:rFonts w:eastAsia="Calibri"/>
          <w:u w:val="single"/>
        </w:rPr>
        <w:t>Pumping 1 m of water to the surface will result in the ice being thicker by a substantial fraction of 1 m,</w:t>
      </w:r>
      <w:r w:rsidRPr="006F2C07">
        <w:rPr>
          <w:rFonts w:eastAsia="Calibri"/>
          <w:sz w:val="16"/>
        </w:rPr>
        <w:t xml:space="preserve"> although two effects prevent the ice from thickening by exactly the amount that is pumped. First, the latent heat released at the surface potentially could raise the surface temperature, effectively reducing the number of FDDs experienced by the ice sheet. Second, as the ice sheet thickens from above, it makes it more difficult for the heat released by ice freezing at the ice–ocean interface to reach the surface.</w:t>
      </w:r>
    </w:p>
    <w:p w14:paraId="72566C5F" w14:textId="77777777" w:rsidR="006F2C07" w:rsidRPr="006F2C07" w:rsidRDefault="006F2C07" w:rsidP="006F2C07">
      <w:pPr>
        <w:spacing w:line="256" w:lineRule="auto"/>
        <w:rPr>
          <w:rFonts w:eastAsia="Calibri"/>
          <w:sz w:val="14"/>
          <w:szCs w:val="14"/>
        </w:rPr>
      </w:pPr>
      <w:r w:rsidRPr="006F2C07">
        <w:rPr>
          <w:rFonts w:eastAsia="Calibri"/>
          <w:sz w:val="14"/>
          <w:szCs w:val="14"/>
        </w:rPr>
        <w:t xml:space="preserve">We first consider the effect of the release of heat </w:t>
      </w:r>
      <w:proofErr w:type="gramStart"/>
      <w:r w:rsidRPr="006F2C07">
        <w:rPr>
          <w:rFonts w:eastAsia="Calibri"/>
          <w:sz w:val="14"/>
          <w:szCs w:val="14"/>
        </w:rPr>
        <w:t>at</w:t>
      </w:r>
      <w:proofErr w:type="gramEnd"/>
      <w:r w:rsidRPr="006F2C07">
        <w:rPr>
          <w:rFonts w:eastAsia="Calibri"/>
          <w:sz w:val="14"/>
          <w:szCs w:val="14"/>
        </w:rPr>
        <w:t xml:space="preserve"> the surface, which could raise the surface temperature. In the calculation above, we assumed that the surface temperature equaled the temperature of the air. We could instead have calculated the surface temperature directly: the ice surface will attain a temperature balancing heating by release of latent heat of fusion (at the base of the ice layer, due to normal freezing, as well as the top of the ice layer, due to freezing of pumped water) against the cooling due to radiation and contact with the air: where T is the surface temperature, ϵ is the fraction of the outgoing long radiation that is transmitted through the Arctic clouds (we assume ϵ = 0.18), h = 30 W m−2 K−1 is a typical heat transfer coefficient (see below), </w:t>
      </w:r>
      <w:proofErr w:type="spellStart"/>
      <w:r w:rsidRPr="006F2C07">
        <w:rPr>
          <w:rFonts w:eastAsia="Calibri"/>
          <w:sz w:val="14"/>
          <w:szCs w:val="14"/>
        </w:rPr>
        <w:t>Tfrz</w:t>
      </w:r>
      <w:proofErr w:type="spellEnd"/>
      <w:r w:rsidRPr="006F2C07">
        <w:rPr>
          <w:rFonts w:eastAsia="Calibri"/>
          <w:sz w:val="14"/>
          <w:szCs w:val="14"/>
        </w:rPr>
        <w:t xml:space="preserve"> = −1.8°C, and k is the average thermal conductivity through the ice (see Appendix A). The rate at which ice would be added to the surface by pumping is (dx/</w:t>
      </w:r>
      <w:proofErr w:type="gramStart"/>
      <w:r w:rsidRPr="006F2C07">
        <w:rPr>
          <w:rFonts w:eastAsia="Calibri"/>
          <w:sz w:val="14"/>
          <w:szCs w:val="14"/>
        </w:rPr>
        <w:t>dt)pump</w:t>
      </w:r>
      <w:proofErr w:type="gramEnd"/>
      <w:r w:rsidRPr="006F2C07">
        <w:rPr>
          <w:rFonts w:eastAsia="Calibri"/>
          <w:sz w:val="14"/>
          <w:szCs w:val="14"/>
        </w:rPr>
        <w:t>. For the case (dx/</w:t>
      </w:r>
      <w:proofErr w:type="gramStart"/>
      <w:r w:rsidRPr="006F2C07">
        <w:rPr>
          <w:rFonts w:eastAsia="Calibri"/>
          <w:sz w:val="14"/>
          <w:szCs w:val="14"/>
        </w:rPr>
        <w:t>dt)pump</w:t>
      </w:r>
      <w:proofErr w:type="gramEnd"/>
      <w:r w:rsidRPr="006F2C07">
        <w:rPr>
          <w:rFonts w:eastAsia="Calibri"/>
          <w:sz w:val="14"/>
          <w:szCs w:val="14"/>
        </w:rPr>
        <w:t xml:space="preserve"> = 0, we would derive a surface temperature that is 0.7°C warmer than the air temperature. Under typical conditions, roughly half the heat released from freezing water is lost by radiation, and half by contact with cold air. If we repeat the calculation assuming enough water is pumped to produce 3 m of ice over the Arctic winter, we </w:t>
      </w:r>
      <w:proofErr w:type="gramStart"/>
      <w:r w:rsidRPr="006F2C07">
        <w:rPr>
          <w:rFonts w:eastAsia="Calibri"/>
          <w:sz w:val="14"/>
          <w:szCs w:val="14"/>
        </w:rPr>
        <w:t>would</w:t>
      </w:r>
      <w:proofErr w:type="gramEnd"/>
      <w:r w:rsidRPr="006F2C07">
        <w:rPr>
          <w:rFonts w:eastAsia="Calibri"/>
          <w:sz w:val="14"/>
          <w:szCs w:val="14"/>
        </w:rPr>
        <w:t xml:space="preserve"> find under typical conditions that the surface temperature exceeds the air temperature by 2.1°C. Direct losses by radiation are little changed, but the loss of heat to the air is tripled. Ultimately, though the change in surface temperature is slight.</w:t>
      </w:r>
    </w:p>
    <w:p w14:paraId="78886169" w14:textId="77777777" w:rsidR="006F2C07" w:rsidRPr="006F2C07" w:rsidRDefault="006F2C07" w:rsidP="006F2C07">
      <w:pPr>
        <w:spacing w:line="256" w:lineRule="auto"/>
        <w:rPr>
          <w:rFonts w:eastAsia="Calibri"/>
          <w:sz w:val="16"/>
        </w:rPr>
      </w:pPr>
      <w:r w:rsidRPr="006F2C07">
        <w:rPr>
          <w:rFonts w:eastAsia="Calibri"/>
          <w:u w:val="single"/>
        </w:rPr>
        <w:t>An additional consideration is the blanketing effect of the extra ice, which impedes the loss of heat released as seawater freezes on the underside of the ice.</w:t>
      </w:r>
      <w:r w:rsidRPr="006F2C07">
        <w:rPr>
          <w:rFonts w:eastAsia="Calibri"/>
          <w:sz w:val="16"/>
        </w:rPr>
        <w:t xml:space="preserve"> The formula relating heat flux F to the temperature difference ΔT and the ice thickness x remains the same as before (Appendix A), but the equation for the ice thickness is altered to account for the water pumped to the surface:</w:t>
      </w:r>
    </w:p>
    <w:p w14:paraId="230DF574" w14:textId="77777777" w:rsidR="006F2C07" w:rsidRPr="006F2C07" w:rsidRDefault="006F2C07" w:rsidP="006F2C07">
      <w:pPr>
        <w:spacing w:line="256" w:lineRule="auto"/>
        <w:rPr>
          <w:rFonts w:eastAsia="Calibri"/>
          <w:sz w:val="16"/>
        </w:rPr>
      </w:pPr>
      <w:r w:rsidRPr="006F2C07">
        <w:rPr>
          <w:rFonts w:eastAsia="Calibri"/>
          <w:sz w:val="16"/>
        </w:rPr>
        <w:t>where again (dx/</w:t>
      </w:r>
      <w:proofErr w:type="gramStart"/>
      <w:r w:rsidRPr="006F2C07">
        <w:rPr>
          <w:rFonts w:eastAsia="Calibri"/>
          <w:sz w:val="16"/>
        </w:rPr>
        <w:t>dt)pump</w:t>
      </w:r>
      <w:proofErr w:type="gramEnd"/>
      <w:r w:rsidRPr="006F2C07">
        <w:rPr>
          <w:rFonts w:eastAsia="Calibri"/>
          <w:sz w:val="16"/>
        </w:rPr>
        <w:t xml:space="preserve"> is the rate at which ice is added to the top of the ice sheet by pumping. The solution must be found numerically. We do so by balancing the heating and cooling terms at the surface to </w:t>
      </w:r>
      <w:proofErr w:type="gramStart"/>
      <w:r w:rsidRPr="006F2C07">
        <w:rPr>
          <w:rFonts w:eastAsia="Calibri"/>
          <w:sz w:val="16"/>
        </w:rPr>
        <w:t>solve for</w:t>
      </w:r>
      <w:proofErr w:type="gramEnd"/>
      <w:r w:rsidRPr="006F2C07">
        <w:rPr>
          <w:rFonts w:eastAsia="Calibri"/>
          <w:sz w:val="16"/>
        </w:rPr>
        <w:t xml:space="preserve"> the surface temperature, </w:t>
      </w:r>
      <w:proofErr w:type="spellStart"/>
      <w:r w:rsidRPr="006F2C07">
        <w:rPr>
          <w:rFonts w:eastAsia="Calibri"/>
          <w:sz w:val="16"/>
        </w:rPr>
        <w:t>Tsurf</w:t>
      </w:r>
      <w:proofErr w:type="spellEnd"/>
      <w:r w:rsidRPr="006F2C07">
        <w:rPr>
          <w:rFonts w:eastAsia="Calibri"/>
          <w:sz w:val="16"/>
        </w:rPr>
        <w:t xml:space="preserve">. Once </w:t>
      </w:r>
      <w:proofErr w:type="spellStart"/>
      <w:r w:rsidRPr="006F2C07">
        <w:rPr>
          <w:rFonts w:eastAsia="Calibri"/>
          <w:sz w:val="16"/>
        </w:rPr>
        <w:t>Tsurf</w:t>
      </w:r>
      <w:proofErr w:type="spellEnd"/>
      <w:r w:rsidRPr="006F2C07">
        <w:rPr>
          <w:rFonts w:eastAsia="Calibri"/>
          <w:sz w:val="16"/>
        </w:rPr>
        <w:t xml:space="preserve"> is found, the flux F through the ice and the rate of increase of the ice thickness, dx/dt, are readily found and integrated.</w:t>
      </w:r>
    </w:p>
    <w:p w14:paraId="698E23CD" w14:textId="77777777" w:rsidR="006F2C07" w:rsidRPr="006F2C07" w:rsidRDefault="006F2C07" w:rsidP="006F2C07">
      <w:pPr>
        <w:spacing w:line="256" w:lineRule="auto"/>
        <w:rPr>
          <w:rFonts w:eastAsia="Calibri"/>
          <w:u w:val="single"/>
        </w:rPr>
      </w:pPr>
      <w:r w:rsidRPr="006F2C07">
        <w:rPr>
          <w:rFonts w:eastAsia="Calibri"/>
          <w:u w:val="single"/>
        </w:rPr>
        <w:t xml:space="preserve">If pumping moves enough water to the surface to add a thickness </w:t>
      </w:r>
      <w:proofErr w:type="spellStart"/>
      <w:r w:rsidRPr="006F2C07">
        <w:rPr>
          <w:rFonts w:eastAsia="Calibri"/>
          <w:sz w:val="16"/>
        </w:rPr>
        <w:t>Δx</w:t>
      </w:r>
      <w:proofErr w:type="spellEnd"/>
      <w:r w:rsidRPr="006F2C07">
        <w:rPr>
          <w:rFonts w:eastAsia="Calibri"/>
          <w:sz w:val="16"/>
        </w:rPr>
        <w:t xml:space="preserve"> = (dx/</w:t>
      </w:r>
      <w:proofErr w:type="gramStart"/>
      <w:r w:rsidRPr="006F2C07">
        <w:rPr>
          <w:rFonts w:eastAsia="Calibri"/>
          <w:sz w:val="16"/>
        </w:rPr>
        <w:t>dt)pump</w:t>
      </w:r>
      <w:proofErr w:type="gramEnd"/>
      <w:r w:rsidRPr="006F2C07">
        <w:rPr>
          <w:rFonts w:eastAsia="Calibri"/>
          <w:sz w:val="16"/>
        </w:rPr>
        <w:t xml:space="preserve"> (6 </w:t>
      </w:r>
      <w:proofErr w:type="spellStart"/>
      <w:r w:rsidRPr="006F2C07">
        <w:rPr>
          <w:rFonts w:eastAsia="Calibri"/>
          <w:sz w:val="16"/>
        </w:rPr>
        <w:t>mos</w:t>
      </w:r>
      <w:proofErr w:type="spellEnd"/>
      <w:r w:rsidRPr="006F2C07">
        <w:rPr>
          <w:rFonts w:eastAsia="Calibri"/>
          <w:sz w:val="16"/>
        </w:rPr>
        <w:t>)</w:t>
      </w:r>
      <w:r w:rsidRPr="006F2C07">
        <w:rPr>
          <w:rFonts w:eastAsia="Calibri"/>
          <w:u w:val="single"/>
        </w:rPr>
        <w:t xml:space="preserve"> to the ice over the Arctic winter, we find as a general result that energetics of the system limit the increase in the ice thickness above</w:t>
      </w:r>
      <w:r w:rsidRPr="006F2C07">
        <w:rPr>
          <w:rFonts w:eastAsia="Calibri"/>
          <w:sz w:val="16"/>
        </w:rPr>
        <w:t xml:space="preserve"> the no-pumping case to about 0.7 </w:t>
      </w:r>
      <w:proofErr w:type="spellStart"/>
      <w:r w:rsidRPr="006F2C07">
        <w:rPr>
          <w:rFonts w:eastAsia="Calibri"/>
          <w:sz w:val="16"/>
        </w:rPr>
        <w:t>Δx</w:t>
      </w:r>
      <w:proofErr w:type="spellEnd"/>
      <w:r w:rsidRPr="006F2C07">
        <w:rPr>
          <w:rFonts w:eastAsia="Calibri"/>
          <w:sz w:val="16"/>
        </w:rPr>
        <w:t xml:space="preserve">. For example, without pumping, the ice grows to thickness of 1.92 m after 5000 FDDs. If pumping moves enough water to add thickness </w:t>
      </w:r>
      <w:proofErr w:type="spellStart"/>
      <w:r w:rsidRPr="006F2C07">
        <w:rPr>
          <w:rFonts w:eastAsia="Calibri"/>
          <w:sz w:val="16"/>
        </w:rPr>
        <w:t>Δx</w:t>
      </w:r>
      <w:proofErr w:type="spellEnd"/>
      <w:r w:rsidRPr="006F2C07">
        <w:rPr>
          <w:rFonts w:eastAsia="Calibri"/>
          <w:sz w:val="16"/>
        </w:rPr>
        <w:t xml:space="preserve"> = 1 m, we find the ice thickness at the end of the winter is 2.61 m, an increase of 0.69 m. For </w:t>
      </w:r>
      <w:proofErr w:type="spellStart"/>
      <w:r w:rsidRPr="006F2C07">
        <w:rPr>
          <w:rFonts w:eastAsia="Calibri"/>
          <w:sz w:val="16"/>
        </w:rPr>
        <w:t>Δx</w:t>
      </w:r>
      <w:proofErr w:type="spellEnd"/>
      <w:r w:rsidRPr="006F2C07">
        <w:rPr>
          <w:rFonts w:eastAsia="Calibri"/>
          <w:sz w:val="16"/>
        </w:rPr>
        <w:t xml:space="preserve"> = 2 m, the thickness at the end of winter is 3.36 m, an increase of 1.44 m; and for </w:t>
      </w:r>
      <w:proofErr w:type="spellStart"/>
      <w:r w:rsidRPr="006F2C07">
        <w:rPr>
          <w:rFonts w:eastAsia="Calibri"/>
          <w:sz w:val="16"/>
        </w:rPr>
        <w:t>Δx</w:t>
      </w:r>
      <w:proofErr w:type="spellEnd"/>
      <w:r w:rsidRPr="006F2C07">
        <w:rPr>
          <w:rFonts w:eastAsia="Calibri"/>
          <w:sz w:val="16"/>
        </w:rPr>
        <w:t xml:space="preserve"> = 3 m, the final ice thickness is 4.16 m, an increase of 2.24 m. </w:t>
      </w:r>
      <w:r w:rsidRPr="006F2C07">
        <w:rPr>
          <w:rFonts w:eastAsia="Calibri"/>
          <w:u w:val="single"/>
        </w:rPr>
        <w:t xml:space="preserve">The relation that the ice thickness increases by ≈0.7 m </w:t>
      </w:r>
      <w:proofErr w:type="spellStart"/>
      <w:r w:rsidRPr="006F2C07">
        <w:rPr>
          <w:rFonts w:eastAsia="Calibri"/>
          <w:sz w:val="16"/>
        </w:rPr>
        <w:t>Δx</w:t>
      </w:r>
      <w:proofErr w:type="spellEnd"/>
      <w:r w:rsidRPr="006F2C07">
        <w:rPr>
          <w:rFonts w:eastAsia="Calibri"/>
          <w:sz w:val="16"/>
        </w:rPr>
        <w:t xml:space="preserve"> holds roughly (±10%) across the range of relevant FDDs seen by the Arctic. </w:t>
      </w:r>
      <w:r w:rsidRPr="006F2C07">
        <w:rPr>
          <w:rFonts w:eastAsia="Calibri"/>
          <w:u w:val="single"/>
        </w:rPr>
        <w:t xml:space="preserve">Pumping has the effect of increasing the surface temperature (due to latent heat released as water freezes on the surface), resulting in an increase in heat losses to the air. On the other hand, as the ice is thicker, the flux of heat from water freezing at the bottom of the ice is lower. The two effects combine to add about 0.7 </w:t>
      </w:r>
      <w:proofErr w:type="spellStart"/>
      <w:r w:rsidRPr="006F2C07">
        <w:rPr>
          <w:rFonts w:eastAsia="Calibri"/>
          <w:u w:val="single"/>
        </w:rPr>
        <w:t>Δx</w:t>
      </w:r>
      <w:proofErr w:type="spellEnd"/>
      <w:r w:rsidRPr="006F2C07">
        <w:rPr>
          <w:rFonts w:eastAsia="Calibri"/>
          <w:u w:val="single"/>
        </w:rPr>
        <w:t xml:space="preserve"> to the ice thickness.</w:t>
      </w:r>
    </w:p>
    <w:p w14:paraId="0D006650" w14:textId="77777777" w:rsidR="006F2C07" w:rsidRPr="006F2C07" w:rsidRDefault="006F2C07" w:rsidP="006F2C07">
      <w:pPr>
        <w:spacing w:line="256" w:lineRule="auto"/>
        <w:rPr>
          <w:rFonts w:eastAsia="Calibri"/>
        </w:rPr>
      </w:pPr>
      <w:r w:rsidRPr="006F2C07">
        <w:rPr>
          <w:rFonts w:eastAsia="Calibri"/>
          <w:sz w:val="16"/>
        </w:rPr>
        <w:t>In summary</w:t>
      </w:r>
      <w:r w:rsidRPr="006F2C07">
        <w:rPr>
          <w:rFonts w:eastAsia="Calibri"/>
          <w:u w:val="single"/>
        </w:rPr>
        <w:t>, pumping water to the surface is a viable means of adding to the thickness of the ice over the Arctic winter</w:t>
      </w:r>
      <w:r w:rsidRPr="006F2C07">
        <w:rPr>
          <w:rFonts w:eastAsia="Calibri"/>
          <w:sz w:val="16"/>
        </w:rPr>
        <w:t>. For a typical Arctic location that would experience 5000 FDDs, the ice would normally freeze to a thickness of about 2 m over the winter. Pumping at a rate (dx/</w:t>
      </w:r>
      <w:proofErr w:type="gramStart"/>
      <w:r w:rsidRPr="006F2C07">
        <w:rPr>
          <w:rFonts w:eastAsia="Calibri"/>
          <w:sz w:val="16"/>
        </w:rPr>
        <w:t>dt)pump</w:t>
      </w:r>
      <w:proofErr w:type="gramEnd"/>
      <w:r w:rsidRPr="006F2C07">
        <w:rPr>
          <w:rFonts w:eastAsia="Calibri"/>
          <w:sz w:val="16"/>
        </w:rPr>
        <w:t xml:space="preserve"> over the Arctic winter, raising enough water to add to the ice thickness by </w:t>
      </w:r>
      <w:proofErr w:type="spellStart"/>
      <w:r w:rsidRPr="006F2C07">
        <w:rPr>
          <w:rFonts w:eastAsia="Calibri"/>
          <w:sz w:val="16"/>
        </w:rPr>
        <w:t>Δx</w:t>
      </w:r>
      <w:proofErr w:type="spellEnd"/>
      <w:r w:rsidRPr="006F2C07">
        <w:rPr>
          <w:rFonts w:eastAsia="Calibri"/>
          <w:sz w:val="16"/>
        </w:rPr>
        <w:t xml:space="preserve">, will increase the thickness of the ice above the natural increase; however, the latent heat released at the surface will limit the increase to about 0.7 </w:t>
      </w:r>
      <w:proofErr w:type="spellStart"/>
      <w:r w:rsidRPr="006F2C07">
        <w:rPr>
          <w:rFonts w:eastAsia="Calibri"/>
          <w:sz w:val="16"/>
        </w:rPr>
        <w:t>Δx</w:t>
      </w:r>
      <w:proofErr w:type="spellEnd"/>
      <w:r w:rsidRPr="006F2C07">
        <w:rPr>
          <w:rFonts w:eastAsia="Calibri"/>
          <w:sz w:val="16"/>
        </w:rPr>
        <w:t xml:space="preserve">. Nevertheless, this is a significant amount. In our discussion of wind-powered pumps we adopt </w:t>
      </w:r>
      <w:proofErr w:type="spellStart"/>
      <w:r w:rsidRPr="006F2C07">
        <w:rPr>
          <w:rFonts w:eastAsia="Calibri"/>
          <w:sz w:val="16"/>
        </w:rPr>
        <w:t>Δx</w:t>
      </w:r>
      <w:proofErr w:type="spellEnd"/>
      <w:r w:rsidRPr="006F2C07">
        <w:rPr>
          <w:rFonts w:eastAsia="Calibri"/>
          <w:sz w:val="16"/>
        </w:rPr>
        <w:t xml:space="preserve"> ≈ 1.4 m as a baseline (requiring pumping of 1.3 m of water), which implies that </w:t>
      </w:r>
      <w:r w:rsidRPr="006F2C07">
        <w:rPr>
          <w:rFonts w:eastAsia="Calibri"/>
          <w:u w:val="single"/>
        </w:rPr>
        <w:t>wind-powered pumping can increase the thickness of the ice by about 1.0 m beyond what it would normally attain</w:t>
      </w:r>
      <w:r w:rsidRPr="006F2C07">
        <w:rPr>
          <w:rFonts w:eastAsia="Calibri"/>
        </w:rPr>
        <w:t>.</w:t>
      </w:r>
    </w:p>
    <w:p w14:paraId="6361C1AF" w14:textId="77777777" w:rsidR="006F2C07" w:rsidRPr="006F2C07" w:rsidRDefault="006F2C07" w:rsidP="006F2C07">
      <w:pPr>
        <w:spacing w:line="256" w:lineRule="auto"/>
        <w:rPr>
          <w:rFonts w:eastAsia="Calibri"/>
          <w:sz w:val="10"/>
          <w:szCs w:val="10"/>
        </w:rPr>
      </w:pPr>
      <w:r w:rsidRPr="006F2C07">
        <w:rPr>
          <w:rFonts w:eastAsia="Calibri"/>
          <w:sz w:val="10"/>
          <w:szCs w:val="10"/>
        </w:rPr>
        <w:t xml:space="preserve">2.3 Melting of Ice in the Arctic </w:t>
      </w:r>
      <w:proofErr w:type="spellStart"/>
      <w:r w:rsidRPr="006F2C07">
        <w:rPr>
          <w:rFonts w:eastAsia="Calibri"/>
          <w:sz w:val="10"/>
          <w:szCs w:val="10"/>
        </w:rPr>
        <w:t>SummerWith</w:t>
      </w:r>
      <w:proofErr w:type="spellEnd"/>
      <w:r w:rsidRPr="006F2C07">
        <w:rPr>
          <w:rFonts w:eastAsia="Calibri"/>
          <w:sz w:val="10"/>
          <w:szCs w:val="10"/>
        </w:rPr>
        <w:t xml:space="preserve"> the right equipment, it is possible to produce extra ice in the Arctic winter, but the presence of this ice will help the ice-albedo feedback only if it persists through the summer months, so that the ice can reflect sunlight. We anticipate that production of ice will be more cost-effective in certain regions than in others: extra ice produced too far south will melt too quickly in the summer to make a difference, while in other regions ice may naturally survive the Arctic summer anyway. We must therefore calculate the rate at which the ice sheet melts as a function of its location during the Arctic summer, to quantify the effect of adding ice during the winter months and to determine where such an action will have the greatest effect. Here we present a first-principles model for the decrease in ice thickness due to summer ice melting, benchmarking it against ice thickness and meteorological data. To calculate the summer melting of ice, we construct a model including heating of the ice by insolation and contact with warm air. After every time interval </w:t>
      </w:r>
      <w:proofErr w:type="spellStart"/>
      <w:r w:rsidRPr="006F2C07">
        <w:rPr>
          <w:rFonts w:eastAsia="Calibri"/>
          <w:sz w:val="10"/>
          <w:szCs w:val="10"/>
        </w:rPr>
        <w:t>Δt</w:t>
      </w:r>
      <w:proofErr w:type="spellEnd"/>
      <w:r w:rsidRPr="006F2C07">
        <w:rPr>
          <w:rFonts w:eastAsia="Calibri"/>
          <w:sz w:val="10"/>
          <w:szCs w:val="10"/>
        </w:rPr>
        <w:t xml:space="preserve">, the thickness of the ice decreases by an amount </w:t>
      </w:r>
      <w:proofErr w:type="spellStart"/>
      <w:r w:rsidRPr="006F2C07">
        <w:rPr>
          <w:rFonts w:eastAsia="Calibri"/>
          <w:sz w:val="10"/>
          <w:szCs w:val="10"/>
        </w:rPr>
        <w:t>Δx</w:t>
      </w:r>
      <w:proofErr w:type="spellEnd"/>
      <w:r w:rsidRPr="006F2C07">
        <w:rPr>
          <w:rFonts w:eastAsia="Calibri"/>
          <w:sz w:val="10"/>
          <w:szCs w:val="10"/>
        </w:rPr>
        <w:t xml:space="preserve">, where S is the insolation, </w:t>
      </w:r>
      <w:proofErr w:type="gramStart"/>
      <w:r w:rsidRPr="006F2C07">
        <w:rPr>
          <w:rFonts w:eastAsia="Calibri"/>
          <w:sz w:val="10"/>
          <w:szCs w:val="10"/>
        </w:rPr>
        <w:t>a the</w:t>
      </w:r>
      <w:proofErr w:type="gramEnd"/>
      <w:r w:rsidRPr="006F2C07">
        <w:rPr>
          <w:rFonts w:eastAsia="Calibri"/>
          <w:sz w:val="10"/>
          <w:szCs w:val="10"/>
        </w:rPr>
        <w:t xml:space="preserve"> albedo, f the cloud cover, and h is a heat transfer coefficient. As before, </w:t>
      </w:r>
      <w:proofErr w:type="spellStart"/>
      <w:r w:rsidRPr="006F2C07">
        <w:rPr>
          <w:rFonts w:eastAsia="Calibri"/>
          <w:sz w:val="10"/>
          <w:szCs w:val="10"/>
        </w:rPr>
        <w:t>ρi</w:t>
      </w:r>
      <w:proofErr w:type="spellEnd"/>
      <w:r w:rsidRPr="006F2C07">
        <w:rPr>
          <w:rFonts w:eastAsia="Calibri"/>
          <w:sz w:val="10"/>
          <w:szCs w:val="10"/>
        </w:rPr>
        <w:t xml:space="preserve"> = 917 kg m−3 is the ice density, and li =3.32 × 105 J kg−1 is the latent heat of fusion. We take where ϕ is the local latitude (75° at the average location of the buoy), the Sun's declination is δ = 23.44° sin (2π (t − t0)/365.25 d)), where t0 refers to the vernal equinox, and HA = 2π (t − 12 h)</w:t>
      </w:r>
      <w:proofErr w:type="gramStart"/>
      <w:r w:rsidRPr="006F2C07">
        <w:rPr>
          <w:rFonts w:eastAsia="Calibri"/>
          <w:sz w:val="10"/>
          <w:szCs w:val="10"/>
        </w:rPr>
        <w:t>/(</w:t>
      </w:r>
      <w:proofErr w:type="gramEnd"/>
      <w:r w:rsidRPr="006F2C07">
        <w:rPr>
          <w:rFonts w:eastAsia="Calibri"/>
          <w:sz w:val="10"/>
          <w:szCs w:val="10"/>
        </w:rPr>
        <w:t xml:space="preserve">24 h) is the hour angle (equal to zero at noon). If this formula returns a negative insolation, S = 0 is assumed. Both albedo and cloud cover can vary with location and time of year. Generally, the albedo is characteristic of ice or snow, a = 0.75, at the beginning of the summer, switching to a much lower albedo in the range 0.2–0.6 at the end of the summer, as melt pools like that depicted in Figure 5 develop [Agarwal et al., 2011]. The transition apparently occurs at this location after 15 TDDs (roughly 29 June), and we let the late-summer albedo be a free parameter in our model. As for the cloud fraction, the Cloud-Aerosol Lidar with Orthogonal Polarization sensor in the Afternoon Constellation of Earth-observing satellites indicates that </w:t>
      </w:r>
      <w:proofErr w:type="gramStart"/>
      <w:r w:rsidRPr="006F2C07">
        <w:rPr>
          <w:rFonts w:eastAsia="Calibri"/>
          <w:sz w:val="10"/>
          <w:szCs w:val="10"/>
        </w:rPr>
        <w:t>the a</w:t>
      </w:r>
      <w:proofErr w:type="gramEnd"/>
      <w:r w:rsidRPr="006F2C07">
        <w:rPr>
          <w:rFonts w:eastAsia="Calibri"/>
          <w:sz w:val="10"/>
          <w:szCs w:val="10"/>
        </w:rPr>
        <w:t xml:space="preserve"> typical cloud fraction for regions of the Arctic with over 90% ice coverage is f = 0.832 [Chan and Comiso, 2013].</w:t>
      </w:r>
    </w:p>
    <w:p w14:paraId="38504060" w14:textId="77777777" w:rsidR="006F2C07" w:rsidRPr="006F2C07" w:rsidRDefault="006F2C07" w:rsidP="006F2C07">
      <w:pPr>
        <w:spacing w:line="256" w:lineRule="auto"/>
        <w:rPr>
          <w:rFonts w:eastAsia="Calibri"/>
          <w:sz w:val="10"/>
          <w:szCs w:val="10"/>
        </w:rPr>
      </w:pPr>
      <w:r w:rsidRPr="006F2C07">
        <w:rPr>
          <w:rFonts w:eastAsia="Calibri"/>
          <w:sz w:val="10"/>
          <w:szCs w:val="10"/>
        </w:rPr>
        <w:t>Where V is the average wind speed, in m/s, valid for 2 m s−1 &lt; V &lt; 20 m s−1 [</w:t>
      </w:r>
      <w:proofErr w:type="spellStart"/>
      <w:r w:rsidRPr="006F2C07">
        <w:rPr>
          <w:rFonts w:eastAsia="Calibri"/>
          <w:sz w:val="10"/>
          <w:szCs w:val="10"/>
        </w:rPr>
        <w:t>Osczevski</w:t>
      </w:r>
      <w:proofErr w:type="spellEnd"/>
      <w:r w:rsidRPr="006F2C07">
        <w:rPr>
          <w:rFonts w:eastAsia="Calibri"/>
          <w:sz w:val="10"/>
          <w:szCs w:val="10"/>
        </w:rPr>
        <w:t>, 1995]. If T &lt; 273 K, this term is assumed to vanish. While wind speed data are lacking at the specific position of the buoy, the typical wind speed in the Arctic summer is 5 m s−1 [</w:t>
      </w:r>
      <w:proofErr w:type="spellStart"/>
      <w:r w:rsidRPr="006F2C07">
        <w:rPr>
          <w:rFonts w:eastAsia="Calibri"/>
          <w:sz w:val="10"/>
          <w:szCs w:val="10"/>
        </w:rPr>
        <w:t>Kalnay</w:t>
      </w:r>
      <w:proofErr w:type="spellEnd"/>
      <w:r w:rsidRPr="006F2C07">
        <w:rPr>
          <w:rFonts w:eastAsia="Calibri"/>
          <w:sz w:val="10"/>
          <w:szCs w:val="10"/>
        </w:rPr>
        <w:t xml:space="preserve"> et al., 1996]. For V = 5 m s−1, h = 27.1, and h varies from this value by only 10% over the range 3–8 m s−1. Temperature data from the buoy are available at 2-hour intervals. Because we wish to focus on regions where ice persistence is marginal, we benchmark against data from ice mass balance (IMB) buoy (ID code: 30106) deployed in April 2007 by the Sea-Ice Experiment – Dynamic Nature of the Arctic (SEDNA) campaign in the Beaufort Sea [Perovich et al., 2015], an Arctic location that experienced a dramatic loss of sea ice coverage at the end of summer 2007 despite being covered with ice in most previous summers. Because the IMB buoys are designed to function in thick, perennial ice sheets, data was only collected through 25 August 2007, data collection ceasing shortly after the part of the ice sheet that the IMB buoy was mounted to melted to less than 1.5-m thick. This </w:t>
      </w:r>
      <w:proofErr w:type="gramStart"/>
      <w:r w:rsidRPr="006F2C07">
        <w:rPr>
          <w:rFonts w:eastAsia="Calibri"/>
          <w:sz w:val="10"/>
          <w:szCs w:val="10"/>
        </w:rPr>
        <w:t>particular buoy</w:t>
      </w:r>
      <w:proofErr w:type="gramEnd"/>
      <w:r w:rsidRPr="006F2C07">
        <w:rPr>
          <w:rFonts w:eastAsia="Calibri"/>
          <w:sz w:val="10"/>
          <w:szCs w:val="10"/>
        </w:rPr>
        <w:t xml:space="preserve"> is also useful because of its limited coverage area. The buoy drifted only in an area spanning a longitudinal range of 73.1°N–77.4°N and a latitudinal range of 146.6°W–159°W, with coverage area of only 1.68 × 105 km2, smaller than the coverage area of other buoys.</w:t>
      </w:r>
    </w:p>
    <w:p w14:paraId="79C268A1" w14:textId="77777777" w:rsidR="006F2C07" w:rsidRPr="006F2C07" w:rsidRDefault="006F2C07" w:rsidP="006F2C07">
      <w:pPr>
        <w:spacing w:line="256" w:lineRule="auto"/>
        <w:rPr>
          <w:rFonts w:eastAsia="Calibri"/>
          <w:sz w:val="16"/>
        </w:rPr>
      </w:pPr>
      <w:r w:rsidRPr="006F2C07">
        <w:rPr>
          <w:rFonts w:eastAsia="Calibri"/>
          <w:sz w:val="16"/>
        </w:rPr>
        <w:t xml:space="preserve">In Figure 6 we show the results of our model calculation using the temperatures at the location of buoy 30106, benchmarked against the ice thickness it recorded. We display ice thickness as a function of TDDs. The first day above freezing (TDD = 0) was 4 June, and 32 TDDs had elapsed by 25 August, after which the buoy stopped recording data. In the last summer, ice melted by insolation even though the temperatures were essentially at or below the freezing point. Around 29 June, at 15 TDDs, melt pools became prominent enough to lower the albedo, although it is difficult to constrain the melt pool fraction. We start our calculations presuming initial thickness of 2.7 </w:t>
      </w:r>
      <w:proofErr w:type="gramStart"/>
      <w:r w:rsidRPr="006F2C07">
        <w:rPr>
          <w:rFonts w:eastAsia="Calibri"/>
          <w:sz w:val="16"/>
        </w:rPr>
        <w:t>m, and</w:t>
      </w:r>
      <w:proofErr w:type="gramEnd"/>
      <w:r w:rsidRPr="006F2C07">
        <w:rPr>
          <w:rFonts w:eastAsia="Calibri"/>
          <w:sz w:val="16"/>
        </w:rPr>
        <w:t xml:space="preserve"> assume three different late-summer albedos: a = 0.6 (blue curve), a = 0.4 (purple curve) and a = 0.2 (red curve). The observed ice thickness (green crosses) </w:t>
      </w:r>
      <w:proofErr w:type="gramStart"/>
      <w:r w:rsidRPr="006F2C07">
        <w:rPr>
          <w:rFonts w:eastAsia="Calibri"/>
          <w:sz w:val="16"/>
        </w:rPr>
        <w:t>are</w:t>
      </w:r>
      <w:proofErr w:type="gramEnd"/>
      <w:r w:rsidRPr="006F2C07">
        <w:rPr>
          <w:rFonts w:eastAsia="Calibri"/>
          <w:sz w:val="16"/>
        </w:rPr>
        <w:t xml:space="preserve"> well matched by a model in which a = 0.30. For this value of the albedo, the late-summer melting rate matches the observed rate of 4.6 cm per TDD. </w:t>
      </w:r>
      <w:r w:rsidRPr="006F2C07">
        <w:rPr>
          <w:rFonts w:eastAsia="Calibri"/>
          <w:u w:val="single"/>
        </w:rPr>
        <w:t xml:space="preserve">These calculations highlight the importance of insolation as the driver of melting: the melting rate due to heat transfer alone </w:t>
      </w:r>
      <w:r w:rsidRPr="006F2C07">
        <w:rPr>
          <w:rFonts w:eastAsia="Calibri"/>
          <w:sz w:val="16"/>
        </w:rPr>
        <w:t>would be (h/</w:t>
      </w:r>
      <w:proofErr w:type="spellStart"/>
      <w:r w:rsidRPr="006F2C07">
        <w:rPr>
          <w:rFonts w:eastAsia="Calibri"/>
          <w:sz w:val="16"/>
        </w:rPr>
        <w:t>ρi</w:t>
      </w:r>
      <w:proofErr w:type="spellEnd"/>
      <w:r w:rsidRPr="006F2C07">
        <w:rPr>
          <w:rFonts w:eastAsia="Calibri"/>
          <w:sz w:val="16"/>
        </w:rPr>
        <w:t xml:space="preserve"> li) = 0.77 cm per TDD, and after 35 TDDs</w:t>
      </w:r>
      <w:r w:rsidRPr="006F2C07">
        <w:rPr>
          <w:rFonts w:eastAsia="Calibri"/>
          <w:u w:val="single"/>
        </w:rPr>
        <w:t>, the ice would only decrease in thickness by 0.27 m. Thus, our results are most sensitive to assumptions about albedo, and relatively insensitive to assumptions about temperature and wind speed</w:t>
      </w:r>
      <w:r w:rsidRPr="006F2C07">
        <w:rPr>
          <w:rFonts w:eastAsia="Calibri"/>
          <w:sz w:val="16"/>
        </w:rPr>
        <w:t>.</w:t>
      </w:r>
    </w:p>
    <w:p w14:paraId="3234ECD0" w14:textId="77777777" w:rsidR="006F2C07" w:rsidRPr="006F2C07" w:rsidRDefault="006F2C07" w:rsidP="006F2C07">
      <w:pPr>
        <w:spacing w:line="256" w:lineRule="auto"/>
        <w:rPr>
          <w:rFonts w:eastAsia="Calibri"/>
          <w:sz w:val="16"/>
        </w:rPr>
      </w:pPr>
      <w:r w:rsidRPr="006F2C07">
        <w:rPr>
          <w:rFonts w:eastAsia="Calibri"/>
          <w:sz w:val="16"/>
        </w:rPr>
        <w:t xml:space="preserve">Summer ice thickness as a function TDDs (see text for definition). The black circles represent ice thickness and temperature data returned from Buoy 30106 in the Beaufort Sea. TDD = 0 corresponds to 4 June, and TDD = 32 corresponds to 25 August, after which the buoy ceased to return data. The colored curves represent our model predictions, assuming different values of the late-summer albedo. An albedo of 0.3 closely matches the data. </w:t>
      </w:r>
      <w:r w:rsidRPr="006F2C07">
        <w:rPr>
          <w:rFonts w:eastAsia="Calibri"/>
          <w:u w:val="single"/>
        </w:rPr>
        <w:t>The fact that ice thickness decreases in late summer without an increase in TDDs signifies that melting is predominantly attributable to insolation.</w:t>
      </w:r>
    </w:p>
    <w:p w14:paraId="336DB903" w14:textId="77777777" w:rsidR="006F2C07" w:rsidRPr="006F2C07" w:rsidRDefault="006F2C07" w:rsidP="006F2C07">
      <w:pPr>
        <w:spacing w:line="256" w:lineRule="auto"/>
        <w:rPr>
          <w:rFonts w:eastAsia="Calibri"/>
          <w:sz w:val="16"/>
        </w:rPr>
      </w:pPr>
      <w:r w:rsidRPr="006F2C07">
        <w:rPr>
          <w:rFonts w:eastAsia="Calibri"/>
          <w:u w:val="single"/>
        </w:rPr>
        <w:t xml:space="preserve">The fact that </w:t>
      </w:r>
      <w:proofErr w:type="gramStart"/>
      <w:r w:rsidRPr="006F2C07">
        <w:rPr>
          <w:rFonts w:eastAsia="Calibri"/>
          <w:u w:val="single"/>
        </w:rPr>
        <w:t>insolation</w:t>
      </w:r>
      <w:proofErr w:type="gramEnd"/>
      <w:r w:rsidRPr="006F2C07">
        <w:rPr>
          <w:rFonts w:eastAsia="Calibri"/>
          <w:u w:val="single"/>
        </w:rPr>
        <w:t xml:space="preserve"> dominates, and melting is insensitive to the details of the air temperature, suggests that we can treat the two effects separately.</w:t>
      </w:r>
      <w:r w:rsidRPr="006F2C07">
        <w:rPr>
          <w:rFonts w:eastAsia="Calibri"/>
          <w:sz w:val="16"/>
        </w:rPr>
        <w:t xml:space="preserve"> We assume that the albedo changes abruptly on 30 June, from 0.75 to 0.30. We find that insolation alone is responsible for 1.11 m of melting over the entire summer at 90° latitude. The amount melted increases with more southerly latitudes, climbing to 1.22 m at 75°N, and 1.38 m at 65°N. The melting of sea ice is mostly due to insolation, which is more-or-less independent of the air temperatures, as well as heating by the air. We predict that at 75°N, by the end of the summer, the combined effects of insolation and 32 TDDs would lead to 1.47 m of melting: 1.22 m from the </w:t>
      </w:r>
      <w:proofErr w:type="gramStart"/>
      <w:r w:rsidRPr="006F2C07">
        <w:rPr>
          <w:rFonts w:eastAsia="Calibri"/>
          <w:sz w:val="16"/>
        </w:rPr>
        <w:t>insolation</w:t>
      </w:r>
      <w:proofErr w:type="gramEnd"/>
      <w:r w:rsidRPr="006F2C07">
        <w:rPr>
          <w:rFonts w:eastAsia="Calibri"/>
          <w:sz w:val="16"/>
        </w:rPr>
        <w:t>, and 0.25 m from the heating by air. In this sense, insolation at 75°N is equivalent to 158 TDDs (or 144–179 TDDs at other latitudes). The sea ice at 75°N in the Beaufort Sea does not melt completely, only because that region experiences net negative thawing degree days, with TDD = −200 (Figure 3).</w:t>
      </w:r>
    </w:p>
    <w:p w14:paraId="135F6C94" w14:textId="77777777" w:rsidR="006F2C07" w:rsidRPr="006F2C07" w:rsidRDefault="006F2C07" w:rsidP="006F2C07">
      <w:pPr>
        <w:spacing w:line="256" w:lineRule="auto"/>
        <w:rPr>
          <w:rFonts w:eastAsia="Calibri"/>
          <w:sz w:val="16"/>
        </w:rPr>
      </w:pPr>
      <w:r w:rsidRPr="006F2C07">
        <w:rPr>
          <w:rFonts w:eastAsia="Calibri"/>
          <w:sz w:val="16"/>
        </w:rPr>
        <w:t>2.4 Effect of Thicker Ice in the Arctic Summer</w:t>
      </w:r>
    </w:p>
    <w:p w14:paraId="4ED51DFD" w14:textId="77777777" w:rsidR="006F2C07" w:rsidRPr="006F2C07" w:rsidRDefault="006F2C07" w:rsidP="006F2C07">
      <w:pPr>
        <w:spacing w:line="256" w:lineRule="auto"/>
        <w:rPr>
          <w:rFonts w:eastAsia="Calibri"/>
          <w:sz w:val="16"/>
        </w:rPr>
      </w:pPr>
      <w:r w:rsidRPr="006F2C07">
        <w:rPr>
          <w:rFonts w:eastAsia="Calibri"/>
          <w:sz w:val="16"/>
        </w:rPr>
        <w:t xml:space="preserve">With a model in hand to calculate the thickness of ice over the course of an Arctic winter and summer, we can estimate how well adding 1 m of ice to the Arctic can counteract existing trends. It is noteworthy that half of the </w:t>
      </w:r>
      <w:proofErr w:type="gramStart"/>
      <w:r w:rsidRPr="006F2C07">
        <w:rPr>
          <w:rFonts w:eastAsia="Calibri"/>
          <w:sz w:val="16"/>
        </w:rPr>
        <w:t>Arctic sea</w:t>
      </w:r>
      <w:proofErr w:type="gramEnd"/>
      <w:r w:rsidRPr="006F2C07">
        <w:rPr>
          <w:rFonts w:eastAsia="Calibri"/>
          <w:sz w:val="16"/>
        </w:rPr>
        <w:t xml:space="preserve"> ice currently has a mean annual thickness of only 1.5 m (Figure 3). Adding 1 m of ice </w:t>
      </w:r>
      <w:proofErr w:type="gramStart"/>
      <w:r w:rsidRPr="006F2C07">
        <w:rPr>
          <w:rFonts w:eastAsia="Calibri"/>
          <w:sz w:val="16"/>
        </w:rPr>
        <w:t>in the course of</w:t>
      </w:r>
      <w:proofErr w:type="gramEnd"/>
      <w:r w:rsidRPr="006F2C07">
        <w:rPr>
          <w:rFonts w:eastAsia="Calibri"/>
          <w:sz w:val="16"/>
        </w:rPr>
        <w:t xml:space="preserve"> one winter is a significant change. Also evident from Figure 3 is the fact that the mean annual thickness of ice decreased by 0.58 m per decade over the years 2000–2012 [Lindsay and Schweiger, 2015]. </w:t>
      </w:r>
      <w:r w:rsidRPr="006F2C07">
        <w:rPr>
          <w:rFonts w:eastAsia="Calibri"/>
          <w:u w:val="single"/>
        </w:rPr>
        <w:t>Adding 1 m of ice to the average thickness of the Arctic is equivalent to instantaneously setting back the clock about 17 years. Implementation over the entire Arctic in the early 2030s, in 1 year adding 1 m of ice, would reset the clock to the present day, instead of the largely ice-free summer state one expects by the 2030s.</w:t>
      </w:r>
    </w:p>
    <w:p w14:paraId="60EC63E6" w14:textId="77777777" w:rsidR="006F2C07" w:rsidRPr="006F2C07" w:rsidRDefault="006F2C07" w:rsidP="006F2C07">
      <w:pPr>
        <w:spacing w:line="256" w:lineRule="auto"/>
        <w:rPr>
          <w:rFonts w:eastAsia="Calibri"/>
          <w:u w:val="single"/>
        </w:rPr>
      </w:pPr>
      <w:r w:rsidRPr="006F2C07">
        <w:rPr>
          <w:rFonts w:eastAsia="Calibri"/>
          <w:sz w:val="16"/>
        </w:rPr>
        <w:t xml:space="preserve">But in fact, the effects are likely to be cumulative. </w:t>
      </w:r>
      <w:r w:rsidRPr="006F2C07">
        <w:rPr>
          <w:rFonts w:eastAsia="Calibri"/>
          <w:u w:val="single"/>
        </w:rPr>
        <w:t>Artificial pumping could add an additional 1 m of ice every winter. In this sense, implementing artificial pumping in 10% of the Arctic Ocean could have the effect of offsetting 1 m per decade decline in mean annual sea-ice thickness, more than enough to counteract current trends.</w:t>
      </w:r>
    </w:p>
    <w:p w14:paraId="67C16B75" w14:textId="77777777" w:rsidR="006F2C07" w:rsidRPr="006F2C07" w:rsidRDefault="006F2C07" w:rsidP="006F2C07">
      <w:pPr>
        <w:spacing w:line="256" w:lineRule="auto"/>
        <w:rPr>
          <w:rFonts w:eastAsia="Calibri"/>
          <w:sz w:val="16"/>
        </w:rPr>
      </w:pPr>
      <w:r w:rsidRPr="006F2C07">
        <w:rPr>
          <w:rFonts w:eastAsia="Calibri"/>
          <w:sz w:val="16"/>
        </w:rPr>
        <w:t xml:space="preserve">Another way to judge the efficacy of increasing ice thickness is to assess how much longer ice extent would survive in the summer. Currently, we expect ice of thickness 2.7 m to survive the summer at the location of the Beaufort Sea buoy, melting only 1.5 m; but if the ice started the summer thinner than 1.5 m, it would melt before the end of the summer. Using our melting model described above, we calculate that sea ice would survive the summer if it started at 1.5 m or thicker, would melt on 15 September if it started at 1.4 m, 18 August if it started at 1.2 m, and 4 August if it started at 1.0 m. From these calculations </w:t>
      </w:r>
      <w:r w:rsidRPr="006F2C07">
        <w:rPr>
          <w:rFonts w:eastAsia="Calibri"/>
          <w:u w:val="single"/>
        </w:rPr>
        <w:t>we estimate that each 0.2 m of ice thickness would delay the melting of the sea ice by approximately 3 weeks, depending on the exact initial thickness.</w:t>
      </w:r>
      <w:r w:rsidRPr="006F2C07">
        <w:rPr>
          <w:rFonts w:eastAsia="Calibri"/>
          <w:sz w:val="16"/>
        </w:rPr>
        <w:t xml:space="preserve"> Very similar results </w:t>
      </w:r>
      <w:proofErr w:type="gramStart"/>
      <w:r w:rsidRPr="006F2C07">
        <w:rPr>
          <w:rFonts w:eastAsia="Calibri"/>
          <w:sz w:val="16"/>
        </w:rPr>
        <w:t>obtain</w:t>
      </w:r>
      <w:proofErr w:type="gramEnd"/>
      <w:r w:rsidRPr="006F2C07">
        <w:rPr>
          <w:rFonts w:eastAsia="Calibri"/>
          <w:sz w:val="16"/>
        </w:rPr>
        <w:t xml:space="preserve"> at different latitudes. As seen in Figure 1, survival of the ice through the Arctic summer is marginal in over half of the Arctic Ocean; in those regions, artificial pumping over the Arctic winter to increase ice thickness by 1 m translates into several months of extra ice extent, potentially enough to last the summer.</w:t>
      </w:r>
    </w:p>
    <w:p w14:paraId="02445FD8" w14:textId="77777777" w:rsidR="006F2C07" w:rsidRPr="006F2C07" w:rsidRDefault="006F2C07" w:rsidP="006F2C07">
      <w:pPr>
        <w:spacing w:line="256" w:lineRule="auto"/>
        <w:rPr>
          <w:rFonts w:eastAsia="Calibri"/>
          <w:sz w:val="16"/>
        </w:rPr>
      </w:pPr>
      <w:r w:rsidRPr="006F2C07">
        <w:rPr>
          <w:rFonts w:eastAsia="Calibri"/>
          <w:sz w:val="16"/>
        </w:rPr>
        <w:t xml:space="preserve">We note that if the ice were to survive the entire summer, instead of there being no ice over the entire summer, the albedo difference (0.3 versus 0.06) would be sufficient to </w:t>
      </w:r>
      <w:proofErr w:type="gramStart"/>
      <w:r w:rsidRPr="006F2C07">
        <w:rPr>
          <w:rFonts w:eastAsia="Calibri"/>
          <w:sz w:val="16"/>
        </w:rPr>
        <w:t>reflect back</w:t>
      </w:r>
      <w:proofErr w:type="gramEnd"/>
      <w:r w:rsidRPr="006F2C07">
        <w:rPr>
          <w:rFonts w:eastAsia="Calibri"/>
          <w:sz w:val="16"/>
        </w:rPr>
        <w:t xml:space="preserve"> 2.3 × 108 J m−2 of sunlight over the course of the summer. Assuming the loss of albedo takes place over the entire 107 km2 of the Arctic Ocean, this would represent a direct global, yearly averaged radiative forcing of 0.14 W m−2, which by itself is a significant portion of the global anthropogenic radiative forcing, approximately 1 W m−2.</w:t>
      </w:r>
    </w:p>
    <w:p w14:paraId="141D8A02" w14:textId="77777777" w:rsidR="006F2C07" w:rsidRPr="006F2C07" w:rsidRDefault="006F2C07" w:rsidP="006F2C07">
      <w:pPr>
        <w:spacing w:line="256" w:lineRule="auto"/>
        <w:rPr>
          <w:rFonts w:eastAsia="Calibri"/>
          <w:u w:val="single"/>
        </w:rPr>
      </w:pPr>
      <w:r w:rsidRPr="006F2C07">
        <w:rPr>
          <w:rFonts w:eastAsia="Calibri"/>
          <w:sz w:val="16"/>
        </w:rPr>
        <w:t xml:space="preserve">Alternatively, we can consider the effect of increased air temperatures. </w:t>
      </w:r>
      <w:r w:rsidRPr="006F2C07">
        <w:rPr>
          <w:rFonts w:eastAsia="Calibri"/>
          <w:u w:val="single"/>
        </w:rPr>
        <w:t xml:space="preserve">We assume that insolation would not be quite sufficient to melt the ice, but that the extra heating from the warmer air would cause the ice to melt. In that case, </w:t>
      </w:r>
      <w:proofErr w:type="gramStart"/>
      <w:r w:rsidRPr="006F2C07">
        <w:rPr>
          <w:rFonts w:eastAsia="Calibri"/>
          <w:u w:val="single"/>
        </w:rPr>
        <w:t>addition</w:t>
      </w:r>
      <w:proofErr w:type="gramEnd"/>
      <w:r w:rsidRPr="006F2C07">
        <w:rPr>
          <w:rFonts w:eastAsia="Calibri"/>
          <w:u w:val="single"/>
        </w:rPr>
        <w:t xml:space="preserve"> of 1 m of ice therefore counteracts a melting rate of 0.77 cm per TDD,</w:t>
      </w:r>
      <w:r w:rsidRPr="006F2C07">
        <w:rPr>
          <w:rFonts w:eastAsia="Calibri"/>
          <w:sz w:val="16"/>
        </w:rPr>
        <w:t xml:space="preserve"> </w:t>
      </w:r>
      <w:r w:rsidRPr="006F2C07">
        <w:rPr>
          <w:rFonts w:eastAsia="Calibri"/>
          <w:u w:val="single"/>
        </w:rPr>
        <w:t>extending the duration of the ice</w:t>
      </w:r>
      <w:r w:rsidRPr="006F2C07">
        <w:rPr>
          <w:rFonts w:eastAsia="Calibri"/>
          <w:sz w:val="16"/>
        </w:rPr>
        <w:t xml:space="preserve"> by about 130 TDDs. Given that locations in the Arctic Ocean typically experience 0 to −200 TDDs (Figure 7), an extra 130 TDDs to melt the sea ice is significant. Since ice melts over the 4 months of June–September, 130 TDDs is equivalent to an increase of about 1.0°C. It is noteworthy that temperatures in the Arctic in summer 2007, which had exceptionally low sea ice extent, were about 0.5°C warmer than the 1971–2000 average [Kumar et al., 2010</w:t>
      </w:r>
      <w:r w:rsidRPr="006F2C07">
        <w:rPr>
          <w:rFonts w:eastAsia="Calibri"/>
          <w:u w:val="single"/>
        </w:rPr>
        <w:t xml:space="preserve">]. Artificially enhancing the thickness of </w:t>
      </w:r>
      <w:proofErr w:type="gramStart"/>
      <w:r w:rsidRPr="006F2C07">
        <w:rPr>
          <w:rFonts w:eastAsia="Calibri"/>
          <w:u w:val="single"/>
        </w:rPr>
        <w:t>Arctic sea</w:t>
      </w:r>
      <w:proofErr w:type="gramEnd"/>
      <w:r w:rsidRPr="006F2C07">
        <w:rPr>
          <w:rFonts w:eastAsia="Calibri"/>
          <w:u w:val="single"/>
        </w:rPr>
        <w:t xml:space="preserve"> ice can significantly offset the melting of ice by warmer air temperatures.</w:t>
      </w:r>
    </w:p>
    <w:p w14:paraId="4C442C78" w14:textId="77777777" w:rsidR="006F2C07" w:rsidRPr="006F2C07" w:rsidRDefault="006F2C07" w:rsidP="006F2C07">
      <w:pPr>
        <w:spacing w:line="256" w:lineRule="auto"/>
        <w:rPr>
          <w:rFonts w:eastAsia="Calibri"/>
          <w:sz w:val="16"/>
        </w:rPr>
      </w:pPr>
      <w:r w:rsidRPr="006F2C07">
        <w:rPr>
          <w:rFonts w:eastAsia="Calibri"/>
          <w:sz w:val="16"/>
        </w:rPr>
        <w:t xml:space="preserve">TDDs experienced by different parts of the Arctic in summer 2009, computed using daily mean temperatures from the National Centers for Environmental Prediction dataset. The silver contour hugging the coastlines shows where the net TDDs </w:t>
      </w:r>
      <w:proofErr w:type="gramStart"/>
      <w:r w:rsidRPr="006F2C07">
        <w:rPr>
          <w:rFonts w:eastAsia="Calibri"/>
          <w:sz w:val="16"/>
        </w:rPr>
        <w:t>is</w:t>
      </w:r>
      <w:proofErr w:type="gramEnd"/>
      <w:r w:rsidRPr="006F2C07">
        <w:rPr>
          <w:rFonts w:eastAsia="Calibri"/>
          <w:sz w:val="16"/>
        </w:rPr>
        <w:t xml:space="preserve"> zero. Most of the Arctic Ocean is seen to experience between 0 and −200 TDDs per summer. Figure courtesy Yanling Yu and James Maslanik. http://psc.apl.washington.edu/nonwp_projects/landfast_ice/freezing.php</w:t>
      </w:r>
    </w:p>
    <w:p w14:paraId="6E6ADBD8" w14:textId="77777777" w:rsidR="006F2C07" w:rsidRPr="006F2C07" w:rsidRDefault="006F2C07" w:rsidP="006F2C07">
      <w:pPr>
        <w:spacing w:line="256" w:lineRule="auto"/>
        <w:rPr>
          <w:rFonts w:eastAsia="Calibri"/>
          <w:u w:val="single"/>
        </w:rPr>
      </w:pPr>
      <w:r w:rsidRPr="006F2C07">
        <w:rPr>
          <w:rFonts w:eastAsia="Calibri"/>
          <w:sz w:val="16"/>
        </w:rPr>
        <w:t xml:space="preserve">Moving forward, analysis is needed to identify where the multiyear ice is decreasing in thickness or where the net TDDs are increasing. Our </w:t>
      </w:r>
      <w:r w:rsidRPr="006F2C07">
        <w:rPr>
          <w:rFonts w:eastAsia="Calibri"/>
          <w:u w:val="single"/>
        </w:rPr>
        <w:t>analysis so far shows that artificial thickening of the ice can counteract a roughly 1°C temperature increase across the Arctic</w:t>
      </w:r>
      <w:r w:rsidRPr="006F2C07">
        <w:rPr>
          <w:rFonts w:eastAsia="Calibri"/>
          <w:sz w:val="16"/>
        </w:rPr>
        <w:t xml:space="preserve">. Or, for ice that is marginally able to survive the summer, artificial thickening of ice keeps the ice frozen throughout the summer when it might otherwise melt. </w:t>
      </w:r>
      <w:r w:rsidRPr="006F2C07">
        <w:rPr>
          <w:rFonts w:eastAsia="Calibri"/>
          <w:u w:val="single"/>
        </w:rPr>
        <w:t>Addition of 1 m of ice each winter throughout 10% of the Arctic Ocean would offset the current decrease in ice thickness observed since 2000. The potential effects are significant, and it is worth examining how they might be implemented.</w:t>
      </w:r>
    </w:p>
    <w:p w14:paraId="1480EF06" w14:textId="77777777" w:rsidR="006F2C07" w:rsidRPr="006F2C07" w:rsidRDefault="006F2C07" w:rsidP="006F2C07">
      <w:pPr>
        <w:spacing w:line="256" w:lineRule="auto"/>
        <w:rPr>
          <w:rFonts w:eastAsia="Calibri"/>
          <w:u w:val="single"/>
        </w:rPr>
      </w:pPr>
    </w:p>
    <w:p w14:paraId="315E6EE8"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 xml:space="preserve">Wind pumps are feasible and cover and </w:t>
      </w:r>
      <w:proofErr w:type="gramStart"/>
      <w:r w:rsidRPr="006F2C07">
        <w:rPr>
          <w:rFonts w:eastAsia="Times New Roman" w:cs="Times New Roman"/>
          <w:b/>
          <w:iCs/>
          <w:sz w:val="26"/>
        </w:rPr>
        <w:t>are able to</w:t>
      </w:r>
      <w:proofErr w:type="gramEnd"/>
      <w:r w:rsidRPr="006F2C07">
        <w:rPr>
          <w:rFonts w:eastAsia="Times New Roman" w:cs="Times New Roman"/>
          <w:b/>
          <w:iCs/>
          <w:sz w:val="26"/>
        </w:rPr>
        <w:t xml:space="preserve"> make 1.5 meters of ice over an area.</w:t>
      </w:r>
    </w:p>
    <w:p w14:paraId="0ED176D4" w14:textId="77777777" w:rsidR="006F2C07" w:rsidRPr="006F2C07" w:rsidRDefault="006F2C07" w:rsidP="006F2C07">
      <w:pPr>
        <w:spacing w:line="256" w:lineRule="auto"/>
        <w:rPr>
          <w:rFonts w:eastAsia="Calibri"/>
          <w:b/>
          <w:bCs/>
          <w:sz w:val="26"/>
        </w:rPr>
      </w:pPr>
      <w:r w:rsidRPr="006F2C07">
        <w:rPr>
          <w:rFonts w:eastAsia="Calibri"/>
          <w:b/>
          <w:bCs/>
          <w:sz w:val="26"/>
        </w:rPr>
        <w:t>Desch et al. 16</w:t>
      </w:r>
      <w:r w:rsidRPr="006F2C07">
        <w:rPr>
          <w:rFonts w:eastAsia="Calibri"/>
        </w:rPr>
        <w:t xml:space="preserve">---Professor of astrophysics in the School of Earth and Space Exploration at ASU (Steven, Nathan Smith, Christopher Groppi, Perry Vargas, Rebecca Jackson, Anusha </w:t>
      </w:r>
      <w:proofErr w:type="spellStart"/>
      <w:r w:rsidRPr="006F2C07">
        <w:rPr>
          <w:rFonts w:eastAsia="Calibri"/>
        </w:rPr>
        <w:t>Kalyaan</w:t>
      </w:r>
      <w:proofErr w:type="spellEnd"/>
      <w:r w:rsidRPr="006F2C07">
        <w:rPr>
          <w:rFonts w:eastAsia="Calibri"/>
        </w:rPr>
        <w:t xml:space="preserve">, Peter Nguyen, Luke Probst, Mark E. Rubin, Heather Singleton, Alexander Spacek, Amanda Truitt, Pye </w:t>
      </w:r>
      <w:proofErr w:type="spellStart"/>
      <w:r w:rsidRPr="006F2C07">
        <w:rPr>
          <w:rFonts w:eastAsia="Calibri"/>
        </w:rPr>
        <w:t>Pye</w:t>
      </w:r>
      <w:proofErr w:type="spellEnd"/>
      <w:r w:rsidRPr="006F2C07">
        <w:rPr>
          <w:rFonts w:eastAsia="Calibri"/>
        </w:rPr>
        <w:t xml:space="preserve"> Zaw, </w:t>
      </w:r>
      <w:proofErr w:type="spellStart"/>
      <w:r w:rsidRPr="006F2C07">
        <w:rPr>
          <w:rFonts w:eastAsia="Calibri"/>
        </w:rPr>
        <w:t>Hilairy</w:t>
      </w:r>
      <w:proofErr w:type="spellEnd"/>
      <w:r w:rsidRPr="006F2C07">
        <w:rPr>
          <w:rFonts w:eastAsia="Calibri"/>
        </w:rPr>
        <w:t xml:space="preserve"> E. Hartnett; “Arctic ice management”, American Geophysical Union, 12/16/16, https://agupubs.onlinelibrary.wiley.com/doi/full/10.1002/2016ef000410)</w:t>
      </w:r>
    </w:p>
    <w:p w14:paraId="14C84D81" w14:textId="77777777" w:rsidR="006F2C07" w:rsidRPr="006F2C07" w:rsidRDefault="006F2C07" w:rsidP="006F2C07">
      <w:pPr>
        <w:spacing w:line="256" w:lineRule="auto"/>
        <w:rPr>
          <w:rFonts w:eastAsia="Calibri"/>
          <w:sz w:val="16"/>
        </w:rPr>
      </w:pPr>
      <w:r w:rsidRPr="006F2C07">
        <w:rPr>
          <w:rFonts w:eastAsia="Calibri"/>
          <w:sz w:val="16"/>
        </w:rPr>
        <w:t xml:space="preserve">In this section we examine the feasibility of creating machines or devices that could use wind power to pump roughly 1.3 m of water over the course of the Arctic winter, sufficient to thicken the ice around the device by 1 m. Our goal is to demonstrate feasibility and to provide insights into the scale of the devices. A more detailed design, to be undertaken in conjunction with Arctic </w:t>
      </w:r>
      <w:proofErr w:type="gramStart"/>
      <w:r w:rsidRPr="006F2C07">
        <w:rPr>
          <w:rFonts w:eastAsia="Calibri"/>
          <w:sz w:val="16"/>
        </w:rPr>
        <w:t>engineers</w:t>
      </w:r>
      <w:proofErr w:type="gramEnd"/>
      <w:r w:rsidRPr="006F2C07">
        <w:rPr>
          <w:rFonts w:eastAsia="Calibri"/>
          <w:sz w:val="16"/>
        </w:rPr>
        <w:t xml:space="preserve"> is deferred to future investigations.</w:t>
      </w:r>
    </w:p>
    <w:p w14:paraId="635200F6" w14:textId="77777777" w:rsidR="006F2C07" w:rsidRPr="006F2C07" w:rsidRDefault="006F2C07" w:rsidP="006F2C07">
      <w:pPr>
        <w:spacing w:line="256" w:lineRule="auto"/>
        <w:rPr>
          <w:rFonts w:eastAsia="Calibri"/>
          <w:sz w:val="16"/>
        </w:rPr>
      </w:pPr>
      <w:r w:rsidRPr="006F2C07">
        <w:rPr>
          <w:rFonts w:eastAsia="Calibri"/>
          <w:sz w:val="16"/>
        </w:rPr>
        <w:t>3.1 Energy Requirements</w:t>
      </w:r>
    </w:p>
    <w:p w14:paraId="5BFBD8EC" w14:textId="77777777" w:rsidR="006F2C07" w:rsidRPr="006F2C07" w:rsidRDefault="006F2C07" w:rsidP="006F2C07">
      <w:pPr>
        <w:spacing w:line="256" w:lineRule="auto"/>
        <w:rPr>
          <w:rFonts w:eastAsia="Calibri"/>
          <w:u w:val="single"/>
        </w:rPr>
      </w:pPr>
      <w:r w:rsidRPr="006F2C07">
        <w:rPr>
          <w:rFonts w:eastAsia="Calibri"/>
          <w:sz w:val="16"/>
        </w:rPr>
        <w:t xml:space="preserve">As described in Section 2, </w:t>
      </w:r>
      <w:r w:rsidRPr="006F2C07">
        <w:rPr>
          <w:rFonts w:eastAsia="Calibri"/>
          <w:u w:val="single"/>
        </w:rPr>
        <w:t xml:space="preserve">increasing the ice thickness by 1.0 m requires pumping about 1.3 m of water, equivalent to about 1.4 m of ice. This water must be pumped using local energy sources, which in the Arctic winter means using wind. Fortunately, </w:t>
      </w:r>
      <w:proofErr w:type="gramStart"/>
      <w:r w:rsidRPr="006F2C07">
        <w:rPr>
          <w:rFonts w:eastAsia="Calibri"/>
          <w:u w:val="single"/>
        </w:rPr>
        <w:t>wind</w:t>
      </w:r>
      <w:proofErr w:type="gramEnd"/>
      <w:r w:rsidRPr="006F2C07">
        <w:rPr>
          <w:rFonts w:eastAsia="Calibri"/>
          <w:u w:val="single"/>
        </w:rPr>
        <w:t xml:space="preserve"> is plentiful in the Arctic.</w:t>
      </w:r>
    </w:p>
    <w:p w14:paraId="67BDC3BA" w14:textId="77777777" w:rsidR="006F2C07" w:rsidRPr="006F2C07" w:rsidRDefault="006F2C07" w:rsidP="006F2C07">
      <w:pPr>
        <w:spacing w:line="256" w:lineRule="auto"/>
        <w:rPr>
          <w:rFonts w:eastAsia="Calibri"/>
          <w:sz w:val="16"/>
        </w:rPr>
      </w:pPr>
      <w:r w:rsidRPr="006F2C07">
        <w:rPr>
          <w:rFonts w:eastAsia="Calibri"/>
          <w:sz w:val="16"/>
        </w:rPr>
        <w:t>Figure 8 shows the average wind speed in the Arctic over the decade 1986–1996 [</w:t>
      </w:r>
      <w:proofErr w:type="spellStart"/>
      <w:r w:rsidRPr="006F2C07">
        <w:rPr>
          <w:rFonts w:eastAsia="Calibri"/>
          <w:sz w:val="16"/>
        </w:rPr>
        <w:t>Kalnay</w:t>
      </w:r>
      <w:proofErr w:type="spellEnd"/>
      <w:r w:rsidRPr="006F2C07">
        <w:rPr>
          <w:rFonts w:eastAsia="Calibri"/>
          <w:sz w:val="16"/>
        </w:rPr>
        <w:t xml:space="preserve"> et al., 1996]. </w:t>
      </w:r>
      <w:r w:rsidRPr="006F2C07">
        <w:rPr>
          <w:rFonts w:eastAsia="Calibri"/>
          <w:u w:val="single"/>
        </w:rPr>
        <w:t xml:space="preserve">The average wind speed over the whole Arctic is </w:t>
      </w:r>
      <w:proofErr w:type="spellStart"/>
      <w:r w:rsidRPr="006F2C07">
        <w:rPr>
          <w:rFonts w:eastAsia="Calibri"/>
          <w:u w:val="single"/>
        </w:rPr>
        <w:t>Vw</w:t>
      </w:r>
      <w:proofErr w:type="spellEnd"/>
      <w:r w:rsidRPr="006F2C07">
        <w:rPr>
          <w:rFonts w:eastAsia="Calibri"/>
          <w:u w:val="single"/>
        </w:rPr>
        <w:t xml:space="preserve"> = 6.4 m s−1. If this wind is intercepted by a turbine with effective area like a windmill with 6 m-diameter blades, the intercepted power will be π(3 m)2 (1/2) </w:t>
      </w:r>
      <w:proofErr w:type="spellStart"/>
      <w:r w:rsidRPr="006F2C07">
        <w:rPr>
          <w:rFonts w:eastAsia="Calibri"/>
          <w:u w:val="single"/>
        </w:rPr>
        <w:t>ρa</w:t>
      </w:r>
      <w:proofErr w:type="spellEnd"/>
      <w:r w:rsidRPr="006F2C07">
        <w:rPr>
          <w:rFonts w:eastAsia="Calibri"/>
          <w:u w:val="single"/>
        </w:rPr>
        <w:t xml:space="preserve"> Vw3 = 5.2 kW, sufficient to pump water a height of 7 m at a rate of 7.5 kg s−1, or 27 metric tons per hour,</w:t>
      </w:r>
      <w:r w:rsidRPr="006F2C07">
        <w:rPr>
          <w:rFonts w:eastAsia="Calibri"/>
          <w:sz w:val="16"/>
        </w:rPr>
        <w:t xml:space="preserve"> assuming </w:t>
      </w:r>
      <w:proofErr w:type="spellStart"/>
      <w:r w:rsidRPr="006F2C07">
        <w:rPr>
          <w:rFonts w:eastAsia="Calibri"/>
          <w:sz w:val="16"/>
        </w:rPr>
        <w:t>ρa</w:t>
      </w:r>
      <w:proofErr w:type="spellEnd"/>
      <w:r w:rsidRPr="006F2C07">
        <w:rPr>
          <w:rFonts w:eastAsia="Calibri"/>
          <w:sz w:val="16"/>
        </w:rPr>
        <w:t xml:space="preserve"> = 1.4 kg m−3 (appropriate for the Arctic winter) and an efficiency of 10%. (It must be noted that wind power density scales as wind speed cubed, so using the mean speed 6.4 m s−1 to derive a power density 180 W m−2 potentially underestimates the average power density. We find that the actual time-averaged power densities range from 170 W m−2 near Greenland to 700 W m−2 in the Barents and Beaufort Seas. </w:t>
      </w:r>
      <w:r w:rsidRPr="006F2C07">
        <w:rPr>
          <w:rFonts w:eastAsia="Calibri"/>
          <w:u w:val="single"/>
        </w:rPr>
        <w:t>Over the course of an Arctic winter, this is sufficient to pump enough water to make 1.5 m of ice over an area approximately 0.1 km2.</w:t>
      </w:r>
      <w:r w:rsidRPr="006F2C07">
        <w:rPr>
          <w:rFonts w:eastAsia="Calibri"/>
          <w:sz w:val="16"/>
        </w:rPr>
        <w:t xml:space="preserve"> Steel wind pumps like those used in agricultural settings for a century typically achieve </w:t>
      </w:r>
      <w:proofErr w:type="gramStart"/>
      <w:r w:rsidRPr="006F2C07">
        <w:rPr>
          <w:rFonts w:eastAsia="Calibri"/>
          <w:sz w:val="16"/>
        </w:rPr>
        <w:t>efficiencies</w:t>
      </w:r>
      <w:proofErr w:type="gramEnd"/>
      <w:r w:rsidRPr="006F2C07">
        <w:rPr>
          <w:rFonts w:eastAsia="Calibri"/>
          <w:sz w:val="16"/>
        </w:rPr>
        <w:t xml:space="preserve"> approximately 13%. An example is a commercial windmill 12-m tall, with 6 m-diameter blades, rated to pump 9.6 kg s−1 or 35 m3 h−1 in winds 4.5–7 m s−1 like those in the Arctic (http://www.ironmanwindmill.com/images/brochure/brochure.pdf, 10 Jul. 2016). </w:t>
      </w:r>
      <w:r w:rsidRPr="006F2C07">
        <w:rPr>
          <w:rFonts w:eastAsia="Calibri"/>
          <w:u w:val="single"/>
        </w:rPr>
        <w:t>Using different wind turbines, efficiencies closer to 30% would seem achievable, which would pump enough water to cover 0.3 km2.</w:t>
      </w:r>
      <w:r w:rsidRPr="006F2C07">
        <w:rPr>
          <w:rFonts w:eastAsia="Calibri"/>
          <w:sz w:val="16"/>
        </w:rPr>
        <w:t xml:space="preserve"> Sufficient wind energy exists to pump the required amounts of </w:t>
      </w:r>
      <w:proofErr w:type="gramStart"/>
      <w:r w:rsidRPr="006F2C07">
        <w:rPr>
          <w:rFonts w:eastAsia="Calibri"/>
          <w:sz w:val="16"/>
        </w:rPr>
        <w:t>water, but</w:t>
      </w:r>
      <w:proofErr w:type="gramEnd"/>
      <w:r w:rsidRPr="006F2C07">
        <w:rPr>
          <w:rFonts w:eastAsia="Calibri"/>
          <w:sz w:val="16"/>
        </w:rPr>
        <w:t xml:space="preserve"> would require on the order of 10 windpumps per square kilometer to capture it.</w:t>
      </w:r>
    </w:p>
    <w:p w14:paraId="760AA948" w14:textId="77777777" w:rsidR="006F2C07" w:rsidRDefault="006F2C07" w:rsidP="006F2C07">
      <w:pPr>
        <w:spacing w:line="256" w:lineRule="auto"/>
        <w:rPr>
          <w:rFonts w:eastAsia="Calibri"/>
          <w:sz w:val="16"/>
        </w:rPr>
      </w:pPr>
      <w:r w:rsidRPr="006F2C07">
        <w:rPr>
          <w:rFonts w:eastAsia="Calibri"/>
          <w:sz w:val="16"/>
        </w:rPr>
        <w:t xml:space="preserve">3.2 Description of the Wind-Powered Pump and Its Implementation </w:t>
      </w:r>
      <w:r w:rsidRPr="006F2C07">
        <w:rPr>
          <w:rFonts w:eastAsia="Calibri"/>
          <w:u w:val="single"/>
        </w:rPr>
        <w:t xml:space="preserve">We propose that a windpump mounted on a large </w:t>
      </w:r>
      <w:proofErr w:type="gramStart"/>
      <w:r w:rsidRPr="006F2C07">
        <w:rPr>
          <w:rFonts w:eastAsia="Calibri"/>
          <w:u w:val="single"/>
        </w:rPr>
        <w:t>buoy,</w:t>
      </w:r>
      <w:proofErr w:type="gramEnd"/>
      <w:r w:rsidRPr="006F2C07">
        <w:rPr>
          <w:rFonts w:eastAsia="Calibri"/>
          <w:u w:val="single"/>
        </w:rPr>
        <w:t xml:space="preserve"> could perform the function of capturing wind energy to pump seawater to the surface. </w:t>
      </w:r>
      <w:r w:rsidRPr="006F2C07">
        <w:rPr>
          <w:rFonts w:eastAsia="Calibri"/>
          <w:sz w:val="16"/>
        </w:rPr>
        <w:t xml:space="preserve">While a complete set of design specifications for a wind-powered pumping device and entire AIM system are beyond the scope of this paper, the basic requirements of such a system can be identified. The basic components of such a device would include: a large buoy; a wind turbine and pump, </w:t>
      </w:r>
      <w:r w:rsidRPr="006F2C07">
        <w:rPr>
          <w:rFonts w:eastAsia="Calibri"/>
          <w:u w:val="single"/>
        </w:rPr>
        <w:t>drawing up seawater from below the ice; a tank for storing the water; and a delivery system that takes the water periodically flushed from the tank and distributes it over a large area</w:t>
      </w:r>
      <w:r w:rsidRPr="006F2C07">
        <w:rPr>
          <w:rFonts w:eastAsia="Calibri"/>
          <w:sz w:val="16"/>
        </w:rPr>
        <w:t>. The goal is to raise enough water over the Arctic winter to cover an area approximately 0.1 km2 with approximately 1 m of ice. A system of such devices would have to be manufactured and delivered to the Arctic Ocean, probably repositioned each season, and would need to be maintained. The engineering challenges of translating even such a common technology to the harsh environment of the Arctic are daunting. Gusts and lulls may increase wind speeds outside the operating range of the turbine, reducing efficiencies. Ambient temperatures are much colder than in other environments; it is a challenge to prevent the water inside the device (tank, delivery system) from freezing. Ice riming (on the outside of the device) is a common and serious problem in the Arctic that a wind turbine design must contend with. The design must also stabilize the buoy so that high winds do not tip over the wind turbine and buoy</w:t>
      </w:r>
      <w:r w:rsidRPr="006F2C07">
        <w:rPr>
          <w:rFonts w:eastAsia="Calibri"/>
          <w:u w:val="single"/>
        </w:rPr>
        <w:t xml:space="preserve">. Any final design for a buoy-mounted windpump would have to be developed in conjunction with engineers experienced in working in polar environments. That said, we note that many of the </w:t>
      </w:r>
      <w:proofErr w:type="gramStart"/>
      <w:r w:rsidRPr="006F2C07">
        <w:rPr>
          <w:rFonts w:eastAsia="Calibri"/>
          <w:u w:val="single"/>
        </w:rPr>
        <w:t>needed technologies</w:t>
      </w:r>
      <w:proofErr w:type="gramEnd"/>
      <w:r w:rsidRPr="006F2C07">
        <w:rPr>
          <w:rFonts w:eastAsia="Calibri"/>
          <w:u w:val="single"/>
        </w:rPr>
        <w:t xml:space="preserve"> already have been developed for other purposes.</w:t>
      </w:r>
      <w:r w:rsidRPr="006F2C07">
        <w:rPr>
          <w:rFonts w:eastAsia="Calibri"/>
          <w:sz w:val="16"/>
        </w:rPr>
        <w:t xml:space="preserve"> For example, </w:t>
      </w:r>
      <w:r w:rsidRPr="006F2C07">
        <w:rPr>
          <w:rFonts w:eastAsia="Calibri"/>
          <w:u w:val="single"/>
        </w:rPr>
        <w:t>several different wind turbine designs have been used successfully at South Pole station and in the Arctic</w:t>
      </w:r>
      <w:r w:rsidRPr="006F2C07">
        <w:rPr>
          <w:rFonts w:eastAsia="Calibri"/>
          <w:sz w:val="16"/>
        </w:rPr>
        <w:t xml:space="preserve"> ( https://www.asme.org/engineering-topics/articles/arctic-engineering/wind-turbines-whirling-arctic-regions 5 Oct. 2016), and many of the issues associated with storing and distributing liquid water during the Arctic winter are similar to the problems associated with supplying drinking water in high-arctic communities in the winter, such as the need for heated/insulated storage tanks and distribution systems (http://sciencenordic.com/arctic-town-has-running-water-just-four-months-year, 5 Oct. 2016).</w:t>
      </w:r>
    </w:p>
    <w:p w14:paraId="7CBCDF65" w14:textId="77777777" w:rsidR="006F2C07" w:rsidRDefault="006F2C07" w:rsidP="006F2C07">
      <w:pPr>
        <w:pStyle w:val="Heading2"/>
      </w:pPr>
      <w:r>
        <w:t>Governance Advantage</w:t>
      </w:r>
    </w:p>
    <w:p w14:paraId="74D3255E" w14:textId="77777777" w:rsidR="006F2C07" w:rsidRDefault="006F2C07" w:rsidP="006F2C07">
      <w:pPr>
        <w:pStyle w:val="Heading3"/>
      </w:pPr>
      <w:r>
        <w:t>2AC---Testing Key</w:t>
      </w:r>
    </w:p>
    <w:p w14:paraId="634D74C4" w14:textId="77777777" w:rsidR="006F2C07" w:rsidRDefault="006F2C07" w:rsidP="006F2C07">
      <w:pPr>
        <w:pStyle w:val="Heading4"/>
      </w:pPr>
      <w:r>
        <w:t>Testing works --- neg examples lacked proper management.</w:t>
      </w:r>
    </w:p>
    <w:p w14:paraId="2D857984" w14:textId="77777777" w:rsidR="006F2C07" w:rsidRPr="00BC45AD" w:rsidRDefault="006F2C07" w:rsidP="006F2C07">
      <w:r>
        <w:t xml:space="preserve">Benjamin K. </w:t>
      </w:r>
      <w:r w:rsidRPr="00BC45AD">
        <w:rPr>
          <w:rStyle w:val="Style13ptBold"/>
        </w:rPr>
        <w:t>Sovacool</w:t>
      </w:r>
      <w:r>
        <w:rPr>
          <w:rStyle w:val="Style13ptBold"/>
        </w:rPr>
        <w:t xml:space="preserve"> et al</w:t>
      </w:r>
      <w:r>
        <w:t xml:space="preserve"> 5-6-20</w:t>
      </w:r>
      <w:r w:rsidRPr="00BC45AD">
        <w:rPr>
          <w:rStyle w:val="Style13ptBold"/>
        </w:rPr>
        <w:t>25</w:t>
      </w:r>
      <w:r>
        <w:t xml:space="preserve">, Benjamin K. Sovacool, Director of the Boston University Institute for Global Sustainability (IGS), is a Professor in the Department of Earth &amp; Environment. He works as a researcher and consultant on issues pertaining to global energy policy and politics, energy security, energy justice, climate change mitigation, and climate change adaptation. Chad M. Baum is an Assistant Professor at the Aarhus University Department of Business Development and Technology. He also works for the </w:t>
      </w:r>
      <w:proofErr w:type="spellStart"/>
      <w:r>
        <w:t>iCLIMATE</w:t>
      </w:r>
      <w:proofErr w:type="spellEnd"/>
      <w:r>
        <w:t xml:space="preserve"> Aarhus University Interdisciplinary Centre for Climate Change. Dr. Livia Fritz is an interdisciplinary social scientist drawing on approaches from political theory and Science and Technology Studies to analyze relations between science, policy and society in the field of sustainability and climate. Livia studied development studies with a focus on political science at the University of Vienna and the </w:t>
      </w:r>
      <w:proofErr w:type="spellStart"/>
      <w:r>
        <w:t>Institut</w:t>
      </w:r>
      <w:proofErr w:type="spellEnd"/>
      <w:r>
        <w:t xml:space="preserve"> </w:t>
      </w:r>
      <w:proofErr w:type="spellStart"/>
      <w:r>
        <w:t>d’études</w:t>
      </w:r>
      <w:proofErr w:type="spellEnd"/>
      <w:r>
        <w:t xml:space="preserve"> politiques de Paris (Sciences Po) and received her PhD from EPFL. Sean Low explores the politics of science in environmental and technology governance, with a focus on how novel socio-technical strategies for addressing climate change are constructed through different practices of expert and participatory assessment. “Exploring global climate intervention experiments: sociotechnical promises, innovation dynamics, and perceived co</w:t>
      </w:r>
      <w:r>
        <w:rPr>
          <w:rFonts w:ascii="Cambria Math" w:hAnsi="Cambria Math" w:cs="Cambria Math"/>
        </w:rPr>
        <w:t>‑</w:t>
      </w:r>
      <w:r>
        <w:t xml:space="preserve">impacts across 20 projects and pilots” </w:t>
      </w:r>
      <w:r w:rsidRPr="00552547">
        <w:t>https://doi.org/10.1007/s11625-025-01696-6</w:t>
      </w:r>
      <w:r>
        <w:t xml:space="preserve"> //MDC</w:t>
      </w:r>
    </w:p>
    <w:p w14:paraId="74938F85" w14:textId="77777777" w:rsidR="006F2C07" w:rsidRPr="00BC45AD" w:rsidRDefault="006F2C07" w:rsidP="006F2C07">
      <w:pPr>
        <w:rPr>
          <w:sz w:val="16"/>
        </w:rPr>
      </w:pPr>
      <w:r w:rsidRPr="00BC45AD">
        <w:rPr>
          <w:sz w:val="16"/>
        </w:rPr>
        <w:t>Conclusion</w:t>
      </w:r>
    </w:p>
    <w:p w14:paraId="5BF5E7F6" w14:textId="77777777" w:rsidR="006F2C07" w:rsidRPr="00BC45AD" w:rsidRDefault="006F2C07" w:rsidP="006F2C07">
      <w:pPr>
        <w:rPr>
          <w:sz w:val="16"/>
        </w:rPr>
      </w:pPr>
      <w:r w:rsidRPr="00BC45AD">
        <w:rPr>
          <w:rStyle w:val="StyleUnderline"/>
          <w:highlight w:val="cyan"/>
        </w:rPr>
        <w:t xml:space="preserve">Climate intervention </w:t>
      </w:r>
      <w:r w:rsidRPr="00BC45AD">
        <w:rPr>
          <w:rStyle w:val="Emphasis"/>
          <w:highlight w:val="cyan"/>
        </w:rPr>
        <w:t>research, experiments, and pilots</w:t>
      </w:r>
      <w:r w:rsidRPr="00BC45AD">
        <w:rPr>
          <w:rStyle w:val="StyleUnderline"/>
          <w:highlight w:val="cyan"/>
        </w:rPr>
        <w:t xml:space="preserve"> involve a diversity of actor</w:t>
      </w:r>
      <w:r w:rsidRPr="00BC45AD">
        <w:rPr>
          <w:rStyle w:val="StyleUnderline"/>
        </w:rPr>
        <w:t xml:space="preserve"> coalitions, propose solutions to a plethora of emergent scientific and environmental problems, and are increasingly coalescing around manifold requirements about how those technologies will perform into the future</w:t>
      </w:r>
      <w:r w:rsidRPr="00BC45AD">
        <w:rPr>
          <w:sz w:val="16"/>
        </w:rPr>
        <w:t xml:space="preserve">. Salient characteristics of their innovation dynamics and styles, as </w:t>
      </w:r>
      <w:r w:rsidRPr="00BC45AD">
        <w:rPr>
          <w:rStyle w:val="StyleUnderline"/>
        </w:rPr>
        <w:t xml:space="preserve">revealed by </w:t>
      </w:r>
      <w:r w:rsidRPr="00BC45AD">
        <w:rPr>
          <w:rStyle w:val="StyleUnderline"/>
          <w:highlight w:val="cyan"/>
        </w:rPr>
        <w:t xml:space="preserve">our </w:t>
      </w:r>
      <w:r w:rsidRPr="00BC45AD">
        <w:rPr>
          <w:rStyle w:val="Emphasis"/>
          <w:highlight w:val="cyan"/>
        </w:rPr>
        <w:t>20</w:t>
      </w:r>
      <w:r w:rsidRPr="00BC45AD">
        <w:rPr>
          <w:rStyle w:val="Emphasis"/>
        </w:rPr>
        <w:t xml:space="preserve"> </w:t>
      </w:r>
      <w:r w:rsidRPr="00BC45AD">
        <w:rPr>
          <w:rStyle w:val="Emphasis"/>
          <w:highlight w:val="cyan"/>
        </w:rPr>
        <w:t>case studies</w:t>
      </w:r>
      <w:r w:rsidRPr="00BC45AD">
        <w:rPr>
          <w:rStyle w:val="StyleUnderline"/>
          <w:highlight w:val="cyan"/>
        </w:rPr>
        <w:t xml:space="preserve"> and</w:t>
      </w:r>
      <w:r w:rsidRPr="00BC45AD">
        <w:rPr>
          <w:rStyle w:val="StyleUnderline"/>
        </w:rPr>
        <w:t xml:space="preserve"> respondent </w:t>
      </w:r>
      <w:r w:rsidRPr="00BC45AD">
        <w:rPr>
          <w:rStyle w:val="StyleUnderline"/>
          <w:highlight w:val="cyan"/>
        </w:rPr>
        <w:t>interviews</w:t>
      </w:r>
      <w:r w:rsidRPr="00BC45AD">
        <w:rPr>
          <w:rStyle w:val="StyleUnderline"/>
        </w:rPr>
        <w:t xml:space="preserve"> along with ethnographic observations, </w:t>
      </w:r>
      <w:r w:rsidRPr="00BC45AD">
        <w:rPr>
          <w:rStyle w:val="StyleUnderline"/>
          <w:highlight w:val="cyan"/>
        </w:rPr>
        <w:t>exemplify</w:t>
      </w:r>
      <w:r w:rsidRPr="00BC45AD">
        <w:rPr>
          <w:rStyle w:val="StyleUnderline"/>
        </w:rPr>
        <w:t xml:space="preserve"> immense </w:t>
      </w:r>
      <w:r w:rsidRPr="00BC45AD">
        <w:rPr>
          <w:rStyle w:val="StyleUnderline"/>
          <w:highlight w:val="cyan"/>
        </w:rPr>
        <w:t>heterogeneity</w:t>
      </w:r>
      <w:r w:rsidRPr="00BC45AD">
        <w:rPr>
          <w:rStyle w:val="StyleUnderline"/>
        </w:rPr>
        <w:t xml:space="preserve"> across attributes as diverse as efficacy, cost, scale, location, permanence, and temporality.</w:t>
      </w:r>
      <w:r w:rsidRPr="00BC45AD">
        <w:rPr>
          <w:sz w:val="16"/>
        </w:rPr>
        <w:t xml:space="preserve"> </w:t>
      </w:r>
    </w:p>
    <w:p w14:paraId="03D0B1F2" w14:textId="77777777" w:rsidR="006F2C07" w:rsidRPr="00BC45AD" w:rsidRDefault="006F2C07" w:rsidP="006F2C07">
      <w:pPr>
        <w:rPr>
          <w:sz w:val="16"/>
        </w:rPr>
      </w:pPr>
      <w:r w:rsidRPr="00BC45AD">
        <w:rPr>
          <w:sz w:val="16"/>
        </w:rPr>
        <w:t xml:space="preserve">In response to a challenge as complex, multi-scalar, and multifarious as climate change, this reveals how the search for potential solutions broadly mirrors the complexity of the problem itself. More skeptically, it might also be that the </w:t>
      </w:r>
      <w:proofErr w:type="gramStart"/>
      <w:r w:rsidRPr="00BC45AD">
        <w:rPr>
          <w:sz w:val="16"/>
        </w:rPr>
        <w:t>amount</w:t>
      </w:r>
      <w:proofErr w:type="gramEnd"/>
      <w:r w:rsidRPr="00BC45AD">
        <w:rPr>
          <w:sz w:val="16"/>
        </w:rPr>
        <w:t xml:space="preserve"> of resources flowing to addressing this problem, and its diverse impacts, is attracting attention broadly across the sectors of economy and society. In any case, perceptions of the different experiments reveal notable tensions between risks and benefits, with almost one hundred different perceived co-impacts evident, involving an array of distinct financial and economic, socioenvironmental, technical, and institutional and political dimensions. Co-impacts of a socioenvironmental and financial/ economic nature are notably more commonly identified, especially in contrast to institutional and political aspects. </w:t>
      </w:r>
      <w:r w:rsidRPr="00BC45AD">
        <w:rPr>
          <w:rStyle w:val="StyleUnderline"/>
        </w:rPr>
        <w:t xml:space="preserve">Given the broad </w:t>
      </w:r>
      <w:r w:rsidRPr="00BC45AD">
        <w:rPr>
          <w:rStyle w:val="StyleUnderline"/>
          <w:highlight w:val="cyan"/>
        </w:rPr>
        <w:t>consensus of</w:t>
      </w:r>
      <w:r w:rsidRPr="00BC45AD">
        <w:rPr>
          <w:rStyle w:val="StyleUnderline"/>
        </w:rPr>
        <w:t xml:space="preserve"> the </w:t>
      </w:r>
      <w:r w:rsidRPr="00BC45AD">
        <w:rPr>
          <w:rStyle w:val="StyleUnderline"/>
          <w:highlight w:val="cyan"/>
        </w:rPr>
        <w:t>governance challenges of climate intervention approaches</w:t>
      </w:r>
      <w:r w:rsidRPr="00BC45AD">
        <w:rPr>
          <w:rStyle w:val="StyleUnderline"/>
        </w:rPr>
        <w:t xml:space="preserve"> (e.g., NASEM 2019, 2021; Honegger et al. 2022; Reynolds 2019; Gupta et al. 2020; McLaren and Corry 2021), this </w:t>
      </w:r>
      <w:r w:rsidRPr="00BC45AD">
        <w:rPr>
          <w:rStyle w:val="StyleUnderline"/>
          <w:highlight w:val="cyan"/>
        </w:rPr>
        <w:t>underscores</w:t>
      </w:r>
      <w:r w:rsidRPr="00BC45AD">
        <w:rPr>
          <w:rStyle w:val="StyleUnderline"/>
        </w:rPr>
        <w:t xml:space="preserve"> a possible </w:t>
      </w:r>
      <w:r w:rsidRPr="00BC45AD">
        <w:rPr>
          <w:rStyle w:val="StyleUnderline"/>
          <w:highlight w:val="cyan"/>
        </w:rPr>
        <w:t>neglect of</w:t>
      </w:r>
      <w:r w:rsidRPr="00BC45AD">
        <w:rPr>
          <w:rStyle w:val="StyleUnderline"/>
        </w:rPr>
        <w:t xml:space="preserve"> such aspects among those </w:t>
      </w:r>
      <w:r w:rsidRPr="00BC45AD">
        <w:rPr>
          <w:rStyle w:val="Emphasis"/>
          <w:highlight w:val="cyan"/>
        </w:rPr>
        <w:t>planning</w:t>
      </w:r>
      <w:r w:rsidRPr="00BC45AD">
        <w:rPr>
          <w:rStyle w:val="StyleUnderline"/>
          <w:highlight w:val="cyan"/>
        </w:rPr>
        <w:t xml:space="preserve"> and undertaking the experiments</w:t>
      </w:r>
      <w:r w:rsidRPr="00BC45AD">
        <w:rPr>
          <w:rStyle w:val="StyleUnderline"/>
        </w:rPr>
        <w:t xml:space="preserve"> in question</w:t>
      </w:r>
      <w:r w:rsidRPr="00BC45AD">
        <w:rPr>
          <w:sz w:val="16"/>
        </w:rPr>
        <w:t>.</w:t>
      </w:r>
    </w:p>
    <w:p w14:paraId="784741C4" w14:textId="77777777" w:rsidR="006F2C07" w:rsidRPr="00BC45AD" w:rsidRDefault="006F2C07" w:rsidP="006F2C07">
      <w:pPr>
        <w:rPr>
          <w:sz w:val="16"/>
        </w:rPr>
      </w:pPr>
      <w:r w:rsidRPr="00BC45AD">
        <w:rPr>
          <w:sz w:val="16"/>
        </w:rPr>
        <w:t xml:space="preserve">The utility of </w:t>
      </w:r>
      <w:r w:rsidRPr="00BC45AD">
        <w:rPr>
          <w:rStyle w:val="StyleUnderline"/>
          <w:highlight w:val="cyan"/>
        </w:rPr>
        <w:t>climate interventions</w:t>
      </w:r>
      <w:r w:rsidRPr="00BC45AD">
        <w:rPr>
          <w:rStyle w:val="StyleUnderline"/>
        </w:rPr>
        <w:t xml:space="preserve"> involving CDR and solar radiation modification </w:t>
      </w:r>
      <w:r w:rsidRPr="00BC45AD">
        <w:rPr>
          <w:rStyle w:val="StyleUnderline"/>
          <w:highlight w:val="cyan"/>
        </w:rPr>
        <w:t>depends not</w:t>
      </w:r>
      <w:r w:rsidRPr="00BC45AD">
        <w:rPr>
          <w:rStyle w:val="StyleUnderline"/>
        </w:rPr>
        <w:t xml:space="preserve"> necessarily </w:t>
      </w:r>
      <w:r w:rsidRPr="00BC45AD">
        <w:rPr>
          <w:rStyle w:val="StyleUnderline"/>
          <w:highlight w:val="cyan"/>
        </w:rPr>
        <w:t>on the technology, but</w:t>
      </w:r>
      <w:r w:rsidRPr="00BC45AD">
        <w:rPr>
          <w:rStyle w:val="StyleUnderline"/>
        </w:rPr>
        <w:t xml:space="preserve"> on </w:t>
      </w:r>
      <w:r w:rsidRPr="00BC45AD">
        <w:rPr>
          <w:rStyle w:val="StyleUnderline"/>
          <w:highlight w:val="cyan"/>
        </w:rPr>
        <w:t>how they are managed</w:t>
      </w:r>
      <w:r w:rsidRPr="00BC45AD">
        <w:rPr>
          <w:rStyle w:val="StyleUnderline"/>
        </w:rPr>
        <w:t xml:space="preserve">, on the actor </w:t>
      </w:r>
      <w:r w:rsidRPr="00BC45AD">
        <w:rPr>
          <w:rStyle w:val="StyleUnderline"/>
          <w:highlight w:val="cyan"/>
        </w:rPr>
        <w:t>coalitions that</w:t>
      </w:r>
      <w:r w:rsidRPr="00BC45AD">
        <w:rPr>
          <w:rStyle w:val="StyleUnderline"/>
        </w:rPr>
        <w:t xml:space="preserve"> </w:t>
      </w:r>
      <w:r w:rsidRPr="00BC45AD">
        <w:rPr>
          <w:rStyle w:val="StyleUnderline"/>
          <w:highlight w:val="cyan"/>
        </w:rPr>
        <w:t>support or oppose them</w:t>
      </w:r>
      <w:r w:rsidRPr="00BC45AD">
        <w:rPr>
          <w:rStyle w:val="StyleUnderline"/>
        </w:rPr>
        <w:t xml:space="preserve">, on the </w:t>
      </w:r>
      <w:r w:rsidRPr="00BC45AD">
        <w:rPr>
          <w:rStyle w:val="StyleUnderline"/>
          <w:highlight w:val="cyan"/>
        </w:rPr>
        <w:t>innovation dynamics and</w:t>
      </w:r>
      <w:r w:rsidRPr="00BC45AD">
        <w:rPr>
          <w:rStyle w:val="StyleUnderline"/>
        </w:rPr>
        <w:t xml:space="preserve"> styles evident, or the </w:t>
      </w:r>
      <w:r w:rsidRPr="00BC45AD">
        <w:rPr>
          <w:rStyle w:val="StyleUnderline"/>
          <w:highlight w:val="cyan"/>
        </w:rPr>
        <w:t>perceived co-impacts</w:t>
      </w:r>
      <w:r w:rsidRPr="00BC45AD">
        <w:rPr>
          <w:rStyle w:val="StyleUnderline"/>
        </w:rPr>
        <w:t xml:space="preserve"> at play</w:t>
      </w:r>
      <w:r w:rsidRPr="00BC45AD">
        <w:rPr>
          <w:sz w:val="16"/>
        </w:rPr>
        <w:t xml:space="preserve">. There is some agreement that </w:t>
      </w:r>
      <w:r w:rsidRPr="00BC45AD">
        <w:rPr>
          <w:rStyle w:val="StyleUnderline"/>
        </w:rPr>
        <w:t xml:space="preserve">innovations and </w:t>
      </w:r>
      <w:r w:rsidRPr="00BC45AD">
        <w:rPr>
          <w:rStyle w:val="StyleUnderline"/>
          <w:highlight w:val="cyan"/>
        </w:rPr>
        <w:t>experiments have</w:t>
      </w:r>
      <w:r w:rsidRPr="00BC45AD">
        <w:rPr>
          <w:rStyle w:val="StyleUnderline"/>
        </w:rPr>
        <w:t xml:space="preserve"> the </w:t>
      </w:r>
      <w:r w:rsidRPr="00BC45AD">
        <w:rPr>
          <w:rStyle w:val="StyleUnderline"/>
          <w:highlight w:val="cyan"/>
        </w:rPr>
        <w:t>potential</w:t>
      </w:r>
      <w:r w:rsidRPr="00BC45AD">
        <w:rPr>
          <w:rStyle w:val="StyleUnderline"/>
        </w:rPr>
        <w:t xml:space="preserve"> to work well, when undertaken </w:t>
      </w:r>
      <w:r w:rsidRPr="00BC45AD">
        <w:rPr>
          <w:rStyle w:val="StyleUnderline"/>
          <w:highlight w:val="cyan"/>
        </w:rPr>
        <w:t>with proper safeguards</w:t>
      </w:r>
      <w:r w:rsidRPr="00BC45AD">
        <w:rPr>
          <w:rStyle w:val="StyleUnderline"/>
        </w:rPr>
        <w:t xml:space="preserve"> in place, properly regulated and enforced, done </w:t>
      </w:r>
      <w:r w:rsidRPr="00BC45AD">
        <w:rPr>
          <w:rStyle w:val="StyleUnderline"/>
          <w:highlight w:val="cyan"/>
        </w:rPr>
        <w:t xml:space="preserve">in a fully </w:t>
      </w:r>
      <w:r w:rsidRPr="00BC45AD">
        <w:rPr>
          <w:rStyle w:val="Emphasis"/>
          <w:highlight w:val="cyan"/>
        </w:rPr>
        <w:t>transparent</w:t>
      </w:r>
      <w:r w:rsidRPr="00BC45AD">
        <w:rPr>
          <w:rStyle w:val="StyleUnderline"/>
          <w:highlight w:val="cyan"/>
        </w:rPr>
        <w:t xml:space="preserve"> manner, with</w:t>
      </w:r>
      <w:r w:rsidRPr="00BC45AD">
        <w:rPr>
          <w:rStyle w:val="StyleUnderline"/>
        </w:rPr>
        <w:t xml:space="preserve"> requisite </w:t>
      </w:r>
      <w:r w:rsidRPr="00BC45AD">
        <w:rPr>
          <w:rStyle w:val="Emphasis"/>
          <w:highlight w:val="cyan"/>
        </w:rPr>
        <w:t>accountability</w:t>
      </w:r>
      <w:r w:rsidRPr="00BC45AD">
        <w:rPr>
          <w:rStyle w:val="StyleUnderline"/>
        </w:rPr>
        <w:t xml:space="preserve">, and with robust </w:t>
      </w:r>
      <w:r w:rsidRPr="00BC45AD">
        <w:rPr>
          <w:rStyle w:val="Emphasis"/>
          <w:highlight w:val="cyan"/>
        </w:rPr>
        <w:t>measuring</w:t>
      </w:r>
      <w:r w:rsidRPr="00BC45AD">
        <w:rPr>
          <w:rStyle w:val="Emphasis"/>
        </w:rPr>
        <w:t xml:space="preserve"> and </w:t>
      </w:r>
      <w:r w:rsidRPr="00BC45AD">
        <w:rPr>
          <w:rStyle w:val="Emphasis"/>
          <w:highlight w:val="cyan"/>
        </w:rPr>
        <w:t>monitoring</w:t>
      </w:r>
      <w:r w:rsidRPr="00BC45AD">
        <w:rPr>
          <w:rStyle w:val="StyleUnderline"/>
        </w:rPr>
        <w:t xml:space="preserve"> of environmental impacts </w:t>
      </w:r>
      <w:r w:rsidRPr="00BC45AD">
        <w:rPr>
          <w:rStyle w:val="StyleUnderline"/>
          <w:highlight w:val="cyan"/>
        </w:rPr>
        <w:t>and</w:t>
      </w:r>
      <w:r w:rsidRPr="00BC45AD">
        <w:rPr>
          <w:rStyle w:val="StyleUnderline"/>
        </w:rPr>
        <w:t xml:space="preserve"> </w:t>
      </w:r>
      <w:r w:rsidRPr="00BC45AD">
        <w:rPr>
          <w:rStyle w:val="Emphasis"/>
        </w:rPr>
        <w:t xml:space="preserve">meaningful </w:t>
      </w:r>
      <w:r w:rsidRPr="00BC45AD">
        <w:rPr>
          <w:rStyle w:val="Emphasis"/>
          <w:highlight w:val="cyan"/>
        </w:rPr>
        <w:t>engagement</w:t>
      </w:r>
      <w:r w:rsidRPr="00BC45AD">
        <w:rPr>
          <w:rStyle w:val="StyleUnderline"/>
        </w:rPr>
        <w:t xml:space="preserve"> with local communities</w:t>
      </w:r>
      <w:r w:rsidRPr="00BC45AD">
        <w:rPr>
          <w:sz w:val="16"/>
        </w:rPr>
        <w:t xml:space="preserve"> (e.g., Boettcher et al. 2023; Gardiner and </w:t>
      </w:r>
      <w:proofErr w:type="spellStart"/>
      <w:r w:rsidRPr="00BC45AD">
        <w:rPr>
          <w:sz w:val="16"/>
        </w:rPr>
        <w:t>Fragnière</w:t>
      </w:r>
      <w:proofErr w:type="spellEnd"/>
      <w:r w:rsidRPr="00BC45AD">
        <w:rPr>
          <w:sz w:val="16"/>
        </w:rPr>
        <w:t xml:space="preserve"> 2020; Hubert 2021; Nawaz and </w:t>
      </w:r>
      <w:proofErr w:type="spellStart"/>
      <w:r w:rsidRPr="00BC45AD">
        <w:rPr>
          <w:sz w:val="16"/>
        </w:rPr>
        <w:t>Lezaun</w:t>
      </w:r>
      <w:proofErr w:type="spellEnd"/>
      <w:r w:rsidRPr="00BC45AD">
        <w:rPr>
          <w:sz w:val="16"/>
        </w:rPr>
        <w:t xml:space="preserve"> 2024; Nawaz et al. 2024; Reynolds 2019). </w:t>
      </w:r>
    </w:p>
    <w:p w14:paraId="60B2E686" w14:textId="77777777" w:rsidR="006F2C07" w:rsidRPr="00BC45AD" w:rsidRDefault="006F2C07" w:rsidP="006F2C07">
      <w:pPr>
        <w:rPr>
          <w:sz w:val="16"/>
        </w:rPr>
      </w:pPr>
      <w:r w:rsidRPr="00BC45AD">
        <w:rPr>
          <w:sz w:val="16"/>
        </w:rPr>
        <w:t xml:space="preserve">However, </w:t>
      </w:r>
      <w:r w:rsidRPr="00BC45AD">
        <w:rPr>
          <w:rStyle w:val="StyleUnderline"/>
          <w:highlight w:val="cyan"/>
        </w:rPr>
        <w:t>when</w:t>
      </w:r>
      <w:r w:rsidRPr="00BC45AD">
        <w:rPr>
          <w:rStyle w:val="StyleUnderline"/>
        </w:rPr>
        <w:t xml:space="preserve"> environmental </w:t>
      </w:r>
      <w:r w:rsidRPr="00BC45AD">
        <w:rPr>
          <w:rStyle w:val="StyleUnderline"/>
          <w:highlight w:val="cyan"/>
        </w:rPr>
        <w:t>impacts are poorly managed</w:t>
      </w:r>
      <w:r w:rsidRPr="00BC45AD">
        <w:rPr>
          <w:rStyle w:val="StyleUnderline"/>
        </w:rPr>
        <w:t xml:space="preserve">, when </w:t>
      </w:r>
      <w:r w:rsidRPr="00BC45AD">
        <w:rPr>
          <w:rStyle w:val="StyleUnderline"/>
          <w:highlight w:val="cyan"/>
        </w:rPr>
        <w:t>promises are overhyped</w:t>
      </w:r>
      <w:r w:rsidRPr="00BC45AD">
        <w:rPr>
          <w:rStyle w:val="StyleUnderline"/>
        </w:rPr>
        <w:t xml:space="preserve">, when </w:t>
      </w:r>
      <w:r w:rsidRPr="00BC45AD">
        <w:rPr>
          <w:rStyle w:val="StyleUnderline"/>
          <w:highlight w:val="cyan"/>
        </w:rPr>
        <w:t>community well-being or social attitudes are downplayed</w:t>
      </w:r>
      <w:r w:rsidRPr="00BC45AD">
        <w:rPr>
          <w:rStyle w:val="StyleUnderline"/>
        </w:rPr>
        <w:t xml:space="preserve"> or disregarded, </w:t>
      </w:r>
      <w:r w:rsidRPr="00BC45AD">
        <w:rPr>
          <w:rStyle w:val="StyleUnderline"/>
          <w:highlight w:val="cyan"/>
        </w:rPr>
        <w:t>uncertainty can</w:t>
      </w:r>
      <w:r w:rsidRPr="00BC45AD">
        <w:rPr>
          <w:rStyle w:val="StyleUnderline"/>
        </w:rPr>
        <w:t xml:space="preserve"> </w:t>
      </w:r>
      <w:r w:rsidRPr="00BC45AD">
        <w:rPr>
          <w:rStyle w:val="StyleUnderline"/>
          <w:highlight w:val="cyan"/>
        </w:rPr>
        <w:t>give rise to public opposition and</w:t>
      </w:r>
      <w:r w:rsidRPr="00BC45AD">
        <w:rPr>
          <w:rStyle w:val="StyleUnderline"/>
        </w:rPr>
        <w:t xml:space="preserve">, in extreme cases, a call for moratoria or sustained </w:t>
      </w:r>
      <w:r w:rsidRPr="00BC45AD">
        <w:rPr>
          <w:rStyle w:val="StyleUnderline"/>
          <w:highlight w:val="cyan"/>
        </w:rPr>
        <w:t>protest</w:t>
      </w:r>
      <w:r w:rsidRPr="00BC45AD">
        <w:rPr>
          <w:sz w:val="16"/>
        </w:rPr>
        <w:t xml:space="preserve">. In this way, any purported benefits of climate </w:t>
      </w:r>
      <w:proofErr w:type="gramStart"/>
      <w:r w:rsidRPr="00BC45AD">
        <w:rPr>
          <w:sz w:val="16"/>
        </w:rPr>
        <w:t>interventions</w:t>
      </w:r>
      <w:proofErr w:type="gramEnd"/>
      <w:r w:rsidRPr="00BC45AD">
        <w:rPr>
          <w:sz w:val="16"/>
        </w:rPr>
        <w:t xml:space="preserve"> can be as much a mirage as a miracle; they can quickly evaporate under the wrong sociotechnical, innovation, or political conditions.</w:t>
      </w:r>
    </w:p>
    <w:p w14:paraId="4A42994A" w14:textId="77777777" w:rsidR="006F2C07" w:rsidRDefault="006F2C07" w:rsidP="006F2C07">
      <w:pPr>
        <w:pStyle w:val="Heading3"/>
      </w:pPr>
      <w:r>
        <w:t>2AC---Governance Key</w:t>
      </w:r>
    </w:p>
    <w:p w14:paraId="77FF9A53" w14:textId="77777777" w:rsidR="006F2C07" w:rsidRDefault="006F2C07" w:rsidP="006F2C07">
      <w:pPr>
        <w:pStyle w:val="Heading4"/>
      </w:pPr>
      <w:r>
        <w:t>Governance is key --- otherwise unregulated experiments proliferate.</w:t>
      </w:r>
    </w:p>
    <w:p w14:paraId="23D05851" w14:textId="77777777" w:rsidR="006F2C07" w:rsidRPr="005528A5" w:rsidRDefault="006F2C07" w:rsidP="006F2C07">
      <w:proofErr w:type="spellStart"/>
      <w:r>
        <w:t>Sikini</w:t>
      </w:r>
      <w:proofErr w:type="spellEnd"/>
      <w:r>
        <w:t xml:space="preserve"> </w:t>
      </w:r>
      <w:r w:rsidRPr="00B51A23">
        <w:rPr>
          <w:rStyle w:val="Style13ptBold"/>
        </w:rPr>
        <w:t>Jinnah et al</w:t>
      </w:r>
      <w:r>
        <w:t xml:space="preserve"> 8-8-20</w:t>
      </w:r>
      <w:r w:rsidRPr="00B51A23">
        <w:rPr>
          <w:rStyle w:val="Style13ptBold"/>
        </w:rPr>
        <w:t>24</w:t>
      </w:r>
      <w:r>
        <w:t xml:space="preserve">, Dr. Sikina Jinnah is a Professor of Environmental Studies, an affiliated graduate faculty of Politics at the University of California at Santa Cruz. Dr. Shuchi Talati is a climate technology governance expert and founder &amp; executive director of The Alliance for Just Deliberation on Solar Geoengineering. Louise Bedsworth is Executive Director at the Center for Law, Energy, and the Environment where she also serves as a Senior Advisor to the California-China Climate Institute. Michael Gerrard is the former chair of the American Bar Association’s 10,000-member Section of Environment, Energy, and Resources and a Professor of Professional Practice at Columbia Law School. Michael Kleeman is a visiting scholar at the </w:t>
      </w:r>
      <w:proofErr w:type="gramStart"/>
      <w:r>
        <w:t>School</w:t>
      </w:r>
      <w:proofErr w:type="gramEnd"/>
      <w:r>
        <w:t xml:space="preserve"> and senior fellow at the UC Institute on Global Conflict and Cooperation. Robert Lempert is director of the Frederick S. Pardee Center for Longer Range Global Policy and </w:t>
      </w:r>
      <w:proofErr w:type="gramStart"/>
      <w:r>
        <w:t>the Future</w:t>
      </w:r>
      <w:proofErr w:type="gramEnd"/>
      <w:r>
        <w:t xml:space="preserve"> Human Condition, a principal researcher at RAND, and a professor of policy analysis at the RAND School of Public Policy. Katharine Mach is professor and chair of the Department of Environmental Science and Policy at the University of Miami Rosenstiel School of Marine, Atmospheric, &amp; Earth Science. Dr. Nurse has been a member of the IPCC’s research and author team for four global assessment reports. Dr. Hosea Olayiwola Patrick is a Postdoctoral fellow in the School of Built Environment and Development Studies, University of KwaZulu-Natal, South Africa. Masahiro (Masa) Sugiyama is a Professor at the Institute for Future </w:t>
      </w:r>
      <w:proofErr w:type="gramStart"/>
      <w:r>
        <w:t>Initiatives(</w:t>
      </w:r>
      <w:proofErr w:type="gramEnd"/>
      <w:r>
        <w:t xml:space="preserve">IFI), the University of </w:t>
      </w:r>
      <w:proofErr w:type="gramStart"/>
      <w:r>
        <w:t>Tokyo(</w:t>
      </w:r>
      <w:proofErr w:type="spellStart"/>
      <w:proofErr w:type="gramEnd"/>
      <w:r>
        <w:t>UTokyo</w:t>
      </w:r>
      <w:proofErr w:type="spellEnd"/>
      <w:r>
        <w:t>). He is an expert on long-term climate policy. “Do small outdoor geoengineering experiments require governance?” DOI: 10.1126/</w:t>
      </w:r>
      <w:proofErr w:type="gramStart"/>
      <w:r>
        <w:t>science.adn</w:t>
      </w:r>
      <w:proofErr w:type="gramEnd"/>
      <w:r>
        <w:t>2853 //MDC</w:t>
      </w:r>
    </w:p>
    <w:p w14:paraId="0AD8E023" w14:textId="77777777" w:rsidR="006F2C07" w:rsidRPr="005528A5" w:rsidRDefault="006F2C07" w:rsidP="006F2C07">
      <w:pPr>
        <w:rPr>
          <w:sz w:val="16"/>
        </w:rPr>
      </w:pPr>
      <w:r w:rsidRPr="005528A5">
        <w:rPr>
          <w:sz w:val="16"/>
        </w:rPr>
        <w:t>Political Context</w:t>
      </w:r>
    </w:p>
    <w:p w14:paraId="3D1B67D8" w14:textId="77777777" w:rsidR="006F2C07" w:rsidRPr="005528A5" w:rsidRDefault="006F2C07" w:rsidP="006F2C07">
      <w:pPr>
        <w:rPr>
          <w:sz w:val="16"/>
        </w:rPr>
      </w:pPr>
      <w:r w:rsidRPr="005528A5">
        <w:rPr>
          <w:sz w:val="16"/>
        </w:rPr>
        <w:t xml:space="preserve">Atmospheric research </w:t>
      </w:r>
      <w:proofErr w:type="gramStart"/>
      <w:r w:rsidRPr="005528A5">
        <w:rPr>
          <w:sz w:val="16"/>
        </w:rPr>
        <w:t>similar to</w:t>
      </w:r>
      <w:proofErr w:type="gramEnd"/>
      <w:r w:rsidRPr="005528A5">
        <w:rPr>
          <w:sz w:val="16"/>
        </w:rPr>
        <w:t xml:space="preserve"> that proposed through </w:t>
      </w:r>
      <w:proofErr w:type="spellStart"/>
      <w:r w:rsidRPr="005528A5">
        <w:rPr>
          <w:sz w:val="16"/>
        </w:rPr>
        <w:t>SCoPEx</w:t>
      </w:r>
      <w:proofErr w:type="spellEnd"/>
      <w:r w:rsidRPr="005528A5">
        <w:rPr>
          <w:sz w:val="16"/>
        </w:rPr>
        <w:t xml:space="preserve"> has been conducted for years under the auspices of basic science (3). However, understanding the deep uncertainties surrounding SG and the broader implications of SG research, the Harvard research team communicated </w:t>
      </w:r>
      <w:proofErr w:type="spellStart"/>
      <w:r w:rsidRPr="005528A5">
        <w:rPr>
          <w:sz w:val="16"/>
        </w:rPr>
        <w:t>SCoPEx</w:t>
      </w:r>
      <w:proofErr w:type="spellEnd"/>
      <w:r w:rsidRPr="005528A5">
        <w:rPr>
          <w:sz w:val="16"/>
        </w:rPr>
        <w:t xml:space="preserve"> as an SG experiment from the very beginning, even though the project could have been (disingenuously) framed as one solely interested in basic science. The </w:t>
      </w:r>
      <w:proofErr w:type="spellStart"/>
      <w:r w:rsidRPr="005528A5">
        <w:rPr>
          <w:sz w:val="16"/>
        </w:rPr>
        <w:t>SCoPEx</w:t>
      </w:r>
      <w:proofErr w:type="spellEnd"/>
      <w:r w:rsidRPr="005528A5">
        <w:rPr>
          <w:sz w:val="16"/>
        </w:rPr>
        <w:t xml:space="preserve"> research team was transparent about their plans, regularly engaging with media and other interested parties. These were socially responsible decisions, which brought with them both acclaim and scrutiny and informed Harvard’s 2019 decision to create an independent AC. These decisions were prescient, given the recent increase in activity around SG research.</w:t>
      </w:r>
    </w:p>
    <w:p w14:paraId="5F6BAE19" w14:textId="77777777" w:rsidR="006F2C07" w:rsidRPr="005528A5" w:rsidRDefault="006F2C07" w:rsidP="006F2C07">
      <w:pPr>
        <w:rPr>
          <w:sz w:val="16"/>
        </w:rPr>
      </w:pPr>
      <w:r w:rsidRPr="00B51A23">
        <w:rPr>
          <w:rStyle w:val="StyleUnderline"/>
          <w:highlight w:val="cyan"/>
        </w:rPr>
        <w:t>Although taboo</w:t>
      </w:r>
      <w:r w:rsidRPr="005528A5">
        <w:rPr>
          <w:rStyle w:val="StyleUnderline"/>
        </w:rPr>
        <w:t xml:space="preserve"> for many years, </w:t>
      </w:r>
      <w:r w:rsidRPr="00B51A23">
        <w:rPr>
          <w:rStyle w:val="StyleUnderline"/>
          <w:highlight w:val="cyan"/>
        </w:rPr>
        <w:t>there has been a noticeable increase</w:t>
      </w:r>
      <w:r w:rsidRPr="005528A5">
        <w:rPr>
          <w:rStyle w:val="StyleUnderline"/>
        </w:rPr>
        <w:t xml:space="preserve"> recently </w:t>
      </w:r>
      <w:r w:rsidRPr="00B51A23">
        <w:rPr>
          <w:rStyle w:val="StyleUnderline"/>
          <w:highlight w:val="cyan"/>
        </w:rPr>
        <w:t>in</w:t>
      </w:r>
      <w:r w:rsidRPr="005528A5">
        <w:rPr>
          <w:rStyle w:val="StyleUnderline"/>
        </w:rPr>
        <w:t xml:space="preserve"> discussion and activity around </w:t>
      </w:r>
      <w:r w:rsidRPr="00B51A23">
        <w:rPr>
          <w:rStyle w:val="StyleUnderline"/>
          <w:highlight w:val="cyan"/>
        </w:rPr>
        <w:t>SG</w:t>
      </w:r>
      <w:r w:rsidRPr="005528A5">
        <w:rPr>
          <w:rStyle w:val="StyleUnderline"/>
        </w:rPr>
        <w:t xml:space="preserve"> research due to growing concern that greenhouse gas emissions mitigation and climate change adaptation efforts alone will be insufficient to limit harm from climate impacts</w:t>
      </w:r>
      <w:r w:rsidRPr="005528A5">
        <w:rPr>
          <w:sz w:val="16"/>
        </w:rPr>
        <w:t xml:space="preserve">. This includes activities with the United Nations (UN) Environment </w:t>
      </w:r>
      <w:proofErr w:type="spellStart"/>
      <w:r w:rsidRPr="005528A5">
        <w:rPr>
          <w:sz w:val="16"/>
        </w:rPr>
        <w:t>Programme</w:t>
      </w:r>
      <w:proofErr w:type="spellEnd"/>
      <w:r w:rsidRPr="005528A5">
        <w:rPr>
          <w:sz w:val="16"/>
        </w:rPr>
        <w:t xml:space="preserve"> (4), the US Congress and White House Office of Science and Technology Policy (5, 6), and the US National Academies of Science, Engineering, and Medicine (7). We have also seen an uptick in discussions of SG and its governance within international forums, including consideration of increased assessment activities with the Intergovernmental Panel on Climate Change (8), and two relatively innocuous, yet nonetheless controversial, draft resolutions considered (and subsequently withdrawn) at the UN Environment Assembly (UNEA) in 2019 and 2024. Additional activity reports in 2023 related to solar radiation modification include the European Commission, the UN Human Rights Council Commission Advisory Committee, and the UN Educational, Scientific, and Cultural Organization.</w:t>
      </w:r>
    </w:p>
    <w:p w14:paraId="4102CCC0" w14:textId="77777777" w:rsidR="006F2C07" w:rsidRPr="005528A5" w:rsidRDefault="006F2C07" w:rsidP="006F2C07">
      <w:pPr>
        <w:rPr>
          <w:rStyle w:val="StyleUnderline"/>
        </w:rPr>
      </w:pPr>
      <w:r w:rsidRPr="005528A5">
        <w:rPr>
          <w:sz w:val="16"/>
        </w:rPr>
        <w:t xml:space="preserve">The </w:t>
      </w:r>
      <w:r w:rsidRPr="00B51A23">
        <w:rPr>
          <w:rStyle w:val="StyleUnderline"/>
          <w:highlight w:val="cyan"/>
        </w:rPr>
        <w:t>first</w:t>
      </w:r>
      <w:r w:rsidRPr="005528A5">
        <w:rPr>
          <w:rStyle w:val="StyleUnderline"/>
        </w:rPr>
        <w:t xml:space="preserve"> outdoor </w:t>
      </w:r>
      <w:r w:rsidRPr="00B51A23">
        <w:rPr>
          <w:rStyle w:val="Emphasis"/>
          <w:highlight w:val="cyan"/>
        </w:rPr>
        <w:t>marine cloud brightening experiment</w:t>
      </w:r>
      <w:r w:rsidRPr="005528A5">
        <w:rPr>
          <w:rStyle w:val="StyleUnderline"/>
        </w:rPr>
        <w:t xml:space="preserve"> in the United States </w:t>
      </w:r>
      <w:r w:rsidRPr="00B51A23">
        <w:rPr>
          <w:rStyle w:val="StyleUnderline"/>
          <w:highlight w:val="cyan"/>
        </w:rPr>
        <w:t>was launched in</w:t>
      </w:r>
      <w:r w:rsidRPr="005528A5">
        <w:rPr>
          <w:rStyle w:val="StyleUnderline"/>
        </w:rPr>
        <w:t xml:space="preserve"> Alameda, California, in </w:t>
      </w:r>
      <w:r w:rsidRPr="00B51A23">
        <w:rPr>
          <w:rStyle w:val="StyleUnderline"/>
          <w:highlight w:val="cyan"/>
        </w:rPr>
        <w:t>April 2024</w:t>
      </w:r>
      <w:r w:rsidRPr="005528A5">
        <w:rPr>
          <w:sz w:val="16"/>
        </w:rPr>
        <w:t xml:space="preserve">. The experiment, led by researchers from the University of Washington, took place on the deck of the USS Hornet, a ship docked in Alameda. The city asserted authority over the experiment location and halted the experiment a few weeks after its launch owing in large part to transparency concerns and a lack of research team engagement with the city (9). </w:t>
      </w:r>
      <w:r w:rsidRPr="00B51A23">
        <w:rPr>
          <w:rStyle w:val="StyleUnderline"/>
          <w:highlight w:val="cyan"/>
        </w:rPr>
        <w:t>There has also been an uptick in irresponsible SG activities</w:t>
      </w:r>
      <w:r w:rsidRPr="005528A5">
        <w:rPr>
          <w:rStyle w:val="StyleUnderline"/>
        </w:rPr>
        <w:t>, including Make Sunsets’ particle release using balloons in both the United States and Mexico, which were not tied to any legitimate scientific pursuit or controlled experiment but were rather a performative endeavor to commercialize SG by creating and selling unverified “cooling credits</w:t>
      </w:r>
      <w:r w:rsidRPr="005528A5">
        <w:rPr>
          <w:sz w:val="16"/>
        </w:rPr>
        <w:t xml:space="preserve">.” These irresponsible activities led to an intended ban on SG experimentation by the Mexican government (9–11) and </w:t>
      </w:r>
      <w:r w:rsidRPr="00B51A23">
        <w:rPr>
          <w:rStyle w:val="StyleUnderline"/>
          <w:highlight w:val="cyan"/>
        </w:rPr>
        <w:t>point to a need for research governance that can</w:t>
      </w:r>
      <w:r w:rsidRPr="005528A5">
        <w:rPr>
          <w:rStyle w:val="StyleUnderline"/>
        </w:rPr>
        <w:t xml:space="preserve"> both </w:t>
      </w:r>
      <w:r w:rsidRPr="00B51A23">
        <w:rPr>
          <w:rStyle w:val="StyleUnderline"/>
          <w:highlight w:val="cyan"/>
        </w:rPr>
        <w:t>inhibit irresponsible</w:t>
      </w:r>
      <w:r w:rsidRPr="005528A5">
        <w:rPr>
          <w:rStyle w:val="StyleUnderline"/>
        </w:rPr>
        <w:t xml:space="preserve"> and/or unnecessary </w:t>
      </w:r>
      <w:r w:rsidRPr="00B51A23">
        <w:rPr>
          <w:rStyle w:val="StyleUnderline"/>
          <w:highlight w:val="cyan"/>
        </w:rPr>
        <w:t>work and enable responsible</w:t>
      </w:r>
      <w:r w:rsidRPr="005528A5">
        <w:rPr>
          <w:rStyle w:val="StyleUnderline"/>
        </w:rPr>
        <w:t xml:space="preserve">, inclusive, well-designed </w:t>
      </w:r>
      <w:r w:rsidRPr="00B51A23">
        <w:rPr>
          <w:rStyle w:val="StyleUnderline"/>
          <w:highlight w:val="cyan"/>
        </w:rPr>
        <w:t>research</w:t>
      </w:r>
      <w:r w:rsidRPr="005528A5">
        <w:rPr>
          <w:rStyle w:val="StyleUnderline"/>
        </w:rPr>
        <w:t>.</w:t>
      </w:r>
    </w:p>
    <w:p w14:paraId="2375A929" w14:textId="77777777" w:rsidR="006F2C07" w:rsidRPr="005528A5" w:rsidRDefault="006F2C07" w:rsidP="006F2C07">
      <w:pPr>
        <w:rPr>
          <w:sz w:val="16"/>
        </w:rPr>
      </w:pPr>
      <w:r w:rsidRPr="005528A5">
        <w:rPr>
          <w:sz w:val="16"/>
        </w:rPr>
        <w:t>Governance Framework</w:t>
      </w:r>
    </w:p>
    <w:p w14:paraId="73E74157" w14:textId="77777777" w:rsidR="006F2C07" w:rsidRPr="005528A5" w:rsidRDefault="006F2C07" w:rsidP="006F2C07">
      <w:pPr>
        <w:rPr>
          <w:sz w:val="16"/>
        </w:rPr>
      </w:pPr>
      <w:r w:rsidRPr="005528A5">
        <w:rPr>
          <w:sz w:val="16"/>
        </w:rPr>
        <w:t xml:space="preserve">Harvard’s Solar Geoengineering Research Program provided funding for </w:t>
      </w:r>
      <w:proofErr w:type="spellStart"/>
      <w:r w:rsidRPr="005528A5">
        <w:rPr>
          <w:sz w:val="16"/>
        </w:rPr>
        <w:t>SCoPEx</w:t>
      </w:r>
      <w:proofErr w:type="spellEnd"/>
      <w:r w:rsidRPr="005528A5">
        <w:rPr>
          <w:sz w:val="16"/>
        </w:rPr>
        <w:t xml:space="preserve">, and in 2019, Harvard established the AC to provide research governance for the project. A search committee nominated the initial committee chair (co-author L.B.) to Harvard’s vice provost of research. The chair then worked with Harvard to nominate and invite initial AC members, under the assumption </w:t>
      </w:r>
      <w:proofErr w:type="spellStart"/>
      <w:r w:rsidRPr="005528A5">
        <w:rPr>
          <w:sz w:val="16"/>
        </w:rPr>
        <w:t>SCoPEx</w:t>
      </w:r>
      <w:proofErr w:type="spellEnd"/>
      <w:r w:rsidRPr="005528A5">
        <w:rPr>
          <w:sz w:val="16"/>
        </w:rPr>
        <w:t xml:space="preserve"> would be a domestic experiment. The AC worked with Harvard and the research team until Harvard’s public announcement of </w:t>
      </w:r>
      <w:proofErr w:type="spellStart"/>
      <w:r w:rsidRPr="005528A5">
        <w:rPr>
          <w:sz w:val="16"/>
        </w:rPr>
        <w:t>SCoPEx’s</w:t>
      </w:r>
      <w:proofErr w:type="spellEnd"/>
      <w:r w:rsidRPr="005528A5">
        <w:rPr>
          <w:sz w:val="16"/>
        </w:rPr>
        <w:t xml:space="preserve"> cancellation in 2024. Over this period, AC membership shifted, and the AC adopted a co-chair structure (co-authors L.B., S.J., and S.T.). At the same time, the research team developed and built the gondola to be used for the experiment and explored possible launch sites. This included consideration of a site in Sweden for a potential engineering test flight (i.e., no particle release) that was cancelled in 2021. After that test flight cancellation, the research team turned its attention back to possible sites in the United States.</w:t>
      </w:r>
    </w:p>
    <w:p w14:paraId="09C29055" w14:textId="77777777" w:rsidR="006F2C07" w:rsidRPr="005528A5" w:rsidRDefault="006F2C07" w:rsidP="006F2C07">
      <w:pPr>
        <w:rPr>
          <w:sz w:val="16"/>
        </w:rPr>
      </w:pPr>
      <w:r w:rsidRPr="005528A5">
        <w:rPr>
          <w:sz w:val="16"/>
        </w:rPr>
        <w:t xml:space="preserve">Per its terms of reference, the AC developed a governance framework to guide evaluation of </w:t>
      </w:r>
      <w:proofErr w:type="spellStart"/>
      <w:r w:rsidRPr="005528A5">
        <w:rPr>
          <w:sz w:val="16"/>
        </w:rPr>
        <w:t>SCoPEx</w:t>
      </w:r>
      <w:proofErr w:type="spellEnd"/>
      <w:r w:rsidRPr="005528A5">
        <w:rPr>
          <w:sz w:val="16"/>
        </w:rPr>
        <w:t xml:space="preserve"> along several dimensions: engineering and safety, technical and scientific merit, financial conflict of interest and transparency, legal compliance, and societal engagement (2). Drawing on lessons from the scholarly literature and building on previous work done on public engagement of outdoor experimentation (e.g., 12, 13) and responsible research and innovation (14), the AC’s framework is, as far as we are aware, the most comprehensive research governance framework to be empirically applied in the SG field.</w:t>
      </w:r>
    </w:p>
    <w:p w14:paraId="0827CBBF" w14:textId="77777777" w:rsidR="006F2C07" w:rsidRPr="005528A5" w:rsidRDefault="006F2C07" w:rsidP="006F2C07">
      <w:pPr>
        <w:rPr>
          <w:sz w:val="16"/>
        </w:rPr>
      </w:pPr>
      <w:r w:rsidRPr="005528A5">
        <w:rPr>
          <w:sz w:val="16"/>
        </w:rPr>
        <w:t>Tensions</w:t>
      </w:r>
    </w:p>
    <w:p w14:paraId="79C02112" w14:textId="77777777" w:rsidR="006F2C07" w:rsidRPr="005528A5" w:rsidRDefault="006F2C07" w:rsidP="006F2C07">
      <w:pPr>
        <w:rPr>
          <w:sz w:val="16"/>
        </w:rPr>
      </w:pPr>
      <w:r w:rsidRPr="005528A5">
        <w:rPr>
          <w:sz w:val="16"/>
        </w:rPr>
        <w:t xml:space="preserve">The process of developing and implementing this framework was complex, and the AC grappled with various tensions, which are shared here to assist others in pursuing research governance in the future. The principal tension was related to societal engagement. The cancellation of </w:t>
      </w:r>
      <w:proofErr w:type="spellStart"/>
      <w:r w:rsidRPr="005528A5">
        <w:rPr>
          <w:sz w:val="16"/>
        </w:rPr>
        <w:t>SCoPEx’s</w:t>
      </w:r>
      <w:proofErr w:type="spellEnd"/>
      <w:r w:rsidRPr="005528A5">
        <w:rPr>
          <w:sz w:val="16"/>
        </w:rPr>
        <w:t xml:space="preserve"> first proposed engineering test flight in 2021 in Sweden was due in part to strong resistance from the Saami Council, whom the research team had not engaged with. Leading up to this 2021 cancellation, the AC disagreed, internally, on whether engagement was necessary for a test flight that did not include a particle release. In late 2020, </w:t>
      </w:r>
      <w:proofErr w:type="gramStart"/>
      <w:r w:rsidRPr="005528A5">
        <w:rPr>
          <w:sz w:val="16"/>
        </w:rPr>
        <w:t>the majority of</w:t>
      </w:r>
      <w:proofErr w:type="gramEnd"/>
      <w:r w:rsidRPr="005528A5">
        <w:rPr>
          <w:sz w:val="16"/>
        </w:rPr>
        <w:t xml:space="preserve"> the AC recommended that once a safety review was completed with no concerns, the test flight could proceed without engagement. Following the letter from the Saami Council, the AC recommended cancelling the planned test flight in Sweden. Although </w:t>
      </w:r>
      <w:proofErr w:type="gramStart"/>
      <w:r w:rsidRPr="005528A5">
        <w:rPr>
          <w:sz w:val="16"/>
        </w:rPr>
        <w:t>the Saami’s</w:t>
      </w:r>
      <w:proofErr w:type="gramEnd"/>
      <w:r w:rsidRPr="005528A5">
        <w:rPr>
          <w:sz w:val="16"/>
        </w:rPr>
        <w:t xml:space="preserve"> concerns were broader than the lack of engagement, engagement would have provided an opportunity to discuss and possibly find a path forward that all interested parties could agree to. Nonetheless, this disagreement </w:t>
      </w:r>
      <w:proofErr w:type="gramStart"/>
      <w:r w:rsidRPr="005528A5">
        <w:rPr>
          <w:sz w:val="16"/>
        </w:rPr>
        <w:t>on</w:t>
      </w:r>
      <w:proofErr w:type="gramEnd"/>
      <w:r w:rsidRPr="005528A5">
        <w:rPr>
          <w:sz w:val="16"/>
        </w:rPr>
        <w:t xml:space="preserve"> the AC around engagement brought these tensions into sharp relief and colored the AC’s discussions on this matter for several years. These tensions surrounded questions about who should do engagement (e.g., AC, research team, or an outside entity), who should be engaged (i.e., local and/or global publics), how to ensure the integrity of engagement processes (e.g., avoiding disruption by bots), and the type and extent of engagement needed (e.g., informing versus co-creating). On the latter, for example, some AC members pushed for following best practices as outlined in the engagement literature, which demand early engagement that allows time for relationship building with communities, integrating their questions into the research design, and co-creation of research questions with communities [see (15)]. Others argued that because </w:t>
      </w:r>
      <w:proofErr w:type="spellStart"/>
      <w:r w:rsidRPr="005528A5">
        <w:rPr>
          <w:sz w:val="16"/>
        </w:rPr>
        <w:t>SCoPEx</w:t>
      </w:r>
      <w:proofErr w:type="spellEnd"/>
      <w:r w:rsidRPr="005528A5">
        <w:rPr>
          <w:sz w:val="16"/>
        </w:rPr>
        <w:t xml:space="preserve"> would have no environmental impact, such extensive engagement efforts were not necessary. Other expert groups have struggled with similar tensions [see (4)], which are fundamentally about whether engagement efforts should be determined by actual physical impacts of the discrete project or by the broader meaning of SG research as related to, for example, moral hazard (e.g., the debated hypothesis that turning time and resources to SG comes at the expense of using those resources for mitigation and/or adaptation). These tensions around engagement extended beyond the AC. Recently, one leader of the </w:t>
      </w:r>
      <w:proofErr w:type="spellStart"/>
      <w:r w:rsidRPr="005528A5">
        <w:rPr>
          <w:sz w:val="16"/>
        </w:rPr>
        <w:t>SCoPEx</w:t>
      </w:r>
      <w:proofErr w:type="spellEnd"/>
      <w:r w:rsidRPr="005528A5">
        <w:rPr>
          <w:sz w:val="16"/>
        </w:rPr>
        <w:t xml:space="preserve"> research team cited struggles with the AC about how to engage with the public as a reason why the experiment was ultimately canceled (2).</w:t>
      </w:r>
    </w:p>
    <w:p w14:paraId="5AC1A2B4" w14:textId="77777777" w:rsidR="006F2C07" w:rsidRPr="005528A5" w:rsidRDefault="006F2C07" w:rsidP="006F2C07">
      <w:pPr>
        <w:rPr>
          <w:sz w:val="16"/>
        </w:rPr>
      </w:pPr>
      <w:r w:rsidRPr="005528A5">
        <w:rPr>
          <w:sz w:val="16"/>
        </w:rPr>
        <w:t>[image omitted]</w:t>
      </w:r>
    </w:p>
    <w:p w14:paraId="518BB446" w14:textId="77777777" w:rsidR="006F2C07" w:rsidRPr="005528A5" w:rsidRDefault="006F2C07" w:rsidP="006F2C07">
      <w:pPr>
        <w:rPr>
          <w:sz w:val="16"/>
        </w:rPr>
      </w:pPr>
      <w:r w:rsidRPr="005528A5">
        <w:rPr>
          <w:sz w:val="16"/>
        </w:rPr>
        <w:t>Directly related to engagement were tensions surrounding broader communication, with disagreement on whether and how to publicly share information about the AC’s deliberations and about completed and ongoing processes. Some felt that communications should be frequent and robust, using social media and other modalities to push information out to ensure transparency. Others were not convinced that this was a need or were concerned about risks of disruption to both the research itself and the governance process.</w:t>
      </w:r>
    </w:p>
    <w:p w14:paraId="778FB5F2" w14:textId="77777777" w:rsidR="006F2C07" w:rsidRPr="005528A5" w:rsidRDefault="006F2C07" w:rsidP="006F2C07">
      <w:pPr>
        <w:rPr>
          <w:sz w:val="16"/>
        </w:rPr>
      </w:pPr>
      <w:r w:rsidRPr="005528A5">
        <w:rPr>
          <w:sz w:val="16"/>
        </w:rPr>
        <w:t xml:space="preserve">The AC’s evaluation of </w:t>
      </w:r>
      <w:proofErr w:type="spellStart"/>
      <w:r w:rsidRPr="005528A5">
        <w:rPr>
          <w:sz w:val="16"/>
        </w:rPr>
        <w:t>SCoPEx’s</w:t>
      </w:r>
      <w:proofErr w:type="spellEnd"/>
      <w:r w:rsidRPr="005528A5">
        <w:rPr>
          <w:sz w:val="16"/>
        </w:rPr>
        <w:t xml:space="preserve"> scientific merit was another area of tension. The </w:t>
      </w:r>
      <w:proofErr w:type="spellStart"/>
      <w:r w:rsidRPr="005528A5">
        <w:rPr>
          <w:sz w:val="16"/>
        </w:rPr>
        <w:t>SCoPEx</w:t>
      </w:r>
      <w:proofErr w:type="spellEnd"/>
      <w:r w:rsidRPr="005528A5">
        <w:rPr>
          <w:sz w:val="16"/>
        </w:rPr>
        <w:t xml:space="preserve"> research plan did not fit neatly into any established processes for scientific review. </w:t>
      </w:r>
      <w:proofErr w:type="spellStart"/>
      <w:r w:rsidRPr="005528A5">
        <w:rPr>
          <w:sz w:val="16"/>
        </w:rPr>
        <w:t>SCoPEx</w:t>
      </w:r>
      <w:proofErr w:type="spellEnd"/>
      <w:r w:rsidRPr="005528A5">
        <w:rPr>
          <w:sz w:val="16"/>
        </w:rPr>
        <w:t xml:space="preserve"> was internally funded by Harvard and had not gone through a standard external peer review process for either funding or publication. Because of the broader implications of the experiment, it was difficult to consider scientific merit on its own. Rather, the core question of the scientific review was, ultimately, whether scientific merit warranted advancing the project in the context of broader social risks and concerns surrounding SG. This was a tremendous challenge for the AC, and an area where greater guidance and clarity is needed for emerging technology governance more broadly. Drawing from a range of different models, the AC developed its own review process, involving an interdisciplinary panel of experts to identify and help recruit reviewers and interpret and summarize the reviewers’ assessments of the research plan (1). The panel’s summary of the reviews [see (1)] reflects disagreement between the reviewers on the scientific merit of the project and, importantly, a reluctance to separate scientific merit from broader social risks and concerns, including moral hazard. There were parallel disagreements within the AC on these points, which was ultimately decided by a vote, with the majority voting that the bar for scientific merit was met to recommend that the project move forward to an engagement process.</w:t>
      </w:r>
    </w:p>
    <w:p w14:paraId="5F4400EB" w14:textId="77777777" w:rsidR="006F2C07" w:rsidRPr="005528A5" w:rsidRDefault="006F2C07" w:rsidP="006F2C07">
      <w:pPr>
        <w:rPr>
          <w:sz w:val="16"/>
        </w:rPr>
      </w:pPr>
      <w:r w:rsidRPr="005528A5">
        <w:rPr>
          <w:sz w:val="16"/>
        </w:rPr>
        <w:t>Finally, the AC grappled with tensions on the timeline and pace of their work. Some on the AC expressed concern that the urgency of the need for research necessitated limiting activities not seen as core to the committee’s directive. Others argued that the broader social implications of the experiment, and that the AC’s work could be a model for future governance efforts, demanded taking the time to, for example, do more extensive engagement work. This tension cut across the issues of scope, communications, and engagement discussed above. Tensions around timing were also practical. Throughout the process, the AC often experienced long delays in receiving requested information from the research team (e.g., a research plan for the scientific merit review).</w:t>
      </w:r>
    </w:p>
    <w:p w14:paraId="4EE428E3" w14:textId="77777777" w:rsidR="006F2C07" w:rsidRPr="005528A5" w:rsidRDefault="006F2C07" w:rsidP="006F2C07">
      <w:pPr>
        <w:rPr>
          <w:sz w:val="16"/>
        </w:rPr>
      </w:pPr>
      <w:r w:rsidRPr="005528A5">
        <w:rPr>
          <w:sz w:val="16"/>
        </w:rPr>
        <w:t>Lessons</w:t>
      </w:r>
    </w:p>
    <w:p w14:paraId="22016D6D" w14:textId="77777777" w:rsidR="006F2C07" w:rsidRPr="005528A5" w:rsidRDefault="006F2C07" w:rsidP="006F2C07">
      <w:pPr>
        <w:rPr>
          <w:sz w:val="16"/>
        </w:rPr>
      </w:pPr>
      <w:r w:rsidRPr="005528A5">
        <w:rPr>
          <w:rStyle w:val="StyleUnderline"/>
        </w:rPr>
        <w:t xml:space="preserve">Most of the </w:t>
      </w:r>
      <w:r w:rsidRPr="00B51A23">
        <w:rPr>
          <w:rStyle w:val="StyleUnderline"/>
          <w:highlight w:val="cyan"/>
        </w:rPr>
        <w:t>tensions</w:t>
      </w:r>
      <w:r w:rsidRPr="005528A5">
        <w:rPr>
          <w:rStyle w:val="StyleUnderline"/>
        </w:rPr>
        <w:t xml:space="preserve"> described above </w:t>
      </w:r>
      <w:r w:rsidRPr="00B51A23">
        <w:rPr>
          <w:rStyle w:val="StyleUnderline"/>
          <w:highlight w:val="cyan"/>
        </w:rPr>
        <w:t>are an empirical manifestation of</w:t>
      </w:r>
      <w:r w:rsidRPr="005528A5">
        <w:rPr>
          <w:rStyle w:val="StyleUnderline"/>
        </w:rPr>
        <w:t xml:space="preserve"> many parallel </w:t>
      </w:r>
      <w:r w:rsidRPr="00B51A23">
        <w:rPr>
          <w:rStyle w:val="StyleUnderline"/>
          <w:highlight w:val="cyan"/>
        </w:rPr>
        <w:t>unresolved theoretical debates</w:t>
      </w:r>
      <w:r w:rsidRPr="005528A5">
        <w:rPr>
          <w:rStyle w:val="StyleUnderline"/>
        </w:rPr>
        <w:t xml:space="preserve"> in the literature on SG. We argue that most of </w:t>
      </w:r>
      <w:r w:rsidRPr="00B51A23">
        <w:rPr>
          <w:rStyle w:val="StyleUnderline"/>
          <w:highlight w:val="cyan"/>
        </w:rPr>
        <w:t>these tensions can</w:t>
      </w:r>
      <w:r w:rsidRPr="005528A5">
        <w:rPr>
          <w:rStyle w:val="StyleUnderline"/>
        </w:rPr>
        <w:t xml:space="preserve"> </w:t>
      </w:r>
      <w:r w:rsidRPr="00B51A23">
        <w:rPr>
          <w:rStyle w:val="StyleUnderline"/>
          <w:highlight w:val="cyan"/>
        </w:rPr>
        <w:t>be ameliorated</w:t>
      </w:r>
      <w:r w:rsidRPr="005528A5">
        <w:rPr>
          <w:rStyle w:val="StyleUnderline"/>
        </w:rPr>
        <w:t xml:space="preserve"> by standardizing and/or </w:t>
      </w:r>
      <w:r w:rsidRPr="00B51A23">
        <w:rPr>
          <w:rStyle w:val="Emphasis"/>
          <w:highlight w:val="cyan"/>
        </w:rPr>
        <w:t>centralizing research governance</w:t>
      </w:r>
      <w:r w:rsidRPr="005528A5">
        <w:rPr>
          <w:sz w:val="16"/>
        </w:rPr>
        <w:t xml:space="preserve">. A core lesson from the </w:t>
      </w:r>
      <w:proofErr w:type="spellStart"/>
      <w:r w:rsidRPr="005528A5">
        <w:rPr>
          <w:sz w:val="16"/>
        </w:rPr>
        <w:t>SCoPEx</w:t>
      </w:r>
      <w:proofErr w:type="spellEnd"/>
      <w:r w:rsidRPr="005528A5">
        <w:rPr>
          <w:sz w:val="16"/>
        </w:rPr>
        <w:t xml:space="preserve"> AC experience is that ad hoc, reactive research governance, especially at the experiment level, is extremely challenging and should only be used in the absence of a more standardized or centralized approach. Tensions, disagreements, responsiveness of the research team, and, at times, lack of clear leadership (both </w:t>
      </w:r>
      <w:proofErr w:type="gramStart"/>
      <w:r w:rsidRPr="005528A5">
        <w:rPr>
          <w:sz w:val="16"/>
        </w:rPr>
        <w:t>on</w:t>
      </w:r>
      <w:proofErr w:type="gramEnd"/>
      <w:r w:rsidRPr="005528A5">
        <w:rPr>
          <w:sz w:val="16"/>
        </w:rPr>
        <w:t xml:space="preserve"> the AC and at Harvard) slowed our work. </w:t>
      </w:r>
      <w:r w:rsidRPr="005528A5">
        <w:rPr>
          <w:rStyle w:val="StyleUnderline"/>
        </w:rPr>
        <w:t xml:space="preserve">The AC also worked on a voluntary basis, which helped maintain independence from Harvard but also created challenges related to recruiting diverse members and responding to events in a timely manner. The </w:t>
      </w:r>
      <w:r w:rsidRPr="00B51A23">
        <w:rPr>
          <w:rStyle w:val="StyleUnderline"/>
          <w:highlight w:val="cyan"/>
        </w:rPr>
        <w:t>ad hoc, reactive process</w:t>
      </w:r>
      <w:r w:rsidRPr="005528A5">
        <w:rPr>
          <w:rStyle w:val="StyleUnderline"/>
        </w:rPr>
        <w:t xml:space="preserve"> also </w:t>
      </w:r>
      <w:r w:rsidRPr="00B51A23">
        <w:rPr>
          <w:rStyle w:val="StyleUnderline"/>
          <w:highlight w:val="cyan"/>
        </w:rPr>
        <w:t>didn’t work</w:t>
      </w:r>
      <w:r w:rsidRPr="005528A5">
        <w:rPr>
          <w:rStyle w:val="StyleUnderline"/>
        </w:rPr>
        <w:t xml:space="preserve"> well for the research team. </w:t>
      </w:r>
      <w:r w:rsidRPr="00B51A23">
        <w:rPr>
          <w:rStyle w:val="StyleUnderline"/>
          <w:highlight w:val="cyan"/>
        </w:rPr>
        <w:t>It was unpredictable, time consuming, and not aligned with</w:t>
      </w:r>
      <w:r w:rsidRPr="005528A5">
        <w:rPr>
          <w:rStyle w:val="StyleUnderline"/>
        </w:rPr>
        <w:t xml:space="preserve"> timelines for research </w:t>
      </w:r>
      <w:r w:rsidRPr="00B51A23">
        <w:rPr>
          <w:rStyle w:val="StyleUnderline"/>
          <w:highlight w:val="cyan"/>
        </w:rPr>
        <w:t>development</w:t>
      </w:r>
      <w:r w:rsidRPr="005528A5">
        <w:rPr>
          <w:sz w:val="16"/>
        </w:rPr>
        <w:t>. The latter is key in that high-quality engagement requires early collaboration with communities before research plans are set (15). Scientists cannot effectively implement this best practice if engagement is undertaken by ad hoc committees that are established in a reactive manner once research plans are already developed and funded. Engagement after research plans have been finalized also disempowers communities who then have less scope for input, and late-stage engagements may be seen by communities as merely pro forma.</w:t>
      </w:r>
    </w:p>
    <w:p w14:paraId="2BCFA3B9" w14:textId="77777777" w:rsidR="006F2C07" w:rsidRPr="005528A5" w:rsidRDefault="006F2C07" w:rsidP="006F2C07">
      <w:pPr>
        <w:rPr>
          <w:rStyle w:val="StyleUnderline"/>
        </w:rPr>
      </w:pPr>
      <w:r w:rsidRPr="005528A5">
        <w:rPr>
          <w:rStyle w:val="StyleUnderline"/>
        </w:rPr>
        <w:t xml:space="preserve">Most of the </w:t>
      </w:r>
      <w:r w:rsidRPr="00B51A23">
        <w:rPr>
          <w:rStyle w:val="StyleUnderline"/>
          <w:highlight w:val="cyan"/>
        </w:rPr>
        <w:t>challenges</w:t>
      </w:r>
      <w:r w:rsidRPr="005528A5">
        <w:rPr>
          <w:rStyle w:val="StyleUnderline"/>
        </w:rPr>
        <w:t xml:space="preserve"> we faced </w:t>
      </w:r>
      <w:r w:rsidRPr="00B51A23">
        <w:rPr>
          <w:rStyle w:val="StyleUnderline"/>
          <w:highlight w:val="cyan"/>
        </w:rPr>
        <w:t xml:space="preserve">could be resolved if research governance </w:t>
      </w:r>
      <w:proofErr w:type="gramStart"/>
      <w:r w:rsidRPr="00B51A23">
        <w:rPr>
          <w:rStyle w:val="StyleUnderline"/>
          <w:highlight w:val="cyan"/>
        </w:rPr>
        <w:t>were</w:t>
      </w:r>
      <w:proofErr w:type="gramEnd"/>
      <w:r w:rsidRPr="00B51A23">
        <w:rPr>
          <w:rStyle w:val="StyleUnderline"/>
          <w:highlight w:val="cyan"/>
        </w:rPr>
        <w:t xml:space="preserve"> proactive</w:t>
      </w:r>
      <w:r w:rsidRPr="005528A5">
        <w:rPr>
          <w:rStyle w:val="StyleUnderline"/>
        </w:rPr>
        <w:t xml:space="preserve"> as well as, at a minimum, </w:t>
      </w:r>
      <w:r w:rsidRPr="00B51A23">
        <w:rPr>
          <w:rStyle w:val="StyleUnderline"/>
          <w:highlight w:val="cyan"/>
        </w:rPr>
        <w:t>standardized and</w:t>
      </w:r>
      <w:r w:rsidRPr="005528A5">
        <w:rPr>
          <w:rStyle w:val="StyleUnderline"/>
        </w:rPr>
        <w:t xml:space="preserve">, in some cases, </w:t>
      </w:r>
      <w:r w:rsidRPr="00B51A23">
        <w:rPr>
          <w:rStyle w:val="StyleUnderline"/>
          <w:highlight w:val="cyan"/>
        </w:rPr>
        <w:t>centralized</w:t>
      </w:r>
      <w:r w:rsidRPr="005528A5">
        <w:rPr>
          <w:sz w:val="16"/>
        </w:rPr>
        <w:t xml:space="preserve">. Standardized processes or tools for research governance can provide greater predictability and transparency for researchers and participants in the governance process. In addition, standardization can ensure that researchers adhere to theoretical best practices and provide accountability. Moreover, continuity, transparency, and predictability might help to overcome some of the resistance in the research community to engagement efforts, which can be time, labor, and financially intensive. Because most US SG research receives private funding, standards should include financial transparency and a scientific review process commensurate with that applied to publicly funded research. </w:t>
      </w:r>
      <w:r w:rsidRPr="00B51A23">
        <w:rPr>
          <w:rStyle w:val="StyleUnderline"/>
          <w:highlight w:val="cyan"/>
        </w:rPr>
        <w:t>Transparency</w:t>
      </w:r>
      <w:r w:rsidRPr="005528A5">
        <w:rPr>
          <w:rStyle w:val="StyleUnderline"/>
        </w:rPr>
        <w:t xml:space="preserve"> of research results and plans </w:t>
      </w:r>
      <w:r w:rsidRPr="00B51A23">
        <w:rPr>
          <w:rStyle w:val="StyleUnderline"/>
          <w:highlight w:val="cyan"/>
        </w:rPr>
        <w:t>would allow</w:t>
      </w:r>
      <w:r w:rsidRPr="005528A5">
        <w:rPr>
          <w:rStyle w:val="StyleUnderline"/>
        </w:rPr>
        <w:t xml:space="preserve"> the public to know that </w:t>
      </w:r>
      <w:r w:rsidRPr="00B51A23">
        <w:rPr>
          <w:rStyle w:val="StyleUnderline"/>
          <w:highlight w:val="cyan"/>
        </w:rPr>
        <w:t>broader norms</w:t>
      </w:r>
      <w:r w:rsidRPr="005528A5">
        <w:rPr>
          <w:rStyle w:val="StyleUnderline"/>
        </w:rPr>
        <w:t xml:space="preserve"> around responsible research and innovation are functioning.</w:t>
      </w:r>
    </w:p>
    <w:p w14:paraId="57C8C1BA" w14:textId="77777777" w:rsidR="006F2C07" w:rsidRPr="005528A5" w:rsidRDefault="006F2C07" w:rsidP="006F2C07">
      <w:pPr>
        <w:rPr>
          <w:sz w:val="16"/>
        </w:rPr>
      </w:pPr>
      <w:r w:rsidRPr="005528A5">
        <w:rPr>
          <w:sz w:val="16"/>
        </w:rPr>
        <w:t xml:space="preserve">A </w:t>
      </w:r>
      <w:r w:rsidRPr="00B51A23">
        <w:rPr>
          <w:rStyle w:val="Emphasis"/>
          <w:highlight w:val="cyan"/>
        </w:rPr>
        <w:t>centralized governance body</w:t>
      </w:r>
      <w:r w:rsidRPr="00B51A23">
        <w:rPr>
          <w:rStyle w:val="StyleUnderline"/>
          <w:highlight w:val="cyan"/>
        </w:rPr>
        <w:t xml:space="preserve"> would be helpful to determine standards</w:t>
      </w:r>
      <w:r w:rsidRPr="005528A5">
        <w:rPr>
          <w:rStyle w:val="StyleUnderline"/>
        </w:rPr>
        <w:t xml:space="preserve"> for different scales or types of research</w:t>
      </w:r>
      <w:r w:rsidRPr="005528A5">
        <w:rPr>
          <w:sz w:val="16"/>
        </w:rPr>
        <w:t xml:space="preserve">. Although centralization would yield consistent and predictable norms that researchers can follow, it will likely be difficult to establish an accepted centralized governance system rapidly enough to keep up with the increased pace of SG research activity. </w:t>
      </w:r>
      <w:r w:rsidRPr="00B51A23">
        <w:rPr>
          <w:rStyle w:val="StyleUnderline"/>
          <w:highlight w:val="cyan"/>
        </w:rPr>
        <w:t>Centralization</w:t>
      </w:r>
      <w:r w:rsidRPr="005528A5">
        <w:rPr>
          <w:rStyle w:val="StyleUnderline"/>
        </w:rPr>
        <w:t xml:space="preserve"> or standardization of research governance </w:t>
      </w:r>
      <w:r w:rsidRPr="00B51A23">
        <w:rPr>
          <w:rStyle w:val="StyleUnderline"/>
          <w:highlight w:val="cyan"/>
        </w:rPr>
        <w:t>could be</w:t>
      </w:r>
      <w:r w:rsidRPr="005528A5">
        <w:rPr>
          <w:rStyle w:val="StyleUnderline"/>
        </w:rPr>
        <w:t xml:space="preserve"> </w:t>
      </w:r>
      <w:r w:rsidRPr="00B51A23">
        <w:rPr>
          <w:rStyle w:val="StyleUnderline"/>
          <w:highlight w:val="cyan"/>
        </w:rPr>
        <w:t>achieved</w:t>
      </w:r>
      <w:r w:rsidRPr="005528A5">
        <w:rPr>
          <w:rStyle w:val="StyleUnderline"/>
        </w:rPr>
        <w:t xml:space="preserve"> in various ways. Ideally, it would be led </w:t>
      </w:r>
      <w:r w:rsidRPr="00B51A23">
        <w:rPr>
          <w:rStyle w:val="StyleUnderline"/>
          <w:highlight w:val="cyan"/>
        </w:rPr>
        <w:t>by a public entity</w:t>
      </w:r>
      <w:r w:rsidRPr="005528A5">
        <w:rPr>
          <w:rStyle w:val="StyleUnderline"/>
        </w:rPr>
        <w:t xml:space="preserve"> with enforcement authority that is informed by a multistakeholder advisory board</w:t>
      </w:r>
      <w:r w:rsidRPr="005528A5">
        <w:rPr>
          <w:sz w:val="16"/>
        </w:rPr>
        <w:t>. Implementation could be done by universities, nonprofit institutions, and/or funders through clear standards and/or guidelines for researchers to follow. An international component would also add legitimacy, a diversity of views, and more access to local information.</w:t>
      </w:r>
    </w:p>
    <w:p w14:paraId="4BBCEE63" w14:textId="77777777" w:rsidR="006F2C07" w:rsidRPr="005528A5" w:rsidRDefault="006F2C07" w:rsidP="006F2C07">
      <w:pPr>
        <w:rPr>
          <w:sz w:val="16"/>
        </w:rPr>
      </w:pPr>
      <w:r w:rsidRPr="005528A5">
        <w:rPr>
          <w:sz w:val="16"/>
        </w:rPr>
        <w:t xml:space="preserve">The </w:t>
      </w:r>
      <w:proofErr w:type="spellStart"/>
      <w:r w:rsidRPr="005528A5">
        <w:rPr>
          <w:sz w:val="16"/>
        </w:rPr>
        <w:t>SCoPEx</w:t>
      </w:r>
      <w:proofErr w:type="spellEnd"/>
      <w:r w:rsidRPr="005528A5">
        <w:rPr>
          <w:sz w:val="16"/>
        </w:rPr>
        <w:t xml:space="preserve"> experience suggests actions that nongovernmental entities, such as universities or other research organizations, might follow to provide interim research governance. Most importantly, </w:t>
      </w:r>
      <w:proofErr w:type="spellStart"/>
      <w:r w:rsidRPr="005528A5">
        <w:rPr>
          <w:sz w:val="16"/>
        </w:rPr>
        <w:t>SCoPEx</w:t>
      </w:r>
      <w:proofErr w:type="spellEnd"/>
      <w:r w:rsidRPr="005528A5">
        <w:rPr>
          <w:sz w:val="16"/>
        </w:rPr>
        <w:t xml:space="preserve"> demonstrates that even when armed with a robust framework and set of best practices, these need to be understood, proactively implemented, and approached with humility and flexibility. Importantly, any such research governance should be put in place long before any research plans are finalized. The scope and lines of authority should be clearly established. For instance, </w:t>
      </w:r>
      <w:proofErr w:type="spellStart"/>
      <w:r w:rsidRPr="005528A5">
        <w:rPr>
          <w:sz w:val="16"/>
        </w:rPr>
        <w:t>SCoPEx</w:t>
      </w:r>
      <w:proofErr w:type="spellEnd"/>
      <w:r w:rsidRPr="005528A5">
        <w:rPr>
          <w:sz w:val="16"/>
        </w:rPr>
        <w:t xml:space="preserve"> suffered from a lack of clarity on who was responsible for organizing and funding any engagement activities—the research team, the AC, or Harvard. This stemmed in part from a lack of clarity on the purpose and scope of engagement, both between the AC and the research team and within the AC itself. Such questions should be resolved at the start of the research governance process.</w:t>
      </w:r>
    </w:p>
    <w:p w14:paraId="2A12226F" w14:textId="77777777" w:rsidR="006F2C07" w:rsidRPr="005528A5" w:rsidRDefault="006F2C07" w:rsidP="006F2C07">
      <w:pPr>
        <w:rPr>
          <w:sz w:val="16"/>
        </w:rPr>
      </w:pPr>
      <w:r w:rsidRPr="005528A5">
        <w:rPr>
          <w:sz w:val="16"/>
        </w:rPr>
        <w:t xml:space="preserve">The </w:t>
      </w:r>
      <w:proofErr w:type="spellStart"/>
      <w:r w:rsidRPr="005528A5">
        <w:rPr>
          <w:sz w:val="16"/>
        </w:rPr>
        <w:t>SCoPEx</w:t>
      </w:r>
      <w:proofErr w:type="spellEnd"/>
      <w:r w:rsidRPr="005528A5">
        <w:rPr>
          <w:sz w:val="16"/>
        </w:rPr>
        <w:t xml:space="preserve"> experience also suggests that </w:t>
      </w:r>
      <w:r w:rsidRPr="00B51A23">
        <w:rPr>
          <w:rStyle w:val="StyleUnderline"/>
          <w:highlight w:val="cyan"/>
        </w:rPr>
        <w:t>the time is ripe for governments to begin discussing</w:t>
      </w:r>
      <w:r w:rsidRPr="005528A5">
        <w:rPr>
          <w:rStyle w:val="StyleUnderline"/>
        </w:rPr>
        <w:t xml:space="preserve"> coordination of </w:t>
      </w:r>
      <w:r w:rsidRPr="00B51A23">
        <w:rPr>
          <w:rStyle w:val="Emphasis"/>
          <w:highlight w:val="cyan"/>
        </w:rPr>
        <w:t>research governance</w:t>
      </w:r>
      <w:r w:rsidRPr="005528A5">
        <w:rPr>
          <w:sz w:val="16"/>
        </w:rPr>
        <w:t xml:space="preserve">, potentially through the UNEA, which has already begun to discuss the issue. UNEA-6 in February 2024 saw clear interest in developing governance guidance and an understanding of SG from a widely diverse set of countries. UNEA-7, planned for 2025, may be a critical opportunity to build collaborative SG research governance. We hope that the learnings from the </w:t>
      </w:r>
      <w:proofErr w:type="spellStart"/>
      <w:r w:rsidRPr="005528A5">
        <w:rPr>
          <w:sz w:val="16"/>
        </w:rPr>
        <w:t>SCo-PEx</w:t>
      </w:r>
      <w:proofErr w:type="spellEnd"/>
      <w:r w:rsidRPr="005528A5">
        <w:rPr>
          <w:sz w:val="16"/>
        </w:rPr>
        <w:t xml:space="preserve"> AC will inform </w:t>
      </w:r>
      <w:proofErr w:type="gramStart"/>
      <w:r w:rsidRPr="005528A5">
        <w:rPr>
          <w:sz w:val="16"/>
        </w:rPr>
        <w:t>these</w:t>
      </w:r>
      <w:proofErr w:type="gramEnd"/>
      <w:r w:rsidRPr="005528A5">
        <w:rPr>
          <w:sz w:val="16"/>
        </w:rPr>
        <w:t xml:space="preserve"> and other future research governance efforts.</w:t>
      </w:r>
    </w:p>
    <w:p w14:paraId="14BFC755" w14:textId="77777777" w:rsidR="006F2C07" w:rsidRDefault="006F2C07" w:rsidP="006F2C07">
      <w:pPr>
        <w:pStyle w:val="Heading3"/>
      </w:pPr>
      <w:r>
        <w:t>2AC---AT: Geoengineering Regulated Now</w:t>
      </w:r>
    </w:p>
    <w:p w14:paraId="1C4EB48A" w14:textId="77777777" w:rsidR="006F2C07" w:rsidRDefault="006F2C07" w:rsidP="006F2C07">
      <w:pPr>
        <w:pStyle w:val="Heading4"/>
      </w:pPr>
      <w:r>
        <w:t>Current regulation fails --- it’s non-binding.</w:t>
      </w:r>
    </w:p>
    <w:p w14:paraId="1270CF81" w14:textId="77777777" w:rsidR="006F2C07" w:rsidRPr="00986C4B" w:rsidRDefault="006F2C07" w:rsidP="006F2C07">
      <w:r>
        <w:t xml:space="preserve">Edward </w:t>
      </w:r>
      <w:r w:rsidRPr="00986C4B">
        <w:rPr>
          <w:rStyle w:val="Style13ptBold"/>
        </w:rPr>
        <w:t>Parson and</w:t>
      </w:r>
      <w:r>
        <w:t xml:space="preserve"> David </w:t>
      </w:r>
      <w:r w:rsidRPr="00986C4B">
        <w:rPr>
          <w:rStyle w:val="Style13ptBold"/>
        </w:rPr>
        <w:t>Keith</w:t>
      </w:r>
      <w:r>
        <w:t xml:space="preserve"> October 20</w:t>
      </w:r>
      <w:r w:rsidRPr="00986C4B">
        <w:rPr>
          <w:rStyle w:val="Style13ptBold"/>
        </w:rPr>
        <w:t>24</w:t>
      </w:r>
      <w:r>
        <w:t xml:space="preserve">, Edward A. (Ted) Parson is Dan and Rae Emmett Professor of Environmental Law and Faculty Co-Director of the Emmett Institute on Climate Change and the Environment at the University of California, Los Angeles. Parson studies international environmental law and policy, the role of science and technology in </w:t>
      </w:r>
      <w:proofErr w:type="gramStart"/>
      <w:r>
        <w:t>policy-making</w:t>
      </w:r>
      <w:proofErr w:type="gramEnd"/>
      <w:r>
        <w:t xml:space="preserve">, and the political economy of regulation. He was formerly a Professor of Public Policy at the University of Michigan. David Keith is Professor of Geophysical Sciences and founding faculty director of the Climate Systems Engineering initiative at the University of Chicago. Best known for his work on the science, technology, and public policy of solar geoengineering, David led the development of Harvard’s Solar Geoengineering Research Program before moving to Chicago in </w:t>
      </w:r>
      <w:proofErr w:type="gramStart"/>
      <w:r>
        <w:t>2023.“</w:t>
      </w:r>
      <w:proofErr w:type="gramEnd"/>
      <w:r>
        <w:t>Solar Geoengineering: History, Methods, Governance, Prospects”</w:t>
      </w:r>
    </w:p>
    <w:p w14:paraId="0CD53247" w14:textId="77777777" w:rsidR="006F2C07" w:rsidRPr="00986C4B" w:rsidRDefault="006F2C07" w:rsidP="006F2C07">
      <w:pPr>
        <w:rPr>
          <w:sz w:val="16"/>
        </w:rPr>
      </w:pPr>
      <w:r w:rsidRPr="00986C4B">
        <w:rPr>
          <w:sz w:val="16"/>
        </w:rPr>
        <w:t>3</w:t>
      </w:r>
      <w:proofErr w:type="gramStart"/>
      <w:r w:rsidRPr="00986C4B">
        <w:rPr>
          <w:sz w:val="16"/>
        </w:rPr>
        <w:t>.  THE</w:t>
      </w:r>
      <w:proofErr w:type="gramEnd"/>
      <w:r w:rsidRPr="00986C4B">
        <w:rPr>
          <w:sz w:val="16"/>
        </w:rPr>
        <w:t xml:space="preserve"> CURRENT GOVERNANCE LANDSCAPE RELEVANT TO SRM</w:t>
      </w:r>
    </w:p>
    <w:p w14:paraId="69F679EC" w14:textId="77777777" w:rsidR="006F2C07" w:rsidRPr="00986C4B" w:rsidRDefault="006F2C07" w:rsidP="006F2C07">
      <w:pPr>
        <w:rPr>
          <w:sz w:val="16"/>
        </w:rPr>
      </w:pPr>
      <w:r w:rsidRPr="00986C4B">
        <w:rPr>
          <w:rStyle w:val="StyleUnderline"/>
        </w:rPr>
        <w:t xml:space="preserve">While SRM's potential future governance needs are expansive, the </w:t>
      </w:r>
      <w:r w:rsidRPr="00986C4B">
        <w:rPr>
          <w:rStyle w:val="StyleUnderline"/>
          <w:highlight w:val="cyan"/>
        </w:rPr>
        <w:t>present governance</w:t>
      </w:r>
      <w:r w:rsidRPr="00986C4B">
        <w:rPr>
          <w:rStyle w:val="StyleUnderline"/>
        </w:rPr>
        <w:t xml:space="preserve"> </w:t>
      </w:r>
      <w:r w:rsidRPr="00986C4B">
        <w:rPr>
          <w:rStyle w:val="Emphasis"/>
        </w:rPr>
        <w:t xml:space="preserve">landscape </w:t>
      </w:r>
      <w:r w:rsidRPr="00986C4B">
        <w:rPr>
          <w:rStyle w:val="Emphasis"/>
          <w:highlight w:val="cyan"/>
        </w:rPr>
        <w:t>is thin</w:t>
      </w:r>
      <w:r w:rsidRPr="00986C4B">
        <w:rPr>
          <w:sz w:val="16"/>
        </w:rPr>
        <w:t xml:space="preserve">. Many international regimes have relevant mandates, including those on climate change, the ozone layer, long-range air pollution, the law of the sea, and the Antarctic. </w:t>
      </w:r>
      <w:r w:rsidRPr="00986C4B">
        <w:rPr>
          <w:rStyle w:val="StyleUnderline"/>
        </w:rPr>
        <w:t xml:space="preserve">Other </w:t>
      </w:r>
      <w:r w:rsidRPr="00986C4B">
        <w:rPr>
          <w:rStyle w:val="StyleUnderline"/>
          <w:highlight w:val="cyan"/>
        </w:rPr>
        <w:t>regimes</w:t>
      </w:r>
      <w:r w:rsidRPr="00986C4B">
        <w:rPr>
          <w:rStyle w:val="StyleUnderline"/>
        </w:rPr>
        <w:t xml:space="preserve">, notably in security and technology cooperation, </w:t>
      </w:r>
      <w:r w:rsidRPr="00986C4B">
        <w:rPr>
          <w:rStyle w:val="StyleUnderline"/>
          <w:highlight w:val="cyan"/>
        </w:rPr>
        <w:t>may offer</w:t>
      </w:r>
      <w:r w:rsidRPr="00986C4B">
        <w:rPr>
          <w:rStyle w:val="StyleUnderline"/>
        </w:rPr>
        <w:t xml:space="preserve"> relevant </w:t>
      </w:r>
      <w:r w:rsidRPr="00986C4B">
        <w:rPr>
          <w:rStyle w:val="StyleUnderline"/>
          <w:highlight w:val="cyan"/>
        </w:rPr>
        <w:t>insights</w:t>
      </w:r>
      <w:r w:rsidRPr="00986C4B">
        <w:rPr>
          <w:rStyle w:val="StyleUnderline"/>
        </w:rPr>
        <w:t xml:space="preserve"> for SRM governance. </w:t>
      </w:r>
      <w:r w:rsidRPr="00986C4B">
        <w:rPr>
          <w:rStyle w:val="StyleUnderline"/>
          <w:highlight w:val="cyan"/>
        </w:rPr>
        <w:t>But none</w:t>
      </w:r>
      <w:r w:rsidRPr="00986C4B">
        <w:rPr>
          <w:rStyle w:val="StyleUnderline"/>
        </w:rPr>
        <w:t xml:space="preserve"> of these bodies </w:t>
      </w:r>
      <w:r w:rsidRPr="00986C4B">
        <w:rPr>
          <w:rStyle w:val="StyleUnderline"/>
          <w:highlight w:val="cyan"/>
        </w:rPr>
        <w:t>has a mandate</w:t>
      </w:r>
      <w:r w:rsidRPr="00986C4B">
        <w:rPr>
          <w:rStyle w:val="StyleUnderline"/>
        </w:rPr>
        <w:t xml:space="preserve"> that would include control of SRM, </w:t>
      </w:r>
      <w:r w:rsidRPr="00986C4B">
        <w:rPr>
          <w:rStyle w:val="StyleUnderline"/>
          <w:highlight w:val="cyan"/>
        </w:rPr>
        <w:t>or</w:t>
      </w:r>
      <w:r w:rsidRPr="00986C4B">
        <w:rPr>
          <w:rStyle w:val="StyleUnderline"/>
        </w:rPr>
        <w:t xml:space="preserve"> the </w:t>
      </w:r>
      <w:r w:rsidRPr="00986C4B">
        <w:rPr>
          <w:rStyle w:val="StyleUnderline"/>
          <w:highlight w:val="cyan"/>
        </w:rPr>
        <w:t>capacity</w:t>
      </w:r>
      <w:r w:rsidRPr="00986C4B">
        <w:rPr>
          <w:rStyle w:val="StyleUnderline"/>
        </w:rPr>
        <w:t xml:space="preserve"> to control it effectively. Several principles of </w:t>
      </w:r>
      <w:r w:rsidRPr="00986C4B">
        <w:rPr>
          <w:rStyle w:val="StyleUnderline"/>
          <w:highlight w:val="cyan"/>
        </w:rPr>
        <w:t>customary international law are</w:t>
      </w:r>
      <w:r w:rsidRPr="00986C4B">
        <w:rPr>
          <w:rStyle w:val="StyleUnderline"/>
        </w:rPr>
        <w:t xml:space="preserve"> also </w:t>
      </w:r>
      <w:r w:rsidRPr="00986C4B">
        <w:rPr>
          <w:rStyle w:val="StyleUnderline"/>
          <w:highlight w:val="cyan"/>
        </w:rPr>
        <w:t xml:space="preserve">relevant but provide </w:t>
      </w:r>
      <w:r w:rsidRPr="00986C4B">
        <w:rPr>
          <w:rStyle w:val="Emphasis"/>
          <w:highlight w:val="cyan"/>
        </w:rPr>
        <w:t>no concrete</w:t>
      </w:r>
      <w:r w:rsidRPr="00986C4B">
        <w:rPr>
          <w:rStyle w:val="Emphasis"/>
        </w:rPr>
        <w:t xml:space="preserve"> </w:t>
      </w:r>
      <w:r w:rsidRPr="00986C4B">
        <w:rPr>
          <w:rStyle w:val="Emphasis"/>
          <w:highlight w:val="cyan"/>
        </w:rPr>
        <w:t>guidance</w:t>
      </w:r>
      <w:r w:rsidRPr="00986C4B">
        <w:rPr>
          <w:rStyle w:val="StyleUnderline"/>
        </w:rPr>
        <w:t xml:space="preserve"> for potential SRM use</w:t>
      </w:r>
      <w:r w:rsidRPr="00986C4B">
        <w:rPr>
          <w:sz w:val="16"/>
        </w:rPr>
        <w:t xml:space="preserve"> (55, 56). </w:t>
      </w:r>
      <w:proofErr w:type="gramStart"/>
      <w:r w:rsidRPr="00986C4B">
        <w:rPr>
          <w:sz w:val="16"/>
        </w:rPr>
        <w:t>In particular, none</w:t>
      </w:r>
      <w:proofErr w:type="gramEnd"/>
      <w:r w:rsidRPr="00986C4B">
        <w:rPr>
          <w:sz w:val="16"/>
        </w:rPr>
        <w:t xml:space="preserve"> takes account of the dual effects of SRM, which would reduce climate risks but also introduce new risks (37, 38).</w:t>
      </w:r>
    </w:p>
    <w:p w14:paraId="2FB0526A" w14:textId="77777777" w:rsidR="006F2C07" w:rsidRPr="00986C4B" w:rsidRDefault="006F2C07" w:rsidP="006F2C07">
      <w:pPr>
        <w:rPr>
          <w:rStyle w:val="StyleUnderline"/>
        </w:rPr>
      </w:pPr>
      <w:r w:rsidRPr="00986C4B">
        <w:rPr>
          <w:sz w:val="16"/>
        </w:rPr>
        <w:t xml:space="preserve">The </w:t>
      </w:r>
      <w:r w:rsidRPr="00986C4B">
        <w:rPr>
          <w:rStyle w:val="StyleUnderline"/>
          <w:highlight w:val="cyan"/>
        </w:rPr>
        <w:t>international actions</w:t>
      </w:r>
      <w:r w:rsidRPr="00986C4B">
        <w:rPr>
          <w:rStyle w:val="StyleUnderline"/>
        </w:rPr>
        <w:t xml:space="preserve"> to date most relevant to SRM </w:t>
      </w:r>
      <w:r w:rsidRPr="00986C4B">
        <w:rPr>
          <w:rStyle w:val="StyleUnderline"/>
          <w:highlight w:val="cyan"/>
        </w:rPr>
        <w:t>are</w:t>
      </w:r>
      <w:r w:rsidRPr="00986C4B">
        <w:rPr>
          <w:rStyle w:val="StyleUnderline"/>
        </w:rPr>
        <w:t xml:space="preserve"> decisions </w:t>
      </w:r>
      <w:r w:rsidRPr="00986C4B">
        <w:rPr>
          <w:rStyle w:val="StyleUnderline"/>
          <w:highlight w:val="cyan"/>
        </w:rPr>
        <w:t>under two environmental treaties</w:t>
      </w:r>
      <w:r w:rsidRPr="00986C4B">
        <w:rPr>
          <w:sz w:val="16"/>
        </w:rPr>
        <w:t xml:space="preserve">. In a 2010 decision (57), the </w:t>
      </w:r>
      <w:r w:rsidRPr="00986C4B">
        <w:rPr>
          <w:rStyle w:val="StyleUnderline"/>
          <w:highlight w:val="cyan"/>
        </w:rPr>
        <w:t>Convention on Biological Diversity</w:t>
      </w:r>
      <w:r w:rsidRPr="00986C4B">
        <w:rPr>
          <w:rStyle w:val="StyleUnderline"/>
        </w:rPr>
        <w:t xml:space="preserve"> “Invite(d) Parties…to consider the guidance below…(w) </w:t>
      </w:r>
      <w:r w:rsidRPr="00986C4B">
        <w:rPr>
          <w:rStyle w:val="StyleUnderline"/>
          <w:highlight w:val="cyan"/>
        </w:rPr>
        <w:t>Ensure</w:t>
      </w:r>
      <w:r w:rsidRPr="00986C4B">
        <w:rPr>
          <w:rStyle w:val="StyleUnderline"/>
        </w:rPr>
        <w:t xml:space="preserve">,…in the absence of science based, global, transparent and effective control and regulatory mechanisms…that </w:t>
      </w:r>
      <w:r w:rsidRPr="00986C4B">
        <w:rPr>
          <w:rStyle w:val="StyleUnderline"/>
          <w:highlight w:val="cyan"/>
        </w:rPr>
        <w:t>no climate-related geo-engineering</w:t>
      </w:r>
      <w:r w:rsidRPr="00986C4B">
        <w:rPr>
          <w:rStyle w:val="StyleUnderline"/>
        </w:rPr>
        <w:t xml:space="preserve"> activities that may affect biodiversity take place, until there is an adequate scientific basis on which to justify such activities and appropriate consideration of the associated risks.…” </w:t>
      </w:r>
      <w:r w:rsidRPr="00986C4B">
        <w:rPr>
          <w:sz w:val="16"/>
        </w:rPr>
        <w:t xml:space="preserve">Although sometimes claimed to represent a moratorium (real or “de facto”), this text's advisory language and multiple qualifications mean it neither creates any legal obligations nor makes a clear declaration of intentions. </w:t>
      </w:r>
      <w:r w:rsidRPr="00986C4B">
        <w:rPr>
          <w:rStyle w:val="StyleUnderline"/>
          <w:highlight w:val="cyan"/>
        </w:rPr>
        <w:t>It is</w:t>
      </w:r>
      <w:r w:rsidRPr="00986C4B">
        <w:rPr>
          <w:rStyle w:val="StyleUnderline"/>
        </w:rPr>
        <w:t xml:space="preserve"> best understood as </w:t>
      </w:r>
      <w:r w:rsidRPr="00986C4B">
        <w:rPr>
          <w:rStyle w:val="StyleUnderline"/>
          <w:highlight w:val="cyan"/>
        </w:rPr>
        <w:t xml:space="preserve">a </w:t>
      </w:r>
      <w:r w:rsidRPr="00986C4B">
        <w:rPr>
          <w:rStyle w:val="Emphasis"/>
          <w:highlight w:val="cyan"/>
        </w:rPr>
        <w:t>nonbinding statement of concern</w:t>
      </w:r>
      <w:r w:rsidRPr="00986C4B">
        <w:rPr>
          <w:rStyle w:val="StyleUnderline"/>
        </w:rPr>
        <w:t>.</w:t>
      </w:r>
    </w:p>
    <w:p w14:paraId="1A5673C4" w14:textId="77777777" w:rsidR="006F2C07" w:rsidRPr="00986C4B" w:rsidRDefault="006F2C07" w:rsidP="006F2C07">
      <w:pPr>
        <w:rPr>
          <w:sz w:val="16"/>
        </w:rPr>
      </w:pPr>
      <w:r w:rsidRPr="00986C4B">
        <w:rPr>
          <w:rStyle w:val="StyleUnderline"/>
        </w:rPr>
        <w:t xml:space="preserve">Parties to the </w:t>
      </w:r>
      <w:r w:rsidRPr="00986C4B">
        <w:rPr>
          <w:rStyle w:val="StyleUnderline"/>
          <w:highlight w:val="cyan"/>
        </w:rPr>
        <w:t>London Convention and Protocol</w:t>
      </w:r>
      <w:r w:rsidRPr="00986C4B">
        <w:rPr>
          <w:rStyle w:val="StyleUnderline"/>
        </w:rPr>
        <w:t>, which regulate ocean dumping, have also taken actions of potential relevance to SRM, based on prior concern with ocean fertilization (OF), a potential CDR method</w:t>
      </w:r>
      <w:r w:rsidRPr="00986C4B">
        <w:rPr>
          <w:sz w:val="16"/>
        </w:rPr>
        <w:t xml:space="preserve">. Following OF resolutions in 2008 and 2010 (52, 58, 59), parties adopted a 2013 amendment barring “placement of matter into the sea…for marine geoengineering activities.” </w:t>
      </w:r>
      <w:r w:rsidRPr="00986C4B">
        <w:rPr>
          <w:rStyle w:val="StyleUnderline"/>
        </w:rPr>
        <w:t xml:space="preserve">Although a 2022 </w:t>
      </w:r>
      <w:r w:rsidRPr="00986C4B">
        <w:rPr>
          <w:rStyle w:val="StyleUnderline"/>
          <w:highlight w:val="cyan"/>
        </w:rPr>
        <w:t>statement</w:t>
      </w:r>
      <w:r w:rsidRPr="00986C4B">
        <w:rPr>
          <w:rStyle w:val="StyleUnderline"/>
        </w:rPr>
        <w:t xml:space="preserve"> </w:t>
      </w:r>
      <w:r w:rsidRPr="00986C4B">
        <w:rPr>
          <w:rStyle w:val="StyleUnderline"/>
          <w:highlight w:val="cyan"/>
        </w:rPr>
        <w:t>suggested</w:t>
      </w:r>
      <w:r w:rsidRPr="00986C4B">
        <w:rPr>
          <w:rStyle w:val="StyleUnderline"/>
        </w:rPr>
        <w:t xml:space="preserve"> the aim </w:t>
      </w:r>
      <w:r w:rsidRPr="00986C4B">
        <w:rPr>
          <w:rStyle w:val="StyleUnderline"/>
          <w:highlight w:val="cyan"/>
        </w:rPr>
        <w:t>that “marine geoengineering” include</w:t>
      </w:r>
      <w:r w:rsidRPr="00986C4B">
        <w:rPr>
          <w:rStyle w:val="StyleUnderline"/>
        </w:rPr>
        <w:t xml:space="preserve"> marine cloud brightening (</w:t>
      </w:r>
      <w:r w:rsidRPr="00986C4B">
        <w:rPr>
          <w:rStyle w:val="StyleUnderline"/>
          <w:highlight w:val="cyan"/>
        </w:rPr>
        <w:t>MCB) and</w:t>
      </w:r>
      <w:r w:rsidRPr="00986C4B">
        <w:rPr>
          <w:rStyle w:val="StyleUnderline"/>
        </w:rPr>
        <w:t xml:space="preserve"> one other </w:t>
      </w:r>
      <w:r w:rsidRPr="00986C4B">
        <w:rPr>
          <w:rStyle w:val="StyleUnderline"/>
          <w:highlight w:val="cyan"/>
        </w:rPr>
        <w:t>SRM</w:t>
      </w:r>
      <w:r w:rsidRPr="00986C4B">
        <w:rPr>
          <w:rStyle w:val="StyleUnderline"/>
        </w:rPr>
        <w:t xml:space="preserve"> method (60), the amendment explicitly names only OF and is not yet in force, so its </w:t>
      </w:r>
      <w:r w:rsidRPr="00986C4B">
        <w:rPr>
          <w:rStyle w:val="StyleUnderline"/>
          <w:highlight w:val="cyan"/>
        </w:rPr>
        <w:t>implications</w:t>
      </w:r>
      <w:r w:rsidRPr="00986C4B">
        <w:rPr>
          <w:rStyle w:val="StyleUnderline"/>
        </w:rPr>
        <w:t xml:space="preserve"> for SRM </w:t>
      </w:r>
      <w:r w:rsidRPr="00986C4B">
        <w:rPr>
          <w:rStyle w:val="StyleUnderline"/>
          <w:highlight w:val="cyan"/>
        </w:rPr>
        <w:t>remain hypothetical</w:t>
      </w:r>
      <w:r w:rsidRPr="00986C4B">
        <w:rPr>
          <w:sz w:val="16"/>
        </w:rPr>
        <w:t>.</w:t>
      </w:r>
    </w:p>
    <w:p w14:paraId="01A3F615" w14:textId="77777777" w:rsidR="006F2C07" w:rsidRPr="00986C4B" w:rsidRDefault="006F2C07" w:rsidP="006F2C07">
      <w:pPr>
        <w:rPr>
          <w:sz w:val="16"/>
        </w:rPr>
      </w:pPr>
      <w:r w:rsidRPr="00986C4B">
        <w:rPr>
          <w:rStyle w:val="StyleUnderline"/>
        </w:rPr>
        <w:t>The 1976 Convention on Environmental Modification (</w:t>
      </w:r>
      <w:r w:rsidRPr="00986C4B">
        <w:rPr>
          <w:rStyle w:val="StyleUnderline"/>
          <w:highlight w:val="cyan"/>
        </w:rPr>
        <w:t>ENMOD</w:t>
      </w:r>
      <w:r w:rsidRPr="00986C4B">
        <w:rPr>
          <w:rStyle w:val="StyleUnderline"/>
        </w:rPr>
        <w:t>) is a treaty often proposed as relevant to SRM</w:t>
      </w:r>
      <w:r w:rsidRPr="00986C4B">
        <w:rPr>
          <w:sz w:val="16"/>
        </w:rPr>
        <w:t xml:space="preserve">. Adopted after US use of defoliants and cloud seeding in the Vietnam War, ENMOD prohibits military or other hostile use of environmental modification “having widespread, long-lasting, or severe effects” (61, Article I). </w:t>
      </w:r>
      <w:r w:rsidRPr="00986C4B">
        <w:rPr>
          <w:rStyle w:val="StyleUnderline"/>
        </w:rPr>
        <w:t xml:space="preserve">While ENMOD's definition of </w:t>
      </w:r>
      <w:r w:rsidRPr="00986C4B">
        <w:rPr>
          <w:rStyle w:val="StyleUnderline"/>
          <w:highlight w:val="cyan"/>
        </w:rPr>
        <w:t>environmental modification</w:t>
      </w:r>
      <w:r w:rsidRPr="00986C4B">
        <w:rPr>
          <w:rStyle w:val="StyleUnderline"/>
        </w:rPr>
        <w:t xml:space="preserve"> would clearly </w:t>
      </w:r>
      <w:r w:rsidRPr="00986C4B">
        <w:rPr>
          <w:rStyle w:val="StyleUnderline"/>
          <w:highlight w:val="cyan"/>
        </w:rPr>
        <w:t>include SRM, its prohibition</w:t>
      </w:r>
      <w:r w:rsidRPr="00986C4B">
        <w:rPr>
          <w:rStyle w:val="StyleUnderline"/>
        </w:rPr>
        <w:t xml:space="preserve"> </w:t>
      </w:r>
      <w:r w:rsidRPr="00986C4B">
        <w:rPr>
          <w:rStyle w:val="StyleUnderline"/>
          <w:highlight w:val="cyan"/>
        </w:rPr>
        <w:t>only covers “…military</w:t>
      </w:r>
      <w:r w:rsidRPr="00986C4B">
        <w:rPr>
          <w:rStyle w:val="StyleUnderline"/>
        </w:rPr>
        <w:t xml:space="preserve"> and other hostile use…as the means of destruction, damage or injury to any other State Party” (61, Article I). The treaty explicitly exempts modification for peaceful aims, indeed </w:t>
      </w:r>
      <w:r w:rsidRPr="00986C4B">
        <w:rPr>
          <w:rStyle w:val="StyleUnderline"/>
          <w:highlight w:val="cyan"/>
        </w:rPr>
        <w:t>charges parties to cooperate in “…preservation</w:t>
      </w:r>
      <w:r w:rsidRPr="00986C4B">
        <w:rPr>
          <w:rStyle w:val="StyleUnderline"/>
        </w:rPr>
        <w:t xml:space="preserve">, improvement, and peaceful utilization of the environment…” (61, Article III)—text </w:t>
      </w:r>
      <w:r w:rsidRPr="00986C4B">
        <w:rPr>
          <w:rStyle w:val="StyleUnderline"/>
          <w:highlight w:val="cyan"/>
        </w:rPr>
        <w:t>that could</w:t>
      </w:r>
      <w:r w:rsidRPr="00986C4B">
        <w:rPr>
          <w:rStyle w:val="StyleUnderline"/>
        </w:rPr>
        <w:t xml:space="preserve"> be read to </w:t>
      </w:r>
      <w:r w:rsidRPr="00986C4B">
        <w:rPr>
          <w:rStyle w:val="Emphasis"/>
        </w:rPr>
        <w:t xml:space="preserve">affirmatively </w:t>
      </w:r>
      <w:r w:rsidRPr="00986C4B">
        <w:rPr>
          <w:rStyle w:val="Emphasis"/>
          <w:highlight w:val="cyan"/>
        </w:rPr>
        <w:t>support</w:t>
      </w:r>
      <w:r w:rsidRPr="00986C4B">
        <w:rPr>
          <w:rStyle w:val="Emphasis"/>
        </w:rPr>
        <w:t xml:space="preserve"> international </w:t>
      </w:r>
      <w:r w:rsidRPr="00986C4B">
        <w:rPr>
          <w:rStyle w:val="Emphasis"/>
          <w:highlight w:val="cyan"/>
        </w:rPr>
        <w:t>research</w:t>
      </w:r>
      <w:r w:rsidRPr="00986C4B">
        <w:rPr>
          <w:rStyle w:val="StyleUnderline"/>
          <w:highlight w:val="cyan"/>
        </w:rPr>
        <w:t xml:space="preserve"> programs on SRM</w:t>
      </w:r>
      <w:r w:rsidRPr="00986C4B">
        <w:rPr>
          <w:sz w:val="16"/>
        </w:rPr>
        <w:t>.</w:t>
      </w:r>
    </w:p>
    <w:p w14:paraId="0A2428DF" w14:textId="77777777" w:rsidR="006F2C07" w:rsidRPr="00986C4B" w:rsidRDefault="006F2C07" w:rsidP="006F2C07">
      <w:pPr>
        <w:rPr>
          <w:sz w:val="16"/>
        </w:rPr>
      </w:pPr>
      <w:r w:rsidRPr="00986C4B">
        <w:rPr>
          <w:sz w:val="16"/>
        </w:rPr>
        <w:t xml:space="preserve">Several international bodies are starting to address SRM. From 2017 to 2023, the Carnegie Climate Governance Initiative (C2G) briefed national and international officials on CDR and SRM (62). The 2023 report of the Climate Overshoot Commission, an independent high-level body on the risk of exceeding the Paris targets, recommended SRM research and governance consultations, paired with a moratorium on large-scale interventions (2). Discussion papers on SRM were issued by the United Nations Educational, Scientific, and Cultural Organization (UNESCO) and commissioned by the Human Rights Advisory Council in 2023 (49, 52). At the United Nations Environment </w:t>
      </w:r>
      <w:proofErr w:type="spellStart"/>
      <w:r w:rsidRPr="00986C4B">
        <w:rPr>
          <w:sz w:val="16"/>
        </w:rPr>
        <w:t>Programme</w:t>
      </w:r>
      <w:proofErr w:type="spellEnd"/>
      <w:r w:rsidRPr="00986C4B">
        <w:rPr>
          <w:sz w:val="16"/>
        </w:rPr>
        <w:t xml:space="preserve"> (UNEP), a February 2023 expert panel called for international SRM assessment and research governance, while resolutions supporting an ongoing SRM assessment role were proposed at the 2019 and 2024 UN Environment Assemblies but not adopted (48, 63). The World Climate Research </w:t>
      </w:r>
      <w:proofErr w:type="spellStart"/>
      <w:r w:rsidRPr="00986C4B">
        <w:rPr>
          <w:sz w:val="16"/>
        </w:rPr>
        <w:t>Programme</w:t>
      </w:r>
      <w:proofErr w:type="spellEnd"/>
      <w:r w:rsidRPr="00986C4B">
        <w:rPr>
          <w:sz w:val="16"/>
        </w:rPr>
        <w:t xml:space="preserve"> adopted climate intervention as a new research initiative in October 2023 (50). </w:t>
      </w:r>
      <w:r w:rsidRPr="00986C4B">
        <w:rPr>
          <w:rStyle w:val="StyleUnderline"/>
        </w:rPr>
        <w:t xml:space="preserve">These </w:t>
      </w:r>
      <w:r w:rsidRPr="00986C4B">
        <w:rPr>
          <w:rStyle w:val="StyleUnderline"/>
          <w:highlight w:val="cyan"/>
        </w:rPr>
        <w:t>steps signal</w:t>
      </w:r>
      <w:r w:rsidRPr="00986C4B">
        <w:rPr>
          <w:rStyle w:val="StyleUnderline"/>
        </w:rPr>
        <w:t xml:space="preserve"> organizations’ </w:t>
      </w:r>
      <w:r w:rsidRPr="00986C4B">
        <w:rPr>
          <w:rStyle w:val="StyleUnderline"/>
          <w:highlight w:val="cyan"/>
        </w:rPr>
        <w:t>interest in joining</w:t>
      </w:r>
      <w:r w:rsidRPr="00986C4B">
        <w:rPr>
          <w:rStyle w:val="StyleUnderline"/>
        </w:rPr>
        <w:t xml:space="preserve"> expected </w:t>
      </w:r>
      <w:r w:rsidRPr="00986C4B">
        <w:rPr>
          <w:rStyle w:val="StyleUnderline"/>
          <w:highlight w:val="cyan"/>
        </w:rPr>
        <w:t>SRM debates</w:t>
      </w:r>
      <w:r w:rsidRPr="00986C4B">
        <w:rPr>
          <w:rStyle w:val="StyleUnderline"/>
        </w:rPr>
        <w:t xml:space="preserve"> and decisions, </w:t>
      </w:r>
      <w:r w:rsidRPr="00986C4B">
        <w:rPr>
          <w:rStyle w:val="StyleUnderline"/>
          <w:highlight w:val="cyan"/>
        </w:rPr>
        <w:t>but none</w:t>
      </w:r>
      <w:r w:rsidRPr="00986C4B">
        <w:rPr>
          <w:rStyle w:val="StyleUnderline"/>
        </w:rPr>
        <w:t xml:space="preserve"> yet </w:t>
      </w:r>
      <w:r w:rsidRPr="00986C4B">
        <w:rPr>
          <w:rStyle w:val="StyleUnderline"/>
          <w:highlight w:val="cyan"/>
        </w:rPr>
        <w:t>engages SRM's governance</w:t>
      </w:r>
      <w:r w:rsidRPr="00986C4B">
        <w:rPr>
          <w:rStyle w:val="StyleUnderline"/>
        </w:rPr>
        <w:t xml:space="preserve"> challenges </w:t>
      </w:r>
      <w:r w:rsidRPr="00986C4B">
        <w:rPr>
          <w:rStyle w:val="StyleUnderline"/>
          <w:highlight w:val="cyan"/>
        </w:rPr>
        <w:t>with specific</w:t>
      </w:r>
      <w:r w:rsidRPr="00986C4B">
        <w:rPr>
          <w:rStyle w:val="StyleUnderline"/>
        </w:rPr>
        <w:t xml:space="preserve"> diagnoses or </w:t>
      </w:r>
      <w:r w:rsidRPr="00986C4B">
        <w:rPr>
          <w:rStyle w:val="StyleUnderline"/>
          <w:highlight w:val="cyan"/>
        </w:rPr>
        <w:t>proposals</w:t>
      </w:r>
      <w:r w:rsidRPr="00986C4B">
        <w:rPr>
          <w:sz w:val="16"/>
        </w:rPr>
        <w:t>.</w:t>
      </w:r>
    </w:p>
    <w:p w14:paraId="2840B10E" w14:textId="77777777" w:rsidR="006F2C07" w:rsidRDefault="006F2C07" w:rsidP="006F2C07">
      <w:pPr>
        <w:pStyle w:val="Heading4"/>
      </w:pPr>
      <w:r>
        <w:t>No treaties cover geoengineering</w:t>
      </w:r>
    </w:p>
    <w:p w14:paraId="54D53459" w14:textId="77777777" w:rsidR="006F2C07" w:rsidRPr="00006BA3" w:rsidRDefault="006F2C07" w:rsidP="006F2C07">
      <w:r>
        <w:t xml:space="preserve">Daniel Barstow </w:t>
      </w:r>
      <w:r w:rsidRPr="00006BA3">
        <w:rPr>
          <w:rStyle w:val="Style13ptBold"/>
        </w:rPr>
        <w:t>Magraw and</w:t>
      </w:r>
      <w:r>
        <w:t xml:space="preserve"> </w:t>
      </w:r>
      <w:proofErr w:type="spellStart"/>
      <w:r>
        <w:t>Patsorn</w:t>
      </w:r>
      <w:proofErr w:type="spellEnd"/>
      <w:r>
        <w:t xml:space="preserve"> </w:t>
      </w:r>
      <w:proofErr w:type="spellStart"/>
      <w:r w:rsidRPr="00006BA3">
        <w:rPr>
          <w:rStyle w:val="Style13ptBold"/>
        </w:rPr>
        <w:t>Udomritthiruj</w:t>
      </w:r>
      <w:proofErr w:type="spellEnd"/>
      <w:r>
        <w:t xml:space="preserve"> 1-25-20</w:t>
      </w:r>
      <w:r w:rsidRPr="00006BA3">
        <w:rPr>
          <w:rStyle w:val="Style13ptBold"/>
        </w:rPr>
        <w:t>19</w:t>
      </w:r>
      <w:r>
        <w:t xml:space="preserve">, Daniel Barstow Magraw </w:t>
      </w:r>
      <w:proofErr w:type="gramStart"/>
      <w:r>
        <w:t>is  President</w:t>
      </w:r>
      <w:proofErr w:type="gramEnd"/>
      <w:r>
        <w:t xml:space="preserve"> Emeritus and Distinguished Scholar at the Center for International Environmental Law. </w:t>
      </w:r>
      <w:proofErr w:type="spellStart"/>
      <w:r>
        <w:t>Patsorn</w:t>
      </w:r>
      <w:proofErr w:type="spellEnd"/>
      <w:r>
        <w:t xml:space="preserve"> </w:t>
      </w:r>
      <w:proofErr w:type="spellStart"/>
      <w:r>
        <w:t>Udomritthiruj</w:t>
      </w:r>
      <w:proofErr w:type="spellEnd"/>
      <w:r>
        <w:t xml:space="preserve"> holds a Master of Arts from Johns Hopkins School of Advanced International Studies (SAIS) and a Bachelor of Arts from Williams College, demonstrating applied knowledge of social sciences and expertise in international affairs. “Water and multilateral environmental agreements: an incomplete jigsaw puzzle” p. 181 //MDC</w:t>
      </w:r>
    </w:p>
    <w:p w14:paraId="12461CC1" w14:textId="77777777" w:rsidR="006F2C07" w:rsidRPr="00006BA3" w:rsidRDefault="006F2C07" w:rsidP="006F2C07">
      <w:pPr>
        <w:rPr>
          <w:sz w:val="16"/>
        </w:rPr>
      </w:pPr>
      <w:r w:rsidRPr="00006BA3">
        <w:rPr>
          <w:sz w:val="16"/>
        </w:rPr>
        <w:t>C. Geoengineering</w:t>
      </w:r>
    </w:p>
    <w:p w14:paraId="26C9CED0" w14:textId="77777777" w:rsidR="006F2C07" w:rsidRPr="00006BA3" w:rsidRDefault="006F2C07" w:rsidP="006F2C07">
      <w:pPr>
        <w:rPr>
          <w:sz w:val="16"/>
        </w:rPr>
      </w:pPr>
      <w:r w:rsidRPr="00006BA3">
        <w:rPr>
          <w:sz w:val="16"/>
        </w:rPr>
        <w:t xml:space="preserve">Geoengineering is the deliberate large-scale intervention in the Earth’s natural systems to counteract climate change. The two approaches primarily being considered are carbon capture and sequestration (CCS), i.e., capturing carbon and storing it, and solar radiation management (SRM), i.e., managing the earth’s atmospheric reflexivity to decrease the amount of energy entering the atmosphere. The methods being discussed for these have different implications for water depending on the process and the outcomes. </w:t>
      </w:r>
      <w:r w:rsidRPr="00006BA3">
        <w:rPr>
          <w:rStyle w:val="StyleUnderline"/>
        </w:rPr>
        <w:t xml:space="preserve">These </w:t>
      </w:r>
      <w:r w:rsidRPr="00006BA3">
        <w:rPr>
          <w:rStyle w:val="StyleUnderline"/>
          <w:highlight w:val="cyan"/>
        </w:rPr>
        <w:t>implications are speculative because little experimentation has been conducted</w:t>
      </w:r>
      <w:r w:rsidRPr="00006BA3">
        <w:rPr>
          <w:rStyle w:val="StyleUnderline"/>
        </w:rPr>
        <w:t xml:space="preserve"> and the biosphere is so complex, but </w:t>
      </w:r>
      <w:proofErr w:type="gramStart"/>
      <w:r w:rsidRPr="00006BA3">
        <w:rPr>
          <w:rStyle w:val="StyleUnderline"/>
        </w:rPr>
        <w:t>it is clear that some</w:t>
      </w:r>
      <w:proofErr w:type="gramEnd"/>
      <w:r w:rsidRPr="00006BA3">
        <w:rPr>
          <w:rStyle w:val="StyleUnderline"/>
        </w:rPr>
        <w:t xml:space="preserve"> methods could have significant impacts on water and more generally, on the environment</w:t>
      </w:r>
      <w:r w:rsidRPr="00006BA3">
        <w:rPr>
          <w:sz w:val="16"/>
        </w:rPr>
        <w:t xml:space="preserve">. For example, CCS that injects carbon into the earth could affect groundwater through mobilizing organic and inorganic compounds and affect seismic activity; and SRM that deposits </w:t>
      </w:r>
      <w:proofErr w:type="spellStart"/>
      <w:r w:rsidRPr="00006BA3">
        <w:rPr>
          <w:sz w:val="16"/>
        </w:rPr>
        <w:t>sulphuric</w:t>
      </w:r>
      <w:proofErr w:type="spellEnd"/>
      <w:r w:rsidRPr="00006BA3">
        <w:rPr>
          <w:sz w:val="16"/>
        </w:rPr>
        <w:t xml:space="preserve"> acid into the atmosphere could affect precipitation patterns on earth and damage the stratospheric ozone layer.</w:t>
      </w:r>
    </w:p>
    <w:p w14:paraId="270FCBF8" w14:textId="77777777" w:rsidR="006F2C07" w:rsidRPr="00006BA3" w:rsidRDefault="006F2C07" w:rsidP="006F2C07">
      <w:pPr>
        <w:rPr>
          <w:rStyle w:val="StyleUnderline"/>
        </w:rPr>
      </w:pPr>
      <w:r w:rsidRPr="00006BA3">
        <w:rPr>
          <w:rStyle w:val="StyleUnderline"/>
          <w:highlight w:val="cyan"/>
        </w:rPr>
        <w:t>Though some</w:t>
      </w:r>
      <w:r w:rsidRPr="00006BA3">
        <w:rPr>
          <w:rStyle w:val="StyleUnderline"/>
        </w:rPr>
        <w:t xml:space="preserve"> environmental </w:t>
      </w:r>
      <w:r w:rsidRPr="00006BA3">
        <w:rPr>
          <w:rStyle w:val="StyleUnderline"/>
          <w:highlight w:val="cyan"/>
        </w:rPr>
        <w:t>impacts</w:t>
      </w:r>
      <w:r w:rsidRPr="00006BA3">
        <w:rPr>
          <w:rStyle w:val="StyleUnderline"/>
        </w:rPr>
        <w:t xml:space="preserve"> of geoengineering </w:t>
      </w:r>
      <w:r w:rsidRPr="00006BA3">
        <w:rPr>
          <w:rStyle w:val="StyleUnderline"/>
          <w:highlight w:val="cyan"/>
        </w:rPr>
        <w:t>would be covered</w:t>
      </w:r>
      <w:r w:rsidRPr="00006BA3">
        <w:rPr>
          <w:rStyle w:val="StyleUnderline"/>
        </w:rPr>
        <w:t xml:space="preserve"> by existing international law (such as Principle 21 and the human right to water), </w:t>
      </w:r>
      <w:r w:rsidRPr="00006BA3">
        <w:rPr>
          <w:rStyle w:val="StyleUnderline"/>
          <w:highlight w:val="cyan"/>
        </w:rPr>
        <w:t>and some non-binding</w:t>
      </w:r>
      <w:r w:rsidRPr="00006BA3">
        <w:rPr>
          <w:rStyle w:val="StyleUnderline"/>
        </w:rPr>
        <w:t xml:space="preserve"> </w:t>
      </w:r>
      <w:r w:rsidRPr="00006BA3">
        <w:rPr>
          <w:rStyle w:val="StyleUnderline"/>
          <w:highlight w:val="cyan"/>
        </w:rPr>
        <w:t>guidelines exist</w:t>
      </w:r>
      <w:r w:rsidRPr="00006BA3">
        <w:rPr>
          <w:rStyle w:val="StyleUnderline"/>
        </w:rPr>
        <w:t xml:space="preserve"> (such as the CCS guidelines published by the World Resource Institute83), </w:t>
      </w:r>
      <w:r w:rsidRPr="00006BA3">
        <w:rPr>
          <w:rStyle w:val="StyleUnderline"/>
          <w:highlight w:val="cyan"/>
        </w:rPr>
        <w:t>no treaty or customary law</w:t>
      </w:r>
      <w:r w:rsidRPr="00006BA3">
        <w:rPr>
          <w:rStyle w:val="StyleUnderline"/>
        </w:rPr>
        <w:t xml:space="preserve"> exists that </w:t>
      </w:r>
      <w:r w:rsidRPr="00006BA3">
        <w:rPr>
          <w:rStyle w:val="Emphasis"/>
          <w:highlight w:val="cyan"/>
        </w:rPr>
        <w:t>coherently and comprehensively governs geoengineering</w:t>
      </w:r>
      <w:r w:rsidRPr="00006BA3">
        <w:rPr>
          <w:rStyle w:val="StyleUnderline"/>
        </w:rPr>
        <w:t>.</w:t>
      </w:r>
    </w:p>
    <w:p w14:paraId="2410AABC" w14:textId="77777777" w:rsidR="006F2C07" w:rsidRDefault="006F2C07" w:rsidP="006F2C07">
      <w:pPr>
        <w:pStyle w:val="Heading3"/>
      </w:pPr>
      <w:r>
        <w:t>2AC---AT: CIL Turn</w:t>
      </w:r>
    </w:p>
    <w:p w14:paraId="2E72A645" w14:textId="77777777" w:rsidR="006F2C07" w:rsidRDefault="006F2C07" w:rsidP="006F2C07">
      <w:pPr>
        <w:pStyle w:val="Heading4"/>
      </w:pPr>
      <w:r>
        <w:t>Geoengineering testing is consistent with international law.</w:t>
      </w:r>
    </w:p>
    <w:p w14:paraId="7F6172D7" w14:textId="77777777" w:rsidR="006F2C07" w:rsidRPr="00F144EE" w:rsidRDefault="006F2C07" w:rsidP="006F2C07">
      <w:r>
        <w:t xml:space="preserve">Jesse L. </w:t>
      </w:r>
      <w:r w:rsidRPr="00F144EE">
        <w:rPr>
          <w:rStyle w:val="Style13ptBold"/>
        </w:rPr>
        <w:t>Reynolds</w:t>
      </w:r>
      <w:r>
        <w:t xml:space="preserve"> 6-30-20</w:t>
      </w:r>
      <w:r w:rsidRPr="00F144EE">
        <w:rPr>
          <w:rStyle w:val="Style13ptBold"/>
        </w:rPr>
        <w:t>20</w:t>
      </w:r>
      <w:r>
        <w:t xml:space="preserve">, Jesse L. Reynolds is an Emmett/Frankel Fellow in Environmental Law and Policy at the University of California, Los Angeles School of Law, as well as an associate researcher at Universiteit Utrecht and a research affiliate at Harvard University, Massachusetts. He has degrees from Tilburg University; the University of California, Berkeley; and </w:t>
      </w:r>
      <w:proofErr w:type="gramStart"/>
      <w:r>
        <w:t>Hampshire College, and</w:t>
      </w:r>
      <w:proofErr w:type="gramEnd"/>
      <w:r>
        <w:t xml:space="preserve"> has been a US Environmental Protection Agency Science to Achieve Results Graduate Fellow and a Fulbright Scholar. “Solar Geoengineering Could Be Consistent with International Law” </w:t>
      </w:r>
      <w:r w:rsidRPr="00F144EE">
        <w:t>https://papers.ssrn.com/sol3/papers.cfm?abstract_id=3639214</w:t>
      </w:r>
      <w:r>
        <w:t xml:space="preserve"> //MDC</w:t>
      </w:r>
    </w:p>
    <w:p w14:paraId="587F90C6" w14:textId="77777777" w:rsidR="006F2C07" w:rsidRPr="00F144EE" w:rsidRDefault="006F2C07" w:rsidP="006F2C07">
      <w:pPr>
        <w:rPr>
          <w:sz w:val="16"/>
        </w:rPr>
      </w:pPr>
      <w:r w:rsidRPr="00F144EE">
        <w:rPr>
          <w:sz w:val="16"/>
        </w:rPr>
        <w:t xml:space="preserve">Conclusion </w:t>
      </w:r>
    </w:p>
    <w:p w14:paraId="30E1E0B6" w14:textId="77777777" w:rsidR="006F2C07" w:rsidRPr="00F144EE" w:rsidRDefault="006F2C07" w:rsidP="006F2C07">
      <w:pPr>
        <w:rPr>
          <w:sz w:val="16"/>
        </w:rPr>
      </w:pPr>
      <w:r w:rsidRPr="00F144EE">
        <w:rPr>
          <w:sz w:val="16"/>
        </w:rPr>
        <w:t xml:space="preserve">The </w:t>
      </w:r>
      <w:r w:rsidRPr="00F144EE">
        <w:rPr>
          <w:rStyle w:val="Emphasis"/>
          <w:highlight w:val="cyan"/>
        </w:rPr>
        <w:t>large-scale outdoor testing</w:t>
      </w:r>
      <w:r w:rsidRPr="00F144EE">
        <w:rPr>
          <w:rStyle w:val="StyleUnderline"/>
        </w:rPr>
        <w:t xml:space="preserve"> and deployment </w:t>
      </w:r>
      <w:r w:rsidRPr="00F144EE">
        <w:rPr>
          <w:rStyle w:val="StyleUnderline"/>
          <w:highlight w:val="cyan"/>
        </w:rPr>
        <w:t>of</w:t>
      </w:r>
      <w:r w:rsidRPr="00F144EE">
        <w:rPr>
          <w:rStyle w:val="StyleUnderline"/>
        </w:rPr>
        <w:t xml:space="preserve"> solar </w:t>
      </w:r>
      <w:r w:rsidRPr="00F144EE">
        <w:rPr>
          <w:rStyle w:val="StyleUnderline"/>
          <w:highlight w:val="cyan"/>
        </w:rPr>
        <w:t>geoengineering</w:t>
      </w:r>
      <w:r w:rsidRPr="00F144EE">
        <w:rPr>
          <w:rStyle w:val="StyleUnderline"/>
        </w:rPr>
        <w:t xml:space="preserve"> could be </w:t>
      </w:r>
      <w:r w:rsidRPr="00F144EE">
        <w:rPr>
          <w:rStyle w:val="StyleUnderline"/>
          <w:highlight w:val="cyan"/>
        </w:rPr>
        <w:t>consistent with international law</w:t>
      </w:r>
      <w:r w:rsidRPr="00F144EE">
        <w:rPr>
          <w:rStyle w:val="StyleUnderline"/>
        </w:rPr>
        <w:t xml:space="preserve">. This is because the </w:t>
      </w:r>
      <w:r w:rsidRPr="00F144EE">
        <w:rPr>
          <w:rStyle w:val="StyleUnderline"/>
          <w:highlight w:val="cyan"/>
        </w:rPr>
        <w:t>legal order’s</w:t>
      </w:r>
      <w:r w:rsidRPr="00F144EE">
        <w:rPr>
          <w:rStyle w:val="StyleUnderline"/>
        </w:rPr>
        <w:t xml:space="preserve"> default is </w:t>
      </w:r>
      <w:r w:rsidRPr="00F144EE">
        <w:rPr>
          <w:rStyle w:val="StyleUnderline"/>
          <w:highlight w:val="cyan"/>
        </w:rPr>
        <w:t>permissive and grounded in</w:t>
      </w:r>
      <w:r w:rsidRPr="00F144EE">
        <w:rPr>
          <w:rStyle w:val="StyleUnderline"/>
        </w:rPr>
        <w:t xml:space="preserve"> </w:t>
      </w:r>
      <w:r w:rsidRPr="00F144EE">
        <w:rPr>
          <w:rStyle w:val="StyleUnderline"/>
          <w:highlight w:val="cyan"/>
        </w:rPr>
        <w:t>sovereignty, and</w:t>
      </w:r>
      <w:r w:rsidRPr="00F144EE">
        <w:rPr>
          <w:rStyle w:val="StyleUnderline"/>
        </w:rPr>
        <w:t xml:space="preserve"> because there are </w:t>
      </w:r>
      <w:r w:rsidRPr="00F144EE">
        <w:rPr>
          <w:rStyle w:val="StyleUnderline"/>
          <w:highlight w:val="cyan"/>
        </w:rPr>
        <w:t>no</w:t>
      </w:r>
      <w:r w:rsidRPr="00F144EE">
        <w:rPr>
          <w:rStyle w:val="StyleUnderline"/>
        </w:rPr>
        <w:t xml:space="preserve"> existing legal </w:t>
      </w:r>
      <w:r w:rsidRPr="00F144EE">
        <w:rPr>
          <w:rStyle w:val="StyleUnderline"/>
          <w:highlight w:val="cyan"/>
        </w:rPr>
        <w:t>rules</w:t>
      </w:r>
      <w:r w:rsidRPr="00F144EE">
        <w:rPr>
          <w:rStyle w:val="StyleUnderline"/>
        </w:rPr>
        <w:t xml:space="preserve"> that </w:t>
      </w:r>
      <w:r w:rsidRPr="00F144EE">
        <w:rPr>
          <w:rStyle w:val="StyleUnderline"/>
          <w:highlight w:val="cyan"/>
        </w:rPr>
        <w:t>preclude</w:t>
      </w:r>
      <w:r w:rsidRPr="00F144EE">
        <w:rPr>
          <w:rStyle w:val="StyleUnderline"/>
        </w:rPr>
        <w:t xml:space="preserve"> solar geoengineering</w:t>
      </w:r>
      <w:r w:rsidRPr="00F144EE">
        <w:rPr>
          <w:sz w:val="16"/>
        </w:rPr>
        <w:t xml:space="preserve">. As noted, this does not mean it necessarily would be so. This section has found a handful of modest constraints. </w:t>
      </w:r>
      <w:r w:rsidRPr="00F144EE">
        <w:rPr>
          <w:rStyle w:val="StyleUnderline"/>
          <w:highlight w:val="cyan"/>
        </w:rPr>
        <w:t>Under</w:t>
      </w:r>
      <w:r w:rsidRPr="00F144EE">
        <w:rPr>
          <w:rStyle w:val="StyleUnderline"/>
        </w:rPr>
        <w:t xml:space="preserve"> the customary international law of </w:t>
      </w:r>
      <w:r w:rsidRPr="00F144EE">
        <w:rPr>
          <w:rStyle w:val="StyleUnderline"/>
          <w:highlight w:val="cyan"/>
        </w:rPr>
        <w:t>transboundary harm, the</w:t>
      </w:r>
      <w:r w:rsidRPr="00F144EE">
        <w:rPr>
          <w:rStyle w:val="StyleUnderline"/>
        </w:rPr>
        <w:t xml:space="preserve"> acting </w:t>
      </w:r>
      <w:r w:rsidRPr="00F144EE">
        <w:rPr>
          <w:rStyle w:val="StyleUnderline"/>
          <w:highlight w:val="cyan"/>
        </w:rPr>
        <w:t>state would</w:t>
      </w:r>
      <w:r w:rsidRPr="00F144EE">
        <w:rPr>
          <w:rStyle w:val="StyleUnderline"/>
        </w:rPr>
        <w:t xml:space="preserve"> need to </w:t>
      </w:r>
      <w:r w:rsidRPr="00F144EE">
        <w:rPr>
          <w:rStyle w:val="StyleUnderline"/>
          <w:highlight w:val="cyan"/>
        </w:rPr>
        <w:t>act with</w:t>
      </w:r>
      <w:r w:rsidRPr="00F144EE">
        <w:rPr>
          <w:rStyle w:val="StyleUnderline"/>
        </w:rPr>
        <w:t xml:space="preserve"> due </w:t>
      </w:r>
      <w:r w:rsidRPr="00F144EE">
        <w:rPr>
          <w:rStyle w:val="StyleUnderline"/>
          <w:highlight w:val="cyan"/>
        </w:rPr>
        <w:t>diligence and satisfy</w:t>
      </w:r>
      <w:r w:rsidRPr="00F144EE">
        <w:rPr>
          <w:rStyle w:val="StyleUnderline"/>
        </w:rPr>
        <w:t xml:space="preserve"> mostly </w:t>
      </w:r>
      <w:r w:rsidRPr="00F144EE">
        <w:rPr>
          <w:rStyle w:val="StyleUnderline"/>
          <w:highlight w:val="cyan"/>
        </w:rPr>
        <w:t>procedural duties</w:t>
      </w:r>
      <w:r w:rsidRPr="00F144EE">
        <w:rPr>
          <w:rStyle w:val="StyleUnderline"/>
        </w:rPr>
        <w:t xml:space="preserve"> such as prior impact assessment, notification, and consultation. Solar geoengineering may not be for hostile purposes</w:t>
      </w:r>
      <w:r w:rsidRPr="00F144EE">
        <w:rPr>
          <w:sz w:val="16"/>
        </w:rPr>
        <w:t xml:space="preserve">. In the marine environment, it </w:t>
      </w:r>
      <w:proofErr w:type="gramStart"/>
      <w:r w:rsidRPr="00F144EE">
        <w:rPr>
          <w:sz w:val="16"/>
        </w:rPr>
        <w:t>would need</w:t>
      </w:r>
      <w:proofErr w:type="gramEnd"/>
      <w:r w:rsidRPr="00F144EE">
        <w:rPr>
          <w:sz w:val="16"/>
        </w:rPr>
        <w:t xml:space="preserve"> to be done in ways that ultimately prevent, reduce and control pollution. And on the high seas and in outer space, the solar geoengineering state must act with due regard for other states’ rights and interests. </w:t>
      </w:r>
      <w:r w:rsidRPr="00F144EE">
        <w:rPr>
          <w:rStyle w:val="StyleUnderline"/>
        </w:rPr>
        <w:t xml:space="preserve">A </w:t>
      </w:r>
      <w:r w:rsidRPr="00F144EE">
        <w:rPr>
          <w:rStyle w:val="StyleUnderline"/>
          <w:highlight w:val="cyan"/>
        </w:rPr>
        <w:t xml:space="preserve">reasonably </w:t>
      </w:r>
      <w:proofErr w:type="gramStart"/>
      <w:r w:rsidRPr="00F144EE">
        <w:rPr>
          <w:rStyle w:val="Emphasis"/>
          <w:highlight w:val="cyan"/>
        </w:rPr>
        <w:t>well designed</w:t>
      </w:r>
      <w:proofErr w:type="gramEnd"/>
      <w:r w:rsidRPr="00F144EE">
        <w:rPr>
          <w:rStyle w:val="Emphasis"/>
          <w:highlight w:val="cyan"/>
        </w:rPr>
        <w:t xml:space="preserve"> field test</w:t>
      </w:r>
      <w:r w:rsidRPr="00F144EE">
        <w:rPr>
          <w:rStyle w:val="StyleUnderline"/>
        </w:rPr>
        <w:t xml:space="preserve"> or use of solar geoengineering </w:t>
      </w:r>
      <w:r w:rsidRPr="00F144EE">
        <w:rPr>
          <w:rStyle w:val="StyleUnderline"/>
          <w:highlight w:val="cyan"/>
        </w:rPr>
        <w:t>to reduce climate</w:t>
      </w:r>
      <w:r w:rsidRPr="00F144EE">
        <w:rPr>
          <w:rStyle w:val="StyleUnderline"/>
        </w:rPr>
        <w:t xml:space="preserve"> change </w:t>
      </w:r>
      <w:r w:rsidRPr="00F144EE">
        <w:rPr>
          <w:rStyle w:val="StyleUnderline"/>
          <w:highlight w:val="cyan"/>
        </w:rPr>
        <w:t>risks</w:t>
      </w:r>
      <w:r w:rsidRPr="00F144EE">
        <w:rPr>
          <w:rStyle w:val="StyleUnderline"/>
        </w:rPr>
        <w:t xml:space="preserve"> should be able to </w:t>
      </w:r>
      <w:r w:rsidRPr="00F144EE">
        <w:rPr>
          <w:rStyle w:val="StyleUnderline"/>
          <w:highlight w:val="cyan"/>
        </w:rPr>
        <w:t>satisfy these</w:t>
      </w:r>
      <w:r w:rsidRPr="00F144EE">
        <w:rPr>
          <w:rStyle w:val="StyleUnderline"/>
        </w:rPr>
        <w:t xml:space="preserve"> constraints</w:t>
      </w:r>
      <w:r w:rsidRPr="00F144EE">
        <w:rPr>
          <w:sz w:val="16"/>
        </w:rPr>
        <w:t xml:space="preserve">. Furthermore, </w:t>
      </w:r>
      <w:r w:rsidRPr="00F144EE">
        <w:rPr>
          <w:rStyle w:val="StyleUnderline"/>
        </w:rPr>
        <w:t xml:space="preserve">in some ways </w:t>
      </w:r>
      <w:r w:rsidRPr="00F144EE">
        <w:rPr>
          <w:rStyle w:val="StyleUnderline"/>
          <w:highlight w:val="cyan"/>
        </w:rPr>
        <w:t>international law tilts</w:t>
      </w:r>
      <w:r w:rsidRPr="00F144EE">
        <w:rPr>
          <w:rStyle w:val="StyleUnderline"/>
        </w:rPr>
        <w:t xml:space="preserve"> </w:t>
      </w:r>
      <w:proofErr w:type="spellStart"/>
      <w:r w:rsidRPr="00F144EE">
        <w:rPr>
          <w:rStyle w:val="StyleUnderline"/>
        </w:rPr>
        <w:t>favourably</w:t>
      </w:r>
      <w:proofErr w:type="spellEnd"/>
      <w:r w:rsidRPr="00F144EE">
        <w:rPr>
          <w:rStyle w:val="StyleUnderline"/>
        </w:rPr>
        <w:t xml:space="preserve"> </w:t>
      </w:r>
      <w:r w:rsidRPr="00F144EE">
        <w:rPr>
          <w:rStyle w:val="StyleUnderline"/>
          <w:highlight w:val="cyan"/>
        </w:rPr>
        <w:t>toward</w:t>
      </w:r>
      <w:r w:rsidRPr="00F144EE">
        <w:rPr>
          <w:rStyle w:val="StyleUnderline"/>
        </w:rPr>
        <w:t xml:space="preserve"> solar </w:t>
      </w:r>
      <w:r w:rsidRPr="00F144EE">
        <w:rPr>
          <w:rStyle w:val="StyleUnderline"/>
          <w:highlight w:val="cyan"/>
        </w:rPr>
        <w:t>geoengineering. ENMOD requires</w:t>
      </w:r>
      <w:r w:rsidRPr="00F144EE">
        <w:rPr>
          <w:rStyle w:val="StyleUnderline"/>
        </w:rPr>
        <w:t xml:space="preserve"> its </w:t>
      </w:r>
      <w:r w:rsidRPr="00F144EE">
        <w:rPr>
          <w:rStyle w:val="StyleUnderline"/>
          <w:highlight w:val="cyan"/>
        </w:rPr>
        <w:t>parties to cooperate in</w:t>
      </w:r>
      <w:r w:rsidRPr="00F144EE">
        <w:rPr>
          <w:rStyle w:val="StyleUnderline"/>
        </w:rPr>
        <w:t xml:space="preserve"> peaceful </w:t>
      </w:r>
      <w:r w:rsidRPr="00F144EE">
        <w:rPr>
          <w:rStyle w:val="StyleUnderline"/>
          <w:highlight w:val="cyan"/>
        </w:rPr>
        <w:t>environmental modification</w:t>
      </w:r>
      <w:r w:rsidRPr="00F144EE">
        <w:rPr>
          <w:rStyle w:val="StyleUnderline"/>
        </w:rPr>
        <w:t xml:space="preserve">, such as solar geoengineering. And more importantly, </w:t>
      </w:r>
      <w:r w:rsidRPr="00F144EE">
        <w:rPr>
          <w:rStyle w:val="StyleUnderline"/>
          <w:highlight w:val="cyan"/>
        </w:rPr>
        <w:t>the UN climate regime</w:t>
      </w:r>
      <w:r w:rsidRPr="00F144EE">
        <w:rPr>
          <w:rStyle w:val="StyleUnderline"/>
        </w:rPr>
        <w:t xml:space="preserve"> may be </w:t>
      </w:r>
      <w:r w:rsidRPr="00F144EE">
        <w:rPr>
          <w:rStyle w:val="StyleUnderline"/>
          <w:highlight w:val="cyan"/>
        </w:rPr>
        <w:t xml:space="preserve">read as </w:t>
      </w:r>
      <w:r w:rsidRPr="00F144EE">
        <w:rPr>
          <w:rStyle w:val="Emphasis"/>
          <w:highlight w:val="cyan"/>
        </w:rPr>
        <w:t>encouraging</w:t>
      </w:r>
      <w:r w:rsidRPr="00F144EE">
        <w:rPr>
          <w:rStyle w:val="Emphasis"/>
        </w:rPr>
        <w:t xml:space="preserve"> solar </w:t>
      </w:r>
      <w:r w:rsidRPr="00F144EE">
        <w:rPr>
          <w:rStyle w:val="Emphasis"/>
          <w:highlight w:val="cyan"/>
        </w:rPr>
        <w:t>geoengineering</w:t>
      </w:r>
      <w:r w:rsidRPr="00F144EE">
        <w:rPr>
          <w:sz w:val="16"/>
        </w:rPr>
        <w:t xml:space="preserve"> for several reasons, among which is that it could be a precautionary response to climate change. </w:t>
      </w:r>
    </w:p>
    <w:p w14:paraId="6476655B" w14:textId="77777777" w:rsidR="006F2C07" w:rsidRPr="00FF2478" w:rsidRDefault="006F2C07" w:rsidP="006F2C07">
      <w:pPr>
        <w:pStyle w:val="Heading4"/>
      </w:pPr>
      <w:r w:rsidRPr="00FF2478">
        <w:t>Customary international law is unworkable – nobody cares</w:t>
      </w:r>
    </w:p>
    <w:p w14:paraId="2D1B3997" w14:textId="77777777" w:rsidR="006F2C07" w:rsidRPr="00FF2478" w:rsidRDefault="006F2C07" w:rsidP="006F2C07">
      <w:r w:rsidRPr="00FF2478">
        <w:rPr>
          <w:rStyle w:val="Style13ptBold"/>
        </w:rPr>
        <w:t>Joyner 19</w:t>
      </w:r>
      <w:r w:rsidRPr="00FF2478">
        <w:t> – Professor of Law at University of Alabama Law School, J.D. from Duke University School of Law, an M.A. in political science from the University of Georgia, and a PhD in law from the University of Warwick School of Law [Daniel, “Why I Stopped Believing in Customary International Law,” Asian Journal of International Law, 9 (2019), pp. 31–45 doi:10.1017/S2044251318000188]</w:t>
      </w:r>
    </w:p>
    <w:p w14:paraId="087D0E0E" w14:textId="77777777" w:rsidR="006F2C07" w:rsidRPr="00FF2478" w:rsidRDefault="006F2C07" w:rsidP="006F2C07">
      <w:pPr>
        <w:rPr>
          <w:sz w:val="16"/>
        </w:rPr>
      </w:pPr>
      <w:r w:rsidRPr="00FF2478">
        <w:rPr>
          <w:sz w:val="16"/>
        </w:rPr>
        <w:t xml:space="preserve">On balance, in my reading and consideration, I have become persuaded that </w:t>
      </w:r>
      <w:r w:rsidRPr="00FF2478">
        <w:rPr>
          <w:rStyle w:val="StyleUnderline"/>
          <w:highlight w:val="cyan"/>
        </w:rPr>
        <w:t>the problems</w:t>
      </w:r>
      <w:r w:rsidRPr="00FF2478">
        <w:rPr>
          <w:rStyle w:val="StyleUnderline"/>
        </w:rPr>
        <w:t> which have been identified in the processes of identification and determination </w:t>
      </w:r>
      <w:r w:rsidRPr="00FF2478">
        <w:rPr>
          <w:rStyle w:val="StyleUnderline"/>
          <w:highlight w:val="cyan"/>
        </w:rPr>
        <w:t>of CIL</w:t>
      </w:r>
      <w:r w:rsidRPr="00FF2478">
        <w:rPr>
          <w:rStyle w:val="StyleUnderline"/>
        </w:rPr>
        <w:t xml:space="preserve">, and their implication for the international legal system, </w:t>
      </w:r>
      <w:r w:rsidRPr="00FF2478">
        <w:rPr>
          <w:rStyle w:val="StyleUnderline"/>
          <w:highlight w:val="cyan"/>
        </w:rPr>
        <w:t>are of such a</w:t>
      </w:r>
      <w:r w:rsidRPr="00FF2478">
        <w:rPr>
          <w:sz w:val="16"/>
          <w:highlight w:val="cyan"/>
        </w:rPr>
        <w:t> </w:t>
      </w:r>
      <w:r w:rsidRPr="00FF2478">
        <w:rPr>
          <w:rStyle w:val="Emphasis"/>
          <w:highlight w:val="cyan"/>
        </w:rPr>
        <w:t>serious and institutionalized</w:t>
      </w:r>
      <w:r w:rsidRPr="00FF2478">
        <w:rPr>
          <w:sz w:val="16"/>
        </w:rPr>
        <w:t> </w:t>
      </w:r>
      <w:r w:rsidRPr="00FF2478">
        <w:rPr>
          <w:rStyle w:val="StyleUnderline"/>
        </w:rPr>
        <w:t xml:space="preserve">nature </w:t>
      </w:r>
      <w:r w:rsidRPr="00FF2478">
        <w:rPr>
          <w:rStyle w:val="StyleUnderline"/>
          <w:highlight w:val="cyan"/>
        </w:rPr>
        <w:t>that I</w:t>
      </w:r>
      <w:r w:rsidRPr="00FF2478">
        <w:rPr>
          <w:rStyle w:val="StyleUnderline"/>
        </w:rPr>
        <w:t xml:space="preserve"> now </w:t>
      </w:r>
      <w:r w:rsidRPr="00FF2478">
        <w:rPr>
          <w:rStyle w:val="StyleUnderline"/>
          <w:highlight w:val="cyan"/>
        </w:rPr>
        <w:t>presumptively distrust any statement about what is or is not</w:t>
      </w:r>
      <w:r w:rsidRPr="00FF2478">
        <w:rPr>
          <w:rStyle w:val="StyleUnderline"/>
        </w:rPr>
        <w:t xml:space="preserve"> a rule of </w:t>
      </w:r>
      <w:r w:rsidRPr="00FF2478">
        <w:rPr>
          <w:rStyle w:val="StyleUnderline"/>
          <w:highlight w:val="cyan"/>
        </w:rPr>
        <w:t>CIL</w:t>
      </w:r>
      <w:r w:rsidRPr="00FF2478">
        <w:rPr>
          <w:u w:val="single"/>
        </w:rPr>
        <w:t>.</w:t>
      </w:r>
      <w:r w:rsidRPr="00FF2478">
        <w:rPr>
          <w:sz w:val="16"/>
        </w:rPr>
        <w:t> Basically, as I’ve learned more about how CIL is used in practice, I’ve </w:t>
      </w:r>
      <w:r w:rsidRPr="00FF2478">
        <w:rPr>
          <w:rStyle w:val="Emphasis"/>
          <w:highlight w:val="cyan"/>
        </w:rPr>
        <w:t>stopped believing in CIL as a</w:t>
      </w:r>
      <w:r w:rsidRPr="00FF2478">
        <w:rPr>
          <w:rStyle w:val="Emphasis"/>
        </w:rPr>
        <w:t> supportable </w:t>
      </w:r>
      <w:r w:rsidRPr="00FF2478">
        <w:rPr>
          <w:rStyle w:val="Emphasis"/>
          <w:highlight w:val="cyan"/>
        </w:rPr>
        <w:t>source for</w:t>
      </w:r>
      <w:r w:rsidRPr="00FF2478">
        <w:rPr>
          <w:rStyle w:val="Emphasis"/>
        </w:rPr>
        <w:t xml:space="preserve"> the creation of </w:t>
      </w:r>
      <w:r w:rsidRPr="00FF2478">
        <w:rPr>
          <w:rStyle w:val="Emphasis"/>
          <w:highlight w:val="cyan"/>
        </w:rPr>
        <w:t>international legal obligation</w:t>
      </w:r>
      <w:r w:rsidRPr="00FF2478">
        <w:rPr>
          <w:b/>
          <w:bCs/>
          <w:u w:val="single"/>
        </w:rPr>
        <w:t>.</w:t>
      </w:r>
      <w:r w:rsidRPr="00FF2478">
        <w:rPr>
          <w:sz w:val="16"/>
        </w:rPr>
        <w:t> I have become convinced that if CIL is going to retain its place as a source of international legal obligation, the process of identifying and authoritatively determining CIL must evolve to more objectively evidence the positive assent of states to the making of customary rules.</w:t>
      </w:r>
    </w:p>
    <w:p w14:paraId="4090EB67" w14:textId="77777777" w:rsidR="006F2C07" w:rsidRPr="00FF2478" w:rsidRDefault="006F2C07" w:rsidP="006F2C07">
      <w:pPr>
        <w:rPr>
          <w:sz w:val="16"/>
        </w:rPr>
      </w:pPr>
      <w:proofErr w:type="spellStart"/>
      <w:r w:rsidRPr="00FF2478">
        <w:rPr>
          <w:sz w:val="16"/>
        </w:rPr>
        <w:t>cil</w:t>
      </w:r>
      <w:proofErr w:type="spellEnd"/>
      <w:r w:rsidRPr="00FF2478">
        <w:rPr>
          <w:sz w:val="16"/>
        </w:rPr>
        <w:t xml:space="preserve"> and its several identifiers</w:t>
      </w:r>
    </w:p>
    <w:p w14:paraId="12A3B0BA" w14:textId="77777777" w:rsidR="006F2C07" w:rsidRPr="00FF2478" w:rsidRDefault="006F2C07" w:rsidP="006F2C07">
      <w:pPr>
        <w:rPr>
          <w:sz w:val="16"/>
        </w:rPr>
      </w:pPr>
      <w:r w:rsidRPr="00FF2478">
        <w:rPr>
          <w:sz w:val="16"/>
        </w:rPr>
        <w:t xml:space="preserve">The orthodox view of </w:t>
      </w:r>
      <w:proofErr w:type="spellStart"/>
      <w:r w:rsidRPr="00FF2478">
        <w:rPr>
          <w:sz w:val="16"/>
        </w:rPr>
        <w:t>howCIL</w:t>
      </w:r>
      <w:proofErr w:type="spellEnd"/>
      <w:r w:rsidRPr="00FF2478">
        <w:rPr>
          <w:sz w:val="16"/>
        </w:rPr>
        <w:t xml:space="preserve"> works is deceptively simple. One looks at the record of state actions and statements and if something like a supermajority of states have engaged in the same or similar practice with regard to some normative principle of international interaction, and have engaged in this practice for a long time with little inconsistency, and if they appear to do this because they think it is legally obligatory for them </w:t>
      </w:r>
      <w:proofErr w:type="spellStart"/>
      <w:r w:rsidRPr="00FF2478">
        <w:rPr>
          <w:sz w:val="16"/>
        </w:rPr>
        <w:t>todoso</w:t>
      </w:r>
      <w:proofErr w:type="spellEnd"/>
      <w:r w:rsidRPr="00FF2478">
        <w:rPr>
          <w:sz w:val="16"/>
        </w:rPr>
        <w:t>(</w:t>
      </w:r>
      <w:proofErr w:type="spellStart"/>
      <w:r w:rsidRPr="00FF2478">
        <w:rPr>
          <w:sz w:val="16"/>
        </w:rPr>
        <w:t>oratleast</w:t>
      </w:r>
      <w:proofErr w:type="spellEnd"/>
      <w:r w:rsidRPr="00FF2478">
        <w:rPr>
          <w:sz w:val="16"/>
        </w:rPr>
        <w:t xml:space="preserve"> that doing so is in harmony with existing law), then those two elements of state practice and </w:t>
      </w:r>
      <w:proofErr w:type="spellStart"/>
      <w:r w:rsidRPr="00FF2478">
        <w:rPr>
          <w:sz w:val="16"/>
        </w:rPr>
        <w:t>opinio</w:t>
      </w:r>
      <w:proofErr w:type="spellEnd"/>
      <w:r w:rsidRPr="00FF2478">
        <w:rPr>
          <w:sz w:val="16"/>
        </w:rPr>
        <w:t xml:space="preserve"> juris (i.e. one objective element and one subjective element) evidence that states have accepted this principle as a rule of customary international law.5 If this is determined to be the case, the rule of customary law becomes a legal obligation for all states, even for those who did not participate in the rule’s creation, subject only to the caveat that states who persistently object to the creation of the rule throughout its development are exempt </w:t>
      </w:r>
      <w:proofErr w:type="spellStart"/>
      <w:r w:rsidRPr="00FF2478">
        <w:rPr>
          <w:sz w:val="16"/>
        </w:rPr>
        <w:t>fromthisobligation</w:t>
      </w:r>
      <w:proofErr w:type="spellEnd"/>
      <w:r w:rsidRPr="00FF2478">
        <w:rPr>
          <w:sz w:val="16"/>
        </w:rPr>
        <w:t xml:space="preserve">. Again, the idea is that states can agree on rules governing their </w:t>
      </w:r>
      <w:proofErr w:type="spellStart"/>
      <w:r w:rsidRPr="00FF2478">
        <w:rPr>
          <w:sz w:val="16"/>
        </w:rPr>
        <w:t>behaviour</w:t>
      </w:r>
      <w:proofErr w:type="spellEnd"/>
      <w:r w:rsidRPr="00FF2478">
        <w:rPr>
          <w:sz w:val="16"/>
        </w:rPr>
        <w:t xml:space="preserve"> through their customary conduct and sense of legal obligation attaching to it, without having to put this obligation into writing. Proponents of the utility of CIL argue that such a source of legal obligation has always been, and continues to be, a necessary component of the international legal system for </w:t>
      </w:r>
      <w:proofErr w:type="gramStart"/>
      <w:r w:rsidRPr="00FF2478">
        <w:rPr>
          <w:sz w:val="16"/>
        </w:rPr>
        <w:t>a number of</w:t>
      </w:r>
      <w:proofErr w:type="gramEnd"/>
      <w:r w:rsidRPr="00FF2478">
        <w:rPr>
          <w:sz w:val="16"/>
        </w:rPr>
        <w:t xml:space="preserve"> reasons. These include its role as a source for overarching systemic or secondary rules for the international legal system, its role in addressing issue areas not covered by an existing treaty including technologically new or dynamic issue areas, its role in filling in gaps in existing treaty coverage, and its role in creating parallel obligations to those included in the provisions of </w:t>
      </w:r>
      <w:proofErr w:type="spellStart"/>
      <w:r w:rsidRPr="00FF2478">
        <w:rPr>
          <w:sz w:val="16"/>
        </w:rPr>
        <w:t>broadlysubscribed</w:t>
      </w:r>
      <w:proofErr w:type="spellEnd"/>
      <w:r w:rsidRPr="00FF2478">
        <w:rPr>
          <w:sz w:val="16"/>
        </w:rPr>
        <w:t>-to treaties in order to make those treaty provisions binding upon all states, including treaty outliers.6</w:t>
      </w:r>
    </w:p>
    <w:p w14:paraId="2CBF8F09" w14:textId="77777777" w:rsidR="006F2C07" w:rsidRPr="00FF2478" w:rsidRDefault="006F2C07" w:rsidP="006F2C07">
      <w:pPr>
        <w:rPr>
          <w:sz w:val="16"/>
        </w:rPr>
      </w:pPr>
      <w:r w:rsidRPr="00FF2478">
        <w:rPr>
          <w:sz w:val="16"/>
        </w:rPr>
        <w:t xml:space="preserve">The problematic aspects of this concept of a legal source, however, become apparent </w:t>
      </w:r>
      <w:proofErr w:type="gramStart"/>
      <w:r w:rsidRPr="00FF2478">
        <w:rPr>
          <w:sz w:val="16"/>
        </w:rPr>
        <w:t>pretty quickly</w:t>
      </w:r>
      <w:proofErr w:type="gramEnd"/>
      <w:r w:rsidRPr="00FF2478">
        <w:rPr>
          <w:sz w:val="16"/>
        </w:rPr>
        <w:t xml:space="preserve"> upon closer examination. </w:t>
      </w:r>
      <w:r w:rsidRPr="00FF2478">
        <w:rPr>
          <w:rStyle w:val="StyleUnderline"/>
        </w:rPr>
        <w:t>With CIL, the devil really is in the details</w:t>
      </w:r>
      <w:r w:rsidRPr="00FF2478">
        <w:rPr>
          <w:sz w:val="16"/>
        </w:rPr>
        <w:t xml:space="preserve">. How many states </w:t>
      </w:r>
      <w:proofErr w:type="gramStart"/>
      <w:r w:rsidRPr="00FF2478">
        <w:rPr>
          <w:sz w:val="16"/>
        </w:rPr>
        <w:t>does</w:t>
      </w:r>
      <w:proofErr w:type="gramEnd"/>
      <w:r w:rsidRPr="00FF2478">
        <w:rPr>
          <w:sz w:val="16"/>
        </w:rPr>
        <w:t xml:space="preserve"> it take to manifest their state practice in support of a new rule of CIL? How long must this practice </w:t>
      </w:r>
      <w:proofErr w:type="gramStart"/>
      <w:r w:rsidRPr="00FF2478">
        <w:rPr>
          <w:sz w:val="16"/>
        </w:rPr>
        <w:t>have continued</w:t>
      </w:r>
      <w:proofErr w:type="gramEnd"/>
      <w:r w:rsidRPr="00FF2478">
        <w:rPr>
          <w:sz w:val="16"/>
        </w:rPr>
        <w:t>? What kind of state practice counts? How much inconsistent state practice can be tolerated? Does the practice of some states matter more than others?</w:t>
      </w:r>
    </w:p>
    <w:p w14:paraId="4BDF2057" w14:textId="77777777" w:rsidR="006F2C07" w:rsidRPr="00FF2478" w:rsidRDefault="006F2C07" w:rsidP="006F2C07">
      <w:pPr>
        <w:rPr>
          <w:sz w:val="16"/>
        </w:rPr>
      </w:pPr>
      <w:r w:rsidRPr="00FF2478">
        <w:rPr>
          <w:sz w:val="16"/>
        </w:rPr>
        <w:t xml:space="preserve">The questions concerning the subjective element of </w:t>
      </w:r>
      <w:proofErr w:type="spellStart"/>
      <w:r w:rsidRPr="00FF2478">
        <w:rPr>
          <w:sz w:val="16"/>
        </w:rPr>
        <w:t>opinio</w:t>
      </w:r>
      <w:proofErr w:type="spellEnd"/>
      <w:r w:rsidRPr="00FF2478">
        <w:rPr>
          <w:sz w:val="16"/>
        </w:rPr>
        <w:t xml:space="preserve"> juris are even more problematic. What </w:t>
      </w:r>
      <w:proofErr w:type="spellStart"/>
      <w:proofErr w:type="gramStart"/>
      <w:r w:rsidRPr="00FF2478">
        <w:rPr>
          <w:sz w:val="16"/>
        </w:rPr>
        <w:t>doesit</w:t>
      </w:r>
      <w:proofErr w:type="spellEnd"/>
      <w:proofErr w:type="gramEnd"/>
      <w:r w:rsidRPr="00FF2478">
        <w:rPr>
          <w:sz w:val="16"/>
        </w:rPr>
        <w:t xml:space="preserve"> </w:t>
      </w:r>
      <w:proofErr w:type="gramStart"/>
      <w:r w:rsidRPr="00FF2478">
        <w:rPr>
          <w:sz w:val="16"/>
        </w:rPr>
        <w:t xml:space="preserve">mean </w:t>
      </w:r>
      <w:proofErr w:type="spellStart"/>
      <w:r w:rsidRPr="00FF2478">
        <w:rPr>
          <w:sz w:val="16"/>
        </w:rPr>
        <w:t>forastate</w:t>
      </w:r>
      <w:proofErr w:type="spellEnd"/>
      <w:proofErr w:type="gramEnd"/>
      <w:r w:rsidRPr="00FF2478">
        <w:rPr>
          <w:sz w:val="16"/>
        </w:rPr>
        <w:t xml:space="preserve"> to act </w:t>
      </w:r>
      <w:proofErr w:type="spellStart"/>
      <w:r w:rsidRPr="00FF2478">
        <w:rPr>
          <w:sz w:val="16"/>
        </w:rPr>
        <w:t>underasense</w:t>
      </w:r>
      <w:proofErr w:type="spellEnd"/>
      <w:r w:rsidRPr="00FF2478">
        <w:rPr>
          <w:sz w:val="16"/>
        </w:rPr>
        <w:t xml:space="preserve"> of legal obligation? Do they </w:t>
      </w:r>
      <w:proofErr w:type="gramStart"/>
      <w:r w:rsidRPr="00FF2478">
        <w:rPr>
          <w:sz w:val="16"/>
        </w:rPr>
        <w:t>actually have</w:t>
      </w:r>
      <w:proofErr w:type="gramEnd"/>
      <w:r w:rsidRPr="00FF2478">
        <w:rPr>
          <w:sz w:val="16"/>
        </w:rPr>
        <w:t xml:space="preserve"> to think that what they’re doing is required by existing law? And what does it mean for </w:t>
      </w:r>
      <w:proofErr w:type="spellStart"/>
      <w:r w:rsidRPr="00FF2478">
        <w:rPr>
          <w:sz w:val="16"/>
        </w:rPr>
        <w:t>astate</w:t>
      </w:r>
      <w:proofErr w:type="spellEnd"/>
      <w:r w:rsidRPr="00FF2478">
        <w:rPr>
          <w:sz w:val="16"/>
        </w:rPr>
        <w:t xml:space="preserve"> to “think” this? If so, isn’t there a real chicken and egg problem there—i.e. what did the first state who acted in this way think? Were they just deluding themselves? And how are we supposed to know what states are thinking about why they are acting in a certain way? They seldom discuss their subjective understanding of their legal obligations. </w:t>
      </w:r>
      <w:proofErr w:type="gramStart"/>
      <w:r w:rsidRPr="00FF2478">
        <w:rPr>
          <w:sz w:val="16"/>
        </w:rPr>
        <w:t>So</w:t>
      </w:r>
      <w:proofErr w:type="gramEnd"/>
      <w:r w:rsidRPr="00FF2478">
        <w:rPr>
          <w:sz w:val="16"/>
        </w:rPr>
        <w:t xml:space="preserve"> what kinds of evidence will count in manifesting that </w:t>
      </w:r>
      <w:proofErr w:type="spellStart"/>
      <w:r w:rsidRPr="00FF2478">
        <w:rPr>
          <w:sz w:val="16"/>
        </w:rPr>
        <w:t>opinio</w:t>
      </w:r>
      <w:proofErr w:type="spellEnd"/>
      <w:r w:rsidRPr="00FF2478">
        <w:rPr>
          <w:sz w:val="16"/>
        </w:rPr>
        <w:t xml:space="preserve"> juris? How much of that evidence is required, and of how many </w:t>
      </w:r>
      <w:proofErr w:type="gramStart"/>
      <w:r w:rsidRPr="00FF2478">
        <w:rPr>
          <w:sz w:val="16"/>
        </w:rPr>
        <w:t>states,</w:t>
      </w:r>
      <w:proofErr w:type="gramEnd"/>
      <w:r w:rsidRPr="00FF2478">
        <w:rPr>
          <w:sz w:val="16"/>
        </w:rPr>
        <w:t xml:space="preserve"> before we can say that the subjective element is satisfied?</w:t>
      </w:r>
    </w:p>
    <w:p w14:paraId="49E87BCD" w14:textId="77777777" w:rsidR="006F2C07" w:rsidRPr="00FF2478" w:rsidRDefault="006F2C07" w:rsidP="006F2C07">
      <w:pPr>
        <w:rPr>
          <w:sz w:val="16"/>
        </w:rPr>
      </w:pPr>
      <w:r w:rsidRPr="00FF2478">
        <w:rPr>
          <w:sz w:val="16"/>
        </w:rPr>
        <w:t xml:space="preserve">When I teach the principle of customary international law to my classes, and the brighter students start to ask these questions, I tell them that, as a practical matter, international lawyers look to several different law-identifying agencies to sort through what </w:t>
      </w:r>
      <w:proofErr w:type="gramStart"/>
      <w:r w:rsidRPr="00FF2478">
        <w:rPr>
          <w:sz w:val="16"/>
        </w:rPr>
        <w:t>is CIL</w:t>
      </w:r>
      <w:proofErr w:type="gramEnd"/>
      <w:r w:rsidRPr="00FF2478">
        <w:rPr>
          <w:sz w:val="16"/>
        </w:rPr>
        <w:t xml:space="preserve"> and what is not. The first and most important of these </w:t>
      </w:r>
      <w:proofErr w:type="gramStart"/>
      <w:r w:rsidRPr="00FF2478">
        <w:rPr>
          <w:sz w:val="16"/>
        </w:rPr>
        <w:t>is</w:t>
      </w:r>
      <w:proofErr w:type="gramEnd"/>
      <w:r w:rsidRPr="00FF2478">
        <w:rPr>
          <w:sz w:val="16"/>
        </w:rPr>
        <w:t xml:space="preserve"> international courts, including the ICJ.</w:t>
      </w:r>
    </w:p>
    <w:p w14:paraId="76E24B46" w14:textId="77777777" w:rsidR="006F2C07" w:rsidRPr="00FF2478" w:rsidRDefault="006F2C07" w:rsidP="006F2C07">
      <w:pPr>
        <w:rPr>
          <w:sz w:val="16"/>
        </w:rPr>
      </w:pPr>
      <w:r w:rsidRPr="00FF2478">
        <w:rPr>
          <w:sz w:val="16"/>
        </w:rPr>
        <w:t>International Courts</w:t>
      </w:r>
    </w:p>
    <w:p w14:paraId="626EBA88" w14:textId="77777777" w:rsidR="006F2C07" w:rsidRPr="00FF2478" w:rsidRDefault="006F2C07" w:rsidP="006F2C07">
      <w:pPr>
        <w:rPr>
          <w:sz w:val="16"/>
        </w:rPr>
      </w:pPr>
      <w:r w:rsidRPr="00FF2478">
        <w:rPr>
          <w:sz w:val="16"/>
        </w:rPr>
        <w:t xml:space="preserve">So how do international courts sort out, or identify, the existence of a rule of CIL? This question has </w:t>
      </w:r>
      <w:proofErr w:type="gramStart"/>
      <w:r w:rsidRPr="00FF2478">
        <w:rPr>
          <w:sz w:val="16"/>
        </w:rPr>
        <w:t>actually been</w:t>
      </w:r>
      <w:proofErr w:type="gramEnd"/>
      <w:r w:rsidRPr="00FF2478">
        <w:rPr>
          <w:sz w:val="16"/>
        </w:rPr>
        <w:t xml:space="preserve"> one of the most fascinating subjects of the recent wave of </w:t>
      </w:r>
      <w:proofErr w:type="gramStart"/>
      <w:r w:rsidRPr="00FF2478">
        <w:rPr>
          <w:sz w:val="16"/>
        </w:rPr>
        <w:t>scholarship</w:t>
      </w:r>
      <w:proofErr w:type="gramEnd"/>
      <w:r w:rsidRPr="00FF2478">
        <w:rPr>
          <w:sz w:val="16"/>
        </w:rPr>
        <w:t xml:space="preserve"> on CIL. </w:t>
      </w:r>
      <w:proofErr w:type="gramStart"/>
      <w:r w:rsidRPr="00FF2478">
        <w:rPr>
          <w:rStyle w:val="StyleUnderline"/>
        </w:rPr>
        <w:t>A number of</w:t>
      </w:r>
      <w:proofErr w:type="gramEnd"/>
      <w:r w:rsidRPr="00FF2478">
        <w:rPr>
          <w:rStyle w:val="StyleUnderline"/>
        </w:rPr>
        <w:t xml:space="preserve"> authors have conducted</w:t>
      </w:r>
      <w:r w:rsidRPr="00FF2478">
        <w:rPr>
          <w:sz w:val="16"/>
        </w:rPr>
        <w:t> </w:t>
      </w:r>
      <w:r w:rsidRPr="00FF2478">
        <w:rPr>
          <w:rStyle w:val="Emphasis"/>
          <w:highlight w:val="cyan"/>
        </w:rPr>
        <w:t>empirical studies</w:t>
      </w:r>
      <w:r w:rsidRPr="00FF2478">
        <w:rPr>
          <w:sz w:val="16"/>
          <w:highlight w:val="cyan"/>
        </w:rPr>
        <w:t> </w:t>
      </w:r>
      <w:r w:rsidRPr="00FF2478">
        <w:rPr>
          <w:rStyle w:val="StyleUnderline"/>
          <w:highlight w:val="cyan"/>
        </w:rPr>
        <w:t>of cases decided by international courts</w:t>
      </w:r>
      <w:r w:rsidRPr="00FF2478">
        <w:rPr>
          <w:rStyle w:val="StyleUnderline"/>
        </w:rPr>
        <w:t>, including the ICJ, international criminal tribunals, and others</w:t>
      </w:r>
      <w:r w:rsidRPr="00FF2478">
        <w:rPr>
          <w:u w:val="single"/>
        </w:rPr>
        <w:t>.</w:t>
      </w:r>
      <w:r w:rsidRPr="00FF2478">
        <w:rPr>
          <w:sz w:val="16"/>
        </w:rPr>
        <w:t> What they have found is that these august international judicial bodies typically </w:t>
      </w:r>
      <w:r w:rsidRPr="00FF2478">
        <w:rPr>
          <w:rStyle w:val="StyleUnderline"/>
          <w:highlight w:val="cyan"/>
        </w:rPr>
        <w:t>do not display systematic, rigorous analysis of evidence</w:t>
      </w:r>
      <w:r w:rsidRPr="00FF2478">
        <w:rPr>
          <w:rStyle w:val="StyleUnderline"/>
        </w:rPr>
        <w:t xml:space="preserve"> falling </w:t>
      </w:r>
      <w:r w:rsidRPr="00FF2478">
        <w:rPr>
          <w:rStyle w:val="StyleUnderline"/>
          <w:highlight w:val="cyan"/>
        </w:rPr>
        <w:t>under the framework</w:t>
      </w:r>
      <w:r w:rsidRPr="00FF2478">
        <w:rPr>
          <w:rStyle w:val="StyleUnderline"/>
        </w:rPr>
        <w:t xml:space="preserve"> of the orthodox two-element test</w:t>
      </w:r>
      <w:r w:rsidRPr="00FF2478">
        <w:rPr>
          <w:u w:val="single"/>
        </w:rPr>
        <w:t>.</w:t>
      </w:r>
      <w:r w:rsidRPr="00FF2478">
        <w:rPr>
          <w:sz w:val="16"/>
        </w:rPr>
        <w:t xml:space="preserve"> Stefan Talmon, for example, has criticized the ICJ itself for engaging in a deductive and assertive, as opposed to a properly </w:t>
      </w:r>
      <w:proofErr w:type="gramStart"/>
      <w:r w:rsidRPr="00FF2478">
        <w:rPr>
          <w:sz w:val="16"/>
        </w:rPr>
        <w:t>inductive,</w:t>
      </w:r>
      <w:proofErr w:type="gramEnd"/>
      <w:r w:rsidRPr="00FF2478">
        <w:rPr>
          <w:sz w:val="16"/>
        </w:rPr>
        <w:t xml:space="preserve"> methodology when considering evidence of CIL, and for thereby engaging in judicial legislation—although he also observes the perceived need for the Court to take this approach. As he explains:</w:t>
      </w:r>
    </w:p>
    <w:p w14:paraId="4CF6E838" w14:textId="77777777" w:rsidR="006F2C07" w:rsidRPr="00FF2478" w:rsidRDefault="006F2C07" w:rsidP="006F2C07">
      <w:pPr>
        <w:rPr>
          <w:sz w:val="16"/>
        </w:rPr>
      </w:pPr>
      <w:r w:rsidRPr="00FF2478">
        <w:rPr>
          <w:sz w:val="16"/>
        </w:rPr>
        <w:t xml:space="preserve">In </w:t>
      </w:r>
      <w:proofErr w:type="gramStart"/>
      <w:r w:rsidRPr="00FF2478">
        <w:rPr>
          <w:sz w:val="16"/>
        </w:rPr>
        <w:t>a majority of</w:t>
      </w:r>
      <w:proofErr w:type="gramEnd"/>
      <w:r w:rsidRPr="00FF2478">
        <w:rPr>
          <w:sz w:val="16"/>
        </w:rPr>
        <w:t xml:space="preserve"> cases the Court has not examined, whatever it may say on the matter, the practice and </w:t>
      </w:r>
      <w:proofErr w:type="spellStart"/>
      <w:r w:rsidRPr="00FF2478">
        <w:rPr>
          <w:sz w:val="16"/>
        </w:rPr>
        <w:t>opinio</w:t>
      </w:r>
      <w:proofErr w:type="spellEnd"/>
      <w:r w:rsidRPr="00FF2478">
        <w:rPr>
          <w:sz w:val="16"/>
        </w:rPr>
        <w:t xml:space="preserve"> juris of States, but has simply asserted the rules which it applies. This methodological approach has been criticized even by its own members. But assertion is not always merely a convenient methodological shortcut. There are situations where the inductive and deductive methods will not allow the Court to fulfil its normal judicial function of determining the applicable rules of customary international law because induction is virtually impossible, or because there are no relevant general rules or principles from which to deduce the applicable law. Judicial assertion is the price States </w:t>
      </w:r>
      <w:proofErr w:type="gramStart"/>
      <w:r w:rsidRPr="00FF2478">
        <w:rPr>
          <w:sz w:val="16"/>
        </w:rPr>
        <w:t>have to</w:t>
      </w:r>
      <w:proofErr w:type="gramEnd"/>
      <w:r w:rsidRPr="00FF2478">
        <w:rPr>
          <w:sz w:val="16"/>
        </w:rPr>
        <w:t xml:space="preserve"> pay for the Court not to declare an epistemological non liquet.7</w:t>
      </w:r>
    </w:p>
    <w:p w14:paraId="37378D01" w14:textId="77777777" w:rsidR="006F2C07" w:rsidRPr="00FF2478" w:rsidRDefault="006F2C07" w:rsidP="006F2C07">
      <w:pPr>
        <w:rPr>
          <w:sz w:val="16"/>
        </w:rPr>
      </w:pPr>
      <w:r w:rsidRPr="00FF2478">
        <w:rPr>
          <w:sz w:val="16"/>
        </w:rPr>
        <w:t>In another such study, involving a broader range of international judicial bodies, Stephen Choi and Mitu Gulati found that:</w:t>
      </w:r>
    </w:p>
    <w:p w14:paraId="69291EFA" w14:textId="77777777" w:rsidR="006F2C07" w:rsidRPr="00FF2478" w:rsidRDefault="006F2C07" w:rsidP="006F2C07">
      <w:pPr>
        <w:rPr>
          <w:sz w:val="16"/>
        </w:rPr>
      </w:pPr>
      <w:r w:rsidRPr="00FF2478">
        <w:rPr>
          <w:sz w:val="16"/>
        </w:rPr>
        <w:t xml:space="preserve">Courts in this area, it turns out, do not neatly separate out the evidence that they look at in terms of saying X piece of evidence helped persuade them on prong one and Y piece of evidence helped persuade them on prong two. </w:t>
      </w:r>
      <w:proofErr w:type="gramStart"/>
      <w:r w:rsidRPr="00FF2478">
        <w:rPr>
          <w:sz w:val="16"/>
        </w:rPr>
        <w:t>Instead</w:t>
      </w:r>
      <w:proofErr w:type="gramEnd"/>
      <w:r w:rsidRPr="00FF2478">
        <w:rPr>
          <w:sz w:val="16"/>
        </w:rPr>
        <w:t xml:space="preserve"> they tend to bundle all the evidence into a single discussion and then assert whether the two-prong test is satisfied (and sometimes they do not even mention the two-prong test).8</w:t>
      </w:r>
    </w:p>
    <w:p w14:paraId="69963ED3" w14:textId="77777777" w:rsidR="006F2C07" w:rsidRPr="00FF2478" w:rsidRDefault="006F2C07" w:rsidP="006F2C07">
      <w:pPr>
        <w:rPr>
          <w:sz w:val="16"/>
        </w:rPr>
      </w:pPr>
      <w:r w:rsidRPr="00FF2478">
        <w:rPr>
          <w:sz w:val="16"/>
        </w:rPr>
        <w:t>Choi and Gulati are less sympathetic than Talmon to considerations regarding the judicial function and the need for CIL to serve a jurisprudential gap-filling role:</w:t>
      </w:r>
    </w:p>
    <w:p w14:paraId="43F514F8" w14:textId="77777777" w:rsidR="006F2C07" w:rsidRPr="00FF2478" w:rsidRDefault="006F2C07" w:rsidP="006F2C07">
      <w:pPr>
        <w:rPr>
          <w:sz w:val="16"/>
        </w:rPr>
      </w:pPr>
      <w:r w:rsidRPr="00FF2478">
        <w:rPr>
          <w:rStyle w:val="StyleUnderline"/>
        </w:rPr>
        <w:t>The </w:t>
      </w:r>
      <w:r w:rsidRPr="00FF2478">
        <w:rPr>
          <w:rStyle w:val="Emphasis"/>
          <w:highlight w:val="cyan"/>
        </w:rPr>
        <w:t xml:space="preserve">data </w:t>
      </w:r>
      <w:proofErr w:type="gramStart"/>
      <w:r w:rsidRPr="00FF2478">
        <w:rPr>
          <w:rStyle w:val="Emphasis"/>
          <w:highlight w:val="cyan"/>
        </w:rPr>
        <w:t>suggest</w:t>
      </w:r>
      <w:proofErr w:type="gramEnd"/>
      <w:r w:rsidRPr="00FF2478">
        <w:rPr>
          <w:rStyle w:val="StyleUnderline"/>
        </w:rPr>
        <w:t xml:space="preserve"> that </w:t>
      </w:r>
      <w:r w:rsidRPr="00FF2478">
        <w:rPr>
          <w:rStyle w:val="StyleUnderline"/>
          <w:highlight w:val="cyan"/>
        </w:rPr>
        <w:t>international courts do not come anywhere close to</w:t>
      </w:r>
      <w:r w:rsidRPr="00FF2478">
        <w:rPr>
          <w:rStyle w:val="StyleUnderline"/>
        </w:rPr>
        <w:t xml:space="preserve"> engaging in the type of </w:t>
      </w:r>
      <w:proofErr w:type="gramStart"/>
      <w:r w:rsidRPr="00FF2478">
        <w:rPr>
          <w:rStyle w:val="StyleUnderline"/>
        </w:rPr>
        <w:t>analysis</w:t>
      </w:r>
      <w:proofErr w:type="gramEnd"/>
      <w:r w:rsidRPr="00FF2478">
        <w:rPr>
          <w:rStyle w:val="StyleUnderline"/>
        </w:rPr>
        <w:t> the officially stated two-part rule for the evolution of </w:t>
      </w:r>
      <w:r w:rsidRPr="00FF2478">
        <w:rPr>
          <w:rStyle w:val="StyleUnderline"/>
          <w:highlight w:val="cyan"/>
        </w:rPr>
        <w:t>CIL</w:t>
      </w:r>
      <w:r w:rsidRPr="00FF2478">
        <w:rPr>
          <w:rStyle w:val="StyleUnderline"/>
        </w:rPr>
        <w:t xml:space="preserve"> sets up. Instead,</w:t>
      </w:r>
      <w:r w:rsidRPr="00FF2478">
        <w:rPr>
          <w:sz w:val="16"/>
        </w:rPr>
        <w:t> </w:t>
      </w:r>
      <w:r w:rsidRPr="00FF2478">
        <w:rPr>
          <w:rStyle w:val="Emphasis"/>
        </w:rPr>
        <w:t>as best</w:t>
      </w:r>
      <w:r w:rsidRPr="00FF2478">
        <w:rPr>
          <w:sz w:val="16"/>
        </w:rPr>
        <w:t> </w:t>
      </w:r>
      <w:r w:rsidRPr="00FF2478">
        <w:rPr>
          <w:rStyle w:val="StyleUnderline"/>
        </w:rPr>
        <w:t>we can tell, </w:t>
      </w:r>
      <w:r w:rsidRPr="00FF2478">
        <w:rPr>
          <w:rStyle w:val="StyleUnderline"/>
          <w:highlight w:val="cyan"/>
        </w:rPr>
        <w:t>courts analyzing CIL</w:t>
      </w:r>
      <w:r w:rsidRPr="00FF2478">
        <w:rPr>
          <w:sz w:val="16"/>
        </w:rPr>
        <w:t>—whether they find it or not—</w:t>
      </w:r>
      <w:r w:rsidRPr="00FF2478">
        <w:rPr>
          <w:rStyle w:val="StyleUnderline"/>
          <w:highlight w:val="cyan"/>
        </w:rPr>
        <w:t>are</w:t>
      </w:r>
      <w:r w:rsidRPr="00FF2478">
        <w:rPr>
          <w:rStyle w:val="StyleUnderline"/>
        </w:rPr>
        <w:t> generally engaged in a forward-looking or </w:t>
      </w:r>
      <w:r w:rsidRPr="00FF2478">
        <w:rPr>
          <w:rStyle w:val="StyleUnderline"/>
          <w:highlight w:val="cyan"/>
        </w:rPr>
        <w:t>aspirational</w:t>
      </w:r>
      <w:r w:rsidRPr="00FF2478">
        <w:rPr>
          <w:rStyle w:val="StyleUnderline"/>
        </w:rPr>
        <w:t> exercise.9</w:t>
      </w:r>
    </w:p>
    <w:p w14:paraId="2C3252A6" w14:textId="77777777" w:rsidR="006F2C07" w:rsidRPr="00FF2478" w:rsidRDefault="006F2C07" w:rsidP="006F2C07">
      <w:pPr>
        <w:rPr>
          <w:rStyle w:val="StyleUnderline"/>
        </w:rPr>
      </w:pPr>
      <w:r w:rsidRPr="00FF2478">
        <w:rPr>
          <w:sz w:val="16"/>
        </w:rPr>
        <w:t xml:space="preserve">These studies have helped to shed light on how international courts in fact go about looking for CIL, what kinds of evidence they think are relevant to that determination, and what standards they </w:t>
      </w:r>
      <w:proofErr w:type="gramStart"/>
      <w:r w:rsidRPr="00FF2478">
        <w:rPr>
          <w:sz w:val="16"/>
        </w:rPr>
        <w:t>actually apply</w:t>
      </w:r>
      <w:proofErr w:type="gramEnd"/>
      <w:r w:rsidRPr="00FF2478">
        <w:rPr>
          <w:sz w:val="16"/>
        </w:rPr>
        <w:t xml:space="preserve"> to that evidence. </w:t>
      </w:r>
      <w:r w:rsidRPr="00FF2478">
        <w:rPr>
          <w:rStyle w:val="StyleUnderline"/>
        </w:rPr>
        <w:t xml:space="preserve">And, as the studies show, international courts cannot be said to be exemplary in their application of the orthodox two-element approach to CIL identification, which remains the orthodoxy in </w:t>
      </w:r>
      <w:proofErr w:type="gramStart"/>
      <w:r w:rsidRPr="00FF2478">
        <w:rPr>
          <w:rStyle w:val="StyleUnderline"/>
        </w:rPr>
        <w:t>all of</w:t>
      </w:r>
      <w:proofErr w:type="gramEnd"/>
      <w:r w:rsidRPr="00FF2478">
        <w:rPr>
          <w:rStyle w:val="StyleUnderline"/>
        </w:rPr>
        <w:t xml:space="preserve"> the textbooks on international law, and which has been reaffirmed through the recent work of the ILC.</w:t>
      </w:r>
    </w:p>
    <w:p w14:paraId="21997B01" w14:textId="77777777" w:rsidR="006F2C07" w:rsidRPr="00FF2478" w:rsidRDefault="006F2C07" w:rsidP="006F2C07">
      <w:pPr>
        <w:rPr>
          <w:sz w:val="16"/>
        </w:rPr>
      </w:pPr>
      <w:r w:rsidRPr="00FF2478">
        <w:rPr>
          <w:rStyle w:val="StyleUnderline"/>
          <w:highlight w:val="cyan"/>
        </w:rPr>
        <w:t>This fact</w:t>
      </w:r>
      <w:r w:rsidRPr="00FF2478">
        <w:rPr>
          <w:rStyle w:val="StyleUnderline"/>
        </w:rPr>
        <w:t xml:space="preserve"> alone </w:t>
      </w:r>
      <w:r w:rsidRPr="00FF2478">
        <w:rPr>
          <w:rStyle w:val="StyleUnderline"/>
          <w:highlight w:val="cyan"/>
        </w:rPr>
        <w:t>is</w:t>
      </w:r>
      <w:r w:rsidRPr="00FF2478">
        <w:rPr>
          <w:sz w:val="16"/>
          <w:highlight w:val="cyan"/>
        </w:rPr>
        <w:t> </w:t>
      </w:r>
      <w:r w:rsidRPr="00FF2478">
        <w:rPr>
          <w:rStyle w:val="Emphasis"/>
          <w:highlight w:val="cyan"/>
        </w:rPr>
        <w:t>extremely problematic</w:t>
      </w:r>
      <w:r w:rsidRPr="00FF2478">
        <w:rPr>
          <w:b/>
          <w:bCs/>
          <w:u w:val="single"/>
        </w:rPr>
        <w:t>.</w:t>
      </w:r>
      <w:r w:rsidRPr="00FF2478">
        <w:rPr>
          <w:sz w:val="16"/>
        </w:rPr>
        <w:t> Inasmuch as my standard answer to my students is that their methodological questions on identifying and determining </w:t>
      </w:r>
      <w:r w:rsidRPr="00FF2478">
        <w:rPr>
          <w:rStyle w:val="StyleUnderline"/>
        </w:rPr>
        <w:t>CIL in practice</w:t>
      </w:r>
      <w:r w:rsidRPr="00FF2478">
        <w:rPr>
          <w:sz w:val="16"/>
        </w:rPr>
        <w:t> can be answered by reference to how international courts go about this exercise—which really ought to be a sound answer to those questions—</w:t>
      </w:r>
      <w:r w:rsidRPr="00FF2478">
        <w:rPr>
          <w:rStyle w:val="StyleUnderline"/>
        </w:rPr>
        <w:t xml:space="preserve">the fact that </w:t>
      </w:r>
      <w:r w:rsidRPr="00FF2478">
        <w:rPr>
          <w:rStyle w:val="StyleUnderline"/>
          <w:highlight w:val="cyan"/>
        </w:rPr>
        <w:t>international courts demonstrably do not apply the principles</w:t>
      </w:r>
      <w:r w:rsidRPr="00FF2478">
        <w:rPr>
          <w:rStyle w:val="StyleUnderline"/>
        </w:rPr>
        <w:t> that I am teaching them as orthodox, seriously decreases my own confidence in that answer</w:t>
      </w:r>
      <w:r w:rsidRPr="00FF2478">
        <w:rPr>
          <w:u w:val="single"/>
        </w:rPr>
        <w:t>.</w:t>
      </w:r>
    </w:p>
    <w:p w14:paraId="1810A0E5" w14:textId="77777777" w:rsidR="006F2C07" w:rsidRDefault="006F2C07" w:rsidP="006F2C07">
      <w:pPr>
        <w:pStyle w:val="Heading3"/>
      </w:pPr>
      <w:r>
        <w:t>1AR---AT: CIL Turn---Geoengineering Consistent with I-Law</w:t>
      </w:r>
    </w:p>
    <w:p w14:paraId="50F92843" w14:textId="77777777" w:rsidR="006F2C07" w:rsidRDefault="006F2C07" w:rsidP="006F2C07">
      <w:pPr>
        <w:pStyle w:val="Heading4"/>
      </w:pPr>
      <w:r>
        <w:t>The U.S. would invoke the necessity clause --- that avoids conflicts with customary international law.</w:t>
      </w:r>
    </w:p>
    <w:p w14:paraId="018A7F97" w14:textId="77777777" w:rsidR="006F2C07" w:rsidRPr="00F144EE" w:rsidRDefault="006F2C07" w:rsidP="006F2C07">
      <w:r>
        <w:t xml:space="preserve">Jesse L. </w:t>
      </w:r>
      <w:r w:rsidRPr="00F144EE">
        <w:rPr>
          <w:rStyle w:val="Style13ptBold"/>
        </w:rPr>
        <w:t>Reynolds</w:t>
      </w:r>
      <w:r>
        <w:t xml:space="preserve"> 6-30-20</w:t>
      </w:r>
      <w:r w:rsidRPr="00F144EE">
        <w:rPr>
          <w:rStyle w:val="Style13ptBold"/>
        </w:rPr>
        <w:t>20</w:t>
      </w:r>
      <w:r>
        <w:t xml:space="preserve">, Jesse L. Reynolds is an Emmett/Frankel Fellow in Environmental Law and Policy at the University of California, Los Angeles School of Law, as well as an associate researcher at Universiteit Utrecht and a research affiliate at Harvard University, Massachusetts. He has degrees from Tilburg University; the University of California, Berkeley; and </w:t>
      </w:r>
      <w:proofErr w:type="gramStart"/>
      <w:r>
        <w:t>Hampshire College, and</w:t>
      </w:r>
      <w:proofErr w:type="gramEnd"/>
      <w:r>
        <w:t xml:space="preserve"> has been a US Environmental Protection Agency Science to Achieve Results Graduate Fellow and a Fulbright Scholar. “Solar Geoengineering Could Be Consistent with International Law” </w:t>
      </w:r>
      <w:r w:rsidRPr="00F144EE">
        <w:t>https://papers.ssrn.com/sol3/papers.cfm?abstract_id=3639214</w:t>
      </w:r>
      <w:r>
        <w:t xml:space="preserve"> //MDC</w:t>
      </w:r>
    </w:p>
    <w:p w14:paraId="394D70E3" w14:textId="77777777" w:rsidR="006F2C07" w:rsidRPr="00F144EE" w:rsidRDefault="006F2C07" w:rsidP="006F2C07">
      <w:pPr>
        <w:rPr>
          <w:sz w:val="16"/>
        </w:rPr>
      </w:pPr>
      <w:r w:rsidRPr="00F144EE">
        <w:rPr>
          <w:sz w:val="16"/>
        </w:rPr>
        <w:t xml:space="preserve">Necessity </w:t>
      </w:r>
    </w:p>
    <w:p w14:paraId="6AF094AC" w14:textId="77777777" w:rsidR="006F2C07" w:rsidRPr="00F144EE" w:rsidRDefault="006F2C07" w:rsidP="006F2C07">
      <w:pPr>
        <w:rPr>
          <w:sz w:val="16"/>
        </w:rPr>
      </w:pPr>
      <w:r w:rsidRPr="00F144EE">
        <w:rPr>
          <w:rStyle w:val="StyleUnderline"/>
          <w:highlight w:val="cyan"/>
        </w:rPr>
        <w:t>If</w:t>
      </w:r>
      <w:r w:rsidRPr="00F144EE">
        <w:rPr>
          <w:rStyle w:val="StyleUnderline"/>
        </w:rPr>
        <w:t xml:space="preserve"> a state that conducts </w:t>
      </w:r>
      <w:r w:rsidRPr="00F144EE">
        <w:rPr>
          <w:rStyle w:val="StyleUnderline"/>
          <w:highlight w:val="cyan"/>
        </w:rPr>
        <w:t xml:space="preserve">geoengineering </w:t>
      </w:r>
      <w:proofErr w:type="gramStart"/>
      <w:r w:rsidRPr="00F144EE">
        <w:rPr>
          <w:rStyle w:val="StyleUnderline"/>
          <w:highlight w:val="cyan"/>
        </w:rPr>
        <w:t>were</w:t>
      </w:r>
      <w:proofErr w:type="gramEnd"/>
      <w:r w:rsidRPr="00F144EE">
        <w:rPr>
          <w:rStyle w:val="StyleUnderline"/>
        </w:rPr>
        <w:t xml:space="preserve"> to be </w:t>
      </w:r>
      <w:r w:rsidRPr="00F144EE">
        <w:rPr>
          <w:rStyle w:val="StyleUnderline"/>
          <w:highlight w:val="cyan"/>
        </w:rPr>
        <w:t>accused</w:t>
      </w:r>
      <w:r w:rsidRPr="00F144EE">
        <w:rPr>
          <w:rStyle w:val="StyleUnderline"/>
        </w:rPr>
        <w:t xml:space="preserve"> by another </w:t>
      </w:r>
      <w:r w:rsidRPr="00F144EE">
        <w:rPr>
          <w:rStyle w:val="StyleUnderline"/>
          <w:highlight w:val="cyan"/>
        </w:rPr>
        <w:t>of</w:t>
      </w:r>
      <w:r w:rsidRPr="00F144EE">
        <w:rPr>
          <w:rStyle w:val="StyleUnderline"/>
        </w:rPr>
        <w:t xml:space="preserve"> acting in </w:t>
      </w:r>
      <w:r w:rsidRPr="00F144EE">
        <w:rPr>
          <w:rStyle w:val="StyleUnderline"/>
          <w:highlight w:val="cyan"/>
        </w:rPr>
        <w:t>breach of</w:t>
      </w:r>
      <w:r w:rsidRPr="00F144EE">
        <w:rPr>
          <w:rStyle w:val="StyleUnderline"/>
        </w:rPr>
        <w:t xml:space="preserve"> its </w:t>
      </w:r>
      <w:r w:rsidRPr="00F144EE">
        <w:rPr>
          <w:rStyle w:val="StyleUnderline"/>
          <w:highlight w:val="cyan"/>
        </w:rPr>
        <w:t>international</w:t>
      </w:r>
      <w:r w:rsidRPr="00F144EE">
        <w:rPr>
          <w:rStyle w:val="StyleUnderline"/>
        </w:rPr>
        <w:t xml:space="preserve"> legal </w:t>
      </w:r>
      <w:r w:rsidRPr="00F144EE">
        <w:rPr>
          <w:rStyle w:val="StyleUnderline"/>
          <w:highlight w:val="cyan"/>
        </w:rPr>
        <w:t>obligations, the accused state may invoke</w:t>
      </w:r>
      <w:r w:rsidRPr="00F144EE">
        <w:rPr>
          <w:rStyle w:val="StyleUnderline"/>
        </w:rPr>
        <w:t xml:space="preserve"> circumstances in which the customary international law of state responsibility </w:t>
      </w:r>
      <w:proofErr w:type="gramStart"/>
      <w:r w:rsidRPr="00F144EE">
        <w:rPr>
          <w:rStyle w:val="StyleUnderline"/>
        </w:rPr>
        <w:t>preclude</w:t>
      </w:r>
      <w:proofErr w:type="gramEnd"/>
      <w:r w:rsidRPr="00F144EE">
        <w:rPr>
          <w:rStyle w:val="StyleUnderline"/>
        </w:rPr>
        <w:t xml:space="preserve"> an act from being wrongful. The most pertinent of these is </w:t>
      </w:r>
      <w:r w:rsidRPr="00F144EE">
        <w:rPr>
          <w:rStyle w:val="Emphasis"/>
          <w:highlight w:val="cyan"/>
        </w:rPr>
        <w:t>necessity</w:t>
      </w:r>
      <w:r w:rsidRPr="00F144EE">
        <w:rPr>
          <w:rStyle w:val="StyleUnderline"/>
        </w:rPr>
        <w:t xml:space="preserve">, in which the act that would otherwise be contrary to international law “is the only way for the State </w:t>
      </w:r>
      <w:r w:rsidRPr="00F144EE">
        <w:rPr>
          <w:rStyle w:val="StyleUnderline"/>
          <w:highlight w:val="cyan"/>
        </w:rPr>
        <w:t>to safeguard an essential interest</w:t>
      </w:r>
      <w:r w:rsidRPr="00F144EE">
        <w:rPr>
          <w:rStyle w:val="StyleUnderline"/>
        </w:rPr>
        <w:t xml:space="preserve"> against a grave and imminent peril</w:t>
      </w:r>
      <w:r w:rsidRPr="00F144EE">
        <w:rPr>
          <w:sz w:val="16"/>
        </w:rPr>
        <w:t xml:space="preserve">”, according to the ILC’s Draft Articles.78 </w:t>
      </w:r>
      <w:r w:rsidRPr="00F144EE">
        <w:rPr>
          <w:rStyle w:val="StyleUnderline"/>
          <w:highlight w:val="cyan"/>
        </w:rPr>
        <w:t>Climate change</w:t>
      </w:r>
      <w:r w:rsidRPr="00F144EE">
        <w:rPr>
          <w:rStyle w:val="StyleUnderline"/>
        </w:rPr>
        <w:t xml:space="preserve"> will </w:t>
      </w:r>
      <w:r w:rsidRPr="00F144EE">
        <w:rPr>
          <w:rStyle w:val="StyleUnderline"/>
          <w:highlight w:val="cyan"/>
        </w:rPr>
        <w:t>threaten</w:t>
      </w:r>
      <w:r w:rsidRPr="00F144EE">
        <w:rPr>
          <w:rStyle w:val="StyleUnderline"/>
        </w:rPr>
        <w:t xml:space="preserve"> some states’ </w:t>
      </w:r>
      <w:r w:rsidRPr="00F144EE">
        <w:rPr>
          <w:rStyle w:val="StyleUnderline"/>
          <w:highlight w:val="cyan"/>
        </w:rPr>
        <w:t>essential interests</w:t>
      </w:r>
      <w:r w:rsidRPr="00F144EE">
        <w:rPr>
          <w:rStyle w:val="StyleUnderline"/>
        </w:rPr>
        <w:t xml:space="preserve">, including the very existing of low-lying island states. A state could assert that solar </w:t>
      </w:r>
      <w:r w:rsidRPr="00F144EE">
        <w:rPr>
          <w:rStyle w:val="StyleUnderline"/>
          <w:highlight w:val="cyan"/>
        </w:rPr>
        <w:t>geoengineering is the only way</w:t>
      </w:r>
      <w:r w:rsidRPr="00F144EE">
        <w:rPr>
          <w:rStyle w:val="StyleUnderline"/>
        </w:rPr>
        <w:t xml:space="preserve"> for it </w:t>
      </w:r>
      <w:r w:rsidRPr="00F144EE">
        <w:rPr>
          <w:rStyle w:val="StyleUnderline"/>
          <w:highlight w:val="cyan"/>
        </w:rPr>
        <w:t xml:space="preserve">to safeguard such an </w:t>
      </w:r>
      <w:r w:rsidRPr="00F144EE">
        <w:rPr>
          <w:rStyle w:val="Emphasis"/>
          <w:highlight w:val="cyan"/>
        </w:rPr>
        <w:t>essential interest</w:t>
      </w:r>
      <w:r w:rsidRPr="00F144EE">
        <w:rPr>
          <w:rStyle w:val="StyleUnderline"/>
        </w:rPr>
        <w:t>, despite any possible ways in which the activities would be contrary to international law</w:t>
      </w:r>
      <w:r w:rsidRPr="00F144EE">
        <w:rPr>
          <w:sz w:val="16"/>
        </w:rPr>
        <w:t xml:space="preserve">. </w:t>
      </w:r>
    </w:p>
    <w:p w14:paraId="2A84787B" w14:textId="77777777" w:rsidR="006F2C07" w:rsidRDefault="006F2C07" w:rsidP="006F2C07">
      <w:pPr>
        <w:pStyle w:val="Heading4"/>
      </w:pPr>
      <w:r>
        <w:t xml:space="preserve">CIL does not preclude geoengineering, or its </w:t>
      </w:r>
      <w:r>
        <w:rPr>
          <w:u w:val="single"/>
        </w:rPr>
        <w:t>thumped</w:t>
      </w:r>
      <w:r>
        <w:t>.</w:t>
      </w:r>
    </w:p>
    <w:p w14:paraId="370ED309" w14:textId="77777777" w:rsidR="006F2C07" w:rsidRPr="007F4C11" w:rsidRDefault="006F2C07" w:rsidP="006F2C07">
      <w:r>
        <w:t xml:space="preserve">Jesse L. </w:t>
      </w:r>
      <w:r w:rsidRPr="00F144EE">
        <w:rPr>
          <w:rStyle w:val="Style13ptBold"/>
        </w:rPr>
        <w:t>Reynolds</w:t>
      </w:r>
      <w:r>
        <w:t xml:space="preserve"> 6-30-20</w:t>
      </w:r>
      <w:r w:rsidRPr="00F144EE">
        <w:rPr>
          <w:rStyle w:val="Style13ptBold"/>
        </w:rPr>
        <w:t>20</w:t>
      </w:r>
      <w:r>
        <w:t xml:space="preserve">, Jesse L. Reynolds is an Emmett/Frankel Fellow in Environmental Law and Policy at the University of California, Los Angeles School of Law, as well as an associate researcher at Universiteit Utrecht and a research affiliate at Harvard University, Massachusetts. He has degrees from Tilburg University; the University of California, Berkeley; and </w:t>
      </w:r>
      <w:proofErr w:type="gramStart"/>
      <w:r>
        <w:t>Hampshire College, and</w:t>
      </w:r>
      <w:proofErr w:type="gramEnd"/>
      <w:r>
        <w:t xml:space="preserve"> has been a US Environmental Protection Agency Science to Achieve Results Graduate Fellow and a Fulbright Scholar. “Solar Geoengineering Could Be Consistent with International Law” </w:t>
      </w:r>
      <w:r w:rsidRPr="00F144EE">
        <w:t>https://papers.ssrn.com/sol3/papers.cfm?abstract_id=3639214</w:t>
      </w:r>
      <w:r>
        <w:t xml:space="preserve"> //MDC</w:t>
      </w:r>
    </w:p>
    <w:p w14:paraId="4EC2DDA1" w14:textId="77777777" w:rsidR="006F2C07" w:rsidRPr="007F4C11" w:rsidRDefault="006F2C07" w:rsidP="006F2C07">
      <w:pPr>
        <w:rPr>
          <w:sz w:val="16"/>
        </w:rPr>
      </w:pPr>
      <w:r w:rsidRPr="007F4C11">
        <w:rPr>
          <w:sz w:val="16"/>
        </w:rPr>
        <w:t xml:space="preserve">Customary international law </w:t>
      </w:r>
    </w:p>
    <w:p w14:paraId="24BD4FC4" w14:textId="77777777" w:rsidR="006F2C07" w:rsidRPr="007F4C11" w:rsidRDefault="006F2C07" w:rsidP="006F2C07">
      <w:pPr>
        <w:rPr>
          <w:sz w:val="16"/>
        </w:rPr>
      </w:pPr>
      <w:r w:rsidRPr="007F4C11">
        <w:rPr>
          <w:sz w:val="16"/>
        </w:rPr>
        <w:t xml:space="preserve">Solar geoengineering would entail the use of territory and natural resources. </w:t>
      </w:r>
      <w:r w:rsidRPr="007F4C11">
        <w:rPr>
          <w:rStyle w:val="StyleUnderline"/>
        </w:rPr>
        <w:t xml:space="preserve">A </w:t>
      </w:r>
      <w:r w:rsidRPr="007F4C11">
        <w:rPr>
          <w:rStyle w:val="StyleUnderline"/>
          <w:highlight w:val="cyan"/>
        </w:rPr>
        <w:t>state’s sovereignty</w:t>
      </w:r>
      <w:r w:rsidRPr="007F4C11">
        <w:rPr>
          <w:rStyle w:val="StyleUnderline"/>
        </w:rPr>
        <w:t xml:space="preserve"> over its territory </w:t>
      </w:r>
      <w:r w:rsidRPr="007F4C11">
        <w:rPr>
          <w:rStyle w:val="StyleUnderline"/>
          <w:highlight w:val="cyan"/>
        </w:rPr>
        <w:t>is</w:t>
      </w:r>
      <w:r w:rsidRPr="007F4C11">
        <w:rPr>
          <w:rStyle w:val="StyleUnderline"/>
        </w:rPr>
        <w:t xml:space="preserve"> arguably the </w:t>
      </w:r>
      <w:r w:rsidRPr="007F4C11">
        <w:rPr>
          <w:rStyle w:val="StyleUnderline"/>
          <w:highlight w:val="cyan"/>
        </w:rPr>
        <w:t>foundation of international law</w:t>
      </w:r>
      <w:proofErr w:type="gramStart"/>
      <w:r w:rsidRPr="007F4C11">
        <w:rPr>
          <w:rStyle w:val="StyleUnderline"/>
        </w:rPr>
        <w:t>.21</w:t>
      </w:r>
      <w:proofErr w:type="gramEnd"/>
      <w:r w:rsidRPr="007F4C11">
        <w:rPr>
          <w:rStyle w:val="StyleUnderline"/>
        </w:rPr>
        <w:t xml:space="preserve"> States also have permanent sovereignty over their natural resources</w:t>
      </w:r>
      <w:r w:rsidRPr="007F4C11">
        <w:rPr>
          <w:sz w:val="16"/>
        </w:rPr>
        <w:t xml:space="preserve">. This has been expressed in multiple UN General Assembly resolutions22 and confirmed as a rule of customary international law by the International Court of Justice (ICJ).23 </w:t>
      </w:r>
    </w:p>
    <w:p w14:paraId="0DA9E9B9" w14:textId="77777777" w:rsidR="006F2C07" w:rsidRPr="007F4C11" w:rsidRDefault="006F2C07" w:rsidP="006F2C07">
      <w:pPr>
        <w:rPr>
          <w:sz w:val="16"/>
        </w:rPr>
      </w:pPr>
      <w:r w:rsidRPr="007F4C11">
        <w:rPr>
          <w:sz w:val="16"/>
        </w:rPr>
        <w:t xml:space="preserve">Sovereignty is not absolute: states are constrained by international law’s obligations. Importantly, solar geoengineering would affect other states’ environments. The foundational Stockholm and Rio Declarations couple states’ “sovereign right to exploit their own resources pursuant to their own environmental and developmental policies” with their obligations regarding harm that would be transboundary (that is, to other states or to areas beyond national jurisdiction).24 The ICJ has recognized at least some of these obligations as customary international law,25 although the individual rules’ precise contours and legal status are for the most part somewhat unclear. </w:t>
      </w:r>
      <w:r w:rsidRPr="007F4C11">
        <w:rPr>
          <w:rStyle w:val="StyleUnderline"/>
        </w:rPr>
        <w:t xml:space="preserve">Regardless, pursuant to these, the source </w:t>
      </w:r>
      <w:r w:rsidRPr="007F4C11">
        <w:rPr>
          <w:rStyle w:val="StyleUnderline"/>
          <w:highlight w:val="cyan"/>
        </w:rPr>
        <w:t>state need not prevent</w:t>
      </w:r>
      <w:r w:rsidRPr="007F4C11">
        <w:rPr>
          <w:rStyle w:val="StyleUnderline"/>
        </w:rPr>
        <w:t xml:space="preserve"> </w:t>
      </w:r>
      <w:r w:rsidRPr="007F4C11">
        <w:rPr>
          <w:rStyle w:val="StyleUnderline"/>
          <w:highlight w:val="cyan"/>
        </w:rPr>
        <w:t>all transboundary</w:t>
      </w:r>
      <w:r w:rsidRPr="007F4C11">
        <w:rPr>
          <w:rStyle w:val="StyleUnderline"/>
        </w:rPr>
        <w:t xml:space="preserve"> environmental </w:t>
      </w:r>
      <w:r w:rsidRPr="007F4C11">
        <w:rPr>
          <w:rStyle w:val="StyleUnderline"/>
          <w:highlight w:val="cyan"/>
        </w:rPr>
        <w:t>harm but instead</w:t>
      </w:r>
      <w:r w:rsidRPr="007F4C11">
        <w:rPr>
          <w:rStyle w:val="StyleUnderline"/>
        </w:rPr>
        <w:t xml:space="preserve"> must </w:t>
      </w:r>
      <w:r w:rsidRPr="007F4C11">
        <w:rPr>
          <w:rStyle w:val="StyleUnderline"/>
          <w:highlight w:val="cyan"/>
        </w:rPr>
        <w:t>comply with</w:t>
      </w:r>
      <w:r w:rsidRPr="007F4C11">
        <w:rPr>
          <w:rStyle w:val="StyleUnderline"/>
        </w:rPr>
        <w:t xml:space="preserve"> various, mostly </w:t>
      </w:r>
      <w:r w:rsidRPr="007F4C11">
        <w:rPr>
          <w:rStyle w:val="StyleUnderline"/>
          <w:highlight w:val="cyan"/>
        </w:rPr>
        <w:t>procedural duties</w:t>
      </w:r>
      <w:r w:rsidRPr="007F4C11">
        <w:rPr>
          <w:rStyle w:val="StyleUnderline"/>
        </w:rPr>
        <w:t xml:space="preserve"> – such as prior </w:t>
      </w:r>
      <w:r w:rsidRPr="007F4C11">
        <w:rPr>
          <w:rStyle w:val="StyleUnderline"/>
          <w:highlight w:val="cyan"/>
        </w:rPr>
        <w:t>risk assessment, notification</w:t>
      </w:r>
      <w:r w:rsidRPr="007F4C11">
        <w:rPr>
          <w:rStyle w:val="StyleUnderline"/>
        </w:rPr>
        <w:t xml:space="preserve"> of and (if requested) consultation with potentially affected states, </w:t>
      </w:r>
      <w:r w:rsidRPr="007F4C11">
        <w:rPr>
          <w:rStyle w:val="StyleUnderline"/>
          <w:highlight w:val="cyan"/>
        </w:rPr>
        <w:t>and</w:t>
      </w:r>
      <w:r w:rsidRPr="007F4C11">
        <w:rPr>
          <w:rStyle w:val="StyleUnderline"/>
        </w:rPr>
        <w:t xml:space="preserve"> taking appropriate substantive </w:t>
      </w:r>
      <w:r w:rsidRPr="007F4C11">
        <w:rPr>
          <w:rStyle w:val="StyleUnderline"/>
          <w:highlight w:val="cyan"/>
        </w:rPr>
        <w:t>measures to</w:t>
      </w:r>
      <w:r w:rsidRPr="007F4C11">
        <w:rPr>
          <w:rStyle w:val="StyleUnderline"/>
        </w:rPr>
        <w:t xml:space="preserve"> prevent or </w:t>
      </w:r>
      <w:r w:rsidRPr="007F4C11">
        <w:rPr>
          <w:rStyle w:val="StyleUnderline"/>
          <w:highlight w:val="cyan"/>
        </w:rPr>
        <w:t>minimize risks</w:t>
      </w:r>
      <w:r w:rsidRPr="007F4C11">
        <w:rPr>
          <w:rStyle w:val="StyleUnderline"/>
        </w:rPr>
        <w:t xml:space="preserve">.26 </w:t>
      </w:r>
      <w:r w:rsidRPr="007F4C11">
        <w:rPr>
          <w:rStyle w:val="Emphasis"/>
          <w:highlight w:val="cyan"/>
        </w:rPr>
        <w:t>None</w:t>
      </w:r>
      <w:r w:rsidRPr="007F4C11">
        <w:rPr>
          <w:rStyle w:val="Emphasis"/>
        </w:rPr>
        <w:t xml:space="preserve"> of these duties </w:t>
      </w:r>
      <w:r w:rsidRPr="007F4C11">
        <w:rPr>
          <w:rStyle w:val="Emphasis"/>
          <w:highlight w:val="cyan"/>
        </w:rPr>
        <w:t>preclude</w:t>
      </w:r>
      <w:r w:rsidRPr="007F4C11">
        <w:rPr>
          <w:rStyle w:val="Emphasis"/>
        </w:rPr>
        <w:t xml:space="preserve"> solar </w:t>
      </w:r>
      <w:r w:rsidRPr="007F4C11">
        <w:rPr>
          <w:rStyle w:val="Emphasis"/>
          <w:highlight w:val="cyan"/>
        </w:rPr>
        <w:t>geoengineering</w:t>
      </w:r>
      <w:r w:rsidRPr="007F4C11">
        <w:rPr>
          <w:rStyle w:val="StyleUnderline"/>
        </w:rPr>
        <w:t>.</w:t>
      </w:r>
      <w:r w:rsidRPr="007F4C11">
        <w:rPr>
          <w:sz w:val="16"/>
        </w:rPr>
        <w:t xml:space="preserve"> Ultimately, </w:t>
      </w:r>
      <w:r w:rsidRPr="007F4C11">
        <w:rPr>
          <w:rStyle w:val="StyleUnderline"/>
        </w:rPr>
        <w:t xml:space="preserve">a </w:t>
      </w:r>
      <w:r w:rsidRPr="007F4C11">
        <w:rPr>
          <w:rStyle w:val="StyleUnderline"/>
          <w:highlight w:val="cyan"/>
        </w:rPr>
        <w:t>state may</w:t>
      </w:r>
      <w:r w:rsidRPr="007F4C11">
        <w:rPr>
          <w:rStyle w:val="StyleUnderline"/>
        </w:rPr>
        <w:t xml:space="preserve"> undertake or </w:t>
      </w:r>
      <w:r w:rsidRPr="007F4C11">
        <w:rPr>
          <w:rStyle w:val="StyleUnderline"/>
          <w:highlight w:val="cyan"/>
        </w:rPr>
        <w:t>approve</w:t>
      </w:r>
      <w:r w:rsidRPr="007F4C11">
        <w:rPr>
          <w:rStyle w:val="StyleUnderline"/>
        </w:rPr>
        <w:t xml:space="preserve"> an </w:t>
      </w:r>
      <w:r w:rsidRPr="007F4C11">
        <w:rPr>
          <w:rStyle w:val="StyleUnderline"/>
          <w:highlight w:val="cyan"/>
        </w:rPr>
        <w:t>action that causes transboundary risks</w:t>
      </w:r>
      <w:r w:rsidRPr="007F4C11">
        <w:rPr>
          <w:rStyle w:val="StyleUnderline"/>
        </w:rPr>
        <w:t xml:space="preserve"> or certain negative impacts on other states. In fact, </w:t>
      </w:r>
      <w:r w:rsidRPr="007F4C11">
        <w:rPr>
          <w:rStyle w:val="StyleUnderline"/>
          <w:highlight w:val="cyan"/>
        </w:rPr>
        <w:t xml:space="preserve">such </w:t>
      </w:r>
      <w:r w:rsidRPr="007F4C11">
        <w:rPr>
          <w:rStyle w:val="Emphasis"/>
          <w:highlight w:val="cyan"/>
        </w:rPr>
        <w:t>actions occur regularly</w:t>
      </w:r>
      <w:r w:rsidRPr="007F4C11">
        <w:rPr>
          <w:sz w:val="16"/>
        </w:rPr>
        <w:t xml:space="preserve">.27 </w:t>
      </w:r>
    </w:p>
    <w:p w14:paraId="4A7817AD" w14:textId="77777777" w:rsidR="006F2C07" w:rsidRDefault="006F2C07" w:rsidP="006F2C07">
      <w:pPr>
        <w:pStyle w:val="Heading2"/>
      </w:pPr>
      <w:r>
        <w:t>Disadvantages</w:t>
      </w:r>
    </w:p>
    <w:p w14:paraId="7C312DE6" w14:textId="77777777" w:rsidR="006F2C07" w:rsidRDefault="006F2C07" w:rsidP="006F2C07">
      <w:pPr>
        <w:pStyle w:val="Heading3"/>
      </w:pPr>
      <w:r>
        <w:t>PTX---Link Turn</w:t>
      </w:r>
    </w:p>
    <w:p w14:paraId="05BAB988" w14:textId="77777777" w:rsidR="006F2C07" w:rsidRDefault="006F2C07" w:rsidP="006F2C07">
      <w:pPr>
        <w:pStyle w:val="Heading4"/>
      </w:pPr>
      <w:r>
        <w:t xml:space="preserve">Geoengineering is </w:t>
      </w:r>
      <w:r>
        <w:rPr>
          <w:u w:val="single"/>
        </w:rPr>
        <w:t>bipartisan</w:t>
      </w:r>
      <w:r>
        <w:t>.</w:t>
      </w:r>
    </w:p>
    <w:p w14:paraId="676C5C50" w14:textId="77777777" w:rsidR="006F2C07" w:rsidRPr="007D2CF6" w:rsidRDefault="006F2C07" w:rsidP="006F2C07">
      <w:r>
        <w:t xml:space="preserve">Corbin </w:t>
      </w:r>
      <w:r w:rsidRPr="001D3A77">
        <w:rPr>
          <w:rStyle w:val="Style13ptBold"/>
        </w:rPr>
        <w:t>Hiar</w:t>
      </w:r>
      <w:r>
        <w:t xml:space="preserve"> 3-2-20</w:t>
      </w:r>
      <w:r w:rsidRPr="001D3A77">
        <w:rPr>
          <w:rStyle w:val="Style13ptBold"/>
        </w:rPr>
        <w:t>23</w:t>
      </w:r>
      <w:r>
        <w:t>, Hiar is a journalist for E&amp;E News.  A former fellow of the National Press Foundation’s Paul Miller program and the University of Rhode Island’s Metcalf Institute, he previously reported on the environment at the Center for Public Integrity and what is now known as S&amp;P Global Market Intelligence. “Blocking sun rays finds support in the Senate” Nexis Uni, accessed via University of Michigan //MDC</w:t>
      </w:r>
    </w:p>
    <w:p w14:paraId="431E54F6" w14:textId="77777777" w:rsidR="006F2C07" w:rsidRPr="001D3A77" w:rsidRDefault="006F2C07" w:rsidP="006F2C07">
      <w:pPr>
        <w:rPr>
          <w:sz w:val="16"/>
        </w:rPr>
      </w:pPr>
      <w:r w:rsidRPr="001D3A77">
        <w:rPr>
          <w:rStyle w:val="StyleUnderline"/>
          <w:highlight w:val="cyan"/>
        </w:rPr>
        <w:t xml:space="preserve">Senators on </w:t>
      </w:r>
      <w:r w:rsidRPr="001D3A77">
        <w:rPr>
          <w:rStyle w:val="Emphasis"/>
          <w:highlight w:val="cyan"/>
        </w:rPr>
        <w:t>both sides of the aisle</w:t>
      </w:r>
      <w:r w:rsidRPr="001D3A77">
        <w:rPr>
          <w:rStyle w:val="StyleUnderline"/>
          <w:highlight w:val="cyan"/>
        </w:rPr>
        <w:t xml:space="preserve"> are open to funding research on </w:t>
      </w:r>
      <w:r w:rsidRPr="001D3A77">
        <w:rPr>
          <w:rStyle w:val="StyleUnderline"/>
        </w:rPr>
        <w:t xml:space="preserve">solar </w:t>
      </w:r>
      <w:r w:rsidRPr="001D3A77">
        <w:rPr>
          <w:rStyle w:val="StyleUnderline"/>
          <w:highlight w:val="cyan"/>
        </w:rPr>
        <w:t>geoengineering</w:t>
      </w:r>
      <w:r w:rsidRPr="001D3A77">
        <w:rPr>
          <w:rStyle w:val="StyleUnderline"/>
        </w:rPr>
        <w:t>,</w:t>
      </w:r>
      <w:r w:rsidRPr="001D3A77">
        <w:rPr>
          <w:sz w:val="16"/>
        </w:rPr>
        <w:t xml:space="preserve"> a little understood and potentially dangerous method of blocking the sun's rays to quickly reduce global warming. </w:t>
      </w:r>
      <w:r w:rsidRPr="001D3A77">
        <w:rPr>
          <w:rStyle w:val="StyleUnderline"/>
        </w:rPr>
        <w:t xml:space="preserve">Their receptiveness comes after years of Senate apprehension over such funding. While the House has passed bills to study the method - also known as solar radiation management - those efforts have struggled to gain traction on the other side of the Capitol. But more </w:t>
      </w:r>
      <w:r w:rsidRPr="001D3A77">
        <w:rPr>
          <w:rStyle w:val="StyleUnderline"/>
          <w:highlight w:val="cyan"/>
        </w:rPr>
        <w:t>leaders in Washington, Beijing and other capitals are reviewing geoengineering</w:t>
      </w:r>
      <w:r w:rsidRPr="001D3A77">
        <w:rPr>
          <w:rStyle w:val="StyleUnderline"/>
        </w:rPr>
        <w:t xml:space="preserve"> technology while their economies continue to burn fossil fuels - the main cause of climate change</w:t>
      </w:r>
      <w:r w:rsidRPr="001D3A77">
        <w:rPr>
          <w:sz w:val="16"/>
        </w:rPr>
        <w:t>.</w:t>
      </w:r>
    </w:p>
    <w:p w14:paraId="7DAE2A6B" w14:textId="77777777" w:rsidR="006F2C07" w:rsidRPr="001D3A77" w:rsidRDefault="006F2C07" w:rsidP="006F2C07">
      <w:pPr>
        <w:rPr>
          <w:rStyle w:val="StyleUnderline"/>
        </w:rPr>
      </w:pPr>
      <w:r w:rsidRPr="001D3A77">
        <w:rPr>
          <w:sz w:val="16"/>
        </w:rPr>
        <w:t>There is also a growing scientific debate about the viability of solar radiation management as an emergency measure to protect ice sheets, ecosystems and low-lying nations from the worst impacts of global warming. "</w:t>
      </w:r>
      <w:r w:rsidRPr="001D3A77">
        <w:rPr>
          <w:rStyle w:val="StyleUnderline"/>
        </w:rPr>
        <w:t xml:space="preserve">Climate change is to a point where </w:t>
      </w:r>
      <w:r w:rsidRPr="001D3A77">
        <w:rPr>
          <w:rStyle w:val="Emphasis"/>
          <w:highlight w:val="cyan"/>
        </w:rPr>
        <w:t>we should look at everything</w:t>
      </w:r>
      <w:r w:rsidRPr="001D3A77">
        <w:rPr>
          <w:rStyle w:val="StyleUnderline"/>
        </w:rPr>
        <w:t xml:space="preserve">," Sen. John </w:t>
      </w:r>
      <w:r w:rsidRPr="001D3A77">
        <w:rPr>
          <w:rStyle w:val="StyleUnderline"/>
          <w:highlight w:val="cyan"/>
        </w:rPr>
        <w:t>Hickenlooper</w:t>
      </w:r>
      <w:r w:rsidRPr="001D3A77">
        <w:rPr>
          <w:rStyle w:val="StyleUnderline"/>
        </w:rPr>
        <w:t xml:space="preserve"> (D-Colo.) </w:t>
      </w:r>
      <w:r w:rsidRPr="001D3A77">
        <w:rPr>
          <w:rStyle w:val="StyleUnderline"/>
          <w:highlight w:val="cyan"/>
        </w:rPr>
        <w:t>told E&amp;E News</w:t>
      </w:r>
      <w:r w:rsidRPr="001D3A77">
        <w:rPr>
          <w:sz w:val="16"/>
        </w:rPr>
        <w:t xml:space="preserve">. A former petroleum geologist, </w:t>
      </w:r>
      <w:proofErr w:type="gramStart"/>
      <w:r w:rsidRPr="001D3A77">
        <w:rPr>
          <w:sz w:val="16"/>
        </w:rPr>
        <w:t>Hickenlooper</w:t>
      </w:r>
      <w:proofErr w:type="gramEnd"/>
      <w:r w:rsidRPr="001D3A77">
        <w:rPr>
          <w:sz w:val="16"/>
        </w:rPr>
        <w:t xml:space="preserve"> won his seat in part by campaigning against that called for a federal jobs guarantee to help rapidly scale up climate mitigation and adaption efforts. "</w:t>
      </w:r>
      <w:r w:rsidRPr="001D3A77">
        <w:rPr>
          <w:rStyle w:val="StyleUnderline"/>
          <w:highlight w:val="cyan"/>
        </w:rPr>
        <w:t>I think it's sensible</w:t>
      </w:r>
      <w:r w:rsidRPr="001D3A77">
        <w:rPr>
          <w:rStyle w:val="StyleUnderline"/>
        </w:rPr>
        <w:t xml:space="preserve">," Sen. </w:t>
      </w:r>
      <w:r w:rsidRPr="001D3A77">
        <w:rPr>
          <w:rStyle w:val="Emphasis"/>
        </w:rPr>
        <w:t xml:space="preserve">Lisa </w:t>
      </w:r>
      <w:r w:rsidRPr="001D3A77">
        <w:rPr>
          <w:rStyle w:val="Emphasis"/>
          <w:highlight w:val="cyan"/>
        </w:rPr>
        <w:t>Murkowski</w:t>
      </w:r>
      <w:r w:rsidRPr="001D3A77">
        <w:rPr>
          <w:rStyle w:val="StyleUnderline"/>
        </w:rPr>
        <w:t xml:space="preserve"> (R-Alaska) </w:t>
      </w:r>
      <w:r w:rsidRPr="001D3A77">
        <w:rPr>
          <w:rStyle w:val="StyleUnderline"/>
          <w:highlight w:val="cyan"/>
        </w:rPr>
        <w:t>said</w:t>
      </w:r>
      <w:r w:rsidRPr="001D3A77">
        <w:rPr>
          <w:rStyle w:val="StyleUnderline"/>
        </w:rPr>
        <w:t xml:space="preserve"> of </w:t>
      </w:r>
      <w:proofErr w:type="gramStart"/>
      <w:r w:rsidRPr="001D3A77">
        <w:rPr>
          <w:rStyle w:val="StyleUnderline"/>
        </w:rPr>
        <w:t>geoengineering</w:t>
      </w:r>
      <w:proofErr w:type="gramEnd"/>
      <w:r w:rsidRPr="001D3A77">
        <w:rPr>
          <w:rStyle w:val="StyleUnderline"/>
        </w:rPr>
        <w:t xml:space="preserve"> research and small-scale testing. Her state is on the front lines of climate change, with the Arctic portions of Alaska warming more than twice as fast as the rest of the globe, according to NOAA. "I have had constituents come to me with proposals. I have been to Arctic conferences where we've been presented these," she said. "I haven't done anything legislatively to address any of it. But it is interesting</w:t>
      </w:r>
      <w:r w:rsidRPr="001D3A77">
        <w:rPr>
          <w:sz w:val="16"/>
        </w:rPr>
        <w:t xml:space="preserve">." Many academics have long considered solar radiation management too dangerous to </w:t>
      </w:r>
      <w:proofErr w:type="gramStart"/>
      <w:r w:rsidRPr="001D3A77">
        <w:rPr>
          <w:sz w:val="16"/>
        </w:rPr>
        <w:t>research .</w:t>
      </w:r>
      <w:proofErr w:type="gramEnd"/>
      <w:r w:rsidRPr="001D3A77">
        <w:rPr>
          <w:sz w:val="16"/>
        </w:rPr>
        <w:t xml:space="preserve"> That's because the process - which can involve reflecting sunlight by shooting aerosols into the stratosphere or increasing marine cloud cover - could create new geopolitical tensions and distract from the urgent need to slash emissions of carbon dioxide and other heat-trapping gases. Those concerns were echoed by some senators. "Are you talking about the stuff that people are worried is going to start a war?" Florida Sen. Marco Rubio, the top Republican on the Select Committee on Intelligence, said when asked about supporting geoengineering research. He spoke with E&amp;E News on Tuesday, shortly after The Washington Post reported that top national security officials gamed out how to avoid conflicts triggered by weather or precipitation changes blamed on geoengineering. "I'm not downplaying it or being negative about it," Rubio added. "I just don't know enough about it to give you an informed opinion about whether we should be spending more money on it." Sen. Sheldon Whitehouse (D-R.I.), a leading advocate of aggressive climate action, said "most of the geoengineering schemes that I've heard about create massive, massive unintended consequence risks." </w:t>
      </w:r>
      <w:proofErr w:type="gramStart"/>
      <w:r w:rsidRPr="001D3A77">
        <w:rPr>
          <w:rStyle w:val="StyleUnderline"/>
        </w:rPr>
        <w:t>Yet even</w:t>
      </w:r>
      <w:proofErr w:type="gramEnd"/>
      <w:r w:rsidRPr="001D3A77">
        <w:rPr>
          <w:rStyle w:val="StyleUnderline"/>
        </w:rPr>
        <w:t xml:space="preserve"> he remains open to funding solar geoengineering research. "I suppose </w:t>
      </w:r>
      <w:r w:rsidRPr="001D3A77">
        <w:rPr>
          <w:rStyle w:val="Emphasis"/>
          <w:highlight w:val="cyan"/>
        </w:rPr>
        <w:t>knowledge never hurts</w:t>
      </w:r>
      <w:r w:rsidRPr="001D3A77">
        <w:rPr>
          <w:rStyle w:val="StyleUnderline"/>
          <w:highlight w:val="cyan"/>
        </w:rPr>
        <w:t>," Whitehouse said</w:t>
      </w:r>
      <w:r w:rsidRPr="001D3A77">
        <w:rPr>
          <w:rStyle w:val="StyleUnderline"/>
        </w:rPr>
        <w:t>. "But at the end of the day, I suspect what the research will prove is that these are extremely dangerous risks compared to the obvious one right in front of us of stop burning the goddamn fossil fuels</w:t>
      </w:r>
      <w:r w:rsidRPr="001D3A77">
        <w:rPr>
          <w:sz w:val="16"/>
        </w:rPr>
        <w:t xml:space="preserve">." On Monday, prominent scientists from around the globe urged policymakers to invest in a major expansion of geoengineering studies and field experiments, which they argue are necessary to understand whether the potential benefits of solar radiation management outweigh its risks. From sci fi to spending bills Geoengineering has long been a source of inspiration for science fiction, such as the movie and TV show </w:t>
      </w:r>
      <w:proofErr w:type="gramStart"/>
      <w:r w:rsidRPr="001D3A77">
        <w:rPr>
          <w:sz w:val="16"/>
        </w:rPr>
        <w:t>Snowpiercer .</w:t>
      </w:r>
      <w:proofErr w:type="gramEnd"/>
      <w:r w:rsidRPr="001D3A77">
        <w:rPr>
          <w:sz w:val="16"/>
        </w:rPr>
        <w:t xml:space="preserve"> But until recently, it hadn't attracted much attention on the Hill or K Street, congressional records show. The most recent </w:t>
      </w:r>
      <w:proofErr w:type="gramStart"/>
      <w:r w:rsidRPr="001D3A77">
        <w:rPr>
          <w:sz w:val="16"/>
        </w:rPr>
        <w:t>hearing .</w:t>
      </w:r>
      <w:proofErr w:type="gramEnd"/>
      <w:r w:rsidRPr="001D3A77">
        <w:rPr>
          <w:sz w:val="16"/>
        </w:rPr>
        <w:t xml:space="preserve"> In 2019, House appropriators directed NOAA to begin "observations, monitoring, and forecasting of stratospheric conditions and Earth's radiation budget." As part of that new program, they specifically called on the agency to "improve the understanding of the impact of atmospheric aerosols on radiative forcing as well as on the formation of clouds, precipitation, and extreme weather." Kelly Wanser, the executive director of </w:t>
      </w:r>
      <w:proofErr w:type="spellStart"/>
      <w:r w:rsidRPr="001D3A77">
        <w:rPr>
          <w:sz w:val="16"/>
        </w:rPr>
        <w:t>SilverLining</w:t>
      </w:r>
      <w:proofErr w:type="spellEnd"/>
      <w:r w:rsidRPr="001D3A77">
        <w:rPr>
          <w:sz w:val="16"/>
        </w:rPr>
        <w:t xml:space="preserve">, said numerous lawmakers back continued spending on that NOAA </w:t>
      </w:r>
      <w:proofErr w:type="gramStart"/>
      <w:r w:rsidRPr="001D3A77">
        <w:rPr>
          <w:sz w:val="16"/>
        </w:rPr>
        <w:t>program .</w:t>
      </w:r>
      <w:proofErr w:type="gramEnd"/>
      <w:r w:rsidRPr="001D3A77">
        <w:rPr>
          <w:sz w:val="16"/>
        </w:rPr>
        <w:t xml:space="preserve"> "We've had over 50 offices, almost evenly balanced between Democrats and Republicans, supporting" that funding, Wanser said. "There are equivalent [appropriations] requests for the Department of Energy too, related to cloud aerosol research." Last year, appropriators also ordered the White House Office of Science and Technology Policy to prepare a five-year research plan on "rapid climate interventions." Outside of the appropriations process, however, legislative proposals related to geoengineering have floundered. A 2019 bill from then-Rep. Jerry McNerney (D-Calif.) would have directed NOAA to prioritize research into the "effects of proposed interventions in the stratosphere and in cloud-aerosol processes." The legislation was approved by a House Science, Space and Technology subcommittee but was never sent to the floor. McNerney tried again when Congress debated the National Science Foundation reauthorization in 2021. </w:t>
      </w:r>
      <w:r w:rsidRPr="001D3A77">
        <w:rPr>
          <w:rStyle w:val="StyleUnderline"/>
          <w:highlight w:val="cyan"/>
        </w:rPr>
        <w:t>An amendment</w:t>
      </w:r>
      <w:r w:rsidRPr="001D3A77">
        <w:rPr>
          <w:rStyle w:val="StyleUnderline"/>
        </w:rPr>
        <w:t xml:space="preserve"> from him and Rep. Peter Meijer (R-Mich.) </w:t>
      </w:r>
      <w:r w:rsidRPr="001D3A77">
        <w:rPr>
          <w:rStyle w:val="StyleUnderline"/>
          <w:highlight w:val="cyan"/>
        </w:rPr>
        <w:t xml:space="preserve">would have allowed NSF to research </w:t>
      </w:r>
      <w:proofErr w:type="gramStart"/>
      <w:r w:rsidRPr="001D3A77">
        <w:rPr>
          <w:rStyle w:val="StyleUnderline"/>
          <w:highlight w:val="cyan"/>
        </w:rPr>
        <w:t>geoengineering</w:t>
      </w:r>
      <w:proofErr w:type="gramEnd"/>
      <w:r w:rsidRPr="001D3A77">
        <w:rPr>
          <w:rStyle w:val="StyleUnderline"/>
          <w:highlight w:val="cyan"/>
        </w:rPr>
        <w:t>. "We cannot just hide our heads in the sand</w:t>
      </w:r>
      <w:r w:rsidRPr="001D3A77">
        <w:rPr>
          <w:rStyle w:val="StyleUnderline"/>
        </w:rPr>
        <w:t xml:space="preserve"> and hope for the best," he said during the House Science committee's June 2021 markup of the NSF bill. "Some research in solar radiation management strategies is already taking place in China, and it's imperative that the appropriate authorities are leading this initiative to ensure safe practices are being promoted and proper governance is being applied</w:t>
      </w:r>
      <w:r w:rsidRPr="001D3A77">
        <w:rPr>
          <w:sz w:val="16"/>
        </w:rPr>
        <w:t xml:space="preserve">." The committee </w:t>
      </w:r>
      <w:proofErr w:type="gramStart"/>
      <w:r w:rsidRPr="001D3A77">
        <w:rPr>
          <w:sz w:val="16"/>
        </w:rPr>
        <w:t>approved of</w:t>
      </w:r>
      <w:proofErr w:type="gramEnd"/>
      <w:r w:rsidRPr="001D3A77">
        <w:rPr>
          <w:sz w:val="16"/>
        </w:rPr>
        <w:t xml:space="preserve"> McNerney and Meijer's provision and the NSF reauthorization bill passed the House later that month. But the bipartisan amendment was ultimately stripped out of the bill when it was folded into the CHIPS and Science Act, a 2022 semiconductor subsidy law that also set the research priorities for NSF and other science agencies. McNerney and Meijer are now both out of </w:t>
      </w:r>
      <w:proofErr w:type="gramStart"/>
      <w:r w:rsidRPr="001D3A77">
        <w:rPr>
          <w:sz w:val="16"/>
        </w:rPr>
        <w:t>office</w:t>
      </w:r>
      <w:proofErr w:type="gramEnd"/>
      <w:r w:rsidRPr="001D3A77">
        <w:rPr>
          <w:sz w:val="16"/>
        </w:rPr>
        <w:t xml:space="preserve">. </w:t>
      </w:r>
      <w:r w:rsidRPr="001D3A77">
        <w:rPr>
          <w:rStyle w:val="StyleUnderline"/>
        </w:rPr>
        <w:t xml:space="preserve">But some </w:t>
      </w:r>
      <w:r w:rsidRPr="001D3A77">
        <w:rPr>
          <w:rStyle w:val="StyleUnderline"/>
          <w:highlight w:val="cyan"/>
        </w:rPr>
        <w:t>lawmakers expect</w:t>
      </w:r>
      <w:r w:rsidRPr="001D3A77">
        <w:rPr>
          <w:rStyle w:val="StyleUnderline"/>
        </w:rPr>
        <w:t xml:space="preserve"> that </w:t>
      </w:r>
      <w:r w:rsidRPr="001D3A77">
        <w:rPr>
          <w:rStyle w:val="StyleUnderline"/>
          <w:highlight w:val="cyan"/>
        </w:rPr>
        <w:t>the fringe issue they once championed could</w:t>
      </w:r>
      <w:r w:rsidRPr="001D3A77">
        <w:rPr>
          <w:rStyle w:val="StyleUnderline"/>
        </w:rPr>
        <w:t xml:space="preserve"> soon </w:t>
      </w:r>
      <w:r w:rsidRPr="001D3A77">
        <w:rPr>
          <w:rStyle w:val="StyleUnderline"/>
          <w:highlight w:val="cyan"/>
        </w:rPr>
        <w:t xml:space="preserve">gain </w:t>
      </w:r>
      <w:r w:rsidRPr="001D3A77">
        <w:rPr>
          <w:rStyle w:val="Emphasis"/>
          <w:highlight w:val="cyan"/>
        </w:rPr>
        <w:t>widespread support</w:t>
      </w:r>
      <w:r w:rsidRPr="001D3A77">
        <w:rPr>
          <w:rStyle w:val="StyleUnderline"/>
        </w:rPr>
        <w:t xml:space="preserve"> in Congress. "</w:t>
      </w:r>
      <w:r w:rsidRPr="001D3A77">
        <w:rPr>
          <w:rStyle w:val="StyleUnderline"/>
          <w:highlight w:val="cyan"/>
        </w:rPr>
        <w:t>It's emerging today and before long it will be mainstream</w:t>
      </w:r>
      <w:r w:rsidRPr="001D3A77">
        <w:rPr>
          <w:rStyle w:val="StyleUnderline"/>
        </w:rPr>
        <w:t>," said Sen. Kevin Cramer (R-N.D.).</w:t>
      </w:r>
    </w:p>
    <w:p w14:paraId="1D9E4EE6" w14:textId="77777777" w:rsidR="006F2C07" w:rsidRPr="001D3A77" w:rsidRDefault="006F2C07" w:rsidP="006F2C07"/>
    <w:p w14:paraId="5D458321" w14:textId="77777777" w:rsidR="006F2C07" w:rsidRPr="001D3A77" w:rsidRDefault="006F2C07" w:rsidP="006F2C07">
      <w:r>
        <w:t xml:space="preserve"> </w:t>
      </w:r>
    </w:p>
    <w:p w14:paraId="4EC45DF5" w14:textId="77777777" w:rsidR="006F2C07" w:rsidRDefault="006F2C07" w:rsidP="006F2C07">
      <w:pPr>
        <w:pStyle w:val="Heading2"/>
      </w:pPr>
      <w:r>
        <w:t>Counterplans</w:t>
      </w:r>
    </w:p>
    <w:p w14:paraId="5E555918" w14:textId="77777777" w:rsidR="006F2C07" w:rsidRDefault="006F2C07" w:rsidP="006F2C07">
      <w:pPr>
        <w:pStyle w:val="Heading3"/>
      </w:pPr>
      <w:r>
        <w:t>Federal Government Key</w:t>
      </w:r>
    </w:p>
    <w:p w14:paraId="0B47C670" w14:textId="77777777" w:rsidR="006F2C07" w:rsidRDefault="006F2C07" w:rsidP="006F2C07">
      <w:pPr>
        <w:pStyle w:val="Heading4"/>
      </w:pPr>
      <w:r>
        <w:t xml:space="preserve">The </w:t>
      </w:r>
      <w:r>
        <w:rPr>
          <w:u w:val="single"/>
        </w:rPr>
        <w:t>federal</w:t>
      </w:r>
      <w:r>
        <w:t xml:space="preserve"> </w:t>
      </w:r>
      <w:r>
        <w:rPr>
          <w:u w:val="single"/>
        </w:rPr>
        <w:t>government</w:t>
      </w:r>
      <w:r>
        <w:t xml:space="preserve"> is key --- private sector and state counterplans fails.</w:t>
      </w:r>
    </w:p>
    <w:p w14:paraId="5B946C8F" w14:textId="77777777" w:rsidR="006F2C07" w:rsidRPr="00B54C42" w:rsidRDefault="006F2C07" w:rsidP="006F2C07">
      <w:r>
        <w:t xml:space="preserve">Aayan </w:t>
      </w:r>
      <w:proofErr w:type="spellStart"/>
      <w:r w:rsidRPr="00B54C42">
        <w:rPr>
          <w:rStyle w:val="Style13ptBold"/>
        </w:rPr>
        <w:t>Khasgiwala</w:t>
      </w:r>
      <w:proofErr w:type="spellEnd"/>
      <w:r>
        <w:t xml:space="preserve"> 4-25-20</w:t>
      </w:r>
      <w:r w:rsidRPr="00B54C42">
        <w:rPr>
          <w:rStyle w:val="Style13ptBold"/>
        </w:rPr>
        <w:t>25</w:t>
      </w:r>
      <w:r>
        <w:t>, Plan II Honors and Economics Student at The University of Texas at Austin. “Engineering the Future: The Case for Geoengineering as the Key to Solving Climate Change” p. 43-46 //MDC</w:t>
      </w:r>
    </w:p>
    <w:p w14:paraId="68159ACA" w14:textId="77777777" w:rsidR="006F2C07" w:rsidRPr="00B54C42" w:rsidRDefault="006F2C07" w:rsidP="006F2C07">
      <w:pPr>
        <w:rPr>
          <w:sz w:val="16"/>
        </w:rPr>
      </w:pPr>
      <w:r w:rsidRPr="00B54C42">
        <w:rPr>
          <w:sz w:val="16"/>
        </w:rPr>
        <w:t xml:space="preserve">7.2 Who is Responsible for Implementing Geoengineering? </w:t>
      </w:r>
    </w:p>
    <w:p w14:paraId="1FE0265B" w14:textId="77777777" w:rsidR="006F2C07" w:rsidRPr="00B54C42" w:rsidRDefault="006F2C07" w:rsidP="006F2C07">
      <w:pPr>
        <w:rPr>
          <w:sz w:val="16"/>
        </w:rPr>
      </w:pPr>
      <w:r w:rsidRPr="00B54C42">
        <w:rPr>
          <w:sz w:val="16"/>
        </w:rPr>
        <w:t xml:space="preserve">Having examined the science, consequences, benefits, and ethical considerations of geoengineering, the final part of this thesis will explore the question of implementation: </w:t>
      </w:r>
      <w:r w:rsidRPr="00B54C42">
        <w:rPr>
          <w:rStyle w:val="StyleUnderline"/>
        </w:rPr>
        <w:t>Who should be responsible for carrying out these strategies? As noted in Section 6, initiatives such as the development of sponge cities are typically led by government entities, but the question of which level–federal, state, or local—remains a matter of debate</w:t>
      </w:r>
      <w:r w:rsidRPr="00B54C42">
        <w:rPr>
          <w:sz w:val="16"/>
        </w:rPr>
        <w:t xml:space="preserve">. While this thesis cannot offer a definitive answer, it aims to highlight </w:t>
      </w:r>
      <w:proofErr w:type="gramStart"/>
      <w:r w:rsidRPr="00B54C42">
        <w:rPr>
          <w:sz w:val="16"/>
        </w:rPr>
        <w:t>the potential</w:t>
      </w:r>
      <w:proofErr w:type="gramEnd"/>
      <w:r w:rsidRPr="00B54C42">
        <w:rPr>
          <w:sz w:val="16"/>
        </w:rPr>
        <w:t xml:space="preserve"> actors capable of facilitating the adoption of </w:t>
      </w:r>
      <w:proofErr w:type="gramStart"/>
      <w:r w:rsidRPr="00B54C42">
        <w:rPr>
          <w:sz w:val="16"/>
        </w:rPr>
        <w:t>geoengineering</w:t>
      </w:r>
      <w:proofErr w:type="gramEnd"/>
      <w:r w:rsidRPr="00B54C42">
        <w:rPr>
          <w:sz w:val="16"/>
        </w:rPr>
        <w:t xml:space="preserve"> efforts. </w:t>
      </w:r>
      <w:r w:rsidRPr="00B54C42">
        <w:rPr>
          <w:rStyle w:val="StyleUnderline"/>
          <w:highlight w:val="cyan"/>
        </w:rPr>
        <w:t>Central to</w:t>
      </w:r>
      <w:r w:rsidRPr="00B54C42">
        <w:rPr>
          <w:rStyle w:val="StyleUnderline"/>
        </w:rPr>
        <w:t xml:space="preserve"> this </w:t>
      </w:r>
      <w:r w:rsidRPr="00B54C42">
        <w:rPr>
          <w:rStyle w:val="StyleUnderline"/>
          <w:highlight w:val="cyan"/>
        </w:rPr>
        <w:t>discussion is the recognition</w:t>
      </w:r>
      <w:r w:rsidRPr="00B54C42">
        <w:rPr>
          <w:rStyle w:val="StyleUnderline"/>
        </w:rPr>
        <w:t xml:space="preserve"> </w:t>
      </w:r>
      <w:r w:rsidRPr="00B54C42">
        <w:rPr>
          <w:rStyle w:val="StyleUnderline"/>
          <w:highlight w:val="cyan"/>
        </w:rPr>
        <w:t xml:space="preserve">that geoengineering requires </w:t>
      </w:r>
      <w:r w:rsidRPr="00B54C42">
        <w:rPr>
          <w:rStyle w:val="Emphasis"/>
          <w:highlight w:val="cyan"/>
        </w:rPr>
        <w:t>large-scale implementation</w:t>
      </w:r>
      <w:r w:rsidRPr="00B54C42">
        <w:rPr>
          <w:rStyle w:val="StyleUnderline"/>
        </w:rPr>
        <w:t>; no technological solution will yield meaningful benefits unless it is adopted broadly and systematically</w:t>
      </w:r>
      <w:r w:rsidRPr="00B54C42">
        <w:rPr>
          <w:sz w:val="16"/>
        </w:rPr>
        <w:t xml:space="preserve">. </w:t>
      </w:r>
    </w:p>
    <w:p w14:paraId="752C24E8" w14:textId="77777777" w:rsidR="006F2C07" w:rsidRPr="00B54C42" w:rsidRDefault="006F2C07" w:rsidP="006F2C07">
      <w:pPr>
        <w:rPr>
          <w:rStyle w:val="StyleUnderline"/>
        </w:rPr>
      </w:pPr>
      <w:r w:rsidRPr="00B54C42">
        <w:rPr>
          <w:sz w:val="16"/>
        </w:rPr>
        <w:t xml:space="preserve">First, we can consider the smallest potential actor: the individual. Unlike many geoengineering methods that require significant financial and technological resources, ERW is accessible to both local farmers and larger agricultural companies. However, as discussed in Section 6.3, </w:t>
      </w:r>
      <w:r w:rsidRPr="00B54C42">
        <w:rPr>
          <w:rStyle w:val="StyleUnderline"/>
        </w:rPr>
        <w:t xml:space="preserve">the benefits of ERW become significant only when implemented across millions of acres. To achieve nationwide or global adoption, </w:t>
      </w:r>
      <w:r w:rsidRPr="00B54C42">
        <w:rPr>
          <w:rStyle w:val="StyleUnderline"/>
          <w:highlight w:val="cyan"/>
        </w:rPr>
        <w:t>government subsidies will</w:t>
      </w:r>
      <w:r w:rsidRPr="00B54C42">
        <w:rPr>
          <w:rStyle w:val="StyleUnderline"/>
        </w:rPr>
        <w:t xml:space="preserve"> likely </w:t>
      </w:r>
      <w:r w:rsidRPr="00B54C42">
        <w:rPr>
          <w:rStyle w:val="StyleUnderline"/>
          <w:highlight w:val="cyan"/>
        </w:rPr>
        <w:t>be</w:t>
      </w:r>
      <w:r w:rsidRPr="00B54C42">
        <w:rPr>
          <w:rStyle w:val="StyleUnderline"/>
        </w:rPr>
        <w:t xml:space="preserve"> </w:t>
      </w:r>
      <w:r w:rsidRPr="00B54C42">
        <w:rPr>
          <w:rStyle w:val="StyleUnderline"/>
          <w:highlight w:val="cyan"/>
        </w:rPr>
        <w:t>necessary</w:t>
      </w:r>
      <w:r w:rsidRPr="00B54C42">
        <w:rPr>
          <w:rStyle w:val="StyleUnderline"/>
        </w:rPr>
        <w:t xml:space="preserve"> to support farmers in making this transition</w:t>
      </w:r>
      <w:r w:rsidRPr="00B54C42">
        <w:rPr>
          <w:sz w:val="16"/>
        </w:rPr>
        <w:t xml:space="preserve">. While these subsidies may not need to be permanent, they could play a crucial role in helping initiate the shift in the agricultural sector from traditional pesticides and fertilizers to the use of silicate rocks. </w:t>
      </w:r>
      <w:r w:rsidRPr="00B54C42">
        <w:rPr>
          <w:rStyle w:val="StyleUnderline"/>
          <w:highlight w:val="cyan"/>
        </w:rPr>
        <w:t>ERW demonstrates that</w:t>
      </w:r>
      <w:r w:rsidRPr="00B54C42">
        <w:rPr>
          <w:rStyle w:val="StyleUnderline"/>
        </w:rPr>
        <w:t xml:space="preserve">, currently, even the most easily implemented </w:t>
      </w:r>
      <w:r w:rsidRPr="00B54C42">
        <w:rPr>
          <w:rStyle w:val="StyleUnderline"/>
          <w:highlight w:val="cyan"/>
        </w:rPr>
        <w:t>geoengineering</w:t>
      </w:r>
      <w:r w:rsidRPr="00B54C42">
        <w:rPr>
          <w:rStyle w:val="StyleUnderline"/>
        </w:rPr>
        <w:t xml:space="preserve"> technique </w:t>
      </w:r>
      <w:r w:rsidRPr="00B54C42">
        <w:rPr>
          <w:rStyle w:val="StyleUnderline"/>
          <w:highlight w:val="cyan"/>
        </w:rPr>
        <w:t>requires</w:t>
      </w:r>
      <w:r w:rsidRPr="00B54C42">
        <w:rPr>
          <w:rStyle w:val="StyleUnderline"/>
        </w:rPr>
        <w:t xml:space="preserve"> some </w:t>
      </w:r>
      <w:r w:rsidRPr="00B54C42">
        <w:rPr>
          <w:rStyle w:val="Emphasis"/>
          <w:highlight w:val="cyan"/>
        </w:rPr>
        <w:t>government intervention</w:t>
      </w:r>
      <w:r w:rsidRPr="00B54C42">
        <w:rPr>
          <w:rStyle w:val="StyleUnderline"/>
        </w:rPr>
        <w:t xml:space="preserve">. </w:t>
      </w:r>
    </w:p>
    <w:p w14:paraId="3990CCCC" w14:textId="77777777" w:rsidR="006F2C07" w:rsidRPr="00B54C42" w:rsidRDefault="006F2C07" w:rsidP="006F2C07">
      <w:pPr>
        <w:rPr>
          <w:sz w:val="16"/>
        </w:rPr>
      </w:pPr>
      <w:r w:rsidRPr="00B54C42">
        <w:rPr>
          <w:sz w:val="16"/>
        </w:rPr>
        <w:t xml:space="preserve">Larger geoengineering methods, such as SAI, pose even greater implementation challenges because of potential violations of the Environmental Modification Convention (ENMOD). ENMOD states that, “states may not engage in the hostile use of environmental modification techniques having widespread, long-lasting or severe effects as the means of destruction, damage or injury to another State party” (The United Nations, 1976). Given the potential risks of geoengineering, however minimal, critics may argue that its implementation could violate the ENMOD Convention. A rebuttal to this argument lies in the widespread use of cloud seeding in the U.S. and globally. Despite concerns that its application, whether to induce rainfall or prevent hail over agricultural areas, may have adverse impacts on the surrounding environment, it continues to be practiced. The underlying justification is that cloud seeding is perceived to produce more benefits than harm, </w:t>
      </w:r>
      <w:proofErr w:type="gramStart"/>
      <w:r w:rsidRPr="00B54C42">
        <w:rPr>
          <w:sz w:val="16"/>
        </w:rPr>
        <w:t>both in</w:t>
      </w:r>
      <w:proofErr w:type="gramEnd"/>
      <w:r w:rsidRPr="00B54C42">
        <w:rPr>
          <w:sz w:val="16"/>
        </w:rPr>
        <w:t xml:space="preserve"> providing rain during drought and averting hail that could wipe out entire harvests. Following the utilitarian reasoning outlined in Section 7.1, geoengineering should be evaluated through a similar lens. </w:t>
      </w:r>
    </w:p>
    <w:p w14:paraId="030D72F9" w14:textId="77777777" w:rsidR="006F2C07" w:rsidRPr="00B54C42" w:rsidRDefault="006F2C07" w:rsidP="006F2C07">
      <w:pPr>
        <w:rPr>
          <w:sz w:val="16"/>
        </w:rPr>
      </w:pPr>
      <w:r w:rsidRPr="00B54C42">
        <w:rPr>
          <w:sz w:val="16"/>
        </w:rPr>
        <w:t xml:space="preserve">The </w:t>
      </w:r>
      <w:r w:rsidRPr="00B54C42">
        <w:rPr>
          <w:rStyle w:val="StyleUnderline"/>
          <w:highlight w:val="cyan"/>
        </w:rPr>
        <w:t>federal government is the most feasible</w:t>
      </w:r>
      <w:r w:rsidRPr="00B54C42">
        <w:rPr>
          <w:rStyle w:val="StyleUnderline"/>
        </w:rPr>
        <w:t xml:space="preserve"> entity for implementing geoengineering, </w:t>
      </w:r>
      <w:r w:rsidRPr="00B54C42">
        <w:rPr>
          <w:rStyle w:val="StyleUnderline"/>
          <w:highlight w:val="cyan"/>
        </w:rPr>
        <w:t>given</w:t>
      </w:r>
      <w:r w:rsidRPr="00B54C42">
        <w:rPr>
          <w:rStyle w:val="StyleUnderline"/>
        </w:rPr>
        <w:t xml:space="preserve"> its </w:t>
      </w:r>
      <w:r w:rsidRPr="00B54C42">
        <w:rPr>
          <w:rStyle w:val="Emphasis"/>
          <w:highlight w:val="cyan"/>
        </w:rPr>
        <w:t>broad authority</w:t>
      </w:r>
      <w:r w:rsidRPr="00B54C42">
        <w:rPr>
          <w:rStyle w:val="StyleUnderline"/>
          <w:highlight w:val="cyan"/>
        </w:rPr>
        <w:t xml:space="preserve"> and substantial </w:t>
      </w:r>
      <w:r w:rsidRPr="00B54C42">
        <w:rPr>
          <w:rStyle w:val="Emphasis"/>
          <w:highlight w:val="cyan"/>
        </w:rPr>
        <w:t>financial resources</w:t>
      </w:r>
      <w:r w:rsidRPr="00B54C42">
        <w:rPr>
          <w:sz w:val="16"/>
        </w:rPr>
        <w:t xml:space="preserve">. However, one crucial aspect of climate change-related policy that has yet to be addressed is the role of insurance companies. Insurance companies play a critical role in providing financial protection to those affected by climate-related disasters by distributing the financial burden of such events. Reinsurance companies, in turn, offer stability by absorbing a portion of the risks and losses, particularly during large-scale or catastrophic events, enabling insurers to remain solvent and continue providing coverage. This layered structure is essential to the global insurance industry’s capacity to manage the escalating risks posed by climate change. </w:t>
      </w:r>
    </w:p>
    <w:p w14:paraId="36006B29" w14:textId="77777777" w:rsidR="006F2C07" w:rsidRPr="00B54C42" w:rsidRDefault="006F2C07" w:rsidP="006F2C07">
      <w:pPr>
        <w:rPr>
          <w:sz w:val="16"/>
        </w:rPr>
      </w:pPr>
      <w:r w:rsidRPr="00B54C42">
        <w:rPr>
          <w:sz w:val="16"/>
        </w:rPr>
        <w:t xml:space="preserve">Analyzing the climate change policies of major reinsurers helps inform the broader discussion about responsibility for implementing geoengineering and other climate interventions. Swiss Re, one of the world’s largest reinsurance companies, has developed extensive climate policies and is committed to achieving net-zero greenhouse gas emissions by 2050. The company emphasizes that climate mitigation should be a joint effort between the public and private sectors, emphasizing that the scale and complexity of the climate crisis cannot be addressed by a single actor alone. </w:t>
      </w:r>
      <w:r w:rsidRPr="00B54C42">
        <w:rPr>
          <w:rStyle w:val="StyleUnderline"/>
        </w:rPr>
        <w:t xml:space="preserve">They believe that </w:t>
      </w:r>
      <w:r w:rsidRPr="00B54C42">
        <w:rPr>
          <w:rStyle w:val="StyleUnderline"/>
          <w:highlight w:val="cyan"/>
        </w:rPr>
        <w:t>governments should lead with strong policies and investments</w:t>
      </w:r>
      <w:r w:rsidRPr="00B54C42">
        <w:rPr>
          <w:rStyle w:val="StyleUnderline"/>
        </w:rPr>
        <w:t>, while the private sector, including insurers and reinsurers, supports these efforts by providing expertise, risk management solutions, and financial investments</w:t>
      </w:r>
      <w:r w:rsidRPr="00B54C42">
        <w:rPr>
          <w:sz w:val="16"/>
        </w:rPr>
        <w:t xml:space="preserve"> (Swiss Re, </w:t>
      </w:r>
      <w:proofErr w:type="spellStart"/>
      <w:r w:rsidRPr="00B54C42">
        <w:rPr>
          <w:sz w:val="16"/>
        </w:rPr>
        <w:t>n.d</w:t>
      </w:r>
      <w:proofErr w:type="spellEnd"/>
      <w:r w:rsidRPr="00B54C42">
        <w:rPr>
          <w:sz w:val="16"/>
        </w:rPr>
        <w:t xml:space="preserve">). Swiss Re, for example, primarily advances climate action through partnerships with other firms and governments, supporting research, advocacy, and policy development. They collaborate with the World Economic Forum and the United Nations to fund research and support global climate initiatives (Swiss Re, </w:t>
      </w:r>
      <w:proofErr w:type="spellStart"/>
      <w:r w:rsidRPr="00B54C42">
        <w:rPr>
          <w:sz w:val="16"/>
        </w:rPr>
        <w:t>n.d</w:t>
      </w:r>
      <w:proofErr w:type="spellEnd"/>
      <w:r w:rsidRPr="00B54C42">
        <w:rPr>
          <w:sz w:val="16"/>
        </w:rPr>
        <w:t xml:space="preserve">). The firm, along with other reinsurers, sees its role as an enabler and accelerator in the transition to a low-carbon economy. </w:t>
      </w:r>
    </w:p>
    <w:p w14:paraId="491BE049" w14:textId="77777777" w:rsidR="006F2C07" w:rsidRPr="00B54C42" w:rsidRDefault="006F2C07" w:rsidP="006F2C07">
      <w:pPr>
        <w:rPr>
          <w:sz w:val="16"/>
        </w:rPr>
      </w:pPr>
      <w:r w:rsidRPr="00B54C42">
        <w:rPr>
          <w:sz w:val="16"/>
        </w:rPr>
        <w:t xml:space="preserve">Even after analyzing reinsurance companies’ climate change policies, the question of agency–who is ultimately responsible for implementing geoengineering– remains unresolved. While most entities, both public and private, agree that addressing climate change requires a collective effort, the challenges of high financial demands and the complexities of navigating international agreements like ENMOD often lead to a reluctance in definitive answers about who should take the lead in this global challenge. </w:t>
      </w:r>
    </w:p>
    <w:p w14:paraId="4D781993" w14:textId="77777777" w:rsidR="006F2C07" w:rsidRPr="00B54C42" w:rsidRDefault="006F2C07" w:rsidP="006F2C07">
      <w:pPr>
        <w:rPr>
          <w:sz w:val="16"/>
        </w:rPr>
      </w:pPr>
      <w:r w:rsidRPr="00B54C42">
        <w:rPr>
          <w:sz w:val="16"/>
        </w:rPr>
        <w:t xml:space="preserve">Even with the challenges of agency, there are methods of geoengineering that can be implemented at smaller scales that will still have positive effects. Their projected potential, along with early signs of effectiveness, will provide governments with the invaluable time necessary to develop and deploy additional solutions that address the root causes of climate change. Research in the geoengineering methods mentioned in this thesis, along with other novel approaches, must be diligently continued. Only through embracing a multifaceted approach can humanity hope to not only mitigate the dire impacts of climate change but also secure a sustainable and resilient future for generations to come. </w:t>
      </w:r>
    </w:p>
    <w:p w14:paraId="7CCB072B" w14:textId="77777777" w:rsidR="006F2C07" w:rsidRPr="006F2C07" w:rsidRDefault="006F2C07" w:rsidP="006F2C07">
      <w:pPr>
        <w:keepNext/>
        <w:keepLines/>
        <w:pageBreakBefore/>
        <w:spacing w:before="40" w:after="0" w:line="256" w:lineRule="auto"/>
        <w:jc w:val="center"/>
        <w:outlineLvl w:val="2"/>
        <w:rPr>
          <w:rFonts w:eastAsia="Times New Roman" w:cs="Times New Roman"/>
          <w:b/>
          <w:sz w:val="32"/>
          <w:szCs w:val="24"/>
          <w:u w:val="single"/>
        </w:rPr>
      </w:pPr>
      <w:r w:rsidRPr="006F2C07">
        <w:rPr>
          <w:rFonts w:eastAsia="Times New Roman" w:cs="Times New Roman"/>
          <w:b/>
          <w:sz w:val="32"/>
          <w:szCs w:val="24"/>
          <w:u w:val="single"/>
        </w:rPr>
        <w:t>Possible US Key warrants</w:t>
      </w:r>
    </w:p>
    <w:p w14:paraId="13DF091D"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 xml:space="preserve">US action in the Arctic reinforces regional leadership, and recommits NATO cooperation which is key to counter Russia and China </w:t>
      </w:r>
    </w:p>
    <w:p w14:paraId="6E6D6730" w14:textId="77777777" w:rsidR="006F2C07" w:rsidRPr="006F2C07" w:rsidRDefault="006F2C07" w:rsidP="006F2C07">
      <w:pPr>
        <w:spacing w:line="256" w:lineRule="auto"/>
        <w:rPr>
          <w:rFonts w:eastAsia="Calibri"/>
          <w:b/>
          <w:bCs/>
          <w:sz w:val="26"/>
        </w:rPr>
      </w:pPr>
      <w:proofErr w:type="spellStart"/>
      <w:r w:rsidRPr="006F2C07">
        <w:rPr>
          <w:rFonts w:eastAsia="Calibri"/>
          <w:b/>
          <w:bCs/>
          <w:sz w:val="26"/>
        </w:rPr>
        <w:t>Murkins</w:t>
      </w:r>
      <w:proofErr w:type="spellEnd"/>
      <w:r w:rsidRPr="006F2C07">
        <w:rPr>
          <w:rFonts w:eastAsia="Calibri"/>
          <w:b/>
          <w:bCs/>
          <w:sz w:val="26"/>
        </w:rPr>
        <w:t xml:space="preserve"> 24</w:t>
      </w:r>
      <w:r w:rsidRPr="006F2C07">
        <w:rPr>
          <w:rFonts w:eastAsia="Calibri"/>
        </w:rPr>
        <w:t>---United States Marine and Foreign Area Officer who is currently based out of the U.S. Embassy, Oslo. She holds a Master of Arts in Security Studies (Europe and Eurasia) from Naval Postgraduate School (Sydney, “The Future Battlefield is Melting: An Argument for Why the U.S. Must Adopt a More Proactive Arctic Strategy”, The Arctic Institute, 12/03/24, https://www.thearcticinstitute.org/future-battlefield-melting-argument-us-must-adopt-more-proactive-arctic-strategy/)</w:t>
      </w:r>
    </w:p>
    <w:p w14:paraId="761C8B7A" w14:textId="77777777" w:rsidR="006F2C07" w:rsidRPr="006F2C07" w:rsidRDefault="006F2C07" w:rsidP="006F2C07">
      <w:pPr>
        <w:spacing w:line="256" w:lineRule="auto"/>
        <w:rPr>
          <w:rFonts w:eastAsia="Calibri"/>
          <w:sz w:val="16"/>
        </w:rPr>
      </w:pPr>
      <w:r w:rsidRPr="006F2C07">
        <w:rPr>
          <w:rFonts w:eastAsia="Calibri"/>
          <w:u w:val="single"/>
        </w:rPr>
        <w:t>The Arctic is insufficiently prioritized amidst the United States’ competing global interests</w:t>
      </w:r>
      <w:r w:rsidRPr="006F2C07">
        <w:rPr>
          <w:rFonts w:eastAsia="Calibri"/>
          <w:sz w:val="16"/>
        </w:rPr>
        <w:t xml:space="preserve">. </w:t>
      </w:r>
      <w:r w:rsidRPr="006F2C07">
        <w:rPr>
          <w:rFonts w:eastAsia="Calibri"/>
          <w:u w:val="single"/>
        </w:rPr>
        <w:t xml:space="preserve">The future battlefield is melting and demands US attention, as a partnership between Russia and the People’s Republic of China fuels strategic competition in the Arctic. Thus, the United States must adopt a proactive Arctic strategy, </w:t>
      </w:r>
      <w:r w:rsidRPr="006F2C07">
        <w:rPr>
          <w:rFonts w:eastAsia="Calibri"/>
          <w:sz w:val="16"/>
        </w:rPr>
        <w:t>working with its NATO Allies to ensure that the Arctic remains stable and free from conflict. The US’s 2022 National Defense Strategy (NDS) outlines that the United States “seeks a stable Arctic region characterized by adherence to internationally agreed upon rules and norms.”1) To achieve a secure Arctic, the 2024 Arctic Strategy, produced by the U.S. Department of Defense, follows a “monitor-and-respond” approach. However, this reactive strategy is inadequate.2)</w:t>
      </w:r>
    </w:p>
    <w:p w14:paraId="401FCF04" w14:textId="77777777" w:rsidR="006F2C07" w:rsidRPr="006F2C07" w:rsidRDefault="006F2C07" w:rsidP="006F2C07">
      <w:pPr>
        <w:spacing w:line="256" w:lineRule="auto"/>
        <w:rPr>
          <w:rFonts w:eastAsia="Calibri"/>
          <w:sz w:val="16"/>
        </w:rPr>
      </w:pPr>
      <w:r w:rsidRPr="006F2C07">
        <w:rPr>
          <w:rFonts w:eastAsia="Calibri"/>
          <w:sz w:val="16"/>
        </w:rPr>
        <w:t xml:space="preserve">Russia’s 2022 invasion of Ukraine provides evidence that Moscow will not adhere to the current global order and will continue to challenge Western international norms wherever possible, including in the Arctic.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w:t>
      </w:r>
      <w:proofErr w:type="gramStart"/>
      <w:r w:rsidRPr="006F2C07">
        <w:rPr>
          <w:rFonts w:eastAsia="Calibri"/>
          <w:sz w:val="16"/>
        </w:rPr>
        <w:t>expanded,,</w:t>
      </w:r>
      <w:proofErr w:type="gramEnd"/>
      <w:r w:rsidRPr="006F2C07">
        <w:rPr>
          <w:rFonts w:eastAsia="Calibri"/>
          <w:sz w:val="16"/>
        </w:rPr>
        <w:t xml:space="preserve"> and now seven out of the eight Arctic nations are NATO members. The alliance offers an opportunity for the United States to strengthen its position in the Arctic region while not having to go it alone.</w:t>
      </w:r>
    </w:p>
    <w:p w14:paraId="1F55A47F" w14:textId="77777777" w:rsidR="006F2C07" w:rsidRPr="006F2C07" w:rsidRDefault="006F2C07" w:rsidP="006F2C07">
      <w:pPr>
        <w:spacing w:line="256" w:lineRule="auto"/>
        <w:rPr>
          <w:rFonts w:eastAsia="Calibri"/>
          <w:u w:val="single"/>
        </w:rPr>
      </w:pPr>
      <w:r w:rsidRPr="006F2C07">
        <w:rPr>
          <w:rFonts w:eastAsia="Calibri"/>
          <w:sz w:val="16"/>
        </w:rPr>
        <w:t>T</w:t>
      </w:r>
      <w:r w:rsidRPr="006F2C07">
        <w:rPr>
          <w:rFonts w:eastAsia="Calibri"/>
          <w:u w:val="single"/>
        </w:rPr>
        <w:t xml:space="preserve">he current US Arctic Strategy insufficiently counters Russian and Chinese strategic Arctic ambitions, </w:t>
      </w:r>
      <w:r w:rsidRPr="006F2C07">
        <w:rPr>
          <w:rFonts w:eastAsia="Calibri"/>
          <w:sz w:val="16"/>
        </w:rPr>
        <w:t xml:space="preserve">though the makings of a more effective Arctic Strategy already exist in the pages of the 2024 Arctic Strategy. </w:t>
      </w:r>
      <w:r w:rsidRPr="006F2C07">
        <w:rPr>
          <w:rFonts w:eastAsia="Calibri"/>
          <w:u w:val="single"/>
        </w:rPr>
        <w:t>Washington must build on this foundation, shifting its mindset towards the Arctic. A proactive Arctic Strategy is needed, in which the United States and its NATO partners are not afraid to define the rules and laws governing the north.</w:t>
      </w:r>
      <w:r w:rsidRPr="006F2C07">
        <w:rPr>
          <w:rFonts w:eastAsia="Calibri"/>
          <w:sz w:val="16"/>
        </w:rPr>
        <w:t xml:space="preserve"> Critics of this approach will claim that taking a more assertive position in the Arctic will further antagonize Russia and divert important resources from the Indo-Pacific region and China. This is simply not the case. </w:t>
      </w:r>
      <w:r w:rsidRPr="006F2C07">
        <w:rPr>
          <w:rFonts w:eastAsia="Calibri"/>
          <w:u w:val="single"/>
        </w:rPr>
        <w:t>Russia and China have already taken steps to claim and militarize the Arctic. By acting now, the US and its NATO allies will be better positioned to counter the threat posed by Russia and China in the Arctic and beyond.</w:t>
      </w:r>
    </w:p>
    <w:p w14:paraId="33946006" w14:textId="77777777" w:rsidR="006F2C07" w:rsidRPr="006F2C07" w:rsidRDefault="006F2C07" w:rsidP="006F2C07">
      <w:pPr>
        <w:spacing w:line="256" w:lineRule="auto"/>
        <w:rPr>
          <w:rFonts w:eastAsia="Calibri"/>
          <w:u w:val="single"/>
        </w:rPr>
      </w:pPr>
    </w:p>
    <w:p w14:paraId="5E348F62" w14:textId="77777777" w:rsidR="006F2C07" w:rsidRPr="006F2C07" w:rsidRDefault="006F2C07" w:rsidP="006F2C07">
      <w:pPr>
        <w:spacing w:line="256" w:lineRule="auto"/>
        <w:rPr>
          <w:rFonts w:eastAsia="Calibri"/>
          <w:sz w:val="16"/>
        </w:rPr>
      </w:pPr>
      <w:r w:rsidRPr="006F2C07">
        <w:rPr>
          <w:rFonts w:eastAsia="Calibri"/>
          <w:sz w:val="16"/>
        </w:rPr>
        <w:t xml:space="preserve">Why the Next War Will Be Won or Lost in the Arctic. </w:t>
      </w:r>
      <w:r w:rsidRPr="006F2C07">
        <w:rPr>
          <w:rFonts w:eastAsia="Calibri"/>
          <w:u w:val="single"/>
        </w:rPr>
        <w:t>Climate change has accelerated strategic competition in the region among both Arctic and non-Arctic nations, such as China. Melting sea ice from rising global temperatures has created new military and economic opportunities in the region</w:t>
      </w:r>
      <w:r w:rsidRPr="006F2C07">
        <w:rPr>
          <w:rFonts w:eastAsia="Calibri"/>
          <w:sz w:val="16"/>
        </w:rPr>
        <w:t xml:space="preserve">. Since 1979, the Arctic has warmed four times faster than the rest of the world, according to an August 2022 scientific study published in Nature.3) As ice rapidly melts in the Arctic, increased access to critical rare earth elements, such as platinum, copper, lithium, cobalt, and nickel emerge. Moreover, melting ice is opening more easily traversed Arctic waters, which has led to a surge of both military and commercial ship activity in the region. These two developments have increased the potential for conflict in the </w:t>
      </w:r>
      <w:proofErr w:type="spellStart"/>
      <w:r w:rsidRPr="006F2C07">
        <w:rPr>
          <w:rFonts w:eastAsia="Calibri"/>
          <w:sz w:val="16"/>
        </w:rPr>
        <w:t>Arcti</w:t>
      </w:r>
      <w:proofErr w:type="spellEnd"/>
    </w:p>
    <w:p w14:paraId="216D8E33" w14:textId="77777777" w:rsidR="006F2C07" w:rsidRPr="006F2C07" w:rsidRDefault="006F2C07" w:rsidP="006F2C07">
      <w:pPr>
        <w:spacing w:line="256" w:lineRule="auto"/>
        <w:rPr>
          <w:rFonts w:eastAsia="Calibri"/>
          <w:u w:val="single"/>
        </w:rPr>
      </w:pPr>
      <w:r w:rsidRPr="006F2C07">
        <w:rPr>
          <w:rFonts w:eastAsia="Calibri"/>
          <w:u w:val="single"/>
        </w:rPr>
        <w:t>Any nation that can effectively mine, process, and refine the materials will have a strategic advantage.</w:t>
      </w:r>
      <w:r w:rsidRPr="006F2C07">
        <w:rPr>
          <w:rFonts w:eastAsia="Calibri"/>
          <w:sz w:val="16"/>
        </w:rPr>
        <w:t xml:space="preserve"> These minerals are required for developing technologies ranging from renewable energy systems to electronics used for national defense. According to the World Bank, the demand to produce minerals, many of which are found in the Arctic, could increase by nearly 500 percent by 2050 to meet the growing demand for clean energy technologies.4) </w:t>
      </w:r>
      <w:r w:rsidRPr="006F2C07">
        <w:rPr>
          <w:rFonts w:eastAsia="Calibri"/>
          <w:u w:val="single"/>
        </w:rPr>
        <w:t>China already dominates the global supply chain for critical materials. The United States depends on these materials for its economic competitiveness and national defense.5)</w:t>
      </w:r>
    </w:p>
    <w:p w14:paraId="02F50E14" w14:textId="77777777" w:rsidR="006F2C07" w:rsidRPr="006F2C07" w:rsidRDefault="006F2C07" w:rsidP="006F2C07">
      <w:pPr>
        <w:spacing w:line="256" w:lineRule="auto"/>
        <w:rPr>
          <w:rFonts w:eastAsia="Calibri"/>
          <w:sz w:val="16"/>
        </w:rPr>
      </w:pPr>
    </w:p>
    <w:p w14:paraId="0E29B6B0" w14:textId="77777777" w:rsidR="006F2C07" w:rsidRPr="006F2C07" w:rsidRDefault="006F2C07" w:rsidP="006F2C07">
      <w:pPr>
        <w:spacing w:line="256" w:lineRule="auto"/>
        <w:rPr>
          <w:rFonts w:eastAsia="Calibri"/>
          <w:sz w:val="16"/>
        </w:rPr>
      </w:pPr>
      <w:r w:rsidRPr="006F2C07">
        <w:rPr>
          <w:rFonts w:eastAsia="Calibri"/>
          <w:u w:val="single"/>
        </w:rPr>
        <w:t xml:space="preserve">As ice melts, new routes are emerging that are more navigable. This has resulted in more ship activity in the region. </w:t>
      </w:r>
      <w:r w:rsidRPr="006F2C07">
        <w:rPr>
          <w:rFonts w:eastAsia="Calibri"/>
          <w:sz w:val="16"/>
        </w:rPr>
        <w:t>For instance, the Arctic Council Working Group on the Protection of the Arctic Marine Environment reports that there has been a 37 percent increase in ship numbers and distance sailed in the Arctic over the past ten years.6) While much of this activity is commercial</w:t>
      </w:r>
      <w:r w:rsidRPr="006F2C07">
        <w:rPr>
          <w:rFonts w:eastAsia="Calibri"/>
          <w:u w:val="single"/>
        </w:rPr>
        <w:t>, Russia and China have also taken advantage of the new sea routes to project their naval power.</w:t>
      </w:r>
      <w:r w:rsidRPr="006F2C07">
        <w:rPr>
          <w:rFonts w:eastAsia="Calibri"/>
          <w:sz w:val="16"/>
        </w:rPr>
        <w:t xml:space="preserve"> They have carried out numerous regional deployments and patrols, demonstrating their ability to execute military operations in the austere Arctic climate.7</w:t>
      </w:r>
      <w:r w:rsidRPr="006F2C07">
        <w:rPr>
          <w:rFonts w:eastAsia="Calibri"/>
          <w:u w:val="single"/>
        </w:rPr>
        <w:t>) The expanded presence of Russian and Chinese ships in the region poses a growing threat to NATO member states.</w:t>
      </w:r>
      <w:r w:rsidRPr="006F2C07">
        <w:rPr>
          <w:rFonts w:eastAsia="Calibri"/>
          <w:sz w:val="16"/>
        </w:rPr>
        <w:t xml:space="preserve"> In October 2023, Finnish investigators suspected the Chinese vessel </w:t>
      </w:r>
      <w:proofErr w:type="spellStart"/>
      <w:r w:rsidRPr="006F2C07">
        <w:rPr>
          <w:rFonts w:eastAsia="Calibri"/>
          <w:sz w:val="16"/>
        </w:rPr>
        <w:t>NewNew</w:t>
      </w:r>
      <w:proofErr w:type="spellEnd"/>
      <w:r w:rsidRPr="006F2C07">
        <w:rPr>
          <w:rFonts w:eastAsia="Calibri"/>
          <w:sz w:val="16"/>
        </w:rPr>
        <w:t xml:space="preserve">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715231DD" w14:textId="77777777" w:rsidR="006F2C07" w:rsidRPr="006F2C07" w:rsidRDefault="006F2C07" w:rsidP="006F2C07">
      <w:pPr>
        <w:spacing w:line="256" w:lineRule="auto"/>
        <w:rPr>
          <w:rFonts w:eastAsia="Calibri"/>
          <w:sz w:val="16"/>
        </w:rPr>
      </w:pPr>
    </w:p>
    <w:p w14:paraId="794FD767" w14:textId="77777777" w:rsidR="006F2C07" w:rsidRPr="006F2C07" w:rsidRDefault="006F2C07" w:rsidP="006F2C07">
      <w:pPr>
        <w:spacing w:line="256" w:lineRule="auto"/>
        <w:rPr>
          <w:rFonts w:eastAsia="Calibri"/>
          <w:sz w:val="16"/>
        </w:rPr>
      </w:pPr>
      <w:r w:rsidRPr="006F2C07">
        <w:rPr>
          <w:rFonts w:eastAsia="Calibri"/>
          <w:sz w:val="16"/>
        </w:rPr>
        <w:t>Competition in the Arctic Is Heating Up: Russian and Chinese Ambitions</w:t>
      </w:r>
    </w:p>
    <w:p w14:paraId="07078ED2" w14:textId="77777777" w:rsidR="006F2C07" w:rsidRPr="006F2C07" w:rsidRDefault="006F2C07" w:rsidP="006F2C07">
      <w:pPr>
        <w:spacing w:line="256" w:lineRule="auto"/>
        <w:rPr>
          <w:rFonts w:eastAsia="Calibri"/>
          <w:sz w:val="16"/>
        </w:rPr>
      </w:pPr>
      <w:r w:rsidRPr="006F2C07">
        <w:rPr>
          <w:rFonts w:eastAsia="Calibri"/>
          <w:u w:val="single"/>
        </w:rPr>
        <w:t>The growing partnership between Russia and China provides early warning signs that the region could become a site of future conflict</w:t>
      </w:r>
      <w:r w:rsidRPr="006F2C07">
        <w:rPr>
          <w:rFonts w:eastAsia="Calibri"/>
          <w:sz w:val="16"/>
        </w:rPr>
        <w:t>. In 2021 Russia and China renewed their 20-year-old Sino-Russian Treaty of Good Neighborliness and Friendly Cooperation, a move described as “an act of friendship against America.”9) Moreover</w:t>
      </w:r>
      <w:r w:rsidRPr="006F2C07">
        <w:rPr>
          <w:rFonts w:eastAsia="Calibri"/>
          <w:u w:val="single"/>
        </w:rPr>
        <w:t>, both Russia and China have deep historic and economic ties to the Arctic. NATO’s expansion to include Finland and Sweden have increased tensions in the region, while both Russia and China have expressed their disapproval of NATO’s increasing presence in the Arctic.</w:t>
      </w:r>
      <w:r w:rsidRPr="006F2C07">
        <w:rPr>
          <w:rFonts w:eastAsia="Calibri"/>
          <w:sz w:val="16"/>
        </w:rPr>
        <w:t>10) However, despite feeling antagonized by NATO’s actions, Moscow and Beijing may not have the economic and military capacities to reshape the current international rules-based order in the Arctic in the near term.</w:t>
      </w:r>
    </w:p>
    <w:p w14:paraId="47FEC044" w14:textId="77777777" w:rsidR="006F2C07" w:rsidRPr="006F2C07" w:rsidRDefault="006F2C07" w:rsidP="006F2C07">
      <w:pPr>
        <w:spacing w:line="256" w:lineRule="auto"/>
        <w:rPr>
          <w:rFonts w:eastAsia="Calibri"/>
          <w:sz w:val="12"/>
          <w:szCs w:val="18"/>
        </w:rPr>
      </w:pPr>
      <w:r w:rsidRPr="006F2C07">
        <w:rPr>
          <w:rFonts w:eastAsia="Calibri"/>
          <w:sz w:val="12"/>
          <w:szCs w:val="18"/>
        </w:rPr>
        <w:t xml:space="preserve">Despite being the only non-NATO member in the Arctic, Russia controls over 53 percent of the Arctic coastline, making it a decisive player in the future of the region.11) </w:t>
      </w:r>
      <w:proofErr w:type="gramStart"/>
      <w:r w:rsidRPr="006F2C07">
        <w:rPr>
          <w:rFonts w:eastAsia="Calibri"/>
          <w:sz w:val="12"/>
          <w:szCs w:val="18"/>
        </w:rPr>
        <w:t>Yet,</w:t>
      </w:r>
      <w:proofErr w:type="gramEnd"/>
      <w:r w:rsidRPr="006F2C07">
        <w:rPr>
          <w:rFonts w:eastAsia="Calibri"/>
          <w:sz w:val="12"/>
          <w:szCs w:val="18"/>
        </w:rPr>
        <w:t xml:space="preserve">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 As the Russian economy recovered in the early 2000s under Vladimir Putin, Russia began posturing for Arctic supremacy, reopening multiple Soviet-era military bases, modernizing its navy, and developing new hypersonic missiles designed to evade U.S. sensors and defenses.13) Moreover, in August 2022, Moscow announced that it would refocus its military power on the Arctic and Nordic region.14) According to Colin Wall, a research associate at Center for Strategic and International Studies in Washington, “The military balance in the Arctic is heavily weighted towards Russia.” Furthermore, the International Institute for Strategic Studies and Reuters cite that Russia’s bases inside the Arctic Circle outnumber NATO’s by roughly a third.15) Russia’s remilitarization of the Arctic and its revitalized strategic partnership with China, provides both countries with the means to challenge the current Western rules-based international order. Although China’s Arctic history does not mirror Russia’s centuries-old presence in the north, Beijing’s desire for Arctic supremacy has rapidly evolved over the past century. China’s involvement in the Arctic began in 1925 with the signing of the Svalbard Treaty, providing a legal basis for China to conduct non-military activity, such as scientific exploration, resource extraction, and fishing in the Arctic.16) However, China’s rationale to operate in the region extends beyond scientific exploration.</w:t>
      </w:r>
    </w:p>
    <w:p w14:paraId="1322D077" w14:textId="77777777" w:rsidR="006F2C07" w:rsidRPr="006F2C07" w:rsidRDefault="006F2C07" w:rsidP="006F2C07">
      <w:pPr>
        <w:spacing w:line="256" w:lineRule="auto"/>
        <w:rPr>
          <w:rFonts w:eastAsia="Calibri"/>
          <w:u w:val="single"/>
        </w:rPr>
      </w:pPr>
      <w:r w:rsidRPr="006F2C07">
        <w:rPr>
          <w:rFonts w:eastAsia="Calibri"/>
          <w:sz w:val="16"/>
        </w:rPr>
        <w:t>In 2018 China released its first Arctic White Paper, which asserts that it is a “Near-Arctic State.”17) China employs a dual narrative to explain its aims in the Arctic. Externally, Beijing appeals to foreign audiences by advocating for the safeguarding of international interests and promoting sustainable Arctic development. However, this is juxtaposed against the narrative it promotes for domestic audiences, which emphasizes competition for resources and China’s desire to become a “polar great power.”18) The Svalbard Treaty has currently enabled China to shroud its military activity and influence in the Arctic as scientific exploration and global cooperation</w:t>
      </w:r>
      <w:r w:rsidRPr="006F2C07">
        <w:rPr>
          <w:rFonts w:eastAsia="Calibri"/>
          <w:u w:val="single"/>
        </w:rPr>
        <w:t>. But it is becoming clear from its growing partnership with Russia and increasingly aggressive military action in the Arctic that China’s intentions to reshape the international system extend well beyond the Indo-Pacific. The U.S. and NATO would be wise to recognize China’s aims in the Arctic.</w:t>
      </w:r>
    </w:p>
    <w:p w14:paraId="39A41DF4" w14:textId="77777777" w:rsidR="006F2C07" w:rsidRPr="006F2C07" w:rsidRDefault="006F2C07" w:rsidP="006F2C07">
      <w:pPr>
        <w:spacing w:line="256" w:lineRule="auto"/>
        <w:rPr>
          <w:rFonts w:eastAsia="Calibri"/>
          <w:sz w:val="10"/>
          <w:szCs w:val="16"/>
        </w:rPr>
      </w:pPr>
      <w:r w:rsidRPr="006F2C07">
        <w:rPr>
          <w:rFonts w:eastAsia="Calibri"/>
          <w:sz w:val="10"/>
          <w:szCs w:val="16"/>
        </w:rPr>
        <w:t>The historic ties of Russia and China and their Arctic ambitions reveal that the Arctic is likely to be an arena for future strategic competition.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681DE05F" w14:textId="77777777" w:rsidR="006F2C07" w:rsidRPr="006F2C07" w:rsidRDefault="006F2C07" w:rsidP="006F2C07">
      <w:pPr>
        <w:spacing w:line="256" w:lineRule="auto"/>
        <w:rPr>
          <w:rFonts w:eastAsia="Calibri"/>
          <w:sz w:val="10"/>
          <w:szCs w:val="16"/>
        </w:rPr>
      </w:pPr>
      <w:r w:rsidRPr="006F2C07">
        <w:rPr>
          <w:rFonts w:eastAsia="Calibri"/>
          <w:sz w:val="10"/>
          <w:szCs w:val="16"/>
        </w:rPr>
        <w:t>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 NATO leaders recognize that there is a finite window of time to prepare for conflict against Russia.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Ukraine.22) Several other European leaders have echoed these concerns,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Russia’s timeframe to launch a successful attack is dependent not only on its economy but also on its partnership with the PRC.</w:t>
      </w:r>
    </w:p>
    <w:p w14:paraId="5D358855" w14:textId="77777777" w:rsidR="006F2C07" w:rsidRPr="006F2C07" w:rsidRDefault="006F2C07" w:rsidP="006F2C07">
      <w:pPr>
        <w:spacing w:line="256" w:lineRule="auto"/>
        <w:rPr>
          <w:rFonts w:eastAsia="Calibri"/>
          <w:sz w:val="16"/>
        </w:rPr>
      </w:pPr>
      <w:r w:rsidRPr="006F2C07">
        <w:rPr>
          <w:rFonts w:eastAsia="Calibri"/>
          <w:sz w:val="16"/>
        </w:rPr>
        <w:t>Why the U.S. Needs its Arctic NATO Allies</w:t>
      </w:r>
    </w:p>
    <w:p w14:paraId="69BC0D54" w14:textId="77777777" w:rsidR="006F2C07" w:rsidRPr="006F2C07" w:rsidRDefault="006F2C07" w:rsidP="006F2C07">
      <w:pPr>
        <w:spacing w:line="256" w:lineRule="auto"/>
        <w:rPr>
          <w:rFonts w:eastAsia="Calibri"/>
          <w:u w:val="single"/>
        </w:rPr>
      </w:pPr>
      <w:r w:rsidRPr="006F2C07">
        <w:rPr>
          <w:rFonts w:eastAsia="Calibri"/>
          <w:u w:val="single"/>
        </w:rPr>
        <w:t>The United States has already begun to take a more active approach in the Arctic; however, the region must become an even greater priority</w:t>
      </w:r>
      <w:r w:rsidRPr="006F2C07">
        <w:rPr>
          <w:rFonts w:eastAsia="Calibri"/>
          <w:sz w:val="16"/>
        </w:rPr>
        <w:t xml:space="preserve">. Following Finnish and Swedish accession to NATO, the alliance’s center of gravity, its primary source of strength and stability, shifted North and closer to the Russian border. This is not the first instance of NATO borders moving closer to Russia. In 2007, Putin provided a final “friendly” warning that NATO expansion “represents a serious provocation that reduces the level of mutual trust.”25) The National Defense Strategy (NDS) reaffirms its commitment to NATO, underscoring the importance of collective defense aimed at deterring Russian aggression. Despite this stated commitment, the NDS does not directly address how it will respond </w:t>
      </w:r>
      <w:proofErr w:type="gramStart"/>
      <w:r w:rsidRPr="006F2C07">
        <w:rPr>
          <w:rFonts w:eastAsia="Calibri"/>
          <w:sz w:val="16"/>
        </w:rPr>
        <w:t>in the event that</w:t>
      </w:r>
      <w:proofErr w:type="gramEnd"/>
      <w:r w:rsidRPr="006F2C07">
        <w:rPr>
          <w:rFonts w:eastAsia="Calibri"/>
          <w:sz w:val="16"/>
        </w:rPr>
        <w:t xml:space="preserve"> Russia attacks a NATO member state, forcing the alliance to respond. </w:t>
      </w:r>
      <w:r w:rsidRPr="006F2C07">
        <w:rPr>
          <w:rFonts w:eastAsia="Calibri"/>
          <w:u w:val="single"/>
        </w:rPr>
        <w:t>While the current NDS and Arctic Strategy offer assurances of protection to the U.S. homeland, a proactive Arctic posture will mitigate future conflict in the region.</w:t>
      </w:r>
    </w:p>
    <w:p w14:paraId="6E58314B" w14:textId="77777777" w:rsidR="006F2C07" w:rsidRPr="006F2C07" w:rsidRDefault="006F2C07" w:rsidP="006F2C07">
      <w:pPr>
        <w:spacing w:line="256" w:lineRule="auto"/>
        <w:rPr>
          <w:rFonts w:eastAsia="Calibri"/>
          <w:sz w:val="16"/>
        </w:rPr>
      </w:pPr>
    </w:p>
    <w:p w14:paraId="48680C06" w14:textId="77777777" w:rsidR="006F2C07" w:rsidRPr="006F2C07" w:rsidRDefault="006F2C07" w:rsidP="006F2C07">
      <w:pPr>
        <w:spacing w:line="256" w:lineRule="auto"/>
        <w:rPr>
          <w:rFonts w:eastAsia="Calibri"/>
          <w:sz w:val="16"/>
        </w:rPr>
      </w:pPr>
      <w:r w:rsidRPr="006F2C07">
        <w:rPr>
          <w:rFonts w:eastAsia="Calibri"/>
          <w:u w:val="single"/>
        </w:rPr>
        <w:t>The United States already views itself as a leader in the European Arctic.</w:t>
      </w:r>
      <w:r w:rsidRPr="006F2C07">
        <w:rPr>
          <w:rFonts w:eastAsia="Calibri"/>
          <w:sz w:val="16"/>
        </w:rPr>
        <w:t xml:space="preserve"> Since the end of the Cold War, the United States has sought to uphold international law, close gaps in governance, and protect sovereign rights in the European Arctic.26) The United States was integral in developing multiple intergovernmental institutions, including the Arctic Council in 1991.27) With growing competition in the European Arctic, </w:t>
      </w:r>
      <w:r w:rsidRPr="006F2C07">
        <w:rPr>
          <w:rFonts w:eastAsia="Calibri"/>
          <w:u w:val="single"/>
        </w:rPr>
        <w:t xml:space="preserve">the United States should continue to use its great power status to insert itself as a lead actor in the region through the establishment of a proactive Arctic Strategy coupled with enhanced economic and military cooperation with its Nordic NATO Allies. </w:t>
      </w:r>
      <w:r w:rsidRPr="006F2C07">
        <w:rPr>
          <w:rFonts w:eastAsia="Calibri"/>
          <w:sz w:val="16"/>
        </w:rPr>
        <w:t xml:space="preserve">Today, while Russia is engrossed in its war against Ukraine, the United States and its allies </w:t>
      </w:r>
      <w:proofErr w:type="gramStart"/>
      <w:r w:rsidRPr="006F2C07">
        <w:rPr>
          <w:rFonts w:eastAsia="Calibri"/>
          <w:sz w:val="16"/>
        </w:rPr>
        <w:t>have the opportunity to</w:t>
      </w:r>
      <w:proofErr w:type="gramEnd"/>
      <w:r w:rsidRPr="006F2C07">
        <w:rPr>
          <w:rFonts w:eastAsia="Calibri"/>
          <w:sz w:val="16"/>
        </w:rPr>
        <w:t xml:space="preserve"> remain one step ahead.</w:t>
      </w:r>
    </w:p>
    <w:p w14:paraId="5AA20CBB" w14:textId="77777777" w:rsidR="006F2C07" w:rsidRPr="006F2C07" w:rsidRDefault="006F2C07" w:rsidP="006F2C07">
      <w:pPr>
        <w:spacing w:line="256" w:lineRule="auto"/>
        <w:rPr>
          <w:rFonts w:eastAsia="Calibri"/>
          <w:sz w:val="12"/>
          <w:szCs w:val="18"/>
        </w:rPr>
      </w:pPr>
      <w:r w:rsidRPr="006F2C07">
        <w:rPr>
          <w:rFonts w:eastAsia="Calibri"/>
          <w:sz w:val="12"/>
          <w:szCs w:val="18"/>
        </w:rPr>
        <w:t>Since Russia’s invasion of Ukraine in 2022, the United States has begun to increase its presence in the European High North. Underscoring the importance of collective defense, the United States has entered into several new bilateral Defense Cooperation Agreements (DCA) with Nordic nations. In 2022, the United States signed a DCA with Norway, which acknowledges that the presence of U.S. forces in Norway contributes to strengthening the security and stability of the region and permit American forces unimpeded access to four Norwegian military bases.28) Since the establishment of the defense agreement, Norway and the United States added an amendment, allowing U.S. forces and NATO allies to access eight additional facilities in Norway for military purposes, emphasizing the growing security threat in the European Arctic.29) Following Norway’s lead, Denmark signed its DCA with the United States in 2023 followed by Finland and Sweden in 2024.30) DCAs such as these offer increased and mutually beneficial opportunities for the United States and its Nordic NATO Allies to prepare for any future hostilities.</w:t>
      </w:r>
    </w:p>
    <w:p w14:paraId="15CF57E0" w14:textId="77777777" w:rsidR="006F2C07" w:rsidRPr="006F2C07" w:rsidRDefault="006F2C07" w:rsidP="006F2C07">
      <w:pPr>
        <w:spacing w:line="256" w:lineRule="auto"/>
        <w:rPr>
          <w:rFonts w:eastAsia="Calibri"/>
          <w:sz w:val="16"/>
        </w:rPr>
      </w:pPr>
      <w:r w:rsidRPr="006F2C07">
        <w:rPr>
          <w:rFonts w:eastAsia="Calibri"/>
          <w:sz w:val="14"/>
          <w:szCs w:val="20"/>
        </w:rPr>
        <w:t xml:space="preserve">As part of the US’s proactive Arctic Strategy, Washington should prioritize economic investments in companies owned by NATO members. Through these investments, energy security within NATO can be improved, and the nations can decrease their dependence on rare earth materials from China. The United States has already taken initial steps to secure critical mineral and clean energy supply chains, but more can be done. In September 2024, the United States signed a Critical Minerals Agreement with Norway, demonstrating both countries’ commitment to working together to ensure energy security.31) </w:t>
      </w:r>
      <w:r w:rsidRPr="006F2C07">
        <w:rPr>
          <w:rFonts w:eastAsia="Calibri"/>
          <w:sz w:val="16"/>
        </w:rPr>
        <w:t xml:space="preserve">Another such opportunity for the U.S. to further support its Nordic Allies exists in Sweden. In 2024 the Swedish mining company LKAP discovered Europe’s largest deposit of rare earth elements in the northern city of Kiruna, Sweden. Norway and Sweden have already begun collaborating to increase energy security through the Norwegian company, </w:t>
      </w:r>
      <w:proofErr w:type="spellStart"/>
      <w:r w:rsidRPr="006F2C07">
        <w:rPr>
          <w:rFonts w:eastAsia="Calibri"/>
          <w:sz w:val="16"/>
        </w:rPr>
        <w:t>REETec</w:t>
      </w:r>
      <w:proofErr w:type="spellEnd"/>
      <w:r w:rsidRPr="006F2C07">
        <w:rPr>
          <w:rFonts w:eastAsia="Calibri"/>
          <w:sz w:val="16"/>
        </w:rPr>
        <w:t xml:space="preserve">, which has developed technology to separate rare earth metals that competes with China’s production of these materials.32) According to the CEO of LKAB, Jan </w:t>
      </w:r>
      <w:proofErr w:type="spellStart"/>
      <w:r w:rsidRPr="006F2C07">
        <w:rPr>
          <w:rFonts w:eastAsia="Calibri"/>
          <w:sz w:val="16"/>
        </w:rPr>
        <w:t>Moström</w:t>
      </w:r>
      <w:proofErr w:type="spellEnd"/>
      <w:r w:rsidRPr="006F2C07">
        <w:rPr>
          <w:rFonts w:eastAsia="Calibri"/>
          <w:sz w:val="16"/>
        </w:rPr>
        <w:t xml:space="preserve">, this cooperation provides the foundation to develop a “strong and sustainable Nordic value chain for rare earth metals.”33) A </w:t>
      </w:r>
      <w:r w:rsidRPr="006F2C07">
        <w:rPr>
          <w:rFonts w:eastAsia="Calibri"/>
          <w:u w:val="single"/>
        </w:rPr>
        <w:t>proactive U.S. Arctic Strategy that takes into consideration increased NATO energy security through Nordic investment further bolsters the United States’ ability to decrease dependence on China and should be pursued</w:t>
      </w:r>
      <w:r w:rsidRPr="006F2C07">
        <w:rPr>
          <w:rFonts w:eastAsia="Calibri"/>
          <w:sz w:val="16"/>
        </w:rPr>
        <w:t>.</w:t>
      </w:r>
    </w:p>
    <w:p w14:paraId="4E6ADC1B" w14:textId="77777777" w:rsidR="006F2C07" w:rsidRPr="006F2C07" w:rsidRDefault="006F2C07" w:rsidP="006F2C07">
      <w:pPr>
        <w:spacing w:line="256" w:lineRule="auto"/>
        <w:rPr>
          <w:rFonts w:eastAsia="Calibri"/>
          <w:sz w:val="16"/>
        </w:rPr>
      </w:pPr>
    </w:p>
    <w:p w14:paraId="748AC655" w14:textId="77777777" w:rsidR="006F2C07" w:rsidRPr="006F2C07" w:rsidRDefault="006F2C07" w:rsidP="006F2C07">
      <w:pPr>
        <w:spacing w:line="256" w:lineRule="auto"/>
        <w:rPr>
          <w:rFonts w:eastAsia="Calibri"/>
          <w:sz w:val="16"/>
        </w:rPr>
      </w:pPr>
      <w:r w:rsidRPr="006F2C07">
        <w:rPr>
          <w:rFonts w:eastAsia="Calibri"/>
          <w:u w:val="single"/>
        </w:rPr>
        <w:t>Increased cooperation between the United States and its Nordic NATO Allies provides an opportunity for the U.S. to couple a new proactive Arctic Strategy with tangible training goals for forces at the tactical and operational levels</w:t>
      </w:r>
      <w:r w:rsidRPr="006F2C07">
        <w:rPr>
          <w:rFonts w:eastAsia="Calibri"/>
          <w:sz w:val="16"/>
        </w:rPr>
        <w:t xml:space="preserve">. For example, U.S. forces and their Norwegian counterparts have benefited from a mutually supportive military alliance for decades. During the Cold War, Norway was a critical U.S. ally for power projection, defense, and deterrence in the north. Its geostrategic location was optimal for protecting NATO’s northern flank from Soviet aggression so much so that the United States stockpiled weapons, vehicles, and ammunition in strategic locations across Norway.34) </w:t>
      </w:r>
      <w:r w:rsidRPr="006F2C07">
        <w:rPr>
          <w:rFonts w:eastAsia="Calibri"/>
          <w:u w:val="single"/>
        </w:rPr>
        <w:t>These stockpiles were crucial for increasing U.S. power projection and enhancing NATO’s operational responsiveness in the European arena.</w:t>
      </w:r>
      <w:r w:rsidRPr="006F2C07">
        <w:rPr>
          <w:rFonts w:eastAsia="Calibri"/>
          <w:sz w:val="16"/>
        </w:rPr>
        <w:t xml:space="preserve"> Additionally, Norway’s proximity to the Soviet Union and the adjacent Norwegian and Barents Seas allowed NATO to challenge the Soviets’ ability to deploy nuclear-powered submarines if the Cold War turned hot.</w:t>
      </w:r>
    </w:p>
    <w:p w14:paraId="0AE79282" w14:textId="77777777" w:rsidR="006F2C07" w:rsidRPr="006F2C07" w:rsidRDefault="006F2C07" w:rsidP="006F2C07">
      <w:pPr>
        <w:spacing w:line="256" w:lineRule="auto"/>
        <w:rPr>
          <w:rFonts w:eastAsia="Calibri"/>
          <w:u w:val="single"/>
        </w:rPr>
      </w:pPr>
      <w:r w:rsidRPr="006F2C07">
        <w:rPr>
          <w:rFonts w:eastAsia="Calibri"/>
          <w:sz w:val="16"/>
        </w:rPr>
        <w:t xml:space="preserve">The U.S.–Norwegian Alliance has only grown since the end of the Cold War. In 2017, the United States Marine Corps began sending a battalion of Marines to Northern Norway as part of a rotational deployment. The United States Marine Corps continues to deploy thousands of forces to train alongside its Norwegian Allies annually. Moreover, in 2018, Norway hosted Exercise Trident Juncture, a NATO-led military exercise based on a fictitious Article 5 collective defense scenario. It was the largest exercise of its kind in Norway since the 1980s, and 31 nations participated.35) </w:t>
      </w:r>
      <w:r w:rsidRPr="006F2C07">
        <w:rPr>
          <w:rFonts w:eastAsia="Calibri"/>
          <w:u w:val="single"/>
        </w:rPr>
        <w:t>Large-scale multinational exercises of this kind increase force proficiency operating in Arctic environments and enhance NATO member states’ ability to work with each other in wartime.</w:t>
      </w:r>
    </w:p>
    <w:p w14:paraId="70EC40CB" w14:textId="77777777" w:rsidR="006F2C07" w:rsidRPr="006F2C07" w:rsidRDefault="006F2C07" w:rsidP="006F2C07">
      <w:pPr>
        <w:spacing w:line="256" w:lineRule="auto"/>
        <w:rPr>
          <w:rFonts w:eastAsia="Calibri"/>
          <w:sz w:val="16"/>
        </w:rPr>
      </w:pPr>
      <w:r w:rsidRPr="006F2C07">
        <w:rPr>
          <w:rFonts w:eastAsia="Calibri"/>
          <w:sz w:val="16"/>
        </w:rPr>
        <w:t xml:space="preserve">The United States has been increasing its ability to work with its Swedish and Finnish counterparts in the case of war. The United States should establish bilateral training exercises with Sweden and Finland </w:t>
      </w:r>
      <w:proofErr w:type="gramStart"/>
      <w:r w:rsidRPr="006F2C07">
        <w:rPr>
          <w:rFonts w:eastAsia="Calibri"/>
          <w:sz w:val="16"/>
        </w:rPr>
        <w:t>in order to</w:t>
      </w:r>
      <w:proofErr w:type="gramEnd"/>
      <w:r w:rsidRPr="006F2C07">
        <w:rPr>
          <w:rFonts w:eastAsia="Calibri"/>
          <w:sz w:val="16"/>
        </w:rPr>
        <w:t xml:space="preserve"> give these new NATO nations a greater understanding of how to operate in a NATO construct. Conversely, cooperation with allies and partners improves U.S. forces’ understanding of how to operate effectively in an Arctic environment, making it a more reliable and efficient partner for Arctic allies. This operational experience ensures that allied forces are familiar with strategic terrain that may be leveraged during a conflict with Russia. Conclusion: How a Proactive Arctic Strategy Supports America’s Focus on the Indo-Pacific</w:t>
      </w:r>
    </w:p>
    <w:p w14:paraId="327E9519" w14:textId="77777777" w:rsidR="006F2C07" w:rsidRPr="006F2C07" w:rsidRDefault="006F2C07" w:rsidP="006F2C07">
      <w:pPr>
        <w:spacing w:line="256" w:lineRule="auto"/>
        <w:rPr>
          <w:rFonts w:eastAsia="Calibri"/>
          <w:u w:val="single"/>
        </w:rPr>
      </w:pPr>
      <w:r w:rsidRPr="006F2C07">
        <w:rPr>
          <w:rFonts w:eastAsia="Calibri"/>
          <w:sz w:val="16"/>
        </w:rPr>
        <w:t xml:space="preserve">The United States publication of the 2024 Arctic Strategy provides a transparent approach aimed at reducing the possibility of escalation in the Arctic. </w:t>
      </w:r>
      <w:r w:rsidRPr="006F2C07">
        <w:rPr>
          <w:rFonts w:eastAsia="Calibri"/>
          <w:u w:val="single"/>
        </w:rPr>
        <w:t>Moreover, the current strategy recognizes Russia’s and China’s Arctic ambitions and that the growing collaboration between Russia and the PRC have “the potential to alter the Arctic’s stability and threat picture</w:t>
      </w:r>
      <w:r w:rsidRPr="006F2C07">
        <w:rPr>
          <w:rFonts w:eastAsia="Calibri"/>
          <w:sz w:val="16"/>
        </w:rPr>
        <w:t xml:space="preserve">.”36) The strategy presents a tangible and realistic way forward for the U.S. to enhance the Joint Force’s Arctic capabilities, engage with Allies and partners, and demonstrate an ability to work together across defense forces. Although the strategy indicates increased U.S. involvement in the Arctic, it remains reactive. The 2024 Arctic Strategy already outlines a tangible way for the United States to commit energy and resources to the region. Although a deliberate shift in messaging will not change the U.S. footprint in the Arctic, it will change the U.S. mindset towards the region. </w:t>
      </w:r>
      <w:r w:rsidRPr="006F2C07">
        <w:rPr>
          <w:rFonts w:eastAsia="Calibri"/>
          <w:u w:val="single"/>
        </w:rPr>
        <w:t xml:space="preserve">By making the Arctic a priority, the U.S. demonstrates its commitment to supporting its Allies </w:t>
      </w:r>
      <w:proofErr w:type="gramStart"/>
      <w:r w:rsidRPr="006F2C07">
        <w:rPr>
          <w:rFonts w:eastAsia="Calibri"/>
          <w:u w:val="single"/>
        </w:rPr>
        <w:t>in the event that</w:t>
      </w:r>
      <w:proofErr w:type="gramEnd"/>
      <w:r w:rsidRPr="006F2C07">
        <w:rPr>
          <w:rFonts w:eastAsia="Calibri"/>
          <w:u w:val="single"/>
        </w:rPr>
        <w:t xml:space="preserve"> Russia or China attacks.</w:t>
      </w:r>
    </w:p>
    <w:p w14:paraId="3D2AA28B" w14:textId="77777777" w:rsidR="006F2C07" w:rsidRPr="006F2C07" w:rsidRDefault="006F2C07" w:rsidP="006F2C07">
      <w:pPr>
        <w:spacing w:line="256" w:lineRule="auto"/>
        <w:rPr>
          <w:rFonts w:eastAsia="Calibri"/>
          <w:u w:val="single"/>
        </w:rPr>
      </w:pPr>
      <w:r w:rsidRPr="006F2C07">
        <w:rPr>
          <w:rFonts w:eastAsia="Calibri"/>
          <w:u w:val="single"/>
        </w:rPr>
        <w:t>Furthermore, by shifting to a proactive Arctic Strategy, the United States is not abandoning its focus on the Indo-Pacific, because the PRC envisions itself as a polar power and intends to reshape the international system in its favor. F</w:t>
      </w:r>
      <w:r w:rsidRPr="006F2C07">
        <w:rPr>
          <w:rFonts w:eastAsia="Calibri"/>
          <w:sz w:val="16"/>
        </w:rPr>
        <w:t xml:space="preserve">uture conflict with the PRC will not be geographically constrained to the Indo-Pacific. By shifting to a proactive Arctic Strategy now, the United States can deter China from expanding its control over the Arctic and its critical resources. </w:t>
      </w:r>
      <w:r w:rsidRPr="006F2C07">
        <w:rPr>
          <w:rFonts w:eastAsia="Calibri"/>
          <w:u w:val="single"/>
        </w:rPr>
        <w:t>The future battlefield is melting and only by taking actions today can the United States and its NATO allies win tomorrow’s war in the Arctic.</w:t>
      </w:r>
    </w:p>
    <w:p w14:paraId="27AA8CC2" w14:textId="77777777" w:rsidR="006F2C07" w:rsidRPr="006F2C07" w:rsidRDefault="006F2C07" w:rsidP="006F2C07">
      <w:pPr>
        <w:spacing w:line="256" w:lineRule="auto"/>
        <w:rPr>
          <w:rFonts w:eastAsia="Calibri"/>
          <w:u w:val="single"/>
        </w:rPr>
      </w:pPr>
    </w:p>
    <w:p w14:paraId="54E6B548" w14:textId="77777777" w:rsidR="006F2C07" w:rsidRPr="006F2C07" w:rsidRDefault="006F2C07" w:rsidP="006F2C07">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American lead in geoengineering ensures national security, leads to cooperation, and prevents Russia China interventions</w:t>
      </w:r>
    </w:p>
    <w:p w14:paraId="31C57DF3" w14:textId="77777777" w:rsidR="006F2C07" w:rsidRPr="006F2C07" w:rsidRDefault="006F2C07" w:rsidP="006F2C07">
      <w:pPr>
        <w:spacing w:line="256" w:lineRule="auto"/>
        <w:rPr>
          <w:rFonts w:eastAsia="Calibri"/>
          <w:b/>
          <w:bCs/>
          <w:sz w:val="26"/>
        </w:rPr>
      </w:pPr>
      <w:r w:rsidRPr="006F2C07">
        <w:rPr>
          <w:rFonts w:eastAsia="Calibri"/>
          <w:b/>
          <w:bCs/>
          <w:sz w:val="26"/>
        </w:rPr>
        <w:t>Sikorsky and Ellison 24</w:t>
      </w:r>
      <w:r w:rsidRPr="006F2C07">
        <w:rPr>
          <w:rFonts w:eastAsia="Calibri"/>
        </w:rPr>
        <w:t>--- Erin Sikorsky: Director of the Center for Climate and Security (CCS), and the International Military Council on Climate and Security (IMCCS) with a masters of International Affairs at Columbia University, Tom Ellison: Deputy Director of the Center for Climate and Security (CCS) with a M.A. in Security Studies from Georgetown University (“Geoengineering and Climate Change in an Age of Disinformation and Strategic Competition”, Council on Strategic Risks, 04/23/24, https://councilonstrategicrisks.org/2024/04/23/geoengineering-and-climate-change-in-an-age-of-disinformation-and-strategic-competition/)</w:t>
      </w:r>
    </w:p>
    <w:p w14:paraId="007D913F" w14:textId="77777777" w:rsidR="006F2C07" w:rsidRPr="006F2C07" w:rsidRDefault="006F2C07" w:rsidP="006F2C07">
      <w:pPr>
        <w:spacing w:line="256" w:lineRule="auto"/>
        <w:rPr>
          <w:rFonts w:eastAsia="Calibri"/>
          <w:sz w:val="16"/>
        </w:rPr>
      </w:pPr>
      <w:r w:rsidRPr="006F2C07">
        <w:rPr>
          <w:rFonts w:eastAsia="Calibri"/>
          <w:u w:val="single"/>
        </w:rPr>
        <w:t>Geoengineering, sometimes called climate intervention, is gaining more attention as a potential tool to manage the impacts of climate change</w:t>
      </w:r>
      <w:r w:rsidRPr="006F2C07">
        <w:rPr>
          <w:rFonts w:eastAsia="Calibri"/>
          <w:sz w:val="16"/>
        </w:rPr>
        <w:t xml:space="preserve">. A steady drumbeat of reports from governments and scientific institutions argue for developing research programs to allow for better informed decisions on the risks and benefits of geoengineering. </w:t>
      </w:r>
      <w:r w:rsidRPr="006F2C07">
        <w:rPr>
          <w:rFonts w:eastAsia="Calibri"/>
          <w:u w:val="single"/>
        </w:rPr>
        <w:t>At the same time, the national security community is raising concerns emphasizing the risk of large-scale, successful unilateral deployment by a middle or rogue power.</w:t>
      </w:r>
    </w:p>
    <w:p w14:paraId="6C39D9AD" w14:textId="77777777" w:rsidR="006F2C07" w:rsidRPr="006F2C07" w:rsidRDefault="006F2C07" w:rsidP="006F2C07">
      <w:pPr>
        <w:spacing w:line="256" w:lineRule="auto"/>
        <w:rPr>
          <w:rFonts w:eastAsia="Calibri"/>
          <w:sz w:val="16"/>
        </w:rPr>
      </w:pPr>
      <w:r w:rsidRPr="006F2C07">
        <w:rPr>
          <w:rFonts w:eastAsia="Calibri"/>
          <w:sz w:val="16"/>
        </w:rPr>
        <w:t xml:space="preserve">However, the more acute, </w:t>
      </w:r>
      <w:r w:rsidRPr="006F2C07">
        <w:rPr>
          <w:rFonts w:eastAsia="Calibri"/>
          <w:u w:val="single"/>
        </w:rPr>
        <w:t>near-term security risks associated with geoengineering have little to do with the ultimate effect of such interventions, but instead with the perceptions of such interventions, particularly in a world shaped by geopolitical competition, growing divides between the Global North and Global South, and dis/misinformation. These risks include rising tensions between or among states attributing disasters to each other’s real or perceived geoengineering attempts,</w:t>
      </w:r>
      <w:r w:rsidRPr="006F2C07">
        <w:rPr>
          <w:rFonts w:eastAsia="Calibri"/>
          <w:sz w:val="16"/>
        </w:rPr>
        <w:t xml:space="preserve"> a dynamic that could arise even in the research or testing phase of geoengineering projects. Additionally, expanding geoengineering efforts may exacerbate the growth of harmful conspiracy theories and influence campaigns that further undermine trust in government and science. Such issues have gotten comparably little attention in the national security discourse and are largely absent in discussions about geoengineering among the scientific and environmental community.</w:t>
      </w:r>
    </w:p>
    <w:p w14:paraId="0260C01B" w14:textId="77777777" w:rsidR="006F2C07" w:rsidRPr="006F2C07" w:rsidRDefault="006F2C07" w:rsidP="006F2C07">
      <w:pPr>
        <w:spacing w:line="256" w:lineRule="auto"/>
        <w:rPr>
          <w:rFonts w:eastAsia="Calibri"/>
          <w:sz w:val="16"/>
        </w:rPr>
      </w:pPr>
      <w:r w:rsidRPr="006F2C07">
        <w:rPr>
          <w:rFonts w:eastAsia="Calibri"/>
          <w:sz w:val="16"/>
        </w:rPr>
        <w:t xml:space="preserve">To manage such risks, a push for a full ban or prohibition on geoengineering will become </w:t>
      </w:r>
      <w:proofErr w:type="gramStart"/>
      <w:r w:rsidRPr="006F2C07">
        <w:rPr>
          <w:rFonts w:eastAsia="Calibri"/>
          <w:sz w:val="16"/>
        </w:rPr>
        <w:t>more and more</w:t>
      </w:r>
      <w:proofErr w:type="gramEnd"/>
      <w:r w:rsidRPr="006F2C07">
        <w:rPr>
          <w:rFonts w:eastAsia="Calibri"/>
          <w:sz w:val="16"/>
        </w:rPr>
        <w:t xml:space="preserve"> unrealistic, and perhaps harmful, particularly as the climate crisis intensifies. Instead, </w:t>
      </w:r>
      <w:r w:rsidRPr="006F2C07">
        <w:rPr>
          <w:rFonts w:eastAsia="Calibri"/>
          <w:u w:val="single"/>
        </w:rPr>
        <w:t>the United States, with its allies and partners, should lead the development of guardrails and norms that manage not only the scientific challenges but also the geopolitical risks associated with geoengineering</w:t>
      </w:r>
      <w:r w:rsidRPr="006F2C07">
        <w:rPr>
          <w:rFonts w:eastAsia="Calibri"/>
          <w:sz w:val="16"/>
        </w:rPr>
        <w:t xml:space="preserve">. </w:t>
      </w:r>
      <w:r w:rsidRPr="006F2C07">
        <w:rPr>
          <w:rFonts w:eastAsia="Calibri"/>
          <w:u w:val="single"/>
        </w:rPr>
        <w:t>A responsible framework would ensure that research is conducted transparently, led by civilian institutions and agencies, and integrates political, sociological and historical viewpoints.</w:t>
      </w:r>
      <w:r w:rsidRPr="006F2C07">
        <w:rPr>
          <w:rFonts w:eastAsia="Calibri"/>
          <w:sz w:val="16"/>
        </w:rPr>
        <w:t xml:space="preserve"> In building the framework, the United States should learn from weather modification controversies in the 1960s and 1970s, nuclear nonproliferation negotiations, and the development of bioethics – all of which offer lessons regarding norm building for complex, nascent technologies. The United States must also develop robust science communication and science diplomacy to engage the public, the private sector and other governments on geoengineering in the coming years to combat mis- and disinformation. Such efforts should draw lessons from analogous science communication and misinformation challenges–such as vaccine skepticism and election interference.</w:t>
      </w:r>
    </w:p>
    <w:p w14:paraId="54B68D5F" w14:textId="77777777" w:rsidR="006F2C07" w:rsidRPr="006F2C07" w:rsidRDefault="006F2C07" w:rsidP="006F2C07">
      <w:pPr>
        <w:spacing w:line="256" w:lineRule="auto"/>
        <w:rPr>
          <w:rFonts w:eastAsia="Calibri"/>
          <w:u w:val="single"/>
        </w:rPr>
      </w:pPr>
      <w:r w:rsidRPr="006F2C07">
        <w:rPr>
          <w:rFonts w:eastAsia="Calibri"/>
          <w:sz w:val="16"/>
        </w:rPr>
        <w:t xml:space="preserve">Importantly, geoengineering discussions should not siphon resources or political capital from continuing the transition away from fossil fuels as quickly as possible, while also robustly investing in adaptation–policies that will lessen the need for more radical solutions. Realistically, however, </w:t>
      </w:r>
      <w:r w:rsidRPr="006F2C07">
        <w:rPr>
          <w:rFonts w:eastAsia="Calibri"/>
          <w:u w:val="single"/>
        </w:rPr>
        <w:t>interest in geoengineering will only grow in the next few decades and the United States cannot afford to be caught flat-footed on the associated security risks.</w:t>
      </w:r>
    </w:p>
    <w:p w14:paraId="7A5A4CE1" w14:textId="77777777" w:rsidR="006F2C07" w:rsidRPr="006F2C07" w:rsidRDefault="006F2C07" w:rsidP="006F2C07">
      <w:pPr>
        <w:spacing w:line="256" w:lineRule="auto"/>
        <w:rPr>
          <w:rFonts w:eastAsia="Calibri"/>
          <w:sz w:val="16"/>
        </w:rPr>
      </w:pPr>
      <w:r w:rsidRPr="006F2C07">
        <w:rPr>
          <w:rFonts w:eastAsia="Calibri"/>
          <w:sz w:val="16"/>
        </w:rPr>
        <w:t>Current State of Play</w:t>
      </w:r>
    </w:p>
    <w:p w14:paraId="75443CA3" w14:textId="77777777" w:rsidR="006F2C07" w:rsidRPr="006F2C07" w:rsidRDefault="006F2C07" w:rsidP="006F2C07">
      <w:pPr>
        <w:spacing w:line="256" w:lineRule="auto"/>
        <w:rPr>
          <w:rFonts w:eastAsia="Calibri"/>
          <w:sz w:val="16"/>
        </w:rPr>
      </w:pPr>
      <w:r w:rsidRPr="006F2C07">
        <w:rPr>
          <w:rFonts w:eastAsia="Calibri"/>
          <w:u w:val="single"/>
        </w:rPr>
        <w:t>As climate-driven disasters pile up around the world, there is growing interest among governments and scientific bodies in exploring climate intervention or geoengineering techniques</w:t>
      </w:r>
      <w:r w:rsidRPr="006F2C07">
        <w:rPr>
          <w:rFonts w:eastAsia="Calibri"/>
          <w:sz w:val="16"/>
        </w:rPr>
        <w:t xml:space="preserve">. The long-held taboo in the scientific community that prevented even basic research into climate intervention approaches such as Solar Radiation Management (SRM) appears to be weakening. China launched a large, government-funded program in 2017, while in the United States universities like Harvard (though its major effort shuttered in 2024), the University of Chicago and the University of Washington have been leaders in the field.1 </w:t>
      </w:r>
      <w:r w:rsidRPr="006F2C07">
        <w:rPr>
          <w:rFonts w:eastAsia="Calibri"/>
          <w:u w:val="single"/>
        </w:rPr>
        <w:t>2 A 2021 report from the US National Academy of Sciences argued it was time to create a transdisciplinary geoengineering research program in the United States, focused on developing “policy-relevant knowledge,” not advancing deployment</w:t>
      </w:r>
      <w:r w:rsidRPr="006F2C07">
        <w:rPr>
          <w:rFonts w:eastAsia="Calibri"/>
          <w:sz w:val="16"/>
        </w:rPr>
        <w:t>.3 Two years later, in June 2023, a Congressionally-mandated report from the White House Office of Science and Technology Policy echoed the Academy’s recommendations and laid out a US research program on solar radiation modification, noting such a program would, “…enable better-informed decisions about the potential risks and benefits of SRM as a component of climate policy.”4</w:t>
      </w:r>
    </w:p>
    <w:p w14:paraId="55D71E71" w14:textId="77777777" w:rsidR="006F2C07" w:rsidRPr="006F2C07" w:rsidRDefault="006F2C07" w:rsidP="006F2C07">
      <w:pPr>
        <w:spacing w:line="256" w:lineRule="auto"/>
        <w:rPr>
          <w:rFonts w:eastAsia="Calibri"/>
          <w:u w:val="single"/>
        </w:rPr>
      </w:pPr>
      <w:r w:rsidRPr="006F2C07">
        <w:rPr>
          <w:rFonts w:eastAsia="Calibri"/>
          <w:sz w:val="16"/>
        </w:rPr>
        <w:t xml:space="preserve">Of note, </w:t>
      </w:r>
      <w:r w:rsidRPr="006F2C07">
        <w:rPr>
          <w:rFonts w:eastAsia="Calibri"/>
          <w:u w:val="single"/>
        </w:rPr>
        <w:t xml:space="preserve">the US government reports mentioned above emphasize the importance of developing international governance mechanisms alongside </w:t>
      </w:r>
      <w:proofErr w:type="gramStart"/>
      <w:r w:rsidRPr="006F2C07">
        <w:rPr>
          <w:rFonts w:eastAsia="Calibri"/>
          <w:u w:val="single"/>
        </w:rPr>
        <w:t>the scientific</w:t>
      </w:r>
      <w:proofErr w:type="gramEnd"/>
      <w:r w:rsidRPr="006F2C07">
        <w:rPr>
          <w:rFonts w:eastAsia="Calibri"/>
          <w:u w:val="single"/>
        </w:rPr>
        <w:t xml:space="preserve"> research</w:t>
      </w:r>
      <w:r w:rsidRPr="006F2C07">
        <w:rPr>
          <w:rFonts w:eastAsia="Calibri"/>
          <w:sz w:val="16"/>
        </w:rPr>
        <w:t xml:space="preserve">, yet little detail is provided on how such mechanisms might be developed, and what the obstacles might be. While the White House report details a short list of US principles for governing research, </w:t>
      </w:r>
      <w:r w:rsidRPr="006F2C07">
        <w:rPr>
          <w:rFonts w:eastAsia="Calibri"/>
          <w:u w:val="single"/>
        </w:rPr>
        <w:t xml:space="preserve">it does not address how the United States will encourage other countries to adhere to such principles or what to do if countries decide not to adhere or develop principles of their own. </w:t>
      </w:r>
      <w:r w:rsidRPr="006F2C07">
        <w:rPr>
          <w:rFonts w:eastAsia="Calibri"/>
          <w:sz w:val="16"/>
        </w:rPr>
        <w:t xml:space="preserve">This gap is likely </w:t>
      </w:r>
      <w:proofErr w:type="gramStart"/>
      <w:r w:rsidRPr="006F2C07">
        <w:rPr>
          <w:rFonts w:eastAsia="Calibri"/>
          <w:sz w:val="16"/>
        </w:rPr>
        <w:t>due to the fact that</w:t>
      </w:r>
      <w:proofErr w:type="gramEnd"/>
      <w:r w:rsidRPr="006F2C07">
        <w:rPr>
          <w:rFonts w:eastAsia="Calibri"/>
          <w:sz w:val="16"/>
        </w:rPr>
        <w:t xml:space="preserve"> these reports are largely led by the scientific community, while questions related to international governance and risk perceptions are best answered by social scientists, diplomats and security policymakers and practitioners. Also, these questions are frankly thornier and harder to address than laying out a sensible scientific research agenda. One can assess the types of planes needed to consistently inject aerosols into the atmosphere (as would be needed for stratospheric aerosol injections, a likely form of geoengineering) </w:t>
      </w:r>
      <w:r w:rsidRPr="006F2C07">
        <w:rPr>
          <w:rFonts w:eastAsia="Calibri"/>
          <w:u w:val="single"/>
        </w:rPr>
        <w:t>with much more certainty than one can understand the range of reactions governments and societies may have to the deployment of such planes.</w:t>
      </w:r>
    </w:p>
    <w:p w14:paraId="38B7BE2D" w14:textId="77777777" w:rsidR="006F2C07" w:rsidRPr="006F2C07" w:rsidRDefault="006F2C07" w:rsidP="006F2C07">
      <w:pPr>
        <w:spacing w:line="256" w:lineRule="auto"/>
        <w:rPr>
          <w:rFonts w:eastAsia="Calibri"/>
          <w:u w:val="single"/>
        </w:rPr>
      </w:pPr>
      <w:r w:rsidRPr="006F2C07">
        <w:rPr>
          <w:rFonts w:eastAsia="Calibri"/>
          <w:u w:val="single"/>
        </w:rPr>
        <w:t xml:space="preserve">On the international stage, the topic is gaining attention as well, with the EU and the UN Environment </w:t>
      </w:r>
      <w:proofErr w:type="spellStart"/>
      <w:r w:rsidRPr="006F2C07">
        <w:rPr>
          <w:rFonts w:eastAsia="Calibri"/>
          <w:u w:val="single"/>
        </w:rPr>
        <w:t>Programme</w:t>
      </w:r>
      <w:proofErr w:type="spellEnd"/>
      <w:r w:rsidRPr="006F2C07">
        <w:rPr>
          <w:rFonts w:eastAsia="Calibri"/>
          <w:u w:val="single"/>
        </w:rPr>
        <w:t xml:space="preserve"> endorsing international efforts to assess the risks and uncertainties of climate intervention</w:t>
      </w:r>
      <w:r w:rsidRPr="006F2C07">
        <w:rPr>
          <w:rFonts w:eastAsia="Calibri"/>
          <w:sz w:val="16"/>
        </w:rPr>
        <w:t xml:space="preserve">.5 While in February 2024 a Swiss proposal to establish an expert panel to examine SRM technologies was withdrawn at the UN Environmental Assembly in Nairobi due to lack of support, </w:t>
      </w:r>
      <w:r w:rsidRPr="006F2C07">
        <w:rPr>
          <w:rFonts w:eastAsia="Calibri"/>
          <w:u w:val="single"/>
        </w:rPr>
        <w:t>it is likely that the topic will continue to gain time on the agenda in the environmental and climate communities in coming years.</w:t>
      </w:r>
    </w:p>
    <w:p w14:paraId="1379FA11" w14:textId="77777777" w:rsidR="006F2C07" w:rsidRDefault="006F2C07" w:rsidP="006F2C07">
      <w:pPr>
        <w:pStyle w:val="Heading2"/>
      </w:pPr>
      <w:r>
        <w:t>Topicality</w:t>
      </w:r>
    </w:p>
    <w:p w14:paraId="497B1399" w14:textId="77777777" w:rsidR="006F2C07" w:rsidRDefault="006F2C07" w:rsidP="006F2C07">
      <w:pPr>
        <w:pStyle w:val="Heading3"/>
      </w:pPr>
      <w:r>
        <w:t>2AC---T – Significant</w:t>
      </w:r>
    </w:p>
    <w:p w14:paraId="11ABC1FB" w14:textId="77777777" w:rsidR="006F2C07" w:rsidRDefault="006F2C07" w:rsidP="006F2C07">
      <w:pPr>
        <w:pStyle w:val="Heading4"/>
      </w:pPr>
      <w:r>
        <w:t>Counter-interpretation --- “significantly” includes pilot projects.</w:t>
      </w:r>
    </w:p>
    <w:p w14:paraId="053D7528" w14:textId="77777777" w:rsidR="006F2C07" w:rsidRPr="0007667D" w:rsidRDefault="006F2C07" w:rsidP="006F2C07">
      <w:r>
        <w:t xml:space="preserve">Adam </w:t>
      </w:r>
      <w:r w:rsidRPr="0007667D">
        <w:rPr>
          <w:rStyle w:val="Style13ptBold"/>
        </w:rPr>
        <w:t>Bryant</w:t>
      </w:r>
      <w:r>
        <w:t xml:space="preserve"> 6-8-20</w:t>
      </w:r>
      <w:r w:rsidRPr="0007667D">
        <w:rPr>
          <w:rStyle w:val="Style13ptBold"/>
        </w:rPr>
        <w:t>22</w:t>
      </w:r>
      <w:r>
        <w:t xml:space="preserve">, CEO of </w:t>
      </w:r>
      <w:proofErr w:type="spellStart"/>
      <w:r>
        <w:t>AxleHire</w:t>
      </w:r>
      <w:proofErr w:type="spellEnd"/>
      <w:r>
        <w:t xml:space="preserve"> and Forbes Councils Member. “The Significance </w:t>
      </w:r>
      <w:proofErr w:type="gramStart"/>
      <w:r>
        <w:t>Of</w:t>
      </w:r>
      <w:proofErr w:type="gramEnd"/>
      <w:r>
        <w:t xml:space="preserve"> Pilots </w:t>
      </w:r>
      <w:proofErr w:type="gramStart"/>
      <w:r>
        <w:t>In</w:t>
      </w:r>
      <w:proofErr w:type="gramEnd"/>
      <w:r>
        <w:t xml:space="preserve"> </w:t>
      </w:r>
      <w:proofErr w:type="gramStart"/>
      <w:r>
        <w:t>A</w:t>
      </w:r>
      <w:proofErr w:type="gramEnd"/>
      <w:r>
        <w:t xml:space="preserve"> Rapidly Changing Business World” </w:t>
      </w:r>
      <w:r w:rsidRPr="0007667D">
        <w:t>https://www.forbes.com/councils/forbestechcouncil/2022/06/08/the-significance-of-pilots-in-a-rapidly-changing-business-world/</w:t>
      </w:r>
      <w:r>
        <w:t xml:space="preserve"> //MDC</w:t>
      </w:r>
    </w:p>
    <w:p w14:paraId="21C43123" w14:textId="77777777" w:rsidR="006F2C07" w:rsidRPr="0007667D" w:rsidRDefault="006F2C07" w:rsidP="006F2C07">
      <w:pPr>
        <w:rPr>
          <w:sz w:val="16"/>
        </w:rPr>
      </w:pPr>
      <w:r w:rsidRPr="0007667D">
        <w:rPr>
          <w:sz w:val="16"/>
        </w:rPr>
        <w:t>Challenging The Status Quo</w:t>
      </w:r>
    </w:p>
    <w:p w14:paraId="7E9DC8A1" w14:textId="77777777" w:rsidR="006F2C07" w:rsidRPr="0007667D" w:rsidRDefault="006F2C07" w:rsidP="006F2C07">
      <w:pPr>
        <w:rPr>
          <w:sz w:val="16"/>
        </w:rPr>
      </w:pPr>
      <w:r w:rsidRPr="0007667D">
        <w:rPr>
          <w:rStyle w:val="Emphasis"/>
          <w:highlight w:val="cyan"/>
        </w:rPr>
        <w:t>Pilots</w:t>
      </w:r>
      <w:r w:rsidRPr="0007667D">
        <w:rPr>
          <w:sz w:val="16"/>
        </w:rPr>
        <w:t xml:space="preserve"> are an educational tool that </w:t>
      </w:r>
      <w:proofErr w:type="gramStart"/>
      <w:r w:rsidRPr="0007667D">
        <w:rPr>
          <w:sz w:val="16"/>
        </w:rPr>
        <w:t>allow</w:t>
      </w:r>
      <w:proofErr w:type="gramEnd"/>
      <w:r w:rsidRPr="0007667D">
        <w:rPr>
          <w:sz w:val="16"/>
        </w:rPr>
        <w:t xml:space="preserve"> companies to </w:t>
      </w:r>
      <w:r w:rsidRPr="0007667D">
        <w:rPr>
          <w:rStyle w:val="StyleUnderline"/>
          <w:highlight w:val="cyan"/>
        </w:rPr>
        <w:t>run</w:t>
      </w:r>
      <w:r w:rsidRPr="0007667D">
        <w:rPr>
          <w:rStyle w:val="StyleUnderline"/>
        </w:rPr>
        <w:t xml:space="preserve"> small </w:t>
      </w:r>
      <w:r w:rsidRPr="0007667D">
        <w:rPr>
          <w:rStyle w:val="StyleUnderline"/>
          <w:highlight w:val="cyan"/>
        </w:rPr>
        <w:t>experiments and</w:t>
      </w:r>
      <w:r w:rsidRPr="0007667D">
        <w:rPr>
          <w:rStyle w:val="StyleUnderline"/>
        </w:rPr>
        <w:t xml:space="preserve"> use the findings to </w:t>
      </w:r>
      <w:r w:rsidRPr="0007667D">
        <w:rPr>
          <w:rStyle w:val="StyleUnderline"/>
          <w:highlight w:val="cyan"/>
        </w:rPr>
        <w:t>determine large-scale viability, cost and</w:t>
      </w:r>
      <w:r w:rsidRPr="0007667D">
        <w:rPr>
          <w:rStyle w:val="StyleUnderline"/>
        </w:rPr>
        <w:t xml:space="preserve"> potential </w:t>
      </w:r>
      <w:r w:rsidRPr="0007667D">
        <w:rPr>
          <w:rStyle w:val="StyleUnderline"/>
          <w:highlight w:val="cyan"/>
        </w:rPr>
        <w:t>payoff</w:t>
      </w:r>
      <w:r w:rsidRPr="0007667D">
        <w:rPr>
          <w:rStyle w:val="StyleUnderline"/>
        </w:rPr>
        <w:t xml:space="preserve">. By analyzing the current and future challenges within an industry, a good </w:t>
      </w:r>
      <w:r w:rsidRPr="0007667D">
        <w:rPr>
          <w:rStyle w:val="StyleUnderline"/>
          <w:highlight w:val="cyan"/>
        </w:rPr>
        <w:t>pilot allows</w:t>
      </w:r>
      <w:r w:rsidRPr="0007667D">
        <w:rPr>
          <w:rStyle w:val="StyleUnderline"/>
        </w:rPr>
        <w:t xml:space="preserve"> a company </w:t>
      </w:r>
      <w:r w:rsidRPr="0007667D">
        <w:rPr>
          <w:rStyle w:val="StyleUnderline"/>
          <w:highlight w:val="cyan"/>
        </w:rPr>
        <w:t>to experiment with potential solutions. They</w:t>
      </w:r>
      <w:r w:rsidRPr="0007667D">
        <w:rPr>
          <w:rStyle w:val="StyleUnderline"/>
        </w:rPr>
        <w:t xml:space="preserve"> can </w:t>
      </w:r>
      <w:r w:rsidRPr="0007667D">
        <w:rPr>
          <w:rStyle w:val="StyleUnderline"/>
          <w:highlight w:val="cyan"/>
        </w:rPr>
        <w:t xml:space="preserve">have a </w:t>
      </w:r>
      <w:r w:rsidRPr="0007667D">
        <w:rPr>
          <w:rStyle w:val="Emphasis"/>
          <w:highlight w:val="cyan"/>
        </w:rPr>
        <w:t>significant role</w:t>
      </w:r>
      <w:r w:rsidRPr="0007667D">
        <w:rPr>
          <w:sz w:val="16"/>
        </w:rPr>
        <w:t xml:space="preserve"> in challenging an industry’s current status quo and provide potential positive results that can allow a company to stand out among its competition.</w:t>
      </w:r>
    </w:p>
    <w:p w14:paraId="0626BC2E" w14:textId="77777777" w:rsidR="006F2C07" w:rsidRDefault="006F2C07" w:rsidP="006F2C07">
      <w:pPr>
        <w:pStyle w:val="Heading3"/>
      </w:pPr>
      <w:r>
        <w:t xml:space="preserve">1AR---T – Significant </w:t>
      </w:r>
    </w:p>
    <w:p w14:paraId="170DF593" w14:textId="77777777" w:rsidR="006F2C07" w:rsidRDefault="006F2C07" w:rsidP="006F2C07">
      <w:pPr>
        <w:pStyle w:val="Heading4"/>
      </w:pPr>
      <w:r>
        <w:t>Pilot projects are significant.</w:t>
      </w:r>
    </w:p>
    <w:p w14:paraId="0D92B91C" w14:textId="77777777" w:rsidR="006F2C07" w:rsidRPr="009C3774" w:rsidRDefault="006F2C07" w:rsidP="006F2C07">
      <w:r>
        <w:t xml:space="preserve">Han </w:t>
      </w:r>
      <w:r w:rsidRPr="009C3774">
        <w:rPr>
          <w:rStyle w:val="Style13ptBold"/>
        </w:rPr>
        <w:t>Zhang et al</w:t>
      </w:r>
      <w:r>
        <w:t xml:space="preserve"> January 20</w:t>
      </w:r>
      <w:r w:rsidRPr="009C3774">
        <w:rPr>
          <w:rStyle w:val="Style13ptBold"/>
        </w:rPr>
        <w:t>24</w:t>
      </w:r>
      <w:r>
        <w:t xml:space="preserve">, all authors work for the Nanjing University of Finance and Economics School of </w:t>
      </w:r>
      <w:proofErr w:type="spellStart"/>
      <w:proofErr w:type="gramStart"/>
      <w:r>
        <w:t>Accounting.“</w:t>
      </w:r>
      <w:proofErr w:type="gramEnd"/>
      <w:r>
        <w:t>Can</w:t>
      </w:r>
      <w:proofErr w:type="spellEnd"/>
      <w:r>
        <w:t xml:space="preserve"> the deregulation of market access reduce the cost of corporate debt financing: A </w:t>
      </w:r>
      <w:proofErr w:type="spellStart"/>
      <w:r>
        <w:t>quasinatural</w:t>
      </w:r>
      <w:proofErr w:type="spellEnd"/>
      <w:r>
        <w:t xml:space="preserve"> experiment based on the “negative list for market access” pilot project” </w:t>
      </w:r>
      <w:r w:rsidRPr="009C3774">
        <w:t>https://doi.org/10.1016/j.irfa.2023.103017</w:t>
      </w:r>
      <w:r>
        <w:t xml:space="preserve"> //MDC</w:t>
      </w:r>
    </w:p>
    <w:p w14:paraId="50D41D32" w14:textId="77777777" w:rsidR="006F2C07" w:rsidRDefault="006F2C07" w:rsidP="006F2C07">
      <w:pPr>
        <w:rPr>
          <w:sz w:val="16"/>
        </w:rPr>
      </w:pPr>
      <w:r w:rsidRPr="009C3774">
        <w:rPr>
          <w:sz w:val="16"/>
        </w:rPr>
        <w:t xml:space="preserve">Based on the above, whether the “negative list for market access” system can reduce the cost of corporate debt financing needs further empirical testing. We discuss the impact of the negative list system on the debt financing cost from the perspective of supply-side reform of the real economy. The results show the following. (1) As an important part of supply-side reform, the deregulation of market access can significantly reduce the cost of corporate debt financing. This conclusion is still valid after a series of </w:t>
      </w:r>
      <w:proofErr w:type="gramStart"/>
      <w:r w:rsidRPr="009C3774">
        <w:rPr>
          <w:sz w:val="16"/>
        </w:rPr>
        <w:t>robustness</w:t>
      </w:r>
      <w:proofErr w:type="gramEnd"/>
      <w:r w:rsidRPr="009C3774">
        <w:rPr>
          <w:sz w:val="16"/>
        </w:rPr>
        <w:t xml:space="preserve"> tests. (2) The mechanism test shows that the mechanism for reducing the cost of corporate debt financing is to reduce transaction costs. (3) Further analysis shows that </w:t>
      </w:r>
      <w:r w:rsidRPr="009C3774">
        <w:rPr>
          <w:rStyle w:val="StyleUnderline"/>
        </w:rPr>
        <w:t xml:space="preserve">the implementation of </w:t>
      </w:r>
      <w:r w:rsidRPr="009C3774">
        <w:rPr>
          <w:sz w:val="16"/>
        </w:rPr>
        <w:t>the</w:t>
      </w:r>
      <w:r w:rsidRPr="009C3774">
        <w:rPr>
          <w:rStyle w:val="StyleUnderline"/>
          <w:sz w:val="16"/>
        </w:rPr>
        <w:t xml:space="preserve"> </w:t>
      </w:r>
      <w:r w:rsidRPr="009C3774">
        <w:rPr>
          <w:rStyle w:val="StyleUnderline"/>
          <w:highlight w:val="cyan"/>
        </w:rPr>
        <w:t>pilot project has a</w:t>
      </w:r>
      <w:r w:rsidRPr="009C3774">
        <w:rPr>
          <w:rStyle w:val="StyleUnderline"/>
        </w:rPr>
        <w:t xml:space="preserve"> </w:t>
      </w:r>
      <w:r w:rsidRPr="009C3774">
        <w:rPr>
          <w:rStyle w:val="Emphasis"/>
          <w:highlight w:val="cyan"/>
        </w:rPr>
        <w:t>significant effect</w:t>
      </w:r>
      <w:r w:rsidRPr="009C3774">
        <w:rPr>
          <w:sz w:val="16"/>
        </w:rPr>
        <w:t xml:space="preserve"> on reducing the debt financing cost of firms in regions with low marketization degree of credit fund allocation or of non-SOE firms. (4) Consequence analysis shows that the deregulation of market access leads to a significant increase in the proportion of the total debt financing scale to total assets, the proportion of short-term loans to total assets, the proportion of long-term loans to total assets and the amount of current liabilities, indicating an increase in the proportion of corporate debt financing.</w:t>
      </w:r>
    </w:p>
    <w:p w14:paraId="7470DF94" w14:textId="77777777" w:rsidR="006F2C07" w:rsidRDefault="006F2C07" w:rsidP="006F2C07">
      <w:pPr>
        <w:pStyle w:val="Heading4"/>
      </w:pPr>
      <w:r>
        <w:t>“Significant” increases can be temporary.</w:t>
      </w:r>
    </w:p>
    <w:p w14:paraId="293E177E" w14:textId="77777777" w:rsidR="006F2C07" w:rsidRPr="000F58E8" w:rsidRDefault="006F2C07" w:rsidP="006F2C07">
      <w:r>
        <w:t xml:space="preserve">Sonia </w:t>
      </w:r>
      <w:r w:rsidRPr="00FB1D3D">
        <w:rPr>
          <w:rStyle w:val="Style13ptBold"/>
        </w:rPr>
        <w:t>Sotomayor</w:t>
      </w:r>
      <w:r>
        <w:t xml:space="preserve"> 6-6-20</w:t>
      </w:r>
      <w:r w:rsidRPr="00FB1D3D">
        <w:rPr>
          <w:rStyle w:val="Style13ptBold"/>
        </w:rPr>
        <w:t>22</w:t>
      </w:r>
      <w:r>
        <w:t xml:space="preserve">. “Siegel v. Fitzgerald, 596 U.S. ___ (2022)”, majority opinion (unanimous), Supreme Court of the United States, </w:t>
      </w:r>
      <w:hyperlink r:id="rId5" w:history="1">
        <w:r w:rsidRPr="00643483">
          <w:rPr>
            <w:rStyle w:val="Hyperlink"/>
          </w:rPr>
          <w:t>https://supreme.justia.com/cases/federal/us/596/21-441/</w:t>
        </w:r>
      </w:hyperlink>
      <w:r>
        <w:t xml:space="preserve"> [AY]</w:t>
      </w:r>
    </w:p>
    <w:p w14:paraId="4E1817D0" w14:textId="77777777" w:rsidR="006F2C07" w:rsidRPr="00F43F31" w:rsidRDefault="006F2C07" w:rsidP="006F2C07">
      <w:pPr>
        <w:rPr>
          <w:sz w:val="16"/>
        </w:rPr>
      </w:pPr>
      <w:r w:rsidRPr="001F07FB">
        <w:rPr>
          <w:rStyle w:val="StyleUnderline"/>
        </w:rPr>
        <w:t>In 2017</w:t>
      </w:r>
      <w:r w:rsidRPr="001F07FB">
        <w:rPr>
          <w:sz w:val="16"/>
        </w:rPr>
        <w:t xml:space="preserve">, concerned with a shortfall in the UST Fund, </w:t>
      </w:r>
      <w:r w:rsidRPr="001F07FB">
        <w:rPr>
          <w:rStyle w:val="StyleUnderline"/>
          <w:highlight w:val="cyan"/>
        </w:rPr>
        <w:t xml:space="preserve">Congress enacted a </w:t>
      </w:r>
      <w:r w:rsidRPr="001F07FB">
        <w:rPr>
          <w:rStyle w:val="Emphasis"/>
          <w:highlight w:val="cyan"/>
        </w:rPr>
        <w:t>temporary</w:t>
      </w:r>
      <w:r w:rsidRPr="001F07FB">
        <w:rPr>
          <w:rStyle w:val="StyleUnderline"/>
          <w:highlight w:val="cyan"/>
        </w:rPr>
        <w:t xml:space="preserve">, but </w:t>
      </w:r>
      <w:r w:rsidRPr="001F07FB">
        <w:rPr>
          <w:rStyle w:val="Emphasis"/>
          <w:highlight w:val="cyan"/>
        </w:rPr>
        <w:t>significant</w:t>
      </w:r>
      <w:r w:rsidRPr="001F07FB">
        <w:rPr>
          <w:rStyle w:val="StyleUnderline"/>
          <w:highlight w:val="cyan"/>
        </w:rPr>
        <w:t>, increase in</w:t>
      </w:r>
      <w:r w:rsidRPr="001F07FB">
        <w:rPr>
          <w:rStyle w:val="StyleUnderline"/>
        </w:rPr>
        <w:t xml:space="preserve"> the </w:t>
      </w:r>
      <w:r w:rsidRPr="001F07FB">
        <w:rPr>
          <w:rStyle w:val="StyleUnderline"/>
          <w:highlight w:val="cyan"/>
        </w:rPr>
        <w:t>fee rates</w:t>
      </w:r>
      <w:r w:rsidRPr="001F07FB">
        <w:rPr>
          <w:rStyle w:val="StyleUnderline"/>
        </w:rPr>
        <w:t xml:space="preserve"> applicable to large Chapter 11 cases</w:t>
      </w:r>
      <w:r w:rsidRPr="001F07FB">
        <w:rPr>
          <w:sz w:val="16"/>
        </w:rPr>
        <w:t>. See Pub. L. 115-72, Div. B, 131 Stat. 1229 (2017 Act). The increase was set to take effect only if the UST Fund balance dropped below $200 million as of September 30 of the most recent fiscal year. If that condition was met, the increase applied on a quarterly basis to any debtors with a disbursement of $1 million or more during that quarter, regardless of whether their case was newly filed or already pending when the increase took effect. For those debtors, the maximum fee was increased from $30,000 a quarter to $250,000 a quarter. §1004(a), id., at 1232. The statute provided that the fee raise would become effective in the first quarter of 2018 and would last only through 2022.</w:t>
      </w:r>
    </w:p>
    <w:p w14:paraId="317D30EE" w14:textId="027897E3" w:rsidR="006F2C07" w:rsidRDefault="006F2C07" w:rsidP="006F2C07">
      <w:pPr>
        <w:pStyle w:val="Heading2"/>
        <w:rPr>
          <w:rFonts w:eastAsia="Calibri"/>
        </w:rPr>
      </w:pPr>
      <w:r>
        <w:rPr>
          <w:rFonts w:eastAsia="Calibri"/>
        </w:rPr>
        <w:t>AT: CPs</w:t>
      </w:r>
    </w:p>
    <w:p w14:paraId="3AAA4C3F" w14:textId="6FD77C08" w:rsidR="006F2C07" w:rsidRDefault="006F2C07" w:rsidP="006F2C07">
      <w:pPr>
        <w:pStyle w:val="Heading3"/>
      </w:pPr>
      <w:r>
        <w:t>AT: Governance PICs</w:t>
      </w:r>
    </w:p>
    <w:p w14:paraId="44A7D032" w14:textId="77777777" w:rsidR="006F2C07" w:rsidRPr="00D84A3F" w:rsidRDefault="006F2C07" w:rsidP="006F2C07">
      <w:pPr>
        <w:pStyle w:val="Heading4"/>
      </w:pPr>
      <w:r>
        <w:t>Geoengineering fails absent governance. The plan is key to solve – pilot projects are what researchers have consensus about now.</w:t>
      </w:r>
    </w:p>
    <w:p w14:paraId="74EAE11B" w14:textId="77777777" w:rsidR="006F2C07" w:rsidRDefault="006F2C07" w:rsidP="006F2C07">
      <w:r>
        <w:t xml:space="preserve">Sean </w:t>
      </w:r>
      <w:r w:rsidRPr="00097231">
        <w:rPr>
          <w:rStyle w:val="Style13ptBold"/>
        </w:rPr>
        <w:t>Mowbray</w:t>
      </w:r>
      <w:r w:rsidRPr="00D84A3F">
        <w:t xml:space="preserve"> 8-1-20</w:t>
      </w:r>
      <w:r w:rsidRPr="00097231">
        <w:rPr>
          <w:rStyle w:val="Style13ptBold"/>
        </w:rPr>
        <w:t>24</w:t>
      </w:r>
      <w:r w:rsidRPr="00D84A3F">
        <w:t xml:space="preserve">. </w:t>
      </w:r>
      <w:r w:rsidRPr="00097231">
        <w:t xml:space="preserve">Sean Mowbray is a freelance writer from Scotland. He often covers lesser-known species that fly under the conservation radar. His reporting also appears in New Scientist, </w:t>
      </w:r>
      <w:proofErr w:type="spellStart"/>
      <w:r w:rsidRPr="00097231">
        <w:t>Hakai</w:t>
      </w:r>
      <w:proofErr w:type="spellEnd"/>
      <w:r w:rsidRPr="00097231">
        <w:t>, Earth Island Journal, Discover magazine, and others.</w:t>
      </w:r>
      <w:r>
        <w:t xml:space="preserve"> </w:t>
      </w:r>
      <w:r w:rsidRPr="00D84A3F">
        <w:t xml:space="preserve"> "Geoengineering gains momentum, but governance is lacking, critics say," Mongabay Environmental News, https://news.mongabay.com/2024/08/geoengineering-gains-momentum-but-governance-is-lacking-critics-say/.</w:t>
      </w:r>
    </w:p>
    <w:p w14:paraId="71CACBEE" w14:textId="77777777" w:rsidR="006F2C07" w:rsidRPr="008B3370" w:rsidRDefault="006F2C07" w:rsidP="006F2C07">
      <w:pPr>
        <w:rPr>
          <w:rStyle w:val="StyleUnderline"/>
        </w:rPr>
      </w:pPr>
      <w:r w:rsidRPr="00D84A3F">
        <w:t xml:space="preserve">As climate change rapidly advances, with 2023 and 2024 vying for the hottest year on record, </w:t>
      </w:r>
      <w:r w:rsidRPr="008B3370">
        <w:rPr>
          <w:rStyle w:val="StyleUnderline"/>
        </w:rPr>
        <w:t>solar radiation modification (</w:t>
      </w:r>
      <w:r w:rsidRPr="008B3370">
        <w:rPr>
          <w:rStyle w:val="Emphasis"/>
        </w:rPr>
        <w:t>SRM</w:t>
      </w:r>
      <w:r w:rsidRPr="008B3370">
        <w:rPr>
          <w:rStyle w:val="StyleUnderline"/>
        </w:rPr>
        <w:t xml:space="preserve">) geoengineering strategies are gaining momentum as short-term climate fixes. </w:t>
      </w:r>
      <w:r w:rsidRPr="00D84A3F">
        <w:t xml:space="preserve">These especially </w:t>
      </w:r>
      <w:r w:rsidRPr="008B3370">
        <w:rPr>
          <w:rStyle w:val="StyleUnderline"/>
        </w:rPr>
        <w:t xml:space="preserve">include </w:t>
      </w:r>
      <w:r w:rsidRPr="008B3370">
        <w:rPr>
          <w:rStyle w:val="Emphasis"/>
        </w:rPr>
        <w:t>proposals</w:t>
      </w:r>
      <w:r w:rsidRPr="008B3370">
        <w:rPr>
          <w:rStyle w:val="StyleUnderline"/>
        </w:rPr>
        <w:t xml:space="preserve"> for the release of </w:t>
      </w:r>
      <w:r w:rsidRPr="008B3370">
        <w:rPr>
          <w:rStyle w:val="Emphasis"/>
        </w:rPr>
        <w:t>cooling aerosols</w:t>
      </w:r>
      <w:r w:rsidRPr="008B3370">
        <w:rPr>
          <w:rStyle w:val="StyleUnderline"/>
        </w:rPr>
        <w:t xml:space="preserve"> into the Earth’s lower stratosphere.</w:t>
      </w:r>
    </w:p>
    <w:p w14:paraId="0BFE64DF" w14:textId="77777777" w:rsidR="006F2C07" w:rsidRPr="008B3370" w:rsidRDefault="006F2C07" w:rsidP="006F2C07">
      <w:pPr>
        <w:rPr>
          <w:rStyle w:val="StyleUnderline"/>
        </w:rPr>
      </w:pPr>
      <w:r w:rsidRPr="00D84A3F">
        <w:t xml:space="preserve">But </w:t>
      </w:r>
      <w:r w:rsidRPr="008B3370">
        <w:rPr>
          <w:rStyle w:val="StyleUnderline"/>
        </w:rPr>
        <w:t xml:space="preserve">preliminary </w:t>
      </w:r>
      <w:proofErr w:type="gramStart"/>
      <w:r w:rsidRPr="008B3370">
        <w:rPr>
          <w:rStyle w:val="StyleUnderline"/>
        </w:rPr>
        <w:t>geoengineering</w:t>
      </w:r>
      <w:proofErr w:type="gramEnd"/>
      <w:r w:rsidRPr="008B3370">
        <w:rPr>
          <w:rStyle w:val="StyleUnderline"/>
        </w:rPr>
        <w:t xml:space="preserve"> efforts</w:t>
      </w:r>
      <w:r w:rsidRPr="00D84A3F">
        <w:t xml:space="preserve"> (represented by lots of computer modeling and a smattering of small-scale field tests) </w:t>
      </w:r>
      <w:r w:rsidRPr="008B3370">
        <w:rPr>
          <w:rStyle w:val="StyleUnderline"/>
        </w:rPr>
        <w:t xml:space="preserve">are proceeding against a backdrop of </w:t>
      </w:r>
      <w:r w:rsidRPr="008B3370">
        <w:rPr>
          <w:rStyle w:val="Emphasis"/>
        </w:rPr>
        <w:t>public mistrust and resistance</w:t>
      </w:r>
      <w:r w:rsidRPr="008B3370">
        <w:rPr>
          <w:rStyle w:val="StyleUnderline"/>
        </w:rPr>
        <w:t>,</w:t>
      </w:r>
      <w:r w:rsidRPr="00D84A3F">
        <w:t xml:space="preserve"> while also </w:t>
      </w:r>
      <w:r w:rsidRPr="008B3370">
        <w:rPr>
          <w:rStyle w:val="StyleUnderline"/>
        </w:rPr>
        <w:t>provoking urgent calls by experts for national and international policies and regulatory structures to govern this burgeoning field.</w:t>
      </w:r>
    </w:p>
    <w:p w14:paraId="397078C8" w14:textId="77777777" w:rsidR="006F2C07" w:rsidRPr="008B3370" w:rsidRDefault="006F2C07" w:rsidP="006F2C07">
      <w:r w:rsidRPr="008B3370">
        <w:rPr>
          <w:rStyle w:val="StyleUnderline"/>
        </w:rPr>
        <w:t xml:space="preserve">Many analysts are </w:t>
      </w:r>
      <w:r w:rsidRPr="008B3370">
        <w:rPr>
          <w:rStyle w:val="Emphasis"/>
        </w:rPr>
        <w:t>truly concerned</w:t>
      </w:r>
      <w:r w:rsidRPr="008B3370">
        <w:rPr>
          <w:rStyle w:val="StyleUnderline"/>
        </w:rPr>
        <w:t xml:space="preserve"> as to whether majorly tinkering with Earth’s atmosphere — physically altering the planet’s climate</w:t>
      </w:r>
      <w:r w:rsidRPr="00D84A3F">
        <w:t xml:space="preserve"> — </w:t>
      </w:r>
      <w:r w:rsidRPr="008B3370">
        <w:rPr>
          <w:rStyle w:val="Emphasis"/>
        </w:rPr>
        <w:t>can be governed in a just way</w:t>
      </w:r>
      <w:r w:rsidRPr="008B3370">
        <w:rPr>
          <w:rStyle w:val="StyleUnderline"/>
        </w:rPr>
        <w:t xml:space="preserve">, </w:t>
      </w:r>
      <w:r w:rsidRPr="008B3370">
        <w:t>or accomplished at all by the world’s 195 nations, which barely ever agree on anything.</w:t>
      </w:r>
    </w:p>
    <w:p w14:paraId="2AD66C38" w14:textId="77777777" w:rsidR="006F2C07" w:rsidRPr="00D84A3F" w:rsidRDefault="006F2C07" w:rsidP="006F2C07">
      <w:proofErr w:type="gramStart"/>
      <w:r w:rsidRPr="00D84A3F">
        <w:t>Who</w:t>
      </w:r>
      <w:proofErr w:type="gramEnd"/>
      <w:r w:rsidRPr="00D84A3F">
        <w:t xml:space="preserve"> </w:t>
      </w:r>
      <w:proofErr w:type="gramStart"/>
      <w:r w:rsidRPr="00D84A3F">
        <w:t>precisely,</w:t>
      </w:r>
      <w:proofErr w:type="gramEnd"/>
      <w:r w:rsidRPr="00D84A3F">
        <w:t xml:space="preserve"> experts ask, will judge the worthiness of proposed geoengineering technologies and projects? Who will launch them, oversee and monitor them — and stop them if things go wrong?</w:t>
      </w:r>
    </w:p>
    <w:p w14:paraId="7F0278D5" w14:textId="77777777" w:rsidR="006F2C07" w:rsidRPr="008B3370" w:rsidRDefault="006F2C07" w:rsidP="006F2C07">
      <w:pPr>
        <w:rPr>
          <w:rStyle w:val="StyleUnderline"/>
        </w:rPr>
      </w:pPr>
      <w:r w:rsidRPr="00D84A3F">
        <w:t xml:space="preserve">Even the </w:t>
      </w:r>
      <w:r w:rsidRPr="008B3370">
        <w:rPr>
          <w:rStyle w:val="StyleUnderline"/>
        </w:rPr>
        <w:t>research community remains divided over geoengineering</w:t>
      </w:r>
      <w:r w:rsidRPr="00D84A3F">
        <w:t>. Some scientists are vigorously advocating for objective and “responsible” research into the feasibility of various technologies, including stratospheric aerosol injection (SAI</w:t>
      </w:r>
      <w:r w:rsidRPr="008B3370">
        <w:rPr>
          <w:rStyle w:val="StyleUnderline"/>
        </w:rPr>
        <w:t>). But hundreds of academics recently signed a call for a Solar Geoengineering Non-Use Agreement, specifically targeting SAI.</w:t>
      </w:r>
    </w:p>
    <w:p w14:paraId="1CE27114" w14:textId="77777777" w:rsidR="006F2C07" w:rsidRDefault="006F2C07" w:rsidP="006F2C07">
      <w:r w:rsidRPr="00D84A3F">
        <w:t xml:space="preserve">Researchers and policymakers do broadly agree that governance is needed to safely and transparently guide small-scale field research projects and eventually regulate planetary deployment, if the world’s countries choose to </w:t>
      </w:r>
      <w:proofErr w:type="gramStart"/>
      <w:r w:rsidRPr="00D84A3F">
        <w:t>go</w:t>
      </w:r>
      <w:proofErr w:type="gramEnd"/>
      <w:r w:rsidRPr="00D84A3F">
        <w:t xml:space="preserve"> that route.</w:t>
      </w:r>
    </w:p>
    <w:p w14:paraId="3618BCBF" w14:textId="77777777" w:rsidR="006F2C07" w:rsidRDefault="006F2C07" w:rsidP="006F2C07">
      <w:r>
        <w:t>[image omitted]</w:t>
      </w:r>
    </w:p>
    <w:p w14:paraId="6E0DB2DE" w14:textId="77777777" w:rsidR="006F2C07" w:rsidRDefault="006F2C07" w:rsidP="006F2C07">
      <w:r>
        <w:t>Firefighters look on as wildfire flames engulf Pine Gulch, Colorado, in 2020. SAI and other geoengineering technologies are gaining momentum as possible climate change “emergency brakes.” There is some certainty that SAI global deployment is possible and could reduce global temperatures, says Shuchi Talati with the Alliance for Just Deliberation on Solar Geoengineering. But “we have very little understanding around what other impacts would look like.” Image by National Interagency Fire Center via Flickr (Public domain).</w:t>
      </w:r>
    </w:p>
    <w:p w14:paraId="1E93D36E" w14:textId="77777777" w:rsidR="006F2C07" w:rsidRDefault="006F2C07" w:rsidP="006F2C07">
      <w:r>
        <w:t>Global regulatory framework ‘completely insufficient’</w:t>
      </w:r>
    </w:p>
    <w:p w14:paraId="2822E247" w14:textId="77777777" w:rsidR="006F2C07" w:rsidRDefault="006F2C07" w:rsidP="006F2C07">
      <w:r>
        <w:t xml:space="preserve">Stratospheric aerosol </w:t>
      </w:r>
      <w:proofErr w:type="gramStart"/>
      <w:r>
        <w:t>injection is</w:t>
      </w:r>
      <w:proofErr w:type="gramEnd"/>
      <w:r>
        <w:t xml:space="preserve"> considered the most mature of a large suite of geoengineering approaches, and it could likely effectively cool the planet, with deployment plausible within the next decade or so, according to experts such as Andrea </w:t>
      </w:r>
      <w:proofErr w:type="spellStart"/>
      <w:r>
        <w:t>Hinwood</w:t>
      </w:r>
      <w:proofErr w:type="spellEnd"/>
      <w:r>
        <w:t xml:space="preserve">, chief scientist with the United Nations Environment </w:t>
      </w:r>
      <w:proofErr w:type="spellStart"/>
      <w:r>
        <w:t>Programme</w:t>
      </w:r>
      <w:proofErr w:type="spellEnd"/>
      <w:r>
        <w:t xml:space="preserve"> (UNEP).</w:t>
      </w:r>
    </w:p>
    <w:p w14:paraId="5D4F83ED" w14:textId="77777777" w:rsidR="006F2C07" w:rsidRDefault="006F2C07" w:rsidP="006F2C07">
      <w:r>
        <w:t>But planetary-scale SAI implementation raises environmental concerns over still poorly understood impacts on the ozone layer, climate change at regional levels, hydrology, biodiversity and ecosystems and human health.</w:t>
      </w:r>
    </w:p>
    <w:p w14:paraId="4E84F589" w14:textId="77777777" w:rsidR="006F2C07" w:rsidRDefault="006F2C07" w:rsidP="006F2C07">
      <w:r>
        <w:t>A recent report published by UNEP includes SRM technologies as a potentially disruptive “signal of change” and warns that its deployment carries multiple and inherent risks to the environment and society writ large. “Recognizing that SRM technologies remain speculative and highly contentious, scientific scrutiny and more inclusive public discourse on the implications (including ethical issues) of SRM is critical at this stage,” the report reads.</w:t>
      </w:r>
    </w:p>
    <w:p w14:paraId="5DCC6BD3" w14:textId="77777777" w:rsidR="006F2C07" w:rsidRDefault="006F2C07" w:rsidP="006F2C07">
      <w:r>
        <w:t>Analysts are urging that international and national policies be negotiated now, with global oversight rules quickly put in place to prevent a single country or group of nations from pulling the trigger on SAI or other technologies, ushering in a new planetwide climate regime full of unknowns.</w:t>
      </w:r>
    </w:p>
    <w:p w14:paraId="06515C71" w14:textId="77777777" w:rsidR="006F2C07" w:rsidRDefault="006F2C07" w:rsidP="006F2C07">
      <w:r>
        <w:t xml:space="preserve">“I think that’s what we are worried about, and therefore governance of … these groups of technologies </w:t>
      </w:r>
      <w:proofErr w:type="gramStart"/>
      <w:r>
        <w:t>is</w:t>
      </w:r>
      <w:proofErr w:type="gramEnd"/>
      <w:r>
        <w:t xml:space="preserve"> critical,” </w:t>
      </w:r>
      <w:proofErr w:type="spellStart"/>
      <w:r>
        <w:t>Hinwood</w:t>
      </w:r>
      <w:proofErr w:type="spellEnd"/>
      <w:r>
        <w:t xml:space="preserve"> says. She co-authored a 2023 UNEP report on solar radiation modification outlining the risks and potential governance concerns, though she stresses that UNEP is not promoting such approaches or technologies.</w:t>
      </w:r>
    </w:p>
    <w:p w14:paraId="7A5405E8" w14:textId="77777777" w:rsidR="006F2C07" w:rsidRDefault="006F2C07" w:rsidP="006F2C07">
      <w:r>
        <w:t>“The regulatory framework is just completely insufficient … and I think that’s becoming more and more dangerous,” agrees Shuchi Talati, director of the Alliance for Just Deliberation on Solar Geoengineering, an NGO. She emphasizes that the “biggest problem” right now is the utter lack of coordinated governance structures for approving small-scale field experiments.</w:t>
      </w:r>
    </w:p>
    <w:p w14:paraId="04739197" w14:textId="77777777" w:rsidR="006F2C07" w:rsidRDefault="006F2C07" w:rsidP="006F2C07">
      <w:r>
        <w:t>[image omitted]</w:t>
      </w:r>
    </w:p>
    <w:p w14:paraId="60A50E84" w14:textId="77777777" w:rsidR="006F2C07" w:rsidRDefault="006F2C07" w:rsidP="006F2C07">
      <w:r>
        <w:t>Modeling suggests solar geoengineering could contribute to the Amazon Rainforest drying out, which could bring more forest die off and worsen climate change. That’s just one example of potential knock-on effects that have led some experts to call for an outright ban on field tests and deployment. For Ben Kravitz, an assistant professor in the Department of Earth and Atmospheric Sciences at Indiana University, there are also social impacts to consider. “Those are the things that we really need to figure out,” he says. Image by Neil Palmer/CIAT via Flickr (CC BY-NC-ND 2.0).</w:t>
      </w:r>
    </w:p>
    <w:p w14:paraId="372AD4CA" w14:textId="77777777" w:rsidR="006F2C07" w:rsidRDefault="006F2C07" w:rsidP="006F2C07">
      <w:r>
        <w:t>A ‘piecemeal … patchwork’ of policies</w:t>
      </w:r>
    </w:p>
    <w:p w14:paraId="0132265F" w14:textId="77777777" w:rsidR="006F2C07" w:rsidRDefault="006F2C07" w:rsidP="006F2C07">
      <w:r>
        <w:t>In 2021, the U.N</w:t>
      </w:r>
      <w:proofErr w:type="gramStart"/>
      <w:r>
        <w:t xml:space="preserve"> General</w:t>
      </w:r>
      <w:proofErr w:type="gramEnd"/>
      <w:r>
        <w:t xml:space="preserve"> Assembly adopted a resolution seeming to address geoengineering without, however, specifically mentioning it. The body agreed then, “Activities aimed at intentional large-scale modification of the atmosphere should only be conducted [by nation states] with prudence and caution, and subject to any applicable rules of international law, including those relating to environmental impact assessment.”</w:t>
      </w:r>
    </w:p>
    <w:p w14:paraId="7BF6CDF2" w14:textId="77777777" w:rsidR="006F2C07" w:rsidRDefault="006F2C07" w:rsidP="006F2C07">
      <w:r>
        <w:t>But so far, the U.N. has taken no concrete action toward a geoengineering treaty. Lacking that, experts point to several existing international agreements that could set boundaries on the use of geoengineering techniques, including SAI. Among these is a 2010 decision by the Convention on Biological Diversity (CBD) that many say acts as a de facto moratorium. The CBD states that any climate-related geoengineering that could harm biodiversity should be off-limits “until there is an adequate scientific basis on which to justify such activities.”</w:t>
      </w:r>
    </w:p>
    <w:p w14:paraId="4647A909" w14:textId="77777777" w:rsidR="006F2C07" w:rsidRDefault="006F2C07" w:rsidP="006F2C07">
      <w:r>
        <w:t>Mary Church, geoengineering campaign manager at the Center for International Environmental Law, interprets this to mean that even small-scale field experiments could violate the CBD ruling. “Governments must act to uphold and enforce these agreements in national contexts, to send a clear signal that geoengineering is off limits,” she says.</w:t>
      </w:r>
    </w:p>
    <w:p w14:paraId="462CA7D8" w14:textId="77777777" w:rsidR="006F2C07" w:rsidRDefault="006F2C07" w:rsidP="006F2C07">
      <w:r>
        <w:t>But others question this strict reading of the CBD resolution. “This is one of the most misunderstood and misrepresented decisions in the field of SRM,” says Andy Parker, chief executive officer of the DEGREES Initiative, an NGO. “What the CBD decision said was that no SRM that would have significant adverse and transboundary impacts on biodiversity should proceed unless certain conditions are met,” which creates an opening for small-scale field research projects.</w:t>
      </w:r>
    </w:p>
    <w:p w14:paraId="3A2FE0B0" w14:textId="77777777" w:rsidR="006F2C07" w:rsidRDefault="006F2C07" w:rsidP="006F2C07">
      <w:r>
        <w:t>He also notes that the CBD agreement is not legally binding — a conundrum likely to hamper any future attempt to get all the world’s nations to agree on overarching geoengineering policies.</w:t>
      </w:r>
    </w:p>
    <w:p w14:paraId="59CB83E5" w14:textId="77777777" w:rsidR="006F2C07" w:rsidRDefault="006F2C07" w:rsidP="006F2C07">
      <w:r>
        <w:t>[image omitted]</w:t>
      </w:r>
    </w:p>
    <w:p w14:paraId="6F8FDEBA" w14:textId="77777777" w:rsidR="006F2C07" w:rsidRDefault="006F2C07" w:rsidP="006F2C07">
      <w:r>
        <w:t>The eruption of Mount Pinatubo in 1991. This event pumped more than 15 million tons of sulfur dioxide into the stratosphere, dropping average global temperatures by around 0.6 degrees Celsius (1°F) for a year. SAI would theoretically be designed to mimic this effect. But its unknown environmental, social, and political risks are a cause for concern. Image by Kentucky National Guard Public Affairs Office via Flickr (CC BY 2.0).</w:t>
      </w:r>
    </w:p>
    <w:p w14:paraId="7D606D0B" w14:textId="77777777" w:rsidR="006F2C07" w:rsidRDefault="006F2C07" w:rsidP="006F2C07">
      <w:r>
        <w:t xml:space="preserve">Other advisory bodies, such as the U.S. National Academy of Sciences, have proposed setting up transdisciplinary research programs focused on solar geoengineering, with the United States acting “in collaboration with other nations.” In addition, the U.S. government, UNEP and European Union have mandated research into governance of geoengineering in general or solar radiation </w:t>
      </w:r>
      <w:proofErr w:type="gramStart"/>
      <w:r>
        <w:t>modification in particular</w:t>
      </w:r>
      <w:proofErr w:type="gramEnd"/>
      <w:r>
        <w:t>.</w:t>
      </w:r>
    </w:p>
    <w:p w14:paraId="7744395A" w14:textId="77777777" w:rsidR="006F2C07" w:rsidRDefault="006F2C07" w:rsidP="006F2C07">
      <w:r>
        <w:t>The European Union is actively investigating whether responsible science can be conducted into geoengineering and how those activities should be governed. But in February at a UNEP meeting, efforts by Switzerland to set up an international geoengineering research and scientific body failed, rebuffed by African nations, some of which called for a geoengineering “nonuse” agreement, out of fear of deployment inequities. As with past U.N. environmental negotiations, geoengineering is already seeing a regulatory tug-of-war between the Global North and Global South.</w:t>
      </w:r>
    </w:p>
    <w:p w14:paraId="0F59235D" w14:textId="77777777" w:rsidR="006F2C07" w:rsidRDefault="006F2C07" w:rsidP="006F2C07">
      <w:r>
        <w:t xml:space="preserve">Searching for other global governance mechanisms, analysts point to the binding Montreal Protocol. “When it comes to stratospheric aerosol injection, there is the ozone protection regime, which does not mention SRM but states that you should avoid introducing things in the atmosphere that disturb the ozone layer,” notes Dana </w:t>
      </w:r>
      <w:proofErr w:type="spellStart"/>
      <w:r>
        <w:t>Ruddigkeit</w:t>
      </w:r>
      <w:proofErr w:type="spellEnd"/>
      <w:r>
        <w:t>, researcher and policy adviser for Public International Law, with the German Environment Agency. Precisely how, or if, SRM might impact the ozone layer is still a matter of scientific debate.</w:t>
      </w:r>
    </w:p>
    <w:p w14:paraId="69AE6F63" w14:textId="77777777" w:rsidR="006F2C07" w:rsidRDefault="006F2C07" w:rsidP="006F2C07">
      <w:r>
        <w:t>“We have international legal principles like the ‘no harm principle,’ the precautionary principle, no transboundary harm to another’s territory, which would prevent any sort of unilateral deployment of solar geoengineering,” says Aarti Gupta, professor of global environmental governance at Wageningen University who backs a global nonuse agreement.</w:t>
      </w:r>
    </w:p>
    <w:p w14:paraId="63F4298A" w14:textId="77777777" w:rsidR="006F2C07" w:rsidRDefault="006F2C07" w:rsidP="006F2C07">
      <w:r>
        <w:t>But taken all together, experts agree the current state of global geoengineering governance is “piecemeal” and a “patchwork” of restrictions and guidance that are vague and weak, leaving a glaring oversight gap that urgently needs to be addressed.</w:t>
      </w:r>
    </w:p>
    <w:p w14:paraId="28EA87A6" w14:textId="77777777" w:rsidR="006F2C07" w:rsidRDefault="006F2C07" w:rsidP="006F2C07">
      <w:r>
        <w:t>[image omitted]</w:t>
      </w:r>
    </w:p>
    <w:p w14:paraId="4862B017" w14:textId="77777777" w:rsidR="006F2C07" w:rsidRDefault="006F2C07" w:rsidP="006F2C07">
      <w:r>
        <w:t>In 2023, a NOAA project named SABRE flew over the Arctic to conduct stratosphere research. A larger, congressionally mandated SRM research program, known as the Earth Radiation Budget, is a test intended to “inform evaluations of potential future efforts to slow global warming by modifying the amount of heat captured by the atmosphere.” Image by Chelsea Thompson/NOAA.</w:t>
      </w:r>
    </w:p>
    <w:p w14:paraId="0D0A3275" w14:textId="77777777" w:rsidR="006F2C07" w:rsidRDefault="006F2C07" w:rsidP="006F2C07">
      <w:r>
        <w:t xml:space="preserve">Controlling </w:t>
      </w:r>
      <w:proofErr w:type="gramStart"/>
      <w:r>
        <w:t>experimentation: ‘</w:t>
      </w:r>
      <w:proofErr w:type="gramEnd"/>
      <w:r>
        <w:t>A little bit Wild West’</w:t>
      </w:r>
    </w:p>
    <w:p w14:paraId="5B3E6CA6" w14:textId="77777777" w:rsidR="006F2C07" w:rsidRDefault="006F2C07" w:rsidP="006F2C07">
      <w:r>
        <w:t>Thus far, the vast majority of stratospheric aerosol injection research has focused on modeling, work no one has opposed. But attempts at undertaking small-scale outdoor research and experimentation — vital to inform any future planetwide stratospheric intervention — remain mired in controversy.</w:t>
      </w:r>
    </w:p>
    <w:p w14:paraId="04DAF459" w14:textId="77777777" w:rsidR="006F2C07" w:rsidRDefault="006F2C07" w:rsidP="006F2C07">
      <w:r>
        <w:t>In response to a controversial launch by a private U.S.-based company of a solar geoengineering test balloon over Mexican territory, that Latin American country announced its intention to ban all future geoengineering tests. Likewise, the U.S. state of Tennessee is implementing bans on testing, though the justification for this measure is mixed up with chemtrails conspiracy theory — an indication of the sort of public and official misinformation now guiding some geoengineering responses.</w:t>
      </w:r>
    </w:p>
    <w:p w14:paraId="5EDCBE37" w14:textId="77777777" w:rsidR="006F2C07" w:rsidRDefault="006F2C07" w:rsidP="006F2C07">
      <w:r>
        <w:t>But these zealous outright prohibitions contrast drastically with extremely lax national regulations. Politico reports that the only requirement for a U.S. company or citizen intent on modifying the weather by injecting aerosols into the atmosphere is to fill out and file a one-page form with the National Oceanic and Atmospheric Administration (NOAA) 10 days before project start.</w:t>
      </w:r>
    </w:p>
    <w:p w14:paraId="557A338C" w14:textId="77777777" w:rsidR="006F2C07" w:rsidRDefault="006F2C07" w:rsidP="006F2C07">
      <w:r>
        <w:t>Similarly, in the United Kingdom, researchers launched “an engineering proof-of-concept” series of high-altitude solar engineering test balloons in 2022, deploying a basketball-sized 400-gram (less-than-1-pound) sphere of sulfate aerosols at high altitude. The “Stratospheric Aerosol Transport and Nucleation,” balloon systems (boasting the provocative acronym SATAN), were supposedly built from stock and hobbyist components, with hardware costing less than $1,000. The flights were launched with no prior notice or government approval. Though the effects were likely innocuous, the tests raised concern over transparency and the risk of triggering panic with the public.</w:t>
      </w:r>
    </w:p>
    <w:p w14:paraId="4C186D75" w14:textId="77777777" w:rsidR="006F2C07" w:rsidRDefault="006F2C07" w:rsidP="006F2C07">
      <w:r>
        <w:t>The current experimentation situation is “a little bit Wild West,” says Max Holmes, president and CEO of the Woodwell Climate Research Center. He worries that in the absence of wider governance, the world could be plagued by a wave of geoengineering tech commercialization. “There’s the potential that while [field tests] are very small-scale right now, … [if] it ramps up in scale, that’s where it gets scary to me,” he says.</w:t>
      </w:r>
    </w:p>
    <w:p w14:paraId="602BF50C" w14:textId="77777777" w:rsidR="006F2C07" w:rsidRDefault="006F2C07" w:rsidP="006F2C07">
      <w:r>
        <w:t>One such small-scale project by Harvard University, dubbed the Stratospheric Controlled Perturbation Experiment (</w:t>
      </w:r>
      <w:proofErr w:type="spellStart"/>
      <w:r>
        <w:t>SCoPEx</w:t>
      </w:r>
      <w:proofErr w:type="spellEnd"/>
      <w:r>
        <w:t>), officially pulled the plug this year following years of controversy, which came on the back of a failed attempt to launch a controlled experiment in Sweden, in part due to a groundswell of local opposition.</w:t>
      </w:r>
    </w:p>
    <w:p w14:paraId="1164BB82" w14:textId="77777777" w:rsidR="006F2C07" w:rsidRDefault="006F2C07" w:rsidP="006F2C07">
      <w:r>
        <w:t xml:space="preserve">“The </w:t>
      </w:r>
      <w:proofErr w:type="spellStart"/>
      <w:r>
        <w:t>ScoPEx</w:t>
      </w:r>
      <w:proofErr w:type="spellEnd"/>
      <w:r>
        <w:t xml:space="preserve"> project did an admirable job of establishing small-scale self-governance with a strong degree of independence,” Faye McNeill, professor of chemical engineering and Earth and environmental sciences at Columbia University, and Han Huynh, research scientist at CU-CIRES/NOAA, wrote in an email. Together they published a recent paper outlining SAI risks and </w:t>
      </w:r>
      <w:proofErr w:type="gramStart"/>
      <w:r>
        <w:t>need</w:t>
      </w:r>
      <w:proofErr w:type="gramEnd"/>
      <w:r>
        <w:t xml:space="preserve"> for governance. They warn, “[S]elf-governance is not sufficient for a technology that potentially impacts the environment and societies to the extent that SAI is intended to.”</w:t>
      </w:r>
    </w:p>
    <w:p w14:paraId="607A1E26" w14:textId="77777777" w:rsidR="006F2C07" w:rsidRDefault="006F2C07" w:rsidP="006F2C07">
      <w:r>
        <w:t>The lack of global regulation, they say, creates a chicken-and-egg conundrum: Developing SAI will prove challenging without such experimentation conducted at the local level, but the absence of overarching rules and regulations is a roadblock to such tests.</w:t>
      </w:r>
    </w:p>
    <w:p w14:paraId="47E39349" w14:textId="77777777" w:rsidR="006F2C07" w:rsidRDefault="006F2C07" w:rsidP="006F2C07">
      <w:r>
        <w:t>“More public engagement, education and discussion prior to field experimentation could be helpful, but some of the fundamental distrust of this technology could come from the lack of independent governance at the [national] government or international level,” they wrote.</w:t>
      </w:r>
    </w:p>
    <w:p w14:paraId="00963E8D" w14:textId="77777777" w:rsidR="006F2C07" w:rsidRDefault="006F2C07" w:rsidP="006F2C07">
      <w:r>
        <w:t>For small-scale research to move forward, experts say coordinated governance at the local and national levels are needed, including required environmental impact assessments, oversight, transparency on experimentation and funding, codes of conduct and more.</w:t>
      </w:r>
    </w:p>
    <w:p w14:paraId="1EEA5156" w14:textId="77777777" w:rsidR="006F2C07" w:rsidRPr="00D84A3F" w:rsidRDefault="006F2C07" w:rsidP="006F2C07">
      <w:r>
        <w:t xml:space="preserve">A 2024 report by the failed </w:t>
      </w:r>
      <w:proofErr w:type="spellStart"/>
      <w:r>
        <w:t>SCoPEx</w:t>
      </w:r>
      <w:proofErr w:type="spellEnd"/>
      <w:r>
        <w:t xml:space="preserve"> project’s independent advisory committee underlined the necessity early on of community engagement. Also, “From a governance perspective, it would be great to actually have a register of who’s doing what, and what those outcomes are,” </w:t>
      </w:r>
      <w:proofErr w:type="spellStart"/>
      <w:r>
        <w:t>Hinwood</w:t>
      </w:r>
      <w:proofErr w:type="spellEnd"/>
      <w:r>
        <w:t xml:space="preserve"> says.</w:t>
      </w:r>
    </w:p>
    <w:p w14:paraId="1E3F06DE" w14:textId="77777777" w:rsidR="006F2C07" w:rsidRDefault="006F2C07" w:rsidP="006F2C07">
      <w:r>
        <w:t>[image omitted]</w:t>
      </w:r>
    </w:p>
    <w:p w14:paraId="72F74195" w14:textId="77777777" w:rsidR="006F2C07" w:rsidRDefault="006F2C07" w:rsidP="006F2C07">
      <w:r>
        <w:t>A graphic showing some proposed and theoretical geoengineering techniques. Stratospheric aerosol injection (3) is considered by some as the most mature, but major questions remain regarding the consequences of geoengineering planetary deployment. Image by Chelsea Thompson, NOAA/CIRES via Wikimedia Commons (Public domain).</w:t>
      </w:r>
    </w:p>
    <w:p w14:paraId="129BEBE7" w14:textId="77777777" w:rsidR="006F2C07" w:rsidRDefault="006F2C07" w:rsidP="006F2C07">
      <w:r>
        <w:t>Governing the ungovernable?</w:t>
      </w:r>
    </w:p>
    <w:p w14:paraId="02B5B50B" w14:textId="77777777" w:rsidR="006F2C07" w:rsidRDefault="006F2C07" w:rsidP="006F2C07">
      <w:r>
        <w:t>Geoengineering poses significant unforeseeable regional and global environmental risks. That being the case, analysts say, strong governance is required to ensure “responsible” research and experimentation.</w:t>
      </w:r>
    </w:p>
    <w:p w14:paraId="0FEF1C59" w14:textId="77777777" w:rsidR="006F2C07" w:rsidRDefault="006F2C07" w:rsidP="006F2C07">
      <w:r>
        <w:t>This work, most say, should be in the hands of reputable scientific researchers and institutions, not profit-motivated companies. Further, a serious inclusive global discussion is needed to create a legal framework for geoengineering in general, and SAI in particular.</w:t>
      </w:r>
    </w:p>
    <w:p w14:paraId="631F4265" w14:textId="77777777" w:rsidR="006F2C07" w:rsidRDefault="006F2C07" w:rsidP="006F2C07">
      <w:r>
        <w:t>Currently, Parker says, no country has yet set a “gold standard” for such an approach.</w:t>
      </w:r>
    </w:p>
    <w:p w14:paraId="41431926" w14:textId="77777777" w:rsidR="006F2C07" w:rsidRDefault="006F2C07" w:rsidP="006F2C07">
      <w:r>
        <w:t xml:space="preserve">Others, however, believe that </w:t>
      </w:r>
      <w:proofErr w:type="gramStart"/>
      <w:r>
        <w:t>a technology</w:t>
      </w:r>
      <w:proofErr w:type="gramEnd"/>
      <w:r>
        <w:t xml:space="preserve"> as contentious and potentially dangerous as SAI is unlikely to ever be governed effectively or democratically within existing international structures, meaning geoengineering should be removed from the table entirely.</w:t>
      </w:r>
    </w:p>
    <w:p w14:paraId="46289554" w14:textId="77777777" w:rsidR="006F2C07" w:rsidRDefault="006F2C07" w:rsidP="006F2C07">
      <w:r>
        <w:t>“We cannot have a situation where a few major powers or a few countries decide when to deploy, how much to deploy, when to stop and what kind of global temperature we want,” Gupta says. The “enforceable governance of solar geoengineering deployment at the international level [that] is feasible, is very limited.”</w:t>
      </w:r>
    </w:p>
    <w:p w14:paraId="1DF59F25" w14:textId="77777777" w:rsidR="006F2C07" w:rsidRDefault="006F2C07" w:rsidP="006F2C07">
      <w:r>
        <w:t>In the end, the failure to cut carbon emissions, along with rapidly escalating climate change impacts, could leave the world’s nations with little choice but to respond with planetwide geoengineering. In preparation for that moment, governance discussions should start now, some experts say.</w:t>
      </w:r>
    </w:p>
    <w:p w14:paraId="72E709EF" w14:textId="77777777" w:rsidR="006F2C07" w:rsidRPr="00D84A3F" w:rsidRDefault="006F2C07" w:rsidP="006F2C07">
      <w:r>
        <w:t xml:space="preserve">And as flawed as its record may be, the U.N. offers a potential forum for those discussions. With all 195 nations potentially impacted by a geoengineering fix, a binding and flexible international treaty </w:t>
      </w:r>
      <w:proofErr w:type="gramStart"/>
      <w:r>
        <w:t>similar to</w:t>
      </w:r>
      <w:proofErr w:type="gramEnd"/>
      <w:r>
        <w:t xml:space="preserve"> the Montreal Protocol needs to set boundaries on use. But as with the Paris Agreement, the devil will be </w:t>
      </w:r>
      <w:proofErr w:type="gramStart"/>
      <w:r>
        <w:t>in the details</w:t>
      </w:r>
      <w:proofErr w:type="gramEnd"/>
      <w:r>
        <w:t>.</w:t>
      </w:r>
    </w:p>
    <w:p w14:paraId="0C2F3136" w14:textId="431FEBEA" w:rsidR="006F2C07" w:rsidRDefault="006F2C07" w:rsidP="006F2C07">
      <w:pPr>
        <w:pStyle w:val="Heading3"/>
      </w:pPr>
      <w:r>
        <w:t xml:space="preserve">AT: FPIC </w:t>
      </w:r>
    </w:p>
    <w:p w14:paraId="4FE60059" w14:textId="77777777" w:rsidR="006F2C07" w:rsidRPr="006F2C07" w:rsidRDefault="006F2C07" w:rsidP="006F2C07">
      <w:pPr>
        <w:keepNext/>
        <w:keepLines/>
        <w:spacing w:before="40" w:after="0" w:line="256" w:lineRule="auto"/>
        <w:outlineLvl w:val="3"/>
        <w:rPr>
          <w:rFonts w:eastAsia="Malgun Gothic" w:cs="Times New Roman"/>
          <w:b/>
          <w:iCs/>
          <w:sz w:val="26"/>
        </w:rPr>
      </w:pPr>
      <w:r w:rsidRPr="006F2C07">
        <w:rPr>
          <w:rFonts w:eastAsia="Malgun Gothic" w:cs="Times New Roman"/>
          <w:b/>
          <w:iCs/>
          <w:sz w:val="26"/>
        </w:rPr>
        <w:t>Arctic FPIC fails.</w:t>
      </w:r>
    </w:p>
    <w:p w14:paraId="45A82E5F" w14:textId="77777777" w:rsidR="006F2C07" w:rsidRPr="006F2C07" w:rsidRDefault="006F2C07" w:rsidP="006F2C07">
      <w:pPr>
        <w:spacing w:line="256" w:lineRule="auto"/>
        <w:rPr>
          <w:rFonts w:eastAsia="Aptos"/>
        </w:rPr>
      </w:pPr>
      <w:r w:rsidRPr="006F2C07">
        <w:rPr>
          <w:rFonts w:eastAsia="Aptos"/>
        </w:rPr>
        <w:t xml:space="preserve">Corine </w:t>
      </w:r>
      <w:r w:rsidRPr="006F2C07">
        <w:rPr>
          <w:rFonts w:eastAsia="Aptos"/>
          <w:b/>
          <w:bCs/>
          <w:sz w:val="26"/>
        </w:rPr>
        <w:t>Wood-Donnelly and</w:t>
      </w:r>
      <w:r w:rsidRPr="006F2C07">
        <w:rPr>
          <w:rFonts w:eastAsia="Aptos"/>
        </w:rPr>
        <w:t xml:space="preserve"> Johanna </w:t>
      </w:r>
      <w:r w:rsidRPr="006F2C07">
        <w:rPr>
          <w:rFonts w:eastAsia="Aptos"/>
          <w:b/>
          <w:bCs/>
          <w:sz w:val="26"/>
        </w:rPr>
        <w:t>Ohlsson</w:t>
      </w:r>
      <w:r w:rsidRPr="006F2C07">
        <w:rPr>
          <w:rFonts w:eastAsia="Aptos"/>
        </w:rPr>
        <w:t xml:space="preserve"> 5-15-20</w:t>
      </w:r>
      <w:r w:rsidRPr="006F2C07">
        <w:rPr>
          <w:rFonts w:eastAsia="Aptos"/>
          <w:b/>
          <w:bCs/>
          <w:sz w:val="26"/>
        </w:rPr>
        <w:t>23</w:t>
      </w:r>
      <w:r w:rsidRPr="006F2C07">
        <w:rPr>
          <w:rFonts w:eastAsia="Aptos"/>
        </w:rPr>
        <w:t xml:space="preserve">. Dr. Corine Wood-Donnelly (PhD, government research): Professor of International Relations and </w:t>
      </w:r>
      <w:proofErr w:type="gramStart"/>
      <w:r w:rsidRPr="006F2C07">
        <w:rPr>
          <w:rFonts w:eastAsia="Aptos"/>
        </w:rPr>
        <w:t>the High</w:t>
      </w:r>
      <w:proofErr w:type="gramEnd"/>
      <w:r w:rsidRPr="006F2C07">
        <w:rPr>
          <w:rFonts w:eastAsia="Aptos"/>
        </w:rPr>
        <w:t xml:space="preserve"> North, Nord University. Johanna Ohlsson (PhD, ethics): Head of Department of Human Rights and Democracy, University College Stockholm. “FPIC and Geoengineering in the Future of Scandinavia”, </w:t>
      </w:r>
      <w:r w:rsidRPr="006F2C07">
        <w:rPr>
          <w:rFonts w:eastAsia="Aptos"/>
          <w:i/>
          <w:iCs/>
        </w:rPr>
        <w:t>Arctic Justice: Environment, Society and Governance</w:t>
      </w:r>
      <w:r w:rsidRPr="006F2C07">
        <w:rPr>
          <w:rFonts w:eastAsia="Aptos"/>
        </w:rPr>
        <w:t xml:space="preserve">, </w:t>
      </w:r>
      <w:hyperlink r:id="rId6" w:history="1">
        <w:r w:rsidRPr="006F2C07">
          <w:rPr>
            <w:rFonts w:eastAsia="Aptos"/>
            <w:u w:val="single"/>
          </w:rPr>
          <w:t>https://doi.org/10.51952/9781529224832.ch010</w:t>
        </w:r>
      </w:hyperlink>
      <w:r w:rsidRPr="006F2C07">
        <w:rPr>
          <w:rFonts w:eastAsia="Aptos"/>
        </w:rPr>
        <w:t xml:space="preserve"> [AY]</w:t>
      </w:r>
    </w:p>
    <w:p w14:paraId="6007DCC2" w14:textId="77777777" w:rsidR="006F2C07" w:rsidRPr="006F2C07" w:rsidRDefault="006F2C07" w:rsidP="006F2C07">
      <w:pPr>
        <w:spacing w:line="256" w:lineRule="auto"/>
        <w:rPr>
          <w:rFonts w:eastAsia="Aptos"/>
          <w:sz w:val="16"/>
        </w:rPr>
      </w:pPr>
      <w:r w:rsidRPr="006F2C07">
        <w:rPr>
          <w:rFonts w:eastAsia="Aptos"/>
          <w:u w:val="single"/>
        </w:rPr>
        <w:t>Conclusion: Can a more robust FPIC provide a solution?</w:t>
      </w:r>
    </w:p>
    <w:p w14:paraId="28ACEE0C" w14:textId="77777777" w:rsidR="006F2C07" w:rsidRPr="006F2C07" w:rsidRDefault="006F2C07" w:rsidP="006F2C07">
      <w:pPr>
        <w:spacing w:line="256" w:lineRule="auto"/>
        <w:rPr>
          <w:rFonts w:eastAsia="Aptos"/>
          <w:sz w:val="16"/>
        </w:rPr>
      </w:pPr>
      <w:r w:rsidRPr="006F2C07">
        <w:rPr>
          <w:rFonts w:eastAsia="Aptos"/>
          <w:sz w:val="16"/>
        </w:rPr>
        <w:t xml:space="preserve">The protection of these rights is directed towards ensuring the survival and continued development of the cultural, religious and social identity of the minorities concerned, thus enriching the fabric of </w:t>
      </w:r>
      <w:proofErr w:type="gramStart"/>
      <w:r w:rsidRPr="006F2C07">
        <w:rPr>
          <w:rFonts w:eastAsia="Aptos"/>
          <w:sz w:val="16"/>
        </w:rPr>
        <w:t>society as a whole</w:t>
      </w:r>
      <w:proofErr w:type="gramEnd"/>
      <w:r w:rsidRPr="006F2C07">
        <w:rPr>
          <w:rFonts w:eastAsia="Aptos"/>
          <w:sz w:val="16"/>
        </w:rPr>
        <w:t>.</w:t>
      </w:r>
    </w:p>
    <w:p w14:paraId="0D350799" w14:textId="77777777" w:rsidR="006F2C07" w:rsidRPr="006F2C07" w:rsidRDefault="006F2C07" w:rsidP="006F2C07">
      <w:pPr>
        <w:spacing w:line="256" w:lineRule="auto"/>
        <w:rPr>
          <w:rFonts w:eastAsia="Aptos"/>
          <w:sz w:val="16"/>
        </w:rPr>
      </w:pPr>
      <w:r w:rsidRPr="006F2C07">
        <w:rPr>
          <w:rFonts w:eastAsia="Aptos"/>
          <w:sz w:val="16"/>
        </w:rPr>
        <w:t>Human Rights Committee, 1994</w:t>
      </w:r>
    </w:p>
    <w:p w14:paraId="467125C4" w14:textId="77777777" w:rsidR="006F2C07" w:rsidRPr="006F2C07" w:rsidRDefault="006F2C07" w:rsidP="006F2C07">
      <w:pPr>
        <w:spacing w:line="256" w:lineRule="auto"/>
        <w:rPr>
          <w:rFonts w:eastAsia="Aptos"/>
          <w:sz w:val="16"/>
        </w:rPr>
      </w:pPr>
      <w:r w:rsidRPr="006F2C07">
        <w:rPr>
          <w:rFonts w:eastAsia="Aptos"/>
          <w:u w:val="single"/>
        </w:rPr>
        <w:t xml:space="preserve">In short, </w:t>
      </w:r>
      <w:r w:rsidRPr="006F2C07">
        <w:rPr>
          <w:rFonts w:eastAsia="Aptos"/>
          <w:b/>
          <w:u w:val="single"/>
          <w:bdr w:val="single" w:sz="8" w:space="0" w:color="auto" w:frame="1"/>
        </w:rPr>
        <w:t>it is unlikely</w:t>
      </w:r>
      <w:r w:rsidRPr="006F2C07">
        <w:rPr>
          <w:rFonts w:eastAsia="Aptos"/>
          <w:sz w:val="16"/>
        </w:rPr>
        <w:t xml:space="preserve">. This chapter has focused upon raising awareness of these complex issues. Human civilization is unique in that in most cases our presence in an environment is immediately apparent, and we can make large-scale alterations to the environment to suit our needs. Climate change and global warming </w:t>
      </w:r>
      <w:proofErr w:type="gramStart"/>
      <w:r w:rsidRPr="006F2C07">
        <w:rPr>
          <w:rFonts w:eastAsia="Aptos"/>
          <w:sz w:val="16"/>
        </w:rPr>
        <w:t>is a consequence</w:t>
      </w:r>
      <w:proofErr w:type="gramEnd"/>
      <w:r w:rsidRPr="006F2C07">
        <w:rPr>
          <w:rFonts w:eastAsia="Aptos"/>
          <w:sz w:val="16"/>
        </w:rPr>
        <w:t xml:space="preserve"> of </w:t>
      </w:r>
      <w:proofErr w:type="gramStart"/>
      <w:r w:rsidRPr="006F2C07">
        <w:rPr>
          <w:rFonts w:eastAsia="Aptos"/>
          <w:sz w:val="16"/>
        </w:rPr>
        <w:t>an excessive</w:t>
      </w:r>
      <w:proofErr w:type="gramEnd"/>
      <w:r w:rsidRPr="006F2C07">
        <w:rPr>
          <w:rFonts w:eastAsia="Aptos"/>
          <w:sz w:val="16"/>
        </w:rPr>
        <w:t xml:space="preserve"> ability to change the natural world. Overall, it is a scenario that has been created by the </w:t>
      </w:r>
      <w:proofErr w:type="spellStart"/>
      <w:r w:rsidRPr="006F2C07">
        <w:rPr>
          <w:rFonts w:eastAsia="Aptos"/>
          <w:sz w:val="16"/>
        </w:rPr>
        <w:t>behaviour</w:t>
      </w:r>
      <w:proofErr w:type="spellEnd"/>
      <w:r w:rsidRPr="006F2C07">
        <w:rPr>
          <w:rFonts w:eastAsia="Aptos"/>
          <w:sz w:val="16"/>
        </w:rPr>
        <w:t xml:space="preserve"> of a group of nations that since the industrial revolution has continued to benefit a distinct group of individuals. Now is a time where the relationship between nature and </w:t>
      </w:r>
      <w:proofErr w:type="gramStart"/>
      <w:r w:rsidRPr="006F2C07">
        <w:rPr>
          <w:rFonts w:eastAsia="Aptos"/>
          <w:sz w:val="16"/>
        </w:rPr>
        <w:t>the human race</w:t>
      </w:r>
      <w:proofErr w:type="gramEnd"/>
      <w:r w:rsidRPr="006F2C07">
        <w:rPr>
          <w:rFonts w:eastAsia="Aptos"/>
          <w:sz w:val="16"/>
        </w:rPr>
        <w:t xml:space="preserve"> is being redefined. But how this relationship evolves is often dictated by our social values and technological development. It has been shown that technology interacts with our value and belief systems; it alters </w:t>
      </w:r>
      <w:proofErr w:type="spellStart"/>
      <w:r w:rsidRPr="006F2C07">
        <w:rPr>
          <w:rFonts w:eastAsia="Aptos"/>
          <w:sz w:val="16"/>
        </w:rPr>
        <w:t>behaviours</w:t>
      </w:r>
      <w:proofErr w:type="spellEnd"/>
      <w:r w:rsidRPr="006F2C07">
        <w:rPr>
          <w:rFonts w:eastAsia="Aptos"/>
          <w:sz w:val="16"/>
        </w:rPr>
        <w:t xml:space="preserve"> – both conscious and subconscious. In this context, regardless of </w:t>
      </w:r>
      <w:proofErr w:type="gramStart"/>
      <w:r w:rsidRPr="006F2C07">
        <w:rPr>
          <w:rFonts w:eastAsia="Aptos"/>
          <w:sz w:val="16"/>
        </w:rPr>
        <w:t>the whether</w:t>
      </w:r>
      <w:proofErr w:type="gramEnd"/>
      <w:r w:rsidRPr="006F2C07">
        <w:rPr>
          <w:rFonts w:eastAsia="Aptos"/>
          <w:sz w:val="16"/>
        </w:rPr>
        <w:t xml:space="preserve"> geoengineering is an inevitability, it is not an exceptional concept that geoengineering could provide a novel technological solution to a problem.</w:t>
      </w:r>
    </w:p>
    <w:p w14:paraId="7DC297FB" w14:textId="77777777" w:rsidR="006F2C07" w:rsidRPr="006F2C07" w:rsidRDefault="006F2C07" w:rsidP="006F2C07">
      <w:pPr>
        <w:spacing w:line="256" w:lineRule="auto"/>
        <w:rPr>
          <w:rFonts w:eastAsia="Aptos"/>
          <w:sz w:val="16"/>
        </w:rPr>
      </w:pPr>
      <w:r w:rsidRPr="006F2C07">
        <w:rPr>
          <w:rFonts w:eastAsia="Aptos"/>
          <w:sz w:val="16"/>
        </w:rPr>
        <w:t xml:space="preserve">There is a great degree of apprehension around geoengineering and how it could potentially preserve this status quo (practically and legally) – effectively leading to the perpetuation of the colonial hierarchies which have essentially laid the foundations for the situation we see with geoengineering (and its inability to cope with the requirements of justice). While we could potentially stave off the more serious consequences of climate change, we are still allowing the highest emitters of greenhouse gases to continue (Zhen et al, 2021). The green transition </w:t>
      </w:r>
      <w:proofErr w:type="gramStart"/>
      <w:r w:rsidRPr="006F2C07">
        <w:rPr>
          <w:rFonts w:eastAsia="Aptos"/>
          <w:sz w:val="16"/>
        </w:rPr>
        <w:t>on the whole</w:t>
      </w:r>
      <w:proofErr w:type="gramEnd"/>
      <w:r w:rsidRPr="006F2C07">
        <w:rPr>
          <w:rFonts w:eastAsia="Aptos"/>
          <w:sz w:val="16"/>
        </w:rPr>
        <w:t xml:space="preserve"> has been somewhat of a detriment to the participatory rights of the Sámi. Even </w:t>
      </w:r>
      <w:r w:rsidRPr="006F2C07">
        <w:rPr>
          <w:rFonts w:eastAsia="Aptos"/>
          <w:u w:val="single"/>
        </w:rPr>
        <w:t>though there is some recognition (in terms of guaranteeing economic and cultural self- determination) it is still quite limited</w:t>
      </w:r>
      <w:r w:rsidRPr="006F2C07">
        <w:rPr>
          <w:rFonts w:eastAsia="Aptos"/>
          <w:sz w:val="16"/>
        </w:rPr>
        <w:t xml:space="preserve">. The Scandinavian states have not fully implemented their international obligations when it comes to the protection of Indigenous groups. In terms of success stories there is little that could be provided when it comes to engagement and benefit sharing. Communicative planning scholars often claim that forms of participatory planning </w:t>
      </w:r>
      <w:proofErr w:type="spellStart"/>
      <w:r w:rsidRPr="006F2C07">
        <w:rPr>
          <w:rFonts w:eastAsia="Aptos"/>
          <w:sz w:val="16"/>
        </w:rPr>
        <w:t>centred</w:t>
      </w:r>
      <w:proofErr w:type="spellEnd"/>
      <w:r w:rsidRPr="006F2C07">
        <w:rPr>
          <w:rFonts w:eastAsia="Aptos"/>
          <w:sz w:val="16"/>
        </w:rPr>
        <w:t xml:space="preserve"> on public deliberation can facilitate more equitable decision making by overcoming power differentials between citizens and stakeholders. </w:t>
      </w:r>
      <w:r w:rsidRPr="006F2C07">
        <w:rPr>
          <w:rFonts w:eastAsia="Aptos"/>
          <w:u w:val="single"/>
        </w:rPr>
        <w:t xml:space="preserve">The FPIC as a procedure is </w:t>
      </w:r>
      <w:r w:rsidRPr="006F2C07">
        <w:rPr>
          <w:rFonts w:eastAsia="Aptos"/>
          <w:b/>
          <w:u w:val="single"/>
          <w:bdr w:val="single" w:sz="8" w:space="0" w:color="auto" w:frame="1"/>
        </w:rPr>
        <w:t>ineffective</w:t>
      </w:r>
      <w:r w:rsidRPr="006F2C07">
        <w:rPr>
          <w:rFonts w:eastAsia="Aptos"/>
          <w:u w:val="single"/>
        </w:rPr>
        <w:t xml:space="preserve"> and its implementation rests upon the cooperation of the states involved, which is contingent upon the balance within the states</w:t>
      </w:r>
      <w:r w:rsidRPr="006F2C07">
        <w:rPr>
          <w:rFonts w:eastAsia="Aptos"/>
          <w:sz w:val="16"/>
        </w:rPr>
        <w:t xml:space="preserve">. Consequently, the emphasis here is on the construction of a robust system to tackle these challenges. Intergenerational justice depends upon laws designed to hold states and corporations accountable for pollution and rights violations and their enforcement by courts willing to acknowledge public alarm about global heating. </w:t>
      </w:r>
      <w:r w:rsidRPr="006F2C07">
        <w:rPr>
          <w:rFonts w:eastAsia="Aptos"/>
          <w:u w:val="single"/>
        </w:rPr>
        <w:t>For the Arctic, when it comes to geoengineering, it must tread carefully when engaging with these tools</w:t>
      </w:r>
      <w:r w:rsidRPr="006F2C07">
        <w:rPr>
          <w:rFonts w:eastAsia="Aptos"/>
        </w:rPr>
        <w:t>.</w:t>
      </w:r>
    </w:p>
    <w:p w14:paraId="23DF286D" w14:textId="77777777" w:rsidR="006F2C07" w:rsidRPr="006F2C07" w:rsidRDefault="006F2C07" w:rsidP="006F2C07"/>
    <w:p w14:paraId="6A54755B" w14:textId="77777777" w:rsidR="006F2C07" w:rsidRPr="006F2C07" w:rsidRDefault="006F2C07" w:rsidP="006F2C07">
      <w:pPr>
        <w:spacing w:line="256" w:lineRule="auto"/>
        <w:rPr>
          <w:rFonts w:eastAsia="Calibri"/>
        </w:rPr>
      </w:pPr>
    </w:p>
    <w:p w14:paraId="45272563" w14:textId="77777777" w:rsidR="006F2C07" w:rsidRPr="006F2C07" w:rsidRDefault="006F2C07" w:rsidP="006F2C07">
      <w:pPr>
        <w:spacing w:line="256" w:lineRule="auto"/>
        <w:rPr>
          <w:rFonts w:eastAsia="Calibri"/>
        </w:rPr>
      </w:pPr>
    </w:p>
    <w:p w14:paraId="179C5750" w14:textId="77777777" w:rsidR="005F4E67" w:rsidRDefault="005F4E67"/>
    <w:sectPr w:rsidR="005F4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97715934688"/>
  </w:docVars>
  <w:rsids>
    <w:rsidRoot w:val="005F4E67"/>
    <w:rsid w:val="002D254A"/>
    <w:rsid w:val="00551C7F"/>
    <w:rsid w:val="005F4E67"/>
    <w:rsid w:val="006F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3518"/>
  <w15:chartTrackingRefBased/>
  <w15:docId w15:val="{9D90D274-5934-401E-AC77-0F6DD993C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4E6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F4E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4E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F4E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 Ch"/>
    <w:basedOn w:val="Normal"/>
    <w:next w:val="Normal"/>
    <w:link w:val="Heading4Char"/>
    <w:uiPriority w:val="3"/>
    <w:qFormat/>
    <w:rsid w:val="005F4E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5F4E6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F4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F4E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4E67"/>
  </w:style>
  <w:style w:type="character" w:customStyle="1" w:styleId="Heading1Char">
    <w:name w:val="Heading 1 Char"/>
    <w:aliases w:val="Pocket Char"/>
    <w:basedOn w:val="DefaultParagraphFont"/>
    <w:link w:val="Heading1"/>
    <w:rsid w:val="005F4E6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F4E6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F4E6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5F4E6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F4E6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F4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E67"/>
    <w:rPr>
      <w:rFonts w:eastAsiaTheme="majorEastAsia" w:cstheme="majorBidi"/>
      <w:color w:val="272727" w:themeColor="text1" w:themeTint="D8"/>
    </w:rPr>
  </w:style>
  <w:style w:type="paragraph" w:styleId="Title">
    <w:name w:val="Title"/>
    <w:basedOn w:val="Normal"/>
    <w:next w:val="Normal"/>
    <w:link w:val="TitleChar"/>
    <w:uiPriority w:val="10"/>
    <w:qFormat/>
    <w:rsid w:val="005F4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E67"/>
    <w:pPr>
      <w:spacing w:before="160"/>
      <w:jc w:val="center"/>
    </w:pPr>
    <w:rPr>
      <w:i/>
      <w:iCs/>
      <w:color w:val="404040" w:themeColor="text1" w:themeTint="BF"/>
    </w:rPr>
  </w:style>
  <w:style w:type="character" w:customStyle="1" w:styleId="QuoteChar">
    <w:name w:val="Quote Char"/>
    <w:basedOn w:val="DefaultParagraphFont"/>
    <w:link w:val="Quote"/>
    <w:uiPriority w:val="29"/>
    <w:rsid w:val="005F4E67"/>
    <w:rPr>
      <w:i/>
      <w:iCs/>
      <w:color w:val="404040" w:themeColor="text1" w:themeTint="BF"/>
    </w:rPr>
  </w:style>
  <w:style w:type="paragraph" w:styleId="ListParagraph">
    <w:name w:val="List Paragraph"/>
    <w:basedOn w:val="Normal"/>
    <w:uiPriority w:val="34"/>
    <w:qFormat/>
    <w:rsid w:val="005F4E67"/>
    <w:pPr>
      <w:ind w:left="720"/>
      <w:contextualSpacing/>
    </w:pPr>
  </w:style>
  <w:style w:type="character" w:styleId="IntenseEmphasis">
    <w:name w:val="Intense Emphasis"/>
    <w:basedOn w:val="DefaultParagraphFont"/>
    <w:uiPriority w:val="21"/>
    <w:qFormat/>
    <w:rsid w:val="005F4E67"/>
    <w:rPr>
      <w:i/>
      <w:iCs/>
      <w:color w:val="0F4761" w:themeColor="accent1" w:themeShade="BF"/>
    </w:rPr>
  </w:style>
  <w:style w:type="paragraph" w:styleId="IntenseQuote">
    <w:name w:val="Intense Quote"/>
    <w:basedOn w:val="Normal"/>
    <w:next w:val="Normal"/>
    <w:link w:val="IntenseQuoteChar"/>
    <w:uiPriority w:val="30"/>
    <w:qFormat/>
    <w:rsid w:val="005F4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E67"/>
    <w:rPr>
      <w:i/>
      <w:iCs/>
      <w:color w:val="0F4761" w:themeColor="accent1" w:themeShade="BF"/>
    </w:rPr>
  </w:style>
  <w:style w:type="character" w:styleId="IntenseReference">
    <w:name w:val="Intense Reference"/>
    <w:basedOn w:val="DefaultParagraphFont"/>
    <w:uiPriority w:val="32"/>
    <w:qFormat/>
    <w:rsid w:val="005F4E6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5F4E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F4E6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F4E6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5F4E67"/>
    <w:rPr>
      <w:b w:val="0"/>
      <w:sz w:val="22"/>
      <w:u w:val="single"/>
    </w:rPr>
  </w:style>
  <w:style w:type="character" w:styleId="Strong">
    <w:name w:val="Strong"/>
    <w:basedOn w:val="DefaultParagraphFont"/>
    <w:uiPriority w:val="22"/>
    <w:qFormat/>
    <w:rsid w:val="005F4E67"/>
    <w:rPr>
      <w:b/>
      <w:bCs/>
    </w:rPr>
  </w:style>
  <w:style w:type="character" w:styleId="BookTitle">
    <w:name w:val="Book Title"/>
    <w:basedOn w:val="DefaultParagraphFont"/>
    <w:uiPriority w:val="33"/>
    <w:qFormat/>
    <w:rsid w:val="005F4E67"/>
    <w:rPr>
      <w:b/>
      <w:bCs/>
      <w:i/>
      <w:iCs/>
      <w:spacing w:val="5"/>
    </w:rPr>
  </w:style>
  <w:style w:type="numbering" w:styleId="111111">
    <w:name w:val="Outline List 2"/>
    <w:basedOn w:val="NoList"/>
    <w:uiPriority w:val="99"/>
    <w:semiHidden/>
    <w:unhideWhenUsed/>
    <w:rsid w:val="005F4E67"/>
  </w:style>
  <w:style w:type="paragraph" w:styleId="Header">
    <w:name w:val="header"/>
    <w:basedOn w:val="Normal"/>
    <w:link w:val="HeaderChar"/>
    <w:uiPriority w:val="99"/>
    <w:semiHidden/>
    <w:rsid w:val="005F4E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4E67"/>
    <w:rPr>
      <w:rFonts w:ascii="Calibri" w:hAnsi="Calibri" w:cs="Calibri"/>
      <w:kern w:val="0"/>
      <w:sz w:val="22"/>
      <w:szCs w:val="22"/>
      <w14:ligatures w14:val="none"/>
    </w:rPr>
  </w:style>
  <w:style w:type="paragraph" w:styleId="Footer">
    <w:name w:val="footer"/>
    <w:basedOn w:val="Normal"/>
    <w:link w:val="FooterChar"/>
    <w:uiPriority w:val="99"/>
    <w:semiHidden/>
    <w:rsid w:val="005F4E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4E6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F4E67"/>
    <w:pPr>
      <w:spacing w:after="120"/>
    </w:pPr>
  </w:style>
  <w:style w:type="character" w:customStyle="1" w:styleId="BodyTextChar">
    <w:name w:val="Body Text Char"/>
    <w:basedOn w:val="DefaultParagraphFont"/>
    <w:link w:val="BodyText"/>
    <w:uiPriority w:val="99"/>
    <w:semiHidden/>
    <w:rsid w:val="005F4E67"/>
    <w:rPr>
      <w:rFonts w:ascii="Calibri" w:hAnsi="Calibri" w:cs="Calibri"/>
      <w:kern w:val="0"/>
      <w:sz w:val="22"/>
      <w:szCs w:val="22"/>
      <w14:ligatures w14:val="none"/>
    </w:rPr>
  </w:style>
  <w:style w:type="paragraph" w:styleId="NoSpacing">
    <w:name w:val="No Spacing"/>
    <w:link w:val="NoSpacingChar"/>
    <w:uiPriority w:val="99"/>
    <w:unhideWhenUsed/>
    <w:qFormat/>
    <w:rsid w:val="005F4E6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F4E67"/>
    <w:rPr>
      <w:rFonts w:ascii="Calibri" w:hAnsi="Calibri" w:cs="Calibri"/>
      <w:kern w:val="0"/>
      <w:sz w:val="22"/>
      <w:szCs w:val="22"/>
      <w14:ligatures w14:val="none"/>
    </w:rPr>
  </w:style>
  <w:style w:type="character" w:styleId="Hyperlink">
    <w:name w:val="Hyperlink"/>
    <w:basedOn w:val="DefaultParagraphFont"/>
    <w:uiPriority w:val="99"/>
    <w:unhideWhenUsed/>
    <w:rsid w:val="005F4E67"/>
    <w:rPr>
      <w:color w:val="467886" w:themeColor="hyperlink"/>
      <w:u w:val="single"/>
    </w:rPr>
  </w:style>
  <w:style w:type="character" w:styleId="UnresolvedMention">
    <w:name w:val="Unresolved Mention"/>
    <w:basedOn w:val="DefaultParagraphFont"/>
    <w:uiPriority w:val="99"/>
    <w:semiHidden/>
    <w:unhideWhenUsed/>
    <w:rsid w:val="005F4E67"/>
    <w:rPr>
      <w:color w:val="605E5C"/>
      <w:shd w:val="clear" w:color="auto" w:fill="E1DFDD"/>
    </w:rPr>
  </w:style>
  <w:style w:type="numbering" w:customStyle="1" w:styleId="NoList1">
    <w:name w:val="No List1"/>
    <w:next w:val="NoList"/>
    <w:uiPriority w:val="99"/>
    <w:semiHidden/>
    <w:unhideWhenUsed/>
    <w:rsid w:val="006F2C07"/>
  </w:style>
  <w:style w:type="paragraph" w:customStyle="1" w:styleId="textbold">
    <w:name w:val="text bold"/>
    <w:basedOn w:val="Normal"/>
    <w:link w:val="Emphasis"/>
    <w:uiPriority w:val="8"/>
    <w:qFormat/>
    <w:rsid w:val="006F2C07"/>
    <w:pPr>
      <w:spacing w:line="256" w:lineRule="auto"/>
      <w:ind w:left="720"/>
      <w:jc w:val="both"/>
    </w:pPr>
    <w:rPr>
      <w:b/>
      <w:iCs/>
      <w:kern w:val="2"/>
      <w:szCs w:val="24"/>
      <w:u w:val="single"/>
      <w14:ligatures w14:val="standardContextual"/>
    </w:rPr>
  </w:style>
  <w:style w:type="character" w:customStyle="1" w:styleId="Heading1Char1">
    <w:name w:val="Heading 1 Char1"/>
    <w:aliases w:val="Pocket Char1"/>
    <w:basedOn w:val="DefaultParagraphFont"/>
    <w:rsid w:val="006F2C07"/>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6F2C07"/>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6F2C07"/>
    <w:rPr>
      <w:rFonts w:ascii="Calibri" w:eastAsia="Times New Roman" w:hAnsi="Calibri" w:cs="Times New Roman"/>
      <w:color w:val="2F5496"/>
      <w:sz w:val="28"/>
      <w:szCs w:val="28"/>
    </w:rPr>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 Char"/>
    <w:basedOn w:val="DefaultParagraphFont"/>
    <w:uiPriority w:val="3"/>
    <w:semiHidden/>
    <w:rsid w:val="006F2C07"/>
    <w:rPr>
      <w:rFonts w:ascii="Calibri" w:eastAsia="Times New Roman" w:hAnsi="Calibri" w:cs="Times New Roman"/>
      <w:i/>
      <w:iCs/>
      <w:color w:val="2F5496"/>
    </w:rPr>
  </w:style>
  <w:style w:type="paragraph" w:customStyle="1" w:styleId="msonormal0">
    <w:name w:val="msonormal"/>
    <w:basedOn w:val="Normal"/>
    <w:rsid w:val="006F2C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0-CGanalytics">
    <w:name w:val="0-CGanalytics"/>
    <w:basedOn w:val="Heading4"/>
    <w:link w:val="0-CGanalyticsChar"/>
    <w:autoRedefine/>
    <w:uiPriority w:val="4"/>
    <w:qFormat/>
    <w:rsid w:val="006F2C07"/>
    <w:rPr>
      <w:bCs/>
      <w:color w:val="1353B9"/>
      <w:sz w:val="24"/>
      <w:szCs w:val="24"/>
    </w:rPr>
  </w:style>
  <w:style w:type="character" w:customStyle="1" w:styleId="0-CGanalyticsChar">
    <w:name w:val="0-CGanalytics Char"/>
    <w:basedOn w:val="DefaultParagraphFont"/>
    <w:link w:val="0-CGanalytics"/>
    <w:uiPriority w:val="4"/>
    <w:rsid w:val="006F2C07"/>
    <w:rPr>
      <w:rFonts w:ascii="Calibri" w:eastAsiaTheme="majorEastAsia" w:hAnsi="Calibri" w:cstheme="majorBidi"/>
      <w:b/>
      <w:bCs/>
      <w:iCs/>
      <w:color w:val="1353B9"/>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5589">
      <w:bodyDiv w:val="1"/>
      <w:marLeft w:val="0"/>
      <w:marRight w:val="0"/>
      <w:marTop w:val="0"/>
      <w:marBottom w:val="0"/>
      <w:divBdr>
        <w:top w:val="none" w:sz="0" w:space="0" w:color="auto"/>
        <w:left w:val="none" w:sz="0" w:space="0" w:color="auto"/>
        <w:bottom w:val="none" w:sz="0" w:space="0" w:color="auto"/>
        <w:right w:val="none" w:sz="0" w:space="0" w:color="auto"/>
      </w:divBdr>
    </w:div>
    <w:div w:id="312803725">
      <w:bodyDiv w:val="1"/>
      <w:marLeft w:val="0"/>
      <w:marRight w:val="0"/>
      <w:marTop w:val="0"/>
      <w:marBottom w:val="0"/>
      <w:divBdr>
        <w:top w:val="none" w:sz="0" w:space="0" w:color="auto"/>
        <w:left w:val="none" w:sz="0" w:space="0" w:color="auto"/>
        <w:bottom w:val="none" w:sz="0" w:space="0" w:color="auto"/>
        <w:right w:val="none" w:sz="0" w:space="0" w:color="auto"/>
      </w:divBdr>
    </w:div>
    <w:div w:id="325668671">
      <w:bodyDiv w:val="1"/>
      <w:marLeft w:val="0"/>
      <w:marRight w:val="0"/>
      <w:marTop w:val="0"/>
      <w:marBottom w:val="0"/>
      <w:divBdr>
        <w:top w:val="none" w:sz="0" w:space="0" w:color="auto"/>
        <w:left w:val="none" w:sz="0" w:space="0" w:color="auto"/>
        <w:bottom w:val="none" w:sz="0" w:space="0" w:color="auto"/>
        <w:right w:val="none" w:sz="0" w:space="0" w:color="auto"/>
      </w:divBdr>
    </w:div>
    <w:div w:id="507208107">
      <w:bodyDiv w:val="1"/>
      <w:marLeft w:val="0"/>
      <w:marRight w:val="0"/>
      <w:marTop w:val="0"/>
      <w:marBottom w:val="0"/>
      <w:divBdr>
        <w:top w:val="none" w:sz="0" w:space="0" w:color="auto"/>
        <w:left w:val="none" w:sz="0" w:space="0" w:color="auto"/>
        <w:bottom w:val="none" w:sz="0" w:space="0" w:color="auto"/>
        <w:right w:val="none" w:sz="0" w:space="0" w:color="auto"/>
      </w:divBdr>
    </w:div>
    <w:div w:id="1130124247">
      <w:bodyDiv w:val="1"/>
      <w:marLeft w:val="0"/>
      <w:marRight w:val="0"/>
      <w:marTop w:val="0"/>
      <w:marBottom w:val="0"/>
      <w:divBdr>
        <w:top w:val="none" w:sz="0" w:space="0" w:color="auto"/>
        <w:left w:val="none" w:sz="0" w:space="0" w:color="auto"/>
        <w:bottom w:val="none" w:sz="0" w:space="0" w:color="auto"/>
        <w:right w:val="none" w:sz="0" w:space="0" w:color="auto"/>
      </w:divBdr>
    </w:div>
    <w:div w:id="1384793387">
      <w:bodyDiv w:val="1"/>
      <w:marLeft w:val="0"/>
      <w:marRight w:val="0"/>
      <w:marTop w:val="0"/>
      <w:marBottom w:val="0"/>
      <w:divBdr>
        <w:top w:val="none" w:sz="0" w:space="0" w:color="auto"/>
        <w:left w:val="none" w:sz="0" w:space="0" w:color="auto"/>
        <w:bottom w:val="none" w:sz="0" w:space="0" w:color="auto"/>
        <w:right w:val="none" w:sz="0" w:space="0" w:color="auto"/>
      </w:divBdr>
    </w:div>
    <w:div w:id="1569728253">
      <w:bodyDiv w:val="1"/>
      <w:marLeft w:val="0"/>
      <w:marRight w:val="0"/>
      <w:marTop w:val="0"/>
      <w:marBottom w:val="0"/>
      <w:divBdr>
        <w:top w:val="none" w:sz="0" w:space="0" w:color="auto"/>
        <w:left w:val="none" w:sz="0" w:space="0" w:color="auto"/>
        <w:bottom w:val="none" w:sz="0" w:space="0" w:color="auto"/>
        <w:right w:val="none" w:sz="0" w:space="0" w:color="auto"/>
      </w:divBdr>
    </w:div>
    <w:div w:id="169989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1952/9781529224832.ch010" TargetMode="External"/><Relationship Id="rId5" Type="http://schemas.openxmlformats.org/officeDocument/2006/relationships/hyperlink" Target="https://supreme.justia.com/cases/federal/us/596/21-44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41985</Words>
  <Characters>239316</Characters>
  <Application>Microsoft Office Word</Application>
  <DocSecurity>0</DocSecurity>
  <Lines>1994</Lines>
  <Paragraphs>561</Paragraphs>
  <ScaleCrop>false</ScaleCrop>
  <Company/>
  <LinksUpToDate>false</LinksUpToDate>
  <CharactersWithSpaces>280740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3</cp:revision>
  <dcterms:created xsi:type="dcterms:W3CDTF">2025-07-10T23:36:00Z</dcterms:created>
  <dcterms:modified xsi:type="dcterms:W3CDTF">2025-07-10T23:52:00Z</dcterms:modified>
</cp:coreProperties>
</file>