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D18F8" w14:textId="78C34F3F" w:rsidR="00384673" w:rsidRDefault="000448DC" w:rsidP="00C90932">
      <w:pPr>
        <w:pStyle w:val="Heading1"/>
        <w:rPr>
          <w:rFonts w:cs="Calibri"/>
        </w:rPr>
      </w:pPr>
      <w:r>
        <w:rPr>
          <w:rFonts w:cs="Calibri"/>
        </w:rPr>
        <w:t>K – Blue Humanities –</w:t>
      </w:r>
      <w:r w:rsidR="0095333F">
        <w:rPr>
          <w:rFonts w:cs="Calibri"/>
        </w:rPr>
        <w:t xml:space="preserve"> </w:t>
      </w:r>
      <w:r>
        <w:rPr>
          <w:rFonts w:cs="Calibri"/>
        </w:rPr>
        <w:t>DGHL</w:t>
      </w:r>
    </w:p>
    <w:p w14:paraId="59AC6CC3" w14:textId="0B1A7590" w:rsidR="00120547" w:rsidRPr="00120547" w:rsidRDefault="00120547" w:rsidP="00120547">
      <w:pPr>
        <w:pStyle w:val="Heading3"/>
      </w:pPr>
      <w:r>
        <w:t>Notes</w:t>
      </w:r>
    </w:p>
    <w:p w14:paraId="5F8525E8" w14:textId="4EFA1602" w:rsidR="00FA67BF" w:rsidRPr="00C90932" w:rsidRDefault="00586A2E" w:rsidP="00C90932">
      <w:r>
        <w:rPr>
          <w:b/>
          <w:bCs/>
        </w:rPr>
        <w:t>Explanation:</w:t>
      </w:r>
      <w:r w:rsidR="00CC3D42" w:rsidRPr="00C90932">
        <w:t xml:space="preserve"> </w:t>
      </w:r>
      <w:r w:rsidR="00CC3D42" w:rsidRPr="00C90932">
        <w:br/>
      </w:r>
      <w:r w:rsidR="00A36AA1" w:rsidRPr="00C90932">
        <w:t xml:space="preserve">The theory of the </w:t>
      </w:r>
      <w:r w:rsidR="00431077" w:rsidRPr="00C90932">
        <w:t>K</w:t>
      </w:r>
      <w:r w:rsidR="00A36AA1" w:rsidRPr="00C90932">
        <w:t xml:space="preserve"> is that there is an innate connection between the desire to have control over the blue (both the literal pigment blue, and the more metaphorical </w:t>
      </w:r>
      <w:r w:rsidR="00FA67BF" w:rsidRPr="00C90932">
        <w:t xml:space="preserve">oceanic territory and blue economic resources) and that this desire </w:t>
      </w:r>
      <w:r w:rsidR="008F7D96" w:rsidRPr="00C90932">
        <w:t xml:space="preserve">is intrinsic to colonialism and leads to forms of sovereign genocide. </w:t>
      </w:r>
      <w:r w:rsidR="008F7D96" w:rsidRPr="00C90932">
        <w:br/>
      </w:r>
      <w:r w:rsidR="008F7D96" w:rsidRPr="00C90932">
        <w:br/>
        <w:t xml:space="preserve">When the aff reads the typical “set col wrong” arguments you can mostly no-link, because they don’t answer the specificity of the K. </w:t>
      </w:r>
      <w:r w:rsidR="008F7D96" w:rsidRPr="00C90932">
        <w:br/>
      </w:r>
      <w:r w:rsidR="008F7D96" w:rsidRPr="00C90932">
        <w:br/>
        <w:t xml:space="preserve">Blue isn’t an “FYI” in this instance, rather it points to desire to control the arctic as UNIQUE in the area of colonialism, which means even if they win that ontology/colonialism is malleable, you’re winning </w:t>
      </w:r>
      <w:r w:rsidR="00D02D38" w:rsidRPr="00C90932">
        <w:t xml:space="preserve">that BLUE DESIRES are not. Make them answer your specific claims or lose. </w:t>
      </w:r>
    </w:p>
    <w:p w14:paraId="4460EAD6" w14:textId="0E3D86FF" w:rsidR="00CC3D42" w:rsidRPr="00C90932" w:rsidRDefault="00CC3D42" w:rsidP="00C90932">
      <w:r w:rsidRPr="00C90932">
        <w:br/>
        <w:t xml:space="preserve">This </w:t>
      </w:r>
      <w:r w:rsidR="00586A2E">
        <w:t>K</w:t>
      </w:r>
      <w:r w:rsidRPr="00C90932">
        <w:t xml:space="preserve"> is designed to be read </w:t>
      </w:r>
      <w:r w:rsidR="00D02D38" w:rsidRPr="00C90932">
        <w:t xml:space="preserve">as a one off or two off position. Don’t read this with a substantial number of other offs. </w:t>
      </w:r>
      <w:r w:rsidR="00E957DD" w:rsidRPr="00C90932">
        <w:br/>
      </w:r>
      <w:r w:rsidR="00E957DD" w:rsidRPr="00C90932">
        <w:br/>
        <w:t xml:space="preserve">understanding the theory of the kritik </w:t>
      </w:r>
      <w:r w:rsidR="00C713B4" w:rsidRPr="00C90932">
        <w:t xml:space="preserve">will be key to answering 2AC arguments. All the 2AC cards in this file have answers in 1NC evidence, you just need to draw them out. </w:t>
      </w:r>
      <w:r w:rsidR="00C713B4" w:rsidRPr="00C90932">
        <w:br/>
      </w:r>
      <w:r w:rsidR="00C713B4" w:rsidRPr="00C90932">
        <w:br/>
        <w:t xml:space="preserve">The humanism question: This K is NOT antihumanist, its post-humanist. (see: the </w:t>
      </w:r>
      <w:r w:rsidR="00323238" w:rsidRPr="00C90932">
        <w:t>Wildersonian humanism bad cards in the 2AC)</w:t>
      </w:r>
    </w:p>
    <w:p w14:paraId="29A03BB2" w14:textId="1063A6A7" w:rsidR="00431077" w:rsidRDefault="00431077" w:rsidP="00C90932"/>
    <w:p w14:paraId="5B1A2604" w14:textId="2978E216" w:rsidR="002739F6" w:rsidRDefault="002739F6" w:rsidP="00C90932">
      <w:r>
        <w:t xml:space="preserve">There are two ways to read the K – one as a Sharpe esque antiblackness K and one as a blue humanities post colonialist K. The two configurations are different shells in the 1NC configuration. </w:t>
      </w:r>
    </w:p>
    <w:p w14:paraId="74347D2B" w14:textId="77777777" w:rsidR="00586A2E" w:rsidRDefault="00586A2E" w:rsidP="00C90932"/>
    <w:p w14:paraId="620E2E16" w14:textId="2F8A1093" w:rsidR="00586A2E" w:rsidRDefault="00586A2E" w:rsidP="00C90932">
      <w:r>
        <w:t>There are a variety of AFF answers in this file because there are lots of ways this K can be deployed.</w:t>
      </w:r>
      <w:r w:rsidR="00B2587A">
        <w:t xml:space="preserve"> It is up to you to decide which cards matter depending on how the 1NC articulates its thesis.</w:t>
      </w:r>
      <w:r>
        <w:t xml:space="preserve"> Not all of the answers will be responsive to every version of the K.</w:t>
      </w:r>
    </w:p>
    <w:p w14:paraId="02391EEA" w14:textId="77777777" w:rsidR="00586A2E" w:rsidRDefault="00586A2E" w:rsidP="00C90932"/>
    <w:p w14:paraId="5BC468EC" w14:textId="4BBCE5D4" w:rsidR="00586A2E" w:rsidRDefault="00586A2E" w:rsidP="00C90932">
      <w:r w:rsidRPr="00C90932">
        <w:t xml:space="preserve">The science link is AT: Permutation </w:t>
      </w:r>
      <w:r w:rsidRPr="00C90932">
        <w:sym w:font="Wingdings" w:char="F04A"/>
      </w:r>
    </w:p>
    <w:p w14:paraId="13343167" w14:textId="77777777" w:rsidR="00586A2E" w:rsidRDefault="00586A2E" w:rsidP="00C90932"/>
    <w:p w14:paraId="503B6C17" w14:textId="551B2F16" w:rsidR="00586A2E" w:rsidRDefault="00586A2E" w:rsidP="00C90932">
      <w:pPr>
        <w:rPr>
          <w:b/>
          <w:bCs/>
        </w:rPr>
      </w:pPr>
      <w:r>
        <w:rPr>
          <w:b/>
          <w:bCs/>
        </w:rPr>
        <w:t>Credits:</w:t>
      </w:r>
    </w:p>
    <w:p w14:paraId="7EEE31AB" w14:textId="07501961" w:rsidR="00586A2E" w:rsidRPr="00C90932" w:rsidRDefault="00586A2E" w:rsidP="00C90932">
      <w:r>
        <w:t xml:space="preserve">This file was </w:t>
      </w:r>
      <w:r w:rsidR="00B2587A">
        <w:t>authored</w:t>
      </w:r>
      <w:r>
        <w:t xml:space="preserve"> by Micah Byron-Smarra with </w:t>
      </w:r>
      <w:r w:rsidR="00563DFE">
        <w:t xml:space="preserve">outside </w:t>
      </w:r>
      <w:r>
        <w:t>help from Isaac Love. You may email them at mi</w:t>
      </w:r>
      <w:r w:rsidR="00715718">
        <w:t>ca</w:t>
      </w:r>
      <w:r>
        <w:t xml:space="preserve">hb@waringschool.org with questions. </w:t>
      </w:r>
    </w:p>
    <w:p w14:paraId="5CAFB2CD" w14:textId="77777777" w:rsidR="00D610BF" w:rsidRPr="00C90932" w:rsidRDefault="00D610BF" w:rsidP="00C90932"/>
    <w:p w14:paraId="4B1350A7" w14:textId="35815C6D" w:rsidR="00E4478A" w:rsidRPr="00C90932" w:rsidRDefault="00E4478A" w:rsidP="00E4478A">
      <w:pPr>
        <w:pStyle w:val="Heading2"/>
      </w:pPr>
      <w:r>
        <w:t>1NC Shells</w:t>
      </w:r>
    </w:p>
    <w:p w14:paraId="332A1489" w14:textId="7C8BDD01" w:rsidR="008D2774" w:rsidRPr="00C90932" w:rsidRDefault="008D2774" w:rsidP="00C90932">
      <w:pPr>
        <w:pStyle w:val="Heading3"/>
        <w:rPr>
          <w:rFonts w:cs="Calibri"/>
        </w:rPr>
      </w:pPr>
      <w:r w:rsidRPr="00C90932">
        <w:rPr>
          <w:rFonts w:cs="Calibri"/>
        </w:rPr>
        <w:t xml:space="preserve">1NC </w:t>
      </w:r>
      <w:r w:rsidR="00485562" w:rsidRPr="00C90932">
        <w:rPr>
          <w:rFonts w:cs="Calibri"/>
        </w:rPr>
        <w:t>–</w:t>
      </w:r>
      <w:r w:rsidRPr="00C90932">
        <w:rPr>
          <w:rFonts w:cs="Calibri"/>
        </w:rPr>
        <w:t xml:space="preserve"> Shell</w:t>
      </w:r>
      <w:r w:rsidR="00485562" w:rsidRPr="00C90932">
        <w:rPr>
          <w:rFonts w:cs="Calibri"/>
        </w:rPr>
        <w:t xml:space="preserve"> – Post Colonialism Version</w:t>
      </w:r>
    </w:p>
    <w:p w14:paraId="57DF014D" w14:textId="4397D744" w:rsidR="008D2774" w:rsidRPr="00C90932" w:rsidRDefault="008D2774" w:rsidP="0012117C">
      <w:pPr>
        <w:pStyle w:val="Heading4"/>
      </w:pPr>
      <w:r w:rsidRPr="00C90932">
        <w:t xml:space="preserve">Histories of colonialism and extraction are inextricably linked to a </w:t>
      </w:r>
      <w:r w:rsidRPr="00C90932">
        <w:rPr>
          <w:u w:val="single"/>
        </w:rPr>
        <w:t>western infatuation</w:t>
      </w:r>
      <w:r w:rsidRPr="00C90932">
        <w:t xml:space="preserve"> of </w:t>
      </w:r>
      <w:r w:rsidRPr="00C90932">
        <w:rPr>
          <w:u w:val="single"/>
        </w:rPr>
        <w:t>blue pigment</w:t>
      </w:r>
      <w:r w:rsidRPr="00C90932">
        <w:t xml:space="preserve">. Lapis lazuli and indigo expanded imperial power to the global south in the form of plantations. Its disruptive power created </w:t>
      </w:r>
      <w:r w:rsidRPr="00C90932">
        <w:rPr>
          <w:u w:val="single"/>
        </w:rPr>
        <w:t>Blue Colonial Pathways</w:t>
      </w:r>
      <w:r w:rsidRPr="00C90932">
        <w:t xml:space="preserve"> to </w:t>
      </w:r>
      <w:r w:rsidRPr="00C90932">
        <w:rPr>
          <w:u w:val="single"/>
        </w:rPr>
        <w:t xml:space="preserve">expand </w:t>
      </w:r>
      <w:r w:rsidRPr="0012117C">
        <w:t>colonization</w:t>
      </w:r>
      <w:r w:rsidRPr="00C90932">
        <w:t xml:space="preserve">, while </w:t>
      </w:r>
      <w:r w:rsidRPr="00C90932">
        <w:rPr>
          <w:u w:val="single"/>
        </w:rPr>
        <w:t>simultaneously fueling resistance</w:t>
      </w:r>
      <w:r w:rsidRPr="00C90932">
        <w:t xml:space="preserve"> against colonial rule.</w:t>
      </w:r>
    </w:p>
    <w:p w14:paraId="2141BFC4" w14:textId="2605240E" w:rsidR="008D2774" w:rsidRPr="00C90932" w:rsidRDefault="008D2774" w:rsidP="00C90932">
      <w:r w:rsidRPr="00C90932">
        <w:rPr>
          <w:rStyle w:val="Style13ptBold"/>
        </w:rPr>
        <w:t>Ferwerda 24</w:t>
      </w:r>
      <w:r w:rsidRPr="00C90932">
        <w:t xml:space="preserve"> [Susanne Ferwerda, </w:t>
      </w:r>
      <w:r w:rsidR="00E177C7">
        <w:t xml:space="preserve">Assistant Professor of Comparative Literature, Utrecht University, PhD in English from the University of Tasmania, </w:t>
      </w:r>
      <w:r w:rsidRPr="00C90932">
        <w:t xml:space="preserve">March 2024, “Blue Humanities and the Color of Colonialism,” </w:t>
      </w:r>
      <w:r w:rsidR="00E177C7">
        <w:t xml:space="preserve">Environmental Humanities 16(1), </w:t>
      </w:r>
      <w:r w:rsidRPr="005A21D6">
        <w:t>https://read.dukeupress.edu/environmental-humanities/article/16/1/1/386278/Blue-Humanities-and-the-Color-of-Colonialism</w:t>
      </w:r>
      <w:r w:rsidRPr="00C90932">
        <w:t xml:space="preserve"> // M</w:t>
      </w:r>
      <w:r w:rsidR="008072AE" w:rsidRPr="00C90932">
        <w:t>icah</w:t>
      </w:r>
      <w:r w:rsidRPr="00C90932">
        <w:t>]</w:t>
      </w:r>
    </w:p>
    <w:p w14:paraId="38F91855" w14:textId="59CE0BCB" w:rsidR="00FA2AAA" w:rsidRPr="00C90932" w:rsidRDefault="008D2774" w:rsidP="00C90932">
      <w:pPr>
        <w:rPr>
          <w:u w:val="single"/>
        </w:rPr>
      </w:pPr>
      <w:r w:rsidRPr="00C90932">
        <w:rPr>
          <w:u w:val="single"/>
        </w:rPr>
        <w:t>In 2009, Dutch visual artist Pieter Paul Pothoven traveled to Afghanistan for seven weeks</w:t>
      </w:r>
      <w:r w:rsidRPr="00C90932">
        <w:rPr>
          <w:b/>
          <w:bCs/>
          <w:u w:val="single"/>
        </w:rPr>
        <w:t>, in search of lapis lazuli</w:t>
      </w:r>
      <w:r w:rsidRPr="00C90932">
        <w:rPr>
          <w:u w:val="single"/>
        </w:rPr>
        <w:t xml:space="preserve"> and the famous Sar-e-Sang mines. </w:t>
      </w:r>
      <w:r w:rsidRPr="00C90932">
        <w:rPr>
          <w:sz w:val="16"/>
        </w:rPr>
        <w:t xml:space="preserve">Funded by the Netherlands Foundation for Visual Arts, Design and Architecture (Fonds BKVB) he visited the mines for two days, which resulted in several series of works over the past twelve years that use lapis lazuli both symbolically and physically. 33 For Laguard (2010–15), Pothoven photographed five cut and polished slabs of the lapis lazuli he purchased in Afghanistan, near the Sar-e-Sang mines.34 The photographs show five different types of lapis lazuli, out of the thirteen types the Sar-e-Sang mineworkers differentiate.35 The bright blues of the lazurite mineral are marbled with the white of the calcite and the light-golden pyrite, resulting in images from “beyond the sea” that resemble drone shots of ocean waves crashing into the shore (fig. 1). </w:t>
      </w:r>
      <w:r w:rsidRPr="00C90932">
        <w:rPr>
          <w:u w:val="single"/>
        </w:rPr>
        <w:t xml:space="preserve">Pothoven’s series draw on the </w:t>
      </w:r>
      <w:r w:rsidRPr="00C90932">
        <w:rPr>
          <w:b/>
          <w:bCs/>
          <w:u w:val="single"/>
        </w:rPr>
        <w:t>historical fascination</w:t>
      </w:r>
      <w:r w:rsidRPr="00C90932">
        <w:rPr>
          <w:u w:val="single"/>
        </w:rPr>
        <w:t xml:space="preserve"> with the high-quality lapis lazuli from Afghanistan and show the wide range of blues that can be extracted from the mineral rock. His work is, moreover, indebted to the changing sociocultural and material situation of late twentieth- and early twentyfirst-century Afghanistan. The pieces of lapis lazuli Pothoven bought in Afghanistan traveled to the Netherlands with the assistance of the Dutch military forces, “shipped by the Dutch Embassy through Kamp Holland (ISAF) in Tarin Kowt, Uruzgan, to the naval base in Amsterdam . . . where Dutch East India Company (VOC) </w:t>
      </w:r>
      <w:r w:rsidRPr="00C90932">
        <w:rPr>
          <w:b/>
          <w:bCs/>
          <w:u w:val="single"/>
        </w:rPr>
        <w:t>ships were once built</w:t>
      </w:r>
      <w:r w:rsidRPr="00C90932">
        <w:rPr>
          <w:u w:val="single"/>
        </w:rPr>
        <w:t>.</w:t>
      </w:r>
      <w:r w:rsidRPr="00C90932">
        <w:rPr>
          <w:sz w:val="16"/>
        </w:rPr>
        <w:t xml:space="preserve">”36 Laguard, as well as </w:t>
      </w:r>
      <w:r w:rsidRPr="00C90932">
        <w:rPr>
          <w:b/>
          <w:bCs/>
          <w:u w:val="single"/>
        </w:rPr>
        <w:t>Pothoven’s subsequent series, would not have existed without the assistance of the Dutch navy,</w:t>
      </w:r>
      <w:r w:rsidRPr="00C90932">
        <w:rPr>
          <w:u w:val="single"/>
        </w:rPr>
        <w:t xml:space="preserve"> itself part of the 2001 imperialist invasion of Afghanistan by US and allied Western forces. The ways in which Afghanistan has been conceptualized since the nineteenth century are </w:t>
      </w:r>
      <w:r w:rsidRPr="00C90932">
        <w:rPr>
          <w:b/>
          <w:bCs/>
          <w:u w:val="single"/>
        </w:rPr>
        <w:t xml:space="preserve">closely connected to imperial geopolitical agendas and the Orientalist paradigm that underlies </w:t>
      </w:r>
      <w:r w:rsidRPr="00C90932">
        <w:rPr>
          <w:u w:val="single"/>
        </w:rPr>
        <w:t xml:space="preserve">the “war on terror.”37 Pothoven’s work attests to the “asymmetric distribution of labor, power and wealth” and the connection of the arts to the legacies of Western extractivism, but it ultimately treads similar </w:t>
      </w:r>
      <w:r w:rsidRPr="00C90932">
        <w:rPr>
          <w:b/>
          <w:bCs/>
          <w:u w:val="single"/>
        </w:rPr>
        <w:t>blue colonial pathways</w:t>
      </w:r>
      <w:r w:rsidRPr="00C90932">
        <w:rPr>
          <w:u w:val="single"/>
        </w:rPr>
        <w:t xml:space="preserve"> and, via his purchase of stones and their subsequent voyage to Amsterdam, reiterates these patterns.38 33. van Velzen, “DIG Interview”; at the time of writing, Pothoven’s lapis lazuli series include Laguard (2010–15), Shaft Gallery Drop (2010),</w:t>
      </w:r>
      <w:r w:rsidRPr="00C90932">
        <w:rPr>
          <w:sz w:val="16"/>
        </w:rPr>
        <w:t xml:space="preserve"> In Absentia (2010), Lapis Lazuli from Serr-i-Sang (2012–15), and Consignor Consignee (</w:t>
      </w:r>
      <w:r w:rsidRPr="00C90932">
        <w:rPr>
          <w:u w:val="single"/>
        </w:rPr>
        <w:t>2021). 34. Named after the Koh-e-Laguard mine, the Blue Mountain, where the lapis lazuli consisting of the purest lazurite is found. The most valuable lapis lazuli is called “sorghpar,” the name of the lapis lazuli seen in figure 1. 35.</w:t>
      </w:r>
      <w:r w:rsidRPr="00C90932">
        <w:rPr>
          <w:sz w:val="16"/>
        </w:rPr>
        <w:t xml:space="preserve"> Pothoven, “Laguard.” 36. Pothoven, “Consignor Consignee.” 37. For critiques of the Western imperial imaginations of Afghanistan post-2001 military interventions and ways to rethink and represent Afghanistan, see Bose, Intervention Narratives; Manchanda, Imagining Afghanistan; Osman, Television and the Afghan Culture Wars. 38. Pothoven, “Consignor Consignee.” 8 Environmental Humanities 16:1 / March 2024 Downloaded from http://read.dukeupress.edu/environmental-humanities/article-pdf/16/1/1/2073118/1ferwerda.pdf by guest on 10 December 2024 The series of </w:t>
      </w:r>
      <w:r w:rsidRPr="00C90932">
        <w:rPr>
          <w:u w:val="single"/>
        </w:rPr>
        <w:t xml:space="preserve">photographs titled In Absentia (2010) consist of three almost entirely black-and-gray images (fig. 2) of the entrance to the main Ser-e-Sang mine. Surrounding the dark visualization of the entrance to what once held vast amounts of lapis lazuli, some flecks of light stand out and appear to reflect the gold-colored iron pyrite that marbles the lapis lazuli stone. The mines’ dark and hollow appearance, </w:t>
      </w:r>
      <w:r w:rsidRPr="00C90932">
        <w:rPr>
          <w:sz w:val="16"/>
        </w:rPr>
        <w:t xml:space="preserve">Patricia Pisters Figure 1. Pieter Paul Pothoven, Sample 2/1, </w:t>
      </w:r>
      <w:r w:rsidRPr="00AA39FC">
        <w:rPr>
          <w:sz w:val="16"/>
        </w:rPr>
        <w:t>Sorghpar Adit #1, from the series Laguard (2010). Courtesy of Dürst Britt and Mayhew, The Hague, Netherlands. Ferwerda / Blue Humanities 9 Downloaded from http://read.dukeupress.edu/environmental-humanities/article-pdf/16/1/1/2073118/1ferwerda.pdf by guest on 10 December 2024 writes, is “a reminder of the condition of the mine workers, who risk their lives in their daily journey up the mountain to go into the belly of the mountain to blast, drill or cut out its blue matter with very simple tools and in unsafe conditions.”39 The absence of blue and depiction of the empty mine is representative of the dark side of the idolization of the color blue that Pothoven’s work draws attention to. T</w:t>
      </w:r>
      <w:r w:rsidRPr="00C90932">
        <w:rPr>
          <w:u w:val="single"/>
        </w:rPr>
        <w:t xml:space="preserve">he disruptive nature of Giotto’s blue is doubled as blue mountains and mines make way for the post-9/11 “geopolitical fetishism” of the terror hiding in Afghan caves.40 In Absentia makes visible the capitalist extraction of the lapis lazuli rock and the human cost of ripping the blue out of the mountain, and the literal darkness that has taken over Sar-e-Sang now that much of the lapis lazuli has disappeared. Yet it also visualizes the imagined darkness of the cave in the early twenty-first century. </w:t>
      </w:r>
      <w:r w:rsidRPr="00C90932">
        <w:rPr>
          <w:b/>
          <w:bCs/>
          <w:u w:val="single"/>
        </w:rPr>
        <w:t>The mountain, the cave, the rock, the pigment, the ship, the navy, and the military are part of the blue colonial threads that are woven of blue material and its remnants across thousands of years.</w:t>
      </w:r>
      <w:r w:rsidRPr="00C90932">
        <w:rPr>
          <w:u w:val="single"/>
        </w:rPr>
        <w:t xml:space="preserve"> Pothoven’s work critiques the Western obsession with the most expensive blue in the world and visualizes its increased absence. Yet his work simultaneously affirms the continued appeal of these deep blue shades and retraces the journeys of the lapis lazuli rock in a post-9/11 world. His beautiful blues speak to the imagination and affirm our </w:t>
      </w:r>
      <w:r w:rsidRPr="00C90932">
        <w:rPr>
          <w:sz w:val="16"/>
        </w:rPr>
        <w:t xml:space="preserve">Figure 2. Pieter Paul Pothoven, Main Mine, Adit #2, from the series In Absentia (2010). Courtesy of Dürst Britt and Mayhew, The Hague, Netherlands. 39. Pisters, “Deep Blue Geomeditations,” 41. 40. Bose, Intervention Narratives, 10. 10 Environmental Humanities 16:1 / March 2024 Downloaded from http://read.dukeupress.edu/environmental-humanities/article-pdf/16/1/1/2073118/1ferwerda.pdf by guest on 10 December 2024 </w:t>
      </w:r>
      <w:r w:rsidRPr="00C90932">
        <w:rPr>
          <w:u w:val="single"/>
        </w:rPr>
        <w:t>continued obsession with these famous Afghan pigments. This shows that in our contemporary engagements with the blue, it remains difficult or even impossible to escape its colonial and material complexity. The colonial void of the blue in Pothoven’s lapis lazuli series, like Kristeva’s absent referent in Giotto’s Scrovegni Chapel frescoes</w:t>
      </w:r>
      <w:r w:rsidRPr="00C90932">
        <w:rPr>
          <w:b/>
          <w:bCs/>
          <w:u w:val="single"/>
        </w:rPr>
        <w:t>, visualizes the disruptive nature of Western blue desires</w:t>
      </w:r>
      <w:r w:rsidRPr="00C90932">
        <w:rPr>
          <w:u w:val="single"/>
        </w:rPr>
        <w:t>. Ultramarine unsettles and uncenters the dominant Western subject and exposes the blue humanities to the potency of the blue itself. Thinking with blue in the blue humanities via Kristeva and Pothoven shows that blue cannot be equated with simply water, which also always already “varies in viscosities, intensities and densities” and exposes the blue humanities to this complexity.41</w:t>
      </w:r>
      <w:r w:rsidRPr="00C90932">
        <w:rPr>
          <w:sz w:val="16"/>
        </w:rPr>
        <w:t xml:space="preserve"> </w:t>
      </w:r>
      <w:r w:rsidRPr="00C90932">
        <w:rPr>
          <w:b/>
          <w:bCs/>
          <w:u w:val="single"/>
        </w:rPr>
        <w:t xml:space="preserve">The rocky qualities of lapis lazuli are entangled with the seas, the mountains, and the fabric of military naval dress in a blue figuration that destabilizes Western blue desires, </w:t>
      </w:r>
      <w:r w:rsidRPr="00C90932">
        <w:rPr>
          <w:u w:val="single"/>
        </w:rPr>
        <w:t>further shown in a material-semiotic analysis of indigo.</w:t>
      </w:r>
      <w:r w:rsidRPr="00AA39FC">
        <w:rPr>
          <w:sz w:val="16"/>
        </w:rPr>
        <w:t>42 Indigo and Royal Blue Disruption Like ultramarine, indigo has long been a color of disruption. As the European craving for lapis lazuli grew, so did the pursuit of other sources of blue. Animal-derived blue from, for instance, the punctured gland of the Murex trunculus sea snail, was similarly expensive and required tens of thousands of snails for a single kilogram of dye. The other popular blue, indigo, had long been extracted from the native European “woad” (Isatis tinctoria). But with the discovery of Indian-grown indigo (Indigofera tinctoria)—the plant used to dye British naval uniforms—the British had eyes on a more versatile and colorfast dye. Throughout the medieval period, European monarchies had attempted to block the trade of Indian indigo in order to protect the economic stability of the local woad production</w:t>
      </w:r>
      <w:r w:rsidRPr="00C90932">
        <w:rPr>
          <w:u w:val="single"/>
        </w:rPr>
        <w:t>.</w:t>
      </w:r>
      <w:r w:rsidRPr="00C90932">
        <w:rPr>
          <w:sz w:val="16"/>
        </w:rPr>
        <w:t xml:space="preserve"> Indigo became colloquially known as the Devil’s Dye, in opposition to the godly ultramarine. But once the Portuguese, the Dutch, and then the British established maritime connections between Europe and Asia, indigo was imported in such vast quantities that woad prices inevitably dropped</w:t>
      </w:r>
      <w:r w:rsidRPr="00C90932">
        <w:rPr>
          <w:u w:val="single"/>
        </w:rPr>
        <w:t xml:space="preserve">. In the seventeenth century, indigo emerged as the dominant blue of the modern world, and by the eighteenth century, </w:t>
      </w:r>
      <w:r w:rsidRPr="00C90932">
        <w:rPr>
          <w:b/>
          <w:bCs/>
          <w:u w:val="single"/>
        </w:rPr>
        <w:t>indigo production had become inextricably entwined with the transatlantic slave trade</w:t>
      </w:r>
      <w:r w:rsidRPr="00C90932">
        <w:rPr>
          <w:u w:val="single"/>
        </w:rPr>
        <w:t>, further expanding colonial blue pathways.43 Motivated by the widening market for indigo, the British invested in the creation of large-scale plantations in the New World in order to expand indigo production and increase the empire’s wealth. The extensive use of slave labor on large plantations on occupied lands in, for instance, Jamaica and South Carolina meant that even with the added cost of transporting indigo back to Europe, British merchants could keep the price of indigo so low that European woad could no longer compete. Indigo became the blue that would make the British Empire wealthier than it had ever been. This blue wealth 41. Blackmore and Gómez ,</w:t>
      </w:r>
      <w:r w:rsidRPr="00C90932">
        <w:rPr>
          <w:sz w:val="16"/>
        </w:rPr>
        <w:t xml:space="preserve"> Liquid Ecologies, 2. 42. Haraway, Simians, Cyborgs, and Women. 43. Sandberg, Indigo Textiles; Nash, “South Carolina Indigo”; McKinley, Indigo. Ferwerda / Blue Humanities 1 1 Downloaded from http://read.dukeupress.edu/environmental-humanities/article-pdf/16/1/1/2073118/1ferwerda.pdf by guest on 10 December 2024 </w:t>
      </w:r>
      <w:r w:rsidRPr="00C90932">
        <w:rPr>
          <w:u w:val="single"/>
        </w:rPr>
        <w:t>came at the cost of many African people’s lives, whose bodies were used to grow indigo and many of whom died as they were forced to cross the Atlantic Ocean. Indigo, along with ivory, pepper, and other commodities, is also called the “hidden half” of the Atlantic slave trade, as people were traded for lengths of indigo-dyed cloth.44 After the American Revolution in the late eighteenth century, the British lost access to cheap American-grown indigo and moved their production to India, expanding the British Empire eastward by colonizing Bengal and erecting indigo plantations on the lands of local farmers. Recently returned to India from South Africa, Maha¯ tma¯ Gandhi was called by freedom fighters to lead the first Champaran Satyagraha movement in Bihar in 1917, also known as the Indigo Revolution.45 As Vandana Shiva notes, the movement for Indian independence grew from the “movement of peasants against the forced cultivation of indigo” and the “movements of non-cooperation [that] started wherever the British tried to tax the lands of the peasant and the homes of the people.”46 Along with salt, the indigo plant became a symbol for noncooperative resistance against British colonial rule. Like the disruptive nature of ultramarine, indigo ignited the movement for freedom from British rule and their continued exploitation of the earth, seas, and people through blue colonialisms</w:t>
      </w:r>
    </w:p>
    <w:p w14:paraId="0A682CDA" w14:textId="2CCCC7AE" w:rsidR="000C12D9" w:rsidRPr="00C90932" w:rsidRDefault="008B5958" w:rsidP="00C90932">
      <w:pPr>
        <w:pStyle w:val="Heading4"/>
      </w:pPr>
      <w:r w:rsidRPr="00C90932">
        <w:t>[Links]</w:t>
      </w:r>
    </w:p>
    <w:p w14:paraId="3B33E8C1" w14:textId="523570D8" w:rsidR="00D53D30" w:rsidRPr="00C90932" w:rsidRDefault="00D53D30" w:rsidP="00C90932">
      <w:pPr>
        <w:pStyle w:val="Heading4"/>
        <w:rPr>
          <w:rFonts w:cs="Calibri"/>
        </w:rPr>
      </w:pPr>
      <w:r w:rsidRPr="00C90932">
        <w:rPr>
          <w:rFonts w:cs="Calibri"/>
        </w:rPr>
        <w:t xml:space="preserve">The </w:t>
      </w:r>
      <w:r w:rsidRPr="00C90932">
        <w:rPr>
          <w:rFonts w:cs="Calibri"/>
          <w:u w:val="single"/>
        </w:rPr>
        <w:t>alternative is to think with blue</w:t>
      </w:r>
      <w:r w:rsidRPr="00C90932">
        <w:rPr>
          <w:rFonts w:cs="Calibri"/>
        </w:rPr>
        <w:t xml:space="preserve">—our conceptualization of praxis critically </w:t>
      </w:r>
      <w:r w:rsidRPr="00C90932">
        <w:rPr>
          <w:rFonts w:cs="Calibri"/>
          <w:u w:val="single"/>
        </w:rPr>
        <w:t>reframes</w:t>
      </w:r>
      <w:r w:rsidRPr="00C90932">
        <w:rPr>
          <w:rFonts w:cs="Calibri"/>
        </w:rPr>
        <w:t xml:space="preserve"> the </w:t>
      </w:r>
      <w:r w:rsidRPr="00C90932">
        <w:rPr>
          <w:rFonts w:cs="Calibri"/>
          <w:u w:val="single"/>
        </w:rPr>
        <w:t>colonial history of blueness</w:t>
      </w:r>
      <w:r w:rsidRPr="00C90932">
        <w:rPr>
          <w:rFonts w:cs="Calibri"/>
        </w:rPr>
        <w:t xml:space="preserve">, decentering the desire for extractive wealth by disrupting the colonizers attachment to </w:t>
      </w:r>
      <w:r w:rsidRPr="00C90932">
        <w:rPr>
          <w:rFonts w:cs="Calibri"/>
          <w:u w:val="single"/>
        </w:rPr>
        <w:t>phenomenal identity</w:t>
      </w:r>
      <w:r w:rsidRPr="00C90932">
        <w:rPr>
          <w:rFonts w:cs="Calibri"/>
        </w:rPr>
        <w:t>.</w:t>
      </w:r>
    </w:p>
    <w:p w14:paraId="5174F839" w14:textId="39D19DF7" w:rsidR="00D53D30" w:rsidRPr="00C90932" w:rsidRDefault="00D53D30" w:rsidP="00C90932">
      <w:r w:rsidRPr="00C90932">
        <w:rPr>
          <w:rStyle w:val="Style13ptBold"/>
        </w:rPr>
        <w:t>Ferwerda 24</w:t>
      </w:r>
      <w:r w:rsidRPr="00C90932">
        <w:t xml:space="preserve"> </w:t>
      </w:r>
      <w:r w:rsidR="00E177C7" w:rsidRPr="00C90932">
        <w:t xml:space="preserve">[Susanne Ferwerda, </w:t>
      </w:r>
      <w:r w:rsidR="00E177C7">
        <w:t xml:space="preserve">Assistant Professor of Comparative Literature, Utrecht University, PhD in English from the University of Tasmania, </w:t>
      </w:r>
      <w:r w:rsidR="00E177C7" w:rsidRPr="00C90932">
        <w:t xml:space="preserve">March 2024, “Blue Humanities and the Color of Colonialism,” </w:t>
      </w:r>
      <w:r w:rsidR="00E177C7">
        <w:t xml:space="preserve">Environmental Humanities 16(1), </w:t>
      </w:r>
      <w:r w:rsidR="00E177C7" w:rsidRPr="005A21D6">
        <w:t>https://read.dukeupress.edu/environmental-humanities/article/16/1/1/386278/Blue-Humanities-and-the-Color-of-Colonialism</w:t>
      </w:r>
      <w:r w:rsidR="00E177C7" w:rsidRPr="00C90932">
        <w:t>]</w:t>
      </w:r>
      <w:r w:rsidRPr="00C90932">
        <w:t>// Love &lt;3</w:t>
      </w:r>
      <w:r w:rsidR="00CC3D42" w:rsidRPr="00C90932">
        <w:t xml:space="preserve"> </w:t>
      </w:r>
      <w:r w:rsidR="00BB1B90" w:rsidRPr="00C90932">
        <w:t>– recut Micah</w:t>
      </w:r>
    </w:p>
    <w:p w14:paraId="0F6380D2" w14:textId="77777777" w:rsidR="00D53D30" w:rsidRPr="00C90932" w:rsidRDefault="00D53D30" w:rsidP="00C90932">
      <w:pPr>
        <w:rPr>
          <w:b/>
          <w:bCs/>
        </w:rPr>
      </w:pPr>
      <w:r w:rsidRPr="00C90932">
        <w:rPr>
          <w:b/>
          <w:bCs/>
        </w:rPr>
        <w:t>**bracketed for gendered language**</w:t>
      </w:r>
    </w:p>
    <w:p w14:paraId="7751B128" w14:textId="77777777" w:rsidR="00D53D30" w:rsidRPr="00C90932" w:rsidRDefault="00D53D30" w:rsidP="00C90932">
      <w:pPr>
        <w:rPr>
          <w:u w:val="single"/>
        </w:rPr>
      </w:pPr>
      <w:r w:rsidRPr="00C90932">
        <w:t>“</w:t>
      </w:r>
      <w:r w:rsidRPr="00C90932">
        <w:rPr>
          <w:sz w:val="16"/>
        </w:rPr>
        <w:t>Going green” or “living green” often stands for adopting a zero-waste and sustain- able lifestyle, connecting color to aesthetics and, more often than not, to a more digest- ible type of capitalist consumerism. Green has long been synonymous with nature and ecology and a preferred descriptor for sustainability. In Prismatic Ecologies, Jeffrey Jerome Cohen writes that “green dominates our thinking about ecology like no other, as if the color were the only organic hue, a blazon for nature itself.”6 Developing a more expansive “prismatic ecology,” Cohen decentralizes green from its environmental throne: “Such a colorful ascription begs the question of exactly what mode of being we are attempting to sustain, and at what environmental cost.”7 Like green, blue has been increasingly pres- ent in institutional and intergovernmental discourse as an adjective to draw attention to</w:t>
      </w:r>
      <w:r w:rsidRPr="00C90932">
        <w:rPr>
          <w:sz w:val="16"/>
          <w:lang w:eastAsia="zh-CN"/>
        </w:rPr>
        <w:t xml:space="preserve"> </w:t>
      </w:r>
      <w:r w:rsidRPr="00C90932">
        <w:rPr>
          <w:sz w:val="16"/>
        </w:rPr>
        <w:t xml:space="preserve">potential economic development of bodies of water.8 These color changes incite me to question what happens when green becomes blue: </w:t>
      </w:r>
      <w:r w:rsidRPr="00C90932">
        <w:rPr>
          <w:u w:val="single"/>
        </w:rPr>
        <w:t xml:space="preserve">What exactly is and can blue be? How can we think beyond a simplistic equation of blue with water, oceans, and seas, to investigate what thinking with blue means in the blue humanities?9 Inspired by Donna Haraway, it matters what colors color colors; how blues blue blues.10 Reckoning with the coloniality of blue informs its potential for present and future blue endeavors. Untangling colonial blues as well as the anticolonial resistance this color encourages, blue shows it- self as a color that always already resists simplistic signiﬁcation. </w:t>
      </w:r>
      <w:r w:rsidRPr="00C90932">
        <w:rPr>
          <w:sz w:val="16"/>
        </w:rPr>
        <w:t xml:space="preserve">The polyvocal theoretical currents that are thought-with in the blue humanities build on the expansive nature of environmental cultural thought and the genealogies of aquatic scholarship. Drawing on Donna Haraway’s “situated knowledges” and Maria Puig de la Bellacasa’s “thinking-with that resists the individualization of thinking,” the blue humanities can be thought of as enacting a “thinking-with-many,” moving from ﬁelds of thought to seas of circulation.11 The many that inform the blue humanities, and particularly the analysis of aquatic colonial undercurrents, include insights from Epeli Hau’ofa, Paul Gilroy, Kamau Brathwaite, Elizabeth DeLoughrey, Édouard Glissant, Marcus Rediker, Alice te Punga Somerville, Kerry Bystrom, Isabel Hofmeyr, Stefan Helmreich, Hester Blum, Steve Mentz, Margaret Cohen, Peter Steinberg, Kimberley Peters, Cecilia Åsberg, Laura Ingersoll, Stacy Alaimo, Ann Elias, Christina Sharpe, Craig Santos Perez, Laura Winkiel, Astrida Neimanis, and Melody Jue, with-many-more.12 Their work and the various edited collections and special issues that have evoked the “blue humanities,” “critical ocean studies,” “hydro-criticism,” and “liquid ecologies,” address the numerous beginnings of the aquatic humanities before and beyond the articulation of the blue humanities.13 Neimanis’s assertion that “we are all bodies of water” and Te Punga Somerville’s foregrounding of the long genealogy of Indigenous oceanic kinship add an expansive materiality to Stacy Alaimo’s consideration of human- ity’s “aquatic ancestors” and our trans-corporeal “kinship with the seas.”14 These discussions prove the need for the blue humanities to </w:t>
      </w:r>
      <w:r w:rsidRPr="00C90932">
        <w:rPr>
          <w:u w:val="single"/>
        </w:rPr>
        <w:t>address the continuation of the watery beyond continental boundaries via a “transoceanic imaginary”</w:t>
      </w:r>
      <w:r w:rsidRPr="00C90932">
        <w:rPr>
          <w:sz w:val="16"/>
        </w:rPr>
        <w:t xml:space="preserve"> and a “hydroco- lonial” approach to salty, brackish, and fresh water.15 Expanding the environmental humanities to the realm of the blue then invokes the question: What exactly does thinking with blue add to these already existent aquatic and oceanic discourses? And what does it mean to do the blue humanities and </w:t>
      </w:r>
      <w:r w:rsidRPr="00C90932">
        <w:rPr>
          <w:u w:val="single"/>
        </w:rPr>
        <w:t>consider the blue not just as symbol but as material-semiotic actant or figuration?16 In this essay I develop an analysis of the color blue through its colonial materiality to argue that in the blue humanities blue unmoors and loosens the anchor of Western colonial desire.</w:t>
      </w:r>
      <w:r w:rsidRPr="00C90932">
        <w:rPr>
          <w:sz w:val="16"/>
        </w:rPr>
        <w:t xml:space="preserve">17 Like the oceanic “violet-black” depths Alaimo calls upon to “understand the water of the abyssal zone as something rather than nothing,” </w:t>
      </w:r>
      <w:r w:rsidRPr="00C90932">
        <w:rPr>
          <w:u w:val="single"/>
        </w:rPr>
        <w:t>the blue puts the colonial to sea and surfaces its material significance.</w:t>
      </w:r>
      <w:r w:rsidRPr="00C90932">
        <w:rPr>
          <w:sz w:val="16"/>
        </w:rPr>
        <w:t xml:space="preserve">18 I analyze the work of Dutch visual artist Pieter Paul Pothoven and the poetic performance of Aotearoa New Zealand poet Selina Tusi- tala Marsh to show how the blue always already asserts itself and acts to resurface </w:t>
      </w:r>
      <w:r w:rsidRPr="00C90932">
        <w:rPr>
          <w:u w:val="single"/>
        </w:rPr>
        <w:t>and subvert transoceanic colonial connections. This essay aims to unpack the coloniality of blues—including indigo, ultramarine, and royal blue—in conversation with the work of two contemporary artists to show how the color blue acts in</w:t>
      </w:r>
      <w:r w:rsidRPr="00C90932">
        <w:rPr>
          <w:sz w:val="16"/>
        </w:rPr>
        <w:t xml:space="preserve"> the world—materially, socially, economically, and culturally—via the dynamic work it does in the blue humani- ties, “</w:t>
      </w:r>
      <w:r w:rsidRPr="00C90932">
        <w:rPr>
          <w:u w:val="single"/>
        </w:rPr>
        <w:t>in the wake” of colonial desire</w:t>
      </w:r>
      <w:r w:rsidRPr="00C90932">
        <w:rPr>
          <w:sz w:val="16"/>
        </w:rPr>
        <w:t xml:space="preserve">.19 Blue Colonialisms and Ultramarine beyond the Sea Navy blue is not the only shade of blue with a captivating material history and colo- nial reverberations. The histories of several blues can be traced back to early capitalist trade and imperial expansions across the seas. For a long time, the most beautiful blue in the world was widely considered to be ultramarine, also named true blue or, accord- ing to the fourteenth century Italian painter Cennino Cennini, “the most perfect of all colours.”20 The ultramarine pigment is mostly composed of the blue mineral lazurite, which is the main component of the lapis lazuli mineral stone (a “stone from the sky”: lapis is Latin for “stone,” lazuli came to Latin via the Arabic ﻻﺯﻭﺭﺩ , which came via the Persian ﻻﺟﻮﺭﺩ , meaning “sky” or “heaven”). It owes its deep blue shade to a mixture of minerals—lazurite, silicates, and iron pyrite—and covers a wide range of shades “from a deep, almost violet blue, through the royal blue of the gem quality to light blue, a tur- quoise and finally fewer pieces of brilliant green.”21 This means that natural ultrama- rine is never an entirely uniform shade of blue. The most high-quality shades contain a high percentage of lazurite, giving it a bright, rich, and warm blue tone. To extract natural ultramarine from ground lapis lazuli is incredibly labor inten- sive. The process involves grinding stones to a fine powder and mixing it with wax, resin, and linseed oil: This mass, usually wrapped in a cloth, was left to sit for several weeks, after which it was kneaded in rain water or a diluted solution of lye. The blue particles dispersed into the liquid, while the impurities remained in the mass. This process was usually repeated several times, with each successive extraction generating a lower quality pigment. The final extraction—consisting largely of colourless material, and a few small blue particles—was known as ultramarine ash.22 The high cost of the imported raw material, combined with the laborious process to produce a high-quality pigment, meant that for a long time ultramarine was at least as expensive as gold. The deep blue of ultramarine has therefore long been a symbol of extravagance and luxury. The trade of lapis lazuli dates to at least the Mesopotamian Late Ubaid period, circa 3500 BCE, “probably the first moment that man had sufficient wealth and leisure to begin the quest for luxuries.”23 Our current knowledge of the his- tory of ultramarine dates to the fifth-century murals in Nisa (Turkmenistan) and ex- tends into the twenty-first century. In March 2001, the sixth-century Bamiyan Buddha statues were declared false idols by the Taliban government in Afghanistan and blown up with dynamite. Once upon a time, the two Buddhas had been covered in precious stones and ultramarine and carmine robes. In his travel report, Dà Táng X ı- yù Jì </w:t>
      </w:r>
      <w:r w:rsidRPr="00C90932">
        <w:rPr>
          <w:rFonts w:eastAsia="Microsoft YaHei"/>
          <w:sz w:val="16"/>
        </w:rPr>
        <w:t>大唐西域</w:t>
      </w:r>
      <w:r w:rsidRPr="00C90932">
        <w:rPr>
          <w:sz w:val="16"/>
        </w:rPr>
        <w:t xml:space="preserve"> </w:t>
      </w:r>
      <w:r w:rsidRPr="00C90932">
        <w:rPr>
          <w:rFonts w:eastAsia="Microsoft YaHei"/>
          <w:sz w:val="16"/>
        </w:rPr>
        <w:t>記</w:t>
      </w:r>
      <w:r w:rsidRPr="00C90932">
        <w:rPr>
          <w:sz w:val="16"/>
        </w:rPr>
        <w:t xml:space="preserve"> (Great Tang Records on the Western Region), Chinese monk Xuanzang </w:t>
      </w:r>
      <w:r w:rsidRPr="00C90932">
        <w:rPr>
          <w:rFonts w:eastAsia="Microsoft YaHei"/>
          <w:sz w:val="16"/>
        </w:rPr>
        <w:t>玄奘</w:t>
      </w:r>
      <w:r w:rsidRPr="00C90932">
        <w:rPr>
          <w:sz w:val="16"/>
        </w:rPr>
        <w:t xml:space="preserve"> describes his visit to Bamiyan circa 629–645, as he makes a detour on his way to India in order to see the giant sculptures: To the north-east of the royal city there is a mountain, on the declivity of which is placed a stone figure of Buddha, erect, in height 140 or 150 feet. Its golden hues sparkle on every side, and its precious ornaments dazzle the eyes by their brightness. To the east of this spot there is a standing figure of Sâkya Buddha, made of metallic stone (teou-shih) in height 100 feet. It has been cast in different parts and joined together, and thus placed in a complete form as it stands.24 The ultramarine pigment used for the robes of the smaller Buddha statue likely came from the nearby mines in the Blue Mountain (Koh-e-Laguard). The mines in the Sar-e- Sang valley (the “Place of the Stone”) in the Badakhsan mountains in northeastern Afghanistan were the main supply for European and Persian ultramarine up until 1830.25 Afghan ultramarine was most extensively desired in Europe in the fourteenth to sixteenth centuries, when it was transported from East to West along the famous Silk Route from Afghanistan to Syria and across the Mediterranean Sea into Europe. This journey remains embedded in its name. Ultramarine, in Latin, means “beyond the sea.” It refers to the voyage beyond the Mediterranean Sea that European traders had to take to obtain the pigment, but also signifies its superlative blueness—the most blue, more blue than the sea—so blue that every artist in the fourteenth, fifteenth, and sixteenth centuries aspired to use it. In Bluets (2009), her autobiographical prose-poetic ode to the color blue, Maggie Nelson writes that ultramarine “had to be made holy, by the wicked logic that renders the expensive sacred.”26 In the Middle Ages, Afghan lapis lazuli was so expensive that painters could only use it sparingly, dependent on the wealth of their patrons. To not waste its extravagance on unworthy subjects, only the most highly regarded, most holy subjects in Western Christian art were afforded the deep blue pigment. Ultramarine’s otherworldly cost and provenance could only be justified by restricting its use to honor the otherworldly divinity of the Virgin Mary. The blue robes that Mary wears in Giotto’s Lamentation (Scrovegni Chapel, 1306), for instance, are painted in ultramarine blue, a tra- dition that would continue for centuries and would solidify the narrative connection between blue and otherworldly riches. The ultramarine blue of Giotto’s work and in particular his depiction of the life of Christ and Mary in the Scrovegni Chapel in Padua, Italy, has challenged theorists and asks us to consider: What effect does the perceived extravagance of the color blue have on its signification and identification? n “Giotto’s Joy” (1980), French feminist philosopher Julia Kristeva writes that the overwhelming colors used in Giotto’s frescoes, and in particular the overwhelming blues, translate “instinctual drives into colored surface.”27 Kristeva’s feminist psychoanalytical analysis draws on color perception theory and infant vision development to argue that </w:t>
      </w:r>
      <w:r w:rsidRPr="00C90932">
        <w:rPr>
          <w:u w:val="single"/>
        </w:rPr>
        <w:t>blue has a quality beyond identity: “The perception of blue entails not identifying the ob- ject; that blue is, precisely, on this side of or beyond the object’s fixed form; that it is the zone where phenomenal identity vanishes.” On the basis of André Broca’s paradox that “to see a blue light, you must not look directly at it” and the idea that infants do not de- velop “centered vision—the identification of objects, including one’s own image,” or an ‘ideal-I,’ until after the development of color perception, Kristeva argues that blue always escapes identification. Blue, with its short wavelengths, is even “earlier to appear” in the vision of the infant child than any other color.28 Feminist visual art theorist Barbara Bolt explains Kristeva’s description of seeing Giotto’s blue as the “experience of the (Lacanian) Real erupting into and disrupting signification. . . . Colour is destabilizing.”29 Kristeva writes, “All colors, but blue in particular, would have a noncentered or decentering effect, lessening both object identification and phenomenal fixation. They thereby return the subject to the archaic moment of its dialectic, that is, before the fixed, specular ‘I,’ but while in the process of becoming this ‘I’ by breaking away from instinctual, biological (and also maternal) dependence.”30 Kristeva’s analysis of Giotto’s disruptive blue enforces a material-semiotic response that goes beyond symbolic representation. Giotto’s blue is more than a symbol of otherworldly wealth, more than paint on the ceiling; it entangles viewer and pigment, and uncenters human-subjectivity to the more-than-human materiality of the blue and its origins beyond the seas. When ultramarine and indigo meet, they destabilize the idea that expansive wealth and obtaining new minerals and materials across the seas is a universal sign of linear progress. Kristeva’s viewer “enters into the semidarkness of the Arena Chapel . . . struck by the light that is generated, catching the eye because of the colour blue.”31 He walks into the Scrovegni Chapel as a Western subject, a humanist I, overwhelmed with his visions of control over the natural wealth of the world, and loses [themselves]</w:t>
      </w:r>
      <w:r w:rsidRPr="00C90932">
        <w:rPr>
          <w:strike/>
          <w:u w:val="single"/>
        </w:rPr>
        <w:t xml:space="preserve">himself </w:t>
      </w:r>
      <w:r w:rsidRPr="00C90932">
        <w:rPr>
          <w:u w:val="single"/>
        </w:rPr>
        <w:t>just by looking at the bright color pigment on the walls. If, following Bolt and Kristeva, the color blue indeed disrupts, decenters, and destabilizes, what does this mean for the way it is em- ployed in the blue humanities? The unruly presence of Giotto’s brilliant blues reinforces the West’s economic and political force and legacies of extractive violence but simulta- neously exposes its limits. The materiality of blue, as otherworldly-pigment-beyond-the- sea, foregrounds the coloniality of its past, but like in Sharpe’s “wake work,” “the past that is not the past reappears, always, to rupture the present.”32 Narrating the colonial histories of Giotto’s blue and ultramarine shows that blue unmoors simplistic significa- tion and acts to disrupt a colonial logic of extraction.</w:t>
      </w:r>
    </w:p>
    <w:p w14:paraId="4461FD5A" w14:textId="7AEB553D" w:rsidR="006729B5" w:rsidRPr="00C90932" w:rsidRDefault="006729B5" w:rsidP="00C90932">
      <w:pPr>
        <w:pStyle w:val="Heading3"/>
      </w:pPr>
      <w:r w:rsidRPr="00C90932">
        <w:t xml:space="preserve">1NC – Shell </w:t>
      </w:r>
      <w:r w:rsidR="000D5FF2" w:rsidRPr="00C90932">
        <w:t>–</w:t>
      </w:r>
      <w:r w:rsidRPr="00C90932">
        <w:t xml:space="preserve"> </w:t>
      </w:r>
      <w:r w:rsidR="000D5FF2" w:rsidRPr="00C90932">
        <w:t>Antiblackness Version</w:t>
      </w:r>
    </w:p>
    <w:p w14:paraId="636D8A94" w14:textId="31F96757" w:rsidR="000D5FF2" w:rsidRPr="00C90932" w:rsidRDefault="000D5FF2" w:rsidP="00C90932">
      <w:pPr>
        <w:pStyle w:val="Heading4"/>
        <w:rPr>
          <w:rFonts w:cs="Calibri"/>
        </w:rPr>
      </w:pPr>
      <w:r w:rsidRPr="00C90932">
        <w:rPr>
          <w:rFonts w:cs="Calibri"/>
        </w:rPr>
        <w:t xml:space="preserve">Western Blue </w:t>
      </w:r>
      <w:r w:rsidR="008B5958" w:rsidRPr="00C90932">
        <w:rPr>
          <w:rFonts w:cs="Calibri"/>
        </w:rPr>
        <w:t xml:space="preserve">Colonialism </w:t>
      </w:r>
      <w:r w:rsidRPr="00C90932">
        <w:rPr>
          <w:rFonts w:cs="Calibri"/>
        </w:rPr>
        <w:t>sanction</w:t>
      </w:r>
      <w:r w:rsidR="008B5958" w:rsidRPr="00C90932">
        <w:rPr>
          <w:rFonts w:cs="Calibri"/>
        </w:rPr>
        <w:t xml:space="preserve">s </w:t>
      </w:r>
      <w:r w:rsidRPr="00C90932">
        <w:rPr>
          <w:rFonts w:cs="Calibri"/>
        </w:rPr>
        <w:t xml:space="preserve">black and indigenous death through the construction of humanist hierarchies which explicitly exclude subaltern and blackened subject positions. </w:t>
      </w:r>
    </w:p>
    <w:p w14:paraId="7C6A45D9" w14:textId="0C4F1205" w:rsidR="000D5FF2" w:rsidRPr="00C90932" w:rsidRDefault="000D5FF2" w:rsidP="00C90932">
      <w:r w:rsidRPr="00C90932">
        <w:rPr>
          <w:b/>
          <w:bCs/>
          <w:color w:val="000000" w:themeColor="text1"/>
          <w:sz w:val="26"/>
          <w:szCs w:val="26"/>
        </w:rPr>
        <w:t>Patel, ‘18</w:t>
      </w:r>
      <w:r w:rsidRPr="00C90932">
        <w:rPr>
          <w:color w:val="000000" w:themeColor="text1"/>
        </w:rPr>
        <w:t xml:space="preserve"> [Shaista Patel, </w:t>
      </w:r>
      <w:r w:rsidR="00E177C7">
        <w:rPr>
          <w:color w:val="000000" w:themeColor="text1"/>
        </w:rPr>
        <w:t>PhD candidate in Social Justice Education at the University of Toronto,</w:t>
      </w:r>
      <w:r w:rsidRPr="00C90932">
        <w:rPr>
          <w:color w:val="000000" w:themeColor="text1"/>
        </w:rPr>
        <w:t>“Histories out of the Blue: From Blue Hands, and Lands to Blue Destinies”, 2018</w:t>
      </w:r>
      <w:r w:rsidR="00E177C7">
        <w:rPr>
          <w:color w:val="000000" w:themeColor="text1"/>
        </w:rPr>
        <w:t>, https://utoronto.scholaris.ca/server/api/core/bitstreams/0e36ad97-6b71-421e-84f8-2f63ab60a752/content</w:t>
      </w:r>
      <w:r w:rsidRPr="00C90932">
        <w:rPr>
          <w:color w:val="000000" w:themeColor="text1"/>
        </w:rPr>
        <w:t>] // Micah</w:t>
      </w:r>
    </w:p>
    <w:p w14:paraId="1406A03A" w14:textId="77777777" w:rsidR="000D5FF2" w:rsidRPr="00C90932" w:rsidRDefault="000D5FF2" w:rsidP="00C90932">
      <w:pPr>
        <w:rPr>
          <w:sz w:val="16"/>
        </w:rPr>
      </w:pPr>
      <w:r w:rsidRPr="00C90932">
        <w:rPr>
          <w:u w:val="single"/>
        </w:rPr>
        <w:t>What remains of bodies once they turn blue?</w:t>
      </w:r>
      <w:r w:rsidRPr="00C90932">
        <w:rPr>
          <w:sz w:val="16"/>
        </w:rPr>
        <w:t xml:space="preserve"> In life, not in death. When the colour of the blood running through your veins is no longer red but blue. When you breathe out blue? When the stench of cruelty of your masters in the form of your sweat and blood in indigo vats might be the only familiar smells to you; the vats the only land you know, as you continue to inhale and exhale more blue. When these rancid, claustrophobic, incarcerating vats are the land you are coerced to feel familiar with? When the limits of your body blurred with those of vats so that you no longer know where your body ends and where the vats begin? Or where the blue begins and ends? </w:t>
      </w:r>
      <w:r w:rsidRPr="00C90932">
        <w:rPr>
          <w:u w:val="single"/>
        </w:rPr>
        <w:t>How do we begin to theorize blue blood, blue lungs, blue fingers, the blue stuck underneath the nails, the blue breath that stretched Black and brown bodies across the four continents?</w:t>
      </w:r>
      <w:r w:rsidRPr="00C90932">
        <w:rPr>
          <w:sz w:val="16"/>
        </w:rPr>
        <w:t xml:space="preserve"> I want to think about how we can read for extensions of these bodies in Divakaruni's poem about blue lungs and breaths of Bengali peasants to the already-always blue hands of the unborn, already enslaved child (Sharpe, 2016; Dash, 1991) to land that too turned blue (and red) from the indigo seeds that were unethically and forcefully thrust deep into its heart? The blue was grown on all four continents with European masters and colonisers raping the land, the women, enslaving Black people, and starving Black and brown colonized people into (strategic) submission. In this chapter, I argue that the legacy of colour blue needs to attend to racial, colonial and imperial violence which produced it. I argue that attending to the violence of blue means thinking about colonialism from British Raj to the Americas; that it means thinking about slavery and the hierarchy of labour conditions produced through transnational travels of blue. Once again, this means bringing unlikely, seemingly unconnected spaces together in a conversation. </w:t>
      </w:r>
      <w:r w:rsidRPr="00C90932">
        <w:rPr>
          <w:u w:val="single"/>
        </w:rPr>
        <w:t>Blue coloured the four continents</w:t>
      </w:r>
      <w:r w:rsidRPr="00C90932">
        <w:rPr>
          <w:sz w:val="16"/>
        </w:rPr>
        <w:t xml:space="preserve">. And in this chapter, I try to hold onto its trace to understand the intimacies of the four continents produced through colour. In order to make clear why I stopped at blue lungs and fingers, I need to take a brief detour and talk about 211 some critical Black feminist and decolonial works that read marks on bodies within a context of systems of domination. For instance, in her book, In the Wake: On Blackness and Being, Black American feminist scholar, Christina Sharpe (2016) argues an extended meditation on slavery and its afterlife which she calls "wake work". I have engaged with wake work as an analytic, method and ethics of engaging with resilient Black life in my chapter on Theoretical Framework.119 Some of the key constellations of the text include the ship, the hold, and the weather through which she maps the co-ordinates of Black life despite death, as Sharpe puts it (p.20). I have found myself pausing on her discussion of the ship several times, and write about it here not to (perhaps once again) present Black life as one that is always slipping, always on the ebb of (normative) life, but to think through a mark, a taped piece of paper that becomes a site, or rather, a modality, of imprinting on Black flesh through which Black life is often made visible (to non-Black people like myself). I also discuss this to illustrate that these markings have a history. Sharpe discusses a photograph she comes upon in her archival work looking through images of a catastrophic earthquake, of a little Haitian girl who, injured, with a wound on her face, is lying on a stretcher with an ice pack under her head. What struck Sharpe (and the readers) about this photograph is a piece of transparent tape on her forehead, with the word "Ship" written on it. Sharpe contextualizes her discussion of this photograph, and the 'mark,' within a "semiotics of the slave ship" (p. 21). She discusses Zong, a slave ship which brought enslaved African people from the West coast of Africa to Jamaica in 1781, and deliberately drowned 132 people (or 140 or 142, as Sharpe points out) en route due to lack of water on board, and for filing insurance claims since no insurance money would have been paid had these African people died of "natural death".120 When Sharpe comes upon that photograph of the little Black girl, she cannot look at that image outside the history of slavery and present of Black incarceration in a police-plantation state of Haiti; she could not analyze the word Ship on the girl's forehead outside of the marks that were burnt into flesh of abducted Africans before they were huddled onto slave ships (48- 49); she could not analyze it outside Zong, outside of other slave ships and the Middle 119 As I have said in my Theoretical Framework as well, wake work is more than just an analytic. Sharpe argue for it as an ontology of Black life as well, something which I have respectfully stayed away from employing in my work as a non-Black scholar. 120 As Sharpe 212 Passage, and the Atlantic on whose bed are buried uncountable African people in the 400 years of slavery. Sharpe writes: Is Ship a proper name? A destination? An imperative? A signifier of the im/possibility of Black life under the conditions of what, Stephanie Smallwood tells us, "would become an enduring project in the modern Western world 'of] probing the limits up to which it is possible to discipline the body without extinguishing the life within" (Smallwood 2008, 35-36)? Is Ship a reminder and/or remainder of the Middle Passage, of the difference between life and death? Of those other Haitians in crisis sometimes called boat people? Or is Ship a reminder and/or remainder of the ongoing migrant and refugee crisis unfolding in the Mediterranean Sea and the Indian and Atlantic Oceans? Given how visual and literary culture evoke and invoke the Middle Passage with such deliberate and reflexive dysgraphic unseeing, I cannot help but extrapolate. (p. 46) Sharpe also highlights the other ways in which Blackness circulates through the figures of the captive, migrant, and refugee in her reading of the word Ship. Living Black life is performing wake work, always in an intimate relationship with death in the world because Blackness and Black people are constantly denied life. Once again, it is important for me to reiterate that I do not discuss this image to resign Black life to terror and death. Taking cues from Sharpe's scholarship, I want to question how we can make sense of the blue lungs, blue fingers/nails, blue unborness (Dash, 1991), </w:t>
      </w:r>
      <w:r w:rsidRPr="00C90932">
        <w:rPr>
          <w:u w:val="single"/>
        </w:rPr>
        <w:t>blue blood and blue breaths</w:t>
      </w:r>
      <w:r w:rsidRPr="00C90932">
        <w:rPr>
          <w:sz w:val="16"/>
        </w:rPr>
        <w:t xml:space="preserve"> that </w:t>
      </w:r>
      <w:r w:rsidRPr="00C90932">
        <w:rPr>
          <w:u w:val="single"/>
        </w:rPr>
        <w:t>marked the lands of Indigenous peoples as coerced into settlement</w:t>
      </w:r>
      <w:r w:rsidRPr="00C90932">
        <w:rPr>
          <w:sz w:val="16"/>
        </w:rPr>
        <w:t xml:space="preserve"> </w:t>
      </w:r>
      <w:r w:rsidRPr="00C90932">
        <w:rPr>
          <w:u w:val="single"/>
        </w:rPr>
        <w:t>by Black and brown hands across the Empire, and flesh and skins of Black and brown people</w:t>
      </w:r>
      <w:r w:rsidRPr="00C90932">
        <w:rPr>
          <w:sz w:val="16"/>
        </w:rPr>
        <w:t xml:space="preserve"> as it spanned the whole of European and American Empires. As a non-Black and non-Indigenous person looking at the image in Sharpe’s book I am trying to actively think about the "ethical demands on the viewer," (Sharpe, p. 51) and I would add, of the reader here. The question of how to be ethical and responsible when encountering the little Black girl, about whom we know nothing more, none of the humanizing co-ordinates outside of the narrative of earthquake (that always seemingly happen by force of nature and devour Black and brown people) and aids agency, in the archive continues to stay with me. It is a struggle to even become aware of my orientation to Black lives in these moments. I am working with the ethic that we non-Black people have a responsibility of treating with care (and attention to complicity in anti-Blackness) this becoming of the Haitian girl into a ship. 213 I write this with an understanding that Black fungibility is not the same as the multitude of labouring Bengali peasants I write about here. Black fungibility, as Tiffany King (2014) argues drawing upon Black feminist scholars like Saidiya Hartman and Hortense Spillers, is a “key analytic for thinking about Blackness and settler colonialism in White settler nation-states”. She writes: The space making practices of settler colonialism require the production of Black flesh as a fungible form of property, not just as a form of labor. In Scenes of Subjection, Saidiya Hartman argues that the enslaved embody the abstract “interchangeability and replaceability” that is endemic to the commodity (Hartman, 1997, p. 21). </w:t>
      </w:r>
      <w:r w:rsidRPr="00C90932">
        <w:rPr>
          <w:u w:val="single"/>
        </w:rPr>
        <w:t>Beyond, the captive body’s use as labor, the Black body has a figurative and metaphorical value that extends into the realm of the discursive and symbolic. (n.p) In pointing out some instances of how imperial, colonial and racial processes undergirding the life of natural indigo entangled the lives of enslaved Africans and colonized Bengali peasants,</w:t>
      </w:r>
      <w:r w:rsidRPr="00C90932">
        <w:rPr>
          <w:sz w:val="16"/>
        </w:rPr>
        <w:t xml:space="preserve"> I am not looking for drawing any comparisons for there are no one-dimensional, easily graspable, readily available units that can be compared here.121 I am also trying to be careful that I do not make the argument that their labour is what made them similar or even comparable to each other. What I want to pay attention to in this chapter is how the </w:t>
      </w:r>
      <w:r w:rsidRPr="00C90932">
        <w:rPr>
          <w:u w:val="single"/>
        </w:rPr>
        <w:t>blue moved around the globe, marking bodies and consolidating vertical and horizontal hierarchies of the human</w:t>
      </w:r>
      <w:r w:rsidRPr="00C90932">
        <w:rPr>
          <w:sz w:val="16"/>
        </w:rPr>
        <w:t xml:space="preserve">. I attended to Black fungibility because Blackness was and remains the most dehumanized as Sylvia Wynter, Christina Sharpe, Saidiya Hartman and other Black scholars I have discussed in my Theoretical Framework have noted. In order to talk about </w:t>
      </w:r>
      <w:r w:rsidRPr="00C90932">
        <w:rPr>
          <w:u w:val="single"/>
        </w:rPr>
        <w:t>dehumanizing of Bengali peasants</w:t>
      </w:r>
      <w:r w:rsidRPr="00C90932">
        <w:rPr>
          <w:sz w:val="16"/>
        </w:rPr>
        <w:t xml:space="preserve">, to take into account the resistance against this dehumanizing, I wanted to signal Black fungibility as the first and core site of historical and ongoing practices of dehumanizing. Colour has been an important site for how we can "approach anew the question of cultural exchange, violence and resistance," notes Natasha Eaton (2013), a scholar of Art History. This is certainly true for indigo for it has generated so much fascination, hatred, oppression, but also, revolutions. The politics of indigo has made it into a malevolent colour, making Empire stick together through the blood of variously colonized peoples, and those enslaved and brought to continental America, to the Caribbean, to South America, and to the 121 Please see my Theoretical Framework on discussion of politics of Black flesh. 214 ryots (small land-owning peasants) of Bengal, Bihar, and Orissa and everywhere else where Europeans went in search of land, labour and other resources. I follow this trajectory of indigo to reflect upon how </w:t>
      </w:r>
      <w:r w:rsidRPr="00C90932">
        <w:rPr>
          <w:u w:val="single"/>
        </w:rPr>
        <w:t xml:space="preserve">white </w:t>
      </w:r>
      <w:r w:rsidRPr="00C90932">
        <w:rPr>
          <w:rStyle w:val="Emphasis"/>
        </w:rPr>
        <w:t>settler colonialism, enslavement of Africans and colonial</w:t>
      </w:r>
      <w:r w:rsidRPr="00C90932">
        <w:rPr>
          <w:u w:val="single"/>
        </w:rPr>
        <w:t xml:space="preserve">/imperial domination across Asia and Africa </w:t>
      </w:r>
      <w:r w:rsidRPr="00C90932">
        <w:rPr>
          <w:rStyle w:val="Emphasis"/>
        </w:rPr>
        <w:t>constituted the global power through which indigo was</w:t>
      </w:r>
      <w:r w:rsidRPr="00C90932">
        <w:rPr>
          <w:u w:val="single"/>
        </w:rPr>
        <w:t xml:space="preserve"> made into such an important actant on world stage and i</w:t>
      </w:r>
      <w:r w:rsidRPr="00C90932">
        <w:rPr>
          <w:rStyle w:val="Emphasis"/>
        </w:rPr>
        <w:t xml:space="preserve">ntegral to relations of white domination and Black and brown subordination everywhere </w:t>
      </w:r>
      <w:r w:rsidRPr="00C90932">
        <w:rPr>
          <w:u w:val="single"/>
        </w:rPr>
        <w:t>until early 20th century when synthetic indigo in Germany and elsewhere finally ended this coercion to grow indigo.</w:t>
      </w:r>
      <w:r w:rsidRPr="00C90932">
        <w:rPr>
          <w:sz w:val="16"/>
        </w:rPr>
        <w:t xml:space="preserve"> In this chapter, I hold onto blue to make sense of seemingly disjointed spaces, temporalities and people which indigo brought into often intimate, and always asymmetrical encounters. I bring together two differently colonized spatial sites of enactment of racial violence, South Carolina and Bengal by analysing two important cultural texts of resistance. The first one is a mid-19th century Bengali protest play that explicated the violence of colonizing indigo planters and the resistance of the peasants, called Neel Darpan. The title of the Bengali play means, “Indigo mirror” in its English translation, the mirror being a “magic mirror which reflects two faces: the face of the tyrant, and the face of the aggrieved victim of tyranny” (Pradhan, date unknown). It reflects the harsh reality of the ordinariness and everydayness of cruelty of the East India Company and the accompanying British Raj, and also makes an attempt at capturing the violence against but also the resistance of the colonized (though more so of the coerced Bengali landlords rather than that of ryots or the peasants themselves). This play is the focus of my analysis and I examine it to think about anticolonial resistance of colonized Bengali people, but also, and more importantly, to pause on how these discourses of resistance could also work toward strengthening colonial and native elites in power, and in turn supporting the rule of white masters. I discuss the play in more detail later on in this chapter, but want to point out here too that Neel Darpan is not an infallible example of a radical anticolonial play that should be emulated in designing discourses of resistance and freedom. The play is problematic in how it centers the bodies of class and caste privileged landowning (zamindar) men rather than the ryots and those landless peasants who were Muslims and/or Dalit and had lived under the tyranny of these landlords even before British colonial relations were consolidated in Bengal. I have come to believe that it is precisely the problematic nature of the play that makes it more important to analyze if our goal is to think about questions of complicity in colonialism 215 here and there even as injured colonized subjects of history. What can be perceived as failure, I believe and argue, is pedagogically more important for learning to resist better than trying to live or emulate some previous example of resistance that left the landless/low caste/Dalit/Muslim subaltern people as silent and vestigial. In this chapter, I also want to reflect upon the conversation that can be facilitated between Neel Darpan and Daughters of the Dust, a 1991 independent film by Black filmmaker and novelist, Julie Dash. The film is set in early 20th century Dawtuh Island, located on the Sea Islands off the South Carolina coast where thousands of Africans had been enslaved during the last three quarters of 18th century. Set in 1902, the film is a story of three generation of Gullah women whose hands were stained blue from growing indigo on plantations. Just as in Neel Darpan, indigo is the impetus for the entire film, but centers enslaved (and free) Black women of past, present and future instead of landlords and relatively class and caste privileged ryots. It’s also a woman-centered narrative that disrupts the linearity of time by indicating a future for previously enslaved Black people (through the figure of the unborn daughter). My choice to stage and facilitate a discussion between two literal and textual spaces that do not make any obvious references to each other might beget the question of why this should and can be done. To begin to answer this question, I note that I have known of Neel Darpan for much longer than I have known about Indigenous peoples and enslaved Black people in the New World who were also coerced into growing indigo. My earliest knowledge about indigo came from stories told by my Bengali Muslim mother who probably knows (of) indigo more intimately than I ever will. She has heard more stories and have seen indigo fields and grew up playing in and around neel kuthi, or blue walled houses built by European planters during initial days of indigo trade in a small city of Narayanganj, outside of Dhaka, Bangladesh, where she lived with her large working-class family and was one of the nine children of factory workers. Neither of us are certain about who in our families grew indigo but considering the fact that my mother’s family comes from the Nadia district of East Bengal (in present-day India) and Bangladesh (part of India until 1947 and then Pakistan until 1971), and were among the poorest of Hindu peasants who converted to Ismailism122 in 122 Ismailism is a branch of Shi'i Islam. While scholarly studies into conversion of Hindus to Ismailism in South Asia have yet to be carried out systematically in terms of caste, hearing some stories from 100s of years ago 216 17th- to 18th centuries to escape caste relations under Hinduism that were intimately tied to their depressed class and caste positions, it is likely that they saw themselves reflected in the anticolonial struggles of which Neel Darpan is a part. We grew up hearing stories from my mother, grandparents and aunties about brave men and women who spent their lives struggling against the brutal realities of the East India Company rule in India. From stories of getting tortured and killed by British sahibs to a fable of an old woman who fed those “evil sahibs” of the East India Company poisoned roti (bread), tales of revolutionaries who fought the sahibs who would beat us for land, for labour, and our women; in fact, for our very souls. And for colours, which, in these stories, grew by 'magic' in the soil.</w:t>
      </w:r>
      <w:r w:rsidRPr="00C90932">
        <w:rPr>
          <w:u w:val="single"/>
        </w:rPr>
        <w:t xml:space="preserve"> This magic sent blue poison deep into the veins and blood of my ancestors. They grew poison and died in the process and all of this so that Europeans and Americans could wear blue clothes! I have been very angry thinking about the millions of deaths of Black and brown people and their futures around the world just so there can be blue uniforms, gowns and drapes. Initially, I planned to only write about European planters and the East India Company’s violence against the Bengali peasants, and focus on colonizer-colonized, but also the hierarchical relations amongst the colonized. However, once I began to read up more widely on the history of indigo –the transnationality of its reach, and the poison it infused not only in brown bodies but also how it stained Black flesh –it became increasingly difficult to not contextualize indigo within the context of enslavement and deaths of Black people. </w:t>
      </w:r>
      <w:r w:rsidRPr="00C90932">
        <w:rPr>
          <w:sz w:val="16"/>
        </w:rPr>
        <w:t xml:space="preserve">Without thinking about the blue-stained hands of women in Nana Peazant’s family in Dash’s film –presented as both, a poetics of slavery and resistance –thinking about indigo in Bengal (only) seemed to be just a small piece of the story. Living in North America, talking about colonial violence unleashed by the British planters on Bengalis prompted me to unforget how I live where I now live, and how integral it is to my narratives to pay attention to the colour now surviving in Gujarati language, and from knowledge passed down in family and the larger community, I know that most of us converted to Ismailism to escape caste tyranny. I understand my ancestors as belonging to Chamar caste of Dalit people. However, it is a subject position which I do not claim today given that among Ismailis, caste hierarchies are disavowed and for generations now we have grown up without knowing casteist violence. I now understand myself to be a privileged caste person in diaspora and hold myself complicit in upholding caste hierarchies. This is despite the fact that caste definitely shows in our surnames, whether it be my adopted mid-caste surname of Patel or my extended family's surname of Kachra which means garbage in Hindi/Urdu. It was a surname which they think marked their means of living as generations of garbage collectors at the time of conversion to Islam/Ismailism. I, however, do not know how or why we changed our paternal last name or what it actually was before Patel or even how this name change was possible in a very casteist South Asia. I have yet to examine my own family histories and of caste relations among Ismailis of earlier centuries. 217 which marked bodies of other colonized and enslaved peoples of the New World. For a long time now, because of the stories I grew up with, I have known that blue killed. What I realize only more recently is that </w:t>
      </w:r>
      <w:r w:rsidRPr="00C90932">
        <w:rPr>
          <w:rStyle w:val="Emphasis"/>
        </w:rPr>
        <w:t>blue is an archive in itself</w:t>
      </w:r>
      <w:r w:rsidRPr="00C90932">
        <w:rPr>
          <w:sz w:val="16"/>
        </w:rPr>
        <w:t xml:space="preserve">. So much has happened out of the blue; so much violence has come out of the blue. Indigo blue is an archive that has brought the peasants whose stories I grew up hearing together with enslaved and Indigenous peoples in the New World. This chapter is a small attempt at reading that vast, transnational archive of blue through the play and the film. Bringing these texts and spaces into conversation has been difficult for me because my academic training, as I have stated in my introductory chapter, has prepared me to hold onto mostly clear-cut boundaries of fields, theories, temporalities, and geographies. Attempting to draw these connections when there is no linear narrative to present in easily consumable bits is a daunting task. Again and again I would give up on writing this chapter because tracing the legacies and connections left in the wake of blue has been difficult since the boundaries around different archives have been kept strictly segregated.123 But </w:t>
      </w:r>
      <w:r w:rsidRPr="00C90932">
        <w:rPr>
          <w:u w:val="single"/>
        </w:rPr>
        <w:t>labour exploitation, imperialism, colonialism and slavery are all encoded in the sign of indigo</w:t>
      </w:r>
      <w:r w:rsidRPr="00C90932">
        <w:rPr>
          <w:sz w:val="16"/>
        </w:rPr>
        <w:t xml:space="preserve"> but so is the resistance of the ryots, of the enslaved and of other colonized peoples coerced into growing indigo for Europe and later, America. The colonized people in Neel Darpan and Nana Peazant's family in Daughter of the Dust are already in conversation with each other even if the conversations are placed in different spatio-temporal coordinates. Linking imperialism in India with colonial and racial violence of the New World despite the vast geographical and chronological divide is actually needed because as I have argued in another chapter, the colonizers of the New World who were also the Master of the stolen and enslaved people, later came to India as East India Company officials, as planters, as private business holders, adventurers and soldiers. Reading these texts in relation to each other provides an analytical framework that decolonizes the kinds of archival and representational separations that constitute and reproduce present-day colonial discontinuities and “afterlives of slavery” (Hartman, 1997). Moreover, I take heed from Gyandera Pandey’s (2008) instruction in his editorial on bringing changing modes of disenfranchisement in South Asia and the US into conversation with each other. He writes: 123 I have discussed this in more detail in my chapter on methodology. I am also very grateful to Lisa Lowe’s (2006, 2015) work for encouraging me to think through the archival boundaries. 218 The juxtaposition of different bodies of scholarship and differing debates should help to bring about a new awareness, not only of shared histories and shared struggles in the making of the modern world, but of particularities and facets of our different histories and societal conditions that we have simply assumed as being well understood, and hence taken for granted. (p. 272) From India to Arabia to Europe and Africa and back to India, indigo moved along trade routes, solidifying human hierarchies of colonizers, colonized, Masters, slaves, planters/colonizers, and the colonized/peasants. This chapter is not an effort at writing a better or more complete story of indigo. However, it is an effort at expanding the analytical frames within which scholars of South Asia and British Empire have looked at indigo production in Bengal. I want to place the stories of indigo I know with the ones I am beginning to learn about. I try to do that without losing the specificities of the forms of violence indigo travels took in different continents and time periods. In her truly remarkable doctoral project titled, In the Clearing: Black Female Bodies, Space and Settler Colonial Landscapes, Tiffany Lethabo-King (2013) argues for development of what she calls, “simultaneous vision” (p. 32) in order to “see” how slavery and settler colonialism structure one another. Indebted to her work, in this chapter, I argue for bringing in the journey of indigo in South Asia too to help us better "see" how colonialism in one place was entangled with so many other stories of violence and people(s), and to “see” how the indigo which stained the hands of the women in Daughters of the Dust also structured the lives and death of colonized people in India. This has been important for me as I continue to think about the question of interconnectedness of white settler colonialism, slavery, and other imperial and colonial enterprises of British and American empires. In the next section, I give a brief summary of the transnational travels of indigo. I will then discuss the play, paying attention to the question of radicality of the play and discussing my reasons for choosing it in more detail. I will analyze the play by holding onto the social formations of caste, coloniality, and whiteness in order to understand how anticolonial resistance of peasants was co-opted by elite native perceptions of the 1860 Blue Mutiny. I then look into the debates on “slavery” in East India and West India with a focus on the question of freedom. It was in these debates that the colonizers/Master/planters/EIC officials 219 brought the ryots from “East India” into conversation with slaves on plantations of “West India”. Alluding to these debates, I insist on holding together both these figures conventionally held apart by disciplinarily-separated archives. I will end this chapter by analyzing Dash's film to reflect on what I have learned about resistance from it.</w:t>
      </w:r>
    </w:p>
    <w:p w14:paraId="09229C65" w14:textId="77777777" w:rsidR="008B5958" w:rsidRPr="00C90932" w:rsidRDefault="008B5958" w:rsidP="00C90932">
      <w:pPr>
        <w:pStyle w:val="Heading4"/>
      </w:pPr>
      <w:r w:rsidRPr="00C90932">
        <w:t xml:space="preserve">The liquid legacies of blue colonialism and its entanglements with racial enslavement permeate the “post” colonial world. The Anthropocene thus must be understood as the Plantationocene. </w:t>
      </w:r>
    </w:p>
    <w:p w14:paraId="0FD67EBA" w14:textId="57A42CFD" w:rsidR="008B5958" w:rsidRPr="00E177C7" w:rsidRDefault="008B5958" w:rsidP="00E177C7">
      <w:r w:rsidRPr="00E177C7">
        <w:rPr>
          <w:rStyle w:val="Style13ptBold"/>
        </w:rPr>
        <w:t>Phillip</w:t>
      </w:r>
      <w:r w:rsidR="00E177C7" w:rsidRPr="00E177C7">
        <w:rPr>
          <w:rStyle w:val="Style13ptBold"/>
        </w:rPr>
        <w:t xml:space="preserve"> 23</w:t>
      </w:r>
      <w:r w:rsidR="00E177C7">
        <w:t xml:space="preserve"> [</w:t>
      </w:r>
      <w:r w:rsidRPr="00E177C7">
        <w:t>The Liquid Plantationocene and Jesmyn Ward’s Let Us Descend (2023), ISLE: Interdisciplinary Studies in Literature and Environment, 2025;, isaf029, https://doi.org/10.1093/isle/isaf029, Cydney Phillip is an interdisciplinary researcher and public engagement advocate. She received her PhD in 2023 from Goldsmiths, University of London, before beginning a one-year postdoctoral fellowship at the Institute of Advanced Studies, UCL.</w:t>
      </w:r>
      <w:r w:rsidR="00E177C7">
        <w:t>]</w:t>
      </w:r>
      <w:r w:rsidRPr="00E177C7">
        <w:t xml:space="preserve"> // Micah</w:t>
      </w:r>
    </w:p>
    <w:p w14:paraId="000634C2" w14:textId="610E4540" w:rsidR="008B5958" w:rsidRPr="00C90932" w:rsidRDefault="008B5958" w:rsidP="00C90932">
      <w:pPr>
        <w:rPr>
          <w:u w:val="single"/>
        </w:rPr>
      </w:pPr>
      <w:r w:rsidRPr="00C90932">
        <w:rPr>
          <w:sz w:val="16"/>
        </w:rPr>
        <w:t xml:space="preserve">Introduction </w:t>
      </w:r>
      <w:r w:rsidRPr="00C90932">
        <w:rPr>
          <w:rStyle w:val="Emphasis"/>
        </w:rPr>
        <w:t>The liquid legacies</w:t>
      </w:r>
      <w:r w:rsidRPr="00C90932">
        <w:rPr>
          <w:u w:val="single"/>
        </w:rPr>
        <w:t xml:space="preserve"> of transatlantic slavery continue to spill over into the present, not just figuratively—in the sense that racial capitalism saturates contemporary ecologies and economies—but materially, too.</w:t>
      </w:r>
      <w:r w:rsidRPr="00C90932">
        <w:rPr>
          <w:sz w:val="16"/>
        </w:rPr>
        <w:t xml:space="preserve"> </w:t>
      </w:r>
      <w:r w:rsidRPr="00C90932">
        <w:rPr>
          <w:u w:val="single"/>
        </w:rPr>
        <w:t>Slavery altered the natural hydrology of the American South (Silkenat 81). Industrialized agriculture was dependent not only on precipitation patterns—as in, rainfall for harvest—but also on drainage systems to facilitate the control of water.</w:t>
      </w:r>
      <w:r w:rsidRPr="00C90932">
        <w:rPr>
          <w:sz w:val="16"/>
        </w:rPr>
        <w:t xml:space="preserve"> Along the Mississippi River, enslaved people were deployed to build and maintain </w:t>
      </w:r>
      <w:r w:rsidRPr="00C90932">
        <w:rPr>
          <w:u w:val="single"/>
        </w:rPr>
        <w:t>canals and levees</w:t>
      </w:r>
      <w:r w:rsidRPr="00C90932">
        <w:rPr>
          <w:sz w:val="16"/>
        </w:rPr>
        <w:t xml:space="preserve"> were used to prevent flooding and to assist the cultivation of crops in low-lying areas across the Mississippi Delta and Louisiana. However, as Anna Hartnell writes, “In time it would become apparent that [. . .] </w:t>
      </w:r>
      <w:r w:rsidRPr="00C90932">
        <w:rPr>
          <w:u w:val="single"/>
        </w:rPr>
        <w:t>man-made levees deprive the soil of the water and sediment that builds the land [. . .] and keeps it from collapsing in on itself and sinking”</w:t>
      </w:r>
      <w:r w:rsidRPr="00C90932">
        <w:rPr>
          <w:sz w:val="16"/>
        </w:rPr>
        <w:t xml:space="preserve"> (934). In the words of Richard Campanella, “All this creates air pockets in the soil body, into which those sand, silt, and clay particles settle, consolidate—and drop below sea level” (Campanella). Compounded by anthropogenic climate change and the construction of oil pipelines, </w:t>
      </w:r>
      <w:r w:rsidRPr="00C90932">
        <w:rPr>
          <w:u w:val="single"/>
        </w:rPr>
        <w:t>the hydraulic infrastructures of the Plantation continue to shape environmental crises across the US south</w:t>
      </w:r>
      <w:r w:rsidRPr="00C90932">
        <w:rPr>
          <w:sz w:val="16"/>
        </w:rPr>
        <w:t xml:space="preserve">, contributingISLE: Interdisciplinary Studies in Literature and Environment 00.0 (2025), pp. 1–19 https://doi.org/10.1093/isle/isaf029© The Author(s) 2025. Published by Oxford University Press on behalf of the Association for the Study of Literature and Environment. This is an Open Access article distributed under the terms of the Creative Commons AttributionNonCommercial-NoDerivs licence (https://creativecommons.org/licenses/by-nc-nd/4.0/), which permits non-commercial reproduction and distribution of the work, in any medium, provided the original work is not altered or transformed in any way, and that the work is properly cited. For commercial re-use, please contact reprints@oup. com for reprints and translation rights for reprints. All other permissions can be obtained through our RightsLink service via the Permissions link on the article page on our site—for further information please contact journals.permissions@oup.com. Downloaded from https://academic.oup.com/isle/advance-article/doi/10.1093/isle/isaf029/8105628 by Goldsmiths College user on 15 April 2025of the Anthropocene. Finally, I reflect on how the ending of the novel, ultimately, resonates with histories of “marronage and other forms of fugitive mobilities,” which as Leslie Gross-Wyrtzen and Alex Moulton write, “highlight the social and spatial dynamics of resistance and refashioning that African, African-descended, and Indigenous people enacted wherever chattel slavery existed” (1260). Through the neoslave narrative, Ward salvages the miscellaneous water-related histories and knowledges that are bypassed by the limited purview of the Anthropocene (tailored exclusively to the Western “Anthropos”) as well as terrestrial definitions of the Plantationocene. If, as Lucy Bond argues, </w:t>
      </w:r>
      <w:r w:rsidRPr="00C90932">
        <w:rPr>
          <w:u w:val="single"/>
        </w:rPr>
        <w:t>the Anthropocene induces a “crisis of memory” through the perpetuation of “narratives that serve to mask the historical connection between socio-economic and ecological violence</w:t>
      </w:r>
      <w:r w:rsidRPr="00C90932">
        <w:rPr>
          <w:sz w:val="16"/>
        </w:rPr>
        <w:t xml:space="preserve">” (196-197), then Let Us Descend complicates that strategic forgetfulness by articulating how </w:t>
      </w:r>
      <w:r w:rsidRPr="00C90932">
        <w:rPr>
          <w:rStyle w:val="Emphasis"/>
        </w:rPr>
        <w:t xml:space="preserve">the so-called natural environment is physically and metaphorically soaked in </w:t>
      </w:r>
      <w:r w:rsidRPr="00C90932">
        <w:rPr>
          <w:u w:val="single"/>
        </w:rPr>
        <w:t>histories of transatlantic slavery and its liquid legacies</w:t>
      </w:r>
      <w:r w:rsidRPr="00C90932">
        <w:rPr>
          <w:sz w:val="16"/>
        </w:rPr>
        <w:t>. The liquid Plantationocene is a nod to two critical interventions in which the concept of liquid(ity) has proven to be a generative framework for understanding the fluid dynamics of racial capitalism. The first is Hartnell’s work on the experience of “</w:t>
      </w:r>
      <w:r w:rsidRPr="00C90932">
        <w:rPr>
          <w:rStyle w:val="Emphasis"/>
        </w:rPr>
        <w:t>liquid precarity</w:t>
      </w:r>
      <w:r w:rsidRPr="00C90932">
        <w:rPr>
          <w:u w:val="single"/>
        </w:rPr>
        <w:t>” in what is now a sinking New Orleans (933). Whereas Zygmunt Baumon employs the notion of “liquid modernity” to describe the unfettered flows of global capitalism, Hartnell identifies the phenomenon of“liquid precarity” that continues to emerge as a result of the earth’s inability to withstand the weight of racial capitalism (933). As Hartnell reminds, this liquid precarity is evidenced by the sea’s ongoing absorption of the soil in Louisiana. Second, Rinaldo Walcott’s “The Black Aquatic” centers both the metaphorical and material proponents of liquid. Walcott argues that “Blackness begins in the context of liquidity—the coffle and the slave ship are its founding.</w:t>
      </w:r>
      <w:r w:rsidRPr="00C90932">
        <w:rPr>
          <w:sz w:val="16"/>
        </w:rPr>
        <w:t xml:space="preserve"> From historical examples like the ships Amistad and Zong, we see how </w:t>
      </w:r>
      <w:r w:rsidRPr="00C90932">
        <w:rPr>
          <w:u w:val="single"/>
        </w:rPr>
        <w:t xml:space="preserve">liquidity marks the birth of black possibility and/or potentialities that come into being. Liquidity, too, has its opposite: liquidation” </w:t>
      </w:r>
      <w:r w:rsidRPr="00C90932">
        <w:rPr>
          <w:sz w:val="16"/>
        </w:rPr>
        <w:t>(66). In doing so, Walcott draws the reader’s attention to “</w:t>
      </w:r>
      <w:r w:rsidRPr="00C90932">
        <w:rPr>
          <w:u w:val="single"/>
        </w:rPr>
        <w:t>the liquidity of people and economies in which the historical implications of the ship meet the contemporary liveability of Black</w:t>
      </w:r>
      <w:r w:rsidRPr="00C90932">
        <w:rPr>
          <w:sz w:val="16"/>
        </w:rPr>
        <w:t xml:space="preserve"> peoples’</w:t>
      </w:r>
      <w:r w:rsidRPr="00C90932">
        <w:rPr>
          <w:u w:val="single"/>
        </w:rPr>
        <w:t xml:space="preserve"> lives</w:t>
      </w:r>
      <w:r w:rsidRPr="00C90932">
        <w:rPr>
          <w:sz w:val="16"/>
        </w:rPr>
        <w:t xml:space="preserve">” (66). Thus, while the concept of </w:t>
      </w:r>
      <w:r w:rsidRPr="00C90932">
        <w:rPr>
          <w:u w:val="single"/>
        </w:rPr>
        <w:t>the Blue Plantationocene</w:t>
      </w:r>
      <w:r w:rsidRPr="00C90932">
        <w:rPr>
          <w:sz w:val="16"/>
        </w:rPr>
        <w:t xml:space="preserve"> might have situated this essay firmly within the field of </w:t>
      </w:r>
      <w:r w:rsidRPr="00C90932">
        <w:rPr>
          <w:rStyle w:val="Emphasis"/>
        </w:rPr>
        <w:t>blue humanities</w:t>
      </w:r>
      <w:r w:rsidRPr="00C90932">
        <w:rPr>
          <w:sz w:val="16"/>
        </w:rPr>
        <w:t xml:space="preserve"> scholarship, I want to maintain the focus on liquid that emerges in the work of both Hartnell and Walcott. </w:t>
      </w:r>
      <w:r w:rsidRPr="00C90932">
        <w:rPr>
          <w:u w:val="single"/>
        </w:rPr>
        <w:t>Blue humanities</w:t>
      </w:r>
      <w:r w:rsidRPr="00C90932">
        <w:rPr>
          <w:sz w:val="16"/>
        </w:rPr>
        <w:t xml:space="preserve"> discourse </w:t>
      </w:r>
      <w:r w:rsidRPr="00C90932">
        <w:rPr>
          <w:u w:val="single"/>
        </w:rPr>
        <w:t>is usually focused on the possibilities that emerge when marine science and cultural studies are combined to challenge anthropocentric understandings of the sea (</w:t>
      </w:r>
      <w:r w:rsidRPr="00C90932">
        <w:rPr>
          <w:sz w:val="16"/>
        </w:rPr>
        <w:t>Opperman 2-3). However, grappling with the liquid ecologies of 4 I S L E Downloaded from https://academic.oup.com/isle/advance-article/doi/10.1093/isle/isaf029/8105628 by Goldsmiths College user on 15 April 2025transatlantic slavery and identifying how they come to bear on the present means transgressing the saltwater focus that has long dominated that discourse.</w:t>
      </w:r>
      <w:r w:rsidRPr="00C90932">
        <w:rPr>
          <w:u w:val="single"/>
        </w:rPr>
        <w:t>2 Liquid, with its lexical associations with both water and capital, is a particularly useful term when it comes to apprehending the intersections among aqueous violence, economic exploitation, and racial domination in the Plantationocene</w:t>
      </w:r>
    </w:p>
    <w:p w14:paraId="14BAD4E6" w14:textId="1E3F0CE0" w:rsidR="008B5958" w:rsidRPr="00C90932" w:rsidRDefault="008B5958" w:rsidP="00C90932">
      <w:pPr>
        <w:pStyle w:val="Heading4"/>
      </w:pPr>
      <w:r w:rsidRPr="00C90932">
        <w:t>[Links]</w:t>
      </w:r>
    </w:p>
    <w:p w14:paraId="2FCB7044" w14:textId="47153C65" w:rsidR="003215B1" w:rsidRPr="00C90932" w:rsidRDefault="003215B1" w:rsidP="00C90932">
      <w:pPr>
        <w:pStyle w:val="Heading4"/>
        <w:rPr>
          <w:rFonts w:cs="Calibri"/>
        </w:rPr>
      </w:pPr>
      <w:r w:rsidRPr="00C90932">
        <w:rPr>
          <w:rFonts w:cs="Calibri"/>
        </w:rPr>
        <w:t xml:space="preserve">This emphatuation with blue is the basis of anthropocentric violence driving both everyday extinctions and existential extinction threats. The foundation of the violence of the 1AC is blue desire. </w:t>
      </w:r>
    </w:p>
    <w:p w14:paraId="2A9EA02B" w14:textId="77777777" w:rsidR="003215B1" w:rsidRPr="00C90932" w:rsidRDefault="003215B1" w:rsidP="00C90932">
      <w:pPr>
        <w:spacing w:after="120" w:line="235" w:lineRule="atLeast"/>
        <w:rPr>
          <w:color w:val="000000"/>
        </w:rPr>
      </w:pPr>
      <w:r w:rsidRPr="00C90932">
        <w:rPr>
          <w:color w:val="000000"/>
        </w:rPr>
        <w:t>Beatrice </w:t>
      </w:r>
      <w:r w:rsidRPr="00C90932">
        <w:rPr>
          <w:b/>
          <w:bCs/>
          <w:color w:val="000000"/>
          <w:sz w:val="26"/>
          <w:szCs w:val="26"/>
        </w:rPr>
        <w:t>Marovich 23</w:t>
      </w:r>
      <w:r w:rsidRPr="00C90932">
        <w:rPr>
          <w:color w:val="000000"/>
        </w:rPr>
        <w:t>—Associate professor of theological studies at Hanover College, 2023, Sister Death: Political Theologies for Living and Dying, Chapter 2: The War with Death, Columbia University Press, Accessed through the Wake Forest Library, language edited change denoted with brackets – recut //Micah</w:t>
      </w:r>
    </w:p>
    <w:p w14:paraId="227365B1" w14:textId="77777777" w:rsidR="003215B1" w:rsidRPr="00E10C6B" w:rsidRDefault="003215B1" w:rsidP="00C90932">
      <w:pPr>
        <w:spacing w:line="235" w:lineRule="atLeast"/>
        <w:rPr>
          <w:rStyle w:val="Emphasis"/>
        </w:rPr>
      </w:pPr>
      <w:r w:rsidRPr="00C90932">
        <w:rPr>
          <w:color w:val="000000"/>
          <w:sz w:val="16"/>
        </w:rPr>
        <w:t>Wyschogrod’s own analysis was, to her mind, prompted by events of the mid-twentieth century— more specifically, Auschwitz and Hiroshima. But, I would argue, the </w:t>
      </w:r>
      <w:r w:rsidRPr="00C90932">
        <w:rPr>
          <w:color w:val="000000"/>
          <w:u w:val="single"/>
        </w:rPr>
        <w:t>phenomenon of technologically enabled</w:t>
      </w:r>
      <w:r w:rsidRPr="00C90932">
        <w:rPr>
          <w:color w:val="000000"/>
          <w:sz w:val="16"/>
        </w:rPr>
        <w:t> </w:t>
      </w:r>
      <w:r w:rsidRPr="00E10C6B">
        <w:rPr>
          <w:rStyle w:val="StyleUnderline"/>
        </w:rPr>
        <w:t>[h</w:t>
      </w:r>
      <w:r w:rsidRPr="00E10C6B">
        <w:t>u]man-made mass death</w:t>
      </w:r>
      <w:r w:rsidRPr="00C90932">
        <w:rPr>
          <w:color w:val="000000"/>
          <w:sz w:val="16"/>
        </w:rPr>
        <w:t xml:space="preserve"> she refers </w:t>
      </w:r>
      <w:r w:rsidRPr="00E10C6B">
        <w:rPr>
          <w:rStyle w:val="Emphasis"/>
        </w:rPr>
        <w:t>to extends into both the past and the future</w:t>
      </w:r>
      <w:r w:rsidRPr="00C90932">
        <w:rPr>
          <w:color w:val="000000"/>
          <w:sz w:val="16"/>
        </w:rPr>
        <w:t> of these twentiethcentury events. </w:t>
      </w:r>
      <w:r w:rsidRPr="00C90932">
        <w:rPr>
          <w:color w:val="000000"/>
          <w:u w:val="single"/>
        </w:rPr>
        <w:t>[Hu]Man-made mass death was an</w:t>
      </w:r>
      <w:r w:rsidRPr="00C90932">
        <w:rPr>
          <w:color w:val="000000"/>
          <w:sz w:val="16"/>
        </w:rPr>
        <w:t> </w:t>
      </w:r>
      <w:r w:rsidRPr="00C90932">
        <w:rPr>
          <w:b/>
          <w:bCs/>
          <w:color w:val="000000"/>
          <w:u w:val="single"/>
        </w:rPr>
        <w:t>epiphenomenon</w:t>
      </w:r>
      <w:r w:rsidRPr="00C90932">
        <w:rPr>
          <w:color w:val="000000"/>
          <w:sz w:val="16"/>
        </w:rPr>
        <w:t> </w:t>
      </w:r>
      <w:r w:rsidRPr="00E10C6B">
        <w:rPr>
          <w:rStyle w:val="Emphasis"/>
        </w:rPr>
        <w:t>of both settler colonialism and the Atlantic slave trade</w:t>
      </w:r>
      <w:r w:rsidRPr="00C90932">
        <w:rPr>
          <w:color w:val="000000"/>
          <w:sz w:val="16"/>
        </w:rPr>
        <w:t> </w:t>
      </w:r>
      <w:r w:rsidRPr="00C90932">
        <w:rPr>
          <w:color w:val="000000"/>
          <w:u w:val="single"/>
        </w:rPr>
        <w:t>and many</w:t>
      </w:r>
      <w:r w:rsidRPr="00C90932">
        <w:rPr>
          <w:color w:val="000000"/>
          <w:sz w:val="16"/>
        </w:rPr>
        <w:t> </w:t>
      </w:r>
      <w:r w:rsidRPr="00C90932">
        <w:rPr>
          <w:b/>
          <w:bCs/>
          <w:color w:val="000000"/>
          <w:u w:val="single"/>
        </w:rPr>
        <w:t>people are still</w:t>
      </w:r>
      <w:r w:rsidRPr="00C90932">
        <w:rPr>
          <w:color w:val="000000"/>
          <w:u w:val="single"/>
        </w:rPr>
        <w:t>, as</w:t>
      </w:r>
      <w:r w:rsidRPr="00C90932">
        <w:rPr>
          <w:color w:val="000000"/>
          <w:sz w:val="16"/>
        </w:rPr>
        <w:t> </w:t>
      </w:r>
      <w:r w:rsidRPr="00C90932">
        <w:rPr>
          <w:b/>
          <w:bCs/>
          <w:color w:val="000000"/>
          <w:u w:val="single"/>
        </w:rPr>
        <w:t>Sharpe</w:t>
      </w:r>
      <w:r w:rsidRPr="00C90932">
        <w:rPr>
          <w:color w:val="000000"/>
          <w:sz w:val="16"/>
        </w:rPr>
        <w:t> has </w:t>
      </w:r>
      <w:r w:rsidRPr="00C90932">
        <w:rPr>
          <w:color w:val="000000"/>
          <w:u w:val="single"/>
        </w:rPr>
        <w:t>put it</w:t>
      </w:r>
      <w:r w:rsidRPr="00E10C6B">
        <w:rPr>
          <w:rStyle w:val="StyleUnderline"/>
        </w:rPr>
        <w:t>, living in the afterlife</w:t>
      </w:r>
      <w:r w:rsidRPr="00C90932">
        <w:rPr>
          <w:color w:val="000000"/>
          <w:sz w:val="16"/>
        </w:rPr>
        <w:t> </w:t>
      </w:r>
      <w:r w:rsidRPr="00C90932">
        <w:rPr>
          <w:b/>
          <w:bCs/>
          <w:color w:val="000000"/>
          <w:u w:val="single"/>
        </w:rPr>
        <w:t xml:space="preserve">of these </w:t>
      </w:r>
      <w:r w:rsidRPr="00AB4ADB">
        <w:rPr>
          <w:b/>
          <w:bCs/>
          <w:color w:val="000000"/>
          <w:u w:val="single"/>
        </w:rPr>
        <w:t>events</w:t>
      </w:r>
      <w:r w:rsidRPr="00AB4ADB">
        <w:rPr>
          <w:color w:val="000000"/>
          <w:u w:val="single"/>
        </w:rPr>
        <w:t xml:space="preserve">. And [hu]man-made mass </w:t>
      </w:r>
      <w:r w:rsidRPr="00AB4ADB">
        <w:rPr>
          <w:rStyle w:val="StyleUnderline"/>
        </w:rPr>
        <w:t>death is another way of describing the mass extinction events</w:t>
      </w:r>
      <w:r w:rsidRPr="00AB4ADB">
        <w:rPr>
          <w:color w:val="000000"/>
          <w:sz w:val="16"/>
        </w:rPr>
        <w:t> </w:t>
      </w:r>
      <w:r w:rsidRPr="00AB4ADB">
        <w:rPr>
          <w:color w:val="000000"/>
          <w:u w:val="single"/>
        </w:rPr>
        <w:t>that are</w:t>
      </w:r>
      <w:r w:rsidRPr="00AB4ADB">
        <w:rPr>
          <w:color w:val="000000"/>
          <w:sz w:val="16"/>
        </w:rPr>
        <w:t> </w:t>
      </w:r>
      <w:r w:rsidRPr="00AB4ADB">
        <w:rPr>
          <w:b/>
          <w:bCs/>
          <w:color w:val="000000"/>
          <w:u w:val="single"/>
        </w:rPr>
        <w:t>currently</w:t>
      </w:r>
      <w:r w:rsidRPr="00AB4ADB">
        <w:rPr>
          <w:color w:val="000000"/>
          <w:sz w:val="16"/>
        </w:rPr>
        <w:t> </w:t>
      </w:r>
      <w:r w:rsidRPr="00AB4ADB">
        <w:rPr>
          <w:rStyle w:val="Emphasis"/>
        </w:rPr>
        <w:t>playing out</w:t>
      </w:r>
      <w:r w:rsidRPr="00AB4ADB">
        <w:rPr>
          <w:color w:val="000000"/>
          <w:sz w:val="16"/>
        </w:rPr>
        <w:t> </w:t>
      </w:r>
      <w:r w:rsidRPr="00AB4ADB">
        <w:rPr>
          <w:color w:val="000000"/>
          <w:u w:val="single"/>
        </w:rPr>
        <w:t>(and</w:t>
      </w:r>
      <w:r w:rsidRPr="00AB4ADB">
        <w:rPr>
          <w:color w:val="000000"/>
          <w:sz w:val="16"/>
        </w:rPr>
        <w:t> </w:t>
      </w:r>
      <w:r w:rsidRPr="00AB4ADB">
        <w:rPr>
          <w:b/>
          <w:bCs/>
          <w:color w:val="000000"/>
          <w:u w:val="single"/>
        </w:rPr>
        <w:t>will inevitably continue</w:t>
      </w:r>
      <w:r w:rsidRPr="00AB4ADB">
        <w:rPr>
          <w:color w:val="000000"/>
          <w:sz w:val="16"/>
        </w:rPr>
        <w:t> </w:t>
      </w:r>
      <w:r w:rsidRPr="00AB4ADB">
        <w:rPr>
          <w:color w:val="000000"/>
          <w:u w:val="single"/>
        </w:rPr>
        <w:t>to play out)</w:t>
      </w:r>
      <w:r w:rsidRPr="00AB4ADB">
        <w:rPr>
          <w:color w:val="000000"/>
          <w:sz w:val="16"/>
        </w:rPr>
        <w:t> </w:t>
      </w:r>
      <w:r w:rsidRPr="00AB4ADB">
        <w:rPr>
          <w:rStyle w:val="Emphasis"/>
        </w:rPr>
        <w:t>across</w:t>
      </w:r>
      <w:r w:rsidRPr="00E10C6B">
        <w:rPr>
          <w:rStyle w:val="Emphasis"/>
        </w:rPr>
        <w:t xml:space="preserve"> the globe. </w:t>
      </w:r>
      <w:r w:rsidRPr="00C90932">
        <w:rPr>
          <w:color w:val="000000"/>
          <w:sz w:val="16"/>
        </w:rPr>
        <w:t>Man-made mass death has rescaled death until it has ruptured what Deborah Bird Rose has described as the “twist” that mortuary rituals developed to perform— setting up a “recursive looping between life and death.” </w:t>
      </w:r>
      <w:r w:rsidRPr="00E10C6B">
        <w:rPr>
          <w:rStyle w:val="Emphasis"/>
        </w:rPr>
        <w:t>[Hu]Man-made</w:t>
      </w:r>
      <w:r w:rsidRPr="00C90932">
        <w:rPr>
          <w:color w:val="000000"/>
          <w:sz w:val="16"/>
        </w:rPr>
        <w:t> </w:t>
      </w:r>
      <w:r w:rsidRPr="00C90932">
        <w:rPr>
          <w:color w:val="000000"/>
          <w:u w:val="single"/>
        </w:rPr>
        <w:t>mass death, through</w:t>
      </w:r>
      <w:r w:rsidRPr="00C90932">
        <w:rPr>
          <w:color w:val="000000"/>
          <w:sz w:val="16"/>
        </w:rPr>
        <w:t> </w:t>
      </w:r>
      <w:r w:rsidRPr="00E10C6B">
        <w:rPr>
          <w:rStyle w:val="Emphasis"/>
        </w:rPr>
        <w:t>annihilations and extinctions,</w:t>
      </w:r>
      <w:r w:rsidRPr="00C90932">
        <w:rPr>
          <w:color w:val="000000"/>
          <w:u w:val="single"/>
        </w:rPr>
        <w:t xml:space="preserve"> produces</w:t>
      </w:r>
      <w:r w:rsidRPr="00C90932">
        <w:rPr>
          <w:color w:val="000000"/>
          <w:sz w:val="16"/>
        </w:rPr>
        <w:t> instead what Rose called </w:t>
      </w:r>
      <w:r w:rsidRPr="00E10C6B">
        <w:rPr>
          <w:rStyle w:val="Emphasis"/>
        </w:rPr>
        <w:t>“double death</w:t>
      </w:r>
      <w:r w:rsidRPr="00C90932">
        <w:rPr>
          <w:color w:val="000000"/>
          <w:u w:val="single"/>
        </w:rPr>
        <w:t>.”</w:t>
      </w:r>
      <w:r w:rsidRPr="00C90932">
        <w:rPr>
          <w:color w:val="000000"/>
          <w:sz w:val="16"/>
        </w:rPr>
        <w:t> </w:t>
      </w:r>
      <w:r w:rsidRPr="00E10C6B">
        <w:rPr>
          <w:rStyle w:val="StyleUnderline"/>
        </w:rPr>
        <w:t>36 This double death, write Eben Kirksey and Julieta Aranda, “reverberates through ecosystems</w:t>
      </w:r>
      <w:r w:rsidRPr="00C90932">
        <w:rPr>
          <w:color w:val="000000"/>
          <w:sz w:val="16"/>
        </w:rPr>
        <w:t> </w:t>
      </w:r>
      <w:r w:rsidRPr="00C90932">
        <w:rPr>
          <w:color w:val="000000"/>
          <w:u w:val="single"/>
        </w:rPr>
        <w:t>as living creatures feed on poisoned carrion for sustenance. As the</w:t>
      </w:r>
      <w:r w:rsidRPr="00C90932">
        <w:rPr>
          <w:color w:val="000000"/>
          <w:sz w:val="16"/>
        </w:rPr>
        <w:t> </w:t>
      </w:r>
      <w:r w:rsidRPr="00C90932">
        <w:rPr>
          <w:b/>
          <w:bCs/>
          <w:color w:val="000000"/>
          <w:u w:val="single"/>
        </w:rPr>
        <w:t>poison moves</w:t>
      </w:r>
      <w:r w:rsidRPr="00C90932">
        <w:rPr>
          <w:color w:val="000000"/>
          <w:sz w:val="16"/>
        </w:rPr>
        <w:t> </w:t>
      </w:r>
      <w:r w:rsidRPr="00E10C6B">
        <w:rPr>
          <w:rStyle w:val="Emphasis"/>
        </w:rPr>
        <w:t>through generations and across species, life becomes non-life.” Life on the planet is full of non-life, which fails to be woven back into a form of death that can reintegrate the dying and the living. 37</w:t>
      </w:r>
    </w:p>
    <w:p w14:paraId="4011097F" w14:textId="77777777" w:rsidR="003215B1" w:rsidRPr="00C90932" w:rsidRDefault="003215B1" w:rsidP="00C90932">
      <w:pPr>
        <w:spacing w:line="235" w:lineRule="atLeast"/>
        <w:rPr>
          <w:color w:val="000000"/>
          <w:sz w:val="16"/>
        </w:rPr>
      </w:pPr>
      <w:r w:rsidRPr="00C90932">
        <w:rPr>
          <w:color w:val="000000"/>
          <w:sz w:val="16"/>
        </w:rPr>
        <w:t xml:space="preserve">Man-made </w:t>
      </w:r>
      <w:r w:rsidRPr="00C90932">
        <w:rPr>
          <w:color w:val="000000"/>
          <w:u w:val="single"/>
        </w:rPr>
        <w:t>mass death</w:t>
      </w:r>
      <w:r w:rsidRPr="00C90932">
        <w:rPr>
          <w:color w:val="000000"/>
          <w:sz w:val="16"/>
        </w:rPr>
        <w:t xml:space="preserve">, in other words, </w:t>
      </w:r>
      <w:r w:rsidRPr="00C90932">
        <w:rPr>
          <w:color w:val="000000"/>
          <w:u w:val="single"/>
        </w:rPr>
        <w:t>is a product or side effect of what Grove has called the Eurocene.</w:t>
      </w:r>
      <w:r w:rsidRPr="00C90932">
        <w:rPr>
          <w:color w:val="000000"/>
          <w:sz w:val="16"/>
        </w:rPr>
        <w:t>38 So it is that the war with death continues, without the promise of providing an exit from the double death of these proliferating death worlds. In these planetary conditions, surrounded by man-made mass death and the death worlds it has produced, the war with death that seeks its own evisceration seems destined to merely perform more militancy. Militant forms of life are at war with more than death—they are at war with lifedeath. While I don’t know what will bring an end to this war with death—this war with lifedeath—I do think it is necessary to stage a critique of Christian repressions of death, flights from death, or biomythical theories (political theologies) that charge death itself with evil and enmity.</w:t>
      </w:r>
    </w:p>
    <w:p w14:paraId="68A630F0" w14:textId="77777777" w:rsidR="003215B1" w:rsidRPr="00C90932" w:rsidRDefault="003215B1" w:rsidP="00C90932">
      <w:pPr>
        <w:spacing w:line="235" w:lineRule="atLeast"/>
        <w:rPr>
          <w:color w:val="000000"/>
          <w:sz w:val="16"/>
        </w:rPr>
      </w:pPr>
      <w:r w:rsidRPr="00C90932">
        <w:rPr>
          <w:color w:val="000000"/>
          <w:sz w:val="16"/>
        </w:rPr>
        <w:t>THE WINGLESS FLIGHT FROM DEATH</w:t>
      </w:r>
    </w:p>
    <w:p w14:paraId="4AB0654B" w14:textId="77777777" w:rsidR="003215B1" w:rsidRPr="00C90932" w:rsidRDefault="003215B1" w:rsidP="00C90932">
      <w:pPr>
        <w:spacing w:line="235" w:lineRule="atLeast"/>
        <w:rPr>
          <w:color w:val="000000"/>
          <w:sz w:val="16"/>
        </w:rPr>
      </w:pPr>
      <w:r w:rsidRPr="00C90932">
        <w:rPr>
          <w:color w:val="000000"/>
          <w:sz w:val="16"/>
        </w:rPr>
        <w:t>For a glimpse at the structures of repression, it is only natural to turn to psychoanalysis. Norman O. Brown argued that psychoanalysis was, itself, a biomythical theory. Brown admits that psychoanalysis (especially Freud’s theory of the instincts) bears what he calls a kind of “mythic” dimension,39 but he also argues that the Freudian instincts are informed by biology. Fundamentally, the psychoanalytic instincts are oriented around Freud’s observations on the biological processes of living and dying, of life and death.40 The instincts are, in this sense, a kind of biomythical theory.</w:t>
      </w:r>
    </w:p>
    <w:p w14:paraId="6C2ABC9E" w14:textId="77777777" w:rsidR="003215B1" w:rsidRPr="00C90932" w:rsidRDefault="003215B1" w:rsidP="00C90932">
      <w:pPr>
        <w:spacing w:line="235" w:lineRule="atLeast"/>
        <w:rPr>
          <w:color w:val="000000"/>
          <w:sz w:val="16"/>
        </w:rPr>
      </w:pPr>
      <w:r w:rsidRPr="00C90932">
        <w:rPr>
          <w:color w:val="000000"/>
          <w:sz w:val="16"/>
        </w:rPr>
        <w:t>Brown argues that Freud’s claim in Beyond the Pleasure Principle—that all living entities seek to return to the inorganic state—is simply a claim that “death is an intrinsic part of life.” It is an argument that death is not an “external accident.”41 In this sense, then, there is no materially fixed or irreducible conflict between life and death. Rather, the conflict arises as a dimension of culture. It is at the level of human culture and through the construction of history, Brown argued, that life and death are poised as “conflicting opposites.” It is through cultural discourses that the relation between life and death takes on a more mythical cast, infusing life and death with broadly sweeping biomythical narratives. So it is in this way, through grand biomythical narratives, that death assumes an accidental or unnatural character or is presented as less inevitable (at least for some). And yet, Brown argues, what these stories also do is facilitate a repression. In their flight from death, certain biomythical narratives function to repress the fact of death.</w:t>
      </w:r>
    </w:p>
    <w:p w14:paraId="3E92F974" w14:textId="77777777" w:rsidR="003215B1" w:rsidRPr="00C90932" w:rsidRDefault="003215B1" w:rsidP="00C90932">
      <w:pPr>
        <w:spacing w:line="235" w:lineRule="atLeast"/>
        <w:rPr>
          <w:color w:val="000000"/>
          <w:sz w:val="16"/>
        </w:rPr>
      </w:pPr>
      <w:r w:rsidRPr="00C90932">
        <w:rPr>
          <w:color w:val="000000"/>
          <w:sz w:val="16"/>
        </w:rPr>
        <w:t>Repression, argued Brown, is most fundamentally a repression of the body. So it is that, when the fact of death is repressed, it is also a repression of the body. It plays out within the body and has consequences for embodied realities. It is a repression that, impacts the life of the body. To repress the fact of death also involves, then, a repression of life. “If death is a part of life,” Brown argues, “if there is a death instinct as well as a life (or sexual) instinct,” then a repression of one dimension of this instinct is met by a repression of embodied complexes of instinct. The human in Brown’s view is in flight from sexuality, eros, or pleasure at the same time as he flees death.42 It is not the case, in other words, that in fleeing death (or Thanatos) one runs into the arms of life and pleasure (Eros). Instead, the flight from death (which creates an irresolvable biomythical conflict between life and death) is a flight from the complex interactions between Eros and Thanatos in lifedeath. The flight from death is a repression of the fact of death, so a repression of lifedeath, which is also a repression of the body (and its life).</w:t>
      </w:r>
    </w:p>
    <w:p w14:paraId="27789AF4" w14:textId="77777777" w:rsidR="003215B1" w:rsidRPr="00C90932" w:rsidRDefault="003215B1" w:rsidP="00C90932">
      <w:pPr>
        <w:spacing w:line="235" w:lineRule="atLeast"/>
        <w:rPr>
          <w:color w:val="000000"/>
          <w:sz w:val="16"/>
        </w:rPr>
      </w:pPr>
      <w:r w:rsidRPr="00C90932">
        <w:rPr>
          <w:color w:val="000000"/>
          <w:sz w:val="16"/>
        </w:rPr>
        <w:t>The function of repression, Brown argues, is not simply to deny or negate. And while it may be the case that repressions, such as the repression of death, are simply repeated (neurotically) over and over again, culture also makes productive use of these repressions and their resulting neuroses. In this sense, repression serves as a transformation or a production. Repression, he argues, “turns the timeless instinctual compulsion to repeat into the forward-moving dialectic of neurosis which is history.”43 Repression produces the biomythical narrative that we call history. Brown sees, in the distinction (endlessly revisited in Western thought) between what is considered human and what is considered animal, a permanent state of flight— a flight from death, as well as a flight from sexuality. And this flight from instinct (from death, from sexuality) becomes the foundation of history. “Man aggressively builds immortal cultures and makes history in order to fight death,” as Brown puts it.44 The erection of culture out of this flight from death is what he calls an “extroversion” of the death instinct. This “extroverted” form of death—the death instinct pushed outward, directed outwardly—functions as aggression. In the flight from death, as death becomes the greatest enemy, aggression is a roused and accordant forms of desire are born. This extroversion of the death instinct is “the drive to master nature” and also “the drive to master man.” In essence, it is the fact of death, repressed and “transformed into the desire to kill, destroy, or dominate.”45</w:t>
      </w:r>
    </w:p>
    <w:p w14:paraId="58DD44E0" w14:textId="77777777" w:rsidR="003215B1" w:rsidRPr="00C90932" w:rsidRDefault="003215B1" w:rsidP="00C90932">
      <w:pPr>
        <w:spacing w:line="235" w:lineRule="atLeast"/>
        <w:rPr>
          <w:color w:val="000000"/>
          <w:sz w:val="16"/>
        </w:rPr>
      </w:pPr>
      <w:r w:rsidRPr="00C90932">
        <w:rPr>
          <w:color w:val="000000"/>
          <w:sz w:val="16"/>
        </w:rPr>
        <w:t>In keeping with numerous intellectual predecessors, Brown believed that psychoanalysis, like other intellectual byproducts of American and European culture, was articulating universal truths about human nature. For him, the flight from death was a universal symptom of civilization as such. He understood his own diagnosis of culture to be shared by much, if not all, of humankind. But formulations of the relationship between life and death are resistant to this kind of simplification or reductionism. The irreducible enmity between life and death is not a pure cultural universal, nor are there any enduring patterns in lifedeath that repeat themselves identically in all contexts. Instead, I read Brown’s diagnosis as a critique of the cultural context in which he lived and thought—a cultural context that I, at a slightly different point in its history (writing six decades after he first published these thoughts), now share. I think he provides a critical take on especially American reenactments of Western legacies of thought.</w:t>
      </w:r>
    </w:p>
    <w:p w14:paraId="3BA83518" w14:textId="77777777" w:rsidR="003215B1" w:rsidRPr="00C90932" w:rsidRDefault="003215B1" w:rsidP="00C90932">
      <w:pPr>
        <w:spacing w:line="235" w:lineRule="atLeast"/>
        <w:rPr>
          <w:color w:val="000000"/>
          <w:sz w:val="16"/>
        </w:rPr>
      </w:pPr>
      <w:r w:rsidRPr="00C90932">
        <w:rPr>
          <w:color w:val="000000"/>
          <w:sz w:val="16"/>
        </w:rPr>
        <w:t>Over the course of many centuries, philosophical dispositions inherited from Europe, and informed by Western Christianity, have generated particular conceptual formulas for the naming or recognition of a human. A distinct form of the human—a distinct form of life, a martial form of life—has taken shape over and against the amorphous, shifting, fluid, and highly abstract figure of the animal. While the human was understood to be connected to the animal, often in problematic or degenerative ways, the formation of the human as such was understood to be that key or crucial moment of departure—his46 flight from animality. The beginning of the human was that moment when the creature who is human makes the critical cut or distinction that severs him from the animal. Rather than a creation ex nihilio this is something more like a creation ex animalis.</w:t>
      </w:r>
    </w:p>
    <w:p w14:paraId="3F09ACE4" w14:textId="77777777" w:rsidR="003215B1" w:rsidRPr="00C90932" w:rsidRDefault="003215B1" w:rsidP="00C90932">
      <w:pPr>
        <w:spacing w:line="235" w:lineRule="atLeast"/>
        <w:rPr>
          <w:color w:val="000000"/>
          <w:sz w:val="16"/>
        </w:rPr>
      </w:pPr>
      <w:r w:rsidRPr="00C90932">
        <w:rPr>
          <w:color w:val="000000"/>
          <w:sz w:val="16"/>
        </w:rPr>
        <w:t>There has never been universal agreement on where, exactly, this cut is or should be made. Is it the development of language? Is it a certain dimension of cognition? Is it a form of conscious awareness? Brown himself notes that the distinction is often drawn near death. That is to say, there is a conceptual tendency to distinguish between what is human and what is animal by making the argument that the human differs from the animal because it is conscious, or aware, of the fact of death. The beginning of the human is the awareness of animal mortality—the realization that the animal dies. This recognition becomes the dream that, perhaps, the human does not have to. Brown, arguing for the insufficiency of this formula, charges that the human differs from the animal in its (wingless) flight from death. In other words, what is significant is not the awareness of animal mortality but the belief that this mortality might be escapable. That, in becoming human, one might shake off that mortality like an old coat and fly away. Because of this flight, Brown argues, the human is distinguished through a particular form of sickness or neurosis—the human is the animal who represses the fact of death, its own body, its nature. To be human is to be sick in a particular kind of way.</w:t>
      </w:r>
    </w:p>
    <w:p w14:paraId="713A7221" w14:textId="77777777" w:rsidR="003215B1" w:rsidRPr="00E10C6B" w:rsidRDefault="003215B1" w:rsidP="00C90932">
      <w:pPr>
        <w:spacing w:line="235" w:lineRule="atLeast"/>
        <w:rPr>
          <w:rStyle w:val="StyleUnderline"/>
        </w:rPr>
      </w:pPr>
      <w:r w:rsidRPr="00C90932">
        <w:rPr>
          <w:color w:val="000000"/>
          <w:sz w:val="16"/>
        </w:rPr>
        <w:t>Brown, I think, was making a diagnosis of this conceptual figuration of the human when its symptoms would have been considered a bit more subclinical than they are today. He was intuiting what has become increasingly clear to inheritors of the legacy this human left behind. Brown’s argument is not that the human is a grand achievement but that to be human is to suffer from a particular form of illness. He recognized that this particular form of life was aggressive, alienated, problematic. He also understood this human to be universal—present in any dimension of culture that would call itself “civilized.” He did not recognize it as a particular form of life: a martial form of life. But it is often difficult to understand how much our own vision is crafted by the water we drink. Brown was describing the human as he knew it—as he had come to live and understand it. Today it has become clear that </w:t>
      </w:r>
      <w:r w:rsidRPr="00C90932">
        <w:rPr>
          <w:color w:val="000000"/>
          <w:u w:val="single"/>
        </w:rPr>
        <w:t>this</w:t>
      </w:r>
      <w:r w:rsidRPr="00C90932">
        <w:rPr>
          <w:color w:val="000000"/>
          <w:sz w:val="16"/>
        </w:rPr>
        <w:t> </w:t>
      </w:r>
      <w:r w:rsidRPr="00C90932">
        <w:rPr>
          <w:b/>
          <w:bCs/>
          <w:color w:val="000000"/>
          <w:u w:val="single"/>
        </w:rPr>
        <w:t>allegedly universal formation of the</w:t>
      </w:r>
      <w:r w:rsidRPr="00C90932">
        <w:rPr>
          <w:color w:val="000000"/>
          <w:sz w:val="16"/>
        </w:rPr>
        <w:t> </w:t>
      </w:r>
      <w:r w:rsidRPr="00E10C6B">
        <w:rPr>
          <w:rStyle w:val="StyleUnderline"/>
        </w:rPr>
        <w:t>human (inherited from European thought, performed, dissected, and examined in the academic and cultured recesses of the United States of America) was designed, specifically, to exclude forms of the human that did not fit within its contours. It was, in its incipient dimensions, normatively male. More than that, it was white (or perhaps more to the point, anti-Black). And the figure of the animal on which this particular form of the human so critically depends enacts and facilitates a reductionist erasure of animate lives; it is a subjective erasure or systemic collapse of biodiverse forms and figurations. It is, we might say, a martial form of life that has flowered in the Eurocene.</w:t>
      </w:r>
    </w:p>
    <w:p w14:paraId="6A394AE1" w14:textId="77777777" w:rsidR="003215B1" w:rsidRPr="00E10C6B" w:rsidRDefault="003215B1" w:rsidP="00C90932">
      <w:pPr>
        <w:spacing w:line="235" w:lineRule="atLeast"/>
        <w:rPr>
          <w:rStyle w:val="Emphasis"/>
        </w:rPr>
      </w:pPr>
      <w:r w:rsidRPr="00C90932">
        <w:rPr>
          <w:color w:val="000000"/>
          <w:sz w:val="16"/>
        </w:rPr>
        <w:t>The </w:t>
      </w:r>
      <w:r w:rsidRPr="00E10C6B">
        <w:rPr>
          <w:rStyle w:val="Emphasis"/>
        </w:rPr>
        <w:t>formation of the human</w:t>
      </w:r>
      <w:r w:rsidRPr="00C90932">
        <w:rPr>
          <w:color w:val="000000"/>
          <w:sz w:val="16"/>
        </w:rPr>
        <w:t> that Brown was diagnosing and critiquing—in his time—</w:t>
      </w:r>
      <w:r w:rsidRPr="00C90932">
        <w:rPr>
          <w:color w:val="000000"/>
          <w:u w:val="single"/>
        </w:rPr>
        <w:t>was</w:t>
      </w:r>
      <w:r w:rsidRPr="00C90932">
        <w:rPr>
          <w:color w:val="000000"/>
          <w:sz w:val="16"/>
        </w:rPr>
        <w:t> </w:t>
      </w:r>
      <w:r w:rsidRPr="00C90932">
        <w:rPr>
          <w:b/>
          <w:bCs/>
          <w:color w:val="000000"/>
          <w:u w:val="single"/>
        </w:rPr>
        <w:t>beginning to show its cracks</w:t>
      </w:r>
      <w:r w:rsidRPr="00C90932">
        <w:rPr>
          <w:color w:val="000000"/>
          <w:u w:val="single"/>
        </w:rPr>
        <w:t>.</w:t>
      </w:r>
      <w:r w:rsidRPr="00C90932">
        <w:rPr>
          <w:color w:val="000000"/>
          <w:sz w:val="16"/>
        </w:rPr>
        <w:t> It had become subject to too much wear and tear. </w:t>
      </w:r>
      <w:r w:rsidRPr="00C90932">
        <w:rPr>
          <w:b/>
          <w:bCs/>
          <w:color w:val="000000"/>
          <w:u w:val="single"/>
        </w:rPr>
        <w:t>Today</w:t>
      </w:r>
      <w:r w:rsidRPr="00C90932">
        <w:rPr>
          <w:color w:val="000000"/>
          <w:u w:val="single"/>
        </w:rPr>
        <w:t>,</w:t>
      </w:r>
      <w:r w:rsidRPr="00C90932">
        <w:rPr>
          <w:color w:val="000000"/>
          <w:sz w:val="16"/>
        </w:rPr>
        <w:t> </w:t>
      </w:r>
      <w:r w:rsidRPr="00E10C6B">
        <w:rPr>
          <w:rStyle w:val="Emphasis"/>
        </w:rPr>
        <w:t>it is more clearly imploding</w:t>
      </w:r>
      <w:r w:rsidRPr="00C90932">
        <w:rPr>
          <w:color w:val="000000"/>
          <w:u w:val="single"/>
        </w:rPr>
        <w:t>. This imploding figure is approached, reflected on, and picked apart from any number of critical angles today</w:t>
      </w:r>
      <w:r w:rsidRPr="00C90932">
        <w:rPr>
          <w:color w:val="000000"/>
          <w:sz w:val="16"/>
        </w:rPr>
        <w:t>: the posthumanities, animal studies and the environmental humanities, </w:t>
      </w:r>
      <w:r w:rsidRPr="00C90932">
        <w:rPr>
          <w:b/>
          <w:bCs/>
          <w:color w:val="000000"/>
          <w:u w:val="single"/>
        </w:rPr>
        <w:t>Black studies</w:t>
      </w:r>
      <w:r w:rsidRPr="00C90932">
        <w:rPr>
          <w:color w:val="000000"/>
          <w:sz w:val="16"/>
        </w:rPr>
        <w:t>, African diaspora studies, </w:t>
      </w:r>
      <w:r w:rsidRPr="00C90932">
        <w:rPr>
          <w:b/>
          <w:bCs/>
          <w:color w:val="000000"/>
          <w:u w:val="single"/>
        </w:rPr>
        <w:t>decolonial thought</w:t>
      </w:r>
      <w:r w:rsidRPr="00C90932">
        <w:rPr>
          <w:color w:val="000000"/>
          <w:sz w:val="16"/>
        </w:rPr>
        <w:t>, feminist theory, and queer theory </w:t>
      </w:r>
      <w:r w:rsidRPr="00C90932">
        <w:rPr>
          <w:color w:val="000000"/>
          <w:u w:val="single"/>
        </w:rPr>
        <w:t>(to name but a few)</w:t>
      </w:r>
      <w:r w:rsidRPr="00C90932">
        <w:rPr>
          <w:color w:val="000000"/>
          <w:sz w:val="16"/>
        </w:rPr>
        <w:t>. Here, I am interested in this figuration of the human primarily for how it models a particular relational configuration between life and death. To follow Brown and others, this figuration of the human takes shape against the generic, abstract, figure of the animal. If the animal comes to represent, for this human, the world of nature, then part of what the animal succumbs to is the pattern of death that works within and upon nature. To take flight away from animality, for this form of the human, is also a flight away from death. It is to live—to try to live—above death. Death becomes the enemy to flee because death knows that this human has no wings and cannot fly far. Death threatens, always, to pull the human back into the confines of his own two-legged animality. </w:t>
      </w:r>
      <w:r w:rsidRPr="00C90932">
        <w:rPr>
          <w:color w:val="000000"/>
          <w:u w:val="single"/>
        </w:rPr>
        <w:t>One of the</w:t>
      </w:r>
      <w:r w:rsidRPr="00C90932">
        <w:rPr>
          <w:color w:val="000000"/>
          <w:sz w:val="16"/>
        </w:rPr>
        <w:t> </w:t>
      </w:r>
      <w:r w:rsidRPr="00C90932">
        <w:rPr>
          <w:b/>
          <w:bCs/>
          <w:color w:val="000000"/>
          <w:u w:val="single"/>
        </w:rPr>
        <w:t>implications of the implosion</w:t>
      </w:r>
      <w:r w:rsidRPr="00C90932">
        <w:rPr>
          <w:color w:val="000000"/>
          <w:sz w:val="16"/>
        </w:rPr>
        <w:t> </w:t>
      </w:r>
      <w:r w:rsidRPr="00C90932">
        <w:rPr>
          <w:color w:val="000000"/>
          <w:u w:val="single"/>
        </w:rPr>
        <w:t xml:space="preserve">of this figuration of </w:t>
      </w:r>
      <w:r w:rsidRPr="00E10C6B">
        <w:rPr>
          <w:rStyle w:val="Emphasis"/>
        </w:rPr>
        <w:t>the human (and the lifeworlds it has created, to nurture and sustain its progeny) is that it is now being faced with the death it was designed to repress—the possibility of its own extinction.</w:t>
      </w:r>
    </w:p>
    <w:p w14:paraId="32FA9359" w14:textId="77777777" w:rsidR="003215B1" w:rsidRPr="00E10C6B" w:rsidRDefault="003215B1" w:rsidP="00C90932">
      <w:pPr>
        <w:spacing w:line="235" w:lineRule="atLeast"/>
        <w:rPr>
          <w:rStyle w:val="Emphasis"/>
        </w:rPr>
      </w:pPr>
      <w:r w:rsidRPr="00C90932">
        <w:rPr>
          <w:color w:val="000000"/>
          <w:sz w:val="16"/>
        </w:rPr>
        <w:t>In the end, </w:t>
      </w:r>
      <w:r w:rsidRPr="00C90932">
        <w:rPr>
          <w:color w:val="000000"/>
          <w:u w:val="single"/>
        </w:rPr>
        <w:t>Brown believed that it was possible to redeem this form of the human</w:t>
      </w:r>
      <w:r w:rsidRPr="00C90932">
        <w:rPr>
          <w:color w:val="000000"/>
          <w:sz w:val="16"/>
        </w:rPr>
        <w:t>, and the purpose of his diagnosis was to understand the cure. </w:t>
      </w:r>
      <w:r w:rsidRPr="00C90932">
        <w:rPr>
          <w:color w:val="000000"/>
          <w:u w:val="single"/>
        </w:rPr>
        <w:t>He believed that there was a</w:t>
      </w:r>
      <w:r w:rsidRPr="00C90932">
        <w:rPr>
          <w:color w:val="000000"/>
          <w:sz w:val="16"/>
        </w:rPr>
        <w:t> </w:t>
      </w:r>
      <w:r w:rsidRPr="00C90932">
        <w:rPr>
          <w:b/>
          <w:bCs/>
          <w:color w:val="000000"/>
          <w:u w:val="single"/>
        </w:rPr>
        <w:t>kind of redemption</w:t>
      </w:r>
      <w:r w:rsidRPr="00C90932">
        <w:rPr>
          <w:color w:val="000000"/>
          <w:sz w:val="16"/>
        </w:rPr>
        <w:t> in the return to animality, which was, of course, also a return to nature—what Spinoza called God-or-nature. What Brown called the “abolition of repression” 47 would also mark a return to what he called the “polymorphous perversity” of childhood—an experience of the erotic potentialities of the body that refuse to be restricted to the genital organs. 48 He argued that this polymorphous perversity was, in essence, identical to what Spinoza called the intellectual love of God, 49 which is also the love of Nature. It was with all of this in mind that Brown made the argument that psychoanalysis is fundamentally a part of what Alfred North Whitehead called the Romantic Reaction. 50 It harbored a redemptive potency in the return to nature and animality. I am not interested, in this particular project, in either cultivating or stifling romance. Ultimately, </w:t>
      </w:r>
      <w:r w:rsidRPr="00C90932">
        <w:rPr>
          <w:color w:val="000000"/>
          <w:u w:val="single"/>
        </w:rPr>
        <w:t>I</w:t>
      </w:r>
      <w:r w:rsidRPr="00C90932">
        <w:rPr>
          <w:color w:val="000000"/>
          <w:sz w:val="16"/>
        </w:rPr>
        <w:t> </w:t>
      </w:r>
      <w:r w:rsidRPr="00C90932">
        <w:rPr>
          <w:b/>
          <w:bCs/>
          <w:color w:val="000000"/>
          <w:u w:val="single"/>
        </w:rPr>
        <w:t>do not entirely trust</w:t>
      </w:r>
      <w:r w:rsidRPr="00C90932">
        <w:rPr>
          <w:color w:val="000000"/>
          <w:sz w:val="16"/>
        </w:rPr>
        <w:t> </w:t>
      </w:r>
      <w:r w:rsidRPr="00C90932">
        <w:rPr>
          <w:color w:val="000000"/>
          <w:u w:val="single"/>
        </w:rPr>
        <w:t>myself to traffic in redemption narratives.</w:t>
      </w:r>
      <w:r w:rsidRPr="00C90932">
        <w:rPr>
          <w:color w:val="000000"/>
          <w:sz w:val="16"/>
        </w:rPr>
        <w:t> Perhaps I am too skeptical of them and yet also too curious about the possibilities they might harbor. But what I have observed, from my own critical context, is that the </w:t>
      </w:r>
      <w:r w:rsidRPr="00C90932">
        <w:rPr>
          <w:color w:val="000000"/>
          <w:u w:val="single"/>
        </w:rPr>
        <w:t>figure of the</w:t>
      </w:r>
      <w:r w:rsidRPr="00C90932">
        <w:rPr>
          <w:color w:val="000000"/>
          <w:sz w:val="16"/>
        </w:rPr>
        <w:t> </w:t>
      </w:r>
      <w:r w:rsidRPr="00E10C6B">
        <w:rPr>
          <w:rStyle w:val="StyleUnderline"/>
        </w:rPr>
        <w:t>human </w:t>
      </w:r>
      <w:r w:rsidRPr="00C90932">
        <w:rPr>
          <w:color w:val="000000"/>
          <w:u w:val="single"/>
        </w:rPr>
        <w:t>I have been speaking of</w:t>
      </w:r>
      <w:r w:rsidRPr="00C90932">
        <w:rPr>
          <w:color w:val="000000"/>
          <w:sz w:val="16"/>
        </w:rPr>
        <w:t> </w:t>
      </w:r>
      <w:r w:rsidRPr="00E10C6B">
        <w:rPr>
          <w:rStyle w:val="StyleUnderline"/>
        </w:rPr>
        <w:t>is i</w:t>
      </w:r>
      <w:r w:rsidRPr="00C90932">
        <w:rPr>
          <w:b/>
          <w:bCs/>
          <w:color w:val="000000"/>
          <w:u w:val="single"/>
        </w:rPr>
        <w:t>mploding in ways</w:t>
      </w:r>
      <w:r w:rsidRPr="00C90932">
        <w:rPr>
          <w:color w:val="000000"/>
          <w:sz w:val="16"/>
        </w:rPr>
        <w:t> </w:t>
      </w:r>
      <w:r w:rsidRPr="00C90932">
        <w:rPr>
          <w:color w:val="000000"/>
          <w:u w:val="single"/>
        </w:rPr>
        <w:t>that may ultimately</w:t>
      </w:r>
      <w:r w:rsidRPr="00C90932">
        <w:rPr>
          <w:color w:val="000000"/>
          <w:sz w:val="16"/>
        </w:rPr>
        <w:t> </w:t>
      </w:r>
      <w:r w:rsidRPr="00C90932">
        <w:rPr>
          <w:b/>
          <w:bCs/>
          <w:color w:val="000000"/>
          <w:u w:val="single"/>
        </w:rPr>
        <w:t>render it</w:t>
      </w:r>
      <w:r w:rsidRPr="00C90932">
        <w:rPr>
          <w:color w:val="000000"/>
          <w:sz w:val="16"/>
        </w:rPr>
        <w:t> </w:t>
      </w:r>
      <w:r w:rsidRPr="00E10C6B">
        <w:rPr>
          <w:rStyle w:val="Emphasis"/>
        </w:rPr>
        <w:t>beyond redemption.</w:t>
      </w:r>
    </w:p>
    <w:p w14:paraId="6B156B8A" w14:textId="22A21AD0" w:rsidR="003215B1" w:rsidRPr="00C90932" w:rsidRDefault="003215B1" w:rsidP="00C90932">
      <w:pPr>
        <w:spacing w:line="235" w:lineRule="atLeast"/>
        <w:rPr>
          <w:color w:val="000000"/>
          <w:sz w:val="16"/>
        </w:rPr>
      </w:pPr>
      <w:r w:rsidRPr="00C90932">
        <w:rPr>
          <w:color w:val="000000"/>
          <w:sz w:val="16"/>
        </w:rPr>
        <w:t>I am not speaking here of the extinction of human life on earth, although I realize that this is one of the possibilities that circulates in the many discourses on extinction that cloud us, today. </w:t>
      </w:r>
      <w:r w:rsidRPr="00E10C6B">
        <w:rPr>
          <w:rStyle w:val="StyleUnderline"/>
        </w:rPr>
        <w:t>We live in a time of extinctions. Mass extinction events in the more than human world underscore the multiple nature of the figure of extinction, and extinction events in their full plurality cloud and haunt our conversations about living and dying. The fact of extinction has become as inescapable a</w:t>
      </w:r>
      <w:r w:rsidRPr="00C90932">
        <w:rPr>
          <w:color w:val="000000"/>
          <w:u w:val="single"/>
        </w:rPr>
        <w:t>s the fact of</w:t>
      </w:r>
      <w:r w:rsidRPr="00C90932">
        <w:rPr>
          <w:color w:val="000000"/>
          <w:sz w:val="16"/>
        </w:rPr>
        <w:t> </w:t>
      </w:r>
      <w:r w:rsidRPr="00C90932">
        <w:rPr>
          <w:b/>
          <w:bCs/>
          <w:color w:val="000000"/>
          <w:u w:val="single"/>
        </w:rPr>
        <w:t>death</w:t>
      </w:r>
      <w:r w:rsidRPr="00C90932">
        <w:rPr>
          <w:color w:val="000000"/>
          <w:u w:val="single"/>
        </w:rPr>
        <w:t>, and it renders the fact of</w:t>
      </w:r>
      <w:r w:rsidRPr="00C90932">
        <w:rPr>
          <w:color w:val="000000"/>
          <w:sz w:val="16"/>
        </w:rPr>
        <w:t> </w:t>
      </w:r>
      <w:r w:rsidRPr="00C90932">
        <w:rPr>
          <w:b/>
          <w:bCs/>
          <w:color w:val="000000"/>
          <w:u w:val="single"/>
        </w:rPr>
        <w:t>death a collective</w:t>
      </w:r>
      <w:r w:rsidRPr="00C90932">
        <w:rPr>
          <w:color w:val="000000"/>
          <w:sz w:val="16"/>
        </w:rPr>
        <w:t> </w:t>
      </w:r>
      <w:r w:rsidRPr="00C90932">
        <w:rPr>
          <w:color w:val="000000"/>
          <w:u w:val="single"/>
        </w:rPr>
        <w:t>(rather than simply an individual) reality.</w:t>
      </w:r>
      <w:r w:rsidRPr="00C90932">
        <w:rPr>
          <w:color w:val="000000"/>
          <w:sz w:val="16"/>
        </w:rPr>
        <w:t> In this conceptual climate </w:t>
      </w:r>
      <w:r w:rsidRPr="00C90932">
        <w:rPr>
          <w:color w:val="000000"/>
          <w:u w:val="single"/>
        </w:rPr>
        <w:t>there is not just one form of extinction that seems to threaten but many.</w:t>
      </w:r>
      <w:r w:rsidRPr="00C90932">
        <w:rPr>
          <w:color w:val="000000"/>
          <w:sz w:val="16"/>
        </w:rPr>
        <w:t> I am speaking here about a specific, contingent, and particular formation or figuration of the human that has presented itself as universal. It is becoming increasingly clear just how contingent this martial form of life is. </w:t>
      </w:r>
      <w:r w:rsidRPr="00C90932">
        <w:rPr>
          <w:color w:val="000000"/>
          <w:u w:val="single"/>
        </w:rPr>
        <w:t>It is becoming increasingly clear just</w:t>
      </w:r>
      <w:r w:rsidRPr="00C90932">
        <w:rPr>
          <w:color w:val="000000"/>
          <w:sz w:val="16"/>
        </w:rPr>
        <w:t> </w:t>
      </w:r>
      <w:r w:rsidRPr="00C90932">
        <w:rPr>
          <w:b/>
          <w:bCs/>
          <w:color w:val="000000"/>
          <w:u w:val="single"/>
        </w:rPr>
        <w:t>how racialized this form of life is</w:t>
      </w:r>
      <w:r w:rsidRPr="00C90932">
        <w:rPr>
          <w:color w:val="000000"/>
          <w:u w:val="single"/>
        </w:rPr>
        <w:t>, and just how much the line between this form of the human (on the one hand) and the animal (on the other) serves as another</w:t>
      </w:r>
      <w:r w:rsidRPr="00C90932">
        <w:rPr>
          <w:color w:val="000000"/>
          <w:sz w:val="16"/>
        </w:rPr>
        <w:t> </w:t>
      </w:r>
      <w:r w:rsidRPr="00C90932">
        <w:rPr>
          <w:b/>
          <w:bCs/>
          <w:color w:val="000000"/>
          <w:u w:val="single"/>
        </w:rPr>
        <w:t>racialized distinction</w:t>
      </w:r>
      <w:r w:rsidRPr="00C90932">
        <w:rPr>
          <w:color w:val="000000"/>
          <w:sz w:val="16"/>
        </w:rPr>
        <w:t> </w:t>
      </w:r>
      <w:r w:rsidRPr="00C90932">
        <w:rPr>
          <w:color w:val="000000"/>
          <w:u w:val="single"/>
        </w:rPr>
        <w:t>to</w:t>
      </w:r>
      <w:r w:rsidRPr="00C90932">
        <w:rPr>
          <w:color w:val="000000"/>
          <w:sz w:val="16"/>
        </w:rPr>
        <w:t> </w:t>
      </w:r>
      <w:r w:rsidRPr="00C90932">
        <w:rPr>
          <w:b/>
          <w:bCs/>
          <w:color w:val="000000"/>
          <w:u w:val="single"/>
        </w:rPr>
        <w:t>secure Western superiority</w:t>
      </w:r>
      <w:r w:rsidRPr="00C90932">
        <w:rPr>
          <w:color w:val="000000"/>
          <w:u w:val="single"/>
        </w:rPr>
        <w:t>, to</w:t>
      </w:r>
      <w:r w:rsidRPr="00C90932">
        <w:rPr>
          <w:color w:val="000000"/>
          <w:sz w:val="16"/>
        </w:rPr>
        <w:t> </w:t>
      </w:r>
      <w:r w:rsidRPr="00C90932">
        <w:rPr>
          <w:b/>
          <w:bCs/>
          <w:color w:val="000000"/>
          <w:u w:val="single"/>
        </w:rPr>
        <w:t>rearticulate whiteness</w:t>
      </w:r>
      <w:r w:rsidRPr="00C90932">
        <w:rPr>
          <w:color w:val="000000"/>
          <w:u w:val="single"/>
        </w:rPr>
        <w:t>.</w:t>
      </w:r>
      <w:r w:rsidRPr="00C90932">
        <w:rPr>
          <w:color w:val="000000"/>
          <w:sz w:val="16"/>
        </w:rPr>
        <w:t> And it is becoming increasingly clear just how much </w:t>
      </w:r>
      <w:r w:rsidRPr="00C90932">
        <w:rPr>
          <w:color w:val="000000"/>
          <w:u w:val="single"/>
        </w:rPr>
        <w:t>the</w:t>
      </w:r>
      <w:r w:rsidRPr="00C90932">
        <w:rPr>
          <w:color w:val="000000"/>
          <w:sz w:val="16"/>
        </w:rPr>
        <w:t> </w:t>
      </w:r>
      <w:r w:rsidRPr="00E10C6B">
        <w:rPr>
          <w:rStyle w:val="StyleUnderline"/>
        </w:rPr>
        <w:t>weapons, tools, and technologies developed by those who lived fully into this form of the human harbor the potential to decimate planetary life as such. It is becoming increasingly clear that the hunger for capital appropriation that pulses in the belly of this form of the human is driving species extinctions in more than human lifeworlds. And it is becoming increasingly clear just how intimately our own fate (as humans) is bound to and dependent upon the fates of these earth others. This particular form of the human is hovering in a kind of indeterminate zone, and it is not yet clear whether it will burn to the ground only to rise up from its ashes into a richer militancy or whether it will—instead—find itself in bed with its own mortality. </w:t>
      </w:r>
      <w:r w:rsidRPr="00C90932">
        <w:rPr>
          <w:color w:val="000000"/>
          <w:sz w:val="16"/>
        </w:rPr>
        <w:t>Will this form of the human, this particular human story, continue to repress the fact of death more militantly than ever before? Or will it allow us to sit with it, as it takes its final breaths— to do a kind of palliative care?</w:t>
      </w:r>
    </w:p>
    <w:p w14:paraId="1E3E826A" w14:textId="77777777" w:rsidR="00F70076" w:rsidRPr="00C90932" w:rsidRDefault="00F70076" w:rsidP="00C90932">
      <w:pPr>
        <w:pStyle w:val="Heading4"/>
        <w:rPr>
          <w:rFonts w:cs="Calibri"/>
        </w:rPr>
      </w:pPr>
      <w:r w:rsidRPr="00C90932">
        <w:rPr>
          <w:rFonts w:cs="Calibri"/>
        </w:rPr>
        <w:t xml:space="preserve">The </w:t>
      </w:r>
      <w:r w:rsidRPr="00C90932">
        <w:rPr>
          <w:rFonts w:cs="Calibri"/>
          <w:u w:val="single"/>
        </w:rPr>
        <w:t>alternative is to think with blue</w:t>
      </w:r>
      <w:r w:rsidRPr="00C90932">
        <w:rPr>
          <w:rFonts w:cs="Calibri"/>
        </w:rPr>
        <w:t xml:space="preserve">—our conceptualization of praxis critically </w:t>
      </w:r>
      <w:r w:rsidRPr="00C90932">
        <w:rPr>
          <w:rFonts w:cs="Calibri"/>
          <w:u w:val="single"/>
        </w:rPr>
        <w:t>reframes</w:t>
      </w:r>
      <w:r w:rsidRPr="00C90932">
        <w:rPr>
          <w:rFonts w:cs="Calibri"/>
        </w:rPr>
        <w:t xml:space="preserve"> the </w:t>
      </w:r>
      <w:r w:rsidRPr="00C90932">
        <w:rPr>
          <w:rFonts w:cs="Calibri"/>
          <w:u w:val="single"/>
        </w:rPr>
        <w:t>colonial history of blueness</w:t>
      </w:r>
      <w:r w:rsidRPr="00C90932">
        <w:rPr>
          <w:rFonts w:cs="Calibri"/>
        </w:rPr>
        <w:t xml:space="preserve">, decentering the desire for extractive wealth by disrupting the colonizers attachment to </w:t>
      </w:r>
      <w:r w:rsidRPr="00C90932">
        <w:rPr>
          <w:rFonts w:cs="Calibri"/>
          <w:u w:val="single"/>
        </w:rPr>
        <w:t>phenomenal identity</w:t>
      </w:r>
      <w:r w:rsidRPr="00C90932">
        <w:rPr>
          <w:rFonts w:cs="Calibri"/>
        </w:rPr>
        <w:t>.</w:t>
      </w:r>
    </w:p>
    <w:p w14:paraId="647042B5" w14:textId="77777777" w:rsidR="00E177C7" w:rsidRPr="00C90932" w:rsidRDefault="00E177C7" w:rsidP="00E177C7">
      <w:r w:rsidRPr="00C90932">
        <w:rPr>
          <w:rStyle w:val="Style13ptBold"/>
        </w:rPr>
        <w:t>Ferwerda 24</w:t>
      </w:r>
      <w:r w:rsidRPr="00C90932">
        <w:t xml:space="preserve"> [Susanne Ferwerda, </w:t>
      </w:r>
      <w:r>
        <w:t xml:space="preserve">Assistant Professor of Comparative Literature, Utrecht University, PhD in English from the University of Tasmania, </w:t>
      </w:r>
      <w:r w:rsidRPr="00C90932">
        <w:t xml:space="preserve">March 2024, “Blue Humanities and the Color of Colonialism,” </w:t>
      </w:r>
      <w:r>
        <w:t xml:space="preserve">Environmental Humanities 16(1), </w:t>
      </w:r>
      <w:r w:rsidRPr="005A21D6">
        <w:t>https://read.dukeupress.edu/environmental-humanities/article/16/1/1/386278/Blue-Humanities-and-the-Color-of-Colonialism</w:t>
      </w:r>
      <w:r w:rsidRPr="00C90932">
        <w:t xml:space="preserve"> // Micah]</w:t>
      </w:r>
    </w:p>
    <w:p w14:paraId="192AA0E8" w14:textId="77777777" w:rsidR="00F70076" w:rsidRPr="00C90932" w:rsidRDefault="00F70076" w:rsidP="00C90932">
      <w:pPr>
        <w:rPr>
          <w:b/>
          <w:bCs/>
        </w:rPr>
      </w:pPr>
      <w:r w:rsidRPr="00C90932">
        <w:rPr>
          <w:b/>
          <w:bCs/>
        </w:rPr>
        <w:t>**bracketed for gendered language**</w:t>
      </w:r>
    </w:p>
    <w:p w14:paraId="63D43742" w14:textId="7474B139" w:rsidR="000D5FF2" w:rsidRPr="00C90932" w:rsidRDefault="00F70076" w:rsidP="00C90932">
      <w:pPr>
        <w:rPr>
          <w:u w:val="single"/>
        </w:rPr>
      </w:pPr>
      <w:r w:rsidRPr="00C90932">
        <w:t>“</w:t>
      </w:r>
      <w:r w:rsidRPr="00C90932">
        <w:rPr>
          <w:sz w:val="16"/>
        </w:rPr>
        <w:t>Going green” or “living green” often stands for adopting a zero-waste and sustain- able lifestyle, connecting color to aesthetics and, more often than not, to a more digest- ible type of capitalist consumerism. Green has long been synonymous with nature and ecology and a preferred descriptor for sustainability. In Prismatic Ecologies, Jeffrey Jerome Cohen writes that “green dominates our thinking about ecology like no other, as if the color were the only organic hue, a blazon for nature itself.”6 Developing a more expansive “prismatic ecology,” Cohen decentralizes green from its environmental throne: “Such a colorful ascription begs the question of exactly what mode of being we are attempting to sustain, and at what environmental cost.”7 Like green, blue has been increasingly pres- ent in institutional and intergovernmental discourse as an adjective to draw attention to</w:t>
      </w:r>
      <w:r w:rsidRPr="00C90932">
        <w:rPr>
          <w:sz w:val="16"/>
          <w:lang w:eastAsia="zh-CN"/>
        </w:rPr>
        <w:t xml:space="preserve"> </w:t>
      </w:r>
      <w:r w:rsidRPr="00C90932">
        <w:rPr>
          <w:sz w:val="16"/>
        </w:rPr>
        <w:t xml:space="preserve">potential economic development of bodies of water.8 These color changes incite me to question what happens when green becomes blue: </w:t>
      </w:r>
      <w:r w:rsidRPr="00C90932">
        <w:rPr>
          <w:u w:val="single"/>
        </w:rPr>
        <w:t xml:space="preserve">What exactly is and can blue be? How can we think beyond a simplistic equation of blue with water, oceans, and seas, to investigate what thinking with blue means in the blue humanities?9 Inspired by Donna Haraway, it matters what colors color colors; how blues blue blues.10 Reckoning with the coloniality of blue informs its potential for present and future blue endeavors. Untangling colonial blues as well as the anticolonial resistance this color encourages, blue shows it- self as a color that always already resists simplistic signiﬁcation. </w:t>
      </w:r>
      <w:r w:rsidRPr="00C90932">
        <w:rPr>
          <w:sz w:val="16"/>
        </w:rPr>
        <w:t xml:space="preserve">The polyvocal theoretical currents that are thought-with in the blue humanities build on the expansive nature of environmental cultural thought and the genealogies of aquatic scholarship. Drawing on Donna Haraway’s “situated knowledges” and Maria Puig de la Bellacasa’s “thinking-with that resists the individualization of thinking,” the blue humanities can be thought of as enacting a “thinking-with-many,” moving from ﬁelds of thought to seas of circulation.11 The many that inform the blue humanities, and particularly the analysis of aquatic colonial undercurrents, include insights from Epeli Hau’ofa, Paul Gilroy, Kamau Brathwaite, Elizabeth DeLoughrey, Édouard Glissant, Marcus Rediker, Alice te Punga Somerville, Kerry Bystrom, Isabel Hofmeyr, Stefan Helmreich, Hester Blum, Steve Mentz, Margaret Cohen, Peter Steinberg, Kimberley Peters, Cecilia Åsberg, Laura Ingersoll, Stacy Alaimo, Ann Elias, Christina Sharpe, Craig Santos Perez, Laura Winkiel, Astrida Neimanis, and Melody Jue, with-many-more.12 Their work and the various edited collections and special issues that have evoked the “blue humanities,” “critical ocean studies,” “hydro-criticism,” and “liquid ecologies,” address the numerous beginnings of the aquatic humanities before and beyond the articulation of the blue humanities.13 Neimanis’s assertion that “we are all bodies of water” and Te Punga Somerville’s foregrounding of the long genealogy of Indigenous oceanic kinship add an expansive materiality to Stacy Alaimo’s consideration of human- ity’s “aquatic ancestors” and our trans-corporeal “kinship with the seas.”14 These discussions prove the need for the blue humanities to </w:t>
      </w:r>
      <w:r w:rsidRPr="00C90932">
        <w:rPr>
          <w:u w:val="single"/>
        </w:rPr>
        <w:t>address the continuation of the watery beyond continental boundaries via a “transoceanic imaginary”</w:t>
      </w:r>
      <w:r w:rsidRPr="00C90932">
        <w:rPr>
          <w:sz w:val="16"/>
        </w:rPr>
        <w:t xml:space="preserve"> and a “hydroco- lonial” approach to salty, brackish, and fresh water.15 Expanding the environmental humanities to the realm of the blue then invokes the question: What exactly does thinking with blue add to these already existent aquatic and oceanic discourses? And what does it mean to do the blue humanities and </w:t>
      </w:r>
      <w:r w:rsidRPr="00C90932">
        <w:rPr>
          <w:u w:val="single"/>
        </w:rPr>
        <w:t>consider the blue not just as symbol but as material-semiotic actant or figuration?16 In this essay I develop an analysis of the color blue through its colonial materiality to argue that in the blue humanities blue unmoors and loosens the anchor of Western colonial desire.</w:t>
      </w:r>
      <w:r w:rsidRPr="00C90932">
        <w:rPr>
          <w:sz w:val="16"/>
        </w:rPr>
        <w:t xml:space="preserve">17 Like the oceanic “violet-black” depths Alaimo calls upon to “understand the water of the abyssal zone as something rather than nothing,” </w:t>
      </w:r>
      <w:r w:rsidRPr="00C90932">
        <w:rPr>
          <w:u w:val="single"/>
        </w:rPr>
        <w:t>the blue puts the colonial to sea and surfaces its material significance.</w:t>
      </w:r>
      <w:r w:rsidRPr="00C90932">
        <w:rPr>
          <w:sz w:val="16"/>
        </w:rPr>
        <w:t xml:space="preserve">18 I analyze the work of Dutch visual artist Pieter Paul Pothoven and the poetic performance of Aotearoa New Zealand poet Selina Tusi- tala Marsh to show how the blue always already asserts itself and acts to resurface </w:t>
      </w:r>
      <w:r w:rsidRPr="00C90932">
        <w:rPr>
          <w:u w:val="single"/>
        </w:rPr>
        <w:t>and subvert transoceanic colonial connections. This essay aims to unpack the coloniality of blues—including indigo, ultramarine, and royal blue—in conversation with the work of two contemporary artists to show how the color blue acts in</w:t>
      </w:r>
      <w:r w:rsidRPr="00C90932">
        <w:rPr>
          <w:sz w:val="16"/>
        </w:rPr>
        <w:t xml:space="preserve"> the world—materially, socially, economically, and culturally—via the dynamic work it does in the blue humani- ties, “</w:t>
      </w:r>
      <w:r w:rsidRPr="00C90932">
        <w:rPr>
          <w:u w:val="single"/>
        </w:rPr>
        <w:t>in the wake” of colonial desire</w:t>
      </w:r>
      <w:r w:rsidRPr="00C90932">
        <w:rPr>
          <w:sz w:val="16"/>
        </w:rPr>
        <w:t xml:space="preserve">.19 Blue Colonialisms and Ultramarine beyond the Sea Navy blue is not the only shade of blue with a captivating material history and colo- nial reverberations. The histories of several blues can be traced back to early capitalist trade and imperial expansions across the seas. For a long time, the most beautiful blue in the world was widely considered to be ultramarine, also named true blue or, accord- ing to the fourteenth century Italian painter Cennino Cennini, “the most perfect of all colours.”20 The ultramarine pigment is mostly composed of the blue mineral lazurite, which is the main component of the lapis lazuli mineral stone (a “stone from the sky”: lapis is Latin for “stone,” lazuli came to Latin via the Arabic ﻻﺯﻭﺭﺩ , which came via the Persian ﻻﺟﻮﺭﺩ , meaning “sky” or “heaven”). It owes its deep blue shade to a mixture of minerals—lazurite, silicates, and iron pyrite—and covers a wide range of shades “from a deep, almost violet blue, through the royal blue of the gem quality to light blue, a tur- quoise and finally fewer pieces of brilliant green.”21 This means that natural ultrama- rine is never an entirely uniform shade of blue. The most high-quality shades contain a high percentage of lazurite, giving it a bright, rich, and warm blue tone. To extract natural ultramarine from ground lapis lazuli is incredibly labor inten- sive. The process involves grinding stones to a fine powder and mixing it with wax, resin, and linseed oil: This mass, usually wrapped in a cloth, was left to sit for several weeks, after which it was kneaded in rain water or a diluted solution of lye. The blue particles dispersed into the liquid, while the impurities remained in the mass. This process was usually repeated several times, with each successive extraction generating a lower quality pigment. The final extraction—consisting largely of colourless material, and a few small blue particles—was known as ultramarine ash.22 The high cost of the imported raw material, combined with the laborious process to produce a high-quality pigment, meant that for a long time ultramarine was at least as expensive as gold. The deep blue of ultramarine has therefore long been a symbol of extravagance and luxury. The trade of lapis lazuli dates to at least the Mesopotamian Late Ubaid period, circa 3500 BCE, “probably the first moment that man had sufficient wealth and leisure to begin the quest for luxuries.”23 Our current knowledge of the his- tory of ultramarine dates to the fifth-century murals in Nisa (Turkmenistan) and ex- tends into the twenty-first century. In March 2001, the sixth-century Bamiyan Buddha statues were declared false idols by the Taliban government in Afghanistan and blown up with dynamite. Once upon a time, the two Buddhas had been covered in precious stones and ultramarine and carmine robes. In his travel report, Dà Táng X ı- yù Jì </w:t>
      </w:r>
      <w:r w:rsidRPr="00C90932">
        <w:rPr>
          <w:rFonts w:eastAsia="Microsoft YaHei"/>
          <w:sz w:val="16"/>
        </w:rPr>
        <w:t>大唐西域</w:t>
      </w:r>
      <w:r w:rsidRPr="00C90932">
        <w:rPr>
          <w:sz w:val="16"/>
        </w:rPr>
        <w:t xml:space="preserve"> </w:t>
      </w:r>
      <w:r w:rsidRPr="00C90932">
        <w:rPr>
          <w:rFonts w:eastAsia="Microsoft YaHei"/>
          <w:sz w:val="16"/>
        </w:rPr>
        <w:t>記</w:t>
      </w:r>
      <w:r w:rsidRPr="00C90932">
        <w:rPr>
          <w:sz w:val="16"/>
        </w:rPr>
        <w:t xml:space="preserve"> (Great Tang Records on the Western Region), Chinese monk Xuanzang </w:t>
      </w:r>
      <w:r w:rsidRPr="00C90932">
        <w:rPr>
          <w:rFonts w:eastAsia="Microsoft YaHei"/>
          <w:sz w:val="16"/>
        </w:rPr>
        <w:t>玄奘</w:t>
      </w:r>
      <w:r w:rsidRPr="00C90932">
        <w:rPr>
          <w:sz w:val="16"/>
        </w:rPr>
        <w:t xml:space="preserve"> describes his visit to Bamiyan circa 629–645, as he makes a detour on his way to India in order to see the giant sculptures: To the north-east of the royal city there is a mountain, on the declivity of which is placed a stone figure of Buddha, erect, in height 140 or 150 feet. Its golden hues sparkle on every side, and its precious ornaments dazzle the eyes by their brightness. To the east of this spot there is a standing figure of Sâkya Buddha, made of metallic stone (teou-shih) in height 100 feet. It has been cast in different parts and joined together, and thus placed in a complete form as it stands.24 The ultramarine pigment used for the robes of the smaller Buddha statue likely came from the nearby mines in the Blue Mountain (Koh-e-Laguard). The mines in the Sar-e- Sang valley (the “Place of the Stone”) in the Badakhsan mountains in northeastern Afghanistan were the main supply for European and Persian ultramarine up until 1830.25 Afghan ultramarine was most extensively desired in Europe in the fourteenth to sixteenth centuries, when it was transported from East to West along the famous Silk Route from Afghanistan to Syria and across the Mediterranean Sea into Europe. This journey remains embedded in its name. Ultramarine, in Latin, means “beyond the sea.” It refers to the voyage beyond the Mediterranean Sea that European traders had to take to obtain the pigment, but also signifies its superlative blueness—the most blue, more blue than the sea—so blue that every artist in the fourteenth, fifteenth, and sixteenth centuries aspired to use it. In Bluets (2009), her autobiographical prose-poetic ode to the color blue, Maggie Nelson writes that ultramarine “had to be made holy, by the wicked logic that renders the expensive sacred.”26 In the Middle Ages, Afghan lapis lazuli was so expensive that painters could only use it sparingly, dependent on the wealth of their patrons. To not waste its extravagance on unworthy subjects, only the most highly regarded, most holy subjects in Western Christian art were afforded the deep blue pigment. Ultramarine’s otherworldly cost and provenance could only be justified by restricting its use to honor the otherworldly divinity of the Virgin Mary. The blue robes that Mary wears in Giotto’s Lamentation (Scrovegni Chapel, 1306), for instance, are painted in ultramarine blue, a tra- dition that would continue for centuries and would solidify the narrative connection between blue and otherworldly riches. The ultramarine blue of Giotto’s work and in particular his depiction of the life of Christ and Mary in the Scrovegni Chapel in Padua, Italy, has challenged theorists and asks us to consider: What effect does the perceived extravagance of the color blue have on its signification and identification? n “Giotto’s Joy” (1980), French feminist philosopher Julia Kristeva writes that the overwhelming colors used in Giotto’s frescoes, and in particular the overwhelming blues, translate “instinctual drives into colored surface.”27 Kristeva’s feminist psychoanalytical analysis draws on color perception theory and infant vision development to argue that </w:t>
      </w:r>
      <w:r w:rsidRPr="00C90932">
        <w:rPr>
          <w:u w:val="single"/>
        </w:rPr>
        <w:t>blue has a quality beyond identity: “The perception of blue entails not identifying the ob- ject; that blue is, precisely, on this side of or beyond the object’s fixed form; that it is the zone where phenomenal identity vanishes.” On the basis of André Broca’s paradox that “to see a blue light, you must not look directly at it” and the idea that infants do not de- velop “centered vision—the identification of objects, including one’s own image,” or an ‘ideal-I,’ until after the development of color perception, Kristeva argues that blue always escapes identification. Blue, with its short wavelengths, is even “earlier to appear” in the vision of the infant child than any other color.28 Feminist visual art theorist Barbara Bolt explains Kristeva’s description of seeing Giotto’s blue as the “experience of the (Lacanian) Real erupting into and disrupting signification. . . . Colour is destabilizing.”29 Kristeva writes, “All colors, but blue in particular, would have a noncentered or decentering effect, lessening both object identification and phenomenal fixation. They thereby return the subject to the archaic moment of its dialectic, that is, before the fixed, specular ‘I,’ but while in the process of becoming this ‘I’ by breaking away from instinctual, biological (and also maternal) dependence.”30 Kristeva’s analysis of Giotto’s disruptive blue enforces a material-semiotic response that goes beyond symbolic representation. Giotto’s blue is more than a symbol of otherworldly wealth, more than paint on the ceiling; it entangles viewer and pigment, and uncenters human-subjectivity to the more-than-human materiality of the blue and its origins beyond the seas. When ultramarine and indigo meet, they destabilize the idea that expansive wealth and obtaining new minerals and materials across the seas is a universal sign of linear progress. Kristeva’s viewer “enters into the semidarkness of the Arena Chapel . . . struck by the light that is generated, catching the eye because of the colour blue.”31 He walks into the Scrovegni Chapel as a Western subject, a humanist I, overwhelmed with his visions of control over the natural wealth of the world, and loses [themselves]</w:t>
      </w:r>
      <w:r w:rsidRPr="00C90932">
        <w:rPr>
          <w:strike/>
          <w:u w:val="single"/>
        </w:rPr>
        <w:t xml:space="preserve">himself </w:t>
      </w:r>
      <w:r w:rsidRPr="00C90932">
        <w:rPr>
          <w:u w:val="single"/>
        </w:rPr>
        <w:t>just by looking at the bright color pigment on the walls. If, following Bolt and Kristeva, the color blue indeed disrupts, decenters, and destabilizes, what does this mean for the way it is em- ployed in the blue humanities? The unruly presence of Giotto’s brilliant blues reinforces the West’s economic and political force and legacies of extractive violence but simulta- neously exposes its limits. The materiality of blue, as otherworldly-pigment-beyond-the- sea, foregrounds the coloniality of its past, but like in Sharpe’s “wake work,” “the past that is not the past reappears, always, to rupture the present.”32 Narrating the colonial histories of Giotto’s blue and ultramarine shows that blue unmoors simplistic significa- tion and acts to disrupt a colonial logic of extraction.</w:t>
      </w:r>
    </w:p>
    <w:p w14:paraId="14064691" w14:textId="54BFBF0E" w:rsidR="00D53D30" w:rsidRPr="00C90932" w:rsidRDefault="00E4478A" w:rsidP="00E4478A">
      <w:pPr>
        <w:pStyle w:val="Heading2"/>
      </w:pPr>
      <w:r>
        <w:t>1NC/2NC Links</w:t>
      </w:r>
    </w:p>
    <w:p w14:paraId="1A43EEFC" w14:textId="5CBE5663" w:rsidR="00D53D30" w:rsidRPr="00C90932" w:rsidRDefault="004A4AC6" w:rsidP="00C90932">
      <w:pPr>
        <w:pStyle w:val="Heading3"/>
        <w:rPr>
          <w:rFonts w:cs="Calibri"/>
        </w:rPr>
      </w:pPr>
      <w:r w:rsidRPr="00C90932">
        <w:rPr>
          <w:rFonts w:cs="Calibri"/>
        </w:rPr>
        <w:t xml:space="preserve">1NC – </w:t>
      </w:r>
      <w:r w:rsidR="004F0125" w:rsidRPr="00C90932">
        <w:rPr>
          <w:rFonts w:cs="Calibri"/>
        </w:rPr>
        <w:t>Mapping</w:t>
      </w:r>
      <w:r w:rsidR="00B47CEC" w:rsidRPr="00C90932">
        <w:rPr>
          <w:rFonts w:cs="Calibri"/>
        </w:rPr>
        <w:t>/Exploration</w:t>
      </w:r>
    </w:p>
    <w:p w14:paraId="74A1EDB2" w14:textId="20F77DCD" w:rsidR="00DE1434" w:rsidRPr="00C90932" w:rsidRDefault="009A4BBB" w:rsidP="00C90932">
      <w:pPr>
        <w:pStyle w:val="Heading4"/>
        <w:rPr>
          <w:rFonts w:eastAsia="Times New Roman" w:cs="Calibri"/>
        </w:rPr>
      </w:pPr>
      <w:r w:rsidRPr="00C90932">
        <w:rPr>
          <w:rFonts w:eastAsia="Times New Roman" w:cs="Calibri"/>
        </w:rPr>
        <w:t xml:space="preserve">Mapping and exploration </w:t>
      </w:r>
      <w:r w:rsidR="00763F7C" w:rsidRPr="00C90932">
        <w:rPr>
          <w:rFonts w:eastAsia="Times New Roman" w:cs="Calibri"/>
        </w:rPr>
        <w:t xml:space="preserve">are technologies of sovereign control </w:t>
      </w:r>
      <w:r w:rsidR="0077504A" w:rsidRPr="00C90932">
        <w:rPr>
          <w:rFonts w:eastAsia="Times New Roman" w:cs="Calibri"/>
        </w:rPr>
        <w:t>which, through making the arctic legible, greenlight sovereign control and colonialism. In this way</w:t>
      </w:r>
      <w:r w:rsidR="00251A2D" w:rsidRPr="00C90932">
        <w:rPr>
          <w:rFonts w:eastAsia="Times New Roman" w:cs="Calibri"/>
        </w:rPr>
        <w:t xml:space="preserve"> the aff </w:t>
      </w:r>
      <w:r w:rsidR="005C4006" w:rsidRPr="00C90932">
        <w:rPr>
          <w:rFonts w:eastAsia="Times New Roman" w:cs="Calibri"/>
        </w:rPr>
        <w:t xml:space="preserve">enables and reifies the desire for sovereign control over the blue. </w:t>
      </w:r>
    </w:p>
    <w:p w14:paraId="4A1CACCF" w14:textId="02F18E91" w:rsidR="005C4006" w:rsidRPr="00E177C7" w:rsidRDefault="002336C2" w:rsidP="00E177C7">
      <w:r w:rsidRPr="00E177C7">
        <w:rPr>
          <w:rStyle w:val="Style13ptBold"/>
        </w:rPr>
        <w:t>Dodds 10</w:t>
      </w:r>
      <w:r w:rsidRPr="00E177C7">
        <w:t xml:space="preserve"> [Klaus Dodds, </w:t>
      </w:r>
      <w:r w:rsidR="00E177C7">
        <w:t xml:space="preserve">Professor of Life Sciences and Environment, Royal Holloway, University of London, </w:t>
      </w:r>
      <w:r w:rsidRPr="00E177C7">
        <w:t>"Flag planting and finger pointing: The Law of the Sea, the Arctic and the political geographies of the outer continental shelf</w:t>
      </w:r>
      <w:r w:rsidR="00E177C7">
        <w:t>,</w:t>
      </w:r>
      <w:r w:rsidRPr="00E177C7">
        <w:t xml:space="preserve">" </w:t>
      </w:r>
      <w:r w:rsidR="00E177C7">
        <w:t>Political Geography 29 (2)</w:t>
      </w:r>
      <w:r w:rsidRPr="00E177C7">
        <w:t>,</w:t>
      </w:r>
      <w:r w:rsidR="00E177C7">
        <w:t xml:space="preserve"> February 2010,</w:t>
      </w:r>
      <w:r w:rsidRPr="00E177C7">
        <w:t xml:space="preserve"> https://www.sciencedirect.com/science/article/pii/S0962629810000387] // Micah</w:t>
      </w:r>
    </w:p>
    <w:p w14:paraId="7BDD3E14" w14:textId="50EECFAD" w:rsidR="004A4AC6" w:rsidRPr="00C90932" w:rsidRDefault="004A4AC6" w:rsidP="00C90932">
      <w:pPr>
        <w:rPr>
          <w:sz w:val="16"/>
        </w:rPr>
      </w:pPr>
      <w:r w:rsidRPr="00C90932">
        <w:rPr>
          <w:u w:val="single"/>
        </w:rPr>
        <w:t>Making the seabed of the Arctic Ocean legible was critical to US maritime strategy throughout the Cold War.</w:t>
      </w:r>
      <w:r w:rsidRPr="00C90932">
        <w:rPr>
          <w:sz w:val="16"/>
        </w:rPr>
        <w:t xml:space="preserve"> Military planners, as with their Soviet counterparts, wanted to know more about this particular theatre for two fundamental reasons. First, </w:t>
      </w:r>
      <w:r w:rsidRPr="00C90932">
        <w:rPr>
          <w:u w:val="single"/>
        </w:rPr>
        <w:t>the US Navy wanted to be able to track and monitor the movements of their Soviet counterparts, especially if ice cover made aerial surveillance problematic.</w:t>
      </w:r>
      <w:r w:rsidRPr="00C90932">
        <w:rPr>
          <w:sz w:val="16"/>
        </w:rPr>
        <w:t xml:space="preserve"> </w:t>
      </w:r>
      <w:r w:rsidRPr="00C90932">
        <w:rPr>
          <w:u w:val="single"/>
        </w:rPr>
        <w:t>Second,</w:t>
      </w:r>
      <w:r w:rsidRPr="00C90932">
        <w:rPr>
          <w:sz w:val="16"/>
        </w:rPr>
        <w:t xml:space="preserve"> armed with </w:t>
      </w:r>
      <w:r w:rsidRPr="00C90932">
        <w:rPr>
          <w:u w:val="single"/>
        </w:rPr>
        <w:t>superior oceanographic and bathymetric knowledge of the Arctic, it was hoped that the US would have a decisive military advantage in the event of war breaking out between the two superpowers and their allies.</w:t>
      </w:r>
      <w:r w:rsidRPr="00C90932">
        <w:rPr>
          <w:sz w:val="16"/>
        </w:rPr>
        <w:t xml:space="preserve"> The collection of such information was aided and abetted by a series of drifting ice stations, which used echo-sounding techniques to collect under ice acoustic data. Soviet and US drifting ice stations, operating during the International Geophysical Year of 1957–1958, contributed further to this task even if data collected was not shared in the same manner as was experienced in the Antarctic.</w:t>
      </w:r>
    </w:p>
    <w:p w14:paraId="71A386BD" w14:textId="3968938A" w:rsidR="004A4AC6" w:rsidRPr="00C90932" w:rsidRDefault="004A4AC6" w:rsidP="00C90932">
      <w:pPr>
        <w:rPr>
          <w:sz w:val="16"/>
        </w:rPr>
      </w:pPr>
      <w:r w:rsidRPr="00C90932">
        <w:rPr>
          <w:sz w:val="16"/>
        </w:rPr>
        <w:t xml:space="preserve">Both </w:t>
      </w:r>
      <w:r w:rsidRPr="00C90932">
        <w:rPr>
          <w:u w:val="single"/>
        </w:rPr>
        <w:t>states were determined to make the Arctic Ocean legible for geopolitical reasons</w:t>
      </w:r>
      <w:r w:rsidRPr="00C90932">
        <w:rPr>
          <w:sz w:val="16"/>
        </w:rPr>
        <w:t>. A major turning point was the voyage of the nuclear powered US submarine </w:t>
      </w:r>
      <w:r w:rsidRPr="00C90932">
        <w:rPr>
          <w:i/>
          <w:iCs/>
          <w:sz w:val="16"/>
        </w:rPr>
        <w:t>Nautilus</w:t>
      </w:r>
      <w:r w:rsidRPr="00C90932">
        <w:rPr>
          <w:sz w:val="16"/>
        </w:rPr>
        <w:t> in 1958 and its sub-surface voyage to the North Pole followed in March 1959 by the surfacing of the </w:t>
      </w:r>
      <w:r w:rsidRPr="00C90932">
        <w:rPr>
          <w:i/>
          <w:iCs/>
          <w:sz w:val="16"/>
        </w:rPr>
        <w:t>Skate</w:t>
      </w:r>
      <w:r w:rsidRPr="00C90932">
        <w:rPr>
          <w:sz w:val="16"/>
        </w:rPr>
        <w:t xml:space="preserve"> at the same geographical point. These voyages gave fresh impetus to the Office of Naval Research and both voyages demonstrated that nuclear submarines could operate in all seasons, and with greater understanding of the Arctic Ocean Basin, it became increasingly feasible to detect and avoid icebergs and judge when and how to break surface ice. This expanding corpus of </w:t>
      </w:r>
      <w:r w:rsidRPr="00C90932">
        <w:rPr>
          <w:u w:val="single"/>
        </w:rPr>
        <w:t>geographical knowledge about the Arctic and North Atlantic coincided with civilian mapping projects,</w:t>
      </w:r>
      <w:r w:rsidRPr="00C90932">
        <w:rPr>
          <w:sz w:val="16"/>
        </w:rPr>
        <w:t xml:space="preserve"> funded by the Defense Research Development Board, designed to enhance understanding of the seabed floor and temperature profile of the oceans. As </w:t>
      </w:r>
      <w:bookmarkStart w:id="0" w:name="bbib33"/>
      <w:r w:rsidRPr="00C90932">
        <w:rPr>
          <w:color w:val="0272B1"/>
          <w:sz w:val="16"/>
        </w:rPr>
        <w:t>Hamblin (2005)</w:t>
      </w:r>
      <w:bookmarkEnd w:id="0"/>
      <w:r w:rsidRPr="00C90932">
        <w:rPr>
          <w:sz w:val="16"/>
        </w:rPr>
        <w:t> has noted, “</w:t>
      </w:r>
      <w:r w:rsidRPr="00C90932">
        <w:rPr>
          <w:u w:val="single"/>
        </w:rPr>
        <w:t>Reliable data would allow the US Navy to colonize this environment i.e. control or master it in order to best navigate it in the next war”.</w:t>
      </w:r>
    </w:p>
    <w:p w14:paraId="2974FC12" w14:textId="2918F355" w:rsidR="004A4AC6" w:rsidRPr="00C90932" w:rsidRDefault="004A4AC6" w:rsidP="00C90932">
      <w:pPr>
        <w:rPr>
          <w:sz w:val="16"/>
        </w:rPr>
      </w:pPr>
      <w:r w:rsidRPr="00C90932">
        <w:rPr>
          <w:u w:val="single"/>
        </w:rPr>
        <w:t>While the Cold War had subsided, this desire to make Arctic territory legible has taken a different kind of turn in the last decade informed as much by changing sea ice patterns, seaborne mobility, and resource speculation as they are by military-strategic rationales (</w:t>
      </w:r>
      <w:bookmarkStart w:id="1" w:name="bbib42"/>
      <w:r w:rsidRPr="00C90932">
        <w:rPr>
          <w:color w:val="0272B1"/>
          <w:u w:val="single"/>
        </w:rPr>
        <w:t>Lopez, 1988</w:t>
      </w:r>
      <w:bookmarkEnd w:id="1"/>
      <w:r w:rsidRPr="00C90932">
        <w:rPr>
          <w:u w:val="single"/>
        </w:rPr>
        <w:t>, </w:t>
      </w:r>
      <w:bookmarkStart w:id="2" w:name="bbib69"/>
      <w:r w:rsidRPr="00C90932">
        <w:rPr>
          <w:color w:val="0272B1"/>
          <w:u w:val="single"/>
        </w:rPr>
        <w:t>Bravo and Rees, 2006</w:t>
      </w:r>
      <w:bookmarkEnd w:id="2"/>
      <w:r w:rsidRPr="00C90932">
        <w:rPr>
          <w:u w:val="single"/>
        </w:rPr>
        <w:t>). What emerges is a sense of the Arctic as a palimpsest – quite literally ‘again scraped’.</w:t>
      </w:r>
      <w:r w:rsidRPr="00C90932">
        <w:rPr>
          <w:sz w:val="16"/>
        </w:rPr>
        <w:t xml:space="preserve"> As colonial, Cold War and now War on Terror era rationales and representations intermingle with one another. Adriana Craciun is right in part to remind us that, “They have come by airship, plane, balloon, nuclear submarine, and most recently by Russian mini-sub… Scientists predict an ice-free Arctic Ocean in a few decades, at which point one might think that the ‘Northwest Passage’ will cease to mean anything”. Where I disagree is the notion that meaning somehow disappears rather than enriching multiple legibilities of the Arctic.</w:t>
      </w:r>
    </w:p>
    <w:p w14:paraId="07F6F850" w14:textId="42E99039" w:rsidR="004A4AC6" w:rsidRPr="00C90932" w:rsidRDefault="004A4AC6" w:rsidP="00C90932">
      <w:pPr>
        <w:rPr>
          <w:u w:val="single"/>
        </w:rPr>
      </w:pPr>
      <w:r w:rsidRPr="00C90932">
        <w:rPr>
          <w:sz w:val="16"/>
        </w:rPr>
        <w:t>Geographers such as Matthew </w:t>
      </w:r>
      <w:bookmarkStart w:id="3" w:name="bbib65"/>
      <w:r w:rsidRPr="00C90932">
        <w:rPr>
          <w:color w:val="0272B1"/>
          <w:sz w:val="16"/>
        </w:rPr>
        <w:t>Hannah, 2000</w:t>
      </w:r>
      <w:bookmarkEnd w:id="3"/>
      <w:r w:rsidRPr="00C90932">
        <w:rPr>
          <w:sz w:val="16"/>
        </w:rPr>
        <w:t>, </w:t>
      </w:r>
      <w:bookmarkStart w:id="4" w:name="bbib66"/>
      <w:r w:rsidRPr="00C90932">
        <w:rPr>
          <w:color w:val="0272B1"/>
          <w:sz w:val="16"/>
        </w:rPr>
        <w:t>Hannah, 2009</w:t>
      </w:r>
      <w:r w:rsidRPr="00C90932">
        <w:rPr>
          <w:sz w:val="16"/>
        </w:rPr>
        <w:t xml:space="preserve"> have turned to </w:t>
      </w:r>
      <w:r w:rsidRPr="00C90932">
        <w:rPr>
          <w:u w:val="single"/>
        </w:rPr>
        <w:t>Michel Foucault's suggestive writings on governmentality and calculable territory to re-configure what made the modern governance of populations possible.</w:t>
      </w:r>
      <w:r w:rsidRPr="00C90932">
        <w:rPr>
          <w:sz w:val="16"/>
        </w:rPr>
        <w:t xml:space="preserve"> Drawing on Scott's arguments pertaining to legibility, </w:t>
      </w:r>
      <w:r w:rsidRPr="00C90932">
        <w:rPr>
          <w:color w:val="0272B1"/>
          <w:sz w:val="16"/>
        </w:rPr>
        <w:t>Hannah (2009</w:t>
      </w:r>
      <w:bookmarkEnd w:id="4"/>
      <w:r w:rsidRPr="00C90932">
        <w:rPr>
          <w:sz w:val="16"/>
        </w:rPr>
        <w:t>: 68) shows clearly how there are a series of important moments including inscribing territory with “basic systems of geographical reference that allow knowledge about populations, resources and activities to be indexed to specific locations, and hence make territory readable”. The 2007 Russian expedition to the bottom of the central Arctic Ocean was preoccupied with the collection of bathymetric and oceanographic data (see </w:t>
      </w:r>
      <w:bookmarkStart w:id="5" w:name="bfig3"/>
      <w:r w:rsidRPr="00C90932">
        <w:rPr>
          <w:color w:val="0272B1"/>
          <w:sz w:val="16"/>
        </w:rPr>
        <w:t>Fig. 3</w:t>
      </w:r>
      <w:bookmarkEnd w:id="5"/>
      <w:r w:rsidRPr="00C90932">
        <w:rPr>
          <w:sz w:val="16"/>
        </w:rPr>
        <w:t xml:space="preserve">). The </w:t>
      </w:r>
      <w:r w:rsidRPr="00C90932">
        <w:rPr>
          <w:u w:val="single"/>
        </w:rPr>
        <w:t>mapping and</w:t>
      </w:r>
      <w:r w:rsidRPr="00C90932">
        <w:rPr>
          <w:sz w:val="16"/>
        </w:rPr>
        <w:t xml:space="preserve"> subsequent public </w:t>
      </w:r>
      <w:r w:rsidRPr="00C90932">
        <w:rPr>
          <w:u w:val="single"/>
        </w:rPr>
        <w:t>display of</w:t>
      </w:r>
      <w:r w:rsidRPr="00C90932">
        <w:rPr>
          <w:sz w:val="16"/>
        </w:rPr>
        <w:t xml:space="preserve"> that </w:t>
      </w:r>
      <w:r w:rsidRPr="00C90932">
        <w:rPr>
          <w:u w:val="single"/>
        </w:rPr>
        <w:t xml:space="preserve">knowledge </w:t>
      </w:r>
      <w:r w:rsidRPr="00C90932">
        <w:rPr>
          <w:sz w:val="16"/>
        </w:rPr>
        <w:t xml:space="preserve">of the Arctic seabed </w:t>
      </w:r>
      <w:r w:rsidRPr="00C90932">
        <w:rPr>
          <w:u w:val="single"/>
        </w:rPr>
        <w:t>is an essential element of</w:t>
      </w:r>
      <w:r w:rsidRPr="00C90932">
        <w:rPr>
          <w:sz w:val="16"/>
        </w:rPr>
        <w:t xml:space="preserve"> what we will subsequently be considering – </w:t>
      </w:r>
      <w:r w:rsidRPr="00C90932">
        <w:rPr>
          <w:u w:val="single"/>
        </w:rPr>
        <w:t>extending sovereign rights over outer continental shelf regions.</w:t>
      </w:r>
    </w:p>
    <w:p w14:paraId="37076684" w14:textId="77777777" w:rsidR="004A4AC6" w:rsidRPr="00C90932" w:rsidRDefault="004A4AC6" w:rsidP="00C90932">
      <w:pPr>
        <w:rPr>
          <w:u w:val="single"/>
        </w:rPr>
      </w:pPr>
    </w:p>
    <w:p w14:paraId="5AFAE6D9" w14:textId="66B74007" w:rsidR="004A4AC6" w:rsidRPr="00C90932" w:rsidRDefault="004A4AC6" w:rsidP="00C90932">
      <w:pPr>
        <w:rPr>
          <w:sz w:val="16"/>
        </w:rPr>
      </w:pPr>
      <w:r w:rsidRPr="00C90932">
        <w:rPr>
          <w:sz w:val="16"/>
        </w:rPr>
        <w:t>In so doing, this analysis addresses a series of themes. First, the actual process of making Arctic territories is considered with specific reference to the Law of the Sea, a body of international law associated with the 1982 United Nations Law of the Sea Convention (UNCLOS) occupies center-stage (</w:t>
      </w:r>
      <w:bookmarkStart w:id="6" w:name="bbib58"/>
      <w:r w:rsidRPr="00C90932">
        <w:rPr>
          <w:color w:val="0272B1"/>
          <w:sz w:val="16"/>
        </w:rPr>
        <w:t>Steinberg, 2001</w:t>
      </w:r>
      <w:bookmarkEnd w:id="6"/>
      <w:r w:rsidRPr="00C90932">
        <w:rPr>
          <w:sz w:val="16"/>
        </w:rPr>
        <w:t>, </w:t>
      </w:r>
      <w:bookmarkStart w:id="7" w:name="bbib62"/>
      <w:r w:rsidRPr="00C90932">
        <w:rPr>
          <w:color w:val="0272B1"/>
          <w:sz w:val="16"/>
        </w:rPr>
        <w:t>Vogler, 2000</w:t>
      </w:r>
      <w:bookmarkEnd w:id="7"/>
      <w:r w:rsidRPr="00C90932">
        <w:rPr>
          <w:sz w:val="16"/>
        </w:rPr>
        <w:t>). It is, under UNCLOS, that a large number of states (excluding the United States) agreed to divide the seas and oceans into discreet territorial zones including exclusive economic zones and outer continental shelf. Second, the establishment and recognition of those boundaries and zones are not inconsequential. The role of the UN-based body, the CLCS, is pertinent because it acts as a center of territorial calculation and through its ‘recommendations’ plays a critical role in legitimising effective rule at a considerable distance from political centres such as Copenhagen, Moscow, Oslo, Ottawa and Washington, DC. Finally, these ‘recommendations’ help to conjure up and constitute the Arctic as an object of governance.</w:t>
      </w:r>
    </w:p>
    <w:p w14:paraId="6676F79C" w14:textId="77777777" w:rsidR="004A4AC6" w:rsidRPr="00C90932" w:rsidRDefault="004A4AC6" w:rsidP="00C90932">
      <w:pPr>
        <w:rPr>
          <w:sz w:val="16"/>
        </w:rPr>
      </w:pPr>
      <w:r w:rsidRPr="00C90932">
        <w:rPr>
          <w:u w:val="single"/>
        </w:rPr>
        <w:t>The inscription of Arctic territory including remote areas of the seabed by coastal states and international bodies</w:t>
      </w:r>
      <w:r w:rsidRPr="00C90932">
        <w:rPr>
          <w:sz w:val="16"/>
        </w:rPr>
        <w:t xml:space="preserve"> such as the CLCS </w:t>
      </w:r>
      <w:r w:rsidRPr="00C90932">
        <w:rPr>
          <w:u w:val="single"/>
        </w:rPr>
        <w:t>makes it both more legible and accessible</w:t>
      </w:r>
      <w:r w:rsidRPr="00C90932">
        <w:rPr>
          <w:sz w:val="16"/>
        </w:rPr>
        <w:t xml:space="preserve"> – although in this case accessibility is unusual in the sense that it is likely to only apply to scientists and their logistical sponsors including civilian and military agencies such as the US Coast Guard. Access to these territories will, because of their remoteness, inevitably be conditioned by variable sea ice/weather. The CLCS requested that the Russian authorities conduct further oceanographic research in the central Arctic Ocean following their 2001 submission to this UN body. What has changed in the intervening period, however, was this attempt to calculate subterranean territory was further heightened by a growing awareness of an Arctic being changed by ice melting and debates over accessibility involving a range of parties including coastal and non-coastal states.</w:t>
      </w:r>
    </w:p>
    <w:p w14:paraId="7D060145" w14:textId="77777777" w:rsidR="004A4AC6" w:rsidRPr="00C90932" w:rsidRDefault="004A4AC6" w:rsidP="00C90932">
      <w:pPr>
        <w:rPr>
          <w:sz w:val="16"/>
        </w:rPr>
      </w:pPr>
      <w:r w:rsidRPr="00C90932">
        <w:rPr>
          <w:u w:val="single"/>
        </w:rPr>
        <w:t>The establishment of calculable territory depends on underwater interventions</w:t>
      </w:r>
      <w:r w:rsidRPr="00C90932">
        <w:rPr>
          <w:sz w:val="16"/>
        </w:rPr>
        <w:t xml:space="preserve"> and the travails of mini-submarines and survey vessels are helping </w:t>
      </w:r>
      <w:r w:rsidRPr="00C90932">
        <w:rPr>
          <w:u w:val="single"/>
        </w:rPr>
        <w:t>to create the conditions for further sovereign interventions.</w:t>
      </w:r>
      <w:r w:rsidRPr="00C90932">
        <w:rPr>
          <w:sz w:val="16"/>
        </w:rPr>
        <w:t xml:space="preserve"> The map and the survey are one element of this intervention but so are other kinds of activities and practices. In a speech to an audience in the Canadian Arctic, the Canadian Prime Minister noted that:</w:t>
      </w:r>
    </w:p>
    <w:p w14:paraId="6A6BBFF5" w14:textId="26F751E2" w:rsidR="004A4AC6" w:rsidRPr="00C90932" w:rsidRDefault="004A4AC6" w:rsidP="00C90932">
      <w:pPr>
        <w:rPr>
          <w:sz w:val="16"/>
        </w:rPr>
      </w:pPr>
      <w:r w:rsidRPr="00C90932">
        <w:rPr>
          <w:sz w:val="16"/>
        </w:rPr>
        <w:t>But you can't defend Arctic sovereignty with words alone…It takes a Canadian presence on the ground, in the air and on the sea and a Government that is internationally recognized for delivering on its commitments. And I am here today to make it absolutely clear there is no question about Canada's Arctic border…All along the border, our jurisdiction extends outward 200 miles into the surrounding sea, just as it does along our Atlantic and Pacific coastlines…Some in the opposition dismiss our focus on northern sovereignty as expensive and unnecessary…Some have actually come to the North and suggested our plans here are a waste of money. To that I say, government's first obligation is to defend the territorial integrity of its borders…This is Nunavut – “Our Land” – just as Yukon and the Northwest Territories and the entire Arctic Archipelago are “Our Land” (</w:t>
      </w:r>
      <w:bookmarkStart w:id="8" w:name="bbib34"/>
      <w:r w:rsidRPr="00C90932">
        <w:rPr>
          <w:color w:val="0272B1"/>
          <w:sz w:val="16"/>
        </w:rPr>
        <w:t>Harper, 2006</w:t>
      </w:r>
      <w:bookmarkEnd w:id="8"/>
      <w:r w:rsidRPr="00C90932">
        <w:rPr>
          <w:sz w:val="16"/>
        </w:rPr>
        <w:t>).</w:t>
      </w:r>
    </w:p>
    <w:p w14:paraId="42AFF8A3" w14:textId="086C0BD3" w:rsidR="004A4AC6" w:rsidRPr="00C90932" w:rsidRDefault="004A4AC6" w:rsidP="00C90932">
      <w:pPr>
        <w:rPr>
          <w:sz w:val="16"/>
        </w:rPr>
      </w:pPr>
      <w:r w:rsidRPr="00C90932">
        <w:rPr>
          <w:sz w:val="16"/>
        </w:rPr>
        <w:t xml:space="preserve">Notwithstanding the Prime Minister's extraordinary appropriation of the Inuit term ‘Nunavut’, it does give an indication of the apparent stakes. </w:t>
      </w:r>
      <w:r w:rsidRPr="00C90932">
        <w:rPr>
          <w:u w:val="single"/>
        </w:rPr>
        <w:t>Making territory legible, especially in the absence of the protective covering of ice, raises the spectre of intrusion and transgression even in areas where citizens will never see let alone walk over.</w:t>
      </w:r>
      <w:r w:rsidRPr="00C90932">
        <w:rPr>
          <w:sz w:val="16"/>
        </w:rPr>
        <w:t xml:space="preserve"> And as one commentator has recently noted,</w:t>
      </w:r>
      <w:r w:rsidRPr="00C90932">
        <w:rPr>
          <w:u w:val="single"/>
        </w:rPr>
        <w:t xml:space="preserve"> the legibility of the Arctic carries with not just contemporary anxieties but longer colonial trajectories, “…the Northwest Passage has long been regarded not as a distinct place, but as a threshold to a desired place elsewhere, be it the commercial riches of China, natural resources in the High Arctic,</w:t>
      </w:r>
      <w:r w:rsidRPr="00C90932">
        <w:rPr>
          <w:sz w:val="16"/>
        </w:rPr>
        <w:t xml:space="preserve"> or the paradise imagined to exist at the ice-free North Pole…” (</w:t>
      </w:r>
      <w:bookmarkStart w:id="9" w:name="bbib20"/>
      <w:r w:rsidRPr="00C90932">
        <w:rPr>
          <w:color w:val="0272B1"/>
          <w:sz w:val="16"/>
        </w:rPr>
        <w:t>Craciun, 2009</w:t>
      </w:r>
      <w:bookmarkEnd w:id="9"/>
      <w:r w:rsidRPr="00C90932">
        <w:rPr>
          <w:sz w:val="16"/>
        </w:rPr>
        <w:t>: 14).</w:t>
      </w:r>
    </w:p>
    <w:p w14:paraId="73E26EDC" w14:textId="060A42E6" w:rsidR="004A4AC6" w:rsidRPr="00C90932" w:rsidRDefault="004A4AC6" w:rsidP="00C90932">
      <w:pPr>
        <w:rPr>
          <w:sz w:val="16"/>
        </w:rPr>
      </w:pPr>
      <w:r w:rsidRPr="00C90932">
        <w:rPr>
          <w:sz w:val="16"/>
        </w:rPr>
        <w:t>The spectre of an ice-free North Pole is unquestionably one of the most powerful incentives to make those subterranean territories legible. It also helps to explain and legitimate a special kind of icy geopolitics (</w:t>
      </w:r>
      <w:bookmarkStart w:id="10" w:name="bbib24"/>
      <w:r w:rsidRPr="00C90932">
        <w:rPr>
          <w:color w:val="0272B1"/>
          <w:sz w:val="16"/>
        </w:rPr>
        <w:t>Dodds, 2008</w:t>
      </w:r>
      <w:bookmarkEnd w:id="10"/>
      <w:r w:rsidRPr="00C90932">
        <w:rPr>
          <w:sz w:val="16"/>
        </w:rPr>
        <w:t>). Mobilising terms such as ‘borders’, ‘our land’ and ‘presence’, Prime Minister Harper helped to conjure up the exceptional – the Arctic as an exceptional space, which demands extraordinary measures to make sure that Canadians care as much as the Arctic as they might about the Bay of Fundy. In Canada's case, new investment in icebreakers, military bases, scientific mapping and enhanced homeland security measures were initiated (</w:t>
      </w:r>
      <w:bookmarkStart w:id="11" w:name="bbib37"/>
      <w:r w:rsidRPr="00C90932">
        <w:rPr>
          <w:color w:val="0272B1"/>
          <w:sz w:val="16"/>
        </w:rPr>
        <w:t>Heubert, 2009</w:t>
      </w:r>
      <w:bookmarkEnd w:id="11"/>
      <w:r w:rsidRPr="00C90932">
        <w:rPr>
          <w:sz w:val="16"/>
        </w:rPr>
        <w:t>, </w:t>
      </w:r>
      <w:bookmarkStart w:id="12" w:name="bbib70"/>
      <w:r w:rsidRPr="00C90932">
        <w:rPr>
          <w:color w:val="0272B1"/>
          <w:sz w:val="16"/>
        </w:rPr>
        <w:t>Byers, 2009</w:t>
      </w:r>
      <w:bookmarkEnd w:id="12"/>
      <w:r w:rsidRPr="00C90932">
        <w:rPr>
          <w:sz w:val="16"/>
        </w:rPr>
        <w:t>). As we shall see, however, those attempts to intervene and to enhance legibility are rarely straightforward in a remote environment strongly shaped by ocean currents, sea ice formation and extreme weather. The Arctic, notwithstanding the desires and demands of coastal states and their political representatives, is a lively space.</w:t>
      </w:r>
    </w:p>
    <w:p w14:paraId="776D7005" w14:textId="77777777" w:rsidR="004A4AC6" w:rsidRPr="00C90932" w:rsidRDefault="004A4AC6" w:rsidP="00C90932"/>
    <w:p w14:paraId="036ACDA9" w14:textId="172C6DA5" w:rsidR="00655623" w:rsidRPr="00C90932" w:rsidRDefault="00655623" w:rsidP="00C90932">
      <w:pPr>
        <w:pStyle w:val="Heading3"/>
        <w:rPr>
          <w:rFonts w:cs="Calibri"/>
        </w:rPr>
      </w:pPr>
      <w:r w:rsidRPr="00C90932">
        <w:rPr>
          <w:rFonts w:cs="Calibri"/>
        </w:rPr>
        <w:t>1NC – Law</w:t>
      </w:r>
    </w:p>
    <w:p w14:paraId="3360918E" w14:textId="0CF44A1F" w:rsidR="00655623" w:rsidRPr="00C90932" w:rsidRDefault="00C97803" w:rsidP="00C90932">
      <w:pPr>
        <w:pStyle w:val="Heading4"/>
        <w:rPr>
          <w:rFonts w:cs="Calibri"/>
          <w:bCs/>
        </w:rPr>
      </w:pPr>
      <w:r w:rsidRPr="00C90932">
        <w:rPr>
          <w:rFonts w:cs="Calibri"/>
          <w:bCs/>
          <w:iCs w:val="0"/>
        </w:rPr>
        <w:t xml:space="preserve">Arctic exploration necessitates mapping which translates that which is fluid and indeterminate into static wholes. This is </w:t>
      </w:r>
      <w:r w:rsidR="00655623" w:rsidRPr="00C90932">
        <w:rPr>
          <w:rFonts w:cs="Calibri"/>
          <w:bCs/>
          <w:iCs w:val="0"/>
        </w:rPr>
        <w:t xml:space="preserve">indicative of the desire to control blue through cartographic representations of land and sea. These representations enable colonial fantasies of sovereignty which perpetrate violence at sea and on land. This violence naturalizes the sea as a repository of resources and profit – an orientation which is indicative of and reifies western blue desires. </w:t>
      </w:r>
    </w:p>
    <w:p w14:paraId="1ABCC12A" w14:textId="2C913709" w:rsidR="00655623" w:rsidRPr="00C90932" w:rsidRDefault="00655623" w:rsidP="00C90932">
      <w:r w:rsidRPr="00C90932">
        <w:rPr>
          <w:rStyle w:val="Style13ptBold"/>
        </w:rPr>
        <w:t>Braverman</w:t>
      </w:r>
      <w:r w:rsidR="00E177C7">
        <w:rPr>
          <w:rStyle w:val="Style13ptBold"/>
        </w:rPr>
        <w:t xml:space="preserve"> &amp; Johnson</w:t>
      </w:r>
      <w:r w:rsidRPr="00C90932">
        <w:rPr>
          <w:rStyle w:val="Style13ptBold"/>
        </w:rPr>
        <w:t xml:space="preserve"> 20</w:t>
      </w:r>
      <w:r w:rsidRPr="00C90932">
        <w:t xml:space="preserve"> [</w:t>
      </w:r>
      <w:r w:rsidR="00E177C7">
        <w:t xml:space="preserve">Irus Braverman, Professor of Law, State University of New York at Buffalo School of Law, SJD, University of Toronto, MA, Hebrew University of Jerusalem; Elizabeth R. Johnson, Assistant Professor of Human Geography, Durham University, PhD, University of Minnesota, </w:t>
      </w:r>
      <w:r w:rsidRPr="00C90932">
        <w:t xml:space="preserve">“Blue Legalities: The Life and Laws of the Sea </w:t>
      </w:r>
      <w:r w:rsidR="00E177C7">
        <w:t>–</w:t>
      </w:r>
      <w:r w:rsidRPr="00C90932">
        <w:t xml:space="preserve"> INTRODUCTION</w:t>
      </w:r>
      <w:r w:rsidR="00E177C7">
        <w:t xml:space="preserve">,” 2020, https://www.academia.edu/40692031/Blue_Legalities_The_Life_and_Laws_of_the_Sea_INTRODUCTION] </w:t>
      </w:r>
      <w:r w:rsidR="00E177C7" w:rsidRPr="00E177C7">
        <w:t>// Micah</w:t>
      </w:r>
    </w:p>
    <w:p w14:paraId="564B3429" w14:textId="40E9C073" w:rsidR="00655623" w:rsidRPr="00C90932" w:rsidRDefault="00655623" w:rsidP="00C90932">
      <w:pPr>
        <w:rPr>
          <w:sz w:val="16"/>
        </w:rPr>
      </w:pPr>
      <w:r w:rsidRPr="00C90932">
        <w:rPr>
          <w:u w:val="single"/>
        </w:rPr>
        <w:t xml:space="preserve">The surface </w:t>
      </w:r>
      <w:r w:rsidR="008A3FC6" w:rsidRPr="00C90932">
        <w:rPr>
          <w:u w:val="single"/>
        </w:rPr>
        <w:t>of the</w:t>
      </w:r>
      <w:r w:rsidRPr="00C90932">
        <w:rPr>
          <w:u w:val="single"/>
        </w:rPr>
        <w:t xml:space="preserve"> sea has long been viewed as a blank space.</w:t>
      </w:r>
      <w:r w:rsidRPr="00C90932">
        <w:rPr>
          <w:sz w:val="16"/>
        </w:rPr>
        <w:t xml:space="preserve"> As Carl Schmitt famously quipped in 1950, "On the waves, there is nothing but waves" (1003, 4?). In the popular imaginary, the oceans continue to be seen as a place outside conventional politics. Futurists and libertarian rapid technological and ecological changes that have taken place over the past few decades are prompting serious i • Johnson and Braverman 218-81190 ch01 IP.indd 2 6/26/19 4:56 PM reconsiderations of how the seas are governed, suggesring an urgent need for more critical attention to the laws of the sea, in their broadest and most pluralistic iterarions. Blue Legalities offers such an intensified analysis. Specifically, the inrerdisciplinary contributors of this volume contemplate different ways in which our political frameworks and legal infrastructures have been made, concested, and remade in the oceans. This goes to highlight one ofthe primary motivations for this volume: unblackboxing law.Just as science renders its procedures and technical work invisible and neutral, so, too, do legal rules and procedures—suchas those related to sovereignty, authority, territory, and jurisdiction—makeinvisible certain ideological assumptions and obscure the labor undertaken for their construction. And just as the understanding of science should not be the domain of scientists alone and should involve a critical stance toward these practices, the scudy of law, too, should noc oniy be confined to lawyers and legal scholars. Accordingly, the contributors to this volume consider law from different academic backgrounds, including geography, anthropology, law, political science, history, gender studies, English, and environmental studies. We collectively draw upon these transdisciplinary trajectories to think critically about ocean law, thus contesring the hegemony oflegal experts in this regard. There is already a steady body of </w:t>
      </w:r>
      <w:r w:rsidRPr="00C90932">
        <w:rPr>
          <w:u w:val="single"/>
        </w:rPr>
        <w:t>scholarship about ocean law</w:t>
      </w:r>
      <w:r w:rsidRPr="00C90932">
        <w:rPr>
          <w:sz w:val="16"/>
        </w:rPr>
        <w:t xml:space="preserve">. However, this scholarship </w:t>
      </w:r>
      <w:r w:rsidRPr="00C90932">
        <w:rPr>
          <w:u w:val="single"/>
        </w:rPr>
        <w:t>has mostly been confined to a positivistic analysis of state laws and international treatises that pertain to the sea.</w:t>
      </w:r>
      <w:r w:rsidRPr="00C90932">
        <w:rPr>
          <w:sz w:val="16"/>
        </w:rPr>
        <w:t xml:space="preserve"> Indeed, much has been written about law with a capital L—namely, the formal statutes, regulations, case law, and international treaties that govern the seas and their inhabitants (see, e.g., Bishara 2.017; Craig zoii; Harrison 1011; Nyman 1013; Ranganathan 2.016; Scheiber and Paik 1013; Stephens and VanderZwaag 1014; Tanaka 2.008</w:t>
      </w:r>
      <w:r w:rsidRPr="00C90932">
        <w:rPr>
          <w:u w:val="single"/>
        </w:rPr>
        <w:t xml:space="preserve">). In most of it, the oceans and their inhabitants appear to be passive to the legal infrastructures imposed upon them. </w:t>
      </w:r>
      <w:r w:rsidRPr="00C90932">
        <w:rPr>
          <w:sz w:val="16"/>
        </w:rPr>
        <w:t>While vve recognize that formal laws and administrarive bodies are important and prevalent and should not be ignored as such, we are not concerned only with law's official and binding articulations</w:t>
      </w:r>
      <w:r w:rsidRPr="00C90932">
        <w:rPr>
          <w:u w:val="single"/>
        </w:rPr>
        <w:t>. Instead, we</w:t>
      </w:r>
      <w:r w:rsidRPr="00C90932">
        <w:rPr>
          <w:sz w:val="16"/>
        </w:rPr>
        <w:t xml:space="preserve"> follow in the wake of other legal scholars who have been pursuing quesdons around the constitution of legalities in terrestrial contexts to argue that the law permeates our understandings ofspace and matter. We then apply this argument beyond the terrestrial environments to engage with the vexing problems associated with the ocean's watery worlds. </w:t>
      </w:r>
      <w:r w:rsidRPr="00C90932">
        <w:rPr>
          <w:u w:val="single"/>
        </w:rPr>
        <w:t>By turning toward the relationship between governance and the life of ecological networks,</w:t>
      </w:r>
      <w:r w:rsidRPr="00C90932">
        <w:rPr>
          <w:sz w:val="16"/>
        </w:rPr>
        <w:t xml:space="preserve"> this volume joins a growing licerature on more-than.-human legalities. Drawing in particular on Anna Grear's worlc on law and the Anthropocene (zois),Andreas Philippopoulos-Mihalopoulos'swriringon nonhuman  materialities (ioi6a, 2.oi6b), Irus Braverman's explorations of nonhuman legalities (1015; 2.016; 2.oi8b), and Alain Pottage's explorations ofmateriality in the biosciences (2.012.; Pottage and Marris 2.012.), this volume </w:t>
      </w:r>
      <w:r w:rsidRPr="00C90932">
        <w:rPr>
          <w:u w:val="single"/>
        </w:rPr>
        <w:t>focuses attention on</w:t>
      </w:r>
      <w:r w:rsidRPr="00C90932">
        <w:rPr>
          <w:sz w:val="16"/>
        </w:rPr>
        <w:t xml:space="preserve"> the microscale questions concerning </w:t>
      </w:r>
      <w:r w:rsidRPr="00C90932">
        <w:rPr>
          <w:u w:val="single"/>
        </w:rPr>
        <w:t>ocean law and its biopolitical enframings.</w:t>
      </w:r>
      <w:r w:rsidRPr="00C90932">
        <w:rPr>
          <w:sz w:val="16"/>
        </w:rPr>
        <w:t xml:space="preserve"> Rather than start with an assumption oflaw as a prediscursive entity, we follow Pottage's lead to consider the seas themselves and, interconnected to that exploration, to also study various laws as socio-scientific, heterogeneous, and material phenomena. Like much of the literature on the blue turn in the social sciences and humanities, rhis body of legal scholarship, too, has been influenced by science and technology studies and new materialisms. Contributors to this volume apply these rich insights to consider the ordinary and extraordinary projects ofgoverning oceans. </w:t>
      </w:r>
      <w:r w:rsidRPr="00C90932">
        <w:rPr>
          <w:sz w:val="13"/>
          <w:szCs w:val="13"/>
        </w:rPr>
        <w:t>The volume's chapters are grounded in a careful empirical analysis that spans historical time periods and geographic locations. The concributors emphasize the extent to which soft standards, temporal imaginaries, and scientific guidelines govern various aspects ofocean life as well as how they prescribe and regulate the everyday pracrices ofscientists, managers, and other actors who operate in and impact this space. Whereas traditionally not perceived as legal actors per se, following the practices ofthese various experts in fact reveals an entire new world ofvaried and plural laws. At the same time, we also consider the connections as well as the frictions that emerge where systems ofgovernance interact with complex geophysical, ecological, economic, and technological processes. Such a broader and more relational understandingoflegalities makes space for critical inquiries. Some ofthe central questions that emerge from this more relational understanding include: How are existing systems of governance adjusting to the abrupt and radical changes that threaten the health of the oceans ? And how might thinking with the seas and their inhabitants engender opportunities for the contestation and transformation of ocean governance? This volume's interdisciplinary contributors present varied responses to these questions. Neither univocal nor singular, these responses demonstrate that blue legalities are not ofone ocean, nor ofone law; instead, they are made up ofthe multiple and messy registers through which we engage the seas. Such legalities ofthe seas evince what Stephanie Lavau has referred to in the context offresh water governance as a "multiple reality" that hangs together in "untidy entanglement[s]" (zoi3, 42-8). We emphasize the vast and unusual challenges associated with regulating this multiple and fluid reality as it manifests in the spaces, matters, and lives ofthe sea. Alongside their messiness and multiplicity, oceans are also dynamic and unscable. Steinberg and Peters write rhat the seas are a "space ofchurning" (1015, 4 • Johnson and Braverman 218-81190ch01 IP.indd 4 6/26/19 4-56PM 2.58). Amid "processes of 'arranging,' 'gathering,' 'mucture,' and 'turbulence,' the oceans exist in a near consrant state of re-formation (2,56). This volume brings the churn ofthis reality to light by showinghow, from the turbulence of thinking with ocean legalities, possibilities for more plural relations between rime, place, and law may emerge. Accordingly, thi.s introduction explores four central themes: the vast legalities between knowledge and ignorance, temporal governance in the Anthropocene, a sea of lines and laws, and governing vvith more-than-human sea creatures. The Vast Legalities between Knowledge and Ignorance Emergent from our examinations ofboth ocean Law and its laws—namely,ofthe macro, as well as the micro, scales oflaw—isthe enhanced reliance ofthese forms ofgovernance on scientists and scientific discourse. The relationship betwcen knowledge, imagination, and ignorance finds a fruitful substrate in the sea.Long held in the deep, matter and fantasies resurface in legal and scientific accounts ofmaritime spaces. This collection carefully unravels the coproduction ofocean matter, scientific knowledge, and legislative classifications and enframings. The oceans have historically been characterized by inaccessibility and indeterminacy. For centuries, much ofthis space was mostly unknown. Cartographers of the fifteenth and sixteenth centuries made up for the absence of knovvledge by filling the seemingly blank spaces with fantastical monsters and mermen. Today, ignorance remains central to the seas' legalities. In the legal literacure, the opacity ofthe oceans is most often understood to incapacitate managers of marine resources or conservationists who seek to curb pollution and battle other perils (Charles 1998; De Wolff 2.017). According to many scholars, scientists, and policy makers, the proper government of ocean resources requires the management, and even the excision, ofignorance (see, e.g., Pauly 2.015). This, precisely. is how the scienusts injessica Lehmans chapter, "The Technopolitics ofOcean Sensing," approach the acquisition ofmarine data. Imagining the sea as a "borderless space" and as the object ofa global science that could "benefit ali ofhumanity," these scientists have released thousands ofrobotic devices into both national and international waters. Meant to facilitate better governance through obtaining more complete data, autonomous underwater robots like Argo floats collect "real-time" readings on temperature, salinity, and movement ofthe planetary ocean. These attempts to eradicate ignorance are undergirded by the assumprion that knowledge production takes place outside and before the law. Indeed, scientific knowledge is typically considered as preceding the law and as providing Lntroducrion • the foundation for legal inscription. But, of course, scientific and legal practices are deeply entangled. This volume's contributions show how attempts to manage, harness, and govern oceans also shape ontological and epistemological claims—whatSheila JasanofF refers to as the "co-production" of scientific knowledge practices and law. She writes that "the law is now an inescapable feature ofthe conditioning environment that produces socially embedded .. . science" (1008, y6z). How we come to know the oceans and their inhabitants as objects ofstudy thus neither precedes nor merely services the law. Rather, scientists produce knowledge through legal systems and via governmental frameworks. At the same time, techno-physical and scientific practices also shape regulatory and adminisirative systems. As Lehman shows, the widespread use ofautonomous robots both contests and reshapes legal infrastructures. Specifically, their use imposes a universal regulation of the sea.s, thereby challenging the longstanding sovereign control ofnation-states over their territorial waters. Alongside the efforts to acquire ever greater repositories of knowledge that would eliminate the unknown, blue legalities are also shaped by what Roberr Proctor and Londa Schiebinger call "agnotology": the production of ignorance (zoo8). In paying attention to the ways that scientific and legal frameworks are imbricated, this volume's contributors highlight how not only determinacies, but also indeterminacies, are coproduced and even exacerbated to make ocean spaces more manageable. In other words, the uwproductive and counterproductwe aspects of knowledge are made to matter for ocean governance. In some cases, knowledge of the complexiries of geophysical and ecological processes in the ocean is ignored, overwritten, or willfnlly avoided to better administer the seas. Stefan Helmreich makes just that point in his contribution to this volume, which focuses on the controversy surrounding the attempted building ofaseawall around an Irish golfcourse owned by US president Donald Trump. While his permit proposal references scientific dara that links sea-level rise to climate change, Trump himselfhas actively, and notoriously, denied this connection. According to Helmreich, Trump's simultaneous deployment and disavowal of climate science illuminates how "science and law are rhetorically coproduced at one moment and torn asunder at another." In this instance ofsovereign claims to space and power, "dissimulation and misdirection" reign. We find evidence of the important role of ignorance in Holly Jean Buck's chapter as well, where it is precisely the lack of attention to ocean acidification in climare legislation that has enabled the rise of the scientific imaginary of a geoengineered planet. Finally, injessica Lehman's account, it is ignorance ofthe law, rather than ignorance ofthe sea, that enables the use ofautonomous robots and facilitates scientific research. As Astrida Neimanis argues in her chapter in 6 • Johnson and Bravcrman 218-81190 ch01 1P indd 6 6/26/19 4:56 PM rhe context ofburied toxic contaminants, the "full knowability" ofthe sea will always elude us. One ofthe challenges for blue legalities is figuring ouc how to insist on accountability andjustice in the absence ofcomplete knowledge. Beyond blurring the boundaries between knowledge and ignorance, the mysterious and seemingly alien matter ofthe seas also troubles distinctions between matter and fantasy. As Stacy Alaimo writes: "Terrestrial humans have often found it more convenient to imagine that the seas are imaginary than to undertake the scienti£c,cultural, and political work necessary to trace substantia.1 interconnections between human discourses, human practices, and marine habitats" (1012., 179). Understanding ocean imaginaries is therefore an important undertaking. In her chapter, "The Sea Wolfand the Sovereign," Stephaniejones examines how such maritime imaginaries—theirsymbols, metaphors, and fantasies— have shaped the history and spatial politics ofthe sea. Taking inspiration from Jacques Derrida's writing on the animal, Jones looks to the figure of the sea wolf, demonstraring how her appearance in the literature configures sovereign power, with its paradigms oflegality and illegality. In parucularjones connects the sea wolf's liminal form oflife to human stories about piracy on the high seas. As she argues, such stories have in fact legirimized the sovereign state's foundational relationship to violence. Knowledge and fantasy blur also in contemporary attempts to legitimize future visions ofsovereignty. Elizabeth R. Johnsons chapter, "The Hydra and the Leviathan," shows, accordingly, how the US military channels scientific research to create a future geopolitical sea space that is favorable to US interests. Like the researchers in Lehman's chapter, in this chapter, too, military strategists and the scientist they fund endeavor to know more about what lies beneath the sea surface. But unlike the operators of the Argo floats who use robotic devices to expand scientific knowledge, the military strategists here use these devices to enhance military capacity. These efforts are justified on the back ofa geographical imaginary (Gregory 1994) composed ofmilitarized histories, imagined threats, and speculative fiitures</w:t>
      </w:r>
      <w:r w:rsidRPr="00C90932">
        <w:rPr>
          <w:sz w:val="16"/>
        </w:rPr>
        <w:t xml:space="preserve">. Dangers that allegedly lurk beneath the oceans' depths haunt this production of cutting-edge weaponry, which gains traction through a combinarion ofadvanced material technology and detailed security risk calculations. Interrogating the interconnections between knowledge, fantasy, and ignorance as well as between fabulous and mundane political practices helps us understand how power is made operative through techno-scientific engagements with the seas.Just as importandy, it also provides a path for challenging intractable—andoften deeply unjust—configurationsofsovereignty. Introduction • </w:t>
      </w:r>
      <w:r w:rsidRPr="00C90932">
        <w:rPr>
          <w:u w:val="single"/>
        </w:rPr>
        <w:t>Temporal Governance in the Anthropocene While the US military has been advocating for a less risky sea, many scienrists claim that it is human activities that have put the oceans at risk in the first place.</w:t>
      </w:r>
      <w:r w:rsidRPr="00C90932">
        <w:rPr>
          <w:sz w:val="16"/>
        </w:rPr>
        <w:t xml:space="preserve"> In 2004, geologist W^ill Steffen coined the term "the Great Acceleration" to highlight how human activities, predominantly the global economic system, became the prime drivers of change on earth. The twenty-four graphs he chaned to express the acceleration in human acrivity since the indusrrial revolution (see, e.g., StefFen et al. 1015) were foundational for the formalization ofthe Anthropocene concept. According to these graphs, the oceans have been ameliorating climate change, as well as other efFects ofhuman activity. Indeed, the International Union for Conservation ofNature (lUCN) established that more than 95 percent ofheat captured by greenhouse gases has been absorbed by the oceans since the 19705. Ifthe oceans were not absorbing this heat, the average global temperatures on land would be far higher—aroundizi"f— instead ofthe current average of;9°F (Schlanger 2.017). In performing this ameliorating funcrion</w:t>
      </w:r>
      <w:r w:rsidRPr="00C90932">
        <w:rPr>
          <w:u w:val="single"/>
        </w:rPr>
        <w:t>, ocean ecologies have become</w:t>
      </w:r>
      <w:r w:rsidRPr="00C90932">
        <w:rPr>
          <w:sz w:val="16"/>
        </w:rPr>
        <w:t xml:space="preserve"> not only </w:t>
      </w:r>
      <w:r w:rsidRPr="00C90932">
        <w:rPr>
          <w:u w:val="single"/>
        </w:rPr>
        <w:t>an early casualty of the Anthropocene,</w:t>
      </w:r>
      <w:r w:rsidRPr="00C90932">
        <w:rPr>
          <w:sz w:val="16"/>
        </w:rPr>
        <w:t xml:space="preserve"> but also a bellwether ofwhat the future has in store for the rest ofthe earth. Esrimating sea-level rise, scientists predict that the oceans will encroach upon human settlements, flood coastal cities, and shrink continents. English scholar Elizabeth DeLoughrey writes in this regard: "If there is any agreement about climate change, it is that </w:t>
      </w:r>
      <w:r w:rsidRPr="00C90932">
        <w:rPr>
          <w:u w:val="single"/>
        </w:rPr>
        <w:t>our planetary future is becoming more oceanic</w:t>
      </w:r>
      <w:r w:rsidRPr="00C90932">
        <w:rPr>
          <w:sz w:val="16"/>
        </w:rPr>
        <w:t xml:space="preserve">.... Sea level rise is perhaps our greatest sign of planetary change, connecting the activity of the earth's poles with the rest ofthe terrestrial world, producing a new sense ofplanetary scale and interconnectedness through the rising ofa world ocean" (2.015, 553). In his recent book, The Water Will Come: Rising Seas, Sinking Cities, and the Remaking of the Civilized World, journalistJeffGoodell ofFers, similarly, that "despite international efforts and tireless research, there is no permanent solution—nobarriers to erect or walls to build—thatwill protect us in the end from the drowning ofthe world as we know it" (1017, back cover). Catastrophe comes in other forms a.s well. We are already witnessing the dramatic effecrs ofplastic waste on marine ecosystems as media images ofwhales, turtles, and albatross with stomachs full of plastics appear with ever greater frequency. In addition to sea-level rise and pollution, scientists worry about what they idenrify as the "triple threar" to marine ecologies: ocean acidification, ocean warming, and deoxygenation (Rogers and LafFoley 2,015). Ocean acidification in particular i.s often referred to as climate change's "evil twin' (Hollyjean Buck, this volume). Absorbing elevated amounts ofcarbon dioxide 8 . Johnson and Braverman 218-81190 ch01 IP.indd 6/26/19 4:56 PM from the acmosphere, the changing chemistry of the ocean is resulting in a decrease in the rates ofcaicification by reeforganisms and thus in an increase in the dissolution ofthe reefsediments that form reefstructures. Reefdisappearance in turn causes an accelerated loss offish habitat and growing coastal erosion (Bakke 2,017,53-54). Oceanographer Sylvia Earle put it this way: "Now we know: Ifthe ocean is in trouble, so are we. It is time to take care ofthe ocean as ifour lives depend on it, because they do" (1014). Yet despite the inevitable futures ofcollapsed fisheries and dead reefbuilding corals, international climate and biodiversity treaties have largely ignored the scientific evidence on ocean acidification. As Holly Jean Buck shovvs in this volume, the complexity and relacive invisibility ofocean acidification have made this process seem peripheral to the massive anthropogenic changes in the oceans. Moreover, imaginaries ofheightened planetary management have boosred scientific investments in geoengineering techniques, thus strengthening narratives that figure climate futures as technologically controllable. These efForts resonate with the "Good Anthropocene" approach adopted by the Breakthrough Insritute and other Silicon Valley optimists, in which humans figure as the technologically endowed producers of a well-worked planet (Asafu-Adjaye et ai. 1015). Consistent with the "Good Anthropocene" approach, novel developments in biomedicine and the rise of the blue economy have infused new value to the seas and their inhabitants. Rather than seeing them as a grim casualty of human history, advocates ofthe blue economy have indeed come to view the oceans as a resource for sustainable technological and biotechnological enhancement (European Commission 2.012.; Helmreich ioo7;Johnson 1016). In her chapter, "Got Algae?," Amy Braun shows how, as land resources dwindle, industrial and venture capitalists harness sea life and matter for food,energy, carbon sequestration, and generic resources. Utilizing practices of enclosure and privarization—includingaquaculture, deep-sea mining, seaweed and algae harvesting, and marine bioprospecting—thesentrepreneurs portray oceans as utopian spaces oflimitless, yet sustainable, development. Whether we are hurtling tovvard catastrophe or toward a [echnologically endowed utopia, </w:t>
      </w:r>
      <w:r w:rsidRPr="00C90932">
        <w:rPr>
          <w:u w:val="single"/>
        </w:rPr>
        <w:t>the future that figures in both the Anthropocene and the blue economy literatures follows the modern understanding of time as a linear, secular, and unidimensional passing from past to future.</w:t>
      </w:r>
      <w:r w:rsidRPr="00C90932">
        <w:rPr>
          <w:sz w:val="16"/>
        </w:rPr>
        <w:t xml:space="preserve"> In contrast to these universal accounts ofrime, many ofthis volume's chapters reveal the rich polychronic natures of the oceans. In Susan Reid's contribution, for example, the deep, slow time ofthe seas' geologic and evolutionary pasts calls inro question basic assumptions of temporai progression. Specifically, Reid argues that </w:t>
      </w:r>
      <w:r w:rsidRPr="00C90932">
        <w:rPr>
          <w:u w:val="single"/>
        </w:rPr>
        <w:t>by</w:t>
      </w:r>
      <w:r w:rsidRPr="00C90932">
        <w:rPr>
          <w:sz w:val="16"/>
        </w:rPr>
        <w:t xml:space="preserve"> Introduction </w:t>
      </w:r>
      <w:r w:rsidRPr="00C90932">
        <w:rPr>
          <w:u w:val="single"/>
        </w:rPr>
        <w:t>encouraging a "mine first, observe and legislate later" approach,</w:t>
      </w:r>
      <w:r w:rsidRPr="00C90932">
        <w:rPr>
          <w:sz w:val="16"/>
        </w:rPr>
        <w:t xml:space="preserve"> </w:t>
      </w:r>
      <w:r w:rsidRPr="00C90932">
        <w:rPr>
          <w:u w:val="single"/>
        </w:rPr>
        <w:t>UNCLOS'S instrumental view of the oceans has enabled deep-sea mining operations.</w:t>
      </w:r>
      <w:r w:rsidRPr="00C90932">
        <w:rPr>
          <w:sz w:val="16"/>
        </w:rPr>
        <w:t xml:space="preserve"> Countering such approaches, she relates to the sea as a "cogenerative, transitional realm, thrumming with material agency and life." Reid thus not only imagines more sensitive and durative parameters of livability, but also shows how we might shift the foundations upon which policies and actions are based. In her words: "At a time when planetary environmental systems are in srress and decline, there is a vital place for new imaginaries with which we might all navigace and transition.' </w:t>
      </w:r>
      <w:r w:rsidRPr="00C90932">
        <w:rPr>
          <w:u w:val="single"/>
        </w:rPr>
        <w:t>Considering multiple temporal registers that move beyond the linear is crucial for crafting the oceans' new imaginaries.</w:t>
      </w:r>
      <w:r w:rsidRPr="00C90932">
        <w:rPr>
          <w:sz w:val="16"/>
        </w:rPr>
        <w:t xml:space="preserve"> Michel Serres's scholarship on nonlinear topologies is instrucdve in this context. In an interview with Bruno Lacour, Serres compared time to a handkerchief: laid flar, the distances between one point and another can be measured. Crumpled in one's pocket, however, 'two distanr points suddenly are close, even superimposed" (Serres and Latour i99S&gt; 61). His most evocative passage on nonlinear time references the movement of water: "Beneath the Mirabeau Bridge flows the Seine .. . [But] all the water that passes beneath the Mirabeau Bridge will not necessarily flow out into the English Channel; many little trickles turn back toward Charenton or upstream' (58). For Serres, what we often consider history is not necessarily in the past. Patterns and norms laid down in time can, much like water, circulate in eddies and whirlpools or flow back upstream. As the recent political climate demonstrates, blind faith in temporal and social progress is often erroneous—and dangerous. </w:t>
      </w:r>
      <w:r w:rsidRPr="00C90932">
        <w:rPr>
          <w:u w:val="single"/>
        </w:rPr>
        <w:t>Christina Sharpe's In the Wake</w:t>
      </w:r>
      <w:r w:rsidRPr="00C90932">
        <w:rPr>
          <w:sz w:val="16"/>
        </w:rPr>
        <w:t xml:space="preserve"> (2016) </w:t>
      </w:r>
      <w:r w:rsidRPr="00C90932">
        <w:rPr>
          <w:u w:val="single"/>
        </w:rPr>
        <w:t>highlights how such temporal currents are lived in the present.</w:t>
      </w:r>
      <w:r w:rsidRPr="00C90932">
        <w:rPr>
          <w:sz w:val="16"/>
        </w:rPr>
        <w:t xml:space="preserve"> Specifically, Sharpe uses the multiple meanings of the term wake to consider how past violence continues to resurface in the lives of African Americans today and how </w:t>
      </w:r>
      <w:r w:rsidRPr="00C90932">
        <w:rPr>
          <w:u w:val="single"/>
        </w:rPr>
        <w:t>persistent forms of trauma and terror followed slave boats sailing across the Atlantic.</w:t>
      </w:r>
      <w:r w:rsidRPr="00C90932">
        <w:rPr>
          <w:sz w:val="16"/>
        </w:rPr>
        <w:t xml:space="preserve"> </w:t>
      </w:r>
      <w:r w:rsidRPr="00C90932">
        <w:rPr>
          <w:u w:val="single"/>
        </w:rPr>
        <w:t xml:space="preserve">The past that concerns Sharpe, in which some lives are </w:t>
      </w:r>
      <w:r w:rsidRPr="00C90932">
        <w:rPr>
          <w:b/>
          <w:bCs/>
          <w:u w:val="single"/>
        </w:rPr>
        <w:t>designated as ungrievable by law and made unlivable in practice</w:t>
      </w:r>
      <w:r w:rsidRPr="00C90932">
        <w:rPr>
          <w:u w:val="single"/>
        </w:rPr>
        <w:t>, is in fact never past.</w:t>
      </w:r>
      <w:r w:rsidRPr="00C90932">
        <w:rPr>
          <w:sz w:val="16"/>
        </w:rPr>
        <w:t xml:space="preserve"> Similar to Serres's understanding, in this context, too, the past "reappears, always, to rupture the present" (Sharpe 1016, 9). In the wake, </w:t>
      </w:r>
      <w:r w:rsidRPr="00C90932">
        <w:rPr>
          <w:b/>
          <w:bCs/>
          <w:u w:val="single"/>
        </w:rPr>
        <w:t>'the semiotics of the slave ship continue:</w:t>
      </w:r>
      <w:r w:rsidRPr="00C90932">
        <w:rPr>
          <w:u w:val="single"/>
        </w:rPr>
        <w:t xml:space="preserve"> from the forced movements of the enslaved to the forced movements of the migrant and the refugee, to the regulation of Black people in North American streecs and neighborhoods, to those ongoing crossings of and drownings in the Mediterranean Sea, to the brutal colonial reimaginings of the slave ship and the ark; to the reappearances ofthe slave ship in everyday life in the form of the prison, the camp, and the school" (2.1). Immigration and asylum policies and legal regimes also formalize and solidify traumatic ocean routes.</w:t>
      </w:r>
      <w:r w:rsidRPr="00C90932">
        <w:rPr>
          <w:sz w:val="16"/>
        </w:rPr>
        <w:t xml:space="preserve"> Following boats that carry migrants across the io • Johnson and Braverman 218-81190_ch01 IP.indd 10 6/26/19 4:56 PM Mediterranean and elsewhere, one finds dehumanizing legislation being forged in Europe, in the United States, and in Australia. In their wake, death tolls mount while the lives of survivors are displaced, suspended, and often made unlivable through detention and poverry (Lyons 2.018). </w:t>
      </w:r>
      <w:r w:rsidRPr="00C90932">
        <w:rPr>
          <w:u w:val="single"/>
        </w:rPr>
        <w:t>The connections between ocean and terrestrial policies are clearly visible in the use of off shore detention facilities, such as Australia's Christmas and Nauru Island camps</w:t>
      </w:r>
      <w:r w:rsidRPr="00C90932">
        <w:rPr>
          <w:sz w:val="16"/>
        </w:rPr>
        <w:t xml:space="preserve">. There, asylum seekers await justice with little recour.se to human rights laws (Coddington zoi8; Mountz and Loyd 1014; Welch 1014; Zeweri 2.017). Other violent pasts and toxic legacies also threaten to reemerge in the ocean. In Astrida Neimanis's chapter, "Held in Suspense," the potential rupture ot past into present haunts contemporary politics around the Baltic Sea. Following World War II, hundreds of thousands of tons of unused chemical warfare agents were dumped into the Gotland Deep. While contemporary legal regimes prohibit such dumping, at the time, this form ofwaste management was considered a safe and viable solution to the problem of disposing of unused munitions. The sea was viewed as a limitless repository, a blue hole inco which unwanted terrestrial things could simply be made to disappear. But the past has in fact not passed. What was dumped then is now resurfacing. Uncertainties around the severity and timing ofthe chemicals' reemergence, Neimanis finds, incapacitate legal resources so that matter and law are simukaneously "held in suspense." The problem is not a technical one, she emphasizes; it does not rest in the inability of science or the law to address the waste ofthe Gotland Deep. It is, rather, one ofresponse-ability (Haraway 1008). The turbulence of ocean histories and materialities thus forces a response to the violence ofpast, and present, displacements. Recognizing the complexity ofour potentially catastrophic ecological ftitures requires, in Neimanis's words, "that we must find ways to call ourselves to account, ro enact an ethics of curiosity and care, to do politics even ifwe know they are always incomplete." For Neimanis, even such incomplete attempts to alter the ecologically and politically degrading status quo are crucial ifwe are to work toward social and ecological justice. </w:t>
      </w:r>
      <w:r w:rsidRPr="00C90932">
        <w:rPr>
          <w:b/>
          <w:bCs/>
          <w:u w:val="single"/>
        </w:rPr>
        <w:t>A Sea of Lines and Laws</w:t>
      </w:r>
      <w:r w:rsidRPr="00C90932">
        <w:rPr>
          <w:u w:val="single"/>
        </w:rPr>
        <w:t xml:space="preserve"> Alongside the temporal distinctions,</w:t>
      </w:r>
      <w:r w:rsidRPr="00C90932">
        <w:rPr>
          <w:sz w:val="16"/>
        </w:rPr>
        <w:t xml:space="preserve"> other turbulent boundaries—such as those between land and sea, water and ice, and atmospheres and waves— threaten to upend the "static and binary divisions that so often characterize legal rhetoric" (Philip Steinberg, Berit Kristofferson, and Kristen Shake, this volume). While international law </w:t>
      </w:r>
      <w:r w:rsidRPr="00C90932">
        <w:rPr>
          <w:u w:val="single"/>
        </w:rPr>
        <w:t>attempts to account for the unique characteristics of the oceans</w:t>
      </w:r>
      <w:r w:rsidRPr="00C90932">
        <w:rPr>
          <w:sz w:val="16"/>
        </w:rPr>
        <w:t>, their fluid properties and countless indeterminacies Introduction • have resulted in claims tha.t oceans "resist inscription" (Boucquey et al.1016, 8). Still, myriad inscriptions—scientific,legal, and cultural—proliferateand overlap across ocean space, establishing, undoing, and redoing its boundaries. The 1982. UN Convention on theL aw of the Seas (</w:t>
      </w:r>
      <w:r w:rsidRPr="00C90932">
        <w:rPr>
          <w:u w:val="single"/>
        </w:rPr>
        <w:t>UNCLOs) is undoubtedly the most comprehensive contemporary inscription of ocean sovereignty, jurisdicrion, and use.</w:t>
      </w:r>
      <w:r w:rsidRPr="00C90932">
        <w:rPr>
          <w:sz w:val="16"/>
        </w:rPr>
        <w:t xml:space="preserve"> UNCLOS is a monumental treaty with ^zo articles divided into 17 parts that establish normative concepts, such as the 12,-mile territorial sea, the loo-mile Exclusive Economic Zone (EEz), the high seas, and the seabed and ocean floor beyond narional jurisdiction (or "the Area"). </w:t>
      </w:r>
      <w:r w:rsidRPr="00C90932">
        <w:rPr>
          <w:u w:val="single"/>
        </w:rPr>
        <w:t>Mapping the ocean into</w:t>
      </w:r>
      <w:r w:rsidRPr="00C90932">
        <w:rPr>
          <w:sz w:val="16"/>
        </w:rPr>
        <w:t xml:space="preserve"> these </w:t>
      </w:r>
      <w:r w:rsidRPr="00C90932">
        <w:rPr>
          <w:u w:val="single"/>
        </w:rPr>
        <w:t>multiple zones and jurisdictions, UNCLOS sketches the political geography of today’s oceans and sets up the normative framework that governs it.</w:t>
      </w:r>
      <w:r w:rsidRPr="00C90932">
        <w:rPr>
          <w:sz w:val="16"/>
        </w:rPr>
        <w:t xml:space="preserve"> </w:t>
      </w:r>
      <w:r w:rsidRPr="00C90932">
        <w:rPr>
          <w:u w:val="single"/>
        </w:rPr>
        <w:t>While it attempts to hold open legal space for oceanic indeterminacies, it simultaneously creates and fixes inscriptions across the seas. UNCLOS'S jurisdictional powers lie in its acknowledgment and ratification by territorial nation-states</w:t>
      </w:r>
      <w:r w:rsidRPr="00C90932">
        <w:rPr>
          <w:sz w:val="16"/>
        </w:rPr>
        <w:t xml:space="preserve">. In this sense, it is both reified and constrained by the legal and political powers that have created it. Under UNCLOS'S jurisdictional matrix, national sovereignty typically diminishes with increasing distance from land. While the nearshore territorial sea confers full national sovereignty over both the ocean's surface and water column and the ocean bed, the EEZ delineates a hybrid bundle of spatial rights and responsibilities farther offshore (Katherine Sammler, this volume). In that ico-mile-wide ribbon, coastal states maintain sovereign rights to pelagic and sessile resources while surface waters are international (UNCLOS, Articles 58 and 87). Yet farther offshore, beyond the EEZ, the ocean surface and the water column are referred to as the high seas." Here, freedom reigns as "No State may validly purport to subject any part ofrhe high seas to ks sovereignty" (UNCLOS, Article 89). Meanwhile, any national claims on the seabed beyond the EEZ (i.e., in "the Area") have been categorically invalidated by UNCLOS in an effort to protect it as a "common heritage of mankind" (UNCLOS, Article 156). British geographer Stephen Graham describes this way of governing as the "classical, modern formulation of Euclidean territorial units jostling for space on contiguous maps" (2.004, lo). Further attempting to reinforce UNCLOS'S role as protectorate of life, the U N is currently negotiating a new regulatory platform for the deep sea, with special emphasis on marine biodiversity and the expansion of marineprotected areas beyond narional jurisdiction (Payne 1017). Issues of conservation in the deep seabed have provoked a crisis in national sovereignty, invoking questions about how to transform a space previously characterized by freedom, with relatively limited regulation, into a space with enhanced protections for sea life and matter. ii • Johnson and Braverman 218-81190 ch01 IPindd 12 6/26/19 4:56 PM Notably, the Euclidian demarcation ofspace was integral co the hi.story of ocean governance well before the establishment ofthe UN and the ratification ofuNCLOS. The tremendous investment by early Western administrations in inscribing the seas is detailed in Zsofia Korosys chapter, "Whales and the Colonization ofthe Pacific Ocean." There, she shows how eighteenth-century </w:t>
      </w:r>
      <w:r w:rsidRPr="00C90932">
        <w:rPr>
          <w:u w:val="single"/>
        </w:rPr>
        <w:t>cartographic techniques demarcated spaces of sovereign legal authority in the seas</w:t>
      </w:r>
      <w:r w:rsidRPr="00C90932">
        <w:rPr>
          <w:sz w:val="16"/>
        </w:rPr>
        <w:t xml:space="preserve">. </w:t>
      </w:r>
      <w:r w:rsidRPr="00C90932">
        <w:rPr>
          <w:u w:val="single"/>
        </w:rPr>
        <w:t>Such eighteenth-century renderings of ocean space enabled colonial expansion on land as well</w:t>
      </w:r>
      <w:r w:rsidRPr="00C90932">
        <w:rPr>
          <w:sz w:val="16"/>
        </w:rPr>
        <w:t xml:space="preserve">. </w:t>
      </w:r>
      <w:r w:rsidRPr="00C90932">
        <w:rPr>
          <w:u w:val="single"/>
        </w:rPr>
        <w:t>By "allowing both seen and unseen spaces to be conceived as congruent wholes within defined boundaries,</w:t>
      </w:r>
      <w:r w:rsidRPr="00C90932">
        <w:rPr>
          <w:sz w:val="16"/>
        </w:rPr>
        <w:t xml:space="preserve">" Korosy writes, </w:t>
      </w:r>
      <w:r w:rsidRPr="00C90932">
        <w:rPr>
          <w:u w:val="single"/>
        </w:rPr>
        <w:t>cartographic representations of both sea and land legitimized colonial fantasize about sovereignty over terrestrial areas scarcely known. The violence that followed—perpetrated against ocean-dwelling whales and land-dwelling humans alike</w:t>
      </w:r>
      <w:r w:rsidRPr="00C90932">
        <w:rPr>
          <w:sz w:val="16"/>
        </w:rPr>
        <w:t>—</w:t>
      </w:r>
      <w:r w:rsidRPr="00C90932">
        <w:rPr>
          <w:u w:val="single"/>
        </w:rPr>
        <w:t>catalyzed new ways of viewing the land as a repository of resources to be extracted, used, and abused with legal authority.</w:t>
      </w:r>
      <w:r w:rsidRPr="00C90932">
        <w:rPr>
          <w:sz w:val="16"/>
        </w:rPr>
        <w:t xml:space="preserve"> The </w:t>
      </w:r>
      <w:r w:rsidRPr="00C90932">
        <w:rPr>
          <w:u w:val="single"/>
        </w:rPr>
        <w:t xml:space="preserve">methods of demarcation and geographical reasoning developed in the eighteenth century are just as central to ocean governance today. In their chapter, "Edges and Flows," Philip Steinberg, Berit KristofFersen, and Kristen Shake examine the mapping of Norway's icy northern waters. They describe how locating the ice's edge </w:t>
      </w:r>
      <w:r w:rsidRPr="00C90932">
        <w:rPr>
          <w:rStyle w:val="Emphasis"/>
        </w:rPr>
        <w:t>has become a practice of translating what is fluid and indeterminate into fixed and knowable borders</w:t>
      </w:r>
      <w:r w:rsidRPr="00C90932">
        <w:rPr>
          <w:u w:val="single"/>
        </w:rPr>
        <w:t xml:space="preserve">. As Steinberg and his coauthors show, legal reasoning intensifies and reifies cartographic inscriptions by insisting on "stable definitions and fixed distinctions." The project of ocean inscription thus creates, in their words, "a world of lines and laws." By defining the boundary between fluid and solid states, cartographers and legislators have effectively erased the physical indeterminacy office from the map, making the Arctic more governable for resource extraction. Just as Korosy's eighteenthcentury cartographers produced lines and laws to facilitate the extraction of fuel in the form of whale blubber, the Norwegian government has been remapping its border zone in order to expand oil extraction in the Arctic. Such practices in lines and laws reveal a mounting tension in ocean governance: on the one hand, the seas are configured as a global common; on the other hand, they are perceived as providing a repository of globally profitable commodities. </w:t>
      </w:r>
      <w:r w:rsidRPr="00C90932">
        <w:rPr>
          <w:sz w:val="16"/>
        </w:rPr>
        <w:t xml:space="preserve">This tension has long underpinned the establishment and negotiation ofmarine space and its correspondinglegalities (Snyder and St. Martin 1015). Few modern concepts have been as influential in stoking this tension— and for the development oflaw, political science, economics, or environmental studies in this context—asGarrett Hardin's "Tragedy of the Commons' (1968). Hardin's vision ofa depleted commons has dominated legal discussions about how to govern public spaces and has frequently been deployed in the Introduction concexr of marine resources (mainly fisheries) and marine pollution (Ranganathan 2.016). Global contributions to ocean waste and to the spread ofmicroplastics are often considered perfect examples of Hardin's tragedy. But as legal scholar Surabhi Ranganathan notes, conservation efforts that vilified common resource management in the seas have ended up sparking legislarion that dispossessed both indigenous and settler communities from critical resources. In other words, Hardin's concept inadvertently set the stage not for more sustainable management, but for more efficient extracrion (Ranganathan 1016; see also Locher 2.018; St. Martin 1009). The tension between resource protection and exploitation underpins many ofthe legal frameworks for ocean governance. The establishment and expansion of </w:t>
      </w:r>
      <w:r w:rsidRPr="00C90932">
        <w:rPr>
          <w:u w:val="single"/>
        </w:rPr>
        <w:t>the juridical continental shelf and the EEZ have been viewed as emblematic of this tension.</w:t>
      </w:r>
      <w:r w:rsidRPr="00C90932">
        <w:rPr>
          <w:sz w:val="16"/>
        </w:rPr>
        <w:t xml:space="preserve"> In 1945, former US president Harry Truman cripled the resource claims ofthe United States, thereby startingthe race for sovereign expansion (DeLoughrey 1015, 555). This was one ofthe first assertions ofexclusive jurisdktion beyond the traditional territorial seas. The post-1946 reasoning of the ocean constituted "the most dramadc change to global mapping since the post-World War II era of decolonization" (555). It is no wonder, then, that the </w:t>
      </w:r>
      <w:r w:rsidRPr="00C90932">
        <w:rPr>
          <w:u w:val="single"/>
        </w:rPr>
        <w:t>postwar ocean zones have been viewed as the ultimate symbol of the twentieth-century neocolonial scramble for the oceans</w:t>
      </w:r>
      <w:r w:rsidRPr="00C90932">
        <w:rPr>
          <w:sz w:val="16"/>
        </w:rPr>
        <w:t xml:space="preserve">. The development oftechnologies that enabled the exploitation ofminerals in the seabed in the 19605 intensified that scramble. Most nocable was the newfound ability to mine manganese nodules at the depths ofover three thousand meters (Harrison 1015,37). </w:t>
      </w:r>
      <w:r w:rsidRPr="00C90932">
        <w:t xml:space="preserve">The </w:t>
      </w:r>
      <w:r w:rsidRPr="00C90932">
        <w:rPr>
          <w:u w:val="single"/>
        </w:rPr>
        <w:t>rise of seabed mining in the twentieth century radically reshaped the ocean</w:t>
      </w:r>
      <w:r w:rsidRPr="00C90932">
        <w:t xml:space="preserve">: rather than being merely a "navigational surface or fishingcommons," the </w:t>
      </w:r>
      <w:r w:rsidRPr="00C90932">
        <w:rPr>
          <w:u w:val="single"/>
        </w:rPr>
        <w:t>seabed became a constellation of'places for fixed capital investment" (Ranganathan forthcoming)</w:t>
      </w:r>
      <w:r w:rsidRPr="00C90932">
        <w:t xml:space="preserve">. The </w:t>
      </w:r>
      <w:r w:rsidRPr="00C90932">
        <w:rPr>
          <w:u w:val="single"/>
        </w:rPr>
        <w:t>efforts to capitalize on minerals and fossil fuels beneath the seabed have been so rapid that they have triggered a legal revolution (</w:t>
      </w:r>
      <w:r w:rsidRPr="00C90932">
        <w:t xml:space="preserve">Harrison 2.015, 57). Ongoing technological advances allow developed countries to excavate the seabed, resulting in what developing countries have often referred to as neocolonial ocean grabs (Pinkerton and Davis 2.015; see also Ranganathan, forthcoming). In light of </w:t>
      </w:r>
      <w:r w:rsidRPr="00C90932">
        <w:rPr>
          <w:u w:val="single"/>
        </w:rPr>
        <w:t>these transformarions</w:t>
      </w:r>
      <w:r w:rsidRPr="00C90932">
        <w:t xml:space="preserve">, it is difficult to view the demarcations established </w:t>
      </w:r>
      <w:r w:rsidRPr="00C90932">
        <w:rPr>
          <w:u w:val="single"/>
        </w:rPr>
        <w:t>by UNCLOS</w:t>
      </w:r>
      <w:r w:rsidRPr="00C90932">
        <w:t xml:space="preserve">, and </w:t>
      </w:r>
      <w:r w:rsidRPr="00C90932">
        <w:rPr>
          <w:u w:val="single"/>
        </w:rPr>
        <w:t>promoted through other cartographic efforts</w:t>
      </w:r>
      <w:r w:rsidRPr="00C90932">
        <w:t>, as fixed and stable. Instead</w:t>
      </w:r>
      <w:r w:rsidRPr="00C90932">
        <w:rPr>
          <w:sz w:val="16"/>
        </w:rPr>
        <w:t xml:space="preserve">, </w:t>
      </w:r>
      <w:r w:rsidRPr="00C90932">
        <w:rPr>
          <w:u w:val="single"/>
        </w:rPr>
        <w:t>the oceans have become the latest Wild West—a frontier playground for exertions of national sovereignty and power that extend logics of land into sea</w:t>
      </w:r>
      <w:r w:rsidRPr="00C90932">
        <w:rPr>
          <w:sz w:val="16"/>
        </w:rPr>
        <w:t xml:space="preserve">. Beyond this scramble for existing territorial anchors to extend their reach through legislation, nation-states are now also extending the land itself into the ocean, with significant legal implications. Jennifer Gaynor's chapter in this i4 • Johnson and Braverman 218-81190 ch01 IPindd 14 6/26/19 4:56 PM volume shows, accordingly, how increasingstate capture and contestations over resource extracrion in Southeast Asia have driven island and coastal sraces to engage in massive terraforming projects. These projects ofsand redistribution stretch and transform legal distinctions between land and sea, and international court tribunals are called upon to adjudicate which landforms count as territory, with entitlements over adjacent waters, and which are merely rocks and sand. Clearly, then, there is much at stake when inscribing boundaries and binaries onto the sea and decisively distinguishing land from vvater. By historicizing and problematizing legal borders, this volume contribures to the telling ofmyriad ocean stories with the aim offurrheringprotective policies. Along these lines, Katherine Sammler's chapter, "Kauri and the Whale," studies the controversies over New Zealand's Foreshore and Seabed Acr of2.004, which has enabled the excraction ofseabed minerals. </w:t>
      </w:r>
      <w:r w:rsidRPr="00C90932">
        <w:rPr>
          <w:u w:val="single"/>
        </w:rPr>
        <w:t xml:space="preserve">This </w:t>
      </w:r>
      <w:r w:rsidRPr="00C90932">
        <w:rPr>
          <w:sz w:val="16"/>
        </w:rPr>
        <w:t xml:space="preserve">legislation </w:t>
      </w:r>
      <w:r w:rsidRPr="00C90932">
        <w:rPr>
          <w:u w:val="single"/>
        </w:rPr>
        <w:t>has generated much friction between two clashing worldviews: one embracing a Western land/sea binary, the other based in indigenous Maori tradition</w:t>
      </w:r>
      <w:r w:rsidRPr="00C90932">
        <w:t>s t</w:t>
      </w:r>
      <w:r w:rsidRPr="00C90932">
        <w:rPr>
          <w:sz w:val="16"/>
        </w:rPr>
        <w:t>hat assign holistic customary rights extending from mountains to sea. According to Sammler, i</w:t>
      </w:r>
      <w:r w:rsidRPr="00C90932">
        <w:rPr>
          <w:u w:val="single"/>
        </w:rPr>
        <w:t>ndigenous ontologies provide alternative ways of governing that challenge the essentialism of national sovereignty and that can better accommodate the fluidity of oceans.</w:t>
      </w:r>
      <w:r w:rsidRPr="00C90932">
        <w:rPr>
          <w:sz w:val="16"/>
        </w:rPr>
        <w:t xml:space="preserve"> Instead ofseeing the oceans as a fixed Euclidean space within which power is exercised, this worldview ushers in a "wet ontology" that allows for mobility within and between noveljurisdiccions (Steinbergand Peters 1015). </w:t>
      </w:r>
      <w:r w:rsidRPr="00C90932">
        <w:rPr>
          <w:u w:val="single"/>
        </w:rPr>
        <w:t>Such a wet ontology would</w:t>
      </w:r>
      <w:r w:rsidRPr="00C90932">
        <w:rPr>
          <w:sz w:val="16"/>
        </w:rPr>
        <w:t xml:space="preserve"> arguably diversify and </w:t>
      </w:r>
      <w:r w:rsidRPr="00C90932">
        <w:rPr>
          <w:u w:val="single"/>
        </w:rPr>
        <w:t>expand the potential for "postcapitalist waterworlds," supporting efforts to decolonize the seas (</w:t>
      </w:r>
      <w:r w:rsidRPr="00C90932">
        <w:rPr>
          <w:sz w:val="16"/>
        </w:rPr>
        <w:t>DeLoughrey 1015,559; see also St. Martin 2.009). Governing with More-Than-Human Sea Creatures</w:t>
      </w:r>
    </w:p>
    <w:p w14:paraId="1E1CE2D0" w14:textId="77777777" w:rsidR="00655623" w:rsidRPr="00C90932" w:rsidRDefault="00655623" w:rsidP="00C90932">
      <w:pPr>
        <w:pStyle w:val="Heading3"/>
        <w:rPr>
          <w:rFonts w:cs="Calibri"/>
        </w:rPr>
      </w:pPr>
      <w:r w:rsidRPr="00C90932">
        <w:rPr>
          <w:rFonts w:cs="Calibri"/>
        </w:rPr>
        <w:t xml:space="preserve">1NC – Blue Economy </w:t>
      </w:r>
    </w:p>
    <w:p w14:paraId="5535F7D7" w14:textId="34568D31" w:rsidR="00655623" w:rsidRPr="00C90932" w:rsidRDefault="00655623" w:rsidP="00C90932">
      <w:pPr>
        <w:pStyle w:val="Heading4"/>
        <w:rPr>
          <w:rStyle w:val="Style13ptBold"/>
          <w:rFonts w:cs="Calibri"/>
        </w:rPr>
      </w:pPr>
      <w:r w:rsidRPr="00C90932">
        <w:rPr>
          <w:rFonts w:cs="Calibri"/>
        </w:rPr>
        <w:t xml:space="preserve">The emergence of the Blue Economy serves to further hegemonic zones of control through the promotion of colonial extractivist logics and capital accumulation which mirror the extraction of blue pigments. In this way – </w:t>
      </w:r>
      <w:r w:rsidR="00340BD1" w:rsidRPr="00C90932">
        <w:rPr>
          <w:rFonts w:cs="Calibri"/>
        </w:rPr>
        <w:t>The plans</w:t>
      </w:r>
      <w:r w:rsidRPr="00C90932">
        <w:rPr>
          <w:rFonts w:cs="Calibri"/>
        </w:rPr>
        <w:t xml:space="preserve"> promotion of the extraction of oceanic resources reifies colonial blue desires</w:t>
      </w:r>
      <w:r w:rsidRPr="00C90932">
        <w:rPr>
          <w:rStyle w:val="Style13ptBold"/>
          <w:rFonts w:cs="Calibri"/>
          <w:sz w:val="22"/>
        </w:rPr>
        <w:t>.</w:t>
      </w:r>
      <w:r w:rsidRPr="00C90932">
        <w:rPr>
          <w:rStyle w:val="Style13ptBold"/>
          <w:rFonts w:cs="Calibri"/>
        </w:rPr>
        <w:t xml:space="preserve">                                                                                                                  </w:t>
      </w:r>
    </w:p>
    <w:p w14:paraId="1271C861" w14:textId="5BD1B487" w:rsidR="00655623" w:rsidRPr="00C90932" w:rsidRDefault="00655623" w:rsidP="00C90932">
      <w:r w:rsidRPr="00C90932">
        <w:rPr>
          <w:rStyle w:val="Style13ptBold"/>
        </w:rPr>
        <w:t>Schutter et al 21</w:t>
      </w:r>
      <w:r w:rsidRPr="00C90932">
        <w:t xml:space="preserve"> [</w:t>
      </w:r>
      <w:r w:rsidR="00E177C7">
        <w:t xml:space="preserve">Marleen S. Schutter, Scientist at WorldFish and Ocean Nexus, University of Washington, PhD, Lancaster Environment Centre, Lancaster University; Christina C. Hicks, Professor, Lancaster Environment Centre, Lancaster University, PhD, ARC Centre of Excellence for Coral Reef Studies, James Cook University; Jacob Phelps, Senior Lecturer in Tropical Environmental Change and Policy, Lancaster Environment Centre, Lancaster University, PhD, National University of Singapore; Claire Waterton, </w:t>
      </w:r>
      <w:r w:rsidR="00D35D90">
        <w:t xml:space="preserve">Professor Emerita of Sociology, Lancaster University, </w:t>
      </w:r>
      <w:r w:rsidRPr="00C90932">
        <w:t xml:space="preserve">“The blue economy as a boundary object for hegemony across scales,” </w:t>
      </w:r>
      <w:r w:rsidR="00D35D90">
        <w:t>Marine Policy 132, October 2021</w:t>
      </w:r>
      <w:r w:rsidRPr="00C90932">
        <w:t xml:space="preserve">, </w:t>
      </w:r>
      <w:r w:rsidR="00D35D90">
        <w:t>https://doi.org/10.1016/j.marpol.2021.104673] // Micah</w:t>
      </w:r>
    </w:p>
    <w:p w14:paraId="3220D97A" w14:textId="77777777" w:rsidR="00655623" w:rsidRPr="00C90932" w:rsidRDefault="00655623" w:rsidP="00C90932">
      <w:pPr>
        <w:rPr>
          <w:sz w:val="16"/>
        </w:rPr>
      </w:pPr>
      <w:r w:rsidRPr="00C90932">
        <w:rPr>
          <w:u w:val="single"/>
        </w:rPr>
        <w:t>The blue economy is an emerging concept that has been heralded as a new approach to ocean governance, and refers to a broad set of policies aiming to support ocean-based economic activities that provide simul taneous improvements for economic, social, and environmental out comes [</w:t>
      </w:r>
      <w:r w:rsidRPr="00C90932">
        <w:rPr>
          <w:sz w:val="14"/>
        </w:rPr>
        <w:t xml:space="preserve">1]. Even as the idea of the blue economy has gained popularity, it is not very well understood and is contested in (inter)national arenas [1,2]. The versatility of the concept means that some advocates are using it to describe oceans as economic frontiers, whereas others emphasise the ocean’s unique biodiversity that needs to be protected e.g. [3–5]. This has led to many different interpretations and definitions of the concept, from a variety of different actors. The blue economy has such ambiguity that it can be difficult to specify its influence on policy and practice. Business and economic-growth focused interpretations of the blue economy – often propagated by economically powerful states and in dustry – emphasise innovation, entrepreneurship, and close collabora tion with the private sector, paralleling approaches common in its terrestrial counterpart, the green economy [1,2]. It also holds the same optimistic belief in growing the economy and protecting the environ ment simultaneously, which has been argued to obscure trade-offs in favour of supposed win-win outcomes [6,7]. As such, blue and green economy share a foundation in ecological modernisation thinking, * Correspondence to: Jalan Batu Maung, 11960 Bayan Lepas, Pulau Pinang, Malaysia. E-mail address: m.schutter@cgiar.org (M.S. Schutter). 1 Present address: WorldFish, Jalan Batu Maung, 11960 Bayan Lepas, Pulau Pinang, Malaysia. 2 Present address: Nippon Foundation Ocean Nexus Center, University of Washington EarthLab, 909 Boat Street, Seattle, WA 98105, United States. Contents lists available at ScienceDirect Marine Policy journal homepage: www.elsevier.com/locate/marpol https://doi.org/10.1016/j.marpol.2021.104673 Received 18 March 2021; Received in revised form 23 June 2021; Accepted 25 June 2021 Marine Policy 132 (2021) 104673 2 whereby economic growth and environmental protection can go hand-in-hand through incorporation of environmental issues into mar kets [8–10]. By proposing that win-win outcomes are achievable through “modernising modernity” [10] and reliance on technology and innovation, ecological modernisation has been argued to further pro mote a profit and growth paradigm, obstructing the </w:t>
      </w:r>
      <w:r w:rsidRPr="00C90932">
        <w:rPr>
          <w:u w:val="single"/>
        </w:rPr>
        <w:t>fundamental change required to achieve actual sustainability [7,11,12]. Indeed, blue economy discourse asserts that “since a large proportion of marine resources is believed to have remained untapped or unexplored [.] future growth will be contingent on the efficient utilisation of those rich ocean resources” [13].</w:t>
      </w:r>
      <w:r w:rsidRPr="00C90932">
        <w:rPr>
          <w:sz w:val="14"/>
        </w:rPr>
        <w:t xml:space="preserve"> Specific untapped or unexplored ocean resources that have received recent attention are oil and gas and deep sea minerals [14]. It remains unclear how a concept that has received considerable critique and struggles with seemingly paradoxical aims, still remains dominant in contemporary seascapes. How do proponents of the concept maintain and employ power to keep the blue economy relevant, and how does the reconfiguration of oceans as economic frontiers contribute to this power? Drawing on insights from neo-Gramscian theory, com bined with a focus on local power relations, we explore how the blue economy gains influence, and what the power of the increasingly hegemonic blue modernisation narrative enables or constrains. We first examine how </w:t>
      </w:r>
      <w:r w:rsidRPr="00C90932">
        <w:rPr>
          <w:u w:val="single"/>
        </w:rPr>
        <w:t>the blue economy as a concept serves to maintain hegemony,</w:t>
      </w:r>
      <w:r w:rsidRPr="00C90932">
        <w:rPr>
          <w:sz w:val="16"/>
        </w:rPr>
        <w:t xml:space="preserve"> and then focus on how social interactions in national governance settings contribute to maintaining a consensual power dynamic. 1.1. Conceptual framework Both at the global stage and in national governance settings, the blue economy has the status of a boundary object. Boundary objects are con cepts that can be applied in a structured way in specific situations, but are also versatile enough to appeal to many different actors as an idea [15]. They frequently occur in environmental governance, taking the shape of e.g. resilience, natural capital, ecosystem services or green infrastructure [16–19]. These kinds of concepts, which have a strong degree of plasticity in their meaning, take on the role of bridging boundaries – that is, they facilitate cooperation between different social worlds [16,20]. The blue economy, with an interest in economic, social, and envi ronmental issues simultaneously, </w:t>
      </w:r>
      <w:r w:rsidRPr="00C90932">
        <w:rPr>
          <w:sz w:val="14"/>
        </w:rPr>
        <w:t xml:space="preserve">benefits from being a broad concept, finding supporters in different arenas e.g. [6,16,23,24]. However, as a concept, the blue economy – like many classical boundary objects – navigates a thin line between being versatile and inhibiting explicit discussions about incompatible interpretations [23]. Whilst boundary objects “allow different groups to work together without consensus” [20], for the blue economy this also means that its status as a boundary object allows it to appear apolitical. It seems apolitical because, through its very plasticity, it can stifle debate around the difficult choices and trade-offs that can be made between the three different dimensions of the blue economy. Yet, this vagueness that obscures choices does not automatically mean that the concept as a representation is not useful [20], or that it is not making things happen. Boundary objects can become a source of power when they serve to create a ‘common sense’ in which conflicting interests are resolved rhetorically [24]. We adopt the Gramscian concepts of passive revolution and hegemony, because they offer a useful approach to studying how challenges to dominant economic systems are neutralised and absorbed [7]. Hegemony refers to the non-coercive power of the ruling class to secure their position through ideology as common sense [25], and has recently received attention in political ecology to explore the role of ideology in shaping </w:t>
      </w:r>
      <w:r w:rsidRPr="00C90932">
        <w:rPr>
          <w:sz w:val="10"/>
        </w:rPr>
        <w:t xml:space="preserve">environmental governance and practices [26]. It is no coincidence that conceptualizations of human-nature relationships play an important role in maintaining the hegemony of capitalism: indeed, it has been argued that the ability to achieve hegemony relies on the proposed approaches to environmental governance [27]. </w:t>
      </w:r>
      <w:r w:rsidRPr="00C90932">
        <w:rPr>
          <w:u w:val="single"/>
        </w:rPr>
        <w:t>In</w:t>
      </w:r>
      <w:r w:rsidRPr="00C90932">
        <w:rPr>
          <w:sz w:val="10"/>
        </w:rPr>
        <w:t xml:space="preserve"> green and </w:t>
      </w:r>
      <w:r w:rsidRPr="00C90932">
        <w:rPr>
          <w:u w:val="single"/>
        </w:rPr>
        <w:t>blue economy approaches, the argument of win-win situations has worked to neutralise arguments about limits to growth</w:t>
      </w:r>
      <w:r w:rsidRPr="00C90932">
        <w:rPr>
          <w:sz w:val="10"/>
        </w:rPr>
        <w:t>, muddying trade-offs be tween economic and environmental sustainability</w:t>
      </w:r>
      <w:r w:rsidRPr="00C90932">
        <w:rPr>
          <w:u w:val="single"/>
        </w:rPr>
        <w:t>. As such</w:t>
      </w:r>
      <w:r w:rsidRPr="00C90932">
        <w:rPr>
          <w:sz w:val="10"/>
        </w:rPr>
        <w:t xml:space="preserve">, capitalist </w:t>
      </w:r>
      <w:r w:rsidRPr="00C90932">
        <w:rPr>
          <w:u w:val="single"/>
        </w:rPr>
        <w:t>hegemony is maintained, allowing for continued and even accelerated exploitation of what is now called natural capital</w:t>
      </w:r>
      <w:r w:rsidRPr="00C90932">
        <w:rPr>
          <w:sz w:val="10"/>
        </w:rPr>
        <w:t xml:space="preserve"> [7]. Key to the concept of passive revolution is the influence of international support forged by powerful states, which places less powerful states on the receiving end of developments and ideas from other countries [24]. These less powerful states subsequently incorporate aspects from the hegemonic model, which facilitates the expansion of its ideology [28]. What constitutes ‘the state’ is increasingly expanded to include international civil society, in which a transnational system of production and financial institutions such as the World Bank and the IMF play an important role in global hegemony [24,28]. The blue economy can be seen as a new iteration of the passive revolution facilitated by the green economy, in which the hegemony of capitalism is further embedded into oceans. </w:t>
      </w:r>
      <w:r w:rsidRPr="00C90932">
        <w:rPr>
          <w:u w:val="single"/>
        </w:rPr>
        <w:t>Oceans, more than terrestrial ecosystems, are often conceptualised as placeless</w:t>
      </w:r>
      <w:r w:rsidRPr="00C90932">
        <w:rPr>
          <w:sz w:val="10"/>
        </w:rPr>
        <w:t xml:space="preserve">, regarded from land as ‘out there’ [29]. This has led to images of oceans as dangerous and chaotic areas of wilderness, </w:t>
      </w:r>
      <w:r w:rsidRPr="00C90932">
        <w:rPr>
          <w:u w:val="single"/>
        </w:rPr>
        <w:t>frontiers to conquer,</w:t>
      </w:r>
      <w:r w:rsidRPr="00C90932">
        <w:rPr>
          <w:sz w:val="10"/>
        </w:rPr>
        <w:t xml:space="preserve"> or as places to traverse [30]. A view of oceans as separate from land, and humans, is instrumental in blue modernisation: maintaining modernity’s separa tion of humans and nature, </w:t>
      </w:r>
      <w:r w:rsidRPr="00C90932">
        <w:rPr>
          <w:u w:val="single"/>
        </w:rPr>
        <w:t>reconfiguring ocean spaces into new and contested territories that are simultaneously new economic frontiers and areas of enclosure</w:t>
      </w:r>
      <w:r w:rsidRPr="00C90932">
        <w:rPr>
          <w:sz w:val="10"/>
        </w:rPr>
        <w:t xml:space="preserve"> [30,31]. In doing so, the emergence </w:t>
      </w:r>
      <w:r w:rsidRPr="00C90932">
        <w:rPr>
          <w:u w:val="single"/>
        </w:rPr>
        <w:t>of the blue economy has been observed to facilitate continued capital accumulation [32]</w:t>
      </w:r>
      <w:r w:rsidRPr="00C90932">
        <w:rPr>
          <w:sz w:val="10"/>
        </w:rPr>
        <w:t xml:space="preserve"> </w:t>
      </w:r>
      <w:r w:rsidRPr="00C90932">
        <w:rPr>
          <w:u w:val="single"/>
        </w:rPr>
        <w:t>by offering technology and innovation as a way out of frictions and conflicting interests caused by the territorialisation process of</w:t>
      </w:r>
      <w:r w:rsidRPr="00C90932">
        <w:rPr>
          <w:sz w:val="10"/>
        </w:rPr>
        <w:t xml:space="preserve"> the United Nations Convention on the Law of the Sea (</w:t>
      </w:r>
      <w:r w:rsidRPr="00C90932">
        <w:rPr>
          <w:u w:val="single"/>
        </w:rPr>
        <w:t>UNCLOS</w:t>
      </w:r>
      <w:r w:rsidRPr="00C90932">
        <w:rPr>
          <w:sz w:val="14"/>
        </w:rPr>
        <w:t>) [33]. However, at the national level, more is needed than a hegemonic ideology in order to steer conduct, which is why combining neoGramscian thinking with a focus on power in social interactions can be useful [34]. The blue economy internationally has attracted atten tion, and the governments of countries like Seychelles have aligned themselves closely with the idea. However, in order to open up the process of negotiating power relations, it is necessary to acknowledge that power in environmental governance is not just about state coercion, and rather about “who gets what, when, and how” [35]. In order to explore this power through social agency, a closer look is needed at the specific context and social relations within national environmental governance [34]. Power can therefore be approached as something that is productive: rather than being something that can be accumulated, it is making things happen and can be traced as such [35]. 2. Material and methods 2.1</w:t>
      </w:r>
      <w:r w:rsidRPr="00C90932">
        <w:rPr>
          <w:sz w:val="10"/>
          <w:szCs w:val="10"/>
        </w:rPr>
        <w:t xml:space="preserve">. Study site Seychelles has been a pioneer in promoting the blue economy in national and international contexts, most prominently through former president James Michel, who continued the agenda-setting work of Seychelles’ Ministry of Foreign Affairs since 2011 [36]. The emergence of the concept was accompanied by the formation of a Blue Economy Department [37], with jobs and events and a communication strategy that is currently being drafted. In addition, the blue economy and its focus on innovation and entrepreneurship has inspired new ways of finance. The first oceanic debt-for-nature swap took place in Seychelles [38,39] and has resulted in the creation of the Seychelles Conservation and Climate Adaptation Trust (SeyCCAT), whose goal is to “competi tively grant at least US$ 750,000 per annum [or 0.044% of 2018 GDP [40]] to support the stewardship of Seychelles’ ocean resources, island life and blue economy” [41]. Within this context, human use of ecosystem services informs the Marine Spatial Plan (MSP), which in volves stakeholder consultations to identify and map potential benefits from the different zones in the Seychelles Exclusive Economic Zone (EEZ). These served as layers in the spatial planning process that resulted in the designation of different marine zones (highly protected, M.S. Schutter et al. Marine Policy 132 (2021) 104673 3 medium protected and sustainable use, and multiple use zones) [42]. Seychelles’ political economy has recently undergone considerable neoliberal restructuring as a democratic state, emerged from a previ ously socialist country with a largely closed economy [43]. These changes have been particularly pronounced in the Seychelles approach to marine governance, which has been reoriented to enthusiastically engage with the blue economy [1,44]. Marine environmental gover nance has seen an increased reliance on non-governmental organisations (NGOs) for practical implementation and monitoring, especially after a structural adjustment intervention by the International Monetary Fund in 2008, which necessitated cuts in government spending [45]. 2.2. Interview approach The lead author conducted face-to-face semi-structured interviews with 29 people in roles of formal decision-making across the fisheries sector, economic development and tourism sector, the conservation and environment sector, and specific blue economy institutions (Table 1). Sampling followed a snowballing approach to connect to as many actors as possible involved in policy and practice around the blue economy in Seychelles. The interviews took place in the context of a larger project, during which the lead author spent a total of 4 months in Seychelles, and which included 130 household interviews and 50 resource user in terviews. Therefore, data collection followed a mixed methods approach, consisting of observations and impressions from the field in addition to the 29 interviews. Most interviews took place in the respondents’ places of work, of fering an opportunity to obtain more contextual information. Perhaps unsurprisingly in a small country like Seychelles, ministries, de partments and NGOs are run by small groups of people. It was common for government departments to only consist of 3–5 people, and re spondents expressed difficulties finding enough human resources to run their affairs, further complicated by a constant flux of personnel changes. The small scale of governance also made it possible to easily access actors at relatively high levels of organisations, such as principal secretaries and directors. In addition to shortages in personnel, organi sations face financial constraints. Reduced government budgets after the austerity measures in 2008 mean that (international) environmental NGOs have come to play a large role in environmental governance, through their own agenda-setting work, and by representing interests of their funding sources. One example of such involvement is the role that The Nature Conservancy played in the development of the debt-fornature swap. This prominent role of predominantly environmental NGOs seems logical when considering their financial clout vis-a-vis ` </w:t>
      </w:r>
      <w:r w:rsidRPr="00C90932">
        <w:rPr>
          <w:sz w:val="14"/>
        </w:rPr>
        <w:t xml:space="preserve">that of Seychelles’ government, as well as their access to (academic) knowledge through international networks. Their role is also reflected in the sectoral distribution of our interviews: fewer NGOs in the economic development and tourism sector, combined with limited government capacity, made it more challenging to find respondents. This distribution could mean that more critical voices are reflected in our respondent pool, and that supportive voices from the economic development sector are underrepresented. Interviews were recorded and transcribed, and together with observational notes from meetings, presentations and discussions coded into emergent themes. These were themes that linked both to </w:t>
      </w:r>
      <w:r w:rsidRPr="00C90932">
        <w:rPr>
          <w:u w:val="single"/>
        </w:rPr>
        <w:t>power of the blue economy as a representation of hegemonic ideology</w:t>
      </w:r>
      <w:r w:rsidRPr="00C90932">
        <w:rPr>
          <w:sz w:val="14"/>
        </w:rPr>
        <w:t xml:space="preserve">, and its translation into on-the-ground interactions that determine imple mentation outcomes (i.e., the negotiation of power in social in teractions). Emergent themes were analysed to explore how actors viewed the blue economy concept in an international context, and how they perceived Seychelles to play a role in international discourse. We further zoomed in on the process by which Seychelles aligned with the concept, and considered how this alignment was influenced by the power of international hegemony but also facilitated Seychelles to carve out a role for itself as a pioneer, gaining attention in the process. In addition, the data were analysed for themes that gave insight into local processes of decision making. We were mostly interested in tracing so cial interactions, therefore we focused on data that spoke about re spondents’ relationships with others, and their interaction in fora such as the MSP process. The lead author’s positionality inevitably influenced data collection and analysis. As a researcher from a high-income country in the global north, it was possible to navigate between different spaces of power, gaining access to actors on different sides of the emerging debates. During the interviews, it became evident that many of the actors were engaging in unique conversations, and shared more with the researcher than they would have with their peers. This dynamic created a mutual opportunity: as a researcher, the lead author was able to collect data, and the respondents were able to promote their views. The timing of the interviews (in 2017–2019) had a positive impact on this access, as blue economy policy-making was still in the early stages of articulating its aims and meanings. Although political tensions were present, they were less pressing than they later became, when elections were approaching, and implementation of the blue economy began to be more evident. 3. Results and discussion It is clear that the blue economy concept is maintained as influential by persuasion rather than coercive force, through the use of the concept as a way to rationalise governance and achieve economic, environ mental and social goals at once [31,32]. Here, we respond to calls for attention to the social relations that play a role in changing people’s subjectivities and relationships with the oceans and that maintain the blue economy concept on the ground [32]. We found that, despite literature describing a sense that there are critical voices as Seychelles is shaping the blue economy [44], there is a lack of public dissent on the ground. Common themes that emerged from interviews and observa tions were: the pervasive role of an international concept that supports the visibility and influence of Seychelles; the function of the boundary object status in obscuring trade-offs and facilitating depoliticisation and communication; and related to that, consensus on the phrase (the term blue economy is used widely) but not on its content, which shows a simmering discontent that is expressed only privately. As a result, the concept, having achieved hegemonic status on the international stage through its persuasive and all-encompassing character (the promise of triple wins), persists as influential in decision-making at the national stage. 3.1. The blue economy as negotiation for power The emergence of the blue economy as a powerful narrative cannot be seen in isolation from interstate politics, achieving its power through persuasion and consent rather than coercion, leading to hegemony of ideas [24,25]. Consent is achieved through absorbing challenges to the dominant socio-economic order by providing an attractive and inter nationally supported alternative narrative. The adoption of </w:t>
      </w:r>
      <w:r w:rsidRPr="00C90932">
        <w:rPr>
          <w:u w:val="single"/>
        </w:rPr>
        <w:t>the blue economy</w:t>
      </w:r>
      <w:r w:rsidRPr="00C90932">
        <w:rPr>
          <w:sz w:val="14"/>
        </w:rPr>
        <w:t xml:space="preserve"> as a new conceptualisation of the ocean as a (sustainable) development space was thus expressed in Seychelles: “The blue econ omy [...] </w:t>
      </w:r>
      <w:r w:rsidRPr="00C90932">
        <w:rPr>
          <w:u w:val="single"/>
        </w:rPr>
        <w:t xml:space="preserve">embraces </w:t>
      </w:r>
      <w:r w:rsidRPr="00C90932">
        <w:rPr>
          <w:sz w:val="14"/>
        </w:rPr>
        <w:t xml:space="preserve">the vista of untapped potential that is available through enhanced exploration and sustainable </w:t>
      </w:r>
      <w:r w:rsidRPr="00C90932">
        <w:rPr>
          <w:u w:val="single"/>
        </w:rPr>
        <w:t>exploitation of our oceanic spaces”</w:t>
      </w:r>
      <w:r w:rsidRPr="00C90932">
        <w:rPr>
          <w:sz w:val="14"/>
        </w:rPr>
        <w:t xml:space="preserve"> [46]. As such, </w:t>
      </w:r>
      <w:r w:rsidRPr="00C90932">
        <w:rPr>
          <w:u w:val="single"/>
        </w:rPr>
        <w:t xml:space="preserve">the blue economy offers a way to align oneself with the hegemonic core, incorporating a blue modernisation </w:t>
      </w:r>
      <w:r w:rsidRPr="00C90932">
        <w:rPr>
          <w:sz w:val="14"/>
        </w:rPr>
        <w:t xml:space="preserve">Table 1 Number and distribution of interviews across sectors. Sector Number of interviewees Fisheries 7 Economic Development &amp; Tourism 5 Conservation &amp; Environment 8 Blue Economy 9 Total 29 M.S. Schutter et al. Marine Policy 132 (2021) 104673 4 </w:t>
      </w:r>
      <w:r w:rsidRPr="00C90932">
        <w:rPr>
          <w:u w:val="single"/>
        </w:rPr>
        <w:t>narrative that supports the maintenance and expansion of global eco nomic growth</w:t>
      </w:r>
      <w:r w:rsidRPr="00C90932">
        <w:rPr>
          <w:sz w:val="14"/>
        </w:rPr>
        <w:t xml:space="preserve"> </w:t>
      </w:r>
      <w:r w:rsidRPr="00C90932">
        <w:rPr>
          <w:sz w:val="10"/>
        </w:rPr>
        <w:t xml:space="preserve">[26]. In international arenas, Seychelles and other countries aligned with the blue economy concept speak with a voice of enthusiastic support for “transforming oceanic spaces into development spaces” [47]. The blue economy has become an important project to be associated with, providing legitimacy and relevance at the international stage and opportunities for ‘innovative finance’. The concept has become further established as hegemonic by the promise of triple wins and its presentation as a logical and rational approach. Respondents commonly mentioned that interest in the sus tainability of the oceans seemed to be de rigeur at the moment and that it seemed logical to jump on the bandwagon: a government representative in the environment sector said that “[…] right now there is a lot of in terest in ocean matters, it seems like the resources are going towards those things.”3 Thus, consensus is created, which has been argued before to serve hegemony when people “come to accept the hegemonic project as their own even though in critical terms the project serves to reproduce the dominance of the ruling elite.” [34]. Power thus does not rely on coercion but on consent, and the ‘common sense’ created by interna tional blue economy discourse relies heavily on presenting the blue economy as a rational and modern way of environmental governance. As such, the term carries agency, as local actors feel </w:t>
      </w:r>
      <w:r w:rsidRPr="00C90932">
        <w:rPr>
          <w:sz w:val="6"/>
          <w:szCs w:val="6"/>
        </w:rPr>
        <w:t>compelled to use it and perpetuate the discourse: “Even my [strategic document] talks about the blue economy, but if somebody comes and does a review and asks me “what have you done with the blue economy?”, I would have to scratch my head and say I’ll get back to you. And then I have to go and see what we have done and try and get a link with the blue economy, stretch it to the limit.”4 This seemingly pragmatic adoption of the concept leads to the tacit consent that is a key component of Gramsci’s passive revolu tion: the stimulus to incorporate this new approach to ocean governance comes from growing international support which has the power to “transmit their ideological currents” into national governance settings, where they work to prevent radical change [24]. The power of global capitalism is further solidified by the ‘opening up’ of national economies and interventions such as structural adjustment programmes [48], both of which have taken place in Seychelles. 3.2. The importance of the blue economy at an international stage Not only is the blue economy presented as common sense, but it is perceived as actively serving Seychelles’ geopolitical interests. Through its weight on the international stage, countries that embrace the blue economy concept find themselves at the centre of a new wave of ocean governance. For Seychelles, the concept has meant increased interna tional attention, an opportunity to present itself as a pioneer on a global stage, and in doing so gain influence and draw in finance [44]. The blue economy has put Seychelles on the agenda, as evidenced by mentions from the World Bank, and the Commonwealth e.g. [49,50], as well as by recurring themes during interviews. Interviewees mentioned that “Government will say that the MSP, SeyCCAT and the debt swap are all part of the larger blue economy agenda, but what the blue economy is mostly doing is raising the profile of Seychelles.” 5 One senior IGO representative said that “Everyone is talking about it; it is good PR”, 6 indicating both the sheer volume of blue economy ideas being promoted and the sense that the concept is useful – it carries outwork (delivering good public relations) for those that use it. In addition, the blue economy appeals because of the promise of a new source of income: “It shows that it can bring in money”. 7 Bringing in money is important in Seychelles, because despite the country’s graduation from a developing state into a high-income country, Seychelles is still vulnerable to external environ mental and economic shocks [51]. By embracing the blue economy concept early and enthusiastically, Seychelles has also positioned itself as a site of blue economy lobbying for external actors. The country has been a location for pioneering and showcasing innovative finance promoted by the World Bank through their Blue Bonds [52]. Within the blue bonds context, Seychelles offers impact investment opportunities to investors and an opportunity for the World Bank to publicise their development philosophy. Other actors lobbying for a blue economy agenda in Seychelles are (international) environmental NGOs. Embracing the concept of natural capital, the blue economy offers new opportunities for NGOs to engage with the private sector. This is evident from the use of the Seychelles case as a ‘proof of concept’ for marine debt-for-nature swaps [39]. In addition to agenda-setting and financial opportunities, engaging with the blue economy can also offer international actors an opportunity to expand the legitimacy of various ocean-based sectors [53]. Particularly the tuna industry – an important economic pillar in Seychelles but also one that struggles with the paradoxical aims of sustainability and economic growth [54] – can benefit from the capacity of the blue economy concept to absorb these challenges and lend a ‘sustainable’ image to the industry. Considering the role that fleets from the European Union play in West ern Indian Ocean fisheries, it seems fitting that the EU’s blue growth innovation strategy tends to favour the growth potential of industrial fisheries over sustenance of small-scale fisheries [55]. The power of persuasion and the benefits that the blue economy offers in terms of influence and income has meant geopolitical compe tition between states. Other countries were mentioned as competitors in the blue economy context, for instance Kenya: “Seychelles is the blue economy champion of Africa, yet Kenya is now pulling the lead in a position paper for the African Union. Kenya is now able to hijack the conversation.”8 The importance of maintaining the status of pioneer and champion of the concept was also mentioned: “Maybe it’s part of the whole competitive thing, that we have to keep this blue economy, because it keeps you relevant, it keeps your activities in view of every body else and then they still engage with you.”9 The blue economy has come to play an important role in Seychelles ‘Creole diplomacy’ and is seen as instrumental for successful foreign policy [36]. As a result, actors that are enrolled in the now hegemonic project are actively working to maintain it, as the ties to this internationally successful project have become instrumental in maintaining (perceived) geopolitical influence. 3.3. Maintaining consensus on the ground In 2015, the blue economy became institutionalised in Seychelles as a department under the Ministry of Finance, Trade and the Blue Econ omy, aiming to coordinate all ocean-related activities of other de partments and ministries [37]. This aim articulates the potential of the blue economy as a boundary object, allowing different departments to coalesce. The blue economy’s status as a boundary object enables widespread adoption and acceptance, despite (or perhaps due to) the absence of a clear definition of the term. The most common theme encountered in interviews was the lack of clarity on what the blue economy actually is. One senior Intergovernmental Organisation (IGO) interviewee stated that “it is not very clear what they mean. It is an amorphous concept”. 10 A local resident expressed this by stating “I don’t think anybody knows fully what it means”. 11This ambiguity in the concept works to muddy contradictions inherent to capitalist expansion, 3 Government representative. Interview 13.06.2018, Victoria, Seychelles. 4 IGO representative. Interview 08.06.2018, Victoria, Seychelles. 5 IGO representative. Interview 01.08.2017, Victoria, Seychelles. 6 IGO representative. Interview 01.08.2017, Victoria, Seychelles. 7 IGO representative. Interview 01.08.2017, Victoria, Seychelles. 8 Non-governmental organisation (NGO) representative. Interview 20.11.2019. Victoria, Seychelles. 9 Government representative. Interview, 13.06.2018, Victoria, Seychelles. 10 Intergovernmental Organisation (IGO) representative. Interview 01.08.2017, Victoria, Seychelles. 11 Local resident. Interview, 03.06.2018, Beau Vallon, Seychelles. M.S. Schutter et al. Marine Policy 132 (2021) 104673 5 thus raising support for the idea that continued and accelerated exploitation of oceans is indeed possible (and necessary) at the same time as more environmental protection. The lack of clarity has also meant that the promise of ‘triple wins’ and ‘more money for everyone’ could be maintained, hiding trade-offs and suggesting that the blue economy has something for everyone, “enough to ensure conformity of behaviour in most people most of the time” [28]. Furthermore, a senior blue economy official mentioned that embedding the Blue Economy Department within the Ministry of Finance at that time served as a “carrot”: the promise of financial ben efits from the blue economy would lure in the various other de partments.12 The blue economy’s status as a boundary object has an impact on the ground in two ways. First, consensus is maintained through employing the blue economy to depoliticise discussions, a strategy that finds fertile ground where there are historical tensions and a lack of trust. Second, although dissent is indeed present in Seychelles, the blue economy has been positioned as an object within multiple stakeholder consultations in planning and implementation. This posi tioning has further depoliticised the debate and trade-offs, thereby manufacturing consent. Maintaining consensus is important, because it allows for the continued use of the concept which has not only become powerful in a hegemonic sense itself, but also offers power to Seychelles in terms of visibility and relevance. The process of negotiation at the national level provides an avenue for exploring how power relations are employed to maintain the delicate balance between support and oppo sition for the blue economy [35]. 3.4. Historical tensions and distrust interact with contemporary governance Boundary objects are useful in climates where trust and communi cation are difficult, precisely because they require no consensus for groups to continue to be able to work together [20]. This is especially useful in places like Seychelles, which in the past featured a strong and very present state [43]. During the interviews, despite a focus on the blue economy, some respondents spent time explaining the history of internal politics in Seychelles, as an important part of understanding domestic interactions with the blue economy concept. Historically, Seychelles has struggled to separate politics and the state; although the one-party system has been abolished, the shadow of the ruling party’s power still hangs over public life and political allegiances were still believed to influence citizens’ opportunities in life [56]. Although the opposition gained control over the National Assembly in 2016, and in 2020 even secured the first opposition victory in presidential elections [57], these are recent developments, and the blue economy in Seychelles remains tied to president Michel and his formerly dominant party. Several interviewees linked the political context to a culture of distrust responsible for suspicion and a lack of communication, and suggested that this has caused a refusal or inability to explicitly discuss trade-offs and choices in the blue economy. Respondents spoke about a fear of offending others, which inhibits explicit discussions, and sug gested that this might be a leftover from the one-party state and coup d′ ´etat. Indeed, one interviewee explained holding back in discussions in order not to escalate disagreements, and said: “sometimes you’re scared of being negative, you want to respect other people’s views”, 13 and another described the delicate balance as follows: “[…] for example with the MSP, we have to be very careful, we don’t want to be in someone’s way, we don’t want to be too tainted you know.” 14 The result is that not many people are publicly critical of the blue economy. Rather, there is a simmering dissatisfaction with the currently hegemonic status of the concept. 3.5. Manufacturing consent through depoliticisation In Seychelles, the MSP process and the consultation process for the blue economy roadmap have served to depoliticise environmental governance through a focus on the technical process of planning. There were mentions of “meetings for the sake of meetings”, 15 during which no explicit discussions on choices within the blue economy took place. In terviewees spoke of a lack of meaningful engagement in stakeholder consultations, reflecting what Flannery et al. [58] call “choreographed participation”. For example, one interviewee said: “There are so many processes […] that are just there to validate some fait accompli. They say they will do stakeholder consultation, and they just want you to fill out an attendance sheet […]. I’ve attended most of the meetings and when I look at the report, it says they had concluded the stakeholders’ consultation successfully. [But] I cannot remember one meeting that ended with a handshake.”16 Although the sentiments expressed by stakeholders indicate disagreement with the process as well as the content of blue economy-inspired governance, respondents did not see their dissent reflected in real changes. Indeed, time constraints often meant that there was no space to express concern: interviewees lamented for instance the fact that the Blue Economy Roadmap consultation took place “at the end of a full day […] it was a Friday, from 4 to 6 pm.”17 Again, discussion on a vision for the blue economy and trade-offs was stifled by its status as a boundary object, offering the illusion of collaboration whilst actually depoliticising the debate. As a result, consensus takes the shape of the manufactured consent of stakeholder consultations [58], in which the hegemonic ideology of the blue economy takes precedence over explicit discussion of trade-offs. Playing into historical tensions and interpersonal relationships, the blue economy in Seychelles ‘performs’ to provide a sense that there is no politics, thereby enacting the depoliticisation discussed above. Although the blue economy as a boundary object has facilitated the navigation of tensions, “[t]he problem of rhetorics, however, is that a strategic choice [of a boundary object] is always a constitutive choice also.” [16]. By reproducing hegemonic notions of human-nature relations, the blue economy brings these notions into existence as a ‘new’ reality [59,60]. As a performative concept, the blue economy is making things happen – namely, the unloading of the ‘new’ blue economy onto an existing ocean-based economy. As a boundary object, the blue economy does something: it offers a new and seemingly depoliticised space where there is no need to discuss trade-offs, but instead triple wins can be achieved. Although processes of depoliticisation and triple win fantasies ensure conformity and buy-in, they also mask the performative effect of the blue economy in reproducing and entrenching hegemonic framings of reality [60]. Moreover, the worldviews and images thus promoted translate into conceptions of reality that influence governance, thereby shaping reality itself [61]. 3.6. Finding counter-hegemony Blue modernisation reconfigures oceans as new economic frontiers and places of enclosure simultaneously [31,62]. The combination of the important role of the blue economy in giving Seychelles a platform internationally, the appeal of win-win situations and the use of the boundary object to facilitate depoliticisation means there is no coercion but rather a consensual agreement that comes about through the use of the term. However, this does not mean that the concept is not contested. Narratives of oceans as placeless frontiers are difficult to sustain at the implementation phase of the blue economy, where resource users are actually closely connected to and familiar with oceans. In addition, although trade-offs may be avoided at the discursive (inter)national 12 Government representative. Interview, 02.08.2017. Victoria, Seychelles. 13 Government representative. Interview, 17.04.2018, Victoria, Seychelles. 14 Government representative. Interview, 08.06.2018, Victoria, Seychelles. 15 IGO representative. Interview 08.06.2018, Victoria, Seychelles. 16 NGO representative. Interview, 30.04.2018, Victoria, Seychelles. 17 IGO representative. Interview, 08.06.2018. Victoria, Seychelles. M.S. Schutter et al. Marine Policy 132 (2021) 104673 6 policy levels, on-the-ground implementation will have to make much clearer the impact on resource users and others. A boundary object cannot itself be implemented, and local political models are more difficult to adopt than hegemonic ideology, leading to the contradictions and contestations at the local level [28]. In this light, it is not surprising to find dissatisfaction with the ideas and processes of the blue economy in Seychelles. Indeed, from earlier research a sense emerged that Seychelles was shaping the blue economy, and resisting aspects of the international discourse [44]. However, the international influence of the blue econ omy and the dominant economic paradigm it represents, combined with social power relations, tend to shut down discussion and participation. This combination of structural and social power relations has led to an impasse in terms of where the blue economy should go: a lack of a shared vision. The question is: where might alternative visions, or counter-hegemony, come from? In Gramscian terms, structural changes in world-order, and therefore challenges of hegemony, are always rooted in social relations in national societies and political orders [24]. This means that establishing counter-hegemony against the blue econ omy can only happen through the alliance of those that are disadvan taged by it [28]. Civil society has been identified as an important place where resis tance and counter-hegemony can be formulated and advocated [63]. But the tendency to expand the state to include international civil society at the cost of local civil society [28], reduces opportunities for critical engagement (and potential for counter-hegemony) in the blue economy. In Seychelles specifically, civil society associations were long prohibited [56], and an interviewee mentioned that still, “civil society is not strong enough; they do not realise their potential.” 18 The potential for critical civil society engagement is further reduced by the post-political manner in which MSP is often implemented and presented as impartial and rational [64]. In Seychelles, the consultations that do take place suffer from “pressure to get it implemented”, 19 which reflects academic critique on consultation as depoliticisation. Consequently, consultation can actually serve to produce apparent consensus that keeps dissent at bay when it only allows for disagreement on specific technology and management choices, not challenging the expansion of a capitalist socio-economic order [65,66]. As a result, as far as civil society is pre sent in Seychelles (mostly in the shape of foreign-led environmental NGOs), they tend to be embedded in the hegemony of dominant groups. The lack of strong voices coming from local civil society feeds into a lack of meaningful engagement of the blue economy with resource users. This lack of engagement means that the problematic configuration of oceans as placeless frontiers where economy and environment can coexist, cannot be effectively challenged by resource users. Meanwhile, Seychelles speaks with one voice on the blue economy in international settings, obscuring tensions between diverse interests locally. During the interviews, respondents spoke about “policy incongruencies in the country, where you have a national company actively licensing, and encouraging, exploration of oil and gas, and a trust fund that has been established to look at [climate change] adaptation and conservation.” 20 These policy incongruencies indicate the contradictions that come to the fore at the national level, such as extractive non-renewable industries and seabed mining co-existing with conservation and sustainable livelihoods</w:t>
      </w:r>
      <w:r w:rsidRPr="00C90932">
        <w:rPr>
          <w:sz w:val="10"/>
        </w:rPr>
        <w:t xml:space="preserve">. The emergence of counter-hegemony in Seychelles is therefore constrained by a perceived need to align with hegemonic ideology, and the not yet realised potential of local civil society. However, if hegemony spreads from within national societies, counter-hegemony can also develop elsewhere and challenge world-order [28]. Indeed, counter-hegemonic currents are rising outside Seychelles, most notably in South Africa, where the negative consequences of blue economy-inspired growth have been argued to be felt acutely by small scale fishers, who are trapped between uneven economic development and competing conservation interests [67]. In this context, the move ment for ‘blue justice’ has emerged [68,69], which points at contra dictions in the blue economy concept that often result in marginalisation of small-scale fisheries. Blue justice advocates for the recognition of small-scale fishers’ rights to access and participate equitably in the blue economy [67]. Other arenas of resistance revolves around the role of fisher peoples in safeguarding food sovereignty [70] and blue degrowth [71]. There have been calls for the blue economy to return to its original aims as put forward by small island states – placing social equity at the centre of any blue economy-related plans [72–75]. Engaging with counter-currents around the blue economy could also serve as an avenue to bring the blue economy back to these original aims. By using relational power on the ground, displaying resistance and forming associations, local resource users can engage with “alternative institutions and intellectual resources […] while resisting the pressures and temptations to relapse into the pursuit of incremental gains” [28]. Within this context, international expansion of Too Big to Ignore’s push for blue justice and fisher peoples’ mobilisation of food sovereignty in fighting ‘blue grabs’ is helpful [67,70]. However, because power in so cial relations and power in structures of hegemony are interlinked [34], resistance at the local level would need to accompany international movements, to re-politicise decision making at home. Moreover, despite increasing resistance against neoliberal hegemony more broadly, there are many examples of the expanding influence of neoliberal approaches [76]. The blue economy might be the newest iteration that further en trenches neoliberalism into small-scale food production. 4. Conclusions </w:t>
      </w:r>
      <w:r w:rsidRPr="00C90932">
        <w:rPr>
          <w:u w:val="single"/>
        </w:rPr>
        <w:t>The blue economy has widely gained influence at the international stage, and ties in with the hegemonic regimes of contemporary global environmental governance</w:t>
      </w:r>
      <w:r w:rsidRPr="00C90932">
        <w:rPr>
          <w:sz w:val="14"/>
        </w:rPr>
        <w:t xml:space="preserve">. It has become influential through persua sion and consent, and the boundary object status is useful to facilitate communication but also to offer something to everyone. The triple bottom line promise creates an appealing sense of progressive change, benefiting the economic, environmental, and social dimension simul taneously. Interest in the blue economy is further fuelled by framings of the ocean as underdeveloped and underexplored [31,62], and in need of rational management. The blue modernisation narrative thus absorbs issues associated with the ocean economy (e.g. coral bleaching, pollu tion, industrial overfishing). It avoids “challeng[ing] the factors causing our ecological ills” [77], constituting a passive revolution of continued and even accelerated exploitation through closing off pathways to alternative trajectories [66]. The emerging conceptualisations and proposed </w:t>
      </w:r>
      <w:r w:rsidRPr="00C90932">
        <w:rPr>
          <w:u w:val="single"/>
        </w:rPr>
        <w:t>ways of governing oceans also determine who is considered to be connected to the ocean</w:t>
      </w:r>
      <w:r w:rsidRPr="00C90932">
        <w:t xml:space="preserve">, </w:t>
      </w:r>
      <w:r w:rsidRPr="00C90932">
        <w:rPr>
          <w:sz w:val="16"/>
        </w:rPr>
        <w:t>and consequently, which stakeholders have a voice in blue economy debates. The lack of a culture of local civil society engagement and the ambiguity in the concept means that local engagement in Seychelles has proven difficult. Instead, voices from the international civil society have managed to gain positions of influence, strengthened by the increased reliance on NGOs in marine environmental governance following eco nomic restructuring and cuts in government budgets. In Seychelles, the blue economy offers a way of finding common ground in an environment that is characterised by political tensions, as well as environmental and financial pressures. However, blue modern isation also means a choice for a profit and growth paradigm, and an obstacle to alternative approaches for environmental governance. The current approach in marine spatial planning in Seychelles’ blue econ omy tends to avoid political discussions that would enrich democracy. This can mean that activities such as small-scale fisheries are overlooked or even discarded as something that people need to be ‘developed out of’, thereby marginalising these activities instead of recognising their 18 NGO representative. Interview, 12.08.2017. Beau Vallon, Seychelles. 19 Government representative. Interview, 01.08.2017. Victoria, Seychelles. 20 Government representative. Interview, 30.04.2018. Victoria, Seychelles. M.S. Schutter et al. Marine Policy 132 (2021) 104673 7 valuable contributions for food security and employment [69]. In Seychelles, there is an intellectual weariness when it comes to discussing the blue economy with resource users. The concept enables current power relations to prevail and even to be entrenched: the participation of ‘stakeholders’ is choreographed, and the beneficiaries of innovative financing and public-private partnerships are not marginalised groups but the powerful elite. However, this does not mean that resistance is absent: competing interpretations and critique on the concept have been found in Seychelles before [44]. Nevertheless, from an outside perspective the critique appears to be expressed only in private. For counter-hegemony to truly emerge, resistance needs to find its way into public dissent. Open discussion about a shared vision for the blue economy requires the recognition of small-scale fishers’ and other resource users’ rights that is proposed in the blue justice movement [67,68]. There is a need to un pack the term blue economy, to discuss what a shared vision would look like, and to re-politicise environmental decision-making. Rather than aiming to achieve consensus through rational dialogue, space should be allowed for disagreement that might emerge from participation and consultation [78,79]. The multiple and increasing pressures on and demands from marine ecosystems demand political and explicit dis cussion of the values and images attached to the blue economy.</w:t>
      </w:r>
    </w:p>
    <w:p w14:paraId="46881D22" w14:textId="6CE32312" w:rsidR="00077C8D" w:rsidRPr="00C90932" w:rsidRDefault="004B2CB7" w:rsidP="00C90932">
      <w:pPr>
        <w:pStyle w:val="Heading3"/>
        <w:rPr>
          <w:rFonts w:cs="Calibri"/>
        </w:rPr>
      </w:pPr>
      <w:r w:rsidRPr="00C90932">
        <w:rPr>
          <w:rFonts w:cs="Calibri"/>
        </w:rPr>
        <w:t>1NC – Terra Nullius</w:t>
      </w:r>
    </w:p>
    <w:p w14:paraId="0C0CC286" w14:textId="765DACFA" w:rsidR="00077C8D" w:rsidRPr="00C90932" w:rsidRDefault="001D56A6" w:rsidP="00C90932">
      <w:pPr>
        <w:pStyle w:val="Heading4"/>
        <w:rPr>
          <w:rFonts w:cs="Calibri"/>
        </w:rPr>
      </w:pPr>
      <w:r w:rsidRPr="00C90932">
        <w:rPr>
          <w:rFonts w:cs="Calibri"/>
        </w:rPr>
        <w:t>The aff has painted the arctic as terra nullius, nobody’s land</w:t>
      </w:r>
      <w:r w:rsidR="00CC3D42" w:rsidRPr="00C90932">
        <w:rPr>
          <w:rFonts w:cs="Calibri"/>
        </w:rPr>
        <w:t xml:space="preserve"> – which justifies investments in colonialism and reifies the desire to control the blue which is uncontrolled. </w:t>
      </w:r>
    </w:p>
    <w:p w14:paraId="1F1AD1B1" w14:textId="51AF25E7" w:rsidR="00C5777F" w:rsidRPr="00C90932" w:rsidRDefault="00C5777F" w:rsidP="00C90932">
      <w:pPr>
        <w:pStyle w:val="fonts"/>
        <w:spacing w:before="0" w:beforeAutospacing="0" w:after="0" w:afterAutospacing="0"/>
      </w:pPr>
      <w:r w:rsidRPr="00D35D90">
        <w:rPr>
          <w:rStyle w:val="Style13ptBold"/>
        </w:rPr>
        <w:t>Junka-Aikio 24</w:t>
      </w:r>
      <w:r w:rsidRPr="00C90932">
        <w:rPr>
          <w:rStyle w:val="Strong"/>
          <w:rFonts w:eastAsiaTheme="majorEastAsia"/>
        </w:rPr>
        <w:t xml:space="preserve"> </w:t>
      </w:r>
      <w:r w:rsidRPr="00C90932">
        <w:t xml:space="preserve">[Laura Junka-Aikio, </w:t>
      </w:r>
      <w:r w:rsidR="00D35D90">
        <w:t xml:space="preserve">Researcher, Tromsø University Museum, University of Tromsø, PhD in Social Sciences, University of East London, </w:t>
      </w:r>
      <w:r w:rsidRPr="00C90932">
        <w:t xml:space="preserve">"Training on Terra Nullius? A decolonial approach to militarisation in Sápmi and Northern Finland", </w:t>
      </w:r>
      <w:r w:rsidR="00D35D90">
        <w:t>Critical Studies on Security 12 (3), 2024</w:t>
      </w:r>
      <w:r w:rsidRPr="00C90932">
        <w:t xml:space="preserve">, </w:t>
      </w:r>
      <w:r w:rsidR="005C6460" w:rsidRPr="005A21D6">
        <w:t>https://www.tandfonline.com/doi/full/10.1080/21624887.2024.2358645</w:t>
      </w:r>
      <w:r w:rsidRPr="00C90932">
        <w:t>]</w:t>
      </w:r>
      <w:r w:rsidR="005C6460" w:rsidRPr="00C90932">
        <w:t xml:space="preserve"> //</w:t>
      </w:r>
      <w:r w:rsidR="00D35D90">
        <w:t xml:space="preserve"> </w:t>
      </w:r>
      <w:r w:rsidR="005C6460" w:rsidRPr="00C90932">
        <w:t>Micah</w:t>
      </w:r>
    </w:p>
    <w:p w14:paraId="4AF59EF0" w14:textId="60C54C4B" w:rsidR="004B2CB7" w:rsidRPr="00C90932" w:rsidRDefault="004B2CB7" w:rsidP="00D35D90">
      <w:pPr>
        <w:rPr>
          <w:sz w:val="16"/>
        </w:rPr>
      </w:pPr>
      <w:r w:rsidRPr="00D35D90">
        <w:rPr>
          <w:rStyle w:val="StyleUnderline"/>
        </w:rPr>
        <w:t>As a result of Finland’s NATO membership, Northern Finland has become not only a major NATO frontline with Russia and an important access point in the Arctic but also a hub for Arctic warfare training in a landscape that is similar to Russia.</w:t>
      </w:r>
      <w:r w:rsidRPr="00C90932">
        <w:t xml:space="preserve"> </w:t>
      </w:r>
      <w:r w:rsidRPr="00C90932">
        <w:rPr>
          <w:sz w:val="16"/>
        </w:rPr>
        <w:t>In my own everyday life in Rovaniemi, a small Finnish university town and the capital of the Lapland province known internationally as the home of Santa Claus, militarisation is omnipresent. The noise of fighter jets taking off from Rovaniemi airport at an increasing frequency dramatically affects the town’s soundscape; the presence of Finnish as well as international military personnel in shops, hotels and restaurants during large joint exercises; long military convoys on the roads connecting towns and military facilities; and a constant exposure to stories in the media framing local and regional news, or development, or whatever topic that can possibly be given such a twist, in terms of military considerations and defence. This all works to normalise the prospect of war in the middle of peace time.</w:t>
      </w:r>
    </w:p>
    <w:p w14:paraId="4BDF3AD9" w14:textId="0CED6740" w:rsidR="004B2CB7" w:rsidRPr="00C90932" w:rsidRDefault="004B2CB7" w:rsidP="00D35D90">
      <w:pPr>
        <w:rPr>
          <w:sz w:val="16"/>
        </w:rPr>
      </w:pPr>
      <w:r w:rsidRPr="00C90932">
        <w:rPr>
          <w:sz w:val="16"/>
        </w:rPr>
        <w:t>This kind of militarisation of my everyday also means that I understand my surroundings in a new way. Today, I am aware that some of the hills in and around Rovaniemi may hide large weapons storage facilities, as well as one of the Finnish Defence Forces’ two control and reporting centres. I have learnt that the</w:t>
      </w:r>
      <w:r w:rsidR="00D35D90">
        <w:rPr>
          <w:sz w:val="16"/>
        </w:rPr>
        <w:t xml:space="preserve"> </w:t>
      </w:r>
      <w:r w:rsidRPr="00C90932">
        <w:rPr>
          <w:i/>
          <w:iCs/>
          <w:sz w:val="16"/>
        </w:rPr>
        <w:t>SantaPark</w:t>
      </w:r>
      <w:r w:rsidR="00D35D90">
        <w:rPr>
          <w:sz w:val="16"/>
        </w:rPr>
        <w:t xml:space="preserve"> </w:t>
      </w:r>
      <w:r w:rsidRPr="00C90932">
        <w:rPr>
          <w:sz w:val="16"/>
        </w:rPr>
        <w:t>theme park, ‘the home cavern of Santa Claus’, doubles as the region’s only public bomb shelter, and that the serene lake and hill view at our summer cottage hides a large radar station central for Finnish air defence, hence, a likely first target. I am also aware that once Finland officially approves the Defence Cooperation Agreement that it has already signed with the United States, my hometown could become home to US troops. Among the 15 designated areas, the agreement lists two sites in Rovaniemi: Rovaniemi airport and Rovajärvi firing range 40 kilometres east of Rovaniemi. They are listed as sites not only open for US military use, but areas where restricted</w:t>
      </w:r>
      <w:r w:rsidR="00D35D90">
        <w:rPr>
          <w:sz w:val="16"/>
        </w:rPr>
        <w:t xml:space="preserve"> </w:t>
      </w:r>
      <w:r w:rsidRPr="00C90932">
        <w:rPr>
          <w:i/>
          <w:iCs/>
          <w:sz w:val="16"/>
        </w:rPr>
        <w:t>US only</w:t>
      </w:r>
      <w:r w:rsidR="00D35D90">
        <w:rPr>
          <w:sz w:val="16"/>
        </w:rPr>
        <w:t xml:space="preserve"> </w:t>
      </w:r>
      <w:r w:rsidRPr="00C90932">
        <w:rPr>
          <w:sz w:val="16"/>
        </w:rPr>
        <w:t>zones may be established. Curiously, public information and debate on the matter remains non-existent. Military geographies (Woodward</w:t>
      </w:r>
      <w:r w:rsidR="00D35D90">
        <w:rPr>
          <w:sz w:val="16"/>
        </w:rPr>
        <w:t xml:space="preserve"> </w:t>
      </w:r>
      <w:r w:rsidRPr="00C90932">
        <w:rPr>
          <w:rStyle w:val="off-screen"/>
          <w:rFonts w:eastAsiaTheme="majorEastAsia"/>
          <w:color w:val="10147E"/>
          <w:u w:val="single"/>
        </w:rPr>
        <w:t>Citation</w:t>
      </w:r>
      <w:r w:rsidRPr="005A21D6">
        <w:rPr>
          <w:rFonts w:eastAsiaTheme="majorEastAsia"/>
        </w:rPr>
        <w:t>2004</w:t>
      </w:r>
      <w:r w:rsidRPr="00C90932">
        <w:rPr>
          <w:sz w:val="16"/>
        </w:rPr>
        <w:t>) advance in secrecy.</w:t>
      </w:r>
    </w:p>
    <w:p w14:paraId="4DE1729E" w14:textId="08159692" w:rsidR="004B2CB7" w:rsidRPr="00C90932" w:rsidRDefault="004B2CB7" w:rsidP="00D35D90">
      <w:r w:rsidRPr="00C90932">
        <w:rPr>
          <w:sz w:val="16"/>
        </w:rPr>
        <w:t>Given all this, I was not surprised that the Finnish National Broadcasting company YLE in April 2023 published an article titled ‘This is how NATO looks like in Finland: interest to train in Lapland is so high that queues pile up’ (Fresnes Tulikukka and Martikainen</w:t>
      </w:r>
      <w:r w:rsidR="00D35D90">
        <w:rPr>
          <w:sz w:val="16"/>
        </w:rPr>
        <w:t xml:space="preserve"> </w:t>
      </w:r>
      <w:r w:rsidRPr="00C90932">
        <w:rPr>
          <w:rStyle w:val="off-screen"/>
          <w:rFonts w:eastAsiaTheme="majorEastAsia"/>
          <w:color w:val="10147E"/>
          <w:u w:val="single"/>
        </w:rPr>
        <w:t>Citation</w:t>
      </w:r>
      <w:r w:rsidRPr="005A21D6">
        <w:rPr>
          <w:rFonts w:eastAsiaTheme="majorEastAsia"/>
        </w:rPr>
        <w:t>2023</w:t>
      </w:r>
      <w:r w:rsidRPr="00C90932">
        <w:rPr>
          <w:sz w:val="16"/>
        </w:rPr>
        <w:t xml:space="preserve">). What caught my attention, or feminist and decolonial curiosity, however, was </w:t>
      </w:r>
      <w:r w:rsidRPr="00D35D90">
        <w:rPr>
          <w:rStyle w:val="StyleUnderline"/>
        </w:rPr>
        <w:t>the justification for the growing international interest in military training in Lapland. According to a military expert interviewed, Lapland and especially the Rovajävi firing range is attractive because, unlike in other sites: ‘there is plenty of space, you can put a lot of troops in there, and it doesn’t disturb the civilians’.</w:t>
      </w:r>
    </w:p>
    <w:p w14:paraId="5CF704CB" w14:textId="19240936" w:rsidR="004B2CB7" w:rsidRPr="00C90932" w:rsidRDefault="004B2CB7" w:rsidP="00D35D90">
      <w:pPr>
        <w:rPr>
          <w:sz w:val="16"/>
        </w:rPr>
      </w:pPr>
      <w:r w:rsidRPr="00C90932">
        <w:rPr>
          <w:sz w:val="16"/>
        </w:rPr>
        <w:t xml:space="preserve">In other words, the article </w:t>
      </w:r>
      <w:r w:rsidRPr="00D35D90">
        <w:rPr>
          <w:rStyle w:val="StyleUnderline"/>
        </w:rPr>
        <w:t>seemed to construct the area as an empty space, as no-one’s land -</w:t>
      </w:r>
      <w:r w:rsidR="00D35D90" w:rsidRPr="00D35D90">
        <w:rPr>
          <w:rStyle w:val="StyleUnderline"/>
        </w:rPr>
        <w:t xml:space="preserve"> </w:t>
      </w:r>
      <w:r w:rsidRPr="00D35D90">
        <w:rPr>
          <w:rStyle w:val="StyleUnderline"/>
          <w:i/>
          <w:iCs/>
        </w:rPr>
        <w:t>terra nullius</w:t>
      </w:r>
      <w:r w:rsidR="00D35D90">
        <w:t xml:space="preserve"> </w:t>
      </w:r>
      <w:r w:rsidRPr="00C90932">
        <w:t>-</w:t>
      </w:r>
      <w:r w:rsidRPr="00C90932">
        <w:rPr>
          <w:sz w:val="16"/>
        </w:rPr>
        <w:t xml:space="preserve"> that is up for grabs because no one, supposedly, is using it, at least not in ways recognised by the appropriator. The discourse of </w:t>
      </w:r>
      <w:r w:rsidRPr="00D35D90">
        <w:rPr>
          <w:rStyle w:val="StyleUnderline"/>
        </w:rPr>
        <w:t>terra nullius has been central to</w:t>
      </w:r>
      <w:r w:rsidRPr="00C90932">
        <w:t xml:space="preserve"> </w:t>
      </w:r>
      <w:r w:rsidRPr="00C90932">
        <w:rPr>
          <w:sz w:val="16"/>
        </w:rPr>
        <w:t xml:space="preserve">especially </w:t>
      </w:r>
      <w:r w:rsidRPr="00D35D90">
        <w:rPr>
          <w:rStyle w:val="StyleUnderline"/>
        </w:rPr>
        <w:t>European conquest of other peoples’ lands</w:t>
      </w:r>
      <w:r w:rsidRPr="00C90932">
        <w:rPr>
          <w:sz w:val="16"/>
        </w:rPr>
        <w:t xml:space="preserve"> since the time of the crusades and leading up to full-blown colonisation on five continents, </w:t>
      </w:r>
      <w:r w:rsidRPr="00D35D90">
        <w:rPr>
          <w:rStyle w:val="StyleUnderline"/>
        </w:rPr>
        <w:t xml:space="preserve">including in the Arctic </w:t>
      </w:r>
      <w:r w:rsidRPr="00C90932">
        <w:rPr>
          <w:sz w:val="16"/>
        </w:rPr>
        <w:t xml:space="preserve">region. </w:t>
      </w:r>
      <w:r w:rsidRPr="00D35D90">
        <w:rPr>
          <w:rStyle w:val="StyleUnderline"/>
        </w:rPr>
        <w:t>Today, it is still employed regularly in Northern Scandinavia, for instance to justify invasive and broadscale land use in the context of industrial and extractive mega-projects. The planned mine in Gállok in Northern Sweden a few years back is a case in point.</w:t>
      </w:r>
      <w:r w:rsidRPr="00C90932">
        <w:rPr>
          <w:sz w:val="16"/>
        </w:rPr>
        <w:t xml:space="preserve"> There, the Beowulf Mining Plc’s chairman Clive Sinclair-Poulton sought to publicly undermine local and Sámi resistance to the mine by asking the rhetorical question: ‘What local people?’ while showing an aerial image of the Gállok forest landscape (see Persson, Harnesk, and Islar</w:t>
      </w:r>
      <w:r w:rsidR="00D35D90">
        <w:rPr>
          <w:sz w:val="16"/>
        </w:rPr>
        <w:t xml:space="preserve"> </w:t>
      </w:r>
      <w:r w:rsidRPr="00C90932">
        <w:rPr>
          <w:rStyle w:val="off-screen"/>
          <w:rFonts w:eastAsiaTheme="majorEastAsia"/>
          <w:color w:val="10147E"/>
          <w:u w:val="single"/>
        </w:rPr>
        <w:t>Citation</w:t>
      </w:r>
      <w:r w:rsidRPr="005A21D6">
        <w:rPr>
          <w:rFonts w:eastAsiaTheme="majorEastAsia"/>
        </w:rPr>
        <w:t>2017</w:t>
      </w:r>
      <w:r w:rsidRPr="00C90932">
        <w:rPr>
          <w:sz w:val="16"/>
        </w:rPr>
        <w:t>). In this instance, however, the strategic employment of the discourse of terra nullius did not work very well. The remark provoked wide discontent among the Swedish public, and eventually may have done more harm than good to the mining company’s case.</w:t>
      </w:r>
    </w:p>
    <w:p w14:paraId="0B7FC115" w14:textId="77777777" w:rsidR="004B2CB7" w:rsidRPr="00C90932" w:rsidRDefault="004B2CB7" w:rsidP="00D35D90">
      <w:pPr>
        <w:rPr>
          <w:sz w:val="16"/>
        </w:rPr>
      </w:pPr>
      <w:r w:rsidRPr="00C90932">
        <w:rPr>
          <w:sz w:val="16"/>
        </w:rPr>
        <w:t>From a local, place-based perspective, there is scarcely any area in the North that would not already be used by someone and for some purpose. Rural areas have often historically been constituted as peripheries, and as sites for natural resource- and/or settler-colonialism. In these spaces, growing pressure on land use, as well as questions over who gets to use it, and how, constitutes the backbone of social, political and cultural identities and struggles, whether in defence of Indigenous and traditional livelihoods and place-based identities, extractive industries and communities, tourism, or whatever else. Since conflicts over land use are also conflicts over local and regional identities and futures, they tend to matter a great deal to civilians.</w:t>
      </w:r>
    </w:p>
    <w:p w14:paraId="400F667A" w14:textId="77777777" w:rsidR="00F0539D" w:rsidRPr="00C90932" w:rsidRDefault="00F0539D" w:rsidP="00C90932">
      <w:pPr>
        <w:pStyle w:val="Heading3"/>
        <w:rPr>
          <w:rFonts w:cs="Calibri"/>
        </w:rPr>
      </w:pPr>
      <w:r w:rsidRPr="00C90932">
        <w:rPr>
          <w:rFonts w:cs="Calibri"/>
        </w:rPr>
        <w:t xml:space="preserve">1NC – Security </w:t>
      </w:r>
    </w:p>
    <w:p w14:paraId="29DB2DEA" w14:textId="77777777" w:rsidR="00F0539D" w:rsidRPr="00C90932" w:rsidRDefault="00F0539D" w:rsidP="00C90932">
      <w:pPr>
        <w:pStyle w:val="Heading4"/>
        <w:rPr>
          <w:rFonts w:cs="Calibri"/>
        </w:rPr>
      </w:pPr>
      <w:r w:rsidRPr="00C90932">
        <w:rPr>
          <w:rFonts w:cs="Calibri"/>
        </w:rPr>
        <w:t xml:space="preserve">The 1AC’s deployment of “security threats” and “existential risk” is a form of gaslighting taken from the empire’s playbook to sustain imperial control of the blue. </w:t>
      </w:r>
    </w:p>
    <w:p w14:paraId="587D2A72" w14:textId="4A489E86" w:rsidR="00F0539D" w:rsidRPr="00C90932" w:rsidRDefault="00F0539D" w:rsidP="00C90932">
      <w:r w:rsidRPr="00C90932">
        <w:rPr>
          <w:rStyle w:val="Style13ptBold"/>
        </w:rPr>
        <w:t>Johnson 18</w:t>
      </w:r>
      <w:r w:rsidRPr="00C90932">
        <w:t xml:space="preserve"> [Elizabeth Johnson, </w:t>
      </w:r>
      <w:r w:rsidR="00D35D90">
        <w:t>Assistant Professor of Human Geography, Durham University, PhD, University of Minnesota</w:t>
      </w:r>
      <w:r w:rsidRPr="00C90932">
        <w:t xml:space="preserve">“The Hydra and the Leviathan: Unmanned Maritime Vehicles and the Militarized Seaspace,” 2018, </w:t>
      </w:r>
      <w:r w:rsidRPr="005A21D6">
        <w:t>https://durham-repository.worktribe.com/OutputFile/1633545</w:t>
      </w:r>
      <w:r w:rsidRPr="00C90932">
        <w:t xml:space="preserve"> // Love &lt;3]</w:t>
      </w:r>
      <w:r w:rsidR="00BB1B90" w:rsidRPr="00C90932">
        <w:t xml:space="preserve"> – recut Micah</w:t>
      </w:r>
    </w:p>
    <w:p w14:paraId="54D23958" w14:textId="77777777" w:rsidR="00F0539D" w:rsidRPr="00D35D90" w:rsidRDefault="00F0539D" w:rsidP="00C90932">
      <w:pPr>
        <w:rPr>
          <w:sz w:val="16"/>
          <w:szCs w:val="16"/>
        </w:rPr>
      </w:pPr>
      <w:r w:rsidRPr="00D35D90">
        <w:rPr>
          <w:sz w:val="16"/>
          <w:szCs w:val="16"/>
        </w:rPr>
        <w:t xml:space="preserve">Just as the Hydra and Leviathan signal very diferent modes of governance and diferent visions of the commonwealth, Foucault’s essay envisions the sea and its ships as radically other to the workings of government on land. Within Foucault’s writings, however, the seas themselves remain abstracted, primarily serving as a space unburdened by the matters and histories of territory, where one might imagine alternative political formulations. What might happen to these considerations of sovereignty and the commonwealth when we take the three-dimensional space of the ocean more seriously? In what follows, I consider this question by following how </w:t>
      </w:r>
      <w:r w:rsidRPr="00C90932">
        <w:rPr>
          <w:u w:val="single"/>
        </w:rPr>
        <w:t xml:space="preserve">the US Depart- ment of Defense (DoD) is developing machinic technologies—notably en- dowed with the moniker Hydra—that would enable a more distributed geopolitical security apparatus at sea. I ultimately trouble the claims that ocean and land, as well as Hydra and Leviathan, are oppositional in governance, finding instead that they are interactive and coconstitutive—materially, legally, and symbolically. This, I suggest, raises questions about the nature of sovereignty and the future of what Hobbes referred to as the commonwealth. Entangled </w:t>
      </w:r>
      <w:r w:rsidRPr="00D35D90">
        <w:rPr>
          <w:sz w:val="16"/>
          <w:szCs w:val="16"/>
        </w:rPr>
        <w:t xml:space="preserve">Seas, Entangled Futures The mission of the Defense Advanced Research Projects Agency (darpa), the DoD’s research and development arm is </w:t>
      </w:r>
      <w:r w:rsidRPr="00C90932">
        <w:rPr>
          <w:u w:val="single"/>
        </w:rPr>
        <w:t>to create “breakthrough</w:t>
      </w:r>
      <w:r w:rsidRPr="00D35D90">
        <w:rPr>
          <w:sz w:val="16"/>
          <w:szCs w:val="16"/>
        </w:rPr>
        <w:t xml:space="preserve"> </w:t>
      </w:r>
      <w:r w:rsidRPr="00C90932">
        <w:rPr>
          <w:u w:val="single"/>
        </w:rPr>
        <w:t>technologies for national security.</w:t>
      </w:r>
      <w:r w:rsidRPr="00D35D90">
        <w:rPr>
          <w:sz w:val="16"/>
          <w:szCs w:val="16"/>
        </w:rPr>
        <w:t xml:space="preserve">”1 But the agency’s role is perhaps best captured by the epigraph on its “About” web page, a quote by composer Franz Liszt that reveals darpa’s true purpose is to “cast a javelin into the infinite spaces of the future.” As the placement of Liszt’s quote suggests, darpa is </w:t>
      </w:r>
      <w:r w:rsidRPr="00C90932">
        <w:rPr>
          <w:u w:val="single"/>
        </w:rPr>
        <w:t>a national defense agency unlike any other: rather than predicting and responding to an imagined politi- cal landscape to come, darpa seeks to chart a course into the “infinite spaces of the future.” B</w:t>
      </w:r>
      <w:r w:rsidRPr="00D35D90">
        <w:rPr>
          <w:sz w:val="16"/>
          <w:szCs w:val="16"/>
        </w:rPr>
        <w:t xml:space="preserve">y seeding science and innovation, they also direct them and, thereby, hope to give our collective future definition through scientific and technological enhancement.2 With what kinds of technologies is darpa </w:t>
      </w:r>
      <w:r w:rsidRPr="00C90932">
        <w:rPr>
          <w:u w:val="single"/>
        </w:rPr>
        <w:t>hoping to shape the “spaces of the future”? What futures</w:t>
      </w:r>
      <w:r w:rsidRPr="00D35D90">
        <w:rPr>
          <w:sz w:val="16"/>
          <w:szCs w:val="16"/>
        </w:rPr>
        <w:t xml:space="preserve">—indeed, what worlds—does it seek to build for our collective inhabitation? The media and academy have lavished attention on the ways that aerial drone technology has reshaped warfare as well as geopoliti- cal borders (Chamayou 2015; Kindervater 2017; Shaw 2016; Shaw and Akhtar 2012). But new programs are also expanding into the spaces on, below, and above the ocean’s surface. Under the moniker of the Hydra program, darpa is working to build unmanned autonomous vehicles (uavs) capable of per- forming surveillance and reconnaissance, detonating underwater mines, and delivering various payloads in international waters. Launched in 2013, Hydra is one of many research and development programs in unmanned maritime vehicle (umv) technologies. </w:t>
      </w:r>
      <w:r w:rsidRPr="00C90932">
        <w:rPr>
          <w:u w:val="single"/>
        </w:rPr>
        <w:t>It is meant to ameliorate the core problem faced by the US Navy: the seeming imperative to “cover vast regions of interest around the globe” while fewer forces and budget restrictions shrink the size of the fleet overall (darpa n.d.b). darpa’s Hydra program envisions a floating, unmanned infrastructure of modular, interchangeable parts.</w:t>
      </w:r>
      <w:r w:rsidRPr="00D35D90">
        <w:rPr>
          <w:sz w:val="16"/>
          <w:szCs w:val="16"/>
        </w:rPr>
        <w:t xml:space="preserve"> In the words of the darpa project description, Hydra would enable “faster, scalable and more cost-efective deployment of assets wherever needed” (darpa n.d.b). In what follows, I chart a transition in sovereign imaginaries of and on the sea. Rather than emanating from territorial land, </w:t>
      </w:r>
      <w:r w:rsidRPr="00C90932">
        <w:rPr>
          <w:u w:val="single"/>
        </w:rPr>
        <w:t>I find that sovereign power increasingly attaches to technological objects and the algorithms that operate them</w:t>
      </w:r>
      <w:r w:rsidRPr="00D35D90">
        <w:rPr>
          <w:sz w:val="16"/>
          <w:szCs w:val="16"/>
        </w:rPr>
        <w:t>. Throughout this chapter, I analyze darpa program calls and descriptions as well as naval planning documents and technoscientific publications germane to US naval strategies. The documents that imagine those technologies utilize and challenge existing ocean legalities and visions of sovereignty. Contrasting darpa’s Hydra project with conventional understandings of sovereign power and the commonwealth, I consider how the rise of machinic warfare is reshap- ing ocean space and statecraft. darpa seeks to bring future visions to life through the creation of umv technologies. These technologies are part of eforts to “secure the volume” (Elden 2013b) of underwater space and extend the dominance of the US mili- tary across and among the continents. Yet military technologies and the forms of spatial dominance to which they strive are fragile compositions at sea (as well as elsewhere). Following Philip E. Steinberg and Kimberley Peters’s call to consider the “turbulent materialities” of the ocean (2015, 247), I think in this chapter with the militarized sea as a three-dimensional space. But the mate- rial processes of the militarized ocean also connect with turbulent materialities and imaginaries well beyond the seas</w:t>
      </w:r>
      <w:r w:rsidRPr="00C90932">
        <w:rPr>
          <w:u w:val="single"/>
        </w:rPr>
        <w:t xml:space="preserve">. darpa’s ocean technologies take shape in laboratories and research sites in connection with the “underlying churn” (Peters 2015, 248; see also the introduction to this volume) of military histories, fears of the deep, and transnational legal infrastructures, none of which are stable. Far from infinite, therefore, these militarized “spaces of the future” are tightly tied to matters, technologies, and legal frameworks created at temporal and spatial distance. </w:t>
      </w:r>
      <w:r w:rsidRPr="00D35D90">
        <w:rPr>
          <w:sz w:val="16"/>
          <w:szCs w:val="16"/>
        </w:rPr>
        <w:t xml:space="preserve">Paying attention to this turbulent churn of imaginaries, materialities, and legislative infrastructures raises important questions about who and what is brought together into a common world by darpa’s innovations. The rise of autonomous technologies is a process that seems to decenter the human in the making of machines and engender a security apparatus that appears to be pre- dominantly composed of nonhuman actions (Shaw 2016). But machinic tech- nologies do not remove human actions from geopolitical engagements. Rather, they distance the work of humans from the immediacy of battle to civilian sites of anticipatory innovation. And though the military’s future imaginaries and technologies are far from a fait accompli, they play a significant role in recon- stituting sovereignty and the </w:t>
      </w:r>
      <w:r w:rsidRPr="00C90932">
        <w:rPr>
          <w:u w:val="single"/>
        </w:rPr>
        <w:t>commonwealth by silently migrating ocean war- fare not only into technological devices, but into the laboratories</w:t>
      </w:r>
      <w:r w:rsidRPr="00D35D90">
        <w:rPr>
          <w:sz w:val="16"/>
          <w:szCs w:val="16"/>
        </w:rPr>
        <w:t xml:space="preserve"> that make them (see also Irus Braverman, this volume). Reshaping Warfare, Reengaging the Seas Since the conclusion of the Cold War, the US military has been unmatched in size and strength. Even as the number of military personnel is almost half of what it was in 1955, the US military’s global dominance remains unrivaled. To maintain strength in capacity, the US has turned to drones and other uavs to act as “force multipliers” on the labor of the military workforce (US De- partment of the Navy 2004, 13). By replacing human life with the machines</w:t>
      </w:r>
      <w:r w:rsidRPr="00C90932">
        <w:rPr>
          <w:u w:val="single"/>
        </w:rPr>
        <w:t xml:space="preserve">, the DoD aspires to “maintain global dominance by doing far more with less” (David Vine, quoted in Shaw 2016, 38). </w:t>
      </w:r>
      <w:r w:rsidRPr="00D35D90">
        <w:rPr>
          <w:sz w:val="16"/>
          <w:szCs w:val="16"/>
        </w:rPr>
        <w:t xml:space="preserve">As many writing on aerial drone technology have shown, advanced machin- ery like umvs does not merely intensify existing military strategies; it trans- forms them (Chamayou 2015; Gregory 2011; Kindervater 2017; Shaw 2016). Displacing the battlefield as the site of military engagement, the machinery of the drone has engendered what Derek Gregory has called an “everywhere war” (2011). If battlefields were once geographically distinct, Gregory argues, their borders have now been eroded. Efecting a particular bio- and geopolitical cal- culus, endangerment and risk in the drone’s surgical strike are felt only on one side of this everywhere war. </w:t>
      </w:r>
      <w:r w:rsidRPr="00C90932">
        <w:rPr>
          <w:u w:val="single"/>
        </w:rPr>
        <w:t>The executers of drone strikes sit removed, safely distanced from the action, while bombs are dropped in Pakistan, Yemen, Iraq, Afghanistan, and Somalia. There, the distinction between civilian and enemy combatant or militant is made more or less indistinct. There, one’s life is con- stantly at risk. For this reason, Grégoire Chamayou refers to this warscape of aerial drones not as an everywhere war, but as a planetary “hunting ground</w:t>
      </w:r>
      <w:r w:rsidRPr="00D35D90">
        <w:rPr>
          <w:sz w:val="16"/>
          <w:szCs w:val="16"/>
        </w:rPr>
        <w:t xml:space="preserve">” (2015, 52). 3 Just as aerial drones shifted the logics and spaces of war, seagoing autono- mous vehicles are changing military engagement at sea. The future ocean at work in darpa’s designs is not one of climate change and rising sea levels, re- source contraction or expansion in the form of subsurface minerals or fisheries (see Zsofia Korosy, this volume; Alison Rieser, this volume), or </w:t>
      </w:r>
      <w:r w:rsidRPr="00C90932">
        <w:rPr>
          <w:u w:val="single"/>
        </w:rPr>
        <w:t>dramatic losses in biodiversity and dying coral reefs (see Irus Braverman, this volume). Instead, the oceans are one of several milieus of military engagement, where security and warfighting capacities might be enhanced by technological innovation. At play in military imaginaries are multiple marine epistemologies that can osten- sibly anticipate future actions (Anderson 2010) as well as the reemergence of remembered threats</w:t>
      </w:r>
      <w:r w:rsidRPr="00D35D90">
        <w:rPr>
          <w:sz w:val="16"/>
          <w:szCs w:val="16"/>
        </w:rPr>
        <w:t xml:space="preserve">. darpa’s Hydra program developed in response to the US Navy’s master plan for research into unmanned undersea vehicles (uuvs) released in 2004. The eighty-page document reveals the navy’s strategic imaginary. The corner- stone of that imaginary is the production of “network-centric warfare,” what the navy refers to as a Force Net (US Department of the Navy 2004). The Force Net and other elements of the DoD’s marine spatial imaginary reflect that of its aerial and territorial counterparts and ensure access to land. As the navy’s uuv 2004 master plan establishes, </w:t>
      </w:r>
      <w:r w:rsidRPr="00C90932">
        <w:rPr>
          <w:u w:val="single"/>
        </w:rPr>
        <w:t>autonomous technologies are designed to ensure that “the Navy be able to achieve and maintain access to all the world’s littoral</w:t>
      </w:r>
      <w:r w:rsidRPr="00D35D90">
        <w:rPr>
          <w:sz w:val="16"/>
          <w:szCs w:val="16"/>
        </w:rPr>
        <w:t xml:space="preserve"> at the times and places of its choosing” (US Department of the Navy 2004, 31). The Office of Naval Research (onr), often in conjunction with darpa, has been experimenting with robotic technologies for decades. Throughout the 1990s and early 2000s, darpa funded the development of an assortment of small-scale uuvs, many of which operate on principles of biomimicry ( John- son 2015). Robotic lobsters, clams, tuna, and crabs have marched (or swum) forth from darpa’s cofers to demonstrate the potentials of robotics in mili- tary security. Although many of these technologies never advanced past proto- type, new uuv technologies are less experimental and more real-world ready. darpa is building on those earlier projects to reimagine the potential of au- tonomous robotic engagement within a wider ocean space and amid a broader range of war-fighting capacities. darpa’s uuvs operate according to a somewhat diferent calculus of life, death, and geopolitical risk than do aerial drones. For the US naval and marine forces, securing the spaces of the sea with our terrestrial-bound human bodies has long been a challenge. Basic human needs for air, fresh water, food, and space have always limited movement across the seas. Warships, aircraft carri- ers, and submarines—until recently technologies necessary to sustain life and warfare on or beneath the waves—represent some of the most capital-intensive infrastructure used by the US military. Traditional warships, for example, cost upward of $700,000 US per day to operate (Merchant 2015). Such a fleet is not only costly, but ponderous: aircraft carriers and warships are incompatible with an ongoing, globally distributed war that calls for “just in time” capabilities. Replacing peopled warships with autonomous systems could save millions: one report estimates that autonomous systems could operate at only $15,000 to $20,000 per day. darpa’s Hydra is imagined as a network of machinic agents capable of pa- trolling the waters without necessary input from a central command. The nine- headed serpent of Greek mythology with the powers of regeneration serves as its emblem. Hydra would create a coordinated modular system of networked autonomous vehicles and weapons capable of engaging sea, air, and land. As the original agency announcement on the program explained, Hydra would provide “a novel delivery mechanism for insertion of unmanned air and under- water vehicles into operational environments” (darpa, n.d.b). If successful, the program would result in the deployment of a fungible container vehicle, referred to as the mothership, capable of coordinating smaller umv and uav operations in sea and air space. Several related projects are also part of the Hydra mission, including darpa’s Tactically Exploited Reconnaissance Node (tern) program and the Raytheon-produced six-pound Switchblade drone that can morph from an underwater submersible to a workable aerial drone capable of taking flight from the surface of the sea (figure 9.1). If darpa’s javelin into the future is reshaping the space of naval battlefield, it is also shifting governance and broader geopolitical strategies. In doing so, darpa utilizes and responds to existing ocean legalities as well as the turbu- lent movement of the seas. In darpa’s strategic documents, the oceans appear on two registers. In the first, the high seas serve as a surface of engagement. There, umv technologies extend not only the capacities of human warfighters, but also sovereign control over global space. Extended via seacrafts networked across the earth, the imagined future US naval fleet will utilize the legal status of the high seas to expand its access to distant regions. In the second, the DoD builds strategies and technological futures around the materials within the sea. Here, the sea appears as a three-dimensional or volumetric space (Elden 2013b), “churning,” as Steinberg and Peters have written, with material and temporal dynamics that must be abided. In the two sections that follow, I show how the Hydra program and the DoD’s wider eforts to produce a future of autono- mous warfare are </w:t>
      </w:r>
      <w:r w:rsidRPr="00C90932">
        <w:rPr>
          <w:u w:val="single"/>
        </w:rPr>
        <w:t>hitched to these two visions of the sea. Seacrafts and Statecrafts: Buoying Empire on the Surface U</w:t>
      </w:r>
      <w:r w:rsidRPr="00D35D90">
        <w:rPr>
          <w:sz w:val="16"/>
          <w:szCs w:val="16"/>
        </w:rPr>
        <w:t>nited States territory hosts no foreign armies, yet it operates bases in almost eight hundred locations. These bases produce a network of US military forces that span the globe, efecting an empire of “lily-pads” from which the US can launch military operations on a just-in-time basis (Vine 2015a). As David Vine has noted (2015a), maintaining such a network is resource heavy and fraught with tension. International base infrastructure requires constant diplomatic negotiation with host nations and often results in international pressures as well as anti-American sentiment in host countries. In some cases, US bases are housed within the territories of dictatorial and autocratic regimes. In others, the governmental arrangements that permit US bases on foreign soil are ludi- crously complex and decidedly undemocratic. In Thailand, for example, private contractors—and not the Thai state—negotiated the creation of Utapao Naval Air Base south of Bangkok (Vine 2015b). With the umvs of the Hydra pro- gram, the DoD hopes to turn the international status of the high seas into a tactical opportunity capable of circumventing these issues. The United Nations Convention on the Law of the Sea (</w:t>
      </w:r>
      <w:r w:rsidRPr="00C90932">
        <w:rPr>
          <w:u w:val="single"/>
        </w:rPr>
        <w:t>unclos)—which is in efect, although the US has never ratified it—divides the ocean into seven zones. Of them, five are subject to the jurisdiction of coastal nation-states to varying degrees: internal waters, the territorial sea, contiguous zones, exclusive economic zones (eezs), and continental shelves. As noted elsewhere in this vol- ume, coastal states have full sovereign control over their territorial seas, which extend twelve miles from the coastline and include everything from the air above the water to the seabed and subsoil (unclos 1982). Here, “ships of all states,” including submarines, warships, and (presumably) umvs, maintain the “right of innocent passage.</w:t>
      </w:r>
      <w:r w:rsidRPr="00D35D90">
        <w:rPr>
          <w:sz w:val="16"/>
          <w:szCs w:val="16"/>
        </w:rPr>
        <w:t xml:space="preserve">” That is, they may traverse the surface of the sea, their flag in view, in ways that are not “prejudicial to the peace, good order or security of the coastal State” (unclos 1982, Article 31). Behaviors considered “prejudi- cial” obviously include the threat of force, exercise of weapons, or launching of aircraft. But unclos also prohibits the collection of information, the carrying out of research, or any activity that would jeopardize the environment of the coastal state (unclos 1982; see also Jessica Lehman, this volume). The final two zones, the high seas and the deep seabed, are not subject to the jurisdiction of any one state. These vast expanses of ocean space remain governed as a common in accordance with Hugo Grotius’s principle of mare labarum (see Alison Rieser, this volume). There, all ships—whether fishing boats, warships, or umvs—“have complete immunity from the jurisdiction of any State other than the flag State” (unclos 1982, Article 59). Accordingly, umvs can operate a range of missions, from research to military exercises, without the express permission of other states (Showalter and Manley 2009). The hope is that, by using umv technologies to fan out across the high sea, a combination of umvs and aerial drone technologies will allow the US Navy access to the world’s coasts (at least, at a distance of only two hundred miles), where they might respond to threats as they emerge. That is, they hope to cre- ate </w:t>
      </w:r>
      <w:r w:rsidRPr="00C90932">
        <w:rPr>
          <w:u w:val="single"/>
        </w:rPr>
        <w:t>the conditions for constant and continuous surveillance of the shorelines of every continent. Envisioned through the Hydra program, therefore, is not only a global empire of military power,</w:t>
      </w:r>
      <w:r w:rsidRPr="00D35D90">
        <w:rPr>
          <w:sz w:val="16"/>
          <w:szCs w:val="16"/>
        </w:rPr>
        <w:t xml:space="preserve"> but also a decoupling of warfare and sovereign territory. In this military imaginary, the production of a networked, floating infrastruc- ture of autonomous components would unground the navy’s and air force’s war-fighting capacities: territorial bases and resource-intensive aircraft carriers would no longer be needed as operation launch sites for weapons or drones. Hydra would network the globe into a system of floating, mobile bases capable of rapid response. By utilizing the status of the high seas, the US dreams of breaking the links between military might and diplomacy. Ian Shaw has written that aerial drone strikes show how the “reach of state power is clearly not tied to the fixed territory of the state,” but, rather, is “mobile and global” (2016, 14). The rise of umvs take this even further, to demonstrate how state power also operates on the back of material objects that float through the fluid substrate of the sea and the broad legal infrastructure that is unclos. Requiring neither land nor diplomatic agreements with other nations states, umv programs would, contra Shaw, not render US geopolitical reach “bound- less” (Shaw 2016, 146). They would instead affix US military force to material technologies rather than land masses. This is a machinic, mobile extension of the surface logics of landed territory </w:t>
      </w:r>
      <w:r w:rsidRPr="00C90932">
        <w:rPr>
          <w:u w:val="single"/>
        </w:rPr>
        <w:t>mapped over the legal status of the high seas. Here, sovereignty and geopolitical power are made on top of technological objects and the algorithms that operate them.</w:t>
      </w:r>
      <w:r w:rsidRPr="00D35D90">
        <w:rPr>
          <w:sz w:val="16"/>
          <w:szCs w:val="16"/>
        </w:rPr>
        <w:t xml:space="preserve"> By ungrounding military power and loosening the constraints of sovereign territory, land is not rendered irrel- evant but is redistributed to the sea through these floating objects of military significance. The imagined future built by umv technologies thus promises to shift geopolitical space and retie the knots between land and sovereignty on the back of mobile technologies. Turbulent Oceans, Anticipatory Threats The strategic and tactical advantage of umv technologies goes beyond the extension of sovereignty onto adrift technological objects. Through machinic innovation, the DoD also exemplifies Stuart Elden’s volumetric geopolitics (2013b), </w:t>
      </w:r>
      <w:r w:rsidRPr="00C90932">
        <w:rPr>
          <w:u w:val="single"/>
        </w:rPr>
        <w:t>showing how the nation-state mobilizes political power below the surface as well as on it.</w:t>
      </w:r>
      <w:r w:rsidRPr="00D35D90">
        <w:rPr>
          <w:sz w:val="16"/>
          <w:szCs w:val="16"/>
        </w:rPr>
        <w:t xml:space="preserve"> The Navy’s umv master plan and darpa’s program docu- ments envision sea depths as a stratum of threats—both known and potentially emergent. Here, we find that the oceans are, indeed, a “hunting ground.” But unlike sites of engagement in air and over land, the objects of the hunt are more diverse and predominantly nonhuman. Other autonomous seacrafts, subma- rines, missiles, and underwater mines—recently laid and long buried—are the DoD’s primary concerns.</w:t>
      </w:r>
    </w:p>
    <w:p w14:paraId="1FEECE52" w14:textId="77777777" w:rsidR="00F0539D" w:rsidRPr="00D35D90" w:rsidRDefault="00F0539D" w:rsidP="00C90932">
      <w:pPr>
        <w:rPr>
          <w:sz w:val="16"/>
        </w:rPr>
      </w:pPr>
    </w:p>
    <w:p w14:paraId="276DE21A" w14:textId="77777777" w:rsidR="00F0539D" w:rsidRPr="00C90932" w:rsidRDefault="00F0539D" w:rsidP="00C90932">
      <w:pPr>
        <w:pStyle w:val="Heading3"/>
        <w:spacing w:line="257" w:lineRule="auto"/>
        <w:rPr>
          <w:rFonts w:cs="Calibri"/>
        </w:rPr>
      </w:pPr>
      <w:r w:rsidRPr="00C90932">
        <w:rPr>
          <w:rFonts w:eastAsia="Calibri" w:cs="Calibri"/>
          <w:bCs/>
          <w:szCs w:val="32"/>
        </w:rPr>
        <w:t>1NC – FONOPS</w:t>
      </w:r>
    </w:p>
    <w:p w14:paraId="3D87CFC5" w14:textId="77777777" w:rsidR="00F0539D" w:rsidRPr="00C90932" w:rsidRDefault="00F0539D" w:rsidP="00C90932">
      <w:pPr>
        <w:pStyle w:val="Heading4"/>
        <w:rPr>
          <w:rFonts w:cs="Calibri"/>
        </w:rPr>
      </w:pPr>
      <w:r w:rsidRPr="00C90932">
        <w:rPr>
          <w:rFonts w:cs="Calibri"/>
        </w:rPr>
        <w:t xml:space="preserve">Freedom of Navigation Operations serve to reinforce hegemonic control over the blue. The desire for free navigation is inextricably linked to colonial blue desires. The US led “rules based order” is thus code for the expansion of cartographic control and imperial power. </w:t>
      </w:r>
    </w:p>
    <w:p w14:paraId="1E3A879E" w14:textId="4AB240EF" w:rsidR="00F0539D" w:rsidRPr="00C90932" w:rsidRDefault="00F0539D" w:rsidP="00C90932">
      <w:r w:rsidRPr="00C90932">
        <w:rPr>
          <w:rStyle w:val="Style13ptBold"/>
        </w:rPr>
        <w:t>Wirth 1</w:t>
      </w:r>
      <w:r w:rsidR="00D35D90">
        <w:rPr>
          <w:rStyle w:val="Style13ptBold"/>
        </w:rPr>
        <w:t>9</w:t>
      </w:r>
      <w:r w:rsidRPr="00C90932">
        <w:t xml:space="preserve"> [Christian Wirth, </w:t>
      </w:r>
      <w:r w:rsidR="00D35D90">
        <w:t xml:space="preserve">Research Fellow, German Institute for Global and Area Studies, PhD in International Studies, Graduate School of Asia-Pacific Studies, Waseda University, </w:t>
      </w:r>
      <w:r w:rsidRPr="00C90932">
        <w:t>"Whose ‘Freedom of Navigation’? Australia, China, the United States and the making of order in the ‘Indo-Pacific’</w:t>
      </w:r>
      <w:r w:rsidR="00D35D90">
        <w:t>,</w:t>
      </w:r>
      <w:r w:rsidRPr="00C90932">
        <w:t>"</w:t>
      </w:r>
      <w:r w:rsidR="00D35D90">
        <w:t xml:space="preserve"> The Pacific Review 32 (4), 2019, https://www.tandfonline.com/doi/full/10.1080/09512748.2018.1515788] </w:t>
      </w:r>
      <w:r w:rsidRPr="00C90932">
        <w:t>// Micah</w:t>
      </w:r>
    </w:p>
    <w:p w14:paraId="46718413" w14:textId="11EBA0C2" w:rsidR="00F0539D" w:rsidRPr="00D35D90" w:rsidRDefault="00F0539D" w:rsidP="00C90932">
      <w:pPr>
        <w:spacing w:line="257" w:lineRule="auto"/>
        <w:rPr>
          <w:rFonts w:eastAsia="Calibri"/>
          <w:sz w:val="14"/>
          <w:szCs w:val="16"/>
        </w:rPr>
      </w:pPr>
      <w:r w:rsidRPr="00C90932">
        <w:rPr>
          <w:rFonts w:eastAsia="Calibri"/>
          <w:u w:val="single"/>
        </w:rPr>
        <w:t>In the course of a few years, the long-standing contention between the developed and developing states over the extent of the freedom of the seas versus the enclosure of the ocean, inherent to UNCLOS, became reframed. Specific concerns related to the freedom of navigation were equated with UNCLOS as a whole, which, in turn, became a proxy for ‘international order’</w:t>
      </w:r>
      <w:r w:rsidRPr="00D35D90">
        <w:rPr>
          <w:rFonts w:eastAsia="Calibri"/>
          <w:sz w:val="14"/>
          <w:szCs w:val="16"/>
        </w:rPr>
        <w:t xml:space="preserve">. Paradoxically, </w:t>
      </w:r>
      <w:r w:rsidRPr="00C90932">
        <w:rPr>
          <w:rFonts w:eastAsia="Calibri"/>
          <w:u w:val="single"/>
        </w:rPr>
        <w:t>this strengthening emphasis on the ‘rules-based order’</w:t>
      </w:r>
      <w:r w:rsidRPr="00D35D90">
        <w:rPr>
          <w:rFonts w:eastAsia="Calibri"/>
          <w:sz w:val="14"/>
          <w:szCs w:val="16"/>
        </w:rPr>
        <w:t xml:space="preserve"> went hand in hand with the emptying from meaning of the already ambiguous term. Concrete problems with international law and UNCLOS as a whole got marginalized in the heated debates about frequently deployed and therefore increasingly abstract notions of ‘freedom’ and ‘rules-based order’.Intensifying contestations over territorial control in the South China Sea stirred Australian anxieties and led to the reaffirmation of Canberra’s ‘strategic interests’ in the region. When, in April 2012, a Philippine naval vessel’s inspection of Chinese fishing boats near Scarborough Shoal led to a prolonged stand-off, the then Australian Foreign Minister Carr stated that Australia does not take sides. Yet, with clear reference to China’s reluctance to abandon the so-called nine-dash line, an ambiguous and also within China debated (Wang, </w:t>
      </w:r>
      <w:r w:rsidRPr="00D35D90">
        <w:rPr>
          <w:rFonts w:eastAsia="Calibri"/>
          <w:sz w:val="14"/>
        </w:rPr>
        <w:t>Citation2015</w:t>
      </w:r>
      <w:r w:rsidRPr="00D35D90">
        <w:rPr>
          <w:rFonts w:eastAsia="Calibri"/>
          <w:sz w:val="14"/>
          <w:szCs w:val="16"/>
        </w:rPr>
        <w:t xml:space="preserve">) claim to the entire South China Sea, Carr emphasized that ‘we do, given our interest in the South China Sea, given the fact that a large proportion of our trade travels through it, […] call on governments to clarify and pursue those claims and accompanying maritime rights in accordance with international law including the UN Law of the Sea Convention’ (BBC, </w:t>
      </w:r>
      <w:r w:rsidRPr="00D35D90">
        <w:rPr>
          <w:rFonts w:eastAsia="Calibri"/>
          <w:sz w:val="14"/>
        </w:rPr>
        <w:t>Citation2012</w:t>
      </w:r>
      <w:r w:rsidRPr="00D35D90">
        <w:rPr>
          <w:rFonts w:eastAsia="Calibri"/>
          <w:sz w:val="14"/>
          <w:szCs w:val="16"/>
        </w:rPr>
        <w:t xml:space="preserve">). Subsequently, the Liberal opposition party and a number of strategists called upon the government to become more active in resolving the dispute, because ‘the South China Sea is Australia’s single point of greatest strategic vulnerability’ (Callick, </w:t>
      </w:r>
      <w:r w:rsidRPr="00D35D90">
        <w:rPr>
          <w:rFonts w:eastAsia="Calibri"/>
          <w:sz w:val="14"/>
        </w:rPr>
        <w:t>Citation2012</w:t>
      </w:r>
      <w:r w:rsidRPr="00D35D90">
        <w:rPr>
          <w:rFonts w:eastAsia="Calibri"/>
          <w:sz w:val="14"/>
          <w:szCs w:val="16"/>
        </w:rPr>
        <w:t xml:space="preserve">). Meanwhile, Beijing continued to raise tensions when it established Sansha City as a political entity with formal jurisdiction over disputed waters (Callick, </w:t>
      </w:r>
      <w:r w:rsidRPr="00D35D90">
        <w:rPr>
          <w:rFonts w:eastAsia="Calibri"/>
          <w:sz w:val="14"/>
        </w:rPr>
        <w:t>Citation2012</w:t>
      </w:r>
      <w:r w:rsidRPr="00D35D90">
        <w:rPr>
          <w:rFonts w:eastAsia="Calibri"/>
          <w:sz w:val="14"/>
          <w:szCs w:val="16"/>
        </w:rPr>
        <w:t xml:space="preserve">). The reason why Australia should be worried and become involved more strongly, according to one major newspaper, is the fact that Sansha City sits right at the centre of a ‘freight freeway’, through which ‘two-thirds of Australia’s exports and almost half of its imports, about $273 billion worth of goods, are carried through the South China Sea’ (Callick, </w:t>
      </w:r>
      <w:r w:rsidRPr="00D35D90">
        <w:rPr>
          <w:rFonts w:eastAsia="Calibri"/>
          <w:sz w:val="14"/>
        </w:rPr>
        <w:t>Citation2012</w:t>
      </w:r>
      <w:r w:rsidRPr="00D35D90">
        <w:rPr>
          <w:rFonts w:eastAsia="Calibri"/>
          <w:sz w:val="14"/>
          <w:szCs w:val="16"/>
        </w:rPr>
        <w:t xml:space="preserve">). Just as Carr’s earlier assertion and countless official reiterations of it, the article did not mention that this trade is mostly between Australia and China and that Beijing itself increasingly anxious about its so-called ‘economic lifelines’ would have scant interest in disrupting them (Laurenceson, </w:t>
      </w:r>
      <w:r w:rsidRPr="00D35D90">
        <w:rPr>
          <w:rFonts w:eastAsia="Calibri"/>
          <w:sz w:val="14"/>
        </w:rPr>
        <w:t>Citation2017</w:t>
      </w:r>
      <w:r w:rsidRPr="00D35D90">
        <w:rPr>
          <w:rFonts w:eastAsia="Calibri"/>
          <w:sz w:val="14"/>
          <w:szCs w:val="16"/>
        </w:rPr>
        <w:t xml:space="preserve">; Noer &amp; Gregory, </w:t>
      </w:r>
      <w:r w:rsidRPr="00D35D90">
        <w:rPr>
          <w:rFonts w:eastAsia="Calibri"/>
          <w:sz w:val="14"/>
        </w:rPr>
        <w:t>Citation1996</w:t>
      </w:r>
      <w:r w:rsidRPr="00D35D90">
        <w:rPr>
          <w:rFonts w:eastAsia="Calibri"/>
          <w:sz w:val="14"/>
          <w:szCs w:val="16"/>
        </w:rPr>
        <w:t>). An apparent next step in China’s strategy to control what its leaders regard as theirs, and not Japan’s, Beijing in November 2013, declared an Air Defence Identification Zone (ADIZ) over the East China Sea. Foreign Minister Bishop (</w:t>
      </w:r>
      <w:r w:rsidRPr="00D35D90">
        <w:rPr>
          <w:rFonts w:eastAsia="Calibri"/>
          <w:sz w:val="14"/>
        </w:rPr>
        <w:t>Citation2013</w:t>
      </w:r>
      <w:r w:rsidRPr="00D35D90">
        <w:rPr>
          <w:rFonts w:eastAsia="Calibri"/>
          <w:sz w:val="14"/>
          <w:szCs w:val="16"/>
        </w:rPr>
        <w:t xml:space="preserve">) made clear the Australian ‘opposition to any coercive or unilateral actions to change the status quo’, while calling in the Chinese ambassador for further explanation. This led to a spat with China and brought the strengthening defence ties of the Abbott with the Abe government of Japan into focus (McGrath, </w:t>
      </w:r>
      <w:r w:rsidRPr="00D35D90">
        <w:rPr>
          <w:rFonts w:eastAsia="Calibri"/>
          <w:sz w:val="14"/>
        </w:rPr>
        <w:t>Citation2013</w:t>
      </w:r>
      <w:r w:rsidRPr="00D35D90">
        <w:rPr>
          <w:rFonts w:eastAsia="Calibri"/>
          <w:sz w:val="14"/>
          <w:szCs w:val="16"/>
        </w:rPr>
        <w:t xml:space="preserve">). At the same time, mostly due to fears that the ADIZ’ curtailing of the freedom of overflight might establish a precedent, calls for Australian FONOPS through the newly established ADIZ and public demonstrations of ‘support for allies who do so to avoid the emergence of a new status quo where China rules its surrounding seas’ became louder (Slevison, </w:t>
      </w:r>
      <w:r w:rsidRPr="00D35D90">
        <w:rPr>
          <w:rFonts w:eastAsia="Calibri"/>
          <w:sz w:val="14"/>
        </w:rPr>
        <w:t>Citation2015</w:t>
      </w:r>
      <w:r w:rsidRPr="00D35D90">
        <w:rPr>
          <w:rFonts w:eastAsia="Calibri"/>
          <w:sz w:val="14"/>
          <w:szCs w:val="16"/>
        </w:rPr>
        <w:t xml:space="preserve">). Assertions that ‘inaction has the potential to encourage China to declare a South China Sea ADIZ in the foreseeable future’ (Slevison, </w:t>
      </w:r>
      <w:r w:rsidRPr="00D35D90">
        <w:rPr>
          <w:rFonts w:eastAsia="Calibri"/>
          <w:sz w:val="14"/>
        </w:rPr>
        <w:t>Citation2015</w:t>
      </w:r>
      <w:r w:rsidRPr="00D35D90">
        <w:rPr>
          <w:rFonts w:eastAsia="Calibri"/>
          <w:sz w:val="14"/>
          <w:szCs w:val="16"/>
        </w:rPr>
        <w:t xml:space="preserve">) added urgency. The revelation in September 2015 that China had been reclaiming land and building large facilities on several disputed rocks and reefs in the Spratlys caused widespread consternation and unsurprisingly provoked strong criticism. While asserting Australia’s ‘legitimate interest in the maintenance of peace and stability in this part of the world, including the preservation of respect for international law, unimpeded trade and freedom of navigation’, the Australian Minister of Defence expressed ‘opposition to any coercive or unilateral actions to change the status quo’ in the South or East China sea, including ‘any large-scale land reclamation activity’ and the prospect of the artificial structures’ militarisation (Andrews, </w:t>
      </w:r>
      <w:r w:rsidRPr="00D35D90">
        <w:rPr>
          <w:rFonts w:eastAsia="Calibri"/>
          <w:sz w:val="14"/>
        </w:rPr>
        <w:t>Citation2015</w:t>
      </w:r>
      <w:r w:rsidRPr="00D35D90">
        <w:rPr>
          <w:rFonts w:eastAsia="Calibri"/>
          <w:sz w:val="14"/>
          <w:szCs w:val="16"/>
        </w:rPr>
        <w:t>). This rekindled talk about the possibility that the Abbott government would send a surveillance plane over these facilities, thereby conducting Australia’s own FONOPS. Rory Medcalf (</w:t>
      </w:r>
      <w:r w:rsidRPr="00D35D90">
        <w:rPr>
          <w:rFonts w:eastAsia="Calibri"/>
          <w:sz w:val="14"/>
        </w:rPr>
        <w:t>Citation2015</w:t>
      </w:r>
      <w:r w:rsidRPr="00D35D90">
        <w:rPr>
          <w:rFonts w:eastAsia="Calibri"/>
          <w:sz w:val="14"/>
          <w:szCs w:val="16"/>
        </w:rPr>
        <w:t xml:space="preserve">), a prominent proponent of a moderately assertive stance, also known for his advocacy of the ‘Indo-Pacific’ geopolitical concept, argued that ‘Australia cannot pretend that what happens in the South China Sea is none of its business’ because: As a middle power, Australian security ultimately depends on a rules-based regional order … Damage to that order through coercion or unilateral assertiveness as we have seen in these contested waters in recent years, equates with damage to Australian interests. Australia’s lifelines, its trade routes to and from some of its top trading partners, including China but also Japan and South Korea, run through or close to those waters – as do the sea lanes on which the commerce of much of the world depends. Yet, Hugh White, a former defence official well known for his advocacy of a new, the so-called concert of powers giving China more and better seats at the tables of world politics, pointed out that it was not clear whether China’s land reclamations were a threat to the FoN or to international law and that the confrontations resulted from the US and China competing over primacy in the Asia-Pacific. For him, the debate was about the US and Australia trying to figure out whether or not and how to use these islands as a means to draw a ‘red line’ for China’s growing regional influence (White, </w:t>
      </w:r>
      <w:r w:rsidRPr="00D35D90">
        <w:rPr>
          <w:rFonts w:eastAsia="Calibri"/>
          <w:sz w:val="14"/>
        </w:rPr>
        <w:t>Citation2015</w:t>
      </w:r>
      <w:r w:rsidRPr="00D35D90">
        <w:rPr>
          <w:rFonts w:eastAsia="Calibri"/>
          <w:sz w:val="14"/>
          <w:szCs w:val="16"/>
        </w:rPr>
        <w:t>). Similarly, Sam Bateman (</w:t>
      </w:r>
      <w:r w:rsidRPr="00D35D90">
        <w:rPr>
          <w:rFonts w:eastAsia="Calibri"/>
          <w:sz w:val="14"/>
        </w:rPr>
        <w:t>Citation2015a</w:t>
      </w:r>
      <w:r w:rsidRPr="00D35D90">
        <w:rPr>
          <w:rFonts w:eastAsia="Calibri"/>
          <w:sz w:val="14"/>
          <w:szCs w:val="16"/>
        </w:rPr>
        <w:t xml:space="preserve">), a former naval officer and one of the foremost experts on Asia-Pacific maritime affairs, opined that: Australia’s direct national interests aren’t involved with overflight in the South China Sea in the same way as they are with navigation and overflight through the [Indonesian and Philippine] archipelagos to our near North. Furthermore, China hasn’t made clear which restrictions on navigation and overflight it’s imposing around features it occupies in the South China Sea. … As well as provoking China, that gesture would be seen in the region as Australia simply acting once again as a ‘deputy sheriff’ to the US in the region. In line with legal experts at the US Naval War College (Dutton &amp; Kardon, </w:t>
      </w:r>
      <w:r w:rsidRPr="00D35D90">
        <w:rPr>
          <w:rFonts w:eastAsia="Calibri"/>
          <w:sz w:val="14"/>
        </w:rPr>
        <w:t>Citation2017</w:t>
      </w:r>
      <w:r w:rsidRPr="00D35D90">
        <w:rPr>
          <w:rFonts w:eastAsia="Calibri"/>
          <w:sz w:val="14"/>
          <w:szCs w:val="16"/>
        </w:rPr>
        <w:t>), Bateman also pointed out that the issue is politically and legally rather complex because</w:t>
      </w:r>
      <w:r w:rsidRPr="00C90932">
        <w:rPr>
          <w:rFonts w:eastAsia="Calibri"/>
          <w:u w:val="single"/>
        </w:rPr>
        <w:t>: US FONOPS in that area seemed to focus only on Chinese actions;</w:t>
      </w:r>
      <w:r w:rsidRPr="00D35D90">
        <w:rPr>
          <w:rFonts w:eastAsia="Calibri"/>
          <w:sz w:val="14"/>
          <w:szCs w:val="16"/>
        </w:rPr>
        <w:t xml:space="preserve"> the legal status of the challenged features – some installations would only have 500m safety zones, others, classified as mere rocks only constitute 12NM territorial seas, etc. – is unclear; most features are claimed by several coastal states, naval presence in territorial seas my violate the laws on innocent passage, and because FONOPS risk provoking dangerous maneuvers that may endanger the safety of seafarers if not performed at the highest levels of seamanship (Bateman, </w:t>
      </w:r>
      <w:r w:rsidRPr="00D35D90">
        <w:rPr>
          <w:rFonts w:eastAsia="Calibri"/>
          <w:sz w:val="14"/>
        </w:rPr>
        <w:t>Citation2015b</w:t>
      </w:r>
      <w:r w:rsidRPr="00D35D90">
        <w:rPr>
          <w:rFonts w:eastAsia="Calibri"/>
          <w:sz w:val="14"/>
          <w:szCs w:val="16"/>
        </w:rPr>
        <w:t xml:space="preserve">). Indeed, a year later, an arbitration panel in The Hague denied several of the features claimed by China and patrolled by the US the legal status of a ‘rock’, and thereby ruled that they would not even be entitled to a 12NM territorial sea (PCA, </w:t>
      </w:r>
      <w:r w:rsidRPr="00D35D90">
        <w:rPr>
          <w:rFonts w:eastAsia="Calibri"/>
          <w:sz w:val="14"/>
        </w:rPr>
        <w:t>Citation2016</w:t>
      </w:r>
      <w:r w:rsidRPr="00D35D90">
        <w:rPr>
          <w:rFonts w:eastAsia="Calibri"/>
          <w:sz w:val="14"/>
          <w:szCs w:val="16"/>
        </w:rPr>
        <w:t>, p. 472). The US had been engaging in some sort of legal shadow-boxing. The judges’ differentiated reasoning on a limited set of legal questions notwithstanding the award had a profound impact on the political debate. As Nick Bisley (</w:t>
      </w:r>
      <w:r w:rsidRPr="00D35D90">
        <w:rPr>
          <w:rFonts w:eastAsia="Calibri"/>
          <w:sz w:val="14"/>
        </w:rPr>
        <w:t>Citation2016</w:t>
      </w:r>
      <w:r w:rsidRPr="00D35D90">
        <w:rPr>
          <w:rFonts w:eastAsia="Calibri"/>
          <w:sz w:val="14"/>
          <w:szCs w:val="16"/>
        </w:rPr>
        <w:t xml:space="preserve">) had already pointed out before it was handed down, the general mood was that ‘something must be done’ against the expanding Chinese presence in the South China Sea. Despite that most experts deemed their legal utility at best unclear (Raymond, </w:t>
      </w:r>
      <w:r w:rsidRPr="00D35D90">
        <w:rPr>
          <w:rFonts w:eastAsia="Calibri"/>
          <w:sz w:val="14"/>
        </w:rPr>
        <w:t>Citation2016</w:t>
      </w:r>
      <w:r w:rsidRPr="00D35D90">
        <w:rPr>
          <w:rFonts w:eastAsia="Calibri"/>
          <w:sz w:val="14"/>
          <w:szCs w:val="16"/>
        </w:rPr>
        <w:t xml:space="preserve">), and the prospect of rising tensions assured, this something was Australia’s own or participation in Washington’s FONOPS programme. In particular, exponents of the Labor opposition deemed the government’s policy of continuing routine surveillance operations (Greene, </w:t>
      </w:r>
      <w:r w:rsidRPr="00D35D90">
        <w:rPr>
          <w:rFonts w:eastAsia="Calibri"/>
          <w:sz w:val="14"/>
        </w:rPr>
        <w:t>Citation2018</w:t>
      </w:r>
      <w:r w:rsidRPr="00D35D90">
        <w:rPr>
          <w:rFonts w:eastAsia="Calibri"/>
          <w:sz w:val="14"/>
          <w:szCs w:val="16"/>
        </w:rPr>
        <w:t xml:space="preserve">) and enhanced bilateral and multilateral naval diplomacy insufficient (Massola, </w:t>
      </w:r>
      <w:r w:rsidRPr="00D35D90">
        <w:rPr>
          <w:rFonts w:eastAsia="Calibri"/>
          <w:sz w:val="14"/>
        </w:rPr>
        <w:t>Citation2016</w:t>
      </w:r>
      <w:r w:rsidRPr="00D35D90">
        <w:rPr>
          <w:rFonts w:eastAsia="Calibri"/>
          <w:sz w:val="14"/>
          <w:szCs w:val="16"/>
        </w:rPr>
        <w:t>). Strikingly, these arguments for a more ‘robust’ military posture, while triggered by Chinese violations (specific interpretations) of UNCLOS, were not made with reference to international law, but to geopolitics. Medcalf’s (</w:t>
      </w:r>
      <w:r w:rsidRPr="00D35D90">
        <w:rPr>
          <w:rFonts w:eastAsia="Calibri"/>
          <w:sz w:val="14"/>
        </w:rPr>
        <w:t>Citation2016</w:t>
      </w:r>
      <w:r w:rsidRPr="00D35D90">
        <w:rPr>
          <w:rFonts w:eastAsia="Calibri"/>
          <w:sz w:val="14"/>
          <w:szCs w:val="16"/>
        </w:rPr>
        <w:t xml:space="preserve">, p. 10) just as the Defence Minister’s concerns with the FoN seemed to rest foremost with alliance politics that is a particular notion of international order, when pointing out that it was the joint Australian-US-Japanese condemnation of Chinese actions that mattered most, noted that ‘the tensions in the South China Sea are testing American resolve, credibility and diplomatic dexterity’ and that ‘the United States is the ally on which Australian security deeply depends, and therefore, these are tests for Australia too’ (Medcalf, </w:t>
      </w:r>
      <w:r w:rsidRPr="00D35D90">
        <w:rPr>
          <w:rFonts w:eastAsia="Calibri"/>
          <w:sz w:val="14"/>
        </w:rPr>
        <w:t>Citation2015</w:t>
      </w:r>
      <w:r w:rsidRPr="00D35D90">
        <w:rPr>
          <w:rFonts w:eastAsia="Calibri"/>
          <w:sz w:val="14"/>
          <w:szCs w:val="16"/>
        </w:rPr>
        <w:t>). Rothwell (</w:t>
      </w:r>
      <w:r w:rsidRPr="00D35D90">
        <w:rPr>
          <w:rFonts w:eastAsia="Calibri"/>
          <w:sz w:val="14"/>
        </w:rPr>
        <w:t>Citation2017</w:t>
      </w:r>
      <w:r w:rsidRPr="00D35D90">
        <w:rPr>
          <w:rFonts w:eastAsia="Calibri"/>
          <w:sz w:val="14"/>
          <w:szCs w:val="16"/>
        </w:rPr>
        <w:t xml:space="preserve">) was even clearer in this when he stated that the </w:t>
      </w:r>
      <w:r w:rsidRPr="00C90932">
        <w:rPr>
          <w:rFonts w:eastAsia="Calibri"/>
          <w:u w:val="single"/>
        </w:rPr>
        <w:t>US FONOPS’ first ‘primary purpose’ is ‘to protect the mobility of US forces and to ensure that they can move freely between oceans, which has been critical for the maintenance of US naval hegemony’</w:t>
      </w:r>
      <w:r w:rsidRPr="00D35D90">
        <w:rPr>
          <w:rFonts w:eastAsia="Calibri"/>
          <w:sz w:val="14"/>
          <w:szCs w:val="16"/>
        </w:rPr>
        <w:t xml:space="preserve"> and that ‘Australia wouldn’t wish to be constrained in its naval movements in coming to the aid of regional friends and allies because of China’s position on warship navigation through the South China Sea’. In fact, the ways in which they are conducted, FONOPS could well produce the opposite of the intended effects, also in terms of coastal states’ compliance with UNCLOS and the recognition of territorial claims (Bateman, </w:t>
      </w:r>
      <w:r w:rsidRPr="00D35D90">
        <w:rPr>
          <w:rFonts w:eastAsia="Calibri"/>
          <w:sz w:val="14"/>
        </w:rPr>
        <w:t>Citation2017</w:t>
      </w:r>
      <w:r w:rsidRPr="00D35D90">
        <w:rPr>
          <w:rFonts w:eastAsia="Calibri"/>
          <w:sz w:val="14"/>
          <w:szCs w:val="16"/>
        </w:rPr>
        <w:t xml:space="preserve">; White, </w:t>
      </w:r>
      <w:r w:rsidRPr="00D35D90">
        <w:rPr>
          <w:rFonts w:eastAsia="Calibri"/>
          <w:sz w:val="14"/>
        </w:rPr>
        <w:t>Citation2017</w:t>
      </w:r>
      <w:r w:rsidRPr="00D35D90">
        <w:rPr>
          <w:rFonts w:eastAsia="Calibri"/>
          <w:sz w:val="14"/>
          <w:szCs w:val="16"/>
        </w:rPr>
        <w:t xml:space="preserve">). This prevalence of geopolitics explains the vast exaggeration of the importance of ‘Indo-Pacific’ sea lanes for the Australian and the US economy, for instance by the defence minister (Andrews, </w:t>
      </w:r>
      <w:r w:rsidRPr="00D35D90">
        <w:rPr>
          <w:rFonts w:eastAsia="Calibri"/>
          <w:sz w:val="14"/>
        </w:rPr>
        <w:t>Citation2015</w:t>
      </w:r>
      <w:r w:rsidRPr="00D35D90">
        <w:rPr>
          <w:rFonts w:eastAsia="Calibri"/>
          <w:sz w:val="14"/>
          <w:szCs w:val="16"/>
        </w:rPr>
        <w:t xml:space="preserve">). Since US-bound commerce is, at best, marginally reliant on Southeast Asian waterways and since Australia relies on them only for a fraction of its trade, overwhelmingly for iron ore and coal exports from Western Australia – to the very China that is supposed to threaten them (Laurenceson, </w:t>
      </w:r>
      <w:r w:rsidRPr="00D35D90">
        <w:rPr>
          <w:rFonts w:eastAsia="Calibri"/>
          <w:sz w:val="14"/>
        </w:rPr>
        <w:t>Citation2017</w:t>
      </w:r>
      <w:r w:rsidRPr="00D35D90">
        <w:rPr>
          <w:rFonts w:eastAsia="Calibri"/>
          <w:sz w:val="14"/>
          <w:szCs w:val="16"/>
        </w:rPr>
        <w:t xml:space="preserve">) – </w:t>
      </w:r>
      <w:r w:rsidRPr="00C90932">
        <w:rPr>
          <w:rFonts w:eastAsia="Calibri"/>
          <w:u w:val="single"/>
        </w:rPr>
        <w:t>the assertion of the FoN in the ‘Indo-Pacific’ cannot but refer to the FoN for warships.</w:t>
      </w:r>
      <w:r w:rsidRPr="00D35D90">
        <w:rPr>
          <w:rFonts w:eastAsia="Calibri"/>
          <w:sz w:val="14"/>
          <w:szCs w:val="16"/>
        </w:rPr>
        <w:t xml:space="preserve"> After all, this geographical term had long been standing for the theatre of operation of the US Pacific Command, which was renamed US Indo-Pacific Command in June 2018. Moreover, the ‘Indo-Pacific’ brings together India, Australia, Japan and the US, whose ‘shared democratic values’, according to the then Commander US Pacific Command, place them best to safeguard ‘freedom, justice and the rules-based system’ at the present ‘inflection point in history’ (Harris, </w:t>
      </w:r>
      <w:r w:rsidRPr="00D35D90">
        <w:rPr>
          <w:rFonts w:eastAsia="Calibri"/>
          <w:sz w:val="14"/>
        </w:rPr>
        <w:t>Citation2017</w:t>
      </w:r>
      <w:r w:rsidRPr="00D35D90">
        <w:rPr>
          <w:rFonts w:eastAsia="Calibri"/>
          <w:sz w:val="14"/>
          <w:szCs w:val="16"/>
        </w:rPr>
        <w:t xml:space="preserve">). In short, China had become an imminent threat to the established ‘liberal rules-based order’ (Wroe, </w:t>
      </w:r>
      <w:r w:rsidRPr="00D35D90">
        <w:rPr>
          <w:rFonts w:eastAsia="Calibri"/>
          <w:sz w:val="14"/>
        </w:rPr>
        <w:t>Citation2016</w:t>
      </w:r>
      <w:r w:rsidRPr="00D35D90">
        <w:rPr>
          <w:rFonts w:eastAsia="Calibri"/>
          <w:sz w:val="14"/>
          <w:szCs w:val="16"/>
        </w:rPr>
        <w:t>). To clarify the nature of that order, to understand why Australian authorities see it worth defending with military force, it is necessary to put the notion of order into the broader historical and security political context.</w:t>
      </w:r>
    </w:p>
    <w:p w14:paraId="7D500DD5" w14:textId="19673D64" w:rsidR="00F933B2" w:rsidRPr="00C90932" w:rsidRDefault="001C4B1A" w:rsidP="00C90932">
      <w:pPr>
        <w:pStyle w:val="Heading3"/>
      </w:pPr>
      <w:r w:rsidRPr="00C90932">
        <w:t>1NC – Science</w:t>
      </w:r>
    </w:p>
    <w:p w14:paraId="74C5BDCD" w14:textId="28B5E7D4" w:rsidR="00824D12" w:rsidRPr="00C90932" w:rsidRDefault="00824D12" w:rsidP="00C90932">
      <w:pPr>
        <w:pStyle w:val="Heading4"/>
      </w:pPr>
      <w:r w:rsidRPr="00C90932">
        <w:t xml:space="preserve">The aff imposes western understandings of the ocean and life upon the rest of the world to justify resource extraction. </w:t>
      </w:r>
      <w:r w:rsidR="009861BC" w:rsidRPr="00C90932">
        <w:t xml:space="preserve">The plan </w:t>
      </w:r>
      <w:r w:rsidRPr="00C90932">
        <w:t xml:space="preserve">engages in the active erasure of indigenous relationships to the blue </w:t>
      </w:r>
      <w:r w:rsidRPr="00C90932">
        <w:rPr>
          <w:rFonts w:cs="Calibri"/>
        </w:rPr>
        <w:t>– any perm is colonial appropriation and cultural exploitation.</w:t>
      </w:r>
    </w:p>
    <w:p w14:paraId="610F626C" w14:textId="0FA0261B" w:rsidR="00824D12" w:rsidRPr="00D35D90" w:rsidRDefault="00824D12" w:rsidP="00D35D90">
      <w:r w:rsidRPr="00D35D90">
        <w:rPr>
          <w:rStyle w:val="Style13ptBold"/>
        </w:rPr>
        <w:t>Sammler 18</w:t>
      </w:r>
      <w:r w:rsidRPr="00D35D90">
        <w:t xml:space="preserve"> [Katherine Sammler, </w:t>
      </w:r>
      <w:r w:rsidR="00D35D90" w:rsidRPr="00D35D90">
        <w:t xml:space="preserve">Assistant Professor, Global Studies &amp; Maritime Affairs, California State University Maritime, PhD in Geography, School of Geography and Development, University of Arizona, </w:t>
      </w:r>
      <w:r w:rsidRPr="00D35D90">
        <w:t>“Kauri and the Whale: Oceanic Matter and Meaning in New Zealand,” 2018, https://saltygeographies.net/wp-content/uploads/2018/09/pub2_kauriwhale.pdf // Love &lt;3] – recut Micah</w:t>
      </w:r>
    </w:p>
    <w:p w14:paraId="2B71B5B3" w14:textId="73981E87" w:rsidR="00824D12" w:rsidRPr="00C90932" w:rsidRDefault="00824D12" w:rsidP="00C90932">
      <w:pPr>
        <w:rPr>
          <w:sz w:val="16"/>
          <w:szCs w:val="16"/>
        </w:rPr>
      </w:pPr>
      <w:r w:rsidRPr="00C90932">
        <w:rPr>
          <w:sz w:val="16"/>
          <w:szCs w:val="16"/>
        </w:rPr>
        <w:t xml:space="preserve">Geopolitically, demarcating the borders of ocean jurisdictions granted under the 1982 United Nations Convention on the Law of the Sea (unclos) has stabilized many international disputes over ocean resources and boundaries. </w:t>
      </w:r>
      <w:r w:rsidRPr="00C90932">
        <w:rPr>
          <w:u w:val="single"/>
        </w:rPr>
        <w:t xml:space="preserve">Ofshore jurisdictions conceived by unclos are delineated as distances from coastal baselines, marking a fixed land/sea line of reference. Yet Aotearoa New Zealand has struggled with translating and implementing unclos, as many in the country question the very division of territory and property along a land/ sea binary. New Zealand legislation written to determine rights and respon- sibilities ofshore has sparked fierce debates and protests, demonstrating not only the ambiguity within the multiple understandings of ocean space written into unclos, but also that this treaty is categorically incompatible with other ways of knowing and practicing ocean spaces. Specifically, the coastline bisec- tion and subsequent nationalization of submerged lands is in direct conflict with Indigenous Māori cosmologies and tribal land rights that interpret land- scapes and seascapes as an interrelated whole. Environmental politics stem- ming from this worldview call into question dominant Western and colonial epistemology and ontology and inform radically new frameworks for deriving sovereignty and practicing environmental management. Interpreting and implementing the jurisdictions drawn up in unclos have been an experiment in ofshore governance through conflicting performances of territory and sovereignty in the ocean. Grappling with the ocean’s material- ity and dynamism, as a chaotic and flowing field, enacting the territorial logic </w:t>
      </w:r>
      <w:r w:rsidRPr="00C90932">
        <w:rPr>
          <w:sz w:val="16"/>
          <w:szCs w:val="16"/>
        </w:rPr>
        <w:t xml:space="preserve">of baselines has created social and political divisions in New Zealand leading to the ongoing controversies surrounding the division of ofshore space and man- agement. Focusing </w:t>
      </w:r>
      <w:r w:rsidRPr="00C90932">
        <w:rPr>
          <w:u w:val="single"/>
        </w:rPr>
        <w:t>on</w:t>
      </w:r>
      <w:r w:rsidRPr="00C90932">
        <w:rPr>
          <w:sz w:val="16"/>
          <w:szCs w:val="16"/>
        </w:rPr>
        <w:t xml:space="preserve"> disputed uses of ofshore spaces necessarily confronts the 3. KAURI AND THE WHALE Oceanic Matter and Meaning in New Zealand Katherine G. Sammler 64 ∙ Katherine G. Sammler inherent ambiguity of the social and political process of partitioning watery space (Baldacchino 2010). The geophysical, hydrological, and biological ma- teriality and mobility of oceans partially influence the logic of unclos and national enactments of the international treaty, even as attempts are made to legislate around these intrinsic ocean features. Regulators must contend with the agency of the </w:t>
      </w:r>
      <w:r w:rsidRPr="00C90932">
        <w:rPr>
          <w:u w:val="single"/>
        </w:rPr>
        <w:t>living and nonliving natures</w:t>
      </w:r>
      <w:r w:rsidRPr="00C90932">
        <w:rPr>
          <w:sz w:val="16"/>
          <w:szCs w:val="16"/>
        </w:rPr>
        <w:t xml:space="preserve"> as they enact static borders among mobile bodies. Ships on the surface, whales, and human bodies, whether on deck or partially submerged, engender relational social and legal meanings, which have been enrolled in multiple and conflicting territorializations of the ocean. </w:t>
      </w:r>
      <w:r w:rsidRPr="00C90932">
        <w:rPr>
          <w:u w:val="single"/>
        </w:rPr>
        <w:t>Categorical distinctions between landscapes and seascapes, static and mobile structures and bodies, human and nonhuman actors, have resulted in</w:t>
      </w:r>
      <w:r w:rsidRPr="00C90932">
        <w:rPr>
          <w:sz w:val="16"/>
          <w:szCs w:val="16"/>
        </w:rPr>
        <w:t xml:space="preserve"> a complex matrix of ofshore rights and responsibilities (Sammler 2016). Enacting</w:t>
      </w:r>
      <w:r w:rsidRPr="00C90932">
        <w:rPr>
          <w:sz w:val="18"/>
          <w:szCs w:val="18"/>
        </w:rPr>
        <w:t xml:space="preserve"> </w:t>
      </w:r>
      <w:r w:rsidRPr="00C90932">
        <w:rPr>
          <w:sz w:val="16"/>
          <w:szCs w:val="16"/>
        </w:rPr>
        <w:t xml:space="preserve">these </w:t>
      </w:r>
      <w:r w:rsidRPr="00C90932">
        <w:rPr>
          <w:u w:val="single"/>
        </w:rPr>
        <w:t>ontological</w:t>
      </w:r>
      <w:r w:rsidRPr="00C90932">
        <w:rPr>
          <w:sz w:val="16"/>
          <w:szCs w:val="16"/>
        </w:rPr>
        <w:t xml:space="preserve"> and ethical </w:t>
      </w:r>
      <w:r w:rsidRPr="00C90932">
        <w:rPr>
          <w:u w:val="single"/>
        </w:rPr>
        <w:t>divisions</w:t>
      </w:r>
      <w:r w:rsidRPr="00C90932">
        <w:rPr>
          <w:sz w:val="18"/>
          <w:szCs w:val="18"/>
        </w:rPr>
        <w:t xml:space="preserve"> </w:t>
      </w:r>
      <w:r w:rsidRPr="00C90932">
        <w:rPr>
          <w:sz w:val="16"/>
          <w:szCs w:val="16"/>
        </w:rPr>
        <w:t xml:space="preserve">counters the unclos declaration, which states in its preamble that “the problems of ocean space are closely interrelated and need to be considered as a whole.” This contradiction, and its subsequent partitioning efects, is particularly significant in Aotearoa New Zealand, where “unlike western models of property, Māori relationship to the land is ontological, so that one’s sovereignty is formed out of a genealogical relationship to the land, sea, and to nonhuman species” (DeLoughrey 2015, 356). This chapter follows calls to attend to multiple geopolitical, biopoliti- cal, and ontological dimensions toward a rigorous oceanic studies (Blum 2010; Helmreich 2009; Lehman 2013; Steinberg and Peters 2015), applying an onto-epistemological framework to incorporate how discursive practices are causally related to material phenomena. In doing so, it makes explicit how the practices of knowing and being are entangled, to include an “understanding of the roles of human and nonhuman, material and discursive, and natural and cultural factors in scientific and other social-material practices” (Barad 2007, 26; emphasis in original). This chapter thinks beyond how </w:t>
      </w:r>
      <w:r w:rsidRPr="00C90932">
        <w:rPr>
          <w:u w:val="single"/>
        </w:rPr>
        <w:t>ocean life and non- life are</w:t>
      </w:r>
      <w:r w:rsidRPr="00C90932">
        <w:rPr>
          <w:sz w:val="16"/>
          <w:szCs w:val="16"/>
        </w:rPr>
        <w:t xml:space="preserve"> imagined toward how they are practically </w:t>
      </w:r>
      <w:r w:rsidRPr="00C90932">
        <w:rPr>
          <w:u w:val="single"/>
        </w:rPr>
        <w:t>enrolled</w:t>
      </w:r>
      <w:r w:rsidRPr="00C90932">
        <w:rPr>
          <w:sz w:val="16"/>
          <w:szCs w:val="16"/>
        </w:rPr>
        <w:t xml:space="preserve"> in various ways </w:t>
      </w:r>
      <w:r w:rsidRPr="00C90932">
        <w:rPr>
          <w:u w:val="single"/>
        </w:rPr>
        <w:t>to enact borders, perform territories, produce political spaces, and make claims of sovereignty</w:t>
      </w:r>
      <w:r w:rsidRPr="00C90932">
        <w:rPr>
          <w:sz w:val="16"/>
          <w:szCs w:val="16"/>
        </w:rPr>
        <w:t xml:space="preserve"> (see also Povinelli 2016). This includes careful examination of the shifting legal arguments made to justify emergent ocean uses, as well as how the material engagement of the ocean can be used to resist extractive industry, allowing alternative legalities to emerge. The following discussion begins by investigating the complexities and con- troversies that emerge from the oceans of New Zealand, beginning with the kinship of the kauri and the whale, emphasizing the ontological diferences between Western categorizations and Māori cosmologies. The implementation of land and sea divisions via baselines has led to political unrest in Aotearoa Oceanic Matter and Meaning in New Zealand ∙ 65 New Zealand and the rise of an independent Māori parliamentary party. Strug- gles over ofshore Indigenous property rights have been taking place among proposed development of seabed mineral projects. This chapter considers base- lines as a political technology (Elden 2010). This means reading the baseline as a calculative apparatus that enacts cuts to refashion lively ocean worlds into divisible spaces and objects in direct opposition to Māori tribal holdings that span mountains to sea. Legislation nationalizing the foreshore and seabed, along with projects seeking to mine ofshore, have created rifts in New Zea- land society at the center of ongoing protests. Some protestors have taken their actions ofshore. These protestors are meeting with challenges to their right to protest on and in the sea. While the freedom of navigation is enshrined in the unclos treaty, particular ships—nuclear vessels, whaling boats, and activ- ist flotillas—have encountered restrictions, demonstrating the difficulties and ambiguities of emergent ofshore governance. Looking to specific moments, as the New Zealand government continues to produce legislation to (re)shape an ocean governance apparatus, this chapter will demonstrate how these events ground politics within material and lived oceans. This research partially draws on four months spent in New Zealand in the austral winter of 2014, hosted by the University of Auckland. The in-country data collection included roughly thirty interviews with government employees from such institutions as the New Zealand Environmental Protection Author- ity, New Zealand Petroleum and Minerals, and the Ministry of Māori Devel- opment, as well as leading national scientists and academics; participation in conferences, workshops, and debates; and visits to archives, museums, black- sand beaches, fern forests, and kauri stands. Kauri Rāua Ko Parāoa (Kauri and the Sperm Whale) Ina rā o nehe In times long past Te ūnga o Parāoa ki uta A sperm whale came ashore Te kī nāna ki a Kauri And spoke thus to the kauri E Kau! Hoake tāua Kauri! Come with me Ki tai te tio nā te mauru. to the sea which is fresh and cool. Kāo! I tā Kauri No! Said the kauri Ngākauria koe te taitai you may like the sea Engari au te tū iho nei but I prefer to stand here Ōkū wae ki rō onetapu. with my feet in the soil. Heoi e tā Parāoa All right said the whale Tēnā ia, whakawhitia ngā kiri. then let us agree to exchange our skins. 66 ∙ Katherine G. Sammler Nā reira ia So that is why Te kiri rākau kauri the bark of the kauri I rauangi, i kī nā i te hinū. is thin and full of resinous oil. —Wall text, Te Ao Tūroa (Māori Natural History Gallery), visited August 17, 2014 </w:t>
      </w:r>
      <w:r w:rsidRPr="00C90932">
        <w:rPr>
          <w:u w:val="single"/>
        </w:rPr>
        <w:t xml:space="preserve">While dominant understandings of a land-sea binary were codified by interna- tional law, Māori cosmologies and mythologies do not share this Western ontology </w:t>
      </w:r>
      <w:r w:rsidRPr="00C90932">
        <w:rPr>
          <w:sz w:val="16"/>
          <w:szCs w:val="16"/>
        </w:rPr>
        <w:t xml:space="preserve">nor necessarily divide natures—materially, practically, or politically—as demonstrated by tribal governance of areas that regard customary rights from mountains to sea. As Garth Harmsworth and Shaun Awatere explain, a fun- damental tenet of Māori belief, whakapapa, engenders “connection, lineage, or genealogy between humans and ecosystems and all flora and fauna” (2013, 275). </w:t>
      </w:r>
      <w:r w:rsidRPr="00C90932">
        <w:rPr>
          <w:u w:val="single"/>
        </w:rPr>
        <w:t>This includes a relationship with environments as a whole, a network of connections, as defined by ki uta ki tai, “a whole-of-landscape approach, un- derstanding and managing interconnected resources and ecosystems from the mountains to the sea” (Harmworth and Awatere 2013, 275). Whakapapa situates both human and more-than-human bodies</w:t>
      </w:r>
      <w:r w:rsidRPr="00C90932">
        <w:rPr>
          <w:sz w:val="16"/>
          <w:szCs w:val="16"/>
          <w:u w:val="single"/>
        </w:rPr>
        <w:t xml:space="preserve"> </w:t>
      </w:r>
      <w:r w:rsidRPr="00C90932">
        <w:rPr>
          <w:sz w:val="16"/>
          <w:szCs w:val="16"/>
        </w:rPr>
        <w:t xml:space="preserve">and materials </w:t>
      </w:r>
      <w:r w:rsidRPr="00C90932">
        <w:rPr>
          <w:u w:val="single"/>
        </w:rPr>
        <w:t>within a smooth framework of kinship,</w:t>
      </w:r>
      <w:r w:rsidRPr="00C90932">
        <w:rPr>
          <w:sz w:val="16"/>
          <w:szCs w:val="16"/>
        </w:rPr>
        <w:t xml:space="preserve"> entanglement, correspondence, exchange, </w:t>
      </w:r>
      <w:r w:rsidRPr="00C90932">
        <w:rPr>
          <w:u w:val="single"/>
        </w:rPr>
        <w:t>and dispersed agency.</w:t>
      </w:r>
      <w:r w:rsidRPr="00C90932">
        <w:rPr>
          <w:sz w:val="16"/>
          <w:szCs w:val="16"/>
        </w:rPr>
        <w:t xml:space="preserve"> One account, central to Northern Māori mythology, ofers some insight into the smooth exchange of materials, bodies, and narratives between the hydro and geo spheres by the shared origin account of kauri and whale. Indigenous to New Zealand, kauri (Agathis australis) are towering trees reaching upward to fifty meters (see figures 3.1 and 3.2). Northern Māori oral traditions present kauri to be the father of the sperm whale. Due to their in- credible size, both are esteemed as rangatira (chiefs). Beyond their immensity, they are comparable in their smooth, yet textured, greyish-brown exterior, both bark and skin enclosing valuable oils, where, “kauri gum is like the ambergris found in the intestines of the sperm whale” (Tāmaki Paenga Hira [Auckland War Memorial Museum], visited August 17, 2014). Due to its combustibility, Māori long used kauri resin for cooking and lighting, similar to how spermaceti, the oil of the sperm whale (Physeter macrocephalus), was used in early Western industrial nations. </w:t>
      </w:r>
      <w:r w:rsidRPr="00C90932">
        <w:rPr>
          <w:u w:val="single"/>
        </w:rPr>
        <w:t>Colonizing Europeans</w:t>
      </w:r>
      <w:r w:rsidRPr="00C90932">
        <w:rPr>
          <w:sz w:val="16"/>
          <w:szCs w:val="16"/>
        </w:rPr>
        <w:t xml:space="preserve"> harvested and </w:t>
      </w:r>
      <w:r w:rsidRPr="00C90932">
        <w:rPr>
          <w:u w:val="single"/>
        </w:rPr>
        <w:t>sold kauri timber</w:t>
      </w:r>
      <w:r w:rsidRPr="00C90932">
        <w:rPr>
          <w:sz w:val="16"/>
          <w:szCs w:val="16"/>
        </w:rPr>
        <w:t xml:space="preserve">, known for its resistance to seawater and sturdy, straight-grained lumber for masts and spars. Used for various wares domestically and abroad, </w:t>
      </w:r>
      <w:r w:rsidRPr="00C90932">
        <w:rPr>
          <w:u w:val="single"/>
        </w:rPr>
        <w:t>this tree, like the whale, was exploited to near collapse</w:t>
      </w:r>
      <w:r w:rsidRPr="00C90932">
        <w:rPr>
          <w:sz w:val="16"/>
          <w:szCs w:val="16"/>
        </w:rPr>
        <w:t xml:space="preserve"> in the nineteenth century. Other Māori narratives also bridge land and sea, employing human and more-than-human entities that openly exceed or exchange categories. The two main islands that constitute Aotearoa New Zealand are not presumed to be static land within a moving sea but, rather, as moving amid the ocean as canoe figures 3.1–3.2. The 800-year-old McKinney Kauri, with close-up of marker, Parry Kauri Park, Warkworth, New Zealand. Photos by author, July 6, 2014. 68 ∙ Katherine G. Sammler and fish. Epeli Hau‘ofa ofers some broader Pacific context when he writes, “Continental men, namely Europeans . . . introduced the view of ‘islands in a far sea’ . . . tiny, isolated dots in a vast ocean. . . . Our ancestors, who had lived in the Pacific for over two thousand years, viewed their world as ‘a sea of islands’ rather than as ‘islands in the sea’ ” (1994, 153; see also DeLoughrey 2015). This continental gaze forms the dominant hegemonic view of oceans as seen from land, </w:t>
      </w:r>
      <w:r w:rsidRPr="00C90932">
        <w:rPr>
          <w:u w:val="single"/>
        </w:rPr>
        <w:t>drawing lines of division between land and sea</w:t>
      </w:r>
      <w:r w:rsidRPr="00C90932">
        <w:rPr>
          <w:sz w:val="16"/>
          <w:szCs w:val="16"/>
        </w:rPr>
        <w:t xml:space="preserve">, between kauri and whale. Categorical binary divisions </w:t>
      </w:r>
      <w:r w:rsidRPr="00C90932">
        <w:rPr>
          <w:u w:val="single"/>
        </w:rPr>
        <w:t>as an apparatus of settler colonial governance of diference</w:t>
      </w:r>
      <w:r w:rsidRPr="00C90932">
        <w:rPr>
          <w:sz w:val="16"/>
          <w:szCs w:val="16"/>
        </w:rPr>
        <w:t xml:space="preserve"> and markets are defined by Elizabeth Povinelli (2016) as geontology. Povinelli’s understanding of geontopower </w:t>
      </w:r>
      <w:r w:rsidRPr="00C90932">
        <w:rPr>
          <w:u w:val="single"/>
        </w:rPr>
        <w:t>ensures the enclosure of life</w:t>
      </w:r>
      <w:r w:rsidRPr="00C90932">
        <w:rPr>
          <w:sz w:val="16"/>
          <w:szCs w:val="16"/>
        </w:rPr>
        <w:t xml:space="preserve"> (bios) </w:t>
      </w:r>
      <w:r w:rsidRPr="00C90932">
        <w:rPr>
          <w:u w:val="single"/>
        </w:rPr>
        <w:t>from nonlife</w:t>
      </w:r>
      <w:r w:rsidRPr="00C90932">
        <w:rPr>
          <w:sz w:val="16"/>
          <w:szCs w:val="16"/>
        </w:rPr>
        <w:t xml:space="preserve"> (geos, meteoros) as a “way of sorting the world [that] makes sense only from the disciplinary logic of geology, a disciplinary perspective that re- lies on natural types and species logics” (Povinelli 2016, 11). Applied to ocean spaces and resources, </w:t>
      </w:r>
      <w:r w:rsidRPr="00C90932">
        <w:rPr>
          <w:u w:val="single"/>
        </w:rPr>
        <w:t>divisions are employed to</w:t>
      </w:r>
      <w:r w:rsidRPr="00C90932">
        <w:rPr>
          <w:sz w:val="16"/>
          <w:szCs w:val="16"/>
        </w:rPr>
        <w:t xml:space="preserve"> categorically enclose land (geos) from sea (hydros), human (anthropos) from animal (zoe), and surface seas (pelago) from deep ocean (abbyso) and seafloor (bathy). As Māori traditions instead draw lines of connection, instituting cuts between land/sea, human/ nonhuman, creating discrete, bounded entities, goes against Māori whakapapa. The legislative </w:t>
      </w:r>
      <w:r w:rsidRPr="00C90932">
        <w:rPr>
          <w:u w:val="single"/>
        </w:rPr>
        <w:t>implement</w:t>
      </w:r>
      <w:r w:rsidRPr="00C90932">
        <w:rPr>
          <w:sz w:val="16"/>
          <w:szCs w:val="16"/>
        </w:rPr>
        <w:t xml:space="preserve">ation of these cuts in the form of baselines and of- shore </w:t>
      </w:r>
      <w:r w:rsidRPr="00C90932">
        <w:rPr>
          <w:u w:val="single"/>
        </w:rPr>
        <w:t>resource appropriation</w:t>
      </w:r>
      <w:r w:rsidRPr="00C90932">
        <w:rPr>
          <w:sz w:val="16"/>
          <w:szCs w:val="16"/>
        </w:rPr>
        <w:t xml:space="preserve"> by the New Zealand national government led to widespread protest. Resulting political actions demonstrate the divergent on- tologies, worlds at odds, “the world in which the dependent oppositions . . . are sensible and dramatic and the world in which these enclosures are no longer, or have never been, relevant, sensible, or practical” (Povinelli 2016, 16). Developing Divisions In a contemporary context, borders of nation-states and the spatial category of sovereign territory are often imagined as predominantly fixed. Politically con- structed boundaries can be concealed as wholly technical, or even scientific, afairs, as if a coastline were an essential and stable object. Yet current events are reminders of how national boundaries are produced and in flux, demonstrated by the dredging up of islands in the South China Sea for their associated liquid territories and the shifting of sands across the Singapore Strait, as discussed in Jennifer L. Gaynor’s chapter in this volume, or the disappearing territory, par- ticularly of Pacific Island nations, due to sea-level rise. Intrinsic to defining ocean boundaries are baselines, the technical division between land and sea. Defined as “the low-water line along the coast as marked on large-scale charts officially recognized by the coastal State” (unclos, Arti- Oceanic Matter and Meaning in New Zealand ∙ 69 cle 5), the baseline is a mechanism by which dynamic and shifting coastlines are transmogrified into static political borders. Baselines are geopolitically signifi- cant because not only do they provide the foundation for measuring maritime jurisdictions, but they also delimit the outermost extent of a nation’s territorial land (Bateman and Schofield 2008). They are therefore a significant part of the discursive means by which the totality of the ocean is disassembled from an interrelated whole and reconfigured as disparate parts. Following Stuart Elden’s (2010) notion of territory as a political technol- ogy, made up by techniques to calculate, evaluate, and control both land and sea, the highly technical knowledge employed to delineate ofshore territories can be examined alongside the political negotiations involved in making claims on these spaces. Baselines are one apparatus within the political technology for ocean territorialization, an act of measurement that “enacts </w:t>
      </w:r>
      <w:r w:rsidRPr="00C90932">
        <w:rPr>
          <w:u w:val="single"/>
        </w:rPr>
        <w:t>agential cuts that produce determinate boundaries and properties of ‘entitie</w:t>
      </w:r>
      <w:r w:rsidRPr="00C90932">
        <w:rPr>
          <w:sz w:val="16"/>
          <w:szCs w:val="16"/>
        </w:rPr>
        <w:t>s’ ” (Barad 2007, 148). While represented as natural, approximations of the coastline, baselines create meaning through social-material practices of boundary making; they enact cuts that fashion land and sea spaces into discrete entities. They are the foundational technical and political apparatus used by unclos to partition the ocean. To consider the political technologies used to bound ofshore ter- ritories, the materiality and mobility of ocean spaces and beings must be ad- dressed. Yet, the national government in New Zealand has struggled to leg- islate around these issues, and, in response, the partitioning of land and sea through the implementation of baselines and nationalization of the seabed has provoked passionate demonstrations. Controversies persist as seabed mining projects seek to commodify ocean minerals.</w:t>
      </w:r>
    </w:p>
    <w:p w14:paraId="7B5C0BCD" w14:textId="3DC76B0C" w:rsidR="000B13FB" w:rsidRPr="00C90932" w:rsidRDefault="000B13FB" w:rsidP="00C90932">
      <w:pPr>
        <w:pStyle w:val="Heading3"/>
      </w:pPr>
      <w:r w:rsidRPr="00C90932">
        <w:t>1NC – Climate</w:t>
      </w:r>
      <w:r w:rsidR="00D22380" w:rsidRPr="00C90932">
        <w:t>/BioD</w:t>
      </w:r>
    </w:p>
    <w:p w14:paraId="79009ACD" w14:textId="77777777" w:rsidR="0074559E" w:rsidRPr="00C90932" w:rsidRDefault="0074559E" w:rsidP="00C90932">
      <w:pPr>
        <w:pStyle w:val="Heading4"/>
      </w:pPr>
      <w:r w:rsidRPr="00C90932">
        <w:t xml:space="preserve">The plans </w:t>
      </w:r>
      <w:r w:rsidR="000B13FB" w:rsidRPr="00C90932">
        <w:t xml:space="preserve">universalizing discourse </w:t>
      </w:r>
      <w:r w:rsidRPr="00C90932">
        <w:t>of</w:t>
      </w:r>
      <w:r w:rsidR="000B13FB" w:rsidRPr="00C90932">
        <w:t xml:space="preserve"> climate change </w:t>
      </w:r>
      <w:r w:rsidRPr="00C90932">
        <w:t xml:space="preserve">as </w:t>
      </w:r>
      <w:r w:rsidR="000B13FB" w:rsidRPr="00C90932">
        <w:t>an urgent impact to avoid, whitewashing the apocalyptic condition of white supremacy that determines death before and after the climate</w:t>
      </w:r>
      <w:r w:rsidR="00102A57" w:rsidRPr="00C90932">
        <w:t xml:space="preserve"> Apocalypse</w:t>
      </w:r>
      <w:r w:rsidR="000B13FB" w:rsidRPr="00C90932">
        <w:t xml:space="preserve"> </w:t>
      </w:r>
    </w:p>
    <w:p w14:paraId="214DCC5A" w14:textId="417D8AAD" w:rsidR="00DF117E" w:rsidRPr="00C90932" w:rsidRDefault="000B13FB" w:rsidP="00C90932">
      <w:pPr>
        <w:rPr>
          <w:rFonts w:eastAsia="Times New Roman"/>
        </w:rPr>
      </w:pPr>
      <w:r w:rsidRPr="00C90932">
        <w:rPr>
          <w:rFonts w:eastAsiaTheme="majorEastAsia" w:cstheme="majorBidi"/>
          <w:b/>
          <w:iCs/>
          <w:sz w:val="26"/>
        </w:rPr>
        <w:t>Hudson</w:t>
      </w:r>
      <w:r w:rsidR="00102A57" w:rsidRPr="00C90932">
        <w:rPr>
          <w:rFonts w:eastAsiaTheme="majorEastAsia" w:cstheme="majorBidi"/>
          <w:b/>
          <w:iCs/>
          <w:sz w:val="26"/>
        </w:rPr>
        <w:t xml:space="preserve"> 21</w:t>
      </w:r>
      <w:r w:rsidRPr="00C90932">
        <w:rPr>
          <w:rFonts w:eastAsia="Times New Roman"/>
          <w:b/>
          <w:bCs/>
        </w:rPr>
        <w:t xml:space="preserve"> </w:t>
      </w:r>
      <w:r w:rsidRPr="00C90932">
        <w:rPr>
          <w:rFonts w:eastAsia="Times New Roman"/>
        </w:rPr>
        <w:t xml:space="preserve">[AJ Hudson, </w:t>
      </w:r>
      <w:r w:rsidR="00D35D90">
        <w:rPr>
          <w:rFonts w:eastAsia="Times New Roman"/>
        </w:rPr>
        <w:t xml:space="preserve">Environmental Organizer, PhD candidate in Environment, University of Oxford, </w:t>
      </w:r>
      <w:r w:rsidRPr="00C90932">
        <w:rPr>
          <w:rFonts w:eastAsia="Times New Roman"/>
        </w:rPr>
        <w:t xml:space="preserve">"The End of the World, for Whom?", </w:t>
      </w:r>
      <w:r w:rsidR="009A2C97" w:rsidRPr="00C90932">
        <w:rPr>
          <w:rFonts w:eastAsia="Times New Roman"/>
        </w:rPr>
        <w:t>2021/03/01</w:t>
      </w:r>
      <w:r w:rsidRPr="00C90932">
        <w:rPr>
          <w:rFonts w:eastAsia="Times New Roman"/>
        </w:rPr>
        <w:t xml:space="preserve">, </w:t>
      </w:r>
      <w:r w:rsidR="00D35D90">
        <w:rPr>
          <w:rFonts w:eastAsia="Times New Roman"/>
        </w:rPr>
        <w:t>Deep Times Journal</w:t>
      </w:r>
      <w:r w:rsidRPr="00C90932">
        <w:rPr>
          <w:rFonts w:eastAsia="Times New Roman"/>
        </w:rPr>
        <w:t>, https://journal.workthatreconnects.org/2021/03/01/the-end-of-the-world-for-whom/]</w:t>
      </w:r>
      <w:r w:rsidR="00960FBB" w:rsidRPr="00C90932">
        <w:rPr>
          <w:rFonts w:eastAsia="Times New Roman"/>
        </w:rPr>
        <w:t xml:space="preserve"> // Micah</w:t>
      </w:r>
    </w:p>
    <w:p w14:paraId="22D6BFFE" w14:textId="26E127E8" w:rsidR="000B13FB" w:rsidRPr="00C90932" w:rsidRDefault="00DF117E" w:rsidP="00C90932">
      <w:pPr>
        <w:rPr>
          <w:rFonts w:eastAsia="Times New Roman"/>
          <w:u w:val="single"/>
        </w:rPr>
      </w:pPr>
      <w:r w:rsidRPr="00C90932">
        <w:rPr>
          <w:rFonts w:eastAsia="Times New Roman"/>
        </w:rPr>
        <w:t xml:space="preserve">*paragraph integrity not preserved* </w:t>
      </w:r>
      <w:r w:rsidR="000B13FB" w:rsidRPr="00C90932">
        <w:rPr>
          <w:rFonts w:eastAsia="Times New Roman"/>
          <w:sz w:val="24"/>
          <w:szCs w:val="24"/>
        </w:rPr>
        <w:br/>
      </w:r>
    </w:p>
    <w:p w14:paraId="23903F07" w14:textId="77777777" w:rsidR="000B13FB" w:rsidRPr="00D35D90" w:rsidRDefault="000B13FB" w:rsidP="00D35D90">
      <w:pPr>
        <w:rPr>
          <w:rStyle w:val="Emphasis"/>
        </w:rPr>
      </w:pPr>
      <w:r w:rsidRPr="00D35D90">
        <w:rPr>
          <w:rStyle w:val="StyleUnderline"/>
        </w:rPr>
        <w:t>With the horrific disasters our planet and this country have been confronted with this year, it is almost easy to forget that the world is supposed to be ending sometime soon due to climate change</w:t>
      </w:r>
      <w:r w:rsidRPr="00D35D90">
        <w:rPr>
          <w:sz w:val="14"/>
        </w:rPr>
        <w:t xml:space="preserve">. According to the UN, we have 10 years to get our act together. 9 years. 8 years. 7 years. 6… How many years are even left? A few years for us to change everything about our society. Faced with a pandemic that has only helped to make time feel truly meaningless, I know I can’t be the only person fearful that they have lost count. I can already feel the time left for us to right the ship escaping me, like sand falling between my fingers. I know that for many, when they think of the responsibility we have before us to “fix” what is so deeply broken, they are transfixed with terror, paralyzed by a fear of loss, or frozen by the enormity of the crisis. I am not here to tell you that it will be ok. If it was ever my job to console you, it certainly is especially not my job in this moment, as a Black man surviving 2020. I am actually here to confirm that the apocalypse is coming. The world is ending. Nothing will ever be the same. But I am also here to question whether that is even a bad thing. If it is a bad thing, then who is this ending a bad thing for? </w:t>
      </w:r>
      <w:r w:rsidRPr="00D35D90">
        <w:rPr>
          <w:rStyle w:val="Emphasis"/>
        </w:rPr>
        <w:t xml:space="preserve">Whose world is ending?  </w:t>
      </w:r>
      <w:r w:rsidRPr="00D35D90">
        <w:rPr>
          <w:rStyle w:val="StyleUnderline"/>
        </w:rPr>
        <w:t>so many people in our society have already faced their own personal apocalypse Truly, on this planet, there are many people for whom the world is already over.</w:t>
      </w:r>
      <w:r w:rsidRPr="00D35D90">
        <w:rPr>
          <w:rFonts w:eastAsia="Times New Roman"/>
          <w:sz w:val="14"/>
          <w:szCs w:val="16"/>
        </w:rPr>
        <w:t xml:space="preserve"> </w:t>
      </w:r>
      <w:r w:rsidRPr="00D35D90">
        <w:rPr>
          <w:sz w:val="14"/>
        </w:rPr>
        <w:t>Who have very little to lose. Some of</w:t>
      </w:r>
      <w:r w:rsidRPr="00D35D90">
        <w:rPr>
          <w:rFonts w:eastAsia="Times New Roman"/>
          <w:sz w:val="14"/>
          <w:szCs w:val="16"/>
        </w:rPr>
        <w:t xml:space="preserve"> them live a world away; some of them live a mile away; some of them live even closer. They will never see the nature that so many environmentalists are fighting to protect, they continue to have very little if any access to the resources that the climate change advocates are asking them to conserve, and they are not a respected part of the climate change conversation. Our</w:t>
      </w:r>
      <w:r w:rsidRPr="00D35D90">
        <w:rPr>
          <w:rFonts w:eastAsia="Times New Roman"/>
          <w:sz w:val="14"/>
          <w:szCs w:val="24"/>
        </w:rPr>
        <w:t xml:space="preserve"> </w:t>
      </w:r>
      <w:r w:rsidRPr="00D35D90">
        <w:rPr>
          <w:rStyle w:val="StyleUnderline"/>
        </w:rPr>
        <w:t>society fears a coming climate apocalypse, but so many people in our society have already faced their own personal apocalypse, and at the hands of the same reckless and greedy powers which have caused this current catastrophe.</w:t>
      </w:r>
      <w:r w:rsidRPr="00C90932">
        <w:rPr>
          <w:rFonts w:eastAsia="Times New Roman"/>
          <w:sz w:val="24"/>
          <w:szCs w:val="24"/>
          <w:u w:val="single"/>
        </w:rPr>
        <w:t xml:space="preserve"> </w:t>
      </w:r>
      <w:r w:rsidRPr="00D35D90">
        <w:rPr>
          <w:rStyle w:val="Emphasis"/>
        </w:rPr>
        <w:t>When will their suffering hold meaning for the rest of us? do we even deserve this precious planet?</w:t>
      </w:r>
      <w:r w:rsidRPr="00D35D90">
        <w:rPr>
          <w:rFonts w:eastAsia="Times New Roman"/>
          <w:sz w:val="14"/>
          <w:szCs w:val="24"/>
        </w:rPr>
        <w:t xml:space="preserve"> </w:t>
      </w:r>
      <w:r w:rsidRPr="00D35D90">
        <w:rPr>
          <w:rFonts w:eastAsia="Times New Roman"/>
          <w:sz w:val="14"/>
          <w:szCs w:val="16"/>
        </w:rPr>
        <w:t xml:space="preserve">This is why climate change cannot be fixed with a simple chart depicting emissions reductions, creative blockchain carbon taxation, or other magical accounting that allows us to cancel out local emissions through trees planted (allegedly) entire continents away. There is no technology that can save us from ourselves, and if we can’t see the incredible opportunity before us to change the problems that lead us to this very precipice in the first place, if we can’t embrace that challenge then… who are we? If we don’t want to face that reality of the </w:t>
      </w:r>
      <w:r w:rsidRPr="00D35D90">
        <w:rPr>
          <w:sz w:val="14"/>
        </w:rPr>
        <w:t>billions of apocalypses both gone and current, and instead choose half measures that will take carbon from the air but leave the world a shattered and unequal place… then do we even deserve this precious planet?</w:t>
      </w:r>
      <w:r w:rsidRPr="00C90932">
        <w:rPr>
          <w:rFonts w:eastAsia="Times New Roman"/>
          <w:sz w:val="16"/>
          <w:szCs w:val="16"/>
          <w:u w:val="single"/>
        </w:rPr>
        <w:t xml:space="preserve"> </w:t>
      </w:r>
      <w:r w:rsidRPr="00D35D90">
        <w:rPr>
          <w:rStyle w:val="StyleUnderline"/>
        </w:rPr>
        <w:t xml:space="preserve">the world has already ended several times For many fearing climate change apocalypse, they fear their lives changing forever, their access to natural wonders canceled, their children’s economic futures uncertain, their sacrifices of comfort and convenience in vain due to petty partisan politics. It is their world that is ending. For so many others, the apocalypse has already happened. In fact, the world has already ended several times. </w:t>
      </w:r>
      <w:r w:rsidRPr="00D35D90">
        <w:rPr>
          <w:rStyle w:val="Emphasis"/>
        </w:rPr>
        <w:t>It ended the moment Columbus landed on the islands of the Caribbean. It ended for the kidnapped villagers in Western Africa—my ancestors</w:t>
      </w:r>
      <w:r w:rsidRPr="00C90932">
        <w:rPr>
          <w:rFonts w:eastAsia="Times New Roman"/>
          <w:sz w:val="24"/>
          <w:szCs w:val="24"/>
          <w:u w:val="single"/>
        </w:rPr>
        <w:t xml:space="preserve">— </w:t>
      </w:r>
      <w:r w:rsidRPr="00D35D90">
        <w:rPr>
          <w:rStyle w:val="StyleUnderline"/>
        </w:rPr>
        <w:t>when they were stuffed into the wicked belly of a slave ship</w:t>
      </w:r>
      <w:r w:rsidRPr="00C90932">
        <w:rPr>
          <w:rFonts w:eastAsia="Times New Roman"/>
          <w:sz w:val="24"/>
          <w:szCs w:val="24"/>
          <w:u w:val="single"/>
        </w:rPr>
        <w:t xml:space="preserve"> </w:t>
      </w:r>
      <w:r w:rsidRPr="00D35D90">
        <w:rPr>
          <w:rStyle w:val="Emphasis"/>
        </w:rPr>
        <w:t>and cast into slavery in a strange land with a strange new climate</w:t>
      </w:r>
      <w:r w:rsidRPr="00D35D90">
        <w:rPr>
          <w:rStyle w:val="StyleUnderline"/>
        </w:rPr>
        <w:t xml:space="preserve">. It ended with the first blanket covered in smallpox. It ended on Thanksgiving Day. It ended with the Trail of Tears. Agent Orange. Hiroshima. The Holocaust. It ended with Hurricane Katrina, Maria, Kenneth, Harvey and Dorian. </w:t>
      </w:r>
      <w:r w:rsidRPr="00D35D90">
        <w:rPr>
          <w:rStyle w:val="Emphasis"/>
        </w:rPr>
        <w:t>It ended for George Floyd and Breonna Taylor.</w:t>
      </w:r>
      <w:r w:rsidRPr="00C90932">
        <w:rPr>
          <w:rFonts w:eastAsia="Times New Roman"/>
          <w:sz w:val="24"/>
          <w:szCs w:val="24"/>
          <w:u w:val="single"/>
        </w:rPr>
        <w:t xml:space="preserve"> </w:t>
      </w:r>
      <w:r w:rsidRPr="00D35D90">
        <w:rPr>
          <w:rStyle w:val="StyleUnderline"/>
        </w:rPr>
        <w:t>It ended in an ICE camp on the border. It ended for the 2 million, and counting, killed by COVID-19.  So many people have already faced the ends of their own civilization. So many people have already faced the ending of their personal worlds. Most of these shattered worlds never truly recovered. None of them have ever been</w:t>
      </w:r>
      <w:r w:rsidRPr="00D35D90">
        <w:rPr>
          <w:rFonts w:eastAsia="Times New Roman"/>
          <w:sz w:val="14"/>
          <w:szCs w:val="24"/>
        </w:rPr>
        <w:t xml:space="preserve"> given what they, </w:t>
      </w:r>
      <w:r w:rsidRPr="00D35D90">
        <w:rPr>
          <w:rStyle w:val="StyleUnderline"/>
        </w:rPr>
        <w:t>as sacrifice zones sanctioned to enable the perpetual motion of our economy, are owed. They have never even had a real slice of this world, to begin with. This was not their world.</w:t>
      </w:r>
      <w:r w:rsidRPr="00D35D90">
        <w:rPr>
          <w:rFonts w:eastAsia="Times New Roman"/>
          <w:sz w:val="14"/>
          <w:szCs w:val="24"/>
        </w:rPr>
        <w:t xml:space="preserve"> These people and their ancestors know better than any of us how to tackle what’s coming, and what forces have allowed it to come, even as they face the new onslaught of climate change impacts which they have so little responsibility for causing.  this looming chaos is nothing more than the culmination of those generations of recklessness Our global civilization, the one that everyone reading this article is benefitting from, was built on the literal ashes of other civilizations. Meanwhile, a few white men from a few white nations have made nearly all of the decisions that have led us to this present point. To this present danger. Ending any inconvenient worlds that fell into their path along the way. Justifying their revolting actions with caste and class. In many ways, this looming chaos is nothing more than the culmination of those generations of recklessness. In many other ways, the terror of oncoming apocalypse only reminds those with broken worlds of how forgotten they are and have always been. My family, and my colleagues in the BIPOC-led climate justice movement, have grown up out of these shattered post-apocalyptic worlds, they are our story, our burden, and our strength, and to be frank, </w:t>
      </w:r>
      <w:r w:rsidRPr="00D35D90">
        <w:rPr>
          <w:rStyle w:val="Emphasis"/>
        </w:rPr>
        <w:t>the world that so many fear losing… is not a world that we have ever had full access to.</w:t>
      </w:r>
    </w:p>
    <w:p w14:paraId="533E9493" w14:textId="77777777" w:rsidR="000B13FB" w:rsidRPr="00D35D90" w:rsidRDefault="000B13FB" w:rsidP="00C90932">
      <w:pPr>
        <w:rPr>
          <w:sz w:val="14"/>
        </w:rPr>
      </w:pPr>
    </w:p>
    <w:p w14:paraId="4C6863CF" w14:textId="5D43568B" w:rsidR="001C4B1A" w:rsidRPr="00C90932" w:rsidRDefault="001C4B1A" w:rsidP="00C90932">
      <w:pPr>
        <w:pStyle w:val="Heading3"/>
      </w:pPr>
      <w:r w:rsidRPr="00C90932">
        <w:t>1NC – Russia</w:t>
      </w:r>
    </w:p>
    <w:p w14:paraId="2B73A4E8" w14:textId="61C322A3" w:rsidR="009D13F8" w:rsidRPr="00C90932" w:rsidRDefault="00062CE8" w:rsidP="00C90932">
      <w:pPr>
        <w:keepNext/>
        <w:keepLines/>
        <w:spacing w:before="40" w:line="256" w:lineRule="auto"/>
        <w:outlineLvl w:val="3"/>
        <w:rPr>
          <w:rFonts w:eastAsia="Times New Roman"/>
          <w:iCs/>
          <w:sz w:val="26"/>
        </w:rPr>
      </w:pPr>
      <w:r w:rsidRPr="00C90932">
        <w:rPr>
          <w:rFonts w:eastAsia="Times New Roman"/>
          <w:b/>
          <w:iCs/>
          <w:sz w:val="26"/>
        </w:rPr>
        <w:t>The affs framing of US-Russia war is</w:t>
      </w:r>
      <w:r w:rsidR="00BB79F4" w:rsidRPr="00C90932">
        <w:rPr>
          <w:rFonts w:eastAsia="Times New Roman"/>
          <w:b/>
          <w:iCs/>
          <w:sz w:val="26"/>
        </w:rPr>
        <w:t xml:space="preserve"> an attempt to secure whiteness against its own inevitable decline. </w:t>
      </w:r>
    </w:p>
    <w:p w14:paraId="63B50355" w14:textId="5ECDCB2A" w:rsidR="009D13F8" w:rsidRPr="00C90932" w:rsidRDefault="009D13F8" w:rsidP="00C90932">
      <w:pPr>
        <w:spacing w:line="256" w:lineRule="auto"/>
        <w:rPr>
          <w:rFonts w:eastAsia="Aptos"/>
          <w:b/>
          <w:bCs/>
          <w:sz w:val="26"/>
        </w:rPr>
      </w:pPr>
      <w:r w:rsidRPr="00C90932">
        <w:rPr>
          <w:rFonts w:eastAsia="Aptos"/>
          <w:b/>
          <w:bCs/>
          <w:sz w:val="26"/>
        </w:rPr>
        <w:t>Bifo</w:t>
      </w:r>
      <w:r w:rsidR="003D7D37" w:rsidRPr="00C90932">
        <w:rPr>
          <w:rFonts w:eastAsia="Aptos"/>
          <w:b/>
          <w:bCs/>
          <w:sz w:val="26"/>
        </w:rPr>
        <w:t xml:space="preserve"> </w:t>
      </w:r>
      <w:r w:rsidRPr="00C90932">
        <w:rPr>
          <w:rFonts w:eastAsia="Aptos"/>
          <w:b/>
          <w:bCs/>
          <w:sz w:val="26"/>
        </w:rPr>
        <w:t>22</w:t>
      </w:r>
      <w:r w:rsidR="00E95A1C" w:rsidRPr="00C90932">
        <w:rPr>
          <w:rFonts w:eastAsia="Aptos"/>
          <w:b/>
          <w:bCs/>
          <w:sz w:val="26"/>
        </w:rPr>
        <w:t xml:space="preserve"> </w:t>
      </w:r>
      <w:r w:rsidRPr="00C90932">
        <w:rPr>
          <w:rFonts w:eastAsia="Aptos"/>
        </w:rPr>
        <w:t>[Franco Berardi, aka “Bifo,” founder of Radio Alice, member of Italian Autonomia movement, writer, media theorist, and social activist: “War and (Senile) Dementia,” e-flux #125 (March 2022). https://www.e-flux.com/journal/125/454088/war-and-senile-dementia/]//AD – recut Micah</w:t>
      </w:r>
    </w:p>
    <w:p w14:paraId="6C4A1844" w14:textId="77777777" w:rsidR="009D13F8" w:rsidRPr="00C90932" w:rsidRDefault="009D13F8" w:rsidP="00C90932">
      <w:pPr>
        <w:spacing w:line="256" w:lineRule="auto"/>
        <w:rPr>
          <w:rStyle w:val="Emphasis"/>
        </w:rPr>
      </w:pPr>
      <w:r w:rsidRPr="00C90932">
        <w:rPr>
          <w:rStyle w:val="Emphasis"/>
        </w:rPr>
        <w:t>At the Eastern borders of Europe, two old white men play a game in which neither of them can retreat.</w:t>
      </w:r>
    </w:p>
    <w:p w14:paraId="7191EADA" w14:textId="77777777" w:rsidR="009D13F8" w:rsidRPr="00C90932" w:rsidRDefault="009D13F8" w:rsidP="00C90932">
      <w:pPr>
        <w:spacing w:line="256" w:lineRule="auto"/>
        <w:rPr>
          <w:rFonts w:eastAsia="Aptos"/>
          <w:sz w:val="16"/>
        </w:rPr>
      </w:pPr>
      <w:r w:rsidRPr="00C90932">
        <w:rPr>
          <w:rFonts w:eastAsia="Aptos"/>
          <w:sz w:val="16"/>
        </w:rPr>
        <w:t>The old white American is on the heels of a humiliating and tragic defeat. Worse than Saigon, Kabul is fresh in the global imaginary as a sign of the cognitive breakdown of the long-dominant, imperialist power.</w:t>
      </w:r>
    </w:p>
    <w:p w14:paraId="05EB9AAB" w14:textId="77777777" w:rsidR="009D13F8" w:rsidRPr="00C90932" w:rsidRDefault="009D13F8" w:rsidP="00C90932">
      <w:pPr>
        <w:spacing w:line="256" w:lineRule="auto"/>
        <w:rPr>
          <w:rFonts w:eastAsia="Aptos"/>
          <w:sz w:val="16"/>
        </w:rPr>
      </w:pPr>
      <w:r w:rsidRPr="00C90932">
        <w:rPr>
          <w:rFonts w:eastAsia="Aptos"/>
          <w:sz w:val="16"/>
        </w:rPr>
        <w:t>The old white Russian knows that the base of his power is a nationalist promise: to avenge the honor of “Holy Mother Russia.”</w:t>
      </w:r>
    </w:p>
    <w:p w14:paraId="3A995422" w14:textId="77777777" w:rsidR="009D13F8" w:rsidRPr="00C90932" w:rsidRDefault="009D13F8" w:rsidP="00C90932">
      <w:pPr>
        <w:spacing w:line="256" w:lineRule="auto"/>
        <w:rPr>
          <w:rFonts w:eastAsia="Aptos"/>
          <w:iCs/>
          <w:sz w:val="16"/>
          <w:bdr w:val="single" w:sz="12" w:space="0" w:color="auto" w:frame="1"/>
        </w:rPr>
      </w:pPr>
      <w:r w:rsidRPr="00C90932">
        <w:rPr>
          <w:rFonts w:eastAsia="Aptos"/>
          <w:iCs/>
          <w:kern w:val="2"/>
          <w:sz w:val="16"/>
          <w14:ligatures w14:val="standardContextual"/>
        </w:rPr>
        <w:t>The one who retreats first will lose everything.</w:t>
      </w:r>
    </w:p>
    <w:p w14:paraId="273D772B" w14:textId="77777777" w:rsidR="009D13F8" w:rsidRPr="00C90932" w:rsidRDefault="009D13F8" w:rsidP="00C90932">
      <w:pPr>
        <w:spacing w:line="256" w:lineRule="auto"/>
        <w:rPr>
          <w:rFonts w:eastAsia="Aptos"/>
          <w:sz w:val="16"/>
        </w:rPr>
      </w:pPr>
      <w:r w:rsidRPr="00C90932">
        <w:rPr>
          <w:rFonts w:eastAsia="Aptos"/>
          <w:sz w:val="16"/>
        </w:rPr>
        <w:t xml:space="preserve">The fact that Putin is a Nazi was already clear at the conclusion of the second war in Chechnya. But at the time, </w:t>
      </w:r>
      <w:r w:rsidRPr="00C90932">
        <w:rPr>
          <w:rFonts w:eastAsia="Aptos"/>
          <w:iCs/>
          <w:kern w:val="2"/>
          <w:sz w:val="16"/>
          <w14:ligatures w14:val="standardContextual"/>
        </w:rPr>
        <w:t>he was still lauded by the American president</w:t>
      </w:r>
      <w:r w:rsidRPr="00C90932">
        <w:rPr>
          <w:rFonts w:eastAsia="Aptos"/>
          <w:sz w:val="16"/>
        </w:rPr>
        <w:t>, who looked him in the eyes and praised his sincerity. The Russian also enjoyed the favor of British banks, as they were filled to the brim with rubles robbed by Putin and his friends through the dismantling of public infrastructures after the fall of the Soviet Union. Geriatric Russians and Anglo-Americans were brothers in arms when it came to destroying the social spheres produced by past labor and communist movements all over the world.</w:t>
      </w:r>
    </w:p>
    <w:p w14:paraId="7C1165CA" w14:textId="77777777" w:rsidR="009D13F8" w:rsidRPr="00C90932" w:rsidRDefault="009D13F8" w:rsidP="00C90932">
      <w:pPr>
        <w:spacing w:line="256" w:lineRule="auto"/>
        <w:rPr>
          <w:rFonts w:eastAsia="Aptos"/>
          <w:u w:val="single"/>
        </w:rPr>
      </w:pPr>
      <w:r w:rsidRPr="00C90932">
        <w:rPr>
          <w:rFonts w:eastAsia="Aptos"/>
          <w:u w:val="single"/>
        </w:rPr>
        <w:t xml:space="preserve">But friendship and camaraderie don’t last among assassins. In fact, </w:t>
      </w:r>
      <w:r w:rsidRPr="00C90932">
        <w:rPr>
          <w:rFonts w:eastAsia="Aptos"/>
          <w:iCs/>
          <w:kern w:val="2"/>
          <w:u w:val="single"/>
          <w14:ligatures w14:val="standardContextual"/>
        </w:rPr>
        <w:t>what use would NATO be if peace was actually brokered?</w:t>
      </w:r>
      <w:r w:rsidRPr="00C90932">
        <w:rPr>
          <w:rFonts w:eastAsia="Aptos"/>
          <w:u w:val="single"/>
        </w:rPr>
        <w:t xml:space="preserve"> And how would a successful peace have affected the bottom lines of the multinational companies </w:t>
      </w:r>
      <w:r w:rsidRPr="00C90932">
        <w:rPr>
          <w:rFonts w:eastAsia="Aptos"/>
          <w:iCs/>
          <w:kern w:val="2"/>
          <w:u w:val="single"/>
          <w14:ligatures w14:val="standardContextual"/>
        </w:rPr>
        <w:t>producing weapons of mass destruction and death</w:t>
      </w:r>
      <w:r w:rsidRPr="00C90932">
        <w:rPr>
          <w:rFonts w:eastAsia="Aptos"/>
          <w:u w:val="single"/>
        </w:rPr>
        <w:t>—today making endless profits.</w:t>
      </w:r>
    </w:p>
    <w:p w14:paraId="427AE6ED" w14:textId="77777777" w:rsidR="009D13F8" w:rsidRPr="00C90932" w:rsidRDefault="009D13F8" w:rsidP="00C90932">
      <w:pPr>
        <w:spacing w:line="256" w:lineRule="auto"/>
        <w:rPr>
          <w:rFonts w:eastAsia="Aptos"/>
          <w:b/>
          <w:bCs/>
          <w:u w:val="single"/>
        </w:rPr>
      </w:pPr>
      <w:r w:rsidRPr="00C90932">
        <w:rPr>
          <w:rFonts w:eastAsia="Aptos"/>
          <w:u w:val="single"/>
        </w:rPr>
        <w:t xml:space="preserve">The </w:t>
      </w:r>
      <w:r w:rsidRPr="00C90932">
        <w:rPr>
          <w:rFonts w:eastAsia="Aptos"/>
          <w:iCs/>
          <w:kern w:val="2"/>
          <w:u w:val="single"/>
          <w14:ligatures w14:val="standardContextual"/>
        </w:rPr>
        <w:t xml:space="preserve">expansion of NATO only serves to reignite a hostility that capitalism could not let die, to </w:t>
      </w:r>
      <w:r w:rsidRPr="00C90932">
        <w:rPr>
          <w:rFonts w:eastAsia="Aptos"/>
          <w:b/>
          <w:bCs/>
          <w:iCs/>
          <w:kern w:val="2"/>
          <w:u w:val="single"/>
          <w14:ligatures w14:val="standardContextual"/>
        </w:rPr>
        <w:t>keep the profitable conflict alive</w:t>
      </w:r>
      <w:r w:rsidRPr="00C90932">
        <w:rPr>
          <w:rFonts w:eastAsia="Aptos"/>
          <w:b/>
          <w:bCs/>
          <w:u w:val="single"/>
        </w:rPr>
        <w:t>.</w:t>
      </w:r>
    </w:p>
    <w:p w14:paraId="7FF9E531" w14:textId="77777777" w:rsidR="009D13F8" w:rsidRPr="00C90932" w:rsidRDefault="009D13F8" w:rsidP="00C90932">
      <w:pPr>
        <w:spacing w:line="256" w:lineRule="auto"/>
        <w:rPr>
          <w:rFonts w:eastAsia="Aptos"/>
          <w:u w:val="single"/>
        </w:rPr>
      </w:pPr>
      <w:r w:rsidRPr="00C90932">
        <w:rPr>
          <w:rFonts w:eastAsia="Aptos"/>
          <w:iCs/>
          <w:kern w:val="2"/>
          <w:sz w:val="16"/>
          <w14:ligatures w14:val="standardContextual"/>
        </w:rPr>
        <w:t>There is no rational explanation for the war in Ukraine</w:t>
      </w:r>
      <w:r w:rsidRPr="00C90932">
        <w:rPr>
          <w:rFonts w:eastAsia="Aptos"/>
          <w:sz w:val="16"/>
        </w:rPr>
        <w:t xml:space="preserve">, especially because it is the climactic movement in a </w:t>
      </w:r>
      <w:r w:rsidRPr="00C90932">
        <w:rPr>
          <w:rFonts w:eastAsia="Aptos"/>
          <w:iCs/>
          <w:kern w:val="2"/>
          <w:sz w:val="16"/>
          <w14:ligatures w14:val="standardContextual"/>
        </w:rPr>
        <w:t>psychotic crisis of the white brain</w:t>
      </w:r>
      <w:r w:rsidRPr="00C90932">
        <w:rPr>
          <w:rFonts w:eastAsia="Aptos"/>
          <w:sz w:val="16"/>
        </w:rPr>
        <w:t xml:space="preserve">. </w:t>
      </w:r>
      <w:r w:rsidRPr="00C90932">
        <w:rPr>
          <w:rFonts w:eastAsia="Aptos"/>
          <w:u w:val="single"/>
        </w:rPr>
        <w:t xml:space="preserve">What rationality is there in the expansion of </w:t>
      </w:r>
      <w:r w:rsidRPr="00C90932">
        <w:rPr>
          <w:rFonts w:eastAsia="Aptos"/>
          <w:iCs/>
          <w:kern w:val="2"/>
          <w:u w:val="single"/>
          <w14:ligatures w14:val="standardContextual"/>
        </w:rPr>
        <w:t>NATO, which arms Polish, Baltic, and, yes, Ukrainian Nazis against Russian Nazism</w:t>
      </w:r>
      <w:r w:rsidRPr="00C90932">
        <w:rPr>
          <w:rFonts w:eastAsia="Aptos"/>
          <w:u w:val="single"/>
        </w:rPr>
        <w:t xml:space="preserve">? In exchange, Biden gets the result most feared by American war strategists: </w:t>
      </w:r>
      <w:r w:rsidRPr="00C90932">
        <w:rPr>
          <w:rFonts w:eastAsia="Aptos"/>
          <w:iCs/>
          <w:kern w:val="2"/>
          <w:u w:val="single"/>
          <w14:ligatures w14:val="standardContextual"/>
        </w:rPr>
        <w:t>forcing Russia and China into an embrace</w:t>
      </w:r>
      <w:r w:rsidRPr="00C90932">
        <w:rPr>
          <w:rFonts w:eastAsia="Aptos"/>
          <w:u w:val="single"/>
        </w:rPr>
        <w:t xml:space="preserve"> that fifty years ago Nixon had succeeded in weakening.</w:t>
      </w:r>
    </w:p>
    <w:p w14:paraId="30DA7380" w14:textId="77777777" w:rsidR="009D13F8" w:rsidRPr="00C90932" w:rsidRDefault="009D13F8" w:rsidP="00C90932">
      <w:pPr>
        <w:spacing w:line="256" w:lineRule="auto"/>
        <w:rPr>
          <w:rFonts w:eastAsia="Aptos"/>
          <w:u w:val="single"/>
        </w:rPr>
      </w:pPr>
      <w:r w:rsidRPr="00C90932">
        <w:rPr>
          <w:rFonts w:eastAsia="Aptos"/>
          <w:sz w:val="16"/>
        </w:rPr>
        <w:t xml:space="preserve">Given that the </w:t>
      </w:r>
      <w:r w:rsidRPr="00C90932">
        <w:rPr>
          <w:rFonts w:eastAsia="Aptos"/>
          <w:iCs/>
          <w:kern w:val="2"/>
          <w:sz w:val="16"/>
          <w14:ligatures w14:val="standardContextual"/>
        </w:rPr>
        <w:t>war is inexplicable in strategic terms</w:t>
      </w:r>
      <w:r w:rsidRPr="00C90932">
        <w:rPr>
          <w:rFonts w:eastAsia="Aptos"/>
          <w:sz w:val="16"/>
        </w:rPr>
        <w:t xml:space="preserve">, </w:t>
      </w:r>
      <w:r w:rsidRPr="00C90932">
        <w:rPr>
          <w:rFonts w:eastAsia="Aptos"/>
          <w:u w:val="single"/>
        </w:rPr>
        <w:t xml:space="preserve">to understand the war </w:t>
      </w:r>
      <w:r w:rsidRPr="00C90932">
        <w:rPr>
          <w:rFonts w:eastAsia="Aptos"/>
          <w:iCs/>
          <w:kern w:val="2"/>
          <w:u w:val="single"/>
          <w14:ligatures w14:val="standardContextual"/>
        </w:rPr>
        <w:t>we don’t need to think geopolitically</w:t>
      </w:r>
      <w:r w:rsidRPr="00C90932">
        <w:rPr>
          <w:rFonts w:eastAsia="Aptos"/>
          <w:u w:val="single"/>
        </w:rPr>
        <w:t>, but rather psycho-pathologically. Perhaps we need a geopolitics of psychotic outbursts.</w:t>
      </w:r>
    </w:p>
    <w:p w14:paraId="478DC227" w14:textId="77777777" w:rsidR="009D13F8" w:rsidRPr="00C90932" w:rsidRDefault="009D13F8" w:rsidP="00C90932">
      <w:pPr>
        <w:spacing w:line="256" w:lineRule="auto"/>
        <w:rPr>
          <w:rFonts w:eastAsia="Aptos"/>
          <w:u w:val="single"/>
        </w:rPr>
      </w:pPr>
      <w:r w:rsidRPr="00C90932">
        <w:rPr>
          <w:rFonts w:eastAsia="Aptos"/>
          <w:u w:val="single"/>
        </w:rPr>
        <w:t xml:space="preserve">At stake here is the political, economic, demographic, and finally psychic </w:t>
      </w:r>
      <w:r w:rsidRPr="00C90932">
        <w:rPr>
          <w:rFonts w:eastAsia="Aptos"/>
          <w:iCs/>
          <w:kern w:val="2"/>
          <w:u w:val="single"/>
          <w14:ligatures w14:val="standardContextual"/>
        </w:rPr>
        <w:t>defeat of white</w:t>
      </w:r>
      <w:r w:rsidRPr="00C90932">
        <w:rPr>
          <w:rFonts w:eastAsia="Aptos"/>
          <w:u w:val="single"/>
        </w:rPr>
        <w:t xml:space="preserve">, Western, (post)colonial civilization, which cannot accept the prospect of exhaustion, which </w:t>
      </w:r>
      <w:r w:rsidRPr="00C90932">
        <w:rPr>
          <w:rFonts w:eastAsia="Aptos"/>
          <w:iCs/>
          <w:kern w:val="2"/>
          <w:u w:val="single"/>
          <w14:ligatures w14:val="standardContextual"/>
        </w:rPr>
        <w:t>prefers destruction or suicide to the slow extinction of white dominance</w:t>
      </w:r>
      <w:r w:rsidRPr="00C90932">
        <w:rPr>
          <w:rFonts w:eastAsia="Aptos"/>
          <w:u w:val="single"/>
        </w:rPr>
        <w:t>.</w:t>
      </w:r>
    </w:p>
    <w:p w14:paraId="245E250A" w14:textId="77777777" w:rsidR="009D13F8" w:rsidRPr="00C90932" w:rsidRDefault="009D13F8" w:rsidP="00C90932">
      <w:pPr>
        <w:spacing w:line="256" w:lineRule="auto"/>
        <w:rPr>
          <w:rFonts w:eastAsia="Aptos"/>
          <w:sz w:val="16"/>
        </w:rPr>
      </w:pPr>
      <w:r w:rsidRPr="00C90932">
        <w:rPr>
          <w:rFonts w:eastAsia="Aptos"/>
          <w:sz w:val="16"/>
        </w:rPr>
        <w:t>West, Future, Decline</w:t>
      </w:r>
    </w:p>
    <w:p w14:paraId="4ABFC66D" w14:textId="77777777" w:rsidR="009D13F8" w:rsidRPr="00C90932" w:rsidRDefault="009D13F8" w:rsidP="00C90932">
      <w:pPr>
        <w:spacing w:line="256" w:lineRule="auto"/>
        <w:rPr>
          <w:rFonts w:eastAsia="Aptos"/>
          <w:sz w:val="16"/>
        </w:rPr>
      </w:pPr>
      <w:r w:rsidRPr="00C90932">
        <w:rPr>
          <w:rFonts w:eastAsia="Aptos"/>
          <w:sz w:val="16"/>
        </w:rPr>
        <w:t xml:space="preserve">With the war in Ukraine, a hysterical </w:t>
      </w:r>
      <w:r w:rsidRPr="00C90932">
        <w:rPr>
          <w:rFonts w:eastAsia="Aptos"/>
          <w:iCs/>
          <w:kern w:val="2"/>
          <w:sz w:val="16"/>
          <w14:ligatures w14:val="standardContextual"/>
        </w:rPr>
        <w:t>arms race</w:t>
      </w:r>
      <w:r w:rsidRPr="00C90932">
        <w:rPr>
          <w:rFonts w:eastAsia="Aptos"/>
          <w:sz w:val="16"/>
        </w:rPr>
        <w:t xml:space="preserve"> begins, </w:t>
      </w:r>
      <w:r w:rsidRPr="00C90932">
        <w:rPr>
          <w:rFonts w:eastAsia="Aptos"/>
          <w:u w:val="single"/>
        </w:rPr>
        <w:t>borders are consolidated (along racialized lines</w:t>
      </w:r>
      <w:r w:rsidRPr="00C90932">
        <w:rPr>
          <w:rFonts w:eastAsia="Aptos"/>
          <w:sz w:val="16"/>
        </w:rPr>
        <w:t>), and violence increases exponentially—all demonstrations of the senile marasmus into which the West has fallen.</w:t>
      </w:r>
    </w:p>
    <w:p w14:paraId="3A2C1C9D" w14:textId="77777777" w:rsidR="009D13F8" w:rsidRPr="00C90932" w:rsidRDefault="009D13F8" w:rsidP="00C90932">
      <w:pPr>
        <w:spacing w:line="256" w:lineRule="auto"/>
        <w:rPr>
          <w:rFonts w:eastAsia="Aptos"/>
          <w:sz w:val="16"/>
        </w:rPr>
      </w:pPr>
      <w:r w:rsidRPr="00C90932">
        <w:rPr>
          <w:rFonts w:eastAsia="Aptos"/>
          <w:sz w:val="16"/>
        </w:rPr>
        <w:t>On February 23, 2022, when Russian troops were already in the Donbass, Trump praised Putin as a peacekeeping “genius,” and suggested that the US follow his lead on the Mexican border.</w:t>
      </w:r>
    </w:p>
    <w:p w14:paraId="495284C8" w14:textId="77777777" w:rsidR="009D13F8" w:rsidRPr="00C90932" w:rsidRDefault="009D13F8" w:rsidP="00C90932">
      <w:pPr>
        <w:spacing w:line="256" w:lineRule="auto"/>
        <w:rPr>
          <w:rFonts w:eastAsia="Aptos"/>
          <w:sz w:val="16"/>
        </w:rPr>
      </w:pPr>
      <w:r w:rsidRPr="00C90932">
        <w:rPr>
          <w:rFonts w:eastAsia="Aptos"/>
          <w:sz w:val="16"/>
        </w:rPr>
        <w:t xml:space="preserve">Let’s see if we can figure out what Trump’s obscenities mean. Is there a kernel of truth in his delusions? </w:t>
      </w:r>
      <w:r w:rsidRPr="00C90932">
        <w:rPr>
          <w:rFonts w:eastAsia="Aptos"/>
          <w:iCs/>
          <w:kern w:val="2"/>
          <w:sz w:val="16"/>
          <w14:ligatures w14:val="standardContextual"/>
        </w:rPr>
        <w:t>At issue is the very concept of the West</w:t>
      </w:r>
      <w:r w:rsidRPr="00C90932">
        <w:rPr>
          <w:rFonts w:eastAsia="Aptos"/>
          <w:sz w:val="16"/>
        </w:rPr>
        <w:t>.</w:t>
      </w:r>
    </w:p>
    <w:p w14:paraId="7DBCCD03" w14:textId="77777777" w:rsidR="009D13F8" w:rsidRPr="00C90932" w:rsidRDefault="009D13F8" w:rsidP="00C90932">
      <w:pPr>
        <w:spacing w:line="256" w:lineRule="auto"/>
        <w:rPr>
          <w:rFonts w:eastAsia="Aptos"/>
          <w:sz w:val="16"/>
        </w:rPr>
      </w:pPr>
      <w:r w:rsidRPr="00C90932">
        <w:rPr>
          <w:rFonts w:eastAsia="Aptos"/>
          <w:sz w:val="16"/>
        </w:rPr>
        <w:t>But first, what is the West?</w:t>
      </w:r>
    </w:p>
    <w:p w14:paraId="4F11DC8E" w14:textId="77777777" w:rsidR="009D13F8" w:rsidRPr="00C90932" w:rsidRDefault="009D13F8" w:rsidP="00C90932">
      <w:pPr>
        <w:spacing w:line="256" w:lineRule="auto"/>
        <w:rPr>
          <w:rFonts w:eastAsia="Aptos"/>
          <w:sz w:val="16"/>
        </w:rPr>
      </w:pPr>
      <w:r w:rsidRPr="00C90932">
        <w:rPr>
          <w:rFonts w:eastAsia="Aptos"/>
          <w:sz w:val="16"/>
        </w:rPr>
        <w:t>If by “West” we refer to a geographical definition, then Russia is of course excluded. But if we think about the anthropological and historical meanings of that word, then Russia is more Western than any other West.</w:t>
      </w:r>
    </w:p>
    <w:p w14:paraId="7B472626" w14:textId="77777777" w:rsidR="009D13F8" w:rsidRPr="00C90932" w:rsidRDefault="009D13F8" w:rsidP="00C90932">
      <w:pPr>
        <w:spacing w:line="256" w:lineRule="auto"/>
        <w:rPr>
          <w:rFonts w:eastAsia="Aptos"/>
          <w:u w:val="single"/>
        </w:rPr>
      </w:pPr>
      <w:r w:rsidRPr="00C90932">
        <w:rPr>
          <w:rFonts w:eastAsia="Aptos"/>
          <w:sz w:val="16"/>
        </w:rPr>
        <w:t xml:space="preserve">In short, </w:t>
      </w:r>
      <w:r w:rsidRPr="00C90932">
        <w:rPr>
          <w:rFonts w:eastAsia="Aptos"/>
          <w:u w:val="single"/>
        </w:rPr>
        <w:t xml:space="preserve">the West can be defined as the </w:t>
      </w:r>
      <w:r w:rsidRPr="00C90932">
        <w:rPr>
          <w:rFonts w:eastAsia="Aptos"/>
          <w:iCs/>
          <w:kern w:val="2"/>
          <w:u w:val="single"/>
          <w14:ligatures w14:val="standardContextual"/>
        </w:rPr>
        <w:t>land of decline</w:t>
      </w:r>
      <w:r w:rsidRPr="00C90932">
        <w:rPr>
          <w:rFonts w:eastAsia="Aptos"/>
          <w:u w:val="single"/>
        </w:rPr>
        <w:t xml:space="preserve"> and of </w:t>
      </w:r>
      <w:r w:rsidRPr="00C90932">
        <w:rPr>
          <w:rFonts w:eastAsia="Aptos"/>
          <w:iCs/>
          <w:kern w:val="2"/>
          <w:u w:val="single"/>
          <w14:ligatures w14:val="standardContextual"/>
        </w:rPr>
        <w:t>obsession with the future</w:t>
      </w:r>
      <w:r w:rsidRPr="00C90932">
        <w:rPr>
          <w:rFonts w:eastAsia="Aptos"/>
          <w:sz w:val="16"/>
        </w:rPr>
        <w:t>. Those two traits are in fact one, given that for organisms subject to the second law of thermodynamics—as are individual and social bodies—</w:t>
      </w:r>
      <w:r w:rsidRPr="00C90932">
        <w:rPr>
          <w:rFonts w:eastAsia="Aptos"/>
          <w:iCs/>
          <w:kern w:val="2"/>
          <w:u w:val="single"/>
          <w14:ligatures w14:val="standardContextual"/>
        </w:rPr>
        <w:t>the future can only mean eventual decline.</w:t>
      </w:r>
    </w:p>
    <w:p w14:paraId="738F7597" w14:textId="77777777" w:rsidR="009D13F8" w:rsidRPr="00C90932" w:rsidRDefault="009D13F8" w:rsidP="00C90932">
      <w:pPr>
        <w:spacing w:line="256" w:lineRule="auto"/>
        <w:rPr>
          <w:rFonts w:eastAsia="Aptos"/>
          <w:u w:val="single"/>
        </w:rPr>
      </w:pPr>
      <w:r w:rsidRPr="00C90932">
        <w:rPr>
          <w:rFonts w:eastAsia="Aptos"/>
          <w:sz w:val="16"/>
        </w:rPr>
        <w:t>We—</w:t>
      </w:r>
      <w:r w:rsidRPr="00C90932">
        <w:rPr>
          <w:rFonts w:eastAsia="Aptos"/>
          <w:iCs/>
          <w:kern w:val="2"/>
          <w:sz w:val="16"/>
          <w14:ligatures w14:val="standardContextual"/>
        </w:rPr>
        <w:t xml:space="preserve">both the “we” of </w:t>
      </w:r>
      <w:r w:rsidRPr="00C90932">
        <w:rPr>
          <w:rFonts w:eastAsia="Aptos"/>
          <w:iCs/>
          <w:kern w:val="2"/>
          <w:u w:val="single"/>
          <w14:ligatures w14:val="standardContextual"/>
        </w:rPr>
        <w:t>the West and the Westerners of the boundless Russian lands</w:t>
      </w:r>
      <w:r w:rsidRPr="00C90932">
        <w:rPr>
          <w:rFonts w:eastAsia="Aptos"/>
          <w:u w:val="single"/>
        </w:rPr>
        <w:t xml:space="preserve">—are therefore united in futurism and decline, that is, in the </w:t>
      </w:r>
      <w:r w:rsidRPr="00C90932">
        <w:rPr>
          <w:rFonts w:eastAsia="Aptos"/>
          <w:iCs/>
          <w:kern w:val="2"/>
          <w:u w:val="single"/>
          <w14:ligatures w14:val="standardContextual"/>
        </w:rPr>
        <w:t xml:space="preserve">delirium of omnipotence </w:t>
      </w:r>
      <w:r w:rsidRPr="00C90932">
        <w:rPr>
          <w:rFonts w:eastAsia="Aptos"/>
          <w:u w:val="single"/>
        </w:rPr>
        <w:t>and in the desperation of impotence.</w:t>
      </w:r>
    </w:p>
    <w:p w14:paraId="619F105F" w14:textId="77777777" w:rsidR="009D13F8" w:rsidRPr="00C90932" w:rsidRDefault="009D13F8" w:rsidP="00C90932">
      <w:pPr>
        <w:spacing w:line="256" w:lineRule="auto"/>
        <w:rPr>
          <w:rFonts w:eastAsia="Aptos"/>
          <w:sz w:val="16"/>
        </w:rPr>
      </w:pPr>
      <w:r w:rsidRPr="00C90932">
        <w:rPr>
          <w:rFonts w:eastAsia="Aptos"/>
          <w:sz w:val="16"/>
        </w:rPr>
        <w:t>Trump gets credit for telling it like it is, claiming that our enemies are not Russians, but migrants from the Global South; China, which we have humiliated; Africa, which we have plundered. Those are our enemies, not the very white Russia, which is part of the “Great West.”</w:t>
      </w:r>
    </w:p>
    <w:p w14:paraId="2E4409B8" w14:textId="77777777" w:rsidR="009D13F8" w:rsidRPr="00C90932" w:rsidRDefault="009D13F8" w:rsidP="00C90932">
      <w:pPr>
        <w:spacing w:line="256" w:lineRule="auto"/>
        <w:rPr>
          <w:rFonts w:eastAsia="Aptos"/>
          <w:u w:val="single"/>
        </w:rPr>
      </w:pPr>
      <w:r w:rsidRPr="00C90932">
        <w:rPr>
          <w:rFonts w:eastAsia="Aptos"/>
          <w:u w:val="single"/>
        </w:rPr>
        <w:t>This Trumpist logic is based on a white supremacy that sees Russianness as the most extreme form of acceptable whiteness.</w:t>
      </w:r>
    </w:p>
    <w:p w14:paraId="03359F54" w14:textId="77777777" w:rsidR="009D13F8" w:rsidRPr="00C90932" w:rsidRDefault="009D13F8" w:rsidP="00C90932">
      <w:pPr>
        <w:spacing w:line="256" w:lineRule="auto"/>
        <w:rPr>
          <w:rFonts w:eastAsia="Aptos"/>
          <w:sz w:val="16"/>
        </w:rPr>
      </w:pPr>
      <w:r w:rsidRPr="00C90932">
        <w:rPr>
          <w:rFonts w:eastAsia="Aptos"/>
          <w:iCs/>
          <w:kern w:val="2"/>
          <w:u w:val="single"/>
          <w14:ligatures w14:val="standardContextual"/>
        </w:rPr>
        <w:t>Biden’s logic is instead based on the defense of the “free world”: a world born from genocide, from the forced deportation of millions of slaves, and organized around foundational systemic racism</w:t>
      </w:r>
      <w:r w:rsidRPr="00C90932">
        <w:rPr>
          <w:rFonts w:eastAsia="Aptos"/>
          <w:u w:val="single"/>
        </w:rPr>
        <w:t>.</w:t>
      </w:r>
      <w:r w:rsidRPr="00C90932">
        <w:rPr>
          <w:rFonts w:eastAsia="Aptos"/>
          <w:sz w:val="16"/>
        </w:rPr>
        <w:t xml:space="preserve"> Biden chooses </w:t>
      </w:r>
      <w:r w:rsidRPr="00C90932">
        <w:rPr>
          <w:rFonts w:eastAsia="Aptos"/>
          <w:iCs/>
          <w:kern w:val="2"/>
          <w:sz w:val="16"/>
          <w14:ligatures w14:val="standardContextual"/>
        </w:rPr>
        <w:t>to break the “Great West” apart in favor of a smaller West without Russia</w:t>
      </w:r>
      <w:r w:rsidRPr="00C90932">
        <w:rPr>
          <w:rFonts w:eastAsia="Aptos"/>
          <w:sz w:val="16"/>
        </w:rPr>
        <w:t xml:space="preserve">, which is in any case destined to tear itself apart and to </w:t>
      </w:r>
      <w:r w:rsidRPr="00C90932">
        <w:rPr>
          <w:rFonts w:eastAsia="Aptos"/>
          <w:iCs/>
          <w:kern w:val="2"/>
          <w:sz w:val="16"/>
          <w14:ligatures w14:val="standardContextual"/>
        </w:rPr>
        <w:t>involve the whole planet in its suicide</w:t>
      </w:r>
      <w:r w:rsidRPr="00C90932">
        <w:rPr>
          <w:rFonts w:eastAsia="Aptos"/>
          <w:sz w:val="16"/>
        </w:rPr>
        <w:t>.</w:t>
      </w:r>
    </w:p>
    <w:p w14:paraId="3B2E17EE" w14:textId="77777777" w:rsidR="009D13F8" w:rsidRPr="00C90932" w:rsidRDefault="009D13F8" w:rsidP="00C90932">
      <w:pPr>
        <w:spacing w:line="256" w:lineRule="auto"/>
        <w:rPr>
          <w:rFonts w:eastAsia="Aptos"/>
          <w:sz w:val="16"/>
        </w:rPr>
      </w:pPr>
      <w:r w:rsidRPr="00C90932">
        <w:rPr>
          <w:rFonts w:eastAsia="Aptos"/>
          <w:sz w:val="16"/>
        </w:rPr>
        <w:t xml:space="preserve">So, let’s </w:t>
      </w:r>
      <w:r w:rsidRPr="00C90932">
        <w:rPr>
          <w:rFonts w:eastAsia="Aptos"/>
          <w:u w:val="single"/>
        </w:rPr>
        <w:t>define the West as a sphere of racist dominance obsessed with the future</w:t>
      </w:r>
      <w:r w:rsidRPr="00C90932">
        <w:rPr>
          <w:rFonts w:eastAsia="Aptos"/>
          <w:sz w:val="16"/>
        </w:rPr>
        <w:t>. Time stretches out in an expansive pulse: economic growth, accumulation, capitalism. It is exactly this obsession with the future that feeds the machine of dominance: a concrete present (of pleasure, of muscular relaxation) is invested into and exchanged for abstract future value.</w:t>
      </w:r>
    </w:p>
    <w:p w14:paraId="7258EB10" w14:textId="77777777" w:rsidR="009D13F8" w:rsidRPr="00C90932" w:rsidRDefault="009D13F8" w:rsidP="00C90932">
      <w:pPr>
        <w:spacing w:line="256" w:lineRule="auto"/>
        <w:rPr>
          <w:rFonts w:eastAsia="Aptos"/>
          <w:sz w:val="16"/>
        </w:rPr>
      </w:pPr>
      <w:r w:rsidRPr="00C90932">
        <w:rPr>
          <w:rFonts w:eastAsia="Aptos"/>
          <w:sz w:val="16"/>
        </w:rPr>
        <w:t>Perhaps we could reformulate the classical Marxist analysis of value to say that exchange value is precisely this accumulation of the present (the concrete) in abstract forms (like money) that can be exchanged for something else tomorrow.</w:t>
      </w:r>
    </w:p>
    <w:p w14:paraId="583EC158" w14:textId="77777777" w:rsidR="009D13F8" w:rsidRPr="00C90932" w:rsidRDefault="009D13F8" w:rsidP="00C90932">
      <w:pPr>
        <w:spacing w:line="256" w:lineRule="auto"/>
        <w:rPr>
          <w:rFonts w:eastAsia="Aptos"/>
          <w:sz w:val="16"/>
        </w:rPr>
      </w:pPr>
      <w:r w:rsidRPr="00C90932">
        <w:rPr>
          <w:rFonts w:eastAsia="Aptos"/>
          <w:sz w:val="16"/>
        </w:rPr>
        <w:t xml:space="preserve">The fixation on and fetishization of the future are </w:t>
      </w:r>
      <w:r w:rsidRPr="00C90932">
        <w:rPr>
          <w:rFonts w:eastAsia="Aptos"/>
          <w:iCs/>
          <w:kern w:val="2"/>
          <w:sz w:val="16"/>
          <w14:ligatures w14:val="standardContextual"/>
        </w:rPr>
        <w:t>by no means a natural cognitive modality of the human</w:t>
      </w:r>
      <w:r w:rsidRPr="00C90932">
        <w:rPr>
          <w:rFonts w:eastAsia="Aptos"/>
          <w:sz w:val="16"/>
        </w:rPr>
        <w:t xml:space="preserve">. Most human cultures have been organized around a </w:t>
      </w:r>
      <w:r w:rsidRPr="00C90932">
        <w:rPr>
          <w:rFonts w:eastAsia="Aptos"/>
          <w:iCs/>
          <w:kern w:val="2"/>
          <w:sz w:val="16"/>
          <w14:ligatures w14:val="standardContextual"/>
        </w:rPr>
        <w:t>cyclical understanding of time</w:t>
      </w:r>
      <w:r w:rsidRPr="00C90932">
        <w:rPr>
          <w:rFonts w:eastAsia="Aptos"/>
          <w:sz w:val="16"/>
        </w:rPr>
        <w:t>, or on the insuperable dilation of the present.</w:t>
      </w:r>
    </w:p>
    <w:p w14:paraId="7A8C2275" w14:textId="77777777" w:rsidR="009D13F8" w:rsidRPr="00C90932" w:rsidRDefault="009D13F8" w:rsidP="00C90932">
      <w:pPr>
        <w:spacing w:line="256" w:lineRule="auto"/>
        <w:rPr>
          <w:rFonts w:eastAsia="Aptos"/>
          <w:sz w:val="16"/>
        </w:rPr>
      </w:pPr>
      <w:r w:rsidRPr="00C90932">
        <w:rPr>
          <w:rFonts w:eastAsia="Aptos"/>
          <w:sz w:val="16"/>
        </w:rPr>
        <w:t>Futurism is a transition to complete self-consciousness (also in aesthetic terms) of cultures of expansion. But there are many futurisms.</w:t>
      </w:r>
    </w:p>
    <w:p w14:paraId="6D12EC5F" w14:textId="77777777" w:rsidR="009D13F8" w:rsidRPr="00C90932" w:rsidRDefault="009D13F8" w:rsidP="00C90932">
      <w:pPr>
        <w:spacing w:line="256" w:lineRule="auto"/>
        <w:rPr>
          <w:rFonts w:eastAsia="Aptos"/>
          <w:sz w:val="16"/>
        </w:rPr>
      </w:pPr>
      <w:r w:rsidRPr="00C90932">
        <w:rPr>
          <w:rFonts w:eastAsia="Aptos"/>
          <w:sz w:val="16"/>
        </w:rPr>
        <w:t>The obsession with the future has different implications in the theological-utopian sphere that is central to Russian culture and the techno-economic sphere of Euro-American culture. Federov’s cosmism and Mayakovsky’s futurisms both share an eschatological breath that is lacked by the technocratic fanaticisms of Marinetti and Musk. Maybe that’s why it is Russia’s destiny to end history—and here we are.</w:t>
      </w:r>
    </w:p>
    <w:p w14:paraId="0A02DABF" w14:textId="77777777" w:rsidR="009D13F8" w:rsidRPr="00C90932" w:rsidRDefault="009D13F8" w:rsidP="00C90932">
      <w:pPr>
        <w:spacing w:line="256" w:lineRule="auto"/>
        <w:rPr>
          <w:rFonts w:eastAsia="Aptos"/>
          <w:sz w:val="16"/>
        </w:rPr>
      </w:pPr>
      <w:r w:rsidRPr="00C90932">
        <w:rPr>
          <w:rFonts w:eastAsia="Aptos"/>
          <w:sz w:val="16"/>
        </w:rPr>
        <w:t>Nazism Is Everywhere</w:t>
      </w:r>
    </w:p>
    <w:p w14:paraId="2A8E89F6" w14:textId="77777777" w:rsidR="009D13F8" w:rsidRPr="00C90932" w:rsidRDefault="009D13F8" w:rsidP="00C90932">
      <w:pPr>
        <w:spacing w:line="256" w:lineRule="auto"/>
        <w:rPr>
          <w:rFonts w:eastAsia="Aptos"/>
          <w:sz w:val="16"/>
        </w:rPr>
      </w:pPr>
      <w:r w:rsidRPr="00C90932">
        <w:rPr>
          <w:rFonts w:eastAsia="Aptos"/>
          <w:u w:val="single"/>
        </w:rPr>
        <w:t xml:space="preserve">The new horizon is </w:t>
      </w:r>
      <w:r w:rsidRPr="00C90932">
        <w:rPr>
          <w:rFonts w:eastAsia="Aptos"/>
          <w:iCs/>
          <w:kern w:val="2"/>
          <w:u w:val="single"/>
          <w14:ligatures w14:val="standardContextual"/>
        </w:rPr>
        <w:t>war that pits one Nazism against another</w:t>
      </w:r>
      <w:r w:rsidRPr="00C90932">
        <w:rPr>
          <w:rFonts w:eastAsia="Aptos"/>
          <w:sz w:val="16"/>
        </w:rPr>
        <w:t>. In his writings from the 1960s, Gunter Anders predicted that the nihilistic charge of Nazism would not die with the defeat of Hitler. He presaged that it would return onto the world stage when technical power developed to such a degree that it provoked the humiliation of the human.</w:t>
      </w:r>
    </w:p>
    <w:p w14:paraId="394F5B2A" w14:textId="77777777" w:rsidR="009D13F8" w:rsidRPr="00C90932" w:rsidRDefault="009D13F8" w:rsidP="00C90932">
      <w:pPr>
        <w:spacing w:line="256" w:lineRule="auto"/>
        <w:rPr>
          <w:rFonts w:eastAsia="Aptos"/>
          <w:u w:val="single"/>
        </w:rPr>
      </w:pPr>
      <w:r w:rsidRPr="00C90932">
        <w:rPr>
          <w:rFonts w:eastAsia="Aptos"/>
          <w:u w:val="single"/>
        </w:rPr>
        <w:t xml:space="preserve">Nazism is reemerging as a </w:t>
      </w:r>
      <w:r w:rsidRPr="00C90932">
        <w:rPr>
          <w:rFonts w:eastAsia="Aptos"/>
          <w:iCs/>
          <w:kern w:val="2"/>
          <w:u w:val="single"/>
          <w14:ligatures w14:val="standardContextual"/>
        </w:rPr>
        <w:t>psycho-political form of the demented body of the white race, which ragefully reacts to its own unstoppable decline</w:t>
      </w:r>
      <w:r w:rsidRPr="00C90932">
        <w:rPr>
          <w:rFonts w:eastAsia="Aptos"/>
          <w:u w:val="single"/>
        </w:rPr>
        <w:t>. Viral chaos has created the conditions for the formation of a global, biopolitical infrastructure, but it has also accentuated the widely experienced perception of matter’s ungovernability as it loses order, disintegrates, and dies.</w:t>
      </w:r>
    </w:p>
    <w:p w14:paraId="346927F6" w14:textId="77777777" w:rsidR="009D13F8" w:rsidRPr="00C90932" w:rsidRDefault="009D13F8" w:rsidP="00C90932">
      <w:pPr>
        <w:spacing w:line="256" w:lineRule="auto"/>
        <w:rPr>
          <w:rFonts w:eastAsia="Aptos"/>
          <w:sz w:val="16"/>
        </w:rPr>
      </w:pPr>
      <w:r w:rsidRPr="00C90932">
        <w:rPr>
          <w:rFonts w:eastAsia="Aptos"/>
          <w:iCs/>
          <w:kern w:val="2"/>
          <w:u w:val="single"/>
          <w14:ligatures w14:val="standardContextual"/>
        </w:rPr>
        <w:t>The West has forsaken death because that concept is not compatible with its obsession with the future</w:t>
      </w:r>
      <w:r w:rsidRPr="00C90932">
        <w:rPr>
          <w:rFonts w:eastAsia="Aptos"/>
          <w:iCs/>
          <w:kern w:val="2"/>
          <w:sz w:val="16"/>
          <w14:ligatures w14:val="standardContextual"/>
        </w:rPr>
        <w:t>.</w:t>
      </w:r>
      <w:r w:rsidRPr="00C90932">
        <w:rPr>
          <w:rFonts w:eastAsia="Aptos"/>
          <w:sz w:val="16"/>
        </w:rPr>
        <w:t xml:space="preserve"> It has rejected senility because it is not compatible with expansion and growth. But now, the (demographic, cultural, and economic) aging of the dominant cultures of the Global North are presented as </w:t>
      </w:r>
      <w:r w:rsidRPr="00C90932">
        <w:rPr>
          <w:rFonts w:eastAsia="Aptos"/>
          <w:iCs/>
          <w:kern w:val="2"/>
          <w:sz w:val="16"/>
          <w14:ligatures w14:val="standardContextual"/>
        </w:rPr>
        <w:t>a specter that white culture cannot even contemplate, let alone accept</w:t>
      </w:r>
      <w:r w:rsidRPr="00C90932">
        <w:rPr>
          <w:rFonts w:eastAsia="Aptos"/>
          <w:sz w:val="16"/>
        </w:rPr>
        <w:t>.</w:t>
      </w:r>
    </w:p>
    <w:p w14:paraId="412EC9B4" w14:textId="77777777" w:rsidR="009D13F8" w:rsidRPr="00C90932" w:rsidRDefault="009D13F8" w:rsidP="00C90932">
      <w:pPr>
        <w:spacing w:line="256" w:lineRule="auto"/>
        <w:rPr>
          <w:rFonts w:eastAsia="Aptos"/>
          <w:iCs/>
          <w:sz w:val="16"/>
          <w:bdr w:val="single" w:sz="12" w:space="0" w:color="auto" w:frame="1"/>
        </w:rPr>
      </w:pPr>
      <w:r w:rsidRPr="00C90932">
        <w:rPr>
          <w:rFonts w:eastAsia="Aptos"/>
          <w:sz w:val="16"/>
        </w:rPr>
        <w:t xml:space="preserve">This is where the white brain (that </w:t>
      </w:r>
      <w:r w:rsidRPr="00C90932">
        <w:rPr>
          <w:rFonts w:eastAsia="Aptos"/>
          <w:iCs/>
          <w:kern w:val="2"/>
          <w:sz w:val="16"/>
          <w14:ligatures w14:val="standardContextual"/>
        </w:rPr>
        <w:t>of both Biden and Putin</w:t>
      </w:r>
      <w:r w:rsidRPr="00C90932">
        <w:rPr>
          <w:rFonts w:eastAsia="Aptos"/>
          <w:sz w:val="16"/>
        </w:rPr>
        <w:t xml:space="preserve">) enters a furious crisis of senile dementia. Then the white brain most lost to senility—that of Donald Trump—utters a truth that no one can stand to hear: </w:t>
      </w:r>
      <w:r w:rsidRPr="00C90932">
        <w:rPr>
          <w:rFonts w:eastAsia="Aptos"/>
          <w:iCs/>
          <w:kern w:val="2"/>
          <w:sz w:val="16"/>
          <w14:ligatures w14:val="standardContextual"/>
        </w:rPr>
        <w:t>Putin is our best friend. Sure, he’s a racist murderer, but we are no less so.</w:t>
      </w:r>
    </w:p>
    <w:p w14:paraId="1D329688" w14:textId="57414D49" w:rsidR="00E95A1C" w:rsidRPr="00C90932" w:rsidRDefault="009D13F8" w:rsidP="00C90932">
      <w:pPr>
        <w:spacing w:line="256" w:lineRule="auto"/>
        <w:rPr>
          <w:rFonts w:eastAsia="Aptos"/>
          <w:sz w:val="16"/>
        </w:rPr>
      </w:pPr>
      <w:r w:rsidRPr="00C90932">
        <w:rPr>
          <w:rFonts w:eastAsia="Aptos"/>
          <w:sz w:val="16"/>
        </w:rPr>
        <w:t xml:space="preserve">On the other hand, Biden represents the impotent anger that old people express and feel when they notice the decline of their strength, psychic energy, and cognitive efficiency. </w:t>
      </w:r>
      <w:r w:rsidRPr="00C90932">
        <w:rPr>
          <w:rFonts w:eastAsia="Aptos"/>
          <w:iCs/>
          <w:kern w:val="2"/>
          <w:sz w:val="16"/>
          <w14:ligatures w14:val="standardContextual"/>
        </w:rPr>
        <w:t>Now that exhaustion is in its advanced stage, extinction is the only reassuring prospect</w:t>
      </w:r>
      <w:r w:rsidRPr="00C90932">
        <w:rPr>
          <w:rFonts w:eastAsia="Aptos"/>
          <w:sz w:val="16"/>
        </w:rPr>
        <w:t>.</w:t>
      </w:r>
    </w:p>
    <w:p w14:paraId="30A8B3A6" w14:textId="48A1B3B6" w:rsidR="000B13FB" w:rsidRPr="00C90932" w:rsidRDefault="0007338C" w:rsidP="00C90932">
      <w:pPr>
        <w:pStyle w:val="Heading3"/>
        <w:rPr>
          <w:rFonts w:cs="Calibri"/>
        </w:rPr>
      </w:pPr>
      <w:r w:rsidRPr="00C90932">
        <w:rPr>
          <w:rFonts w:cs="Calibri"/>
        </w:rPr>
        <w:t>1NC – China</w:t>
      </w:r>
    </w:p>
    <w:p w14:paraId="11D8070A" w14:textId="77777777" w:rsidR="0007338C" w:rsidRPr="00C90932" w:rsidRDefault="0007338C" w:rsidP="00C90932">
      <w:pPr>
        <w:pStyle w:val="Heading4"/>
        <w:rPr>
          <w:rFonts w:cs="Calibri"/>
        </w:rPr>
      </w:pPr>
      <w:r w:rsidRPr="00C90932">
        <w:rPr>
          <w:rFonts w:cs="Calibri"/>
        </w:rPr>
        <w:t xml:space="preserve">The affs desire to “curtail” Chinese territorialization of the blue elides the ways in which the clash between the dominant western order and that of the emerging power that is China are indicative of and reify colonial blue desires. </w:t>
      </w:r>
    </w:p>
    <w:p w14:paraId="2792C53B" w14:textId="2B09DC0E" w:rsidR="0007338C" w:rsidRPr="00C90932" w:rsidRDefault="0007338C" w:rsidP="00C90932">
      <w:r w:rsidRPr="00C90932">
        <w:rPr>
          <w:rStyle w:val="Style13ptBold"/>
        </w:rPr>
        <w:t>Der 17</w:t>
      </w:r>
      <w:r w:rsidRPr="00C90932">
        <w:t xml:space="preserve"> [Haus Der, "Anthropocene Curriculum → China’s “Blue Territory” and the Technosphere in Maritime East Asia", 04/15/2017 </w:t>
      </w:r>
      <w:r w:rsidRPr="005A21D6">
        <w:t>https://www.anthropocene-curriculum.org/contribution/chinas-blue-territory-and-the-technosphere-in-maritime-east-asia</w:t>
      </w:r>
      <w:r w:rsidR="00D35D90">
        <w:t>]</w:t>
      </w:r>
      <w:r w:rsidRPr="00C90932">
        <w:t xml:space="preserve"> // Micah</w:t>
      </w:r>
    </w:p>
    <w:p w14:paraId="44A51D8F" w14:textId="77777777" w:rsidR="0007338C" w:rsidRDefault="0007338C" w:rsidP="00C90932">
      <w:pPr>
        <w:rPr>
          <w:sz w:val="16"/>
        </w:rPr>
      </w:pPr>
      <w:r w:rsidRPr="00C90932">
        <w:rPr>
          <w:u w:val="single"/>
        </w:rPr>
        <w:t>In July 2016, an international tribunal constituted under the United Nations Convention on the Law of the Sea (UNCLOS) handed down its ruling in an arbitration requested by the Philippines over China’s actions in the South China Sea.</w:t>
      </w:r>
      <w:r w:rsidRPr="00C90932">
        <w:rPr>
          <w:sz w:val="16"/>
        </w:rPr>
        <w:t xml:space="preserve"> Alongside a meticulous catalogue of Beijing’s breaches of the Convention, the ruling’s key significance was to set stringent criteria for establishing a maritime land feature’s legal status as an “island” entitled to expansive jurisdictional rights over the surrounding waters. </w:t>
      </w:r>
      <w:r w:rsidRPr="00C90932">
        <w:rPr>
          <w:u w:val="single"/>
        </w:rPr>
        <w:t xml:space="preserve">On the surface, the legal landmark sharply circumscribed the potential scope of sovereign claims over maritime space. But it also highlighted the paradoxical territorialization of maritime space under the “global constitution for the world’s oceans.” Throughout the twentieth century, while international law gradually was chipping away at state authority over the earth’s landmasses, precisely the opposite was occurring at sea. </w:t>
      </w:r>
      <w:r w:rsidRPr="00C90932">
        <w:rPr>
          <w:sz w:val="16"/>
        </w:rPr>
        <w:t xml:space="preserve">In Bernard Oxman’s memorable terms, the “territorial temptation” of the world’s nation-states “thrust seaward with a speed and geographic scope that would be the envy of the most ambitious conquerors in human history."Bernard Oxman, “The Territorial Temptation: A Siren Song at Sea,” American Journal of International Law, vol. 100, no. 4 (2006), p. 832. </w:t>
      </w:r>
      <w:r w:rsidRPr="00C90932">
        <w:rPr>
          <w:u w:val="single"/>
        </w:rPr>
        <w:t xml:space="preserve">The displacement of the doctrine of </w:t>
      </w:r>
      <w:r w:rsidRPr="00C90932">
        <w:rPr>
          <w:i/>
          <w:iCs/>
          <w:u w:val="single"/>
        </w:rPr>
        <w:t>mare liberum</w:t>
      </w:r>
      <w:r w:rsidRPr="00C90932">
        <w:rPr>
          <w:u w:val="single"/>
        </w:rPr>
        <w:t xml:space="preserve">, defended in recent centuries by successive maritime hegemons, began with United States President Harry Truman’s assertion of sovereign rights on its “continental shelf” </w:t>
      </w:r>
      <w:r w:rsidRPr="00C90932">
        <w:rPr>
          <w:sz w:val="16"/>
        </w:rPr>
        <w:t xml:space="preserve">in 1945. Far from objecting to this unprecedented, unilateral expansion of state jurisdiction at sea, </w:t>
      </w:r>
      <w:r w:rsidRPr="00C90932">
        <w:rPr>
          <w:u w:val="single"/>
        </w:rPr>
        <w:t>other major maritime powers quickly emulated it.</w:t>
      </w:r>
      <w:r w:rsidRPr="00C90932">
        <w:rPr>
          <w:sz w:val="16"/>
        </w:rPr>
        <w:t xml:space="preserve"> Behind this sudden, breezy betrayal of the long-treasured “free seas” lay the prospect of hydrocarbon exploitation made possible by new offshore drilling and extraction techniques. In the first Law of the Sea Convention signed in 1958 the state parties agreed – absurdly in hindsight – to grant each other exclusive rights to the seabed out to whatever distance “admits of the exploitation of the natural resources.”United Nations, “Convention on the Continental Shelf, 1958,” (http://legal.un.org/ilc/texts/instruments/english/conventions/8_1_1958_continental_shelf.pdf). Under this formulation, the extent of sovereign claims to seabed resources was limited only by the rapidly developing oil and gas extraction technology. </w:t>
      </w:r>
      <w:r w:rsidRPr="00C90932">
        <w:rPr>
          <w:u w:val="single"/>
        </w:rPr>
        <w:t xml:space="preserve">The UNCLOS concluded in 1982 at Montego Bay, Jamaica, is the defining expression of the territorialization of maritime space. Although the 107 state governments sensibly agreed to limit the previously infinite continental shelf claims to 650 kilometers, they also assigned themselves and each other sovereign authority not just over the seabed, but also the resources of the water </w:t>
      </w:r>
      <w:r w:rsidRPr="00C90932">
        <w:rPr>
          <w:i/>
          <w:iCs/>
          <w:u w:val="single"/>
        </w:rPr>
        <w:t>column</w:t>
      </w:r>
      <w:r w:rsidRPr="00C90932">
        <w:rPr>
          <w:u w:val="single"/>
        </w:rPr>
        <w:t xml:space="preserve"> out to 370 kilometers from the homeland’s nearest basepoint, including islands. In so doing, they subjected nearly 50 per cent of the world’s oceans to land-based claims of state jurisdiction. </w:t>
      </w:r>
      <w:r w:rsidRPr="00C90932">
        <w:rPr>
          <w:sz w:val="14"/>
        </w:rPr>
        <w:t xml:space="preserve">Other governments were understandably eager to join the regime, and today 157 nation-states are parties to the UNCLOS. This carve-up of half the planet’s oceans was not simply a naked grab for power and oil; other goals of the process included allotting responsibilities for environmental protection and avoiding “tragedies of the commons” through orderly, regulated exploitation. This may have been the tradeoff that induced civil societies to agree to such an enormous expansion in state authority.Oxman, “Territorial Temptation,” pp. 844‒45. However, beyond the prospect of international legal opprobrium of the kind suffered by China following the 2016 arbitration, states’ </w:t>
      </w:r>
      <w:r w:rsidRPr="00C90932">
        <w:rPr>
          <w:i/>
          <w:iCs/>
          <w:sz w:val="14"/>
        </w:rPr>
        <w:t>responsibilities</w:t>
      </w:r>
      <w:r w:rsidRPr="00C90932">
        <w:rPr>
          <w:sz w:val="14"/>
        </w:rPr>
        <w:t xml:space="preserve"> under the Convention lack an effective means of enforcement. The new sovereign maritime </w:t>
      </w:r>
      <w:r w:rsidRPr="00C90932">
        <w:rPr>
          <w:i/>
          <w:iCs/>
          <w:sz w:val="14"/>
        </w:rPr>
        <w:t>rights</w:t>
      </w:r>
      <w:r w:rsidRPr="00C90932">
        <w:rPr>
          <w:sz w:val="14"/>
        </w:rPr>
        <w:t xml:space="preserve">, by contrast, faced no such issues, for every state party stood ready to enforce those. Indeed, as Oxman notes, they were quickly understood in “quasi-territorial terms.”Oxman, “Territorial temptation,” pp. 839‒40. This was nowhere more so than </w:t>
      </w:r>
      <w:r w:rsidRPr="00C90932">
        <w:rPr>
          <w:u w:val="single"/>
        </w:rPr>
        <w:t>in China, where areas subject to its resource rights claims came to be regarded as “blue territory.” CHINA’S “BLUE TERRITORY”</w:t>
      </w:r>
      <w:r w:rsidRPr="00C90932">
        <w:rPr>
          <w:sz w:val="14"/>
        </w:rPr>
        <w:t xml:space="preserve"> CONCEPT. The People’s Republic of China (PRC) – presumptive successor to a dozen great continental empires – took some time to recognize the new opportunities and challenges presented by the carve-up of the world’s oceans. By 1996, </w:t>
      </w:r>
      <w:r w:rsidRPr="00C90932">
        <w:rPr>
          <w:u w:val="single"/>
        </w:rPr>
        <w:t>however, when it ratified the Convention after a fourteen-year delay, PRC maritime agencies had become acutely aware of the “gradual territorialization” (</w:t>
      </w:r>
      <w:r w:rsidRPr="00C90932">
        <w:rPr>
          <w:rFonts w:eastAsia="MS Gothic"/>
          <w:u w:val="single"/>
        </w:rPr>
        <w:t>逐步国土化</w:t>
      </w:r>
      <w:r w:rsidRPr="00C90932">
        <w:rPr>
          <w:u w:val="single"/>
        </w:rPr>
        <w:t>) of vast expanses of ocean that was by now in full swing</w:t>
      </w:r>
      <w:r w:rsidRPr="00C90932">
        <w:rPr>
          <w:sz w:val="14"/>
        </w:rPr>
        <w:t xml:space="preserve">.See Chapter 1 of China’s Maritime Agenda for the 21st Century, a programmatic document released immediately prior to its ratification of the Convention. Zhongguo Haiyang 21 Shiji Yicheng (China’s Maritime Agenda for the 21st Century). Beijing: State Oceanic Administration (SOA), March 1996 (http://sdinfo.coi.gov.cn/hyfg/hyfgdb/fg8.htm) (accessed December 1, 2016). The PRC appears to have viewed the territorialization process in generally positive terms at that time. Indeed, so sanguine were the Agenda’s authors that they even described UNCLOS as “beneficial to breaking maritime hegemonism” – a glowing accolade within the Chinese Communist Party’s (CCP) Marxist-Leninist-Maoist ideological system. See China’s Maritime Agenda, Chapter 10. </w:t>
      </w:r>
      <w:r w:rsidRPr="00C90932">
        <w:rPr>
          <w:u w:val="single"/>
        </w:rPr>
        <w:t>China’s ratification of the regime in May 1996 set in motion a succession of technical and policy responses that have imposed legal, organizational, and physical layers of land-based rule over the disputed South and East China Seas.</w:t>
      </w:r>
      <w:r w:rsidRPr="00C90932">
        <w:rPr>
          <w:sz w:val="14"/>
        </w:rPr>
        <w:t xml:space="preserve"> The chain of Chinese policy reactions began with the enactment of a variety of new legal instruments – notably the 1998 </w:t>
      </w:r>
      <w:r w:rsidRPr="00C90932">
        <w:rPr>
          <w:i/>
          <w:iCs/>
          <w:sz w:val="14"/>
        </w:rPr>
        <w:t>Law of the People's Republic of China on the Exclusive Economic Zone</w:t>
      </w:r>
      <w:r w:rsidRPr="00C90932">
        <w:rPr>
          <w:sz w:val="14"/>
        </w:rPr>
        <w:t xml:space="preserve"> [EEZ] and the Continental Shelf – that gave unprecedentedly specific, concrete form to China’s claimed sovereign rights at sea. As Isaac Kardon notes, this burgeoning body of maritime laws, regulations, and ordinances was crucial in “processing the various new rights and interests created by China's accession to UNCLOS.”See Isaac Kardon, “China’s Maritime Rights and Interests: Organizing to become a Maritime Power,” paper presented at the China as a Maritime Power Conference, Center for Naval Analyses, Washington, DC, July 28‒29, 2015 (https://www.cna.org/cna_files/pdf/china-maritime-rights.pdf). By the turn of the century, these sweeping, once-amorphous claims were rapidly hardening into a concept of “blue territory.” As the Minister of Land and Resources Zhou Yongkang stated in a 1999 speech: […] according to UNCLOS and our country’s claims, we possess around 3 million square kilometres of waters under administration. Of course, there is a significant area that is in dispute, which is to say, there is a long way to go and much difficult work to be done to genuinely roll out our maritime undertakings over 3 million square kilometres of blue territory.Zhou Yongkang’s speech is printed in the State Oceanic Administration’s (SOA), Zhongguo Haiyang Nianjian (China Ocean Yearbook) 1999‒2000. Beijing: Haiyang Chubanshe, 2000, pp. 10‒11. Hereafter ZGHYNJ. The “blue territory”: Chinese bomber aircraft patrols above disputed Scarborough Shoal, South China Sea, May 2016. PLAAF 2016. China’s claims to islands in the South China Sea had been manifest in the now-infamous nine-dash line map since the 1940s. But the map, titled Location Map of Various Islands in the South China Sea (</w:t>
      </w:r>
      <w:r w:rsidRPr="00C90932">
        <w:rPr>
          <w:rFonts w:eastAsia="MS Gothic"/>
          <w:sz w:val="14"/>
        </w:rPr>
        <w:t>南海</w:t>
      </w:r>
      <w:r w:rsidRPr="00C90932">
        <w:rPr>
          <w:rFonts w:eastAsia="Microsoft JhengHei"/>
          <w:sz w:val="14"/>
        </w:rPr>
        <w:t>诸岛</w:t>
      </w:r>
      <w:r w:rsidRPr="00C90932">
        <w:rPr>
          <w:rFonts w:eastAsia="MS Gothic"/>
          <w:sz w:val="14"/>
        </w:rPr>
        <w:t>位置</w:t>
      </w:r>
      <w:r w:rsidRPr="00C90932">
        <w:rPr>
          <w:rFonts w:eastAsia="Microsoft JhengHei"/>
          <w:sz w:val="14"/>
        </w:rPr>
        <w:t>图</w:t>
      </w:r>
      <w:r w:rsidRPr="00C90932">
        <w:rPr>
          <w:sz w:val="14"/>
        </w:rPr>
        <w:t xml:space="preserve">), contained no hint of any claims to particular maritime spaces – let alone the entire area enclosed by the line. The UNCLOS offers no support for such an expansive reading of the line; indeed the arbitral tribunal emphasized just the opposite. Yet, ironically, </w:t>
      </w:r>
      <w:r w:rsidRPr="00C90932">
        <w:rPr>
          <w:u w:val="single"/>
        </w:rPr>
        <w:t xml:space="preserve">the increasingly territorialized quality of China’s maritime claims – and its approach to prosecuting them – is very much a product of the UNCLOS era. The UNCLOS-inspired reification of China’s maritime claims into domestic legal instruments prompted the creation of new law enforcement organizations. This in turn produced new technologies of enforcement that have redefined the rules of disputes at sea, at least in maritime Asia. </w:t>
      </w:r>
      <w:r w:rsidRPr="00C90932">
        <w:rPr>
          <w:sz w:val="16"/>
        </w:rPr>
        <w:t xml:space="preserve">The China Marine Surveillance (CMS) force, established in 1999, was given the task of rolling out “comprehensive administration” in all areas subject to PRC jurisdictional claims. Major allocations of central funds in 2000 equipped the new agency with a fleet of large long-range, high-endurance – but largely unarmed – oceangoing patrol boats and aircraft.  The first “dashed-line” map: Location Map of Various Islands in the South China Sea, published by the Republic of China in 1947. These systems for achieving a constant patrol presence, greater maritime domain awareness, and the necessary personnel and logistical support, took several years to develop. But by 2006 the agency was ready to launch its “regular maritime rights defense patrols” across disputed areas.Initially the system was introduced in the East China Sea in June 2006. Once its feasibility had been proven there, the CMS extended the scope to cover the Yellow Sea and the northern part of the South China Sea from February 2007. Nine months later, this was expanded again to include the southern part of the South China Sea. Thus, by December 2007, the regular patrol system theoretically covered all of “the 3 million square kilometres of waters under China’s administration.” See Qian Xiuli, “Woguo jianli quan haiyu weiquan xunhang zhidu, 300 wan pingfang gongli guanxia haiyu naru dingqi weiquan xunhang zhidu guanli fanwei (China establishes rights defense patrol system for all waters, 3 million sq km of administrative waters brought into administrative scope of regular rights defense patrol system),” Zhongguo Haiyang Bao (China Ocean Daily), August 5, 2008 (http://www.oceanol.com/redian/kuaixun/2226.html). Such technologically advanced, white-hulled fleets have become central to the competition over maritime space in Asia, with China’s rivals rushing to upgrade their own coastguards, on-water law enforcement authorities, and maritime surveillance systems. These mobile outgrowths of the technosphere are redefining the terms of </w:t>
      </w:r>
      <w:r w:rsidRPr="00C90932">
        <w:rPr>
          <w:u w:val="single"/>
        </w:rPr>
        <w:t>competition over the seas – away from access, and towards occupation and control. In this way, twenty-first-century maritime disputes have increasingly come to resemble terrestrial disputes over (sparsely populated) land areas. China’s gargantuan HYSY-981 oil rig, described by China National Offshore Oil Company CEO Wang Yilin as “mobile national territory.” Xinhua 2010. Technology has also reconfigured the role of paramilitary law enforcement at sea. Far from maritime safety and fighting crime against specific targets like smugglers, maritime law enforcement is now increasingly geared towards the performance of sovereignty. The potential implications of China’s “Great White Fleet” in advancing its unilateral administration of disputed maritime spaces started to become clear to outside observers by the start of the 2010s.Ryan Martinson, "Here comes China's great white fleet," T</w:t>
      </w:r>
      <w:r w:rsidRPr="00C90932">
        <w:rPr>
          <w:sz w:val="16"/>
        </w:rPr>
        <w:t xml:space="preserve">he National Interest, October 1, 2014 (http://nationalinterest.org/feature/here-comes-china%E2%80%99s-great-white-fleet-11383). The white-hulled strategy appears to have come to the attention of the US government in around 2010, judging by its debut appearance in the 2011 edition of the Pentagon’s Annual Report to Congress, Military and Security Developments Involving the People’s Republic of China. Washington, DC: Office of the Secretary of Defense, 2011, p. 60 (https://www.defense.gov/Portals/1/Documents/pubs/2011_CMPR_Final.pdf). </w:t>
      </w:r>
      <w:r w:rsidRPr="00C90932">
        <w:rPr>
          <w:u w:val="single"/>
        </w:rPr>
        <w:t>But their effect is even more profound when viewed from Beijing, where key policymakers operate – rightly or wrongly – on an assumption that principles of prescriptive acquisition apply to the sea,</w:t>
      </w:r>
      <w:r w:rsidRPr="00C90932">
        <w:rPr>
          <w:sz w:val="16"/>
        </w:rPr>
        <w:t xml:space="preserve"> as they traditionally have done on land.On prescription in territorial acquisition, see Surya Prakesh Sharma, Territorial Acquisition, Disputes and International Law. The Hague: Kluwer Law International, 1997, pp. 108‒15; Brian Taylor Sumner, “Territorial disputes at the International Court of Justice,” Duke Law Journal, vol. 53 (April 2004), pp. 1787‒88. As China rolled out its regularized patrol system using the CMS force in 2008, its party boss Sun Shuxian asserted that there are just two principles regarding the existence of state authority in disputed waters: one is “effective administration” (</w:t>
      </w:r>
      <w:r w:rsidRPr="00C90932">
        <w:rPr>
          <w:rFonts w:eastAsia="MS Gothic"/>
          <w:sz w:val="16"/>
        </w:rPr>
        <w:t>有效管理</w:t>
      </w:r>
      <w:r w:rsidRPr="00C90932">
        <w:rPr>
          <w:sz w:val="16"/>
        </w:rPr>
        <w:t>), the other “actual control” (</w:t>
      </w:r>
      <w:r w:rsidRPr="00C90932">
        <w:rPr>
          <w:rFonts w:eastAsia="Microsoft JhengHei"/>
          <w:sz w:val="16"/>
        </w:rPr>
        <w:t>实际</w:t>
      </w:r>
      <w:r w:rsidRPr="00C90932">
        <w:rPr>
          <w:rFonts w:eastAsia="MS Gothic"/>
          <w:sz w:val="16"/>
        </w:rPr>
        <w:t>控制</w:t>
      </w:r>
      <w:r w:rsidRPr="00C90932">
        <w:rPr>
          <w:sz w:val="16"/>
        </w:rPr>
        <w:t>). Without these, Sun said, there was little point in claiming that the area was in question.Yu Wei, “Zhongguo Haijian youwang cheng haijun yubeiyi budui (CMS may become naval reserve force),” Nanfang Dushibao (Southern Metropolis Daily), October 20, 2008, AA16 (http://lt.cjdby.net/thread-542012-1-1.html). From this perspective, the activities of all civil technologies – not only patrol boats, but also fishing trawlers, oil rigs, and even cellphone signals and weather reports – are not merely asserting the state’s presence, advancing the national economy, addressing its energy security, or carrying its communications. Rather, they are seen as performatively creating state sovereignty at sea.SOA, ZGHYNJ 2010, p. 127. The CMS East Sea Branch’s entry to the 2006 yearbook refers to a centrally approved guideline (</w:t>
      </w:r>
      <w:r w:rsidRPr="00C90932">
        <w:rPr>
          <w:rFonts w:eastAsia="MS Gothic"/>
          <w:sz w:val="16"/>
        </w:rPr>
        <w:t>中央批准的方</w:t>
      </w:r>
      <w:r w:rsidRPr="00C90932">
        <w:rPr>
          <w:rFonts w:eastAsia="Microsoft JhengHei"/>
          <w:sz w:val="16"/>
        </w:rPr>
        <w:t>针</w:t>
      </w:r>
      <w:r w:rsidRPr="00C90932">
        <w:rPr>
          <w:sz w:val="16"/>
        </w:rPr>
        <w:t>) of “display jurisdiction and embody China’s sovereign rights” in contested waters. SOA, ZGHYNJ 2006, p. 164. The previous year’s entry states, “The principles of ‘highlight presence, ensure safety, manifest our sovereign rights and administration of these waters’ were effectively implemented, and powerfully supported and complemented our government's diplomatic actions.” SOA, ZGHYNJ 2005, p. 193. MANUFACTURING LAND, LEVERAGING THE HEAVENS.</w:t>
      </w:r>
      <w:r w:rsidRPr="00C90932">
        <w:rPr>
          <w:u w:val="single"/>
        </w:rPr>
        <w:t xml:space="preserve"> It is hard to imagine a more vivid illustration of the technosphere’s role in altering the boundaries between land and sea than China’s construction of artificial islands in the Spratly archipelago. </w:t>
      </w:r>
      <w:r w:rsidRPr="00C90932">
        <w:rPr>
          <w:sz w:val="16"/>
        </w:rPr>
        <w:t>Over the course of approximately eighteen months, using dozens of industrial dredgers and coral-cutting machines, the PLA turned seven tiny reef outposts into bases larger than any of the natural landmasses in the area. In all, according to the Asia Maritime Transparency Initiative (AMTI), they managed to transform nearly 1,300 hectares of the world’s most contested maritime space into new territories that now host small cities, with three airfields, dozens of buildings, roads, parks, leisure facilities and, based on recent satellite photography, silos ready to take surface-to-air missile deployments.“A look at China’s SAM shelters in the Spratlys,” Asia Maritime Transparency Initiative, February 23, 2017 (https://amti.csis.org/chinas-sam-shelters-spratlys</w:t>
      </w:r>
      <w:r w:rsidRPr="00C90932">
        <w:rPr>
          <w:u w:val="single"/>
        </w:rPr>
        <w:t>/). China was not the first country to reclaim land in the Spratlys. But the speed and scale of the sea-to-land conversion was unprecedented.Over the years, Vietnam is believed to have expanded its Spratly outposts by just under 50 hectares, Malaysia around 30 hectares, and the Philippines and Taiwan around 4‒6 hectares each. This, in turn, was a direct function of China’s economic, industrial, logistical and, above all, technological capabilities.See Andrew Erickson and Kevin Bond, “Dredging Under the Radar: China Expands South Sea Foothold,” The National Interest, August 26, 2015 (http://nationalinterest.org/feature/dredging-under-the-radar-china-expands-south-sea-foothold-13701?page=show).China’s desire to “fill in the sea to manufacture land” (</w:t>
      </w:r>
      <w:r w:rsidRPr="00C90932">
        <w:rPr>
          <w:rFonts w:eastAsia="MS Gothic"/>
          <w:u w:val="single"/>
        </w:rPr>
        <w:t>填海造地</w:t>
      </w:r>
      <w:r w:rsidRPr="00C90932">
        <w:rPr>
          <w:u w:val="single"/>
        </w:rPr>
        <w:t xml:space="preserve">) on this industrial scale reflects its latecomer status in the Spratly Islands. The Spratlys are by far the largest of the South China Sea’s disputed archipelagos. Unlike the claims to </w:t>
      </w:r>
      <w:r w:rsidRPr="00C90932">
        <w:rPr>
          <w:i/>
          <w:iCs/>
          <w:u w:val="single"/>
        </w:rPr>
        <w:t>maritime spaces</w:t>
      </w:r>
      <w:r w:rsidRPr="00C90932">
        <w:rPr>
          <w:u w:val="single"/>
        </w:rPr>
        <w:t xml:space="preserve"> discussed above, which are largely the product of the UNCLOS era, China’s claims to these </w:t>
      </w:r>
      <w:r w:rsidRPr="00C90932">
        <w:rPr>
          <w:i/>
          <w:iCs/>
          <w:u w:val="single"/>
        </w:rPr>
        <w:t>island territories</w:t>
      </w:r>
      <w:r w:rsidRPr="00C90932">
        <w:rPr>
          <w:u w:val="single"/>
        </w:rPr>
        <w:t xml:space="preserve"> were inherited from the PRC’s vanquished civil war rival, the Republic of China, which fled to Taiwan in 1949. When a scramble to occupy the islands began in the late 1960s, Mao’s China was preoccupied with the Cultural Revolution, Soviet threats to the northern land border, and rapprochement with America. As a result, the few ships the PLA possessed remained thousands of kilometers away while the Philippines, Vietnam, and Malaysia staked out all of the dozen or so genuine islands in the Spratly group</w:t>
      </w:r>
      <w:r w:rsidRPr="00C90932">
        <w:rPr>
          <w:sz w:val="16"/>
        </w:rPr>
        <w:t>. By the time the PLA Navy finally made its move on the Spratlys in late 1987, all the prime real estate was occupied, and it took a fierce naval skirmish with Vietnam just to establish a tenuous foothold on six submerged reefs. Through the 1990s and 2000s, China consolidated its outposts from rickety huts on stilts, to slightly more solid-looking pillboxes, and then to a third generation of “reef forts,” before the island construction began in 2013. These shallow patches of ocean – to the naked eye often virtually indistinguishable from the surrounding azure (as many shipwrecked navigators discovered) – concealed complex and spectacular underwater coral ecologies. Marine biologists believe the land-based military and civilian presence of all sides – particularly horizontal expansions of the technosphere like infrastructure development – has been adversely impacting the surrounding marine ecology beneath the waves for some time.Terry Hughes, Hui Huang, and Matthew Young, “The Wicked Problem of China’s Disappearing Coral Reefs,” Conservation Biology, vol. 27, no. 2 (2013), pp. 261‒69; Dune Lawrence and Wenxin Fan, “Islands of Mass Destruction,” Bloomberg, December 25, 2016 (http://thestandard.com.ph/opinion/columns/225000/islands-of-mass-destruction.html). But the recent island-building project is unique for having transformed entire marine ecosystems into sandy mid-ocean deserts.  Earlier generations of Chinese structures on Mischief Reef. Philippines Government 1995, 2005, 2012. Vertical extensions of the technosphere have also contributed to the blurring of the political status of land and sea.See Johan Gärdebo, “Technosphere Verticality,” Technosphere Magazine, November 2016 (http://www.technosphere-magazine.hkw.de/article1/e93d92c0-9eb3-11e6-87f4-45da4d91e2c2/5f112fd0-914d-11e6-bb8e-515155f3fd55). In the Spratlys, Vietnam and China operate rival cellphone networks; China’s reportedly sends automatic “Welcome to China!” text messages to every handset that comes within range.Lawrence and Fan, “Islands of Mass Destruction.” Once again, as with the 1958 continental shelf agreement, sovereign claims extend precisely as far as the technosphere will carry them. But the single most consequential example of the technosphere’s role in territorializing Asia’s maritime spaces occurred in the Scarborough Shoal incident of April 2012. On the morning of April 10, 2012, the Philippines’ naval ship BRP Gregorio del Pilar arrived at Scarborough Shoal, an isolated atoll around 125 nautical miles off the northern coast of Luzon, to investigate a group of Chinese fishing boats spotted two days earlier by an aerial patrol. After the warship anchored outside the entrance to the sprawling lagoon, it dispatched armed soldiers on dinghies to investigate.Award in the Matter of the South China Sea Arbitration between the Republic of the Philippines and the People’s Republic of China, Permanent Court of Arbitration case no. 2013-19, July 12, 2016, 325 (http://www.pcacases.com/web/view/7). After collecting photographic evidence of large quantities of endangered giant clams and corals on board the Chinese fishing boats, the Philippine soldiers returned to the ship, apparently with the intention of detaining and processing the crews the following day. However, late in the afternoon, two CMS patrol boats arrived and took up positions between the Gregorio del Pilar and the fishing boats, physically preventing their arrest.For a blow-by-blow account from fisherman Chen Zebo (</w:t>
      </w:r>
      <w:r w:rsidRPr="00C90932">
        <w:rPr>
          <w:rFonts w:eastAsia="MS Gothic"/>
          <w:sz w:val="16"/>
        </w:rPr>
        <w:t>陳則波</w:t>
      </w:r>
      <w:r w:rsidRPr="00C90932">
        <w:rPr>
          <w:sz w:val="16"/>
        </w:rPr>
        <w:t>) see Zeng Ming, “Hainan yumin: qu Huangyan Dao yao zuolao (Going to Huangyan Island means going to jail),” Nanfang Zhoumo (Southern Weekend), May 4, 2012 (http://news.qq.com/a/20120504/000428.htm). Thus began a two-month standoff at sea that ended when the Philippines withdrew its ships ahead of a typhoon, leaving China in control of the disputed atoll.By August, Manila had issued twelve formal diplomatic protests over the incident. Ryan Chua, “Philippines to bring China dispute to world body,” ABS-CBN News, August 3, 2012 (http://news.abs-cbn.com/-depth/08/03/12/philippines-bring-china-dispute-world-body). Thereafter, Manila refrained from sending its ships back to Scarborough Shoal, while their Chinese counterparts maintained a constant presence. China emerged with effective control over the shoal.In late 2016, following new Philippines President Duterte’s strong pro-Beijing overtures, the PRC began tolerating Filipino fishing activities at the shoal. But it did not withdraw its ships from the shoal, making clear that Philippine fishing took place at Beijing’s pleasure. “Pinoy fishermen say they can fish in Scarborough Shoal again,” ABS-CBN News, October 28, 2016 (http://news.abs-cbn.com/video/news/10/27/16/pinoy-fishermen-say-they-can-fish-in-scarborough-shoal-again). The Scarborough Shoal incident was a smokeless battle for territorial-style control of maritime space, fought across the technosphere’s horizontal and vertical dimensions. The trigger for the confrontation was the Philippine military’s decision to dispatch its largest naval vessel to investigate the Chinese fishing activities first spotted by an airborne patrol on April 8. This response, in turn, was made possible by the US’s provision of the vessel, a refurbished coastguard cutter, which had been commissioned into the Philippines Navy in December 2011. The next key link in the causal chain was the emergency distress call system that had recently been installed on the PRC fishing boats. This enabled the crews to instantaneously alert authorities in Hainan of the situation using the Beidou satellite navigation system, which with near-perfect synchronicity had entered service the same month as Manila’s flagship whose mission it would thwart.Geoff Wade, “Beidou: China’s new satellite navigation system,” Flagpost, February 26, 2015 (http://www.aph.gov.au/About_Parliament/Parliamentary_Departments/Parliamentary_Library/FlagPost/2015/February/Beidou_China_new_satellite_navigation_system). Finally, the ability of the two CMS ships to reach the area in time to prevent the arrests was a direct result of their being in the area on a “regular rights defense patrol” at the time – a program enabled by technologies whose genesis lay, as detailed above</w:t>
      </w:r>
      <w:r w:rsidRPr="00C90932">
        <w:rPr>
          <w:u w:val="single"/>
        </w:rPr>
        <w:t>, in the legal instruments China crafted in response to the arrival of the UNCLOS regime under which half the world’s maritime littoral was territorialized.“</w:t>
      </w:r>
      <w:r w:rsidRPr="004E1ECA">
        <w:rPr>
          <w:sz w:val="16"/>
        </w:rPr>
        <w:t xml:space="preserve">Liu Cigui: Bohai yiyou haishang wuran yanzhong, haiyang fazhan luobi shengtai baohu (Liu Cigui: pollution serious from Bohai oil spill, signing up to ecological protection),” Phoenix TV, June 11, 2012 (http://phtv.ifeng.com/program/wdsz/detail_2012_06/11/15202134_0.shtml).  This dossier entry has detailed how the scope of land-based state authority over East Asia’s seas has been intimately related to the horizontal outgrowth of the technosphere. </w:t>
      </w:r>
      <w:r w:rsidRPr="00C90932">
        <w:rPr>
          <w:sz w:val="16"/>
        </w:rPr>
        <w:t>The development of offshore oil and gas was integral to the original seaward thrust of state authority in 1945, and in 1958 international law left the extent of that authority in the impersonal hands of technological development</w:t>
      </w:r>
      <w:r w:rsidRPr="00C90932">
        <w:rPr>
          <w:u w:val="single"/>
        </w:rPr>
        <w:t xml:space="preserve">. Yet, this alignment between technosphere and land-based dominion over the sea was by no means a new development. The historical ascendancy of the “free seas” doctrine was dependent on sponsorship from a succession of technologically advanced maritime hegemons. </w:t>
      </w:r>
      <w:r w:rsidRPr="00C90932">
        <w:rPr>
          <w:sz w:val="16"/>
        </w:rPr>
        <w:t>And even during this period, exclusive state authority over the seas was widely accepted out to a distance of 3 nautical miles from the coast – a figure derived from the putative range of a cannon shot. Nor is there anything novel (or indeed technologically determined) about changes in the land‒sea divide in Asia. Like the volcanic eruptions that in 2013 created the new island of Nishinoshima (which Japan may use to expand its own EEZ claim), or the storms that apparently created a new territory at Luconia Shoals in the far southern reaches of the Spratly Islands, the edges of land and sea are naturally always shifting.See Andrew Chubb, “Luconia Breakers: China’s new ‘southernmost territory’ in the South China Sea?” South Sea Conversations (blog), June 16, 2015 (https://southseaconversations.wordpress.com/2015/06/16/luconia-breakers-chinas-new-southernmost-territory-in-the-south-china-sea/). What is novel is the role of the outward, upward, seaward spread of human tools in precipitating so many recent changes – and the layers of meaning that such changes accrue in the context of our categorical knowledge schemes, of which the land‒sea dichotomy stands as one of the most fundamentally inescapable.</w:t>
      </w:r>
    </w:p>
    <w:p w14:paraId="7E1210FE" w14:textId="77777777" w:rsidR="00CF3227" w:rsidRDefault="00CF3227" w:rsidP="00CF3227">
      <w:pPr>
        <w:pStyle w:val="Heading3"/>
      </w:pPr>
      <w:r>
        <w:t>1NC – Greenwashing</w:t>
      </w:r>
    </w:p>
    <w:p w14:paraId="1622E679" w14:textId="77777777" w:rsidR="00CF3227" w:rsidRDefault="00CF3227" w:rsidP="00CF3227">
      <w:pPr>
        <w:pStyle w:val="Heading4"/>
      </w:pPr>
      <w:r>
        <w:t xml:space="preserve">The plan Greenwashes colonialism – deciding that the sacrifice of indigenous lives and onto-epistemological </w:t>
      </w:r>
      <w:r w:rsidRPr="00690AD3">
        <w:rPr>
          <w:u w:val="single"/>
        </w:rPr>
        <w:t>grounded relationality</w:t>
      </w:r>
      <w:r>
        <w:t xml:space="preserve"> is worth it to save the west from the Eurocene. </w:t>
      </w:r>
    </w:p>
    <w:p w14:paraId="53F06FB8" w14:textId="401C1E4F" w:rsidR="00CF3227" w:rsidRPr="00C47C66" w:rsidRDefault="00CF3227" w:rsidP="00CF3227">
      <w:pPr>
        <w:rPr>
          <w:sz w:val="16"/>
          <w:szCs w:val="16"/>
        </w:rPr>
      </w:pPr>
      <w:r w:rsidRPr="008C6444">
        <w:rPr>
          <w:rFonts w:eastAsiaTheme="majorEastAsia" w:cstheme="majorBidi"/>
          <w:b/>
          <w:iCs/>
          <w:sz w:val="26"/>
        </w:rPr>
        <w:t>Hanacek</w:t>
      </w:r>
      <w:r w:rsidRPr="008C6444">
        <w:t xml:space="preserve">, K., </w:t>
      </w:r>
      <w:r w:rsidRPr="008C6444">
        <w:rPr>
          <w:rFonts w:eastAsiaTheme="majorEastAsia" w:cstheme="majorBidi"/>
          <w:b/>
          <w:iCs/>
          <w:sz w:val="26"/>
        </w:rPr>
        <w:t>Kröger</w:t>
      </w:r>
      <w:r w:rsidRPr="008C6444">
        <w:t xml:space="preserve">, M., </w:t>
      </w:r>
      <w:r w:rsidRPr="008C6444">
        <w:rPr>
          <w:rFonts w:eastAsiaTheme="majorEastAsia" w:cstheme="majorBidi"/>
          <w:b/>
          <w:iCs/>
          <w:sz w:val="26"/>
        </w:rPr>
        <w:t>&amp; Martinez-Alier</w:t>
      </w:r>
      <w:r w:rsidRPr="008C6444">
        <w:t>, J. (20</w:t>
      </w:r>
      <w:r w:rsidRPr="008C6444">
        <w:rPr>
          <w:rFonts w:eastAsiaTheme="majorEastAsia" w:cstheme="majorBidi"/>
          <w:b/>
          <w:iCs/>
          <w:sz w:val="26"/>
        </w:rPr>
        <w:t>24</w:t>
      </w:r>
      <w:r w:rsidRPr="008C6444">
        <w:t>). Green and climate colonialities: Evidence from Arctic extractivisms. Journal of Political Ecology.</w:t>
      </w:r>
      <w:r>
        <w:t xml:space="preserve">, </w:t>
      </w:r>
      <w:r w:rsidRPr="00C47C66">
        <w:rPr>
          <w:sz w:val="16"/>
          <w:szCs w:val="16"/>
        </w:rPr>
        <w:t>Hanacek - Master's degree in interdisciplinary study in environmental, economic and social sustainability from ICTA, UAB and Master's degree in Environment, Agriculture and Resource Management from University of Zagreb, Croatia. Currently, she is a researcher and a team member of the Environmental Justice project. Kröger, PhD, is an Associate Professor of Development Studies at the University of Helsinki and a research fellow at the Academy of Finland. Professor Kröger is a member of the Helsinki Institute of Sustainability Science and one of the founding members of The Global Extractivisms and Alternatives research initiative (EXALT). He has written extensively on global natural resource politics, conflicts, and social resistance movements and their economic outcomes, especially in relation to iron ore mining and forestry. He is also an expert in political economy, development, and globalization in Latin America, India, and the Arctic.</w:t>
      </w:r>
      <w:r w:rsidRPr="00C47C66">
        <w:rPr>
          <w:rFonts w:ascii="Arial" w:hAnsi="Arial" w:cs="Arial"/>
          <w:b/>
          <w:bCs/>
          <w:color w:val="202122"/>
          <w:sz w:val="16"/>
          <w:szCs w:val="16"/>
          <w:shd w:val="clear" w:color="auto" w:fill="FFFFFF"/>
        </w:rPr>
        <w:t xml:space="preserve"> </w:t>
      </w:r>
      <w:r w:rsidRPr="00C47C66">
        <w:rPr>
          <w:sz w:val="16"/>
          <w:szCs w:val="16"/>
        </w:rPr>
        <w:t>Joan Martinez Alier (born 1939, Barcelona, Spain) is a Spanish economist, Emeritus Professor of Economics and Economic History and researcher at ICTA at the Autonomous University of Barcelona.</w:t>
      </w:r>
      <w:r w:rsidRPr="005A21D6">
        <w:rPr>
          <w:sz w:val="16"/>
          <w:szCs w:val="16"/>
        </w:rPr>
        <w:t>[1]</w:t>
      </w:r>
      <w:r w:rsidRPr="00C47C66">
        <w:rPr>
          <w:sz w:val="16"/>
          <w:szCs w:val="16"/>
        </w:rPr>
        <w:t> He has made important contributions in ecological economics and political ecology, which he synthesised in his work on environmentalism of the poor.</w:t>
      </w:r>
      <w:r>
        <w:rPr>
          <w:sz w:val="16"/>
          <w:szCs w:val="16"/>
        </w:rPr>
        <w:t xml:space="preserve"> Date accessed: Jul 1 - 2025</w:t>
      </w:r>
    </w:p>
    <w:p w14:paraId="49FAD5C9" w14:textId="77777777" w:rsidR="00CF3227" w:rsidRDefault="00CF3227" w:rsidP="00CF3227">
      <w:r w:rsidRPr="00373417">
        <w:rPr>
          <w:rStyle w:val="StyleUnderline"/>
        </w:rPr>
        <w:t>The Arctic region is home to 4 million people, including over one million members of more than forty Indigenous groups</w:t>
      </w:r>
      <w:r>
        <w:t xml:space="preserve"> (The Arctic Council, 2015). Half of the population are reindeer herders, who have their own cultures, languages, and lifeways (Bladow, 2019; Kuokkanen, 2023). The Arctic </w:t>
      </w:r>
      <w:r w:rsidRPr="00373417">
        <w:rPr>
          <w:rStyle w:val="StyleUnderline"/>
        </w:rPr>
        <w:t>contains large territories with past and present unequal global relations that are colonial</w:t>
      </w:r>
      <w:r>
        <w:t xml:space="preserve"> in character. Several Arctic regions have been turned into key resource frontier sites for the extractive fossil fuel, metal mining, energy and forestry economies supported by key global North states, such as Norway, Sweden, the United States, Canada, Finland, Denmark, and the Russian Federation (Bennett, 2016; Keil, 2014). These </w:t>
      </w:r>
      <w:r w:rsidRPr="00373417">
        <w:rPr>
          <w:rStyle w:val="StyleUnderline"/>
        </w:rPr>
        <w:t xml:space="preserve">Arctic extractivist frontiers have been resisted by local peoples, often Indigenous </w:t>
      </w:r>
      <w:r>
        <w:t xml:space="preserve">(Hanaček et al., 2022; Nygren et al., 2022). Resistance arises against fossil fuels, but </w:t>
      </w:r>
      <w:r w:rsidRPr="00373417">
        <w:rPr>
          <w:rStyle w:val="Emphasis"/>
        </w:rPr>
        <w:t>there are also movements opposing green or low-carbon energy projects</w:t>
      </w:r>
      <w:r>
        <w:t xml:space="preserve"> (Lassila, 2018; Össbo, 2023). The Arctic is especially affected by the cascading impacts of the climate catastrophe, with its climate warming four times faster in comparison to other regions (Herrmann, 2015; IPCC, 2019). The climate crisis and its purported solutions currently play an increasing role in shaping Arctic life. </w:t>
      </w:r>
      <w:r w:rsidRPr="00373417">
        <w:rPr>
          <w:rStyle w:val="StyleUnderline"/>
        </w:rPr>
        <w:t xml:space="preserve">Climate change is creating a discourse and actions leading to the expansion of </w:t>
      </w:r>
      <w:r w:rsidRPr="00373417">
        <w:rPr>
          <w:rStyle w:val="Emphasis"/>
        </w:rPr>
        <w:t>green extractivism</w:t>
      </w:r>
      <w:r w:rsidRPr="00373417">
        <w:rPr>
          <w:rStyle w:val="StyleUnderline"/>
        </w:rPr>
        <w:t xml:space="preserve"> across the region. While risks are increasing, the Arctic is paradoxically perceived by many domestic and transnational companies as a central point for so-called new green energy solutions and mining of transition minerals</w:t>
      </w:r>
      <w:r>
        <w:t xml:space="preserve"> (Duxbury, 2021; Hanaček et al., 2022; Len, 2021). For example, western Greenland, where coastal glaciers have been melting, has been a target of new mining ventures seeking to offer minerals for the electrification of energy (Gronholt-Pedersen, 2022). </w:t>
      </w:r>
      <w:r w:rsidRPr="00373417">
        <w:rPr>
          <w:rStyle w:val="StyleUnderline"/>
        </w:rPr>
        <w:t>While the climate crisis has been caused mostly by colonial actions</w:t>
      </w:r>
      <w:r>
        <w:t xml:space="preserve"> and extractivist frontier expansion by the elites and corporations of the core areas of the capitalist world-ecology (Moore, 2016), </w:t>
      </w:r>
      <w:r w:rsidRPr="00373417">
        <w:t xml:space="preserve">the Arctic suffers excessively, and is furthermore </w:t>
      </w:r>
      <w:r w:rsidRPr="00373417">
        <w:rPr>
          <w:rStyle w:val="StyleUnderline"/>
        </w:rPr>
        <w:t>cast as a</w:t>
      </w:r>
      <w:r w:rsidRPr="00373417">
        <w:rPr>
          <w:rStyle w:val="Emphasis"/>
          <w:sz w:val="32"/>
          <w:szCs w:val="32"/>
        </w:rPr>
        <w:t xml:space="preserve"> "sacrifice zone</w:t>
      </w:r>
      <w:r w:rsidRPr="00373417">
        <w:rPr>
          <w:rStyle w:val="StyleUnderline"/>
        </w:rPr>
        <w:t>" for extracting minerals and energy for supposed climate change solutions</w:t>
      </w:r>
      <w:r>
        <w:t xml:space="preserve"> (Össbo, 2023). The crisis of the </w:t>
      </w:r>
      <w:r w:rsidRPr="00373417">
        <w:rPr>
          <w:rStyle w:val="StyleUnderline"/>
        </w:rPr>
        <w:t>capitalist world-ecology,</w:t>
      </w:r>
      <w:r>
        <w:t xml:space="preserve"> meaning a rush to dwindling natural resources, </w:t>
      </w:r>
      <w:r w:rsidRPr="00373417">
        <w:rPr>
          <w:rStyle w:val="StyleUnderline"/>
        </w:rPr>
        <w:t>is fueling a desire to expand extractivist activities in the Arctic,</w:t>
      </w:r>
      <w:r>
        <w:t xml:space="preserve"> creating a complex and </w:t>
      </w:r>
      <w:r w:rsidRPr="00373417">
        <w:rPr>
          <w:rStyle w:val="StyleUnderline"/>
        </w:rPr>
        <w:t>perilous feedback loop</w:t>
      </w:r>
      <w:r>
        <w:t xml:space="preserve">, </w:t>
      </w:r>
      <w:r w:rsidRPr="00373417">
        <w:rPr>
          <w:rStyle w:val="StyleUnderline"/>
        </w:rPr>
        <w:t>as Arctic extractivism can directly drive the breaching of global climate tipping points</w:t>
      </w:r>
      <w:r>
        <w:t xml:space="preserve"> (Kröger, 2023). For example, flaring and increased atmospheric soot and dust from mining cause quicker melting and make ice sheets less reflective. An extractive push has increased in some parts of the region alongside worsening socio-climatic crises (Kröger, 2016a, 2018).</w:t>
      </w:r>
    </w:p>
    <w:p w14:paraId="36E86819" w14:textId="77777777" w:rsidR="00CF3227" w:rsidRPr="0080316C" w:rsidRDefault="00CF3227" w:rsidP="00CF3227">
      <w:pPr>
        <w:rPr>
          <w:rStyle w:val="StyleUnderline"/>
        </w:rPr>
      </w:pPr>
      <w:r w:rsidRPr="00373417">
        <w:t xml:space="preserve">The Arctic remains </w:t>
      </w:r>
      <w:r w:rsidRPr="00373417">
        <w:rPr>
          <w:rStyle w:val="StyleUnderline"/>
        </w:rPr>
        <w:t>a prime target for extractivism</w:t>
      </w:r>
      <w:r w:rsidRPr="00373417">
        <w:t xml:space="preserve">, notably for </w:t>
      </w:r>
      <w:r w:rsidRPr="00373417">
        <w:rPr>
          <w:rStyle w:val="StyleUnderline"/>
        </w:rPr>
        <w:t>obtaining the commodities to produce "green" or low-carbon infrastructures</w:t>
      </w:r>
      <w:r w:rsidRPr="00373417">
        <w:t xml:space="preserve"> instrumental in climate change mitigation policies (Kuokkanen, 2023).</w:t>
      </w:r>
      <w:r>
        <w:t xml:space="preserve"> </w:t>
      </w:r>
      <w:r w:rsidRPr="00373417">
        <w:t>Moreover, the attack on Ukraine by Russia in February 2022, and the subsequent rush for alternative energy</w:t>
      </w:r>
      <w:r>
        <w:t xml:space="preserve"> </w:t>
      </w:r>
      <w:r w:rsidRPr="00373417">
        <w:t>and raw material sources especially in the European Union, has led to major new expansion pushes, also in the</w:t>
      </w:r>
      <w:r>
        <w:t xml:space="preserve"> </w:t>
      </w:r>
      <w:r w:rsidRPr="00373417">
        <w:t>Arctic (Kopra &amp; Wall, 2022). The sanctions against Russia, and the worsening climatic-ecological conditions</w:t>
      </w:r>
      <w:r>
        <w:t xml:space="preserve"> </w:t>
      </w:r>
      <w:r w:rsidRPr="00373417">
        <w:t>for extraction due to collapsing permafrost for example, have brought difficulties for the sector in some parts</w:t>
      </w:r>
      <w:r>
        <w:t xml:space="preserve"> </w:t>
      </w:r>
      <w:r w:rsidRPr="00373417">
        <w:t>of Arctic Russia (Kröger, 2023). Visible resource conflicts and resistance movements are thus just the tip of the</w:t>
      </w:r>
      <w:r>
        <w:t xml:space="preserve"> </w:t>
      </w:r>
      <w:r w:rsidRPr="00373417">
        <w:t>iceberg when it comes to local grievances due to environmental, cultural, and livelihood losses experienced by</w:t>
      </w:r>
      <w:r>
        <w:t xml:space="preserve"> </w:t>
      </w:r>
      <w:r w:rsidRPr="00373417">
        <w:t>many Arctic peoples (Heininen et al., 2022). This is a topic that can be explored more deeply through theHanaček et al. Green and climate colonialities: Evidence of Arctic extractivisms</w:t>
      </w:r>
      <w:r>
        <w:t xml:space="preserve"> </w:t>
      </w:r>
      <w:r w:rsidRPr="00373417">
        <w:t>Journal of Political Ecology Vol. 31, 2024 540</w:t>
      </w:r>
      <w:r>
        <w:t xml:space="preserve"> </w:t>
      </w:r>
      <w:r w:rsidRPr="00373417">
        <w:t>intertwined concepts of extractivism and colonialism, which examine the structural, historical level where</w:t>
      </w:r>
      <w:r>
        <w:t xml:space="preserve"> </w:t>
      </w:r>
      <w:r w:rsidRPr="0080316C">
        <w:rPr>
          <w:rStyle w:val="StyleUnderline"/>
        </w:rPr>
        <w:t>extractivist hegemonies have been created for the Arctic.</w:t>
      </w:r>
    </w:p>
    <w:p w14:paraId="0CEE4606" w14:textId="77777777" w:rsidR="00CF3227" w:rsidRDefault="00CF3227" w:rsidP="00CF3227">
      <w:r>
        <w:t xml:space="preserve">Extractivism describes those activities that violently remove or extract large quantities of natural resources, causing major social and ecological damage (Acosta, 2011). The type, character and degree of extractivism vary depending on the sector, style of extraction, and context (Kröger, 2022). According to Gudynas (2021), extractivisms – in the plural, as there are many forms, such as mining, fossil fuels, commercial agriculture and forestry – entail breaking down existing local economies and their ecological relationships, with extracted products profiting national or international business classes or governments. </w:t>
      </w:r>
      <w:r w:rsidRPr="0080316C">
        <w:rPr>
          <w:rStyle w:val="StyleUnderline"/>
        </w:rPr>
        <w:t xml:space="preserve">Extractivisms, </w:t>
      </w:r>
      <w:r>
        <w:t xml:space="preserve">however, are not limited to biophysical overexploitation and transformation of the environment (Acosta, 2011; Kröger et al., 2021; Svampa, 2019). They </w:t>
      </w:r>
      <w:r w:rsidRPr="0080316C">
        <w:rPr>
          <w:rStyle w:val="Emphasis"/>
        </w:rPr>
        <w:t>are based on onto-epistemic violence against Indigenous ways of relating to the Mother Earth</w:t>
      </w:r>
      <w:r>
        <w:t xml:space="preserve"> (de la Cadena &amp; Blaser, 2018). For example, </w:t>
      </w:r>
      <w:r w:rsidRPr="0080316C">
        <w:rPr>
          <w:rStyle w:val="StyleUnderline"/>
        </w:rPr>
        <w:t>replacing the latter with modernist assumptions and ideas where nature is seen as external and available, "free" of people or any constraints to exploit and appropriate in whatever manner, as fast as wanted</w:t>
      </w:r>
      <w:r>
        <w:t xml:space="preserve">. Therefore, Durante et al. (2021: 20) refer to extractivisms as "a particular way of thinking and the properties and practices organized towards the goal of maximizing benefit through extraction, which brings in its wake violence and destruction." Such forms of colonialism and extractivism, when part of capitalism, do not only mean imposing domination from foreign countries and corporations. Colonialism can also be imposed and continuously sustained internally within a nation state (Casanova, 1965; Churchill &amp; LaDuke, 1992; Maldonado-Torres, 2016). </w:t>
      </w:r>
      <w:r w:rsidRPr="0080316C">
        <w:rPr>
          <w:rStyle w:val="StyleUnderline"/>
        </w:rPr>
        <w:t>Arctic extractivisms exist with several forms of colonial relations (</w:t>
      </w:r>
      <w:r>
        <w:t>Hanaček et al., 2022).</w:t>
      </w:r>
    </w:p>
    <w:p w14:paraId="2C011DD6" w14:textId="77777777" w:rsidR="00CF3227" w:rsidRDefault="00CF3227" w:rsidP="00CF3227">
      <w:r>
        <w:t xml:space="preserve">The concept </w:t>
      </w:r>
      <w:r w:rsidRPr="00BD6B17">
        <w:rPr>
          <w:rStyle w:val="StyleUnderline"/>
        </w:rPr>
        <w:t>of climate colonialism refers to</w:t>
      </w:r>
      <w:r>
        <w:t xml:space="preserve"> </w:t>
      </w:r>
      <w:r w:rsidRPr="00BD6B17">
        <w:rPr>
          <w:rStyle w:val="StyleUnderline"/>
        </w:rPr>
        <w:t>how glaciers melting, sea levels rising, and storms negatively affect those who have least contributed to the climate crisis, such as Indigenous peoples, ethnic minorities, and the impoverished</w:t>
      </w:r>
      <w:r>
        <w:t xml:space="preserve"> (Landrum &amp; Holland, 2020; Naykanchina, 2012). Systems supporting colonialisms, such as patriarchy, racism, Eurocentrism, and extractivism not only contribute to such conditions, but also further impose their own climate change perspectives and "solutions" (Sheller, 2023). Climate change is in part a result of colonial extractivism, and a greater discussion of this connection in the literature has long been necessary (Bhambra &amp; Newell, 2023; Moore, 2016). For instance, </w:t>
      </w:r>
      <w:r w:rsidRPr="00BD6B17">
        <w:rPr>
          <w:rStyle w:val="StyleUnderline"/>
        </w:rPr>
        <w:t>projected green solutions and global climate interventions reproduce extractive understandings and dominant discourses, including viewing climate as merely a biophysical problem to be remedied with technologies, finance, and better economic modelling</w:t>
      </w:r>
      <w:r>
        <w:t xml:space="preserve"> (DeBoom, 2022; Sultana, 2022). Apolitical approaches, with little to no acknowledgment of global colonial histories, also include adaptation, vulnerability, and mitigation strategies that continue to displace historically impoverished peoples from their land, disrupting plural ways of life and knowledge (Cameron, 2012). According to Gelderloos (2022) and Osborne &amp; Carlson (2023), </w:t>
      </w:r>
      <w:r w:rsidRPr="00BD6B17">
        <w:rPr>
          <w:rStyle w:val="StyleUnderline"/>
        </w:rPr>
        <w:t>industrial expansion and present forms of pollution are intrinsically linked to the colonial state</w:t>
      </w:r>
      <w:r>
        <w:t>. The current climate crisis is the result of a state-corporate nexus responsible for atmospheric change. However, the mainstream crisis solution to this nexus is based on a carbon reduction 2030 goal, which is inherently linked to existing fossil fuel and green extractivist initiatives (ibid).</w:t>
      </w:r>
    </w:p>
    <w:p w14:paraId="6ECC1B31" w14:textId="0A94F781" w:rsidR="004B2CB7" w:rsidRDefault="00CF3227" w:rsidP="00C90932">
      <w:pPr>
        <w:rPr>
          <w:rStyle w:val="StyleUnderline"/>
        </w:rPr>
      </w:pPr>
      <w:r>
        <w:t xml:space="preserve">Put simply, both green extractivism and the climate crisis perpetuate logics of colonialism and imperialism through negative socio-environmental impacts, discursive (green) ignorance, climate crisis denial, and attempts to create domination and hegemony by extractivist forces – all these actions further driving the climate catastrophe (DeBoom, 2022; Dunlap &amp; Riquito, 2023; Sultana, 2022; Voskoboynik &amp; Andreucci, 2022). The term "necrocene," or the new era of death and extinction on Earth, refers to such denial and silencing of historical and present struggles against socio-ecological breakdown (Batalla, 2020; Clark, 2021; Mbembe, 2019). </w:t>
      </w:r>
      <w:r w:rsidRPr="00BD6B17">
        <w:rPr>
          <w:rStyle w:val="StyleUnderline"/>
        </w:rPr>
        <w:t>Therefore, the poly-crisis including climatic breakdowns should be seen primarily as a political state and a colonial condition (Sheller, 2023). Combined, green extractivism and climate crises form part of ongoing colonialities</w:t>
      </w:r>
    </w:p>
    <w:p w14:paraId="7A6B9973" w14:textId="07E0F438" w:rsidR="00AB13CB" w:rsidRDefault="00E4478A" w:rsidP="00E4478A">
      <w:pPr>
        <w:pStyle w:val="Heading3"/>
      </w:pPr>
      <w:r>
        <w:t>1NC – Alliances/Coop</w:t>
      </w:r>
    </w:p>
    <w:p w14:paraId="0CEAD302" w14:textId="1686D59E" w:rsidR="00AB13CB" w:rsidRPr="001F5130" w:rsidRDefault="00257EAE" w:rsidP="00AB13CB">
      <w:pPr>
        <w:pStyle w:val="Heading4"/>
      </w:pPr>
      <w:r>
        <w:t xml:space="preserve">The plans rhetoric of cooperation only serves to </w:t>
      </w:r>
      <w:r w:rsidR="008144A0">
        <w:t xml:space="preserve">cement western hegemonic control over the blue and </w:t>
      </w:r>
      <w:r w:rsidR="003236D7">
        <w:t xml:space="preserve">paint those who aren’t aligned with our foreign policy as terroristic threats. </w:t>
      </w:r>
    </w:p>
    <w:p w14:paraId="27AD9B5E" w14:textId="06C509F5" w:rsidR="00AB13CB" w:rsidRPr="00E4478A" w:rsidRDefault="00AB13CB" w:rsidP="00E4478A">
      <w:r w:rsidRPr="00E4478A">
        <w:rPr>
          <w:rStyle w:val="Style13ptBold"/>
        </w:rPr>
        <w:t>Bialasiewicz et al 07</w:t>
      </w:r>
      <w:r w:rsidRPr="00E4478A">
        <w:t>, Luiza Bialasiewicz, David Campbell, Stuart Elden, Stephen Graham, Alex Jeffrey, and Alison J. Williams, Department of Geography, Royal Holloway University of London, United Kingdom b International Boundaries Research Unit, Geography Department, Durham University, Durham, DH1 3LE, United Kingdom c School of Geography, Politics and Sociology, University of Newcastle-upon-Tyne, United Kingdom, “Performing security: The imaginative geographies of current US strategy”  Political Geography 26 (2007) 405e422, via sciencedirect.com//MAC</w:t>
      </w:r>
      <w:r w:rsidR="00257EAE" w:rsidRPr="00E4478A">
        <w:t xml:space="preserve"> – Recut </w:t>
      </w:r>
      <w:r w:rsidR="0071107E" w:rsidRPr="00E4478A">
        <w:t>Micah</w:t>
      </w:r>
    </w:p>
    <w:p w14:paraId="4A2E1BFF" w14:textId="77777777" w:rsidR="00AB13CB" w:rsidRPr="00AB13CB" w:rsidRDefault="00AB13CB" w:rsidP="00AB13CB">
      <w:r w:rsidRPr="00AB13CB">
        <w:t xml:space="preserve">As we argue throughout this paper, the distinctive thing about recent National Security Strategies is their deployment of integration as the principal foreign policy and security strategy. It is telling that Bush’s claim of </w:t>
      </w:r>
      <w:r w:rsidRPr="00257EAE">
        <w:rPr>
          <w:rStyle w:val="StyleUnderline"/>
        </w:rPr>
        <w:t xml:space="preserve">‘‘either </w:t>
      </w:r>
      <w:r w:rsidRPr="00257EAE">
        <w:rPr>
          <w:rStyle w:val="Emphasis"/>
        </w:rPr>
        <w:t>you are with us, or you are with the terrorists’’</w:t>
      </w:r>
      <w:r w:rsidRPr="00AB13CB">
        <w:t xml:space="preserve"> (Bush, 2001) </w:t>
      </w:r>
      <w:r w:rsidRPr="00257EAE">
        <w:rPr>
          <w:rStyle w:val="StyleUnderline"/>
        </w:rPr>
        <w:t xml:space="preserve">relies not on a straightforward binary, as is sometimes suggested, but </w:t>
      </w:r>
      <w:r w:rsidRPr="00257EAE">
        <w:rPr>
          <w:rStyle w:val="Emphasis"/>
        </w:rPr>
        <w:t>a process of incorporation</w:t>
      </w:r>
      <w:r w:rsidRPr="00AB13CB">
        <w:t>. It is not simply us versus them, but with us, a mode of operating alongside, or, in the words of one of Bush’s most enthusiastic supporters, ‘‘shoulder to shoulder’’ (Blair, 2001; see White &amp; Wintour, 2001</w:t>
      </w:r>
      <w:r w:rsidRPr="003236D7">
        <w:rPr>
          <w:rStyle w:val="StyleUnderline"/>
        </w:rPr>
        <w:t xml:space="preserve">). This works more widely through a combination of threats and promises, as in this statement about the Palestinians: </w:t>
      </w:r>
      <w:r w:rsidRPr="00AB13CB">
        <w:t>‘‘</w:t>
      </w:r>
      <w:r w:rsidRPr="003236D7">
        <w:rPr>
          <w:rStyle w:val="StyleUnderline"/>
        </w:rPr>
        <w:t>If Palestinians embrace democracy and the rule of law, confront corruption, and firmly reject terror, they can count on American support for the creation of a Palestinian state’’</w:t>
      </w:r>
      <w:r w:rsidRPr="00AB13CB">
        <w:t xml:space="preserve"> (The White House, 2002b: 9). </w:t>
      </w:r>
      <w:r w:rsidRPr="003236D7">
        <w:rPr>
          <w:rStyle w:val="StyleUnderline"/>
        </w:rPr>
        <w:t>Likewise, it can be found in some of remarks of the British Prime Minister Blair (2004) about the significance of democracy in Afghanistan, Africa and Iraq.</w:t>
      </w:r>
      <w:r w:rsidRPr="00AB13CB">
        <w:t xml:space="preserve"> Equally Bush’s notorious ‘</w:t>
      </w:r>
      <w:r w:rsidRPr="000C2212">
        <w:rPr>
          <w:rStyle w:val="StyleUnderline"/>
        </w:rPr>
        <w:t>axis of evil’ speech did not simply name North Korea, Iran and Iraq as its members, but suggested that ‘‘states like these, and their terrorist allies, constitute an axis of evil, arming to threaten the peace of the world’’</w:t>
      </w:r>
      <w:r w:rsidRPr="00AB13CB">
        <w:t xml:space="preserve"> (Bush, 2002a, emphasis added). A comparison of the like, alongside the ‘‘with the terrorists’’ is actually a more complicated approach to the choosing of sides and the drawing of lines than is generally credited. Simple binary oppositions are less useful to an understanding here than the process of incorporation and the policy of integration.  </w:t>
      </w:r>
      <w:r w:rsidRPr="000C2212">
        <w:rPr>
          <w:rStyle w:val="StyleUnderline"/>
        </w:rPr>
        <w:t>These examples indicate the policy of integration or exclusion being adopted by the US and followed by certain allies. It warns those failing to adopt US values (principally liberal ‘representative’ democracy and market capitalism)</w:t>
      </w:r>
      <w:r w:rsidRPr="00AB13CB">
        <w:t xml:space="preserve">, that they will be excluded from an American-centric world. The place of US allies in these representations is not unimportant. Indeed, the strength of the US discourse relies also on its reflection and reiteration by other key allies, especially in Europe. Above and beyond the dismissive pronouncements of Rumsfeld about Europe’s ‘‘Old’’ and ‘‘New’’ e a conception that was inchoately articulated as early as the 1992 DPGethe dissent of (even some)Europeans is a problemfor theUSin itsworld-making endeavours (seeBialasiewicz&amp;Minca, 2005). It is not surprising, then, that following his re-election,George W. Bush and Condoleeza Rice embarked almost immediately on a ‘‘bridge-building’’ tour across Europe, </w:t>
      </w:r>
      <w:r w:rsidRPr="001713A6">
        <w:rPr>
          <w:rStyle w:val="StyleUnderline"/>
        </w:rPr>
        <w:t>noting not trans-Atlantic differences but ‘‘the great alliance of freedom’’ that unites the United States and Europe</w:t>
      </w:r>
      <w:r w:rsidRPr="00AB13CB">
        <w:t xml:space="preserve"> (Bush, 2005). </w:t>
      </w:r>
      <w:r w:rsidRPr="001713A6">
        <w:rPr>
          <w:rStyle w:val="StyleUnderline"/>
        </w:rPr>
        <w:t>For although the United States may construct itself as the undisputed leader in the new global scenario, its ‘‘right’’ e and the right of its moral-political ‘‘mission’’ of spreading ‘‘freedom and justice’’</w:t>
      </w:r>
      <w:r w:rsidRPr="00AB13CB">
        <w:t xml:space="preserve"> e relies on its amplification and support by allies. The construction of the United States’ world role relies also on the selective placement and representation of other international actors who are ‘‘hailed’’ into specific subject positions (see Weldes, Laffey, Gusterson, &amp; Duvall, 1999). Of course, different actors are granted different roles and different degrees of agency in the global script: the place of key European allies is different from that bestowed upon the peripheral and semi-peripheral states that make part of the ‘‘coalition of the willing’’</w:t>
      </w:r>
      <w:r w:rsidRPr="001713A6">
        <w:rPr>
          <w:rStyle w:val="StyleUnderline"/>
        </w:rPr>
        <w:t>. Both, however, are vital in sustaining the representation of the US as the leader of a shared world of values and ideals. Indeed, the ‘lone superpower’ has little influence in the absence of support.</w:t>
      </w:r>
    </w:p>
    <w:p w14:paraId="0F5CE937" w14:textId="25C1BBA3" w:rsidR="00AB13CB" w:rsidRPr="00C90932" w:rsidRDefault="00E4478A" w:rsidP="00E4478A">
      <w:pPr>
        <w:pStyle w:val="Heading2"/>
      </w:pPr>
      <w:r>
        <w:t>Blocks</w:t>
      </w:r>
    </w:p>
    <w:p w14:paraId="5839ADD5" w14:textId="79AC0393" w:rsidR="001E189D" w:rsidRPr="00C90932" w:rsidRDefault="004F467F" w:rsidP="00C90932">
      <w:pPr>
        <w:pStyle w:val="Heading3"/>
        <w:rPr>
          <w:rFonts w:cs="Calibri"/>
        </w:rPr>
      </w:pPr>
      <w:r w:rsidRPr="00C90932">
        <w:rPr>
          <w:rFonts w:cs="Calibri"/>
        </w:rPr>
        <w:t>Framework</w:t>
      </w:r>
    </w:p>
    <w:p w14:paraId="178A6A9C" w14:textId="38DB81CE" w:rsidR="005E6D10" w:rsidRPr="00C90932" w:rsidRDefault="005E6D10" w:rsidP="00C90932">
      <w:pPr>
        <w:pStyle w:val="Heading4"/>
        <w:rPr>
          <w:rFonts w:cs="Calibri"/>
        </w:rPr>
      </w:pPr>
      <w:r w:rsidRPr="00C90932">
        <w:rPr>
          <w:rFonts w:cs="Calibri"/>
        </w:rPr>
        <w:t>Representations and epistemology perpetuate colonial practices – the way we understand and discuss the structures around us overdetermines our praxis</w:t>
      </w:r>
    </w:p>
    <w:p w14:paraId="34288E6E" w14:textId="5A67605D" w:rsidR="005E6D10" w:rsidRPr="00C90932" w:rsidRDefault="005E6D10" w:rsidP="00C90932">
      <w:r w:rsidRPr="00C90932">
        <w:rPr>
          <w:rStyle w:val="Style13ptBold"/>
        </w:rPr>
        <w:t xml:space="preserve">Seawright 14 </w:t>
      </w:r>
      <w:r w:rsidR="00C5301A" w:rsidRPr="00C5301A">
        <w:t>[</w:t>
      </w:r>
      <w:r w:rsidRPr="00C5301A">
        <w:t xml:space="preserve">Gardner Seawright is a doctoral candidate in the Education, Culture, and Society department at the University of Utah. “Settler Traditions of Place: Making Explicit the Epistemological </w:t>
      </w:r>
      <w:r w:rsidRPr="00C90932">
        <w:t>Legacy of White Supremacy and Settler Colonialism for Place-Based Education.” EDUCATIONAL STUDIES, 50: 554–572, 2014, American Educational Studies Association.</w:t>
      </w:r>
      <w:r w:rsidR="00C5301A">
        <w:t>]</w:t>
      </w:r>
      <w:r w:rsidRPr="00C90932">
        <w:t xml:space="preserve"> JJN  - recut //micah</w:t>
      </w:r>
    </w:p>
    <w:p w14:paraId="12ECEECD" w14:textId="77777777" w:rsidR="005E6D10" w:rsidRPr="00C90932" w:rsidRDefault="005E6D10" w:rsidP="00C90932">
      <w:pPr>
        <w:rPr>
          <w:rStyle w:val="StyleUnderline"/>
        </w:rPr>
      </w:pPr>
      <w:r w:rsidRPr="00C90932">
        <w:rPr>
          <w:sz w:val="14"/>
        </w:rPr>
        <w:t xml:space="preserve">Situating Settler Traditions </w:t>
      </w:r>
      <w:r w:rsidRPr="00C90932">
        <w:rPr>
          <w:rStyle w:val="StyleUnderline"/>
        </w:rPr>
        <w:t>Settler traditions of place are an epistemic genealogy—the ethics, logics, and ideologies foundational to a knowledge system that have been passed down across generations, a knowledge framework that establishes what is known</w:t>
      </w:r>
      <w:r w:rsidRPr="00C90932">
        <w:rPr>
          <w:sz w:val="14"/>
        </w:rPr>
        <w:t xml:space="preserve"> (the socially constructed commonsense of a culture), </w:t>
      </w:r>
      <w:r w:rsidRPr="00C90932">
        <w:rPr>
          <w:rStyle w:val="StyleUnderline"/>
        </w:rPr>
        <w:t>how things come to be known</w:t>
      </w:r>
      <w:r w:rsidRPr="00C90932">
        <w:rPr>
          <w:sz w:val="14"/>
        </w:rPr>
        <w:t xml:space="preserve"> (the process of attaining new knowledge), </w:t>
      </w:r>
      <w:r w:rsidRPr="00C90932">
        <w:rPr>
          <w:rStyle w:val="StyleUnderline"/>
        </w:rPr>
        <w:t xml:space="preserve">how the world is to be interpreted according to what is known </w:t>
      </w:r>
      <w:r w:rsidRPr="00C90932">
        <w:rPr>
          <w:sz w:val="14"/>
        </w:rPr>
        <w:t xml:space="preserve">(the social construction of reality), </w:t>
      </w:r>
      <w:r w:rsidRPr="00C90932">
        <w:rPr>
          <w:rStyle w:val="StyleUnderline"/>
        </w:rPr>
        <w:t>and how the self is known in relation to perceived reality</w:t>
      </w:r>
      <w:r w:rsidRPr="00C90932">
        <w:rPr>
          <w:sz w:val="14"/>
        </w:rPr>
        <w:t xml:space="preserve"> (the politics of self). </w:t>
      </w:r>
      <w:r w:rsidRPr="00C90932">
        <w:rPr>
          <w:rStyle w:val="StyleUnderline"/>
        </w:rPr>
        <w:t>Tradition is used</w:t>
      </w:r>
      <w:r w:rsidRPr="00C90932">
        <w:rPr>
          <w:sz w:val="14"/>
        </w:rPr>
        <w:t xml:space="preserve"> as a conceptual tool </w:t>
      </w:r>
      <w:r w:rsidRPr="00C90932">
        <w:rPr>
          <w:rStyle w:val="StyleUnderline"/>
        </w:rPr>
        <w:t>allowing for domination to be empha- sized as an on-going historical process, while also allowing</w:t>
      </w:r>
      <w:r w:rsidRPr="00C90932">
        <w:rPr>
          <w:sz w:val="14"/>
        </w:rPr>
        <w:t xml:space="preserve"> for epistemology </w:t>
      </w:r>
      <w:r w:rsidRPr="00C90932">
        <w:rPr>
          <w:rStyle w:val="StyleUnderline"/>
        </w:rPr>
        <w:t xml:space="preserve">as tradition to simultaneously be evolutionary and a cherished cultural artifact. </w:t>
      </w:r>
      <w:r w:rsidRPr="00C90932">
        <w:rPr>
          <w:sz w:val="14"/>
        </w:rPr>
        <w:t xml:space="preserve">As a cultural product, </w:t>
      </w:r>
      <w:r w:rsidRPr="00C90932">
        <w:rPr>
          <w:rStyle w:val="StyleUnderline"/>
        </w:rPr>
        <w:t>settler traditions of place are transmitted across generations through discipline, teaching, modeling and other forms of direct and subtle so- cial communication resulting in normalized habits, beliefs, values, and practices.</w:t>
      </w:r>
      <w:r w:rsidRPr="00C90932">
        <w:rPr>
          <w:sz w:val="14"/>
        </w:rPr>
        <w:t xml:space="preserve"> In speaking about “western cultural traditions,” Val Plumood (2002) argues that </w:t>
      </w:r>
      <w:r w:rsidRPr="00C90932">
        <w:rPr>
          <w:rStyle w:val="StyleUnderline"/>
        </w:rPr>
        <w:t>there are “epistemic and moral limitations” embedded in</w:t>
      </w:r>
      <w:r w:rsidRPr="00C90932">
        <w:rPr>
          <w:sz w:val="14"/>
        </w:rPr>
        <w:t xml:space="preserve"> these </w:t>
      </w:r>
      <w:r w:rsidRPr="00C90932">
        <w:rPr>
          <w:rStyle w:val="StyleUnderline"/>
        </w:rPr>
        <w:t>traditions—these normalized habits—that perpetuate hierarchized notions of the world that privi- lege white-hetero-landowning males</w:t>
      </w:r>
      <w:r w:rsidRPr="00C90932">
        <w:rPr>
          <w:sz w:val="14"/>
        </w:rPr>
        <w:t xml:space="preserve"> (99). As Martusewicz et al. (2011) explain, </w:t>
      </w:r>
      <w:r w:rsidRPr="00C90932">
        <w:rPr>
          <w:rStyle w:val="StyleUnderline"/>
        </w:rPr>
        <w:t>these subtle discourses manifest as taken-for-granted cultural assumptions that are rooted in racism, sexism, classism that intertwine with and reflect the cultivation of violent relationships with the more-than-human world and natural systems that we depend on for life</w:t>
      </w:r>
      <w:r w:rsidRPr="00C90932">
        <w:rPr>
          <w:sz w:val="14"/>
        </w:rPr>
        <w:t xml:space="preserve"> (119). The tradition in question here is the social air that penetrates the Western world, interacting with human beings whether they want it to or not. Using tradition as a metaphor for epistemology allows me to emphasize the way </w:t>
      </w:r>
      <w:r w:rsidRPr="00C90932">
        <w:rPr>
          <w:rStyle w:val="StyleUnderline"/>
        </w:rPr>
        <w:t>epistemology can im- pact every aspect of life while remaining removed from a deterministic position. Embedded in discourse, tradition appears as ever-present; despite this, individual social actors have the agency to break tradition.</w:t>
      </w:r>
      <w:r w:rsidRPr="00C90932">
        <w:rPr>
          <w:sz w:val="14"/>
        </w:rPr>
        <w:t xml:space="preserve"> Consequently, in the same way that an individual breaks from familial, cultural, or religious tradition and faces the ramifications for transgressing, epistemic transgression can also incur social fallout and cause friction. </w:t>
      </w:r>
      <w:r w:rsidRPr="00C90932">
        <w:rPr>
          <w:rStyle w:val="StyleUnderline"/>
        </w:rPr>
        <w:t>When an individual epistemically transgresses, they employ an epistemic praxis</w:t>
      </w:r>
      <w:r w:rsidRPr="00C90932">
        <w:rPr>
          <w:sz w:val="14"/>
        </w:rPr>
        <w:t xml:space="preserve"> (the operationalization of an alternative or critical epistemology) </w:t>
      </w:r>
      <w:r w:rsidRPr="00C90932">
        <w:rPr>
          <w:rStyle w:val="StyleUnderline"/>
        </w:rPr>
        <w:t xml:space="preserve">that goes against the grain and is counter to the tradition that defines the social environment. </w:t>
      </w:r>
      <w:r w:rsidRPr="00C90932">
        <w:rPr>
          <w:sz w:val="14"/>
        </w:rPr>
        <w:t xml:space="preserve">For conversations concerning the cultivation of criticality (like the one herein) </w:t>
      </w:r>
      <w:r w:rsidRPr="00C90932">
        <w:rPr>
          <w:rStyle w:val="StyleUnderline"/>
        </w:rPr>
        <w:t>this break in tradition is absolutely desirable and can inspire</w:t>
      </w:r>
      <w:r w:rsidRPr="00C90932">
        <w:rPr>
          <w:sz w:val="14"/>
        </w:rPr>
        <w:t xml:space="preserve"> what Jose ́ Medina (2013) calls </w:t>
      </w:r>
      <w:r w:rsidRPr="00C90932">
        <w:rPr>
          <w:rStyle w:val="StyleUnderline"/>
        </w:rPr>
        <w:t>epistemic friction. Epistemic friction is contained in those uncomfortable moments in which our taken-for-granted assumptions about the world begin to crack.</w:t>
      </w:r>
      <w:r w:rsidRPr="00C90932">
        <w:rPr>
          <w:sz w:val="14"/>
        </w:rPr>
        <w:t xml:space="preserve"> </w:t>
      </w:r>
      <w:r w:rsidRPr="00C90932">
        <w:rPr>
          <w:rStyle w:val="StyleUnderline"/>
        </w:rPr>
        <w:t>These moments can be transformative and cat- alyze critical consciousness to imagine and hopefully actualize an alternative epistemology.</w:t>
      </w:r>
    </w:p>
    <w:p w14:paraId="2E8796DD" w14:textId="77777777" w:rsidR="00BB3567" w:rsidRPr="00C90932" w:rsidRDefault="00BB3567" w:rsidP="00446DA0">
      <w:pPr>
        <w:pStyle w:val="Heading4"/>
      </w:pPr>
      <w:r w:rsidRPr="00C90932">
        <w:t xml:space="preserve">Western power is centrally a project in knowledge production– with Enlightenment rationality, Empire came to be the ability to know and classify difference. </w:t>
      </w:r>
    </w:p>
    <w:p w14:paraId="22B376BA" w14:textId="35FAED0B" w:rsidR="00BB3567" w:rsidRPr="00E4478A" w:rsidRDefault="00BB3567" w:rsidP="00E4478A">
      <w:r w:rsidRPr="00E4478A">
        <w:rPr>
          <w:rStyle w:val="Style13ptBold"/>
        </w:rPr>
        <w:t>Spanos, 2k</w:t>
      </w:r>
      <w:r w:rsidRPr="00E4478A">
        <w:t> [William V. Spanos, “America’s Shadow: An Anatomy of Empire,” published in 2000, pp. 39-51 *edited for problematic language //jwc] – Recut // Micah</w:t>
      </w:r>
    </w:p>
    <w:p w14:paraId="59DE7A43" w14:textId="77777777" w:rsidR="00BB3567" w:rsidRPr="008A67DE" w:rsidRDefault="00BB3567" w:rsidP="00303684">
      <w:pPr>
        <w:spacing w:line="235" w:lineRule="atLeast"/>
        <w:rPr>
          <w:color w:val="000000"/>
          <w:sz w:val="16"/>
        </w:rPr>
      </w:pPr>
      <w:r w:rsidRPr="00C90932">
        <w:rPr>
          <w:b/>
          <w:bCs/>
          <w:color w:val="000000"/>
          <w:u w:val="single"/>
        </w:rPr>
        <w:t>The space of the circle projected by the metaphysical eye before the Enlightenment was an empty or uninhabited space.</w:t>
      </w:r>
      <w:r w:rsidRPr="00C90932">
        <w:rPr>
          <w:color w:val="000000"/>
          <w:sz w:val="16"/>
        </w:rPr>
        <w:t> </w:t>
      </w:r>
      <w:r w:rsidRPr="00C90932">
        <w:rPr>
          <w:color w:val="000000"/>
          <w:u w:val="single"/>
        </w:rPr>
        <w:t>Those who filled it were "seen" as nomadic — separated, in their mobility, from the land — and insofar as this nomadic existence precluded cultivating and inhabiting it, errantly nonhuman.</w:t>
      </w:r>
      <w:r w:rsidRPr="00C90932">
        <w:rPr>
          <w:color w:val="000000"/>
          <w:sz w:val="16"/>
        </w:rPr>
        <w:t> I will return in the last chapter to think positively this negative representation of the "savage" or "barbarian" Other beyond the circumference of the metropolitan circle. My purpose here is simply to make the ideological implications of this representation explicit. Despite the obvious evidence that would belie such a projection, this is the pervasive testimony of European travelers and colonists in North and South America and in Africa, as many historians of colonial encounters have shown.69 As Peter Hulme puts this calculatively blind [ignorant] representation of the indigenous people of the "New World" by their European "visitors": The strategies of colonial discourse were directed in the first place at demonstrating a separation between the desired land and its native inhabitants. Baffled at the complex but effective native system of food production, the English seem to have latched on to the one (minor) facet of behaviour that they thought they recognized — mobility, and argued on that basis an absence of proper connection between the land and its first inhabitants.70 Drawing from Francis Jennings's The Invasion of America, Hulme goes on to give examples of this early ideological representation of the space within the colonial circle, suggesting the degree to which it justified the overt use of violence by the colonizers: In 1612 the Jesuit missionary Pierre Biard, describing Canadian Amerindians, wrote: Thus four thousand Indians at most roam through, rather than occupy, these vast stretches of inland territory and seashore. For they are a nomadic people, living in the forests and scattered over wide spaces as is natural for those who live by hunting and fishing only; "roam rather than occupy" being a translation of Biard's "non tenentur, sed percurruntur." In 1625 Samuel Purchas wrote of the Virginia Algonquian: so bad people, having little of Humanitie but shape, ignorant of Civilitie, of Arts, of Religion; more brutish then the beasts they hunt, more wild and unmanly then that unmanned wild Countrey which they range rather then inhabite. And in 1629 in New England John Winthrop assimilated Purchas's point to the legal argument of vacuum domicilium by which the Indian had "natural" but not "civil" rights over the land because they had not "subdued" it.71 What, however, </w:t>
      </w:r>
      <w:r w:rsidRPr="00C90932">
        <w:rPr>
          <w:color w:val="000000"/>
          <w:u w:val="single"/>
        </w:rPr>
        <w:t>the panoptic Eurocentric eye of the Enlightenment comes to see in the space within this reconfigured trope of the circle is no longer — or at least not exclusively — a vast "uninhabited" emptiness, in which the natives do not count as human beings. Rather, it comes primarily to see an uninformed</w:t>
      </w:r>
      <w:r w:rsidRPr="00C90932">
        <w:rPr>
          <w:color w:val="000000"/>
          <w:sz w:val="16"/>
        </w:rPr>
        <w:t> </w:t>
      </w:r>
      <w:r w:rsidRPr="00C90932">
        <w:rPr>
          <w:b/>
          <w:bCs/>
          <w:color w:val="000000"/>
          <w:u w:val="single"/>
        </w:rPr>
        <w:t>terra incognita.</w:t>
      </w:r>
      <w:r w:rsidRPr="00C90932">
        <w:rPr>
          <w:color w:val="000000"/>
          <w:sz w:val="16"/>
        </w:rPr>
        <w:t> As the texts of early European travel writers (and social historians) invariably characterize this amorphous and ahistorical "new world," the European panoptic gaze falls on an "unimproved" space. As the privative prefix emphatically suggests, it is </w:t>
      </w:r>
      <w:r w:rsidRPr="00C90932">
        <w:rPr>
          <w:b/>
          <w:bCs/>
          <w:color w:val="000000"/>
          <w:u w:val="single"/>
        </w:rPr>
        <w:t>a space-time in which everything in it</w:t>
      </w:r>
      <w:r w:rsidRPr="00C90932">
        <w:rPr>
          <w:color w:val="000000"/>
          <w:sz w:val="16"/>
        </w:rPr>
        <w:t> — flora, fauna, minerals, animals, and, later, human beings — </w:t>
      </w:r>
      <w:r w:rsidRPr="00C90932">
        <w:rPr>
          <w:b/>
          <w:bCs/>
          <w:color w:val="000000"/>
          <w:u w:val="single"/>
        </w:rPr>
        <w:t>is seen and encoded</w:t>
      </w:r>
      <w:r w:rsidRPr="00C90932">
        <w:rPr>
          <w:color w:val="000000"/>
          <w:sz w:val="16"/>
        </w:rPr>
        <w:t> </w:t>
      </w:r>
      <w:r w:rsidRPr="00C90932">
        <w:rPr>
          <w:color w:val="000000"/>
          <w:u w:val="single"/>
        </w:rPr>
        <w:t>not so much as threatening, though that meaning is clearly there as well,</w:t>
      </w:r>
      <w:r w:rsidRPr="00C90932">
        <w:rPr>
          <w:color w:val="000000"/>
          <w:sz w:val="16"/>
        </w:rPr>
        <w:t> </w:t>
      </w:r>
      <w:r w:rsidRPr="00C90932">
        <w:rPr>
          <w:b/>
          <w:bCs/>
          <w:color w:val="000000"/>
          <w:u w:val="single"/>
        </w:rPr>
        <w:t>as wasteful or uneconomical</w:t>
      </w:r>
      <w:r w:rsidRPr="00C90932">
        <w:rPr>
          <w:color w:val="000000"/>
          <w:sz w:val="16"/>
        </w:rPr>
        <w:t> and thus as an untended fallow (female) terrain calling futurally for the beneficial ministrations of the (adult, male) center.72 The predestinarian metaphorics of the circle precipitates a whole rhetoric of moral necessity. The "wilderness" as "underdeveloped" or "unimproved" or "uncultivated" (i.e., "unfulfilled" or "uncircular") space must, as the privative prefixes demand, be developed, improved, cultivated (i.e., fulfilled or circularized). Indeed, it is the wilderness's destiny. From this representation of the colonial Others as mired in and by their own chaotic primordial condition, one of the most debilitating of which is unproductive perpetual war, </w:t>
      </w:r>
      <w:r w:rsidRPr="00C90932">
        <w:rPr>
          <w:color w:val="000000"/>
          <w:u w:val="single"/>
        </w:rPr>
        <w:t>it is an easy step to representing them</w:t>
      </w:r>
      <w:r w:rsidRPr="00C90932">
        <w:rPr>
          <w:color w:val="000000"/>
          <w:sz w:val="16"/>
        </w:rPr>
        <w:t>, as American writers and historians did the Indian race in the nineteenth century, </w:t>
      </w:r>
      <w:r w:rsidRPr="00C90932">
        <w:rPr>
          <w:b/>
          <w:bCs/>
          <w:color w:val="000000"/>
          <w:u w:val="single"/>
        </w:rPr>
        <w:t>as either self-doomed</w:t>
      </w:r>
      <w:r w:rsidRPr="00C90932">
        <w:rPr>
          <w:color w:val="000000"/>
          <w:sz w:val="16"/>
        </w:rPr>
        <w:t>73 </w:t>
      </w:r>
      <w:r w:rsidRPr="00C90932">
        <w:rPr>
          <w:b/>
          <w:bCs/>
          <w:color w:val="000000"/>
          <w:u w:val="single"/>
        </w:rPr>
        <w:t>or appealing to the Europe</w:t>
      </w:r>
      <w:r w:rsidRPr="00C90932">
        <w:rPr>
          <w:color w:val="000000"/>
          <w:sz w:val="16"/>
        </w:rPr>
        <w:t>an </w:t>
      </w:r>
      <w:r w:rsidRPr="00C90932">
        <w:rPr>
          <w:b/>
          <w:bCs/>
          <w:color w:val="000000"/>
          <w:u w:val="single"/>
        </w:rPr>
        <w:t>to save them from themselves by way of imposing his peace on their multiply wasteful strife.</w:t>
      </w:r>
      <w:r w:rsidRPr="00C90932">
        <w:rPr>
          <w:color w:val="000000"/>
          <w:sz w:val="16"/>
        </w:rPr>
        <w:t>74 Referring to John Barrow's representative (enlightened) "anticonquest" narrative about his travels as an agent of the British colonial governor in the interior of the Cape Colony at the end of the eighteenth century, Mary Louise Pratt writes: </w:t>
      </w:r>
      <w:r w:rsidRPr="00C90932">
        <w:rPr>
          <w:color w:val="000000"/>
          <w:u w:val="single"/>
        </w:rPr>
        <w:t>The visual descriptions presuppose — naturalize — a transformative project embodied in the Europeans.</w:t>
      </w:r>
      <w:r w:rsidRPr="00C90932">
        <w:rPr>
          <w:color w:val="000000"/>
          <w:sz w:val="16"/>
        </w:rPr>
        <w:t> Often the project surfaces explicitly in Barrow's text, in visions of "improvement" whose value is often expressed as aesthetic.... </w:t>
      </w:r>
      <w:r w:rsidRPr="00C90932">
        <w:rPr>
          <w:color w:val="000000"/>
          <w:u w:val="single"/>
        </w:rPr>
        <w:t>It is the task of the advanced scouts for capitalist "improvement" to</w:t>
      </w:r>
      <w:r w:rsidRPr="00C90932">
        <w:rPr>
          <w:color w:val="000000"/>
          <w:sz w:val="16"/>
        </w:rPr>
        <w:t> </w:t>
      </w:r>
      <w:r w:rsidRPr="00C90932">
        <w:rPr>
          <w:b/>
          <w:bCs/>
          <w:color w:val="000000"/>
          <w:u w:val="single"/>
        </w:rPr>
        <w:t>encode</w:t>
      </w:r>
      <w:r w:rsidRPr="00C90932">
        <w:rPr>
          <w:color w:val="000000"/>
          <w:sz w:val="16"/>
        </w:rPr>
        <w:t> </w:t>
      </w:r>
      <w:r w:rsidRPr="00C90932">
        <w:rPr>
          <w:color w:val="000000"/>
          <w:u w:val="single"/>
        </w:rPr>
        <w:t>what</w:t>
      </w:r>
      <w:r w:rsidRPr="00C90932">
        <w:rPr>
          <w:color w:val="000000"/>
          <w:sz w:val="16"/>
        </w:rPr>
        <w:t> </w:t>
      </w:r>
      <w:r w:rsidRPr="00C90932">
        <w:rPr>
          <w:b/>
          <w:bCs/>
          <w:color w:val="000000"/>
          <w:u w:val="single"/>
        </w:rPr>
        <w:t>the</w:t>
      </w:r>
      <w:r w:rsidRPr="00C90932">
        <w:rPr>
          <w:color w:val="000000"/>
          <w:sz w:val="16"/>
        </w:rPr>
        <w:t>y </w:t>
      </w:r>
      <w:r w:rsidRPr="00C90932">
        <w:rPr>
          <w:color w:val="000000"/>
          <w:u w:val="single"/>
        </w:rPr>
        <w:t>encounter as "</w:t>
      </w:r>
      <w:r w:rsidRPr="00C90932">
        <w:rPr>
          <w:b/>
          <w:bCs/>
          <w:color w:val="000000"/>
          <w:u w:val="single"/>
        </w:rPr>
        <w:t>unimproved</w:t>
      </w:r>
      <w:r w:rsidRPr="00C90932">
        <w:rPr>
          <w:color w:val="000000"/>
          <w:u w:val="single"/>
        </w:rPr>
        <w:t>" and</w:t>
      </w:r>
      <w:r w:rsidRPr="00C90932">
        <w:rPr>
          <w:color w:val="000000"/>
          <w:sz w:val="16"/>
        </w:rPr>
        <w:t>, in keeping with the terms of the anti-conquest, as disponible, </w:t>
      </w:r>
      <w:r w:rsidRPr="00C90932">
        <w:rPr>
          <w:b/>
          <w:bCs/>
          <w:color w:val="000000"/>
          <w:u w:val="single"/>
        </w:rPr>
        <w:t>available for improvement.</w:t>
      </w:r>
      <w:r w:rsidRPr="00C90932">
        <w:rPr>
          <w:color w:val="000000"/>
          <w:sz w:val="16"/>
        </w:rPr>
        <w:t> European aspirations must be represented as uncontested. Here the textual apartheid that separates landscapes from people, accounts of inhabitants from accounts of their habitats, fulfills its logic. The European improving eye produces subsistence habitats as "empty" landscapes, meaningful only in terms of a capitalist future and of their potential for producing a marketable surplus. From the point of view of their inhabitants, of course, these same spaces are lived as intensely humanized, saturated with local history and meaning, where plants, creatures, and geographical formations have names, uses, symbolic functions, histories, places in indigenous knowledge formations.75 This is an acute observation about the "anti-conquest" imperialist discourse of Enlightenment travel writing. But it is limited by its characteristic restriction of the word "improvement" to the historical context of modern capitalism (though the aside referring to the expression of the vision of improvement in aesthetic terms is suggestive). Like so much "postcolonial" criticism, its historicist problematic is blind [ignorant] to the genealogy of this modern "anti-conquest" concept. </w:t>
      </w:r>
      <w:r w:rsidRPr="00C90932">
        <w:rPr>
          <w:color w:val="000000"/>
          <w:u w:val="single"/>
        </w:rPr>
        <w:t>It fails to see that the rhetoric of "improvement" is a capitalist extension of a much older system of imperial tropes, one that, in naturalizing the latter, obscures the will to power over the Other that is visible in its earlier form.</w:t>
      </w:r>
      <w:r w:rsidRPr="00C90932">
        <w:rPr>
          <w:color w:val="000000"/>
          <w:sz w:val="16"/>
        </w:rPr>
        <w:t> This word, that is, not only looks forward to "underdeveloped," the sedimented counterword that constitutes the base of the neocolonialist discourse of late capitalism, as Pratt seems to be suggesting. It also harks back to what Enrique Dussel calls the "developmental fallacy" informing Enlightenment philosophy of history from Adam Smith and John Locke through Hegel and a certain Marx to Habermas. Tracing the genealogy of Habermas's Eurocentric representation of modernity back to Hegel, Dussel writes: In the Vorlesungen uber die Philosophic der Weltgeschichte, Hegel portrays world history (Weltgeschichte) as the self-realization of God, as a theodicy of reason and of liberty (Freiheit), and as a process of Enlightenment (Aufklarung).... In Hegelian ontology, the concept of development (Enttvicklung) plays a central role. This concept determines the movement of the concept (Begriff) until it culminates in the idea — that is, as it moves from indeterminate being to the absolute knowledge in the Logic. Development... unfolds according to a linear dialectic; although originally an ontological category, today it is primarily considered as a sociological one with implications for world history. Furthermore, this development has a direction: Universal history goes from East to West. Europe is absolutely the end of universal history. Asia is the beginning. But this alleged East-West movement clearly precludes Latin America and Africa from world history and characterizes Asia as essentially confined to a state of immaturity and childhood (Kindheit).... The immaturity (Umreife) marking America is total and physical; even the vegetables and the animals are more primitive, brutal, monstrous, or simply more weak or degenerate.76 Even more fundamentally, Pratt's "unimproved" has its origins in the more deeply inscribed metaphorics of the seed and its cultivation, as Dussel's recurrent invocation of the rhetoric of "immaturity" that informs the Hegelian discourse suggests. This is the trope (which is also an aesthetics) that, along with the gaze and the centered circle, informs the very etymology of "metaphysics" and that is encoded and naturalized in the truth discourse of the Occident. That is to say, the genealogy of the word "improvement" in the discourse of post-Enlightenment travel literature is traceable to the origins of Occidental history. (The metaphor of the "virgin land," which, as I have intimated, is equally pervasive in the discourse of early colonialism, constitutes a particularly telling gendered allotrope of this metaphorical system circulating around the seed. It focalizes the identification of the panoptic gaze that perceives this "unimproved" circular space with the brutal phallic will.)77 A retrieval of the equally inaugural visual metaphorics with which it is affiliated will bring into visibility the ideological agenda hidden in the benign connotations of the metaphor of "improvement." In the positivist Enlightenment, </w:t>
      </w:r>
      <w:r w:rsidRPr="00C90932">
        <w:rPr>
          <w:color w:val="000000"/>
          <w:u w:val="single"/>
        </w:rPr>
        <w:t>the "unimproved" space of the "wilderness" is understood as a darkness, in the sense not so much of savage or barbarous (though, again, that meaning resonates in the word as well), as of a potentially knowable and usable unknown.</w:t>
      </w:r>
      <w:r w:rsidRPr="00C90932">
        <w:rPr>
          <w:color w:val="000000"/>
          <w:sz w:val="16"/>
        </w:rPr>
        <w:t> What its eye beholds primarily is a terrain that, as the European cliche about the "inscrutability" of the Orient has it, compels knowing and naming precisely because its darkly unimproved state resists scrutiny and domestication. For the French natural scientist Michel Adanson, for example, the world of nature was a confused mingling of beings that seem to have been brought together by chance: here, gold is mixed with another metal, with stone, with earth; there, the violet grows side by side with an oak. Among these plants, too, wander the quadruped, the reptile, and the insect; the fishes are confused, one might say, with the aqueous element in which they swim, and with the plants grow in the depth of the waters.... This mixture is indeed so general and so multifarious that it appears to be one of nature's laws.78 In thematizing this knowledge-producing naming — this Linnaean classificatory motif—I do not, despite its decisive contribution to the imperial project proper, want to limit its origins to the Enlightenment. As the natural affiliation of seed with light (the spatialization of differential temporal phenomena) suggests, its ultimate origin lies in the Occident's appropriation of the biblical narrative of Adam, armed with the Logos, naming the beasts. In combinations with the classical apotheosis of the sun/seed, this narrative has played a decisive role of persuasion throughout the history of Christian European imperial conquest, not least in that history of genocidal American expansionism inaugurated by the Adamic Puritans' pacification of the American wilderness.79 </w:t>
      </w:r>
      <w:r w:rsidRPr="00C90932">
        <w:rPr>
          <w:color w:val="000000"/>
          <w:u w:val="single"/>
        </w:rPr>
        <w:t>To put it generally, then, this historically developed Enlightenment version of the imperial circle is understood not simply as an ever-expanding boundary or frontier tethered to the luminous center, but simultaneously as an unending process of enlightening and internalizing the outside darkness</w:t>
      </w:r>
      <w:r w:rsidRPr="00C90932">
        <w:rPr>
          <w:color w:val="000000"/>
          <w:sz w:val="16"/>
        </w:rPr>
        <w:t>, or, what is the same thing, of bringing its (female) fallowness to fruition. This understanding of the relation between center and periphery is, of course, what Enlightenment Europe called its mission civilisatrice. And, it should not be overlooked, its ultimate origin is the Roman imperial model: the relation between a (manly) civilized Rome, the Metropolis — the City as measure — and the uncivilized periphery, the amorphous, unknown, and unnamed (obscure) or "unimproved" (uncultivated) provinces that were not yet incorporated into the orbis terrarum, that is, were not yet individuated into cities or integrated parts of the Metropolitan City. </w:t>
      </w:r>
      <w:r w:rsidRPr="00C90932">
        <w:rPr>
          <w:color w:val="000000"/>
          <w:u w:val="single"/>
        </w:rPr>
        <w:t>But</w:t>
      </w:r>
      <w:r w:rsidRPr="00C90932">
        <w:rPr>
          <w:color w:val="000000"/>
          <w:sz w:val="16"/>
        </w:rPr>
        <w:t> </w:t>
      </w:r>
      <w:r w:rsidRPr="00C90932">
        <w:rPr>
          <w:b/>
          <w:bCs/>
          <w:color w:val="000000"/>
          <w:u w:val="single"/>
        </w:rPr>
        <w:t>to speak of the circular space perceived by the Eurocentric eye of the Enlightenment as an unknown, unnamed, and unimproved space that "demands" to be known, named, and improved is to realize that the civilizing or enlightening mission of the Enlightenment also requires specification both of the articulation of that space and of the effects of that spatial economy on knowledge and power.</w:t>
      </w:r>
      <w:r w:rsidRPr="00C90932">
        <w:rPr>
          <w:color w:val="000000"/>
          <w:sz w:val="16"/>
        </w:rPr>
        <w:t> To put it generally, </w:t>
      </w:r>
      <w:r w:rsidRPr="00C90932">
        <w:rPr>
          <w:color w:val="000000"/>
          <w:u w:val="single"/>
        </w:rPr>
        <w:t>the Eurocentric solar or panoptic eye of the Enlightenment turned the earlier "emptiness" of the circle of its vision into</w:t>
      </w:r>
      <w:r w:rsidRPr="00C90932">
        <w:rPr>
          <w:color w:val="000000"/>
          <w:sz w:val="16"/>
        </w:rPr>
        <w:t> </w:t>
      </w:r>
      <w:r w:rsidRPr="00C90932">
        <w:rPr>
          <w:b/>
          <w:bCs/>
          <w:color w:val="000000"/>
          <w:u w:val="single"/>
        </w:rPr>
        <w:t>a measurable</w:t>
      </w:r>
      <w:r w:rsidRPr="00C90932">
        <w:rPr>
          <w:color w:val="000000"/>
          <w:u w:val="single"/>
        </w:rPr>
        <w:t> space</w:t>
      </w:r>
      <w:r w:rsidRPr="00C90932">
        <w:rPr>
          <w:color w:val="000000"/>
          <w:sz w:val="16"/>
        </w:rPr>
        <w:t xml:space="preserve">. Whereas the imperial eye of the pre-Enlightenment — the early Spanish conquistadores, for example — tended to (over)see the circle it projected as a generalized amorphous </w:t>
      </w:r>
      <w:r w:rsidRPr="00C90932">
        <w:rPr>
          <w:color w:val="000000"/>
          <w:u w:val="single"/>
        </w:rPr>
        <w:t>and thus immediately </w:t>
      </w:r>
      <w:r w:rsidRPr="00C90932">
        <w:rPr>
          <w:b/>
          <w:bCs/>
          <w:color w:val="000000"/>
          <w:u w:val="single"/>
        </w:rPr>
        <w:t>plunderable space</w:t>
      </w:r>
      <w:r w:rsidRPr="00C90932">
        <w:rPr>
          <w:color w:val="000000"/>
          <w:sz w:val="16"/>
        </w:rPr>
        <w:t>, the Enlightenment eye came to oversee the (always expanding) circle it projected as a mappable organic space, a vital differential world in which the comparative knowledge of its details enhances the power of the encompassing eye of the beholder over its organic "branching." As his presiding analogy between the domain of knowledge and the geographical world clearly suggests, what the French philosophe D'Alembert says in 1751 about the domain of knowledge before and after the emergence of the mapping eye in his Preliminary Discourse to the Encyclopedia of Diderot applies as well to the relationship between the Enlightenment Metropolis and the provinces. Indeed, it applies right down to the roles that "travelers'" narratives and the ensuing opening of lines of communication to the Metropolis play in the process of mastering the labyrinthine Other: The execution ["of a genealogical or encyclopedic tree which will gather the various branches of knowledge together under a single point of view"] is not without difficulty... .The general system of the sciences and the arts is a sort of labyrinth, a torturous road which the intellect enters without quite knowing what direction to take.... The discontinuity of these operations is a necessary effect of the very generation of ideas. However philosophic this disorder may be on the part of the soul, an encyclopedic tree which attempted to portray it would be disfigured, indeed utterly destroyed.... It is not the same with the encyclopedic arrangement of our knowledge. This consists of collecting knowledge into the smallest area possible and of placing the philosopher at a vantage point, so to speak, high above the vast labyrinth, whence he can perceive the principal sciences and the arts simultaneously. From there he can see at a glance the objects of their speculations and the operations which can be made on these objects; he can discern the general branches of human knowledge, the points that separate or unite them; and sometimes he can even glimpse the secrets that related them to one another. It is a kind of world map which is to show the principal countries, their position and their mutual dependence, the road that leads directly from one to another. This road is often cut by a thousand obstacles, which are known in each country only to the inhabitants or to travelers, and which cannot be represented except in individual, highly detailed maps. These individual maps will be the different articles of the Encyclopedia and the Tree or Systematic Chart will be its world map.80 The difference between the two historical moments, in other words, is the difference between a mapped space understood, as in the case of the early European explorers, as a periplum ("not as land seen on a map/but sea bord seen by men sailing"),81 and a mapped space conceived, as Foucault has shown, as a self-consciously mediative mode of knowledge/power production analogous in its structure to, if not entirely dependent on, the "tables" based on the ontologically, invariably racially, grounded systems of classification that emerged in the Enlightenment. These were the polyvalent taxonomic tables — best exemplified by the Systema Naturae (1735), Philosophia Botanica (1751), and Species Plantarum (1753) of Linnaeus, the Histoire naturelle (1749) of Buffon, the Nosologie methodique (1772) of Boissier de Sauvages ("the Linnaeus of diseases"),82 and the Families des plantes (1763) of Michel Adanson83 — that differentiated, named, graded, and accommodated an amorphous organic multiplicity within an inclusive structure that miniaturizes and renders visible a larger, otherwise invisible, and "ungraspable" totality. As such, </w:t>
      </w:r>
      <w:r w:rsidRPr="00C90932">
        <w:rPr>
          <w:b/>
          <w:bCs/>
          <w:color w:val="000000"/>
          <w:u w:val="single"/>
        </w:rPr>
        <w:t>they became the disciplinary model for the classroom, the mass production factory, the penal institution, the medical clinic, the psychiatric hospital, the capitalist system of economic exchange, and the practice of military warfare in the "disciplinary society</w:t>
      </w:r>
      <w:r w:rsidRPr="00C90932">
        <w:rPr>
          <w:color w:val="000000"/>
          <w:sz w:val="16"/>
        </w:rPr>
        <w:t>": The first of the great operations of discipline is... the constitution of "tableaux vivants," which transform the confused, useless or dangerous multitudes into ordered multiplicities. The drawing up of "tables" was one of the great problems of the scientific, political and economic technology of the eighteenth century: how one was to arrange botanical and zoological gardens, and construct at the same time rational classifications of living beings; how one was to observe, supervise, regularize the circulation of commodities and money and thus build up an economic table that might serve as the principle of the increase of wealth; how one was to inspect men, observe their presence and absence and constitute a general and permanent register of the armed forces; how one was to distribute patients, separate them from one another, divide up the hospital space and make a systematic classification of diseases: these were all twin operations in which the two elements — distribution and analysis, supervision and intelligibility — are inextricably bound up. In the eighteenth century the table was both a technique of power and a procedure of knowledge. </w:t>
      </w:r>
      <w:r w:rsidRPr="00C90932">
        <w:rPr>
          <w:color w:val="000000"/>
          <w:u w:val="single"/>
        </w:rPr>
        <w:t>It was a question of organizing the multiple, of providing oneself with an instrument to cover it and to master it; it was a question of imposing upon it an "order.</w:t>
      </w:r>
      <w:r w:rsidRPr="00C90932">
        <w:rPr>
          <w:color w:val="000000"/>
          <w:sz w:val="16"/>
        </w:rPr>
        <w:t>"84 To these differentiated dedifferentiated (accommodational) "imperial" structures produced by the miniaturization and spatialization of time should be added the reduction and hierarchized structuration of languages, of gender and race relations, and, not least, of the discourse and practice — the visualization or re-presentation and administration of — the nation-state and the colonial empire. Foucault does not explicitly elaborate these imperial structures in his discussion of the spatialization of knowledge and of the table as the model of an affiliated comprehensive relay of strategic disciplinary social practices. But his very overdetermination of the table as polyvalent model implies them. Thus, to focus on the latter category of this series of discursive practices, which we should remember contains the others, it is no accident that Foucault concludes the chapter in Discipline and Punish from which the above resonant passage is drawn with a reference to the decisive role that the table plays in the advent of the Napoleonic Empire. In this particular case, </w:t>
      </w:r>
      <w:r w:rsidRPr="00C90932">
        <w:rPr>
          <w:color w:val="000000"/>
          <w:u w:val="single"/>
        </w:rPr>
        <w:t>the form the table takes is that of</w:t>
      </w:r>
      <w:r w:rsidRPr="00C90932">
        <w:rPr>
          <w:color w:val="000000"/>
          <w:sz w:val="16"/>
        </w:rPr>
        <w:t> </w:t>
      </w:r>
      <w:r w:rsidRPr="00C90932">
        <w:rPr>
          <w:b/>
          <w:bCs/>
          <w:color w:val="000000"/>
          <w:u w:val="single"/>
        </w:rPr>
        <w:t>a "politics... conceived as a continuation</w:t>
      </w:r>
      <w:r w:rsidRPr="00C90932">
        <w:rPr>
          <w:color w:val="000000"/>
          <w:sz w:val="16"/>
        </w:rPr>
        <w:t>, if not exactly and directly </w:t>
      </w:r>
      <w:r w:rsidRPr="00C90932">
        <w:rPr>
          <w:b/>
          <w:bCs/>
          <w:color w:val="000000"/>
          <w:u w:val="single"/>
        </w:rPr>
        <w:t>of war</w:t>
      </w:r>
      <w:r w:rsidRPr="00C90932">
        <w:rPr>
          <w:color w:val="000000"/>
          <w:u w:val="single"/>
        </w:rPr>
        <w:t>, at least of</w:t>
      </w:r>
      <w:r w:rsidRPr="00C90932">
        <w:rPr>
          <w:color w:val="000000"/>
          <w:sz w:val="16"/>
        </w:rPr>
        <w:t> </w:t>
      </w:r>
      <w:r w:rsidRPr="00C90932">
        <w:rPr>
          <w:b/>
          <w:bCs/>
          <w:color w:val="000000"/>
          <w:u w:val="single"/>
        </w:rPr>
        <w:t>the military model</w:t>
      </w:r>
      <w:r w:rsidRPr="00C90932">
        <w:rPr>
          <w:color w:val="000000"/>
          <w:sz w:val="16"/>
        </w:rPr>
        <w:t> </w:t>
      </w:r>
      <w:r w:rsidRPr="00C90932">
        <w:rPr>
          <w:color w:val="000000"/>
          <w:u w:val="single"/>
        </w:rPr>
        <w:t>as a fundamental means of preventing civil disorder</w:t>
      </w:r>
      <w:r w:rsidRPr="00C90932">
        <w:rPr>
          <w:color w:val="000000"/>
          <w:sz w:val="16"/>
        </w:rPr>
        <w:t>": "Discipline must be made national," said Guibert. "The state that I depict will have a simple, reliable, easily controlled administration. It will resemble those huge machines, which by quite uncomplicated means produce great effects; the strength of this state will spring from its own strength, its prosperity from its own prosperity. Time, which destroys all, will increase its power. It will disprove that vulgar prejudice by which we are made to imagine that empires are subjected to an imperious law of decline and ruin.... " The Napoleonic regime was not far off and with it the form of state that was to survive it and, we must not forget, the foundations of which were laid not only by jurists, but also by soldiers, not only councillors of state, but also junior officers, not only the men of the courts, but also the men of the camps. The Roman reference that accompanied this formation certainly bears with it this double index: citizens and legionnaires, law and manoeuvres.85 Edward Said has complained that Foucault did not elaborate the connection between the supervisory gaze that projects its circumscribed object in the spatial figure of the classificatory table and the patriarchal/ racial colonial project. Nevertheless, this extension, both in its general and specific imperatives vis-a-vis knowledge and power, is inherent in the very structure of its visual projection.86 As Said has shown in Orientalism, his (dis)seminal appropriation of Foucault's analysis of the panoptic gaze, </w:t>
      </w:r>
      <w:r w:rsidRPr="00C90932">
        <w:rPr>
          <w:color w:val="000000"/>
          <w:u w:val="single"/>
        </w:rPr>
        <w:t>Napoleon's conquest of Egypt was not, as in earlier imperial campaigns, simply a military project.</w:t>
      </w:r>
      <w:r w:rsidRPr="00C90932">
        <w:rPr>
          <w:color w:val="000000"/>
          <w:sz w:val="16"/>
        </w:rPr>
        <w:t>87 In accordance with the general imperatives of the mode of metaphysical thinking embodied in the tables (what Said calls the "textual/schematic" attitude), </w:t>
      </w:r>
      <w:r w:rsidRPr="00C90932">
        <w:rPr>
          <w:color w:val="000000"/>
          <w:u w:val="single"/>
        </w:rPr>
        <w:t>it was, rather,</w:t>
      </w:r>
      <w:r w:rsidRPr="00C90932">
        <w:rPr>
          <w:color w:val="000000"/>
          <w:sz w:val="16"/>
        </w:rPr>
        <w:t> </w:t>
      </w:r>
      <w:r w:rsidRPr="00C90932">
        <w:rPr>
          <w:b/>
          <w:bCs/>
          <w:color w:val="000000"/>
          <w:u w:val="single"/>
        </w:rPr>
        <w:t>a military project that was simultaneously and integrally a project of knowledge production: a project, that is, intended to render "totally accessible to European scrutiny" "a land of obscurity and a part of the Orient hitherto known at second hand through the exploits of earlier travelers, scholars and conquerors.</w:t>
      </w:r>
      <w:r w:rsidRPr="00C90932">
        <w:rPr>
          <w:color w:val="000000"/>
          <w:sz w:val="16"/>
        </w:rPr>
        <w:t>"88 More specifically, it was no accident, to recall Foucault's analysis of the gaze-produced table, that Napoleon's Egyptian expedition included not only an army of soldiers but an army of scholars, whose purpose was to produce a body of differentiated knowledge that would "win the hearts and minds" of the Egyptians to the French idea of "Europe" and that could be utilized for purposes of establishing a more materially and politically productive dominion over the colonized. Referring to "that great collective appropriation of one country by another," the twenty-three-volume Description de l'Egypte compiled by the scholars of the French Institut, "the learned division of Napoleon's army," Said writes: To restore a region from its present barbarism to its former classical greatness; to instruct (for its own benefit) the Orient in the ways of the modern West; </w:t>
      </w:r>
      <w:r w:rsidRPr="00C90932">
        <w:rPr>
          <w:b/>
          <w:bCs/>
          <w:color w:val="000000"/>
          <w:u w:val="single"/>
        </w:rPr>
        <w:t>to subordinate or underplay military power in order to aggrandize the project of glorious knowledge acquired in the process of political domination of the Orient</w:t>
      </w:r>
      <w:r w:rsidRPr="00C90932">
        <w:rPr>
          <w:color w:val="000000"/>
          <w:sz w:val="16"/>
        </w:rPr>
        <w:t>; to formulate the Orient, to give it shape, identity, definition with full recognition of its place in memory, its importance to imperial strategy, and its "natural" role as an appendage to Europe; to dignify all the knowledge collected during colonial occupation with the title "contribution to modern learning" when the natives had neither been consulted nor treated as anything except as pretexts for a text whose usefulness was not to the natives; to feel oneself as a European in command, almost at will, of Oriental history, time, and geography; to institute new areas of specialization; to establish new disciplines; to divide, deploy, schematize, tabulate, index, and record everything in sight (and out of sight); to make out of every observable detail a generalization and out of every generalization an immutable law about the Oriental nature, temperament, mentality, custom, or type; and, above all, to transmute living reality into the stuff of texts, to possess (or think one possesses) actuality mainly because nothing in the Orient seems to resist one's powers: these are the features of Orientalist projection entirely realized in the Description de l'Egypte, itself enabled and reinforced by Napoleon's wholly Orientalist engulfment of Egypt by the instruments of Western knowledge and power.89 Nor, finally, is it an accident that the emergent Linnaean system of classification — of identifying, naming, and classifying the flora and fauna of nature — inaugurated the global taxonomic projects, most notably that of his student Anders Sparrman,90 that became the essential European means of producing a modern or neoimperialist discourse, a discourse that, in the name of the truth of empirical science, invents or constructs the Other in the image of the First World. I am referring to what Mary Louise Pratt, in her Foucauldian study of the relationship between scientific travel writing and colonialism in South Africa and Latin America, has called the "anti-conquest narrative." </w:t>
      </w:r>
      <w:r w:rsidRPr="00C90932">
        <w:rPr>
          <w:b/>
          <w:bCs/>
          <w:color w:val="000000"/>
          <w:u w:val="single"/>
        </w:rPr>
        <w:t>This is the narrative "in which the naturalist naturalizes the bourgeois European's own global presence and authority" to differentiate its "benign" truth-producing motive from an earlier, overtly violent imperial narrative.</w:t>
      </w:r>
      <w:r w:rsidRPr="00C90932">
        <w:rPr>
          <w:color w:val="000000"/>
          <w:sz w:val="16"/>
        </w:rPr>
        <w:t> In a way that recalls Foucault's and Said's differentiation of the visible and "inefficient" deployment of power in the ancien regime from the more invisible and materially and politically economical version of the Enlightenment, Pratt observes: Natural history asserted an urban, lettered, male authority over the whole of the planet; it elaborated a rationalizing, extractive, dissociative understanding which overlaid functional, experiential relations among people, plants, and animals. In these respects, it figures a certain kind of global hegemony, notably one based on possession of land and resources rather than control over routes. At the same time, in and of itself, the system of nature as a descriptive paradigm was an utterly benign and abstract appropriation of the planet. Claiming no transformative potential whatsoever, it differed sharply from overly imperial articulations of conquest, conversion, territorial appropriation, and enslavement. The system created... a Utopian, innocent vision of European global authority, which I refer to as an anti-conquest. The term is intended to emphasize the relational meaning of natural history, the extent to which it became meaningful specifically in contrast with an earlier imperial, and prebourgeois, European expansionist presence.91 The difference between an earlier, pre-Enlightenment, and a later, post-Enlightenment, configuration of the internal space of the imperial circle is, of course, crucial to any understanding of the essence of imperial practice. But my purpose in thus invoking Foucault's analysis of the complicity of the classificatory table of the Enlightenment with the domination of the Other in the disciplinary society, and Said's and Pratt's extension of Foucault's genealogical insight to include the modern European imperial project, is not to bring a story about the development of the technology of European colonialism to its fulfillment and narrative closure, one that renders prior technologies of power anachronistic. It is, rather, to retrieve a fundamental dimension of this story that has been obliterated from memory even as it resonates unthought in the very contemporary language these postcolonial critics use to indict the truth discourse of the West as "imperial." </w:t>
      </w:r>
      <w:r w:rsidRPr="00C90932">
        <w:rPr>
          <w:color w:val="000000"/>
          <w:u w:val="single"/>
        </w:rPr>
        <w:t>I want to suggest that the classificatory table, as microcosm of a larger spatial totality and as the model for wider "imperial" practices (</w:t>
      </w:r>
      <w:r w:rsidRPr="00C90932">
        <w:rPr>
          <w:b/>
          <w:bCs/>
          <w:color w:val="000000"/>
          <w:u w:val="single"/>
        </w:rPr>
        <w:t>the mass production process, the panoptic penal system, the medical and psychiatric hospital, the family, the classroom, the nation-state, the colonial administration, and so on), is grounded in and enabled by the metaphysical principle of principles</w:t>
      </w:r>
      <w:r w:rsidRPr="00C90932">
        <w:rPr>
          <w:color w:val="000000"/>
          <w:sz w:val="16"/>
        </w:rPr>
        <w:t> or, as Enrique Dussel puts it, "the ideology of ideologies":92 that </w:t>
      </w:r>
      <w:r w:rsidRPr="00C90932">
        <w:rPr>
          <w:b/>
          <w:bCs/>
          <w:color w:val="000000"/>
          <w:u w:val="single"/>
        </w:rPr>
        <w:t>Identity is the condition for the possibility of difference and not the other way around.</w:t>
      </w:r>
      <w:r w:rsidRPr="00C90932">
        <w:rPr>
          <w:color w:val="000000"/>
          <w:sz w:val="16"/>
        </w:rPr>
        <w:t> Unlike its predecessor in the ancien regime, </w:t>
      </w:r>
      <w:r w:rsidRPr="00C90932">
        <w:rPr>
          <w:color w:val="000000"/>
          <w:u w:val="single"/>
        </w:rPr>
        <w:t>metaphysical inquiry at this advanced Enlightenment stage does not obliterate the contradictory, amorphous, unimproved, and "ahistorical" Other</w:t>
      </w:r>
      <w:r w:rsidRPr="00C90932">
        <w:rPr>
          <w:color w:val="000000"/>
          <w:sz w:val="16"/>
        </w:rPr>
        <w:t> from the vantage point of a visible "center elsewhere." </w:t>
      </w:r>
      <w:r w:rsidRPr="00C90932">
        <w:rPr>
          <w:color w:val="000000"/>
          <w:u w:val="single"/>
        </w:rPr>
        <w:t>It "acknowledges" this Other</w:t>
      </w:r>
      <w:r w:rsidRPr="00C90932">
        <w:rPr>
          <w:color w:val="000000"/>
          <w:sz w:val="16"/>
        </w:rPr>
        <w:t>'s </w:t>
      </w:r>
      <w:r w:rsidRPr="00C90932">
        <w:rPr>
          <w:color w:val="000000"/>
          <w:u w:val="single"/>
        </w:rPr>
        <w:t>claims as contributive to (the knowledge of) the larger self-identical Whole.</w:t>
      </w:r>
      <w:r w:rsidRPr="00C90932">
        <w:rPr>
          <w:color w:val="000000"/>
          <w:sz w:val="16"/>
        </w:rPr>
        <w:t> In other words, it "classifies" the amorphous Others from the vantage point of an invisible "center elsewhere." It differentiates these Others into discrete phenomena — attributes distinguishing identities to them — within and in behalf of a prior encompassing self-present total Identity. This individuation of the amorphous Other conveys a sense of the sovereign integrity of the differentiated entities, but it obscures the fact that their uniqueness is entirely dependent on a dominant synchronic Totality, the always present and determining center of which is always out of sight. </w:t>
      </w:r>
      <w:r w:rsidRPr="00C90932">
        <w:rPr>
          <w:b/>
          <w:bCs/>
          <w:color w:val="000000"/>
          <w:u w:val="single"/>
        </w:rPr>
        <w:t>To acquire validity the differentiated entity must accommodate its differential partiality to the prior Totality, must, that is, objectify and subordinate itself to</w:t>
      </w:r>
      <w:r w:rsidRPr="00C90932">
        <w:rPr>
          <w:color w:val="000000"/>
          <w:sz w:val="16"/>
        </w:rPr>
        <w:t> — take its proper place within — </w:t>
      </w:r>
      <w:r w:rsidRPr="00C90932">
        <w:rPr>
          <w:b/>
          <w:bCs/>
          <w:color w:val="000000"/>
          <w:u w:val="single"/>
        </w:rPr>
        <w:t>the gridded structure of the dominant Identity.</w:t>
      </w:r>
      <w:r w:rsidRPr="00C90932">
        <w:rPr>
          <w:color w:val="000000"/>
          <w:sz w:val="16"/>
        </w:rPr>
        <w:t> To become a subject it must heed the call — the hailing — of the Subject. As his invocation of the ontological metaphorics of the center and the circle should suggest, what the Lacanian Marxist Louis Althusser says about "the interpellation of the individual as subject" — the (subjected) subject invented by the bourgeois capitalist Enlightenment — applies by extension to the spatial economy of the (neo)imperial project as such: The Absolute Subject occupies the unique place of the Centre, and interpellates around it the infinity of individuals into subjects in a double mirror-connexion such that it subjects the subjects to the Subject, while giving them in the Subject in which each subject can contemplate its own image (present and future) the guarantee that this really concerns them and Him.... The duplicate mirror-structure of ideology ensures simultaneously: 1. the interpellation of 'individuals' as subjects; 2. their subjection to the Subject; 3. the mutual recognition of subjects and Subject, the subjects' recognition of each other, and finally the subject's recognition of himself; 4. the absolute guarantee that everything really is so, and that on condition that the subjects recognize what they are and behave accordingly, everything will be all right: Amen — "So be it." Result: caught in this quadruple system of interpellation as subjects, of subjection to the Subject, of universal recognition and of absolute guarantee, the subjects "work," they "work by themselves" in the vast majority of cases, with the exception of the "bad subjects" who on occasion provoke the intervention of one of the detachments of the (repressive) State apparatus. But the vast majority of (good) subjects work all right "all by themselves," i.e. by ideology (whose concrete forms are realized in the Ideological State Apparatuses).93 The fulfillment of this promissory accommodational project is called variously "beauty," "perfection," or, most tellingly, "peace" (pax). </w:t>
      </w:r>
      <w:r w:rsidRPr="00C90932">
        <w:rPr>
          <w:color w:val="000000"/>
          <w:u w:val="single"/>
        </w:rPr>
        <w:t>In this reconstellated context the differential entity becomes, indeed, productive, but what it produces is a product of exchange value that benefits the economy and increases the authority of the dominant structure projected by the "supervisory gaze" or, alternatively, the invisible imperial "Subject" or "center elsewhere.</w:t>
      </w:r>
      <w:r w:rsidRPr="00C90932">
        <w:rPr>
          <w:color w:val="000000"/>
          <w:sz w:val="16"/>
        </w:rPr>
        <w:t xml:space="preserve">" This political economy, in the sociopolitical domain, is what Foucault calls "the repressive hypothesis." Derived in part from its recognition of the ancien regime's economically and politically wasteful economy of power, this is the seductive ruse of the emergent capitalist bourgeoisie that strategically represents knowledge (of the Other) as external to and the essential agent of deliverance from the constraints of power. It is the ruse that conceals the complicity between (Western) truth and power: We must cease once and for all to describe the effects of power in negative terms: it "excludes," it "represses," it "censors," it "abstracts," it "masks," it "conceals." In fact, power produces; it produces reality; it </w:t>
      </w:r>
      <w:r w:rsidRPr="008A67DE">
        <w:rPr>
          <w:color w:val="000000"/>
          <w:sz w:val="16"/>
        </w:rPr>
        <w:t>produces domains of objects and rituals of truth. The individual and the knowledge that may be gained of him belong to this production.94</w:t>
      </w:r>
    </w:p>
    <w:p w14:paraId="47053B20" w14:textId="77777777" w:rsidR="00BB3567" w:rsidRPr="008A67DE" w:rsidRDefault="00BB3567" w:rsidP="00303684">
      <w:pPr>
        <w:pStyle w:val="Heading4"/>
        <w:rPr>
          <w:rFonts w:cs="Calibri"/>
        </w:rPr>
      </w:pPr>
      <w:r w:rsidRPr="008A67DE">
        <w:rPr>
          <w:rFonts w:cs="Calibri"/>
        </w:rPr>
        <w:t xml:space="preserve">The imperial academy is the nexus of imperial knowledge production – the direction of research in the academy </w:t>
      </w:r>
      <w:r w:rsidRPr="008A67DE">
        <w:rPr>
          <w:rFonts w:cs="Calibri"/>
          <w:u w:val="single"/>
        </w:rPr>
        <w:t>including debate</w:t>
      </w:r>
      <w:r w:rsidRPr="008A67DE">
        <w:rPr>
          <w:rFonts w:cs="Calibri"/>
        </w:rPr>
        <w:t xml:space="preserve"> directly impacts the direction of The Empire. </w:t>
      </w:r>
    </w:p>
    <w:p w14:paraId="2EBA0BD9" w14:textId="34C958F1" w:rsidR="00BB3567" w:rsidRPr="008A67DE" w:rsidRDefault="00BB3567" w:rsidP="00303684">
      <w:pPr>
        <w:spacing w:after="120" w:line="235" w:lineRule="atLeast"/>
        <w:rPr>
          <w:color w:val="000000"/>
        </w:rPr>
      </w:pPr>
      <w:r w:rsidRPr="008A67DE">
        <w:rPr>
          <w:b/>
          <w:bCs/>
          <w:color w:val="000000"/>
          <w:sz w:val="26"/>
          <w:szCs w:val="26"/>
        </w:rPr>
        <w:t>Gani</w:t>
      </w:r>
      <w:r w:rsidRPr="008A67DE">
        <w:rPr>
          <w:color w:val="000000"/>
        </w:rPr>
        <w:t> </w:t>
      </w:r>
      <w:r w:rsidRPr="008A67DE">
        <w:rPr>
          <w:b/>
          <w:bCs/>
          <w:color w:val="000000"/>
          <w:sz w:val="26"/>
          <w:szCs w:val="26"/>
        </w:rPr>
        <w:t>22</w:t>
      </w:r>
      <w:r w:rsidRPr="008A67DE">
        <w:rPr>
          <w:color w:val="000000"/>
        </w:rPr>
        <w:t>, Jasmine K. Gani: PhD of IR @ LSE. Senior Lecturer of IR @ St. Andrews. Jenna Marshall: PhD of Political Science @ Queen Mary University. Senior Researcher for Development and Postcolonial Studies @ U-Kassel (The impact of colonialism on policy and knowledge production in International Relations, International Affairs, Volume 98, Issue 1, January 2022, Pages 5–22, DOI: 10.1093/ia/iiab226) – recut //Micah</w:t>
      </w:r>
    </w:p>
    <w:p w14:paraId="326559C7" w14:textId="77777777" w:rsidR="00BB3567" w:rsidRPr="008A67DE" w:rsidRDefault="00BB3567" w:rsidP="00303684">
      <w:pPr>
        <w:spacing w:line="235" w:lineRule="atLeast"/>
        <w:rPr>
          <w:color w:val="000000"/>
          <w:sz w:val="16"/>
        </w:rPr>
      </w:pPr>
      <w:r w:rsidRPr="008A67DE">
        <w:rPr>
          <w:color w:val="000000"/>
          <w:sz w:val="16"/>
        </w:rPr>
        <w:t>Looking forward: academic and practitioner pushback against colonialism, and cautionary tales</w:t>
      </w:r>
    </w:p>
    <w:p w14:paraId="7531E7E1" w14:textId="77777777" w:rsidR="00BB3567" w:rsidRPr="008A67DE" w:rsidRDefault="00BB3567" w:rsidP="00303684">
      <w:pPr>
        <w:spacing w:line="235" w:lineRule="atLeast"/>
        <w:rPr>
          <w:color w:val="000000"/>
          <w:sz w:val="16"/>
        </w:rPr>
      </w:pPr>
      <w:r w:rsidRPr="00E10C6B">
        <w:rPr>
          <w:rStyle w:val="StyleUnderline"/>
        </w:rPr>
        <w:t>Given the historical and ongoing mutual complicity between knowledge producers and policy-makers in upholding imperial and racial orders, we now consider the responsibilities, possibilities and challenges faced in altering the nature of that nexus. Doing so requires turning to what Danso and Aning call an ‘episteme of alternativity’;</w:t>
      </w:r>
      <w:r w:rsidRPr="008A67DE">
        <w:rPr>
          <w:color w:val="000000"/>
          <w:sz w:val="16"/>
        </w:rPr>
        <w:t>41 </w:t>
      </w:r>
      <w:r w:rsidRPr="008A67DE">
        <w:rPr>
          <w:color w:val="000000"/>
          <w:u w:val="single"/>
        </w:rPr>
        <w:t>and the primary way for academics to enact this would be to draw on anti-colonial practice and legacies</w:t>
      </w:r>
      <w:r w:rsidRPr="008A67DE">
        <w:rPr>
          <w:color w:val="000000"/>
          <w:sz w:val="16"/>
        </w:rPr>
        <w:t>, rather than imperial competition, </w:t>
      </w:r>
      <w:r w:rsidRPr="008A67DE">
        <w:rPr>
          <w:color w:val="000000"/>
          <w:u w:val="single"/>
        </w:rPr>
        <w:t>as the foundation of their theorizing</w:t>
      </w:r>
      <w:r w:rsidRPr="008A67DE">
        <w:rPr>
          <w:color w:val="000000"/>
          <w:sz w:val="16"/>
        </w:rPr>
        <w:t>.</w:t>
      </w:r>
    </w:p>
    <w:p w14:paraId="1699929C" w14:textId="77777777" w:rsidR="00BB3567" w:rsidRPr="008A67DE" w:rsidRDefault="00BB3567" w:rsidP="00303684">
      <w:pPr>
        <w:spacing w:line="235" w:lineRule="atLeast"/>
        <w:rPr>
          <w:color w:val="000000"/>
          <w:sz w:val="16"/>
        </w:rPr>
      </w:pPr>
      <w:r w:rsidRPr="008A67DE">
        <w:rPr>
          <w:color w:val="000000"/>
          <w:sz w:val="16"/>
        </w:rPr>
        <w:t>Thus, in his article, Sizwe Mpofu-Walsh forefronts global South policy-makers and focuses on the nuclear order (a topic that is typically associated with realist IR) to demonstrate how it can be approached through an alternative, critical epistemology.42 Disrupting the ‘Great Power gaze’, Mpofu-Walsh asks what the politics of non-proliferation looks like from the perspective of the global South, especially the African continent as the sole nuclear weapon-free zone (NWFZ). There, denuclearization is fundamentally linked to decolonization. Thus anti-colonial goals, rather than hegemonic/imperialist competition, are at the root of both policy and theorizing. How different would IR knowledge and theories on nuclear weapons be if African praxis and the importance of NWFZs were taken seriously? Turning to the Middle East, Gani similarly argues in her article that the inclusion of non-western history and voices—from policy-makers to activists and scholars—in think-tank discussions can mitigate the latent colonialism that shapes western policy.43</w:t>
      </w:r>
    </w:p>
    <w:p w14:paraId="1C9A257E" w14:textId="77777777" w:rsidR="00BB3567" w:rsidRPr="008A67DE" w:rsidRDefault="00BB3567" w:rsidP="00303684">
      <w:pPr>
        <w:spacing w:line="235" w:lineRule="atLeast"/>
        <w:rPr>
          <w:color w:val="000000"/>
          <w:sz w:val="16"/>
        </w:rPr>
      </w:pPr>
      <w:r w:rsidRPr="008A67DE">
        <w:rPr>
          <w:color w:val="000000"/>
          <w:sz w:val="16"/>
        </w:rPr>
        <w:t>Nevertheless, </w:t>
      </w:r>
      <w:r w:rsidRPr="008A67DE">
        <w:rPr>
          <w:color w:val="000000"/>
          <w:u w:val="single"/>
        </w:rPr>
        <w:t>even with an incorporation of non-western practice</w:t>
      </w:r>
      <w:r w:rsidRPr="008A67DE">
        <w:rPr>
          <w:color w:val="000000"/>
          <w:sz w:val="16"/>
        </w:rPr>
        <w:t> and knowledge in policy making and scholarly theorizing, </w:t>
      </w:r>
      <w:r w:rsidRPr="008A67DE">
        <w:rPr>
          <w:color w:val="000000"/>
          <w:u w:val="single"/>
        </w:rPr>
        <w:t>multiple perspectives that are marginalized even in the local context, owing to class or gender, may continue to go unheard</w:t>
      </w:r>
      <w:r w:rsidRPr="008A67DE">
        <w:rPr>
          <w:color w:val="000000"/>
          <w:sz w:val="16"/>
        </w:rPr>
        <w:t>.44 One crucial way in which both academics and practitioners can challenge such patterns is by </w:t>
      </w:r>
      <w:r w:rsidRPr="008A67DE">
        <w:rPr>
          <w:color w:val="000000"/>
          <w:u w:val="single"/>
        </w:rPr>
        <w:t>adopting a more expansive reading of what constitutes ‘knowledge’ and indeed ‘practice’</w:t>
      </w:r>
      <w:r w:rsidRPr="008A67DE">
        <w:rPr>
          <w:color w:val="000000"/>
          <w:sz w:val="16"/>
        </w:rPr>
        <w:t>. In doing so, </w:t>
      </w:r>
      <w:r w:rsidRPr="008A67DE">
        <w:rPr>
          <w:sz w:val="16"/>
        </w:rPr>
        <w:t>we can dismantle some of the constructed and false hierarchies between elite ‘knowledge’ and ‘research’ on one hand, and local ‘tradition’ on the other.45 The former is assumed to be objective, reliable and associated with western (and western-validated) universities; while the latter is viewed as subjective, unscientific and commonly associated with Indigenous, racialized, grassroots communities. Assumptions about who counts as a true knowledge producer or ‘expert’ is not only elitist but heavily racialized and gendered</w:t>
      </w:r>
      <w:r w:rsidRPr="008A67DE">
        <w:rPr>
          <w:color w:val="000000"/>
          <w:sz w:val="16"/>
        </w:rPr>
        <w:t>. Definitions of who counts as a ‘practitioner’ are equally narrow, so that scholars or policy-makers may place much weight on the views and actions of state, global governance and corporate practitioners, but do not view as equal practitioners those involved in everyday practice in their communities—those who in fact sustain their ecology, livelihoods, security and identities, all while having to navigate the impact of top-down policies.46</w:t>
      </w:r>
    </w:p>
    <w:p w14:paraId="609D1CCD" w14:textId="77777777" w:rsidR="00BB3567" w:rsidRPr="008A67DE" w:rsidRDefault="00BB3567" w:rsidP="00303684">
      <w:pPr>
        <w:spacing w:line="235" w:lineRule="atLeast"/>
        <w:rPr>
          <w:color w:val="000000"/>
          <w:sz w:val="16"/>
        </w:rPr>
      </w:pPr>
      <w:r w:rsidRPr="008A67DE">
        <w:rPr>
          <w:color w:val="000000"/>
          <w:sz w:val="16"/>
        </w:rPr>
        <w:t>Both the articles by Jan Wilkens and Alvine Datchoua-Tirvaudey on climate justice, and by Althea Rivas and Mariam Safi on the organizing and practices of Afghan women, share knowledge from non-elite local communities and challenge the above binaries and hierarchies. In their article on climate justice in the Arctic and the Mediterranean, Wilkens and Datchoua-Tirvaudey explain that academic–practitioner knowledge exchange has often been a contributing factor in continued climate injustice.47 The existing patterns of this knowledge exchange on climate governance are dependent on hierarchies of knowledge, namely, the valorization of western/‘scientific’ knowledge production at the expense of the needs and knowledges of the Indigenous and local communities most affected by climate change (i.e. the community-based practitioners, rather than the institutional/state ones). Moreover, the spaces where such knowledge exchange takes place are often exclusionary (in who is invited, in the parameters of discourse and/or in the extortionate costs of participating), producing an intra-elite debate.48 Having identified these racialized patterns, they offer a corrective decolonial strategy for ethical climate governance, founded on practice-based knowledge and diverse ways of knowing that bring in those excluded insights.</w:t>
      </w:r>
    </w:p>
    <w:p w14:paraId="0666D000" w14:textId="77777777" w:rsidR="00BB3567" w:rsidRPr="008A67DE" w:rsidRDefault="00BB3567" w:rsidP="00303684">
      <w:pPr>
        <w:spacing w:line="235" w:lineRule="atLeast"/>
        <w:rPr>
          <w:color w:val="000000"/>
          <w:sz w:val="16"/>
        </w:rPr>
      </w:pPr>
      <w:r w:rsidRPr="008A67DE">
        <w:rPr>
          <w:color w:val="000000"/>
          <w:sz w:val="16"/>
        </w:rPr>
        <w:t>The article by Rivas and Safi also provides an example of how the academic–practitioner nexus can be ‘decolonized’, one in which everyday knowledges of Afghan women, in all their diversity and complexity, are centred in peacebuilding efforts.49 Their article, co-written by an academic and a local practitioner, offers a methodology of how to take into account the internal hierarchies of positionality, interests and knowledges that are always present when engaging with grassroots communities for the sake of ‘research’. Rivas and Safi also demonstrate the importance of registering and valuing the unlooked-for, atypical knowledges from below, such as the subtle observations offered by Afghan women in rural areas that, contrary to wider assumptions, reflect their political engagement and interest.</w:t>
      </w:r>
    </w:p>
    <w:p w14:paraId="31463637" w14:textId="77777777" w:rsidR="00BB3567" w:rsidRPr="008A67DE" w:rsidRDefault="00BB3567" w:rsidP="00303684">
      <w:pPr>
        <w:spacing w:line="235" w:lineRule="atLeast"/>
        <w:rPr>
          <w:color w:val="000000"/>
          <w:sz w:val="16"/>
        </w:rPr>
      </w:pPr>
      <w:r w:rsidRPr="008A67DE">
        <w:rPr>
          <w:color w:val="000000"/>
          <w:sz w:val="16"/>
        </w:rPr>
        <w:t>Caution against extractivism in the search for such local knowledge exchange is at the forefront of both the above contributions.50 Thus academics should remain reflexive in what the purpose of their research is, and who really benefits. Moreover, a praxis of decolonizing such research necessarily entails taking time in a way that is at odds with the current culture of speedy and multitudinous productivity in academia: the rapid churning out of articles from ‘the field’ should raise appropriate questions about how, why and for whom that research is being conducted.</w:t>
      </w:r>
    </w:p>
    <w:p w14:paraId="6D9AA7E1" w14:textId="77777777" w:rsidR="00BB3567" w:rsidRPr="008A67DE" w:rsidRDefault="00BB3567" w:rsidP="00303684">
      <w:pPr>
        <w:spacing w:line="235" w:lineRule="atLeast"/>
        <w:rPr>
          <w:color w:val="000000"/>
          <w:sz w:val="16"/>
        </w:rPr>
      </w:pPr>
      <w:r w:rsidRPr="008A67DE">
        <w:rPr>
          <w:color w:val="000000"/>
          <w:sz w:val="16"/>
        </w:rPr>
        <w:t>Of course, at issue is not just whom but also what we consider as worthy of scholarly and policy attention, and how inclusive we are of alternative methodologies. Dependence on state and official archives, ‘canonical’ theorists, written records and English-language sources all reproduce the racialized hierarchies inherent in the prioritization of certain types of knowledge and transmission.51 These factors also close the door on appreciating the power—both practical and ideational—generated by collective social action, whose impact cannot (and should not) be individualized to one or a few visible and often romanticized protagonists. Recognizing all this and reading into the silences of the archives should encourage greater attention to non-hegemonic record-keeping, story-telling and witnessing beyond elitist and prohibitive barriers—from oral histories, to poetry, art and independent publishing on paper and online. As anti-colonial and anti-racist thinkers and activists have long argued, these are the ways in which those who are dispossessed and marginalized, but also, consequently, autonomous, have kept their identities, cultures and memories alive, and sought to prevent their experiences from being suppressed and erased.52 In the face of systematic racism and the colonial dismantling of their histories, those who are marginalized are not, in fact, silent but continue to cultivate and share knowledge, even if they may lack the resources and type of support received by hegemonic knowledges (and people).53 Recognizing the equal validity of marginalized forms of knowledges in both academic and policy realms pushes back against the de-representation in knowledge exchanges within elite spaces and formats.</w:t>
      </w:r>
    </w:p>
    <w:p w14:paraId="61276304" w14:textId="77777777" w:rsidR="00BB3567" w:rsidRPr="008A67DE" w:rsidRDefault="00BB3567" w:rsidP="00303684">
      <w:pPr>
        <w:spacing w:line="235" w:lineRule="atLeast"/>
        <w:rPr>
          <w:color w:val="000000"/>
          <w:sz w:val="16"/>
        </w:rPr>
      </w:pPr>
      <w:r w:rsidRPr="008A67DE">
        <w:rPr>
          <w:color w:val="000000"/>
          <w:sz w:val="16"/>
        </w:rPr>
        <w:t>However, it would be erroneous to assume from these arguments that knowledge produced by so-called elite communities is always bad, and that knowledge or cultural production from the bottom up is always more authentic and supports the cause of justice. Srdjan Vucetic's article unsettles multiple binaries, between the elite and the ‘masses’, as well as between academics and practitioners.54 Drawing on the work of Stuart Hall, he complicates what we read as knowledge production and who we see as its progenitors, challenging the notion of purely top-down (and imperialist) identity construction. Exploring the role (and popularity) of nationalistic films and novels as signifiers of this consensus between policy-makers and wider society, Vucetic demonstrates that it is not enough to hold accountable only those deemed to possess political capital, be they policy-makers or academics. Rather, it is necessary also to challenge the broader pressures and expectations of the public that produce a collusion between elite and mass discourse, and help to foreclose the adoption of more critical, justice-oriented policies. Thus, if we focus solely on academics and practitioners in any anti-racist work, we miss the uncomfortable reality that narrow, exclusionary nationalism that foments such racism and imperialist foreign policies actually enjoys substantial ‘buy-in’ from people and may be an accepted part of a local (in this case British) identity.</w:t>
      </w:r>
    </w:p>
    <w:p w14:paraId="3F0E6918" w14:textId="77777777" w:rsidR="00BB3567" w:rsidRPr="008A67DE" w:rsidRDefault="00BB3567" w:rsidP="00303684">
      <w:pPr>
        <w:spacing w:line="235" w:lineRule="atLeast"/>
        <w:rPr>
          <w:color w:val="000000"/>
          <w:sz w:val="16"/>
        </w:rPr>
      </w:pPr>
      <w:r w:rsidRPr="008A67DE">
        <w:rPr>
          <w:color w:val="000000"/>
          <w:sz w:val="16"/>
        </w:rPr>
        <w:t>This observation reinforces the need outlined above for a more expansive approach to defining knowledges, but this time when interrogating the generators of coloniality. This in turn allows us to bring into equal focus other facilitating institutions and mediums of knowledge dissemination, many of which play a pivotal role in making colonial tropes and erasures more palatable, accessible, even culturally and economically valuable. This theme runs through several of the articles in this special issue. As noted above, Vucetic's article focuses on cultural output; Antweiler looks at museums and schools; Baji considers the instrumentalization of local folklore for imperialist ideologies in Japan; Plonski and Manchanda examine the power of racial capitalism via Israel's surveillance industry and marketing; and Gani scrutinizes the impact of journalistic discourse and think tanks.</w:t>
      </w:r>
    </w:p>
    <w:p w14:paraId="26E292FD" w14:textId="77777777" w:rsidR="00BB3567" w:rsidRPr="008A67DE" w:rsidRDefault="00BB3567" w:rsidP="00303684">
      <w:pPr>
        <w:rPr>
          <w:sz w:val="16"/>
        </w:rPr>
      </w:pPr>
      <w:r w:rsidRPr="008A67DE">
        <w:rPr>
          <w:color w:val="000000"/>
          <w:sz w:val="16"/>
        </w:rPr>
        <w:t xml:space="preserve">Thus far, a lot of responsibility for challenging the racial and colonial dynamics of the academic–practitioner nexus has been placed with knowledge producers, whether within or outside academia. But it is necessary to emphasize that efforts have already been under way, not only to ‘decolonize’ our academic disciplines, but to bring that discourse into the public realm. At that point practitioners need to carry their share of responsibility in listening to and applying the expertise (whether academic or community-based) that can foster more just policies. Instead, the attention policy-makers give to expertise is often selective and politicized, based not on what can actually improve people's lives but on what helps to justify the existing approaches adopted by governments. The current denigration and growing securitization of critical race theory, especially in the United States but increasingly elsewhere, is an example of attacks on emancipatory knowledges that challenge power and oppression. Offering another stark example of this, Amal Abu-Bakare explores in her article the lack of any serious attempts to confront Islamophobia in society, despite the wealth of research and expert advice from scholars and community-based practitioners available to policy-makers.55 Focusing on the cases of the UK and Canada, she highlights the way in which practitioner intervention, in this case that of security and police officials, has actively prevented the adoption of expert guidelines on tackling Islamophobia on the grounds that they might interfere with their counterterrorism strategies. In many ways this is a blatant acknowledgement from policy-makers that their counterterrorism strategy is inherently built upon racial tropes and discrimination. In contrast, so-called ‘neutral’ research on terrorism and/or counterterrorism is embraced by practitioners, precisely because such research might not ask uncomfortable questions about the racial foundations or assumptions that are necessary </w:t>
      </w:r>
      <w:r w:rsidRPr="008A67DE">
        <w:rPr>
          <w:sz w:val="16"/>
        </w:rPr>
        <w:t>to enact their policies.</w:t>
      </w:r>
    </w:p>
    <w:p w14:paraId="5D2DC282" w14:textId="77777777" w:rsidR="00BB3567" w:rsidRPr="00B338C2" w:rsidRDefault="00BB3567" w:rsidP="00303684">
      <w:pPr>
        <w:rPr>
          <w:rStyle w:val="StyleUnderline"/>
        </w:rPr>
      </w:pPr>
      <w:r w:rsidRPr="008A67DE">
        <w:rPr>
          <w:sz w:val="16"/>
        </w:rPr>
        <w:t>Abu-Bakare's article offers an example of the limitations of academic–practitioner knowledge exchange. Exhorting scholars to make their research policy relevant does not address the unequal receptivity towards critical research that may challenge policy. Nor does it sufficiently take into account the implicit disciplining that can take place in that process of knowledge exchange. Those very spaces or channels that are created to facilitate sharing, listening and negotiation between knowledge producers and practitioners (through all the blurred boundaries between them) may reproduce and reify hierarchies through unequal interactions. Is real dialogue possible if power dynamics render the interlocutors unequal?56 Or, in their efforts to be heard, taken seriously, and make their presence worthwhile, academics and other knowledge producers may find themselves being subtly socialized into the very modes of speech and thought that they sought to criticize. This can also happen in reverse when grassroots practitioners share spaces with scholars and elite institutions. The path-breaking and radical ideas needed to initiate change on some of the most deep-seated problems in politics and society may be diluted in such spaces for the sake of pragmatism and communication, undermining the ability to imagine real alternatives to the status quo. This is not to say that knowledge producers, whether academic or community-based, should not engage with policy-makers, but rather that they should be clear in what they seek to achieve—if, for example, constructive dialogue or receptivity to expertise is unlikely, it</w:t>
      </w:r>
      <w:r w:rsidRPr="008A67DE">
        <w:rPr>
          <w:color w:val="000000"/>
          <w:sz w:val="16"/>
          <w:u w:val="single"/>
        </w:rPr>
        <w:t xml:space="preserve"> </w:t>
      </w:r>
      <w:r w:rsidRPr="008A67DE">
        <w:rPr>
          <w:color w:val="000000"/>
          <w:u w:val="single"/>
        </w:rPr>
        <w:t>is at times necessary and an ethical responsibility simply to register alternative ideas or contestation</w:t>
      </w:r>
      <w:r w:rsidRPr="008A67DE">
        <w:rPr>
          <w:color w:val="000000"/>
          <w:sz w:val="16"/>
        </w:rPr>
        <w:t>. Returning to the point made at the start of this piece, </w:t>
      </w:r>
      <w:r w:rsidRPr="008A67DE">
        <w:rPr>
          <w:color w:val="000000"/>
          <w:u w:val="single"/>
        </w:rPr>
        <w:t>this cautions us in how we champion ‘impact’ and knowledge–policy engagement, especially if</w:t>
      </w:r>
      <w:r w:rsidRPr="008A67DE">
        <w:rPr>
          <w:color w:val="000000"/>
          <w:sz w:val="16"/>
        </w:rPr>
        <w:t> </w:t>
      </w:r>
      <w:r w:rsidRPr="00B338C2">
        <w:rPr>
          <w:rStyle w:val="StyleUnderline"/>
        </w:rPr>
        <w:t>we only recognize engagements that supplement and are ‘useful’ to systems of power rather than those that hold them to account.</w:t>
      </w:r>
    </w:p>
    <w:p w14:paraId="3F8BE3D2" w14:textId="77777777" w:rsidR="00BB3567" w:rsidRPr="008A67DE" w:rsidRDefault="00BB3567" w:rsidP="00303684">
      <w:pPr>
        <w:spacing w:line="235" w:lineRule="atLeast"/>
        <w:rPr>
          <w:color w:val="000000"/>
          <w:sz w:val="16"/>
        </w:rPr>
      </w:pPr>
      <w:r w:rsidRPr="008A67DE">
        <w:rPr>
          <w:color w:val="000000"/>
          <w:sz w:val="16"/>
        </w:rPr>
        <w:t>Conclusion</w:t>
      </w:r>
    </w:p>
    <w:p w14:paraId="74AFCD05" w14:textId="77777777" w:rsidR="00BB3567" w:rsidRPr="008A67DE" w:rsidRDefault="00BB3567" w:rsidP="00303684">
      <w:pPr>
        <w:spacing w:line="235" w:lineRule="atLeast"/>
        <w:rPr>
          <w:color w:val="000000"/>
          <w:sz w:val="16"/>
        </w:rPr>
      </w:pPr>
      <w:r w:rsidRPr="008A67DE">
        <w:rPr>
          <w:color w:val="000000"/>
          <w:sz w:val="16"/>
        </w:rPr>
        <w:t>This special issue introduces the readers of International Affairs to the relatively undertheorized and underhistoricized relationship between race, knowledge production and policy-making. The articles demonstrate the ways in which </w:t>
      </w:r>
      <w:r w:rsidRPr="008A67DE">
        <w:rPr>
          <w:color w:val="000000"/>
          <w:u w:val="single"/>
        </w:rPr>
        <w:t xml:space="preserve">practitioners have historically relied on research produced within the academy to </w:t>
      </w:r>
      <w:r w:rsidRPr="00B338C2">
        <w:t>inform policy</w:t>
      </w:r>
      <w:r w:rsidRPr="008A67DE">
        <w:rPr>
          <w:color w:val="000000"/>
          <w:sz w:val="16"/>
        </w:rPr>
        <w:t>, initiating the establishment of departments and disciplines for this purpose, </w:t>
      </w:r>
      <w:r w:rsidRPr="008A67DE">
        <w:rPr>
          <w:color w:val="000000"/>
          <w:u w:val="single"/>
        </w:rPr>
        <w:t>but they also show the reverse to be equally true: that policy</w:t>
      </w:r>
      <w:r w:rsidRPr="008A67DE">
        <w:rPr>
          <w:color w:val="000000"/>
          <w:sz w:val="16"/>
        </w:rPr>
        <w:t>, both foreign and multilateral, </w:t>
      </w:r>
      <w:r w:rsidRPr="00B338C2">
        <w:rPr>
          <w:rStyle w:val="StyleUnderline"/>
        </w:rPr>
        <w:t>influences the possibilities and parameters of research,</w:t>
      </w:r>
      <w:r w:rsidRPr="008A67DE">
        <w:rPr>
          <w:color w:val="000000"/>
          <w:sz w:val="16"/>
        </w:rPr>
        <w:t xml:space="preserve"> funding and recruitment practices, and retention of jobs.57 </w:t>
      </w:r>
      <w:r w:rsidRPr="008A67DE">
        <w:rPr>
          <w:color w:val="000000"/>
          <w:u w:val="single"/>
        </w:rPr>
        <w:t>A key goal of this special issue has been to foster reflection on the ways in which knowledge production</w:t>
      </w:r>
      <w:r w:rsidRPr="008A67DE">
        <w:rPr>
          <w:color w:val="000000"/>
          <w:sz w:val="16"/>
        </w:rPr>
        <w:t> (in its multifaceted forms) </w:t>
      </w:r>
      <w:r w:rsidRPr="008A67DE">
        <w:rPr>
          <w:color w:val="000000"/>
          <w:u w:val="single"/>
        </w:rPr>
        <w:t>contributes to</w:t>
      </w:r>
      <w:r w:rsidRPr="008A67DE">
        <w:rPr>
          <w:color w:val="000000"/>
          <w:sz w:val="16"/>
        </w:rPr>
        <w:t> or challenges the practice of </w:t>
      </w:r>
      <w:r w:rsidRPr="008A67DE">
        <w:rPr>
          <w:color w:val="000000"/>
          <w:u w:val="single"/>
        </w:rPr>
        <w:t>racism and coloniality</w:t>
      </w:r>
      <w:r w:rsidRPr="008A67DE">
        <w:rPr>
          <w:color w:val="000000"/>
          <w:sz w:val="16"/>
        </w:rPr>
        <w:t>; </w:t>
      </w:r>
      <w:r w:rsidRPr="008A67DE">
        <w:rPr>
          <w:color w:val="000000"/>
          <w:u w:val="single"/>
        </w:rPr>
        <w:t xml:space="preserve">and the ways in </w:t>
      </w:r>
      <w:r w:rsidRPr="00E10C6B">
        <w:t>which policy and practice shape, validate, limit or ignore knowledge production—in ways that either perpetuate or interrogate coloniality. As the three</w:t>
      </w:r>
      <w:r w:rsidRPr="008A67DE">
        <w:rPr>
          <w:color w:val="000000"/>
          <w:sz w:val="16"/>
        </w:rPr>
        <w:t xml:space="preserve"> categories delineated above show, </w:t>
      </w:r>
      <w:r w:rsidRPr="008A67DE">
        <w:rPr>
          <w:color w:val="000000"/>
          <w:u w:val="single"/>
        </w:rPr>
        <w:t>the</w:t>
      </w:r>
      <w:r w:rsidRPr="008A67DE">
        <w:rPr>
          <w:color w:val="000000"/>
          <w:sz w:val="16"/>
        </w:rPr>
        <w:t> </w:t>
      </w:r>
      <w:r w:rsidRPr="00303684">
        <w:rPr>
          <w:rStyle w:val="StyleUnderline"/>
        </w:rPr>
        <w:t>academic–practitioner nexus </w:t>
      </w:r>
      <w:r w:rsidRPr="008A67DE">
        <w:rPr>
          <w:color w:val="000000"/>
          <w:sz w:val="16"/>
        </w:rPr>
        <w:t>is best captured as a series of foreclosures that actively work to uphold narrowly espoused evolutionary myths of the discipline and </w:t>
      </w:r>
      <w:r w:rsidRPr="008A67DE">
        <w:rPr>
          <w:color w:val="000000"/>
          <w:u w:val="single"/>
        </w:rPr>
        <w:t>entrench a naturalization of white-racialized subject positions in academic discourse on the ‘international’, while sidelining scholars and activists, notably women and people of</w:t>
      </w:r>
      <w:r w:rsidRPr="008A67DE">
        <w:rPr>
          <w:color w:val="000000"/>
          <w:sz w:val="16"/>
        </w:rPr>
        <w:t> </w:t>
      </w:r>
      <w:r w:rsidRPr="008A67DE">
        <w:rPr>
          <w:color w:val="000000"/>
          <w:u w:val="single"/>
        </w:rPr>
        <w:t>colour</w:t>
      </w:r>
      <w:r w:rsidRPr="008A67DE">
        <w:rPr>
          <w:color w:val="000000"/>
          <w:sz w:val="16"/>
        </w:rPr>
        <w:t>, who have made undeniable contributions to analysis of the contemporary world.58 All this brings into view, as one scholar puts it, ‘the fundamental ways in which IR already is, and always has been, complicit in ordering politics’.59</w:t>
      </w:r>
    </w:p>
    <w:p w14:paraId="175941F0" w14:textId="77777777" w:rsidR="00BB3567" w:rsidRPr="008A67DE" w:rsidRDefault="00BB3567" w:rsidP="00303684">
      <w:pPr>
        <w:spacing w:line="235" w:lineRule="atLeast"/>
        <w:rPr>
          <w:color w:val="000000"/>
          <w:sz w:val="16"/>
        </w:rPr>
      </w:pPr>
      <w:r w:rsidRPr="008A67DE">
        <w:rPr>
          <w:color w:val="000000"/>
          <w:sz w:val="16"/>
        </w:rPr>
        <w:t>As we have argued in this introductory piece, the exposure in this special issue of the deep academic–practitioner nexus confronts and challenges the ‘gaps’ discourse advanced at the expense of making visible the existing reciprocity that disciplines the boundaries of acceptable enquiry. </w:t>
      </w:r>
      <w:r w:rsidRPr="008A67DE">
        <w:rPr>
          <w:color w:val="000000"/>
          <w:u w:val="single"/>
        </w:rPr>
        <w:t>The outcome of this disciplining at the theoretical level can be seen in the construction of paradigms that normalize Eurocentric presuppositions on ‘how the world</w:t>
      </w:r>
      <w:r w:rsidRPr="008A67DE">
        <w:rPr>
          <w:color w:val="000000"/>
          <w:sz w:val="16"/>
        </w:rPr>
        <w:t> </w:t>
      </w:r>
      <w:r w:rsidRPr="008A67DE">
        <w:rPr>
          <w:color w:val="000000"/>
          <w:u w:val="single"/>
        </w:rPr>
        <w:t>is’</w:t>
      </w:r>
      <w:r w:rsidRPr="008A67DE">
        <w:rPr>
          <w:color w:val="000000"/>
          <w:sz w:val="16"/>
        </w:rPr>
        <w:t>. But such outcomes are also made manifest through material implications generated by narrow policy responses and policy instruments.</w:t>
      </w:r>
    </w:p>
    <w:p w14:paraId="56435719" w14:textId="77777777" w:rsidR="00BB3567" w:rsidRPr="00E10C6B" w:rsidRDefault="00BB3567" w:rsidP="00303684">
      <w:pPr>
        <w:spacing w:line="235" w:lineRule="atLeast"/>
        <w:rPr>
          <w:rStyle w:val="StyleUnderline"/>
        </w:rPr>
      </w:pPr>
      <w:r w:rsidRPr="008A67DE">
        <w:rPr>
          <w:color w:val="000000"/>
          <w:u w:val="single"/>
        </w:rPr>
        <w:t>The special issue is</w:t>
      </w:r>
      <w:r w:rsidRPr="008A67DE">
        <w:rPr>
          <w:color w:val="000000"/>
          <w:sz w:val="16"/>
        </w:rPr>
        <w:t> not just an exposure, though; it is also </w:t>
      </w:r>
      <w:r w:rsidRPr="008A67DE">
        <w:rPr>
          <w:color w:val="000000"/>
          <w:u w:val="single"/>
        </w:rPr>
        <w:t>a</w:t>
      </w:r>
      <w:r w:rsidRPr="008A67DE">
        <w:rPr>
          <w:color w:val="000000"/>
          <w:sz w:val="16"/>
        </w:rPr>
        <w:t> </w:t>
      </w:r>
      <w:r w:rsidRPr="008A67DE">
        <w:rPr>
          <w:color w:val="000000"/>
          <w:u w:val="single"/>
        </w:rPr>
        <w:t>call for repair</w:t>
      </w:r>
      <w:r w:rsidRPr="008A67DE">
        <w:rPr>
          <w:color w:val="000000"/>
          <w:sz w:val="16"/>
        </w:rPr>
        <w:t>. </w:t>
      </w:r>
      <w:r w:rsidRPr="008A67DE">
        <w:rPr>
          <w:color w:val="000000"/>
          <w:u w:val="single"/>
        </w:rPr>
        <w:t>To embark on a project of repair, those involved in knowledge production</w:t>
      </w:r>
      <w:r w:rsidRPr="008A67DE">
        <w:rPr>
          <w:color w:val="000000"/>
          <w:sz w:val="16"/>
        </w:rPr>
        <w:t>, dissemination and application—</w:t>
      </w:r>
      <w:r w:rsidRPr="008A67DE">
        <w:rPr>
          <w:color w:val="000000"/>
          <w:u w:val="single"/>
        </w:rPr>
        <w:t>within</w:t>
      </w:r>
      <w:r w:rsidRPr="008A67DE">
        <w:rPr>
          <w:color w:val="000000"/>
          <w:sz w:val="16"/>
        </w:rPr>
        <w:t> </w:t>
      </w:r>
      <w:r w:rsidRPr="00E10C6B">
        <w:t>academia</w:t>
      </w:r>
      <w:r w:rsidRPr="008A67DE">
        <w:rPr>
          <w:color w:val="000000"/>
          <w:sz w:val="16"/>
        </w:rPr>
        <w:t>, think tanks, museums, schools, cultural production and policy—first and foremost </w:t>
      </w:r>
      <w:r w:rsidRPr="00E10C6B">
        <w:rPr>
          <w:rStyle w:val="StyleUnderline"/>
        </w:rPr>
        <w:t>need to recognize that their work is not detached from the real world, </w:t>
      </w:r>
      <w:r w:rsidRPr="008A67DE">
        <w:rPr>
          <w:color w:val="000000"/>
          <w:u w:val="single"/>
        </w:rPr>
        <w:t>even if they seek to make it so</w:t>
      </w:r>
      <w:r w:rsidRPr="008A67DE">
        <w:rPr>
          <w:color w:val="000000"/>
          <w:sz w:val="16"/>
        </w:rPr>
        <w:t xml:space="preserve">. If the articles in this special issue have shown </w:t>
      </w:r>
      <w:r w:rsidRPr="00E10C6B">
        <w:rPr>
          <w:rStyle w:val="StyleUnderline"/>
        </w:rPr>
        <w:t>anything, it is that there can be no realistic and honest demarcation between political and apolitical knowledge: to assert neutrality is like offering a blank slate that will inevitably be written over. It is worth knowing that even with the best intentions, a scholar's work is likely to be co-opted for political ends; and that one's erasures and blind spots regarding injustice, even if innocently produced, will be taken as justification for inaction and marginalization of these injustices in the real world.</w:t>
      </w:r>
    </w:p>
    <w:p w14:paraId="70713BC9" w14:textId="77777777" w:rsidR="00BB3567" w:rsidRPr="00C90932" w:rsidRDefault="00BB3567" w:rsidP="00303684">
      <w:pPr>
        <w:spacing w:line="235" w:lineRule="atLeast"/>
        <w:rPr>
          <w:color w:val="000000"/>
          <w:sz w:val="16"/>
        </w:rPr>
      </w:pPr>
      <w:r w:rsidRPr="008A67DE">
        <w:rPr>
          <w:color w:val="000000"/>
          <w:u w:val="single"/>
        </w:rPr>
        <w:t>Sincerity in seeking to prevent racist or imperialist co-optation necessitates more</w:t>
      </w:r>
      <w:r w:rsidRPr="008A67DE">
        <w:rPr>
          <w:color w:val="000000"/>
          <w:sz w:val="16"/>
        </w:rPr>
        <w:t> </w:t>
      </w:r>
      <w:r w:rsidRPr="008A67DE">
        <w:rPr>
          <w:color w:val="000000"/>
          <w:u w:val="single"/>
        </w:rPr>
        <w:t>open interrogations of power</w:t>
      </w:r>
      <w:r w:rsidRPr="008A67DE">
        <w:rPr>
          <w:color w:val="000000"/>
          <w:sz w:val="16"/>
        </w:rPr>
        <w:t> </w:t>
      </w:r>
      <w:r w:rsidRPr="008A67DE">
        <w:rPr>
          <w:color w:val="000000"/>
          <w:u w:val="single"/>
        </w:rPr>
        <w:t>and commitments to justice</w:t>
      </w:r>
      <w:r w:rsidRPr="008A67DE">
        <w:rPr>
          <w:color w:val="000000"/>
          <w:sz w:val="16"/>
        </w:rPr>
        <w:t>: and without doubt IR, whether ‘analytical’ or ‘critical’, and academia more broadly, are filled with sincere and honourable scholars who care about the world they live in and have the capacity to enact positive change. </w:t>
      </w:r>
      <w:r w:rsidRPr="008A67DE">
        <w:rPr>
          <w:color w:val="000000"/>
          <w:u w:val="single"/>
        </w:rPr>
        <w:t>Questioning and challenging accepted and expected modes of academic enquiry requires courage and creativity, both of which are aided through collective effort</w:t>
      </w:r>
      <w:r w:rsidRPr="008A67DE">
        <w:rPr>
          <w:color w:val="000000"/>
          <w:sz w:val="16"/>
        </w:rPr>
        <w:t>. This special issue, then, is an invitation to adopt that courage and creativity in how we cultivate knowledge, in questioning the purpose and the ends of that knowledge, and to be discerning in how we try to put it into practice.</w:t>
      </w:r>
    </w:p>
    <w:p w14:paraId="0BFD6301" w14:textId="2D2DDC21" w:rsidR="001E189D" w:rsidRPr="00C90932" w:rsidRDefault="001E189D" w:rsidP="00C90932">
      <w:pPr>
        <w:pStyle w:val="Heading3"/>
        <w:rPr>
          <w:rFonts w:cs="Calibri"/>
        </w:rPr>
      </w:pPr>
      <w:r w:rsidRPr="00C90932">
        <w:rPr>
          <w:rFonts w:cs="Calibri"/>
        </w:rPr>
        <w:t xml:space="preserve">AT: </w:t>
      </w:r>
      <w:r w:rsidR="00331EB7" w:rsidRPr="00C90932">
        <w:rPr>
          <w:rFonts w:cs="Calibri"/>
        </w:rPr>
        <w:t>Extinction OW</w:t>
      </w:r>
    </w:p>
    <w:p w14:paraId="436F84FE" w14:textId="77777777" w:rsidR="00155B47" w:rsidRPr="00C90932" w:rsidRDefault="00155B47" w:rsidP="00C90932">
      <w:pPr>
        <w:pStyle w:val="Heading4"/>
      </w:pPr>
      <w:r w:rsidRPr="00C90932">
        <w:t>Vote neg to prevent extinction” is a settler fantasy used to further Native dispossession. Reject that logic because it’s intimately tied to extermination.</w:t>
      </w:r>
    </w:p>
    <w:p w14:paraId="284DE768" w14:textId="77777777" w:rsidR="00155B47" w:rsidRPr="00C90932" w:rsidRDefault="00155B47" w:rsidP="00C90932">
      <w:r w:rsidRPr="00C90932">
        <w:rPr>
          <w:rStyle w:val="Style13ptBold"/>
        </w:rPr>
        <w:t>Dalley 16</w:t>
      </w:r>
      <w:r w:rsidRPr="00C90932">
        <w:t xml:space="preserve"> – PhD, Assistant Professor of English at Daemen College, Amherst, NY (Hamish Dalley, </w:t>
      </w:r>
      <w:r w:rsidRPr="00C90932">
        <w:rPr>
          <w:i/>
        </w:rPr>
        <w:t>Settler Colonial Studies, “</w:t>
      </w:r>
      <w:r w:rsidRPr="00C90932">
        <w:t>The deaths of settler colonialism: extinction as a metaphor of decolonization in contemporary settler literature,” 2016, 1-17, DOI: 10.1080/2201473X.2016.1238160 Accessed Online through Emory Libraries)//SM</w:t>
      </w:r>
    </w:p>
    <w:p w14:paraId="67A1C0D4" w14:textId="42A0CC55" w:rsidR="00155B47" w:rsidRPr="00C90932" w:rsidRDefault="00155B47" w:rsidP="00C90932">
      <w:r w:rsidRPr="00C90932">
        <w:rPr>
          <w:u w:val="single"/>
        </w:rPr>
        <w:t xml:space="preserve">Settlers </w:t>
      </w:r>
      <w:r w:rsidRPr="00C90932">
        <w:rPr>
          <w:iCs/>
          <w:u w:val="single"/>
        </w:rPr>
        <w:t>love to contemplate</w:t>
      </w:r>
      <w:r w:rsidRPr="00C90932">
        <w:rPr>
          <w:u w:val="single"/>
        </w:rPr>
        <w:t xml:space="preserve"> the possibility of their </w:t>
      </w:r>
      <w:r w:rsidRPr="00C90932">
        <w:rPr>
          <w:rStyle w:val="Emphasis"/>
        </w:rPr>
        <w:t>own extinction</w:t>
      </w:r>
      <w:r w:rsidRPr="00C90932">
        <w:t xml:space="preserve">; </w:t>
      </w:r>
      <w:r w:rsidRPr="00C90932">
        <w:rPr>
          <w:u w:val="single"/>
        </w:rPr>
        <w:t>to read many contemporary literary representations of settler colonialism is to find settlers strangely satisfied in dreaming of ends that never come</w:t>
      </w:r>
      <w:r w:rsidRPr="00C90932">
        <w:t xml:space="preserve">. This tendency is widely prevalent in English-language representations of settler colonialism produced since the 1980s: </w:t>
      </w:r>
      <w:r w:rsidRPr="00C90932">
        <w:rPr>
          <w:u w:val="single"/>
        </w:rPr>
        <w:t>the possibility of an ending – the likelihood that the settler race will one day die out – is a common theme</w:t>
      </w:r>
      <w:r w:rsidRPr="00C90932">
        <w:t xml:space="preserve"> in literary and pop culture considerations of colonialism’s future. Yet it has barely been remarked how surprising it is that this theme is so present. </w:t>
      </w:r>
      <w:r w:rsidRPr="00C90932">
        <w:rPr>
          <w:u w:val="single"/>
        </w:rPr>
        <w:t>For settlers</w:t>
      </w:r>
      <w:r w:rsidRPr="00C90932">
        <w:t xml:space="preserve">, of all people, </w:t>
      </w:r>
      <w:r w:rsidRPr="00C90932">
        <w:rPr>
          <w:u w:val="single"/>
        </w:rPr>
        <w:t>to obsessively ruminate on their own finitude is counterintuitive</w:t>
      </w:r>
      <w:r w:rsidRPr="00C90932">
        <w:t xml:space="preser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w:t>
      </w:r>
      <w:r w:rsidRPr="00C90932">
        <w:rPr>
          <w:u w:val="single"/>
        </w:rPr>
        <w:t xml:space="preserve">Settlers think all the time that they might one day end, even though (perhaps because) that ending seems </w:t>
      </w:r>
      <w:r w:rsidRPr="00C90932">
        <w:rPr>
          <w:rStyle w:val="Emphasis"/>
        </w:rPr>
        <w:t xml:space="preserve">unlikely </w:t>
      </w:r>
      <w:r w:rsidRPr="00C90932">
        <w:rPr>
          <w:u w:val="single"/>
        </w:rPr>
        <w:t>ever to happen.</w:t>
      </w:r>
      <w:r w:rsidRPr="00C90932">
        <w:t xml:space="preserve"> The significance of this paradox for settler-colonial literature is the subject of this article. </w:t>
      </w:r>
      <w:r w:rsidRPr="00C90932">
        <w:rPr>
          <w:u w:val="single"/>
        </w:rPr>
        <w:t>Considering the problem of futurity offers a useful foil to traditional analyses of settlercolonial narrative, which typically examine settlers’ attitudes towards history in order to highlight a constitutive anxiety about the past – about origins</w:t>
      </w:r>
      <w:r w:rsidRPr="00C90932">
        <w:t xml:space="preserve">.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w:t>
      </w:r>
      <w:r w:rsidRPr="00C90932">
        <w:rPr>
          <w:u w:val="single"/>
        </w:rPr>
        <w:t xml:space="preserve">Settler-colonial narrative is thus shaped around its need to </w:t>
      </w:r>
      <w:r w:rsidRPr="00C90932">
        <w:rPr>
          <w:rStyle w:val="Emphasis"/>
        </w:rPr>
        <w:t>erase</w:t>
      </w:r>
      <w:r w:rsidRPr="00C90932">
        <w:rPr>
          <w:u w:val="single"/>
        </w:rPr>
        <w:t xml:space="preserve"> and </w:t>
      </w:r>
      <w:r w:rsidRPr="00C90932">
        <w:rPr>
          <w:iCs/>
          <w:u w:val="single"/>
        </w:rPr>
        <w:t xml:space="preserve">evoke </w:t>
      </w:r>
      <w:r w:rsidRPr="00C90932">
        <w:rPr>
          <w:rStyle w:val="Emphasis"/>
        </w:rPr>
        <w:t>the native</w:t>
      </w:r>
      <w:r w:rsidRPr="00C90932">
        <w:rPr>
          <w:u w:val="single"/>
        </w:rPr>
        <w:t>, to make the indigene both invisible and present in a contradictory pattern that prevents settlers from ever moving on from the moment of colonization</w:t>
      </w:r>
      <w:r w:rsidRPr="00C90932">
        <w:t xml:space="preserve">.2 As evidence of this constitutive contradiction, </w:t>
      </w:r>
      <w:r w:rsidRPr="00C90932">
        <w:rPr>
          <w:u w:val="single"/>
        </w:rPr>
        <w:t>critics have identified in settler-colonial discourse symptoms of psychic distress such as disavowal, inversion, and repression</w:t>
      </w:r>
      <w:r w:rsidRPr="00C90932">
        <w:t xml:space="preserve">.3 Indeed, the frozen temporality of settler-colonial narrative, fixated on the moment of the frontier, recalls nothing so much as Freud’s description of the ‘repetition compulsion’ attending trauma.4 As Lorenzo Veracini puts it, because: ‘settler society’ can thus be seen as a fantasy where a perception of a constant struggle is juxtaposed against an ideal of ‘peace’ that can never be reached, settler projects embrace and reject violence at the same time. The settler colonial situation is thus a circumstance where the tension between contradictory impulses produces long-lasting psychic conflicts and a number of associated psychopathologies.5 </w:t>
      </w:r>
      <w:r w:rsidRPr="00C90932">
        <w:rPr>
          <w:u w:val="single"/>
        </w:rPr>
        <w:t>Current scholarship has thus focused primarily on settler-colonial narrative’s view of the past,</w:t>
      </w:r>
      <w:r w:rsidRPr="00C90932">
        <w:t xml:space="preserve"> asking how such a contradictory and troubled relationship to history might affect present-day ideological formations. </w:t>
      </w:r>
      <w:r w:rsidRPr="00C90932">
        <w:rPr>
          <w:u w:val="single"/>
        </w:rPr>
        <w:t xml:space="preserve">Critics have rarely considered what such narratological tensions might produce when the settler gaze is </w:t>
      </w:r>
      <w:r w:rsidRPr="00C90932">
        <w:rPr>
          <w:iCs/>
          <w:u w:val="single"/>
        </w:rPr>
        <w:t>turned to the future</w:t>
      </w:r>
      <w:r w:rsidRPr="00C90932">
        <w:rPr>
          <w:u w:val="single"/>
        </w:rPr>
        <w:t>.</w:t>
      </w:r>
      <w:r w:rsidRPr="00C90932">
        <w:t xml:space="preserve"> </w:t>
      </w:r>
      <w:r w:rsidRPr="00C90932">
        <w:rPr>
          <w:u w:val="single"/>
        </w:rPr>
        <w:t>Few social formations are more stubbornly resistant to change than settlement, suggesting that a future beyond settler colonialism might be simply unthinkable</w:t>
      </w:r>
      <w:r w:rsidRPr="00C90932">
        <w:t xml:space="preserv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w:t>
      </w:r>
      <w:r w:rsidRPr="00C90932">
        <w:rPr>
          <w:u w:val="single"/>
        </w:rPr>
        <w:t>the narratological paradox that defines settler-colonial narrative does make the future a problematic object of contemplation. But that does not make settler decolonization unthinkable</w:t>
      </w:r>
      <w:r w:rsidRPr="00C90932">
        <w:t xml:space="preserve"> per se; as I will show, </w:t>
      </w:r>
      <w:r w:rsidRPr="00C90932">
        <w:rPr>
          <w:u w:val="single"/>
        </w:rPr>
        <w:t>settlers do often try to imagine their demise –</w:t>
      </w:r>
      <w:r w:rsidRPr="00C90932">
        <w:t xml:space="preserve"> </w:t>
      </w:r>
      <w:r w:rsidRPr="00C90932">
        <w:rPr>
          <w:u w:val="single"/>
        </w:rPr>
        <w:t xml:space="preserve">but they do so in a way that </w:t>
      </w:r>
      <w:r w:rsidRPr="00C90932">
        <w:rPr>
          <w:rStyle w:val="Emphasis"/>
        </w:rPr>
        <w:t>reasserts the paradoxes</w:t>
      </w:r>
      <w:r w:rsidRPr="00C90932">
        <w:rPr>
          <w:u w:val="single"/>
        </w:rPr>
        <w:t xml:space="preserve"> of their </w:t>
      </w:r>
      <w:r w:rsidRPr="00C90932">
        <w:rPr>
          <w:iCs/>
          <w:u w:val="single"/>
        </w:rPr>
        <w:t>founding ideology</w:t>
      </w:r>
      <w:r w:rsidRPr="00C90932">
        <w:t xml:space="preserve">, with the result that </w:t>
      </w:r>
      <w:r w:rsidRPr="00C90932">
        <w:rPr>
          <w:u w:val="single"/>
        </w:rPr>
        <w:t xml:space="preserve">the radical </w:t>
      </w:r>
      <w:r w:rsidRPr="00C90932">
        <w:rPr>
          <w:iCs/>
          <w:u w:val="single"/>
        </w:rPr>
        <w:t>potentiality of decolonization</w:t>
      </w:r>
      <w:r w:rsidRPr="00C90932">
        <w:rPr>
          <w:u w:val="single"/>
        </w:rPr>
        <w:t xml:space="preserve"> is </w:t>
      </w:r>
      <w:r w:rsidRPr="00C90932">
        <w:rPr>
          <w:iCs/>
          <w:u w:val="single"/>
        </w:rPr>
        <w:t>undone</w:t>
      </w:r>
      <w:r w:rsidRPr="00C90932">
        <w:rPr>
          <w:u w:val="single"/>
        </w:rPr>
        <w:t xml:space="preserve"> even as it is invoked</w:t>
      </w:r>
      <w:r w:rsidRPr="00C90932">
        <w:t xml:space="preserve">. I argue that, notwithstanding Veracini’s analysis, </w:t>
      </w:r>
      <w:r w:rsidRPr="00C90932">
        <w:rPr>
          <w:u w:val="single"/>
        </w:rPr>
        <w:t>there is a metaphor via which the end of settler colonialism unspools – the</w:t>
      </w:r>
      <w:r w:rsidRPr="00C90932">
        <w:t xml:space="preserve"> quasi-biological </w:t>
      </w:r>
      <w:r w:rsidRPr="00C90932">
        <w:rPr>
          <w:u w:val="single"/>
        </w:rPr>
        <w:t>concept of extinction, which</w:t>
      </w:r>
      <w:r w:rsidRPr="00C90932">
        <w:t xml:space="preserve">, when deployed as a narrative trope, </w:t>
      </w:r>
      <w:r w:rsidRPr="00C90932">
        <w:rPr>
          <w:u w:val="single"/>
        </w:rPr>
        <w:t xml:space="preserve">offers settlers a chance to consider and </w:t>
      </w:r>
      <w:r w:rsidRPr="00C90932">
        <w:rPr>
          <w:rStyle w:val="Emphasis"/>
        </w:rPr>
        <w:t>disavow</w:t>
      </w:r>
      <w:r w:rsidRPr="00C90932">
        <w:rPr>
          <w:iCs/>
          <w:u w:val="single"/>
        </w:rPr>
        <w:t xml:space="preserve"> their demise</w:t>
      </w:r>
      <w:r w:rsidRPr="00C90932">
        <w:t xml:space="preserve">, </w:t>
      </w:r>
      <w:r w:rsidRPr="00C90932">
        <w:rPr>
          <w:u w:val="single"/>
        </w:rPr>
        <w:t xml:space="preserve">just as they consider and then disavow the </w:t>
      </w:r>
      <w:r w:rsidRPr="00C90932">
        <w:rPr>
          <w:rStyle w:val="Emphasis"/>
        </w:rPr>
        <w:t>violence of their origins</w:t>
      </w:r>
      <w:r w:rsidRPr="00C90932">
        <w:rPr>
          <w:u w:val="single"/>
        </w:rPr>
        <w:t>.</w:t>
      </w:r>
      <w:r w:rsidRPr="00C90932">
        <w:t xml:space="preserve"> This article traces </w:t>
      </w:r>
      <w:r w:rsidRPr="00C90932">
        <w:rPr>
          <w:u w:val="single"/>
        </w:rPr>
        <w:t>the importance of the trope of extinction for contemporary settler-colonial literature</w:t>
      </w:r>
      <w:r w:rsidRPr="00C90932">
        <w:t xml:space="preserv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w:t>
      </w:r>
      <w:r w:rsidRPr="00C90932">
        <w:rPr>
          <w:u w:val="single"/>
        </w:rPr>
        <w:t>‘rational’ fears for the future</w:t>
      </w:r>
      <w:r w:rsidRPr="00C90932">
        <w:t xml:space="preserve"> (because climate change may well render the planet uninhabitable to humans) in order to </w:t>
      </w:r>
      <w:r w:rsidRPr="00C90932">
        <w:rPr>
          <w:u w:val="single"/>
        </w:rPr>
        <w:t xml:space="preserve">narrativize a form of </w:t>
      </w:r>
      <w:r w:rsidRPr="00C90932">
        <w:rPr>
          <w:rStyle w:val="Emphasis"/>
        </w:rPr>
        <w:t>social death</w:t>
      </w:r>
      <w:r w:rsidRPr="00C90932">
        <w:rPr>
          <w:u w:val="single"/>
        </w:rPr>
        <w:t xml:space="preserve"> that, strictly speaking, belongs to a different order of knowledge altogether.</w:t>
      </w:r>
      <w:r w:rsidRPr="00C90932">
        <w:t xml:space="preserve"> As such, </w:t>
      </w:r>
      <w:r w:rsidRPr="00C90932">
        <w:rPr>
          <w:u w:val="single"/>
        </w:rPr>
        <w:t>my analysis is intended to draw the attention of settlercolonial studies toward futurity and the ambivalence of settler paranoia</w:t>
      </w:r>
      <w:r w:rsidRPr="00C90932">
        <w:t xml:space="preserve">, while highlighting a potential point of cross-fertilization between settler-colonial and eco-critical approaches to contemporary literature. </w:t>
      </w:r>
      <w:r w:rsidRPr="00C90932">
        <w:rPr>
          <w:u w:val="single"/>
        </w:rPr>
        <w:t>That ‘extinction’ should be a key word in the settler-colonial lexicon is no surprise</w:t>
      </w:r>
      <w:r w:rsidRPr="00C90932">
        <w:t xml:space="preserve">. In Patrick Wolfe’s phrase,7 </w:t>
      </w:r>
      <w:r w:rsidRPr="00C90932">
        <w:rPr>
          <w:u w:val="single"/>
        </w:rPr>
        <w:t>settler colonialism is predicated on a ‘logic of elimination’ that tends towards the extermination</w:t>
      </w:r>
      <w:r w:rsidRPr="00C90932">
        <w:t xml:space="preserve"> – by one means or another – </w:t>
      </w:r>
      <w:r w:rsidRPr="00C90932">
        <w:rPr>
          <w:u w:val="single"/>
        </w:rPr>
        <w:t>of indigenous peoples</w:t>
      </w:r>
      <w:r w:rsidRPr="00C90932">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 9 that necessitates the extinction of inferior races. </w:t>
      </w:r>
      <w:r w:rsidRPr="00C90932">
        <w:rPr>
          <w:u w:val="single"/>
        </w:rPr>
        <w:t>What is surprising, though,</w:t>
      </w:r>
      <w:r w:rsidRPr="00C90932">
        <w:t xml:space="preserve"> </w:t>
      </w:r>
      <w:r w:rsidRPr="00C90932">
        <w:rPr>
          <w:u w:val="single"/>
        </w:rPr>
        <w:t>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C90932">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which are plotted around the prospect of invasions that would see the extinction of British imperialism, and, in the process, the human species. Such </w:t>
      </w:r>
      <w:r w:rsidRPr="00C90932">
        <w:rPr>
          <w:u w:val="single"/>
        </w:rPr>
        <w:t xml:space="preserve">anxieties draw energy from a pattern of </w:t>
      </w:r>
      <w:r w:rsidRPr="00C90932">
        <w:rPr>
          <w:rStyle w:val="Emphasis"/>
        </w:rPr>
        <w:t>settler defensiveness</w:t>
      </w:r>
      <w:r w:rsidRPr="00C90932">
        <w:rPr>
          <w:u w:val="single"/>
        </w:rPr>
        <w:t xml:space="preserve"> that can be observed across numerous settler-colonial contexts</w:t>
      </w:r>
      <w:r w:rsidRPr="00C90932">
        <w:t xml:space="preserve">. Marilyn Lake’s and Henry Reynold’s account of the emergence of transnational ‘whiteness’ highlights the paradoxical fact that </w:t>
      </w:r>
      <w:r w:rsidRPr="00C90932">
        <w:rPr>
          <w:u w:val="single"/>
        </w:rPr>
        <w:t xml:space="preserve">while white male settlers have been arguably the most privileged class in history, they have routinely perceived themselves to be ‘under siege’, threatened with </w:t>
      </w:r>
      <w:r w:rsidRPr="00C90932">
        <w:rPr>
          <w:iCs/>
          <w:u w:val="single"/>
        </w:rPr>
        <w:t>destruction</w:t>
      </w:r>
      <w:r w:rsidRPr="00C90932">
        <w:rPr>
          <w:u w:val="single"/>
        </w:rPr>
        <w:t xml:space="preserve"> to the extent that their very identity of ‘whiteness was born in the apprehension of </w:t>
      </w:r>
      <w:r w:rsidRPr="00C90932">
        <w:rPr>
          <w:iCs/>
          <w:u w:val="single"/>
        </w:rPr>
        <w:t>imminent loss’</w:t>
      </w:r>
      <w:r w:rsidRPr="00C90932">
        <w:t xml:space="preserve">.11 </w:t>
      </w:r>
      <w:r w:rsidRPr="00C90932">
        <w:rPr>
          <w:iCs/>
          <w:u w:val="single"/>
        </w:rPr>
        <w:t>The fear of looming annihilation</w:t>
      </w:r>
      <w:r w:rsidRPr="00C90932">
        <w:t xml:space="preserve"> </w:t>
      </w:r>
      <w:r w:rsidRPr="00C90932">
        <w:rPr>
          <w:u w:val="single"/>
        </w:rPr>
        <w:t xml:space="preserve">serves a powerful ideological function in settler communities, working to </w:t>
      </w:r>
      <w:r w:rsidRPr="00C90932">
        <w:rPr>
          <w:rStyle w:val="Emphasis"/>
        </w:rPr>
        <w:t>foster racial solidarity</w:t>
      </w:r>
      <w:r w:rsidRPr="00C90932">
        <w:rPr>
          <w:u w:val="single"/>
        </w:rPr>
        <w:t xml:space="preserve">, </w:t>
      </w:r>
      <w:r w:rsidRPr="00C90932">
        <w:rPr>
          <w:rStyle w:val="Emphasis"/>
        </w:rPr>
        <w:t>suppress dissent</w:t>
      </w:r>
      <w:r w:rsidRPr="00C90932">
        <w:rPr>
          <w:u w:val="single"/>
        </w:rPr>
        <w:t xml:space="preserve">, and </w:t>
      </w:r>
      <w:r w:rsidRPr="00C90932">
        <w:rPr>
          <w:rStyle w:val="Emphasis"/>
        </w:rPr>
        <w:t xml:space="preserve">legitimate violence </w:t>
      </w:r>
      <w:r w:rsidRPr="00C90932">
        <w:rPr>
          <w:iCs/>
          <w:u w:val="single"/>
        </w:rPr>
        <w:t>against indigenous populations</w:t>
      </w:r>
      <w:r w:rsidRPr="00C90932">
        <w:rPr>
          <w:u w:val="single"/>
        </w:rPr>
        <w:t xml:space="preserve"> who</w:t>
      </w:r>
      <w:r w:rsidRPr="00C90932">
        <w:t xml:space="preserve">, by any objective measure, </w:t>
      </w:r>
      <w:r w:rsidRPr="00C90932">
        <w:rPr>
          <w:u w:val="single"/>
        </w:rPr>
        <w:t xml:space="preserve">are </w:t>
      </w:r>
      <w:r w:rsidRPr="00C90932">
        <w:rPr>
          <w:rStyle w:val="Emphasis"/>
        </w:rPr>
        <w:t>far more at risk</w:t>
      </w:r>
      <w:r w:rsidRPr="00C90932">
        <w:rPr>
          <w:u w:val="single"/>
        </w:rPr>
        <w:t xml:space="preserve"> of extermination than the settlers who fear them</w:t>
      </w:r>
      <w:r w:rsidRPr="00C90932">
        <w:t xml:space="preserve">. Ann Curthoys and Dirk Moses have traced this pattern in Australia and Israel-Palestine, respectively.12 This scholarship suggests that </w:t>
      </w:r>
      <w:r w:rsidRPr="00C90932">
        <w:rPr>
          <w:iCs/>
          <w:u w:val="single"/>
        </w:rPr>
        <w:t>narratives of settler extinction</w:t>
      </w:r>
      <w:r w:rsidRPr="00C90932">
        <w:t xml:space="preserve"> </w:t>
      </w:r>
      <w:r w:rsidRPr="00C90932">
        <w:rPr>
          <w:u w:val="single"/>
        </w:rPr>
        <w:t xml:space="preserve">are acts of </w:t>
      </w:r>
      <w:r w:rsidRPr="00C90932">
        <w:rPr>
          <w:rStyle w:val="Emphasis"/>
        </w:rPr>
        <w:t>ideological mystification</w:t>
      </w:r>
      <w:r w:rsidRPr="00C90932">
        <w:rPr>
          <w:u w:val="single"/>
        </w:rPr>
        <w:t xml:space="preserve">, obscuring the brutal </w:t>
      </w:r>
      <w:r w:rsidRPr="00C90932">
        <w:rPr>
          <w:iCs/>
          <w:u w:val="single"/>
        </w:rPr>
        <w:t>inequalities</w:t>
      </w:r>
      <w:r w:rsidRPr="00C90932">
        <w:rPr>
          <w:u w:val="single"/>
        </w:rPr>
        <w:t xml:space="preserve"> of the frontier behind a mask of white vulnerability</w:t>
      </w:r>
      <w:r w:rsidRPr="00C90932">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w:t>
      </w:r>
      <w:r w:rsidRPr="00C90932">
        <w:rPr>
          <w:u w:val="single"/>
        </w:rPr>
        <w:t>to treat decolonization figuratively, as</w:t>
      </w:r>
      <w:r w:rsidRPr="00C90932">
        <w:t xml:space="preserve"> I argue </w:t>
      </w:r>
      <w:r w:rsidRPr="00C90932">
        <w:rPr>
          <w:u w:val="single"/>
        </w:rPr>
        <w:t xml:space="preserve">extinction narratives do, is necessarily to </w:t>
      </w:r>
      <w:r w:rsidRPr="00C90932">
        <w:rPr>
          <w:iCs/>
          <w:u w:val="single"/>
        </w:rPr>
        <w:t>preclude radical change</w:t>
      </w:r>
      <w:r w:rsidRPr="00C90932">
        <w:rPr>
          <w:u w:val="single"/>
        </w:rPr>
        <w:t xml:space="preserve">, </w:t>
      </w:r>
      <w:r w:rsidRPr="00C90932">
        <w:rPr>
          <w:rStyle w:val="Emphasis"/>
        </w:rPr>
        <w:t>creating opportunities</w:t>
      </w:r>
      <w:r w:rsidRPr="00C90932">
        <w:rPr>
          <w:u w:val="single"/>
        </w:rPr>
        <w:t xml:space="preserve"> for settler ‘</w:t>
      </w:r>
      <w:r w:rsidRPr="00C90932">
        <w:rPr>
          <w:iCs/>
          <w:u w:val="single"/>
        </w:rPr>
        <w:t>moves to innocence’</w:t>
      </w:r>
      <w:r w:rsidRPr="00C90932">
        <w:rPr>
          <w:u w:val="single"/>
        </w:rPr>
        <w:t xml:space="preserve"> that re-legitimate racial inequality</w:t>
      </w:r>
      <w:r w:rsidRPr="00C90932">
        <w:t xml:space="preserve">.13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C90932">
        <w:rPr>
          <w:u w:val="single"/>
        </w:rPr>
        <w:t xml:space="preserve">extinction is a core trope through which </w:t>
      </w:r>
      <w:r w:rsidRPr="00C90932">
        <w:rPr>
          <w:rStyle w:val="Emphasis"/>
        </w:rPr>
        <w:t>settler futurity emerges</w:t>
      </w:r>
      <w:r w:rsidRPr="00C90932">
        <w:rPr>
          <w:u w:val="single"/>
        </w:rPr>
        <w:t>, one with crucial narrative and ideological effects that shape much of the contemporary literature emerging from white colonial settings.</w:t>
      </w:r>
    </w:p>
    <w:p w14:paraId="3B470597" w14:textId="651166CD" w:rsidR="00FF5F32" w:rsidRPr="00C90932" w:rsidRDefault="00FF5F32" w:rsidP="00C90932">
      <w:pPr>
        <w:pStyle w:val="Heading4"/>
        <w:rPr>
          <w:rFonts w:cs="Calibri"/>
        </w:rPr>
      </w:pPr>
      <w:r w:rsidRPr="00C90932">
        <w:rPr>
          <w:rFonts w:cs="Calibri"/>
        </w:rPr>
        <w:t xml:space="preserve">‘Extinction’ is an </w:t>
      </w:r>
      <w:r w:rsidRPr="00C90932">
        <w:rPr>
          <w:rFonts w:cs="Calibri"/>
          <w:u w:val="single"/>
        </w:rPr>
        <w:t>empty superlative</w:t>
      </w:r>
      <w:r w:rsidRPr="00C90932">
        <w:rPr>
          <w:rFonts w:cs="Calibri"/>
        </w:rPr>
        <w:t>. Forgo improbable impacts – they re-entrench humanity into Western frames that manifest colonial genocide</w:t>
      </w:r>
    </w:p>
    <w:p w14:paraId="2EAE4B8C" w14:textId="77777777" w:rsidR="00FF5F32" w:rsidRPr="00C90932" w:rsidRDefault="00FF5F32" w:rsidP="00C90932">
      <w:r w:rsidRPr="00C90932">
        <w:rPr>
          <w:rStyle w:val="Style13ptBold"/>
          <w:rFonts w:eastAsiaTheme="majorEastAsia"/>
        </w:rPr>
        <w:t>Mitchell 17</w:t>
      </w:r>
      <w:r w:rsidRPr="00C90932">
        <w:t xml:space="preserve"> – CIGI Chair in Global Governance and Ethics, Balsillie School of International Affairs, and Associate Professor at Wilfrid Laurier University, former Senior Lecturer in International Relations, department of Politics, University of York (Audra Mitchell, Worldly, "Decolonizing against extinction part II: Extinction is not a metaphor - it is literally genocide," September 27, 2017, https://worldlyir.wordpress.com/category/extinction/)//SM</w:t>
      </w:r>
    </w:p>
    <w:p w14:paraId="6F94FD98" w14:textId="77777777" w:rsidR="00FF5F32" w:rsidRDefault="00FF5F32" w:rsidP="00C90932">
      <w:pPr>
        <w:rPr>
          <w:sz w:val="16"/>
        </w:rPr>
      </w:pPr>
      <w:r w:rsidRPr="00C90932">
        <w:rPr>
          <w:sz w:val="16"/>
        </w:rPr>
        <w:t xml:space="preserve">Extinction is not a metaphor… </w:t>
      </w:r>
      <w:r w:rsidRPr="00C90932">
        <w:rPr>
          <w:u w:val="single"/>
        </w:rPr>
        <w:t xml:space="preserve">Extinction has become an emblem of Western, and white-dominated, fears about ‘the end of </w:t>
      </w:r>
      <w:r w:rsidRPr="00C90932">
        <w:rPr>
          <w:rStyle w:val="Emphasis"/>
          <w:rFonts w:eastAsiaTheme="majorEastAsia"/>
        </w:rPr>
        <w:t>the(ir)</w:t>
      </w:r>
      <w:r w:rsidRPr="00C90932">
        <w:rPr>
          <w:u w:val="single"/>
        </w:rPr>
        <w:t xml:space="preserve"> world’. </w:t>
      </w:r>
      <w:r w:rsidRPr="00C90932">
        <w:rPr>
          <w:sz w:val="16"/>
        </w:rPr>
        <w:t>This scientific term is saturated with emotional potency, stretched and contorted to embody almost any nightmare, from climate change to asteroid strikes. In academic and public contexts alike, it is regularly interchanged with other terms and concepts – for instance, ‘species death’, global warming or ecological collapse. Diffused into sublime scales – mass extinctions measured in millions of (Gregorian calendar) years, a planet totalized by the threat of nuclear destruction – ‘</w:t>
      </w:r>
      <w:r w:rsidRPr="00C90932">
        <w:rPr>
          <w:u w:val="single"/>
        </w:rPr>
        <w:t xml:space="preserve">extinction’ has become an </w:t>
      </w:r>
      <w:r w:rsidRPr="00C90932">
        <w:rPr>
          <w:rStyle w:val="Emphasis"/>
          <w:rFonts w:eastAsiaTheme="majorEastAsia"/>
        </w:rPr>
        <w:t>empty superlative</w:t>
      </w:r>
      <w:r w:rsidRPr="00C90932">
        <w:rPr>
          <w:u w:val="single"/>
        </w:rPr>
        <w:t>, one that that gestures to an abstract form of unthinkability. It teases Western subjects with images of generalized demise that might, if it gets bad enough, even threaten us, or the figure of ‘humanity’ that we enshrine as a universal.</w:t>
      </w:r>
      <w:r w:rsidRPr="00C90932">
        <w:rPr>
          <w:sz w:val="16"/>
        </w:rPr>
        <w:t xml:space="preserve"> This figure of ‘humanity’, derived from Western European enlightenment ideals, emphasizes individual, autonomous actors who are fully integrated into the global market system; who are responsible citizens of nation-states; who conform to Western ideas of health and well-being; who partake of ‘culture’; who participate in democratic state-based politics; who refrain from physical violence; and who manage their ‘resources’ responsibly (Mitchell 2014). Oddly, </w:t>
      </w:r>
      <w:r w:rsidRPr="00C90932">
        <w:rPr>
          <w:u w:val="single"/>
        </w:rPr>
        <w:t xml:space="preserve">exposure to the fear of extinction contributes to the formation and bolstering of contemporary Western subjects. Contemplating the sublime destruction of ‘humanity’ offers the thrill of abjection: the perverse pleasure derived from exposure to something by which one is revolted. </w:t>
      </w:r>
      <w:r w:rsidRPr="00C90932">
        <w:rPr>
          <w:sz w:val="16"/>
        </w:rPr>
        <w:t xml:space="preserve">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these imaginaries are a form of porn that normalizes the profound violences driving extinction, while cocooning its viewers in the secure space of the voyeur. Certainly, there are many Western scientists, conservationists and policy-makers who are genuinely committed to stopping the extinction of others, perhaps out of fear for their own futures. Yet </w:t>
      </w:r>
      <w:r w:rsidRPr="00C90932">
        <w:rPr>
          <w:u w:val="single"/>
        </w:rPr>
        <w:t xml:space="preserve">extinction is not quite real for Western, and especially white, subjects; it is a </w:t>
      </w:r>
      <w:r w:rsidRPr="00C90932">
        <w:rPr>
          <w:rStyle w:val="Emphasis"/>
          <w:rFonts w:eastAsiaTheme="majorEastAsia"/>
        </w:rPr>
        <w:t>fantasy of negation</w:t>
      </w:r>
      <w:r w:rsidRPr="00C90932">
        <w:rPr>
          <w:u w:val="single"/>
        </w:rPr>
        <w:t xml:space="preserve"> that evokes thrill, melancholy, anger and existential purpose. It is a metaphor that expresses the destructive desires of these beings, and the negativity against which we define our subjectivity. But </w:t>
      </w:r>
      <w:r w:rsidRPr="00C90932">
        <w:rPr>
          <w:rStyle w:val="Emphasis"/>
          <w:rFonts w:eastAsiaTheme="majorEastAsia"/>
        </w:rPr>
        <w:t>extinction is not a metaphor</w:t>
      </w:r>
      <w:r w:rsidRPr="00C90932">
        <w:rPr>
          <w:u w:val="single"/>
        </w:rPr>
        <w:t xml:space="preserve">: it is a very real expression of violence that systematically destroys particular beings, worlds, life forms and the relations that enable them to flourish. These are real, unique beings, worlds and relations – as well as somebody’s family, Ancestors, siblings, future generations – who are violently destroyed. </w:t>
      </w:r>
      <w:r w:rsidRPr="00C90932">
        <w:rPr>
          <w:sz w:val="16"/>
        </w:rPr>
        <w:t xml:space="preserve">Extinction can only be used unironically as a metaphor by people who have never been threatened with it, told it is their inevitable fate, or lost their relatives and Ancestors to it – and who assume that they probably never will. This argument is directly inspired by the call to arms issued in 2012 by Eve Tuck and Wayne K. Yang and more recently by Cutcha Risling-Baldy. The first, seminal piece demonstrates how settler cultures use the violence of metaphorical abstraction to excuse themselves from the real work of decolonization: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 In this series, want to show how </w:t>
      </w:r>
      <w:r w:rsidRPr="00C90932">
        <w:rPr>
          <w:u w:val="single"/>
        </w:rPr>
        <w:t xml:space="preserve">Western, and white-dominated, discourses on ‘extinction’ appear to address the systematic destruction of peoples and other beings while enacting moves to innocence that mask their culpability and </w:t>
      </w:r>
      <w:r w:rsidRPr="00C90932">
        <w:rPr>
          <w:rStyle w:val="Emphasis"/>
          <w:rFonts w:eastAsiaTheme="majorEastAsia"/>
        </w:rPr>
        <w:t>perpetuate structures of violence</w:t>
      </w:r>
      <w:r w:rsidRPr="00C90932">
        <w:rPr>
          <w:sz w:val="16"/>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the violences that drive extinction have come to be invisible within mainstream discourses. Salient amongst these is the practice of genocide against Indigenous peoples other than humans. …it is literally genocide. </w:t>
      </w:r>
      <w:r w:rsidRPr="00C90932">
        <w:rPr>
          <w:u w:val="single"/>
        </w:rPr>
        <w:t>What Western science calls ‘extinction’ is not an unfortunate, unintended consequence of desirable ‘human’ activities. It is an embodiment of particular patterns of structural violence that disproportionately affect specific racialized groups.</w:t>
      </w:r>
      <w:r w:rsidRPr="00C90932">
        <w:rPr>
          <w:sz w:val="16"/>
        </w:rPr>
        <w:t xml:space="preserve"> In some cases, ‘extinction’ is directly, deliberately and systematically inflicted in order to create space for aggressors, including settler states. For this reason, </w:t>
      </w:r>
      <w:r w:rsidRPr="00C90932">
        <w:rPr>
          <w:u w:val="single"/>
        </w:rPr>
        <w:t>it has rightly been framed as an aspect or tool of colonial genocides against Indigenous human peoples.</w:t>
      </w:r>
      <w:r w:rsidRPr="00C90932">
        <w:rPr>
          <w:sz w:val="16"/>
        </w:rPr>
        <w:t xml:space="preserve">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 </w:t>
      </w:r>
      <w:r w:rsidRPr="00C90932">
        <w:rPr>
          <w:u w:val="single"/>
        </w:rPr>
        <w:t>Genocides of Indigenous peoples (human and otherwise) continue apace in contemporary settler states, transformed into multiple manifestations.</w:t>
      </w:r>
      <w:r w:rsidRPr="00C90932">
        <w:rPr>
          <w:sz w:val="16"/>
        </w:rPr>
        <w:t xml:space="preserve">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w:t>
      </w:r>
      <w:r w:rsidRPr="00C90932">
        <w:rPr>
          <w:u w:val="single"/>
        </w:rPr>
        <w:t>act of elimination involves explicit genocidal ideation, or the imagination of the destruction of a people.</w:t>
      </w:r>
      <w:r w:rsidRPr="00C90932">
        <w:rPr>
          <w:sz w:val="16"/>
        </w:rPr>
        <w:t xml:space="preserv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 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 Understood in this way, ‘</w:t>
      </w:r>
      <w:r w:rsidRPr="00C90932">
        <w:rPr>
          <w:u w:val="single"/>
        </w:rPr>
        <w:t xml:space="preserve">extinction’ is not a metaphor for genocide or other forms of large-scale violence: it is a </w:t>
      </w:r>
      <w:r w:rsidRPr="00C90932">
        <w:rPr>
          <w:rStyle w:val="Emphasis"/>
          <w:rFonts w:eastAsiaTheme="majorEastAsia"/>
        </w:rPr>
        <w:t>distinct manifestation of genocide</w:t>
      </w:r>
      <w:r w:rsidRPr="00C90932">
        <w:rPr>
          <w:sz w:val="16"/>
        </w:rPr>
        <w:t xml:space="preserve">. Masking the genocidal logics that drive extinction involves several moves to innocence (Tuck and Yang 2012). </w:t>
      </w:r>
      <w:r w:rsidRPr="00C90932">
        <w:rPr>
          <w:u w:val="single"/>
        </w:rPr>
        <w:t xml:space="preserve">Treating extinction as something short of genocide entrenches Eurocentric understandings of personhood that are limited to homo sapiens, </w:t>
      </w:r>
      <w:r w:rsidRPr="00C90932">
        <w:rPr>
          <w:rStyle w:val="Emphasis"/>
          <w:rFonts w:eastAsiaTheme="majorEastAsia"/>
        </w:rPr>
        <w:t xml:space="preserve">which is itself </w:t>
      </w:r>
      <w:r w:rsidRPr="00C90932">
        <w:rPr>
          <w:u w:val="single"/>
        </w:rPr>
        <w:t xml:space="preserve">an act of violence against these peoples. </w:t>
      </w:r>
      <w:r w:rsidRPr="00C90932">
        <w:rPr>
          <w:sz w:val="16"/>
        </w:rPr>
        <w:t xml:space="preserve">Ironically, the entrenchment of this dichotomy also enables 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In addition, </w:t>
      </w:r>
      <w:r w:rsidRPr="00C90932">
        <w:rPr>
          <w:u w:val="single"/>
        </w:rPr>
        <w:t>by framing extinction as a problem for a universal figure of ‘humanity’</w:t>
      </w:r>
      <w:r w:rsidRPr="00C90932">
        <w:rPr>
          <w:sz w:val="16"/>
        </w:rPr>
        <w:t xml:space="preserve"> (more on this to follow…) </w:t>
      </w:r>
      <w:r w:rsidRPr="00C90932">
        <w:rPr>
          <w:u w:val="single"/>
        </w:rPr>
        <w:t>mainstream discourses of extinction obscure its profound entwinement with race and racializing structures.</w:t>
      </w:r>
      <w:r w:rsidRPr="00C90932">
        <w:rPr>
          <w:sz w:val="16"/>
        </w:rPr>
        <w:t xml:space="preserve"> These examples make it clear that </w:t>
      </w:r>
      <w:r w:rsidRPr="00C90932">
        <w:rPr>
          <w:u w:val="single"/>
        </w:rPr>
        <w:t>eliminative violence is targeted on specific groups of people and their other-than-human relations, as defined by the aggressors.</w:t>
      </w:r>
      <w:r w:rsidRPr="00C90932">
        <w:rPr>
          <w:sz w:val="16"/>
        </w:rPr>
        <w:t xml:space="preserve">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It is also because the eliminative violence that drives extinction extend and enact race beyond the category of homo sapiens by defining particular groups against white settler norms and as threats to the settler society. To approach extinction separately from issues of race is, therefore, to miss one of its most defining features.</w:t>
      </w:r>
    </w:p>
    <w:p w14:paraId="3898BC4D" w14:textId="4236A28B" w:rsidR="00557D7C" w:rsidRPr="00C90932" w:rsidRDefault="00557D7C" w:rsidP="00C90932">
      <w:pPr>
        <w:pStyle w:val="Heading3"/>
      </w:pPr>
      <w:r w:rsidRPr="00C90932">
        <w:t>AT: Extinction reps good/mobilizing</w:t>
      </w:r>
    </w:p>
    <w:p w14:paraId="30B62A24" w14:textId="2CEC46ED" w:rsidR="00557D7C" w:rsidRPr="00C90932" w:rsidRDefault="00557D7C" w:rsidP="00C90932">
      <w:pPr>
        <w:pStyle w:val="Heading4"/>
        <w:rPr>
          <w:rFonts w:cs="Calibri"/>
        </w:rPr>
      </w:pPr>
      <w:r w:rsidRPr="00C90932">
        <w:rPr>
          <w:rFonts w:cs="Calibri"/>
        </w:rPr>
        <w:t>The revelatory power of white visions of the apocalypse has been exhausted</w:t>
      </w:r>
      <w:r w:rsidR="00E92D46" w:rsidRPr="00C90932">
        <w:rPr>
          <w:rFonts w:cs="Calibri"/>
        </w:rPr>
        <w:t xml:space="preserve">, they only serve to further the Anthropocene and western blue desires. </w:t>
      </w:r>
    </w:p>
    <w:p w14:paraId="577B6724" w14:textId="5C9FC0EB" w:rsidR="00557D7C" w:rsidRPr="00C90932" w:rsidRDefault="00557D7C" w:rsidP="00C90932">
      <w:pPr>
        <w:rPr>
          <w:rFonts w:eastAsia="Times New Roman"/>
        </w:rPr>
      </w:pPr>
      <w:r w:rsidRPr="00C90932">
        <w:rPr>
          <w:rFonts w:eastAsiaTheme="majorEastAsia" w:cstheme="majorBidi"/>
          <w:b/>
          <w:iCs/>
          <w:sz w:val="26"/>
        </w:rPr>
        <w:t xml:space="preserve">Davidson </w:t>
      </w:r>
      <w:r w:rsidR="00E4478A">
        <w:rPr>
          <w:rFonts w:eastAsiaTheme="majorEastAsia" w:cstheme="majorBidi"/>
          <w:b/>
          <w:iCs/>
          <w:sz w:val="26"/>
        </w:rPr>
        <w:t xml:space="preserve">&amp; da Silva </w:t>
      </w:r>
      <w:r w:rsidRPr="00C90932">
        <w:rPr>
          <w:rFonts w:eastAsiaTheme="majorEastAsia" w:cstheme="majorBidi"/>
          <w:b/>
          <w:iCs/>
          <w:sz w:val="26"/>
        </w:rPr>
        <w:t>2</w:t>
      </w:r>
      <w:r w:rsidR="00E4478A">
        <w:rPr>
          <w:rFonts w:eastAsiaTheme="majorEastAsia" w:cstheme="majorBidi"/>
          <w:b/>
          <w:iCs/>
          <w:sz w:val="26"/>
        </w:rPr>
        <w:t>2</w:t>
      </w:r>
      <w:r w:rsidRPr="00C90932">
        <w:rPr>
          <w:rFonts w:eastAsia="Times New Roman"/>
          <w:b/>
          <w:bCs/>
        </w:rPr>
        <w:t xml:space="preserve"> </w:t>
      </w:r>
      <w:r w:rsidRPr="00C90932">
        <w:rPr>
          <w:rFonts w:eastAsia="Times New Roman"/>
        </w:rPr>
        <w:t xml:space="preserve">[Joe P. L. Davidson, </w:t>
      </w:r>
      <w:r w:rsidR="00E4478A">
        <w:rPr>
          <w:rFonts w:eastAsia="Times New Roman"/>
        </w:rPr>
        <w:t xml:space="preserve">Leverhulme Early Career Fellow, Department of Sociology, University of Warwick, </w:t>
      </w:r>
      <w:r w:rsidR="00C5301A">
        <w:rPr>
          <w:rFonts w:eastAsia="Times New Roman"/>
        </w:rPr>
        <w:t xml:space="preserve">PhD, Department of Sociology, University of Cambridge; Filipe Carreira da Silva, Research Professor at the Institute of Social Sciences, University of Lisbon, Selwyn College, PhD, Sociology, St. Edmund's College, University of Cambridge, </w:t>
      </w:r>
      <w:r w:rsidRPr="00C90932">
        <w:rPr>
          <w:rFonts w:eastAsia="Times New Roman"/>
        </w:rPr>
        <w:t>"Fear of a Black planet: Climate apocalypse, Anthropocene futures and Black social thought",</w:t>
      </w:r>
      <w:r w:rsidR="00C5301A">
        <w:rPr>
          <w:rFonts w:eastAsia="Times New Roman"/>
        </w:rPr>
        <w:t xml:space="preserve"> European Journal of Social Theory 25 (4), 2022, </w:t>
      </w:r>
      <w:r w:rsidRPr="00C90932">
        <w:rPr>
          <w:rFonts w:eastAsia="Times New Roman"/>
        </w:rPr>
        <w:t>https://journals.sagepub.com/doi/full/10.1177/13684310211067980#body-ref-bibr26-13684310211067980]</w:t>
      </w:r>
      <w:r w:rsidR="00E92D46" w:rsidRPr="00C90932">
        <w:rPr>
          <w:rFonts w:eastAsia="Times New Roman"/>
        </w:rPr>
        <w:t xml:space="preserve"> // Micah</w:t>
      </w:r>
    </w:p>
    <w:p w14:paraId="3430B588" w14:textId="77777777" w:rsidR="00557D7C" w:rsidRPr="00C90932" w:rsidRDefault="00557D7C" w:rsidP="00C90932">
      <w:pPr>
        <w:rPr>
          <w:rFonts w:eastAsia="Times New Roman"/>
          <w:sz w:val="24"/>
          <w:szCs w:val="24"/>
        </w:rPr>
      </w:pPr>
    </w:p>
    <w:p w14:paraId="4BB0F9FF" w14:textId="77777777" w:rsidR="00557D7C" w:rsidRPr="00C5301A" w:rsidRDefault="00557D7C" w:rsidP="00C90932">
      <w:pPr>
        <w:rPr>
          <w:rStyle w:val="StyleUnderline"/>
        </w:rPr>
      </w:pPr>
      <w:r w:rsidRPr="00C90932">
        <w:rPr>
          <w:rFonts w:eastAsia="Times New Roman"/>
          <w:sz w:val="16"/>
          <w:szCs w:val="24"/>
        </w:rPr>
        <w:t>At first glance, apocalyptic narratives seem to offer little in terms of thinking the Anthropocene in anti-racist terms. However, as we demonstrate here, this conclusion is premature. There are good reasons for thinking that the apocalypse offers a fecund framework for developing critical social theory in the face of climate catastrophe</w:t>
      </w:r>
      <w:r w:rsidRPr="00C90932">
        <w:rPr>
          <w:rFonts w:eastAsia="Times New Roman"/>
          <w:sz w:val="24"/>
          <w:szCs w:val="24"/>
        </w:rPr>
        <w:t xml:space="preserve">. </w:t>
      </w:r>
      <w:r w:rsidRPr="00C5301A">
        <w:rPr>
          <w:rStyle w:val="StyleUnderline"/>
        </w:rPr>
        <w:t>Visions of apocalyptic futures have long been a means by which subaltern groups have conceptualised the world. From the millenarian peasant movements of early modern Europe to the rise of Rastafarianism in the postcolonial Caribbean, accounts of the end of the world critique the injustice of actually existing society and posit an emancipated society in the future. More specifically, when thinking about the relationship between the apocalypse, the Anthropocene and critical social theory, there are compelling reasons to focus on the African American theoretical and cultural tradition.</w:t>
      </w:r>
      <w:r w:rsidRPr="00C90932">
        <w:rPr>
          <w:rFonts w:eastAsia="Times New Roman"/>
          <w:sz w:val="16"/>
          <w:szCs w:val="24"/>
          <w:u w:val="single"/>
        </w:rPr>
        <w:t xml:space="preserve"> </w:t>
      </w:r>
      <w:r w:rsidRPr="00C90932">
        <w:rPr>
          <w:rFonts w:eastAsia="Times New Roman"/>
          <w:sz w:val="16"/>
          <w:szCs w:val="24"/>
        </w:rPr>
        <w:t xml:space="preserve">The place of apocalyptic narratives in African American thought is well known. Images of the end of the world inflect the theology developed in the times of slavery (Baker, 1990), the work of writers like Toni Morrison and James Baldwin (Montgomery, 1996) and the music of Tupac and Public Enemy (Ford, 2018). Furthermore, scholars like Kimberly Smith (2007), Dianne Glave (2010) and Kimberly Ruffin (2010) have recuperated neglected environmental tendencies in the African American tradition, drawing out the way in which the experience of racial violence has fostered a distinctive understanding of ecological questions. So, Black social thought offers a promising resource for thinking the apocalypse and the Anthropocene together in anti-racist terms. However, the apocalyptic imaginaries and environmental concepts of Black thinkers are seldom considered comparatively. Given this, what happens when Black apocalypse and Black environmentalism are brought together? How does </w:t>
      </w:r>
      <w:r w:rsidRPr="00C90932">
        <w:rPr>
          <w:rFonts w:eastAsia="Times New Roman"/>
          <w:sz w:val="14"/>
          <w:szCs w:val="24"/>
        </w:rPr>
        <w:t>the confluence of these two elements change the narratives of the end of the world circulating in contemporary culture</w:t>
      </w:r>
      <w:r w:rsidRPr="00C90932">
        <w:rPr>
          <w:rFonts w:eastAsia="Times New Roman"/>
          <w:sz w:val="16"/>
          <w:szCs w:val="16"/>
        </w:rPr>
        <w:t>? In response to these questions, this article argues that African American thinkers have reinvented climate apocalypse in three ways. The first section examines the revelatory function of apocalyptic narratives or the idea that they disclose something fundamental about the social world</w:t>
      </w:r>
      <w:r w:rsidRPr="00C5301A">
        <w:rPr>
          <w:rStyle w:val="StyleUnderline"/>
        </w:rPr>
        <w:t>. By reading Antebellum slave narratives that focus on the entwinement of racial violence and environmental destruction in the post-apocalyptic landscapes of the American South, we trace how the experience of chattel slavery subverts and reforms the capacity of images of collapse to reveal the hidden truth of contemporary society</w:t>
      </w:r>
      <w:r w:rsidRPr="00C90932">
        <w:rPr>
          <w:rFonts w:eastAsia="Times New Roman"/>
          <w:sz w:val="16"/>
          <w:szCs w:val="24"/>
        </w:rPr>
        <w:t>. The second section turns to the association between the end of the world and accounts of radical social transformation</w:t>
      </w:r>
      <w:r w:rsidRPr="00C90932">
        <w:rPr>
          <w:rFonts w:eastAsia="Times New Roman"/>
          <w:sz w:val="24"/>
          <w:szCs w:val="24"/>
        </w:rPr>
        <w:t xml:space="preserve">. </w:t>
      </w:r>
      <w:r w:rsidRPr="00C90932">
        <w:rPr>
          <w:rFonts w:eastAsia="Times New Roman"/>
          <w:sz w:val="10"/>
          <w:szCs w:val="24"/>
        </w:rPr>
        <w:t xml:space="preserve">We focus on W. E. B. Du Bois’s short story ‘The Comet’, which both exemplifies and questions the millenarian undercurrent of apocalyptic narratives. Du Bois, by subtly interweaving the past experience of slavery into a future tale of a destroyed planet, suggests that even the end of the world may not spell the end of the plantation system. In other words, the apocalypse, in and of itself, has little transformative power; it will not bring rebirth or renewal. Finally, the third section posits the apocalypse not as an event to be endlessly deferred or fatalistically expected but instead endured and escaped. By bringing together the modes of existence developed in maroon communities of fugitive slaves with Octavia Butler’s account of a drought-stricken California in the near future, we suggest that the cycle of catastrophes is to be weathered until such a time that it can be blasted open. In the conclusion, we reflect on the metaphorical form of utopianism associated with contemporary climate marronage; escape can be evoked but not concretely imagined. Before moving to this argument, a few preliminary points should be made. For the purposes of this article, the African American theoretical and cultural tradition refers to texts produced by enslaved peoples and their descendants that address the effects of the Middle Passage and its aftermath. Following Cornel West (2003, p. 11), we can thus define Black social thought as ‘the interpretation of Afro-American history, highlighting the cultural heritage and political struggles, which provides desirable norms that should regulate responses to particular challenges presently confronting Afro-Americans’. So, when talking about Black environmentalism, we mean accounts of ecological destruction that foreground its relationship to the continuum of events beginning with the Middle Passage and chattel slavery and running through to Jim Crow segregation and mass incarceration. In a similar fashion, Black apocalypse refers to visions in which mass devastation and societal breakdown are grounded in this sequence of racialised oppression. Two caveats should be added to this definition of Black social thought. First, a great diversity of forms is examined in this article, including slave narratives, post-apocalyptic fiction, hip hop and Afrofuturist film. Prima facie, these modes of expression may appear at some distance from the traditional forms of social theory (the essay, the article, the monograph and so on). However, as indicated by West’s reference to cultural heritage, it would be wrong to exclude, in an a priori fashion, certain forms of Black expression from the field of social theory. In Barbara Christian’s (1987, p. 52) words, Black ‘theorizing […] is often in narrative forms, in the stories we create, in riddles and proverbs, in the play with language, since dynamic rather than fixed ideas seem more to our liking’. To do justice to the dynamism of Black thought, the expansive approach adopted by this article is required. Second, Black social thought is not monolithic or insular. Instead, as Patricia Hill Collins (2002, p. 21) comments of Black feminism, it ‘encompasses diverse and often contradictory meanings’. As we highlight, there are internal differences in the Black theoretical and cultural tradition, such that the meaning of the climate apocalypse for a heterosexual Black man like Du Bois betrays forms of heteronormativity and patriarchy. Furthermore, there are kinships between Black environmentalism and the ecological thinking developed by other oppressed groups, something highlighted by our mention of Maroon-Amerindian formations in the conclusion. Plantation wastelands In the eighteenth and nineteenth centuries, the plantation system of the American South faced increasingly serious environmental crises. The export-driven commodity production of the Southern plantation, one node in a network of global capitalism, relied on the exploitation of slave labour and the intense cultivation of monocrops, such as tobacco and cotton (Woods, 1998). The rift in ‘the metabolic interaction between man and the earth’ that Karl Marx ([1867] 1976, p. 637) witnessed in nineteenth-century England, where capitalistic agriculture resulted in the degradation of previously fertile farmland (see Foster, 2020), and that Amílcar Cabral (1988) pursued with his agronomy of liberation in Western Africa in the 1950s (see César, 2018), also occurred in the American South. </w:t>
      </w:r>
      <w:r w:rsidRPr="00C5301A">
        <w:rPr>
          <w:rStyle w:val="StyleUnderline"/>
        </w:rPr>
        <w:t>For example, over the course of the eighteenth and early nineteenth centuries, the previously rich lands of Virginia and Maryland were systematically depleted by tobacco, a crop notorious for its mineral-draining power (Kulikoff, 2001). In more southerly states, the cultivation of cotton had a similar effect, the ruthless exploitation of the land pushing the South to ‘the brink of an ecological – and thus an economic – crisis’</w:t>
      </w:r>
      <w:r w:rsidRPr="00C5301A">
        <w:t xml:space="preserve"> by the </w:t>
      </w:r>
      <w:r w:rsidRPr="00C90932">
        <w:rPr>
          <w:rFonts w:eastAsia="Times New Roman"/>
          <w:sz w:val="16"/>
          <w:szCs w:val="24"/>
        </w:rPr>
        <w:t xml:space="preserve">beginning of the Civil War (Maudlin, 2018, p. 12). The economics of chattel slavery and settler colonialism, a seemingly endless supply of stolen labour from Africa and stolen land from Indigenous peoples, meant that there was very little incentive for planters to maintain the soil. The planters were not ‘landlords but “laborlords”‘, a ‘geographically rootless’ class who exhausted one piece of the earth before moving their enslaved workers to fresh land (Wright, 1986, p. 18). To borrow Saidiya Hartman’s (2007) term, one of the afterlives of slavery was a landscape littered with the ghosts of the plantation. The planters, in sapping one piece of land and then moving onto the next, produced a world punctuated by abandoned buildings, empty fields and eroded soil. As Françoise Vergès (2017, p. 73) notes more generally, the Southern system of agriculture established a close connection ‘between the Western conception of nature as “cheap” and the global organization of a “cheap”, racialized, disposable workforce’, the two bound together in the footloose disposition of the planters. For enslaved peoples, the unsustainable nature of this double disposability was clear. </w:t>
      </w:r>
      <w:r w:rsidRPr="00C5301A">
        <w:rPr>
          <w:rStyle w:val="StyleUnderline"/>
        </w:rPr>
        <w:t>While masters and overseers ‘strolled along the borders of the fields’, the slave labourers ‘turned the soils, tended the plants, and harvested the crops’ and, in this way, ‘acquired a firsthand knowledge of the cultivated landscape on the plantation’ (Stewart, 2006, p. 11). To use Kathryn Yusoff’s (2018, p. ii) words, the ‘proximity of black and brown bodies’ to the soil produced a ‘forced intimacy with the inhuman’. As a consequence, a sense of kinship with the abused world of nonhuman nature was fostered in African American culture.</w:t>
      </w:r>
      <w:r w:rsidRPr="00C90932">
        <w:rPr>
          <w:rFonts w:eastAsia="Times New Roman"/>
          <w:sz w:val="24"/>
          <w:szCs w:val="24"/>
        </w:rPr>
        <w:t xml:space="preserve"> </w:t>
      </w:r>
      <w:r w:rsidRPr="00C90932">
        <w:rPr>
          <w:rFonts w:eastAsia="Times New Roman"/>
          <w:sz w:val="16"/>
          <w:szCs w:val="24"/>
        </w:rPr>
        <w:t xml:space="preserve">Such solidarity can be seen in the sustainable agriculture practices developed on small garden plots (Carney, 2021) and the affection for farmyard animals voiced in some slave narratives and testimonies (Bennett, 2020). The African American attentiveness to the travails of the natural world translated into a concern for the ecological wreckages left by slavery, something that is particularly evident in slave narratives of the Antebellum period. For example, in the opening passage of Frederick Douglass’s My Bondage and My Freedom (1855), he reflects on the wasteland of his childhood home in Talbot County, Maryland. Douglass (1855, p. 33) reports that the region is ‘remarkable for nothing’ except the ‘worn-out, sandy, desert-like appearance of its soil, the general dilapidation of its farms and fences, the indigent and spiritless character of its inhabitants, and the prevalence of ague and fever’. The coming together of environmental degradation, architectural dilapidation and human deprivation produces an image of a post-apocalyptic wasteland, a world where some great force has swept through greedily sapping all energy. </w:t>
      </w:r>
      <w:r w:rsidRPr="00C5301A">
        <w:rPr>
          <w:rStyle w:val="StyleUnderline"/>
        </w:rPr>
        <w:t>The unsustainability of the plantation system is revealed in Douglass’s narrative, the process of ravenously stripping the world of resources, both human and nonhuman, steadily pushing the planter class over an ecological cliff edge (</w:t>
      </w:r>
      <w:r w:rsidRPr="00C90932">
        <w:rPr>
          <w:rFonts w:eastAsia="Times New Roman"/>
          <w:sz w:val="16"/>
          <w:szCs w:val="24"/>
        </w:rPr>
        <w:t xml:space="preserve">Ellis, 2014). Charles Ball’s slave narrative Slavery in the United States (1837) reiterates Douglass’s image of a wasted planet denuded of life (Davis et al., 2019). Ball (1837, pp. 47–48) describes Virginia and Maryland as lands that had once been ‘fertile and productive’ but, after generations of being exploited by tobacco planters, were now in a state of ‘desolation and poverty’. Abandoned by the former planters, who had taken their enslaved labourers to new pastures, Ball (1837, p. 51) witnessed a world defined by absence, desolation and death: This destructive crop [tobacco] ruins the best land in a short time; […] the traveller will see large old family mansions of weather-beaten and neglected appearance, standing in the middle of vast fields of many hundred acres, the fences of which have rotted away. The ‘folly and wickedness of slavery’ is written into the landscape of the American South; the ‘aguish and sufferings’ of the slave system are evident from the topographical ruins it has produced (Ball, 1837, p. 49). Ball paints a picture of a shattered world, in which the plantation system steadily devours itself, each new crop cycle undermining the basis on which the wealth and splendour of the masters was built. These slave narratives, once read from the vantage point of the metabolic interaction between human beings and the earth, contain a </w:t>
      </w:r>
      <w:r w:rsidRPr="00C5301A">
        <w:rPr>
          <w:rStyle w:val="StyleUnderline"/>
        </w:rPr>
        <w:t>warning. The post-apocalyptic wastelands produced by the plantation system offer a foretaste of the carbon-induced climate apocalypse of the contemporary moment. The fact that the logic underpinning the plantation system has an affinity with the one that propels contemporary climate devastation becomes clear in the work of Ta-Nehisi Coates.</w:t>
      </w:r>
      <w:r w:rsidRPr="00C90932">
        <w:rPr>
          <w:rFonts w:eastAsia="Times New Roman"/>
          <w:sz w:val="24"/>
          <w:szCs w:val="24"/>
        </w:rPr>
        <w:t xml:space="preserve"> </w:t>
      </w:r>
      <w:r w:rsidRPr="00C90932">
        <w:rPr>
          <w:rFonts w:eastAsia="Times New Roman"/>
          <w:sz w:val="16"/>
          <w:szCs w:val="24"/>
        </w:rPr>
        <w:t>At the end of Between the World and Me (2015), a letter to his son, Coates draws out how the instrumentalism of plantation slavery, a key component in the emergence of the capitalist world system, has become a global force. Whereas slavery was ‘caged by technology and by the limits of horsepower and wind’, it helped lay the groundwork for ‘the damming of seas for voltage, the extraction of coal, the transmuting of oil into food’ (Coates, 2015, p. 150). The destructive ecological logics of the contemporary world cannot be reduced to those developed on the plantation, but the latter is one lens through which the consequences of the former can be approached and comprehended. For Coates (2015, pp. 150–151), in a world where ‘[p]lunder has matured into habit and addiction’, where stolen labour and stolen land undergird an entire social order, it is no surprise that the wastelands of slavery are coming to haunt the globe as a whole: ‘Something more fierce than Marcus Garvey is riding on the whirlwind</w:t>
      </w:r>
      <w:r w:rsidRPr="00C90932">
        <w:rPr>
          <w:rFonts w:eastAsia="Times New Roman"/>
          <w:sz w:val="24"/>
          <w:szCs w:val="24"/>
        </w:rPr>
        <w:t xml:space="preserve">. </w:t>
      </w:r>
      <w:r w:rsidRPr="00C5301A">
        <w:rPr>
          <w:rStyle w:val="Emphasis"/>
        </w:rPr>
        <w:t xml:space="preserve">Something more awful than all our African ancestors is rising with the seas’. </w:t>
      </w:r>
      <w:r w:rsidRPr="00C5301A">
        <w:rPr>
          <w:rStyle w:val="StyleUnderline"/>
        </w:rPr>
        <w:t>In other words, the broken bodies and ruined topographies of the past find an echo in the catastrophes on the horizon; the plantation system continues to ravage the earth, albeit in a ghostly, hidden fashion. In</w:t>
      </w:r>
      <w:r w:rsidRPr="00C90932">
        <w:rPr>
          <w:rFonts w:eastAsia="Times New Roman"/>
          <w:sz w:val="14"/>
          <w:szCs w:val="24"/>
        </w:rPr>
        <w:t xml:space="preserve"> one sense, Coates’s invocation of plantation wastelands as a figure to understand the climate catastrophe takes up one of the key functions of apocalyptic narratives: revelation. The word apocalypse is derived from the Greek term for unveiling and disclosing (apokálypsis), with part of the function of apocalyptic visions to draw out ‘aspects of the human condition’ previously hidden behind a ‘protective screen’ (Hall, 2009, p. 3). The revelatory function of the apocalypse becomes particularly significant in the context of the climate crisis. Ecologically destructive everyday practices – meat consumption, the ownership of private cars, frequent air travel and so on – have become normalised in the Global North, but their consequences are masked (Browne, 2018). While climate denialism has been largely discredited, this does not mean that the effects of these practices are transparent. In Ulrich Brand and Markus Wissen’s (2021, p. 5) words, an environmentally unsustainable mode of life has successfully hidden ‘the destruction in which it is rooted’ through the ‘externalization of material, social and ecological costs’. This externalisation process takes place both geographically, with the most toxic forms of industry and violent modes of extraction located in the Global South, and temporally, with actions in the present having their most destructive effects in the future</w:t>
      </w:r>
      <w:r w:rsidRPr="00C90932">
        <w:rPr>
          <w:rFonts w:eastAsia="Times New Roman"/>
          <w:sz w:val="24"/>
          <w:szCs w:val="24"/>
        </w:rPr>
        <w:t xml:space="preserve">. </w:t>
      </w:r>
      <w:r w:rsidRPr="00C5301A">
        <w:rPr>
          <w:rStyle w:val="StyleUnderline"/>
        </w:rPr>
        <w:t>Visions of post-apocalyptic plantations draw out the inner destructiveness of the dominant tendencies of the contemporary moment, using an image from the past to highlight that ecological consequences cannot be forever externalised. Accounts of a world ravaged by the twin disposability of human and nonhuman nature illuminate the telos of the current social order. The planet’s climate system is about ‘to punish us with all the ferocity we have fed it’, the latent ecological violence of racial capitalism on the cusp of breaking out into the open (Wallace-Wells, 2019, p. 211). To some degree, the slave narratives of the nineteenth century fulfil the revelatory function of climate apocalypse.</w:t>
      </w:r>
      <w:r w:rsidRPr="00C90932">
        <w:rPr>
          <w:rFonts w:eastAsia="Times New Roman"/>
          <w:sz w:val="24"/>
          <w:szCs w:val="24"/>
        </w:rPr>
        <w:t xml:space="preserve"> </w:t>
      </w:r>
      <w:r w:rsidRPr="00C90932">
        <w:rPr>
          <w:rFonts w:eastAsia="Times New Roman"/>
          <w:sz w:val="16"/>
          <w:szCs w:val="24"/>
        </w:rPr>
        <w:t xml:space="preserve">The ultimate truth of our world has already been witnessed on the desolate and abandoned farmlands of Virginia and Maryland. Yet, there is a note of scepticism in these African American accounts about revelation. Coates’s neoslave narrative The Water Dancer (2019), which focuses on a failing tobacco plantation in the nineteenth century, is interesting in this context. The neoslave narrative, a genre that revives and reworks the Antebellum slave narrative, emerged in the 1980s in the aftermath of the disappointment of the Civil Rights movement as a means of grappling with the continuities in the African American experience (Rushdy, 1999). Continuing this tradition, The Water Dancer reflects on how, despite the profound changes between the nineteenth and twenty-first centuries, plantation wastelands retain a hold in the time of climate catastrophe. On the one hand, the forced intimacy with the land means that, for enslaved people and their ancestors, there is nothing secret or hidden about the destructiveness of the plantation system. African American labourers ‘knew what the land whispered, because none lived closer to the land than those who worked it’ (Coates, 2019, p. 236). </w:t>
      </w:r>
      <w:r w:rsidRPr="00C5301A">
        <w:rPr>
          <w:rStyle w:val="StyleUnderline"/>
        </w:rPr>
        <w:t>On the other hand, the revelations of the climate apocalypse have failed to break the central illusion of the plantation system: that labour and land can be exploited without consequence. The planter class, and white society more generally, are ‘lost in dreams’, unable to imagine a mode of life in which the metabolic interaction between humanity and the earth is reconstituted on a new basis (Coates, 2019, p. 653). From the perspective of white supremacy and racial capitalism, the apocalypse is an impossibility, such that the post-apocalyptic landscapes of the plantation fail to pique a sense of recognition or concern.</w:t>
      </w:r>
      <w:r w:rsidRPr="00C90932">
        <w:rPr>
          <w:rFonts w:eastAsia="Times New Roman"/>
          <w:sz w:val="24"/>
          <w:szCs w:val="24"/>
        </w:rPr>
        <w:t xml:space="preserve"> </w:t>
      </w:r>
      <w:r w:rsidRPr="00C90932">
        <w:rPr>
          <w:rFonts w:eastAsia="Times New Roman"/>
          <w:sz w:val="16"/>
          <w:szCs w:val="24"/>
        </w:rPr>
        <w:t>The scepticism about the revelatory function of apocalypse stems from the peculiar temporality of Black apocalyptic narratives. In N. K. Jemisin’s words, it is ‘the apocalypse again and again and again’, each new wave of racial violence and environmental destruction reprising and replaying the catastrophic coming together of cheap nature and cheap labour in the plantation system (Hurley &amp; Jemisin, 2018, p. 472). The recursive, cyclical nature of the apocalypse means that, for African Americans, the end of the world has given everything that it has to give and any hope that images of ecologically devastated landscapes will inspire a transformation in white consciousness has long been extinguished</w:t>
      </w:r>
      <w:r w:rsidRPr="00C90932">
        <w:rPr>
          <w:rFonts w:eastAsia="Times New Roman"/>
          <w:sz w:val="24"/>
          <w:szCs w:val="24"/>
        </w:rPr>
        <w:t xml:space="preserve">. </w:t>
      </w:r>
      <w:r w:rsidRPr="00C5301A">
        <w:rPr>
          <w:rStyle w:val="StyleUnderline"/>
        </w:rPr>
        <w:t>Those who failed to be moved by images of vanquished plantations in the past will not be pushed to action by visions of the catastrophes on the horizon. The impending climate catastrophe does not represent a fundamentally novel scenario. Instead, the apocalypse on the horizon in the twenty-first century recalls and recharges the rifts that have enveloped the planet since the Middle Passage. The revelatory power of the apocalypse is exhausted, each new return to catastrophe confirming the impotence of the figure of the end of the world.</w:t>
      </w:r>
    </w:p>
    <w:p w14:paraId="5FB283E0" w14:textId="77777777" w:rsidR="00BD3684" w:rsidRPr="00C90932" w:rsidRDefault="00BD3684" w:rsidP="00C90932">
      <w:pPr>
        <w:rPr>
          <w:rFonts w:eastAsia="Times New Roman"/>
          <w:sz w:val="24"/>
          <w:szCs w:val="24"/>
          <w:u w:val="single"/>
        </w:rPr>
      </w:pPr>
    </w:p>
    <w:p w14:paraId="0EAD305D" w14:textId="4142B0C0" w:rsidR="00BD3684" w:rsidRPr="00C90932" w:rsidRDefault="00BD3684" w:rsidP="00C90932">
      <w:pPr>
        <w:pStyle w:val="Heading3"/>
        <w:rPr>
          <w:rFonts w:eastAsia="Times New Roman"/>
        </w:rPr>
      </w:pPr>
      <w:r w:rsidRPr="00C90932">
        <w:rPr>
          <w:rFonts w:eastAsia="Times New Roman"/>
        </w:rPr>
        <w:t xml:space="preserve">AT: </w:t>
      </w:r>
      <w:r w:rsidR="0092333F" w:rsidRPr="00C90932">
        <w:rPr>
          <w:rFonts w:eastAsia="Times New Roman"/>
        </w:rPr>
        <w:t>Fiat Good</w:t>
      </w:r>
    </w:p>
    <w:p w14:paraId="7DC9C980" w14:textId="6C752327" w:rsidR="0092333F" w:rsidRPr="00C90932" w:rsidRDefault="0092333F" w:rsidP="00C90932">
      <w:pPr>
        <w:pStyle w:val="Heading4"/>
      </w:pPr>
      <w:r w:rsidRPr="00C90932">
        <w:t xml:space="preserve">Prefer </w:t>
      </w:r>
      <w:r w:rsidR="00911023" w:rsidRPr="00C90932">
        <w:t xml:space="preserve">the Post Memory of the 1NC </w:t>
      </w:r>
      <w:r w:rsidR="006F6056" w:rsidRPr="00C90932">
        <w:t>–</w:t>
      </w:r>
      <w:r w:rsidR="00911023" w:rsidRPr="00C90932">
        <w:t xml:space="preserve"> </w:t>
      </w:r>
      <w:r w:rsidR="006F6056" w:rsidRPr="00C90932">
        <w:t xml:space="preserve">its far more mobilizing and skill building than fiat ever could be. </w:t>
      </w:r>
    </w:p>
    <w:p w14:paraId="602B2E92" w14:textId="79578DB7" w:rsidR="0092333F" w:rsidRPr="00C5301A" w:rsidRDefault="0092333F" w:rsidP="00C5301A">
      <w:r w:rsidRPr="00C5301A">
        <w:rPr>
          <w:rStyle w:val="Style13ptBold"/>
        </w:rPr>
        <w:t>Del Sol 23</w:t>
      </w:r>
      <w:r w:rsidRPr="00C5301A">
        <w:t xml:space="preserve"> [Lisa Del Sol is a 2023 graduate from Columbia’s English and Comparative Literature Department where she received her PhD. She currently works in Columbia’s Department of Undergraduate Research and Fellowships, where she manages Columbia’s prestigious academic scholar groups such as Laidlaw, Rabi, and the Humanities Research Scholars. She is also an MMUF scholar that is currently an academic advisor for Columbia’s Mellon Mays Undergraduate Fellowship. “Can I Get A Witness—Living While Black Death is Trending”] cmeow</w:t>
      </w:r>
      <w:r w:rsidR="006F6056" w:rsidRPr="00C5301A">
        <w:t xml:space="preserve"> – recut //Micah</w:t>
      </w:r>
    </w:p>
    <w:p w14:paraId="73A6882E" w14:textId="77777777" w:rsidR="0092333F" w:rsidRPr="00C5301A" w:rsidRDefault="0092333F" w:rsidP="00C5301A">
      <w:pPr>
        <w:rPr>
          <w:sz w:val="16"/>
        </w:rPr>
      </w:pPr>
      <w:r w:rsidRPr="00C90932">
        <w:rPr>
          <w:u w:val="single"/>
        </w:rPr>
        <w:t>Black journalism directed toward Black readers was a crucial part of Ida B. Wells’ writing</w:t>
      </w:r>
      <w:r w:rsidRPr="00C5301A">
        <w:rPr>
          <w:sz w:val="16"/>
        </w:rPr>
        <w:t xml:space="preserve">. She is a key figure in the discussion of Black journalism, its directive, and its popularization amongst Black readers specifically. She wanted her writing to be accessible to Black audiences: "I wrote in a plain common-sense way on the things which concerned our people. Knowing that their education was limited, I never used a word of two syllables where one would serve the purpose." Her </w:t>
      </w:r>
      <w:r w:rsidRPr="00C90932">
        <w:rPr>
          <w:u w:val="single"/>
        </w:rPr>
        <w:t>writing was widely circulated and read by Black audiences because the white press (mainstream press) didn’t see Black people as an audience</w:t>
      </w:r>
      <w:r w:rsidRPr="00C5301A">
        <w:rPr>
          <w:sz w:val="16"/>
        </w:rPr>
        <w:t xml:space="preserve">. </w:t>
      </w:r>
      <w:r w:rsidRPr="00C90932">
        <w:rPr>
          <w:u w:val="single"/>
        </w:rPr>
        <w:t xml:space="preserve">So, for the most part, the "white press ignored Black people unless they were committing crimes or being lynched," which further demonstrates how the press continued to shape </w:t>
      </w:r>
      <w:r w:rsidRPr="00C90932">
        <w:rPr>
          <w:b/>
          <w:bCs/>
          <w:u w:val="single"/>
        </w:rPr>
        <w:t>the narrative around lynching and manipulate the public’s perception of anti-black violence, contributing to its normalization</w:t>
      </w:r>
      <w:r w:rsidRPr="00C90932">
        <w:rPr>
          <w:u w:val="single"/>
        </w:rPr>
        <w:t>.</w:t>
      </w:r>
      <w:r w:rsidRPr="00C5301A">
        <w:rPr>
          <w:sz w:val="16"/>
        </w:rPr>
        <w:t xml:space="preserve"> </w:t>
      </w:r>
      <w:r w:rsidRPr="00C90932">
        <w:rPr>
          <w:u w:val="single"/>
        </w:rPr>
        <w:t>Ida B. Wells's investigative journalism was a vital part of documenting lynching in an era when government officials were not only complicit in lynching but also the fact that the practice was severely under-reported</w:t>
      </w:r>
      <w:r w:rsidRPr="00C5301A">
        <w:rPr>
          <w:sz w:val="16"/>
        </w:rPr>
        <w:t xml:space="preserve">. Her journalism also worked with modern innovations, especially the use of statistics. Wells, in her own investigation, created what we would refer to today as spreadsheets to document lynchings. She would then "aggregate all the cases of lynchings that she could find in the newspapers" and compare that to the data that she collected.105 Her research ultimately showed that the narrative of Black men as predators of white women, which circulated in white newspapers, was a false justification for lynching. </w:t>
      </w:r>
      <w:r w:rsidRPr="00C90932">
        <w:rPr>
          <w:u w:val="single"/>
        </w:rPr>
        <w:t>Wells’ personal experience with lynching also revealed that this was a lie, that lynching was white terrorism.</w:t>
      </w:r>
      <w:r w:rsidRPr="00C5301A">
        <w:rPr>
          <w:sz w:val="16"/>
        </w:rPr>
        <w:t xml:space="preserve"> </w:t>
      </w:r>
    </w:p>
    <w:p w14:paraId="56C33130" w14:textId="77777777" w:rsidR="0092333F" w:rsidRPr="00C90932" w:rsidRDefault="0092333F" w:rsidP="00C5301A">
      <w:pPr>
        <w:rPr>
          <w:u w:val="single"/>
        </w:rPr>
      </w:pPr>
      <w:r w:rsidRPr="00C5301A">
        <w:rPr>
          <w:sz w:val="16"/>
        </w:rPr>
        <w:t xml:space="preserve">Southern Horrors investigated 728 lynchings in the South. Through her investigative research, Wells found that only a third of lynching victims had been charged with rape, "to say nothing of those of that one-third who were innocent of the charge."107 Southern horrors also revealed the refusal of white people to hold white rapists accountable for the crimes that she investigated related to the rapes, murders, and lynchings of Black women and girls. Ida B. Wells broke boundaries with her journalism because she was the only person discussing rape and interracial sexuality during this period.108 </w:t>
      </w:r>
      <w:r w:rsidRPr="00C90932">
        <w:rPr>
          <w:u w:val="single"/>
        </w:rPr>
        <w:t>Ida B. Wells was a controversial investigative journalist because of the subject matter, but ultimately a pioneer that must be included in discussions of the circulation of Black journalism. In her newspaper articles, she would often call for Black people to boycott racist institutions and stores, and after the lynchings of her friends, for Black people to abandon the city of Memphis.</w:t>
      </w:r>
      <w:r w:rsidRPr="00C5301A">
        <w:rPr>
          <w:sz w:val="16"/>
        </w:rPr>
        <w:t xml:space="preserve"> She was further determined to abandon Memphis after a white mob destroyed her newspaper office and threatened to kill her.109 Ida B. Wells relocated to Chicago for her own safety, but she continued to protest injustice and write. She published A Red Record. Tabulated Statistics and Alleged Causes of Lynchings in the United States, 1892-1893-1894 making the argument that the resurgence of white mob violence was directly related to Black people gaining positions of power. </w:t>
      </w:r>
      <w:r w:rsidRPr="00C90932">
        <w:rPr>
          <w:u w:val="single"/>
        </w:rPr>
        <w:t xml:space="preserve">Black press for Black people has always been a site of protest and activism, and as we move into digital modes of journalism in the present, we can begin to articulate a connection between the two while also observing the limitations of agency in Black digital enclaves. </w:t>
      </w:r>
    </w:p>
    <w:p w14:paraId="1942EE9C" w14:textId="77777777" w:rsidR="0092333F" w:rsidRPr="00C5301A" w:rsidRDefault="0092333F" w:rsidP="00C5301A">
      <w:pPr>
        <w:rPr>
          <w:sz w:val="16"/>
        </w:rPr>
      </w:pPr>
      <w:r w:rsidRPr="00C90932">
        <w:rPr>
          <w:u w:val="single"/>
        </w:rPr>
        <w:t>The Black press is also connected to postmemory, both emerging as a response to white supremacist violence and terrorism. It is an unfortunate reality of the Black experience to live under the constant threat of racial violence, which has been carefully documented and committed to memory by Black people. Postmemory is crucial in navigating and interpreting these moments of violence, while it also functions as a tool to critique and respond to that violence.</w:t>
      </w:r>
      <w:r w:rsidRPr="00C5301A">
        <w:rPr>
          <w:sz w:val="16"/>
        </w:rPr>
        <w:t xml:space="preserve"> </w:t>
      </w:r>
      <w:r w:rsidRPr="00C90932">
        <w:rPr>
          <w:u w:val="single"/>
        </w:rPr>
        <w:t>It "makes visible what has been obscured, what has been forgotten by white media and their specific renderings of history</w:t>
      </w:r>
      <w:r w:rsidRPr="00C5301A">
        <w:rPr>
          <w:sz w:val="16"/>
        </w:rPr>
        <w:t xml:space="preserve">"110: </w:t>
      </w:r>
      <w:r w:rsidRPr="00C90932">
        <w:rPr>
          <w:u w:val="single"/>
        </w:rPr>
        <w:t>Critical black memory emerges out of and is motivated by both survival—the continued ability to struggle and the faith that such struggle will secure a brighter future—and failure—the persistence of peril and renewed forms of racial inequity and subjugation. On the one hand, memory offers a space to organize for the future while making a critical assessment of the past and present</w:t>
      </w:r>
      <w:r w:rsidRPr="00C5301A">
        <w:rPr>
          <w:sz w:val="16"/>
        </w:rPr>
        <w:t xml:space="preserve">. </w:t>
      </w:r>
    </w:p>
    <w:p w14:paraId="37C886ED" w14:textId="77777777" w:rsidR="0092333F" w:rsidRPr="00C90932" w:rsidRDefault="0092333F" w:rsidP="00C5301A">
      <w:pPr>
        <w:rPr>
          <w:u w:val="single"/>
        </w:rPr>
      </w:pPr>
      <w:r w:rsidRPr="00C5301A">
        <w:rPr>
          <w:sz w:val="16"/>
        </w:rPr>
        <w:t xml:space="preserve">For African Americans, in particular, who have traditionally been denied access to formal historical institutions, memory has been more than a mere repository of experience. </w:t>
      </w:r>
      <w:r w:rsidRPr="00C90932">
        <w:rPr>
          <w:u w:val="single"/>
        </w:rPr>
        <w:t>Postmemory</w:t>
      </w:r>
      <w:r w:rsidRPr="00C5301A">
        <w:rPr>
          <w:sz w:val="16"/>
        </w:rPr>
        <w:t xml:space="preserve"> has challenged official stories and given voice to historical silences. It has attempted to suture continuity in the face of rupture and fragmentation. It </w:t>
      </w:r>
      <w:r w:rsidRPr="00C90932">
        <w:rPr>
          <w:u w:val="single"/>
        </w:rPr>
        <w:t>has proffered futurity</w:t>
      </w:r>
      <w:r w:rsidRPr="00C5301A">
        <w:rPr>
          <w:sz w:val="16"/>
        </w:rPr>
        <w:t xml:space="preserve"> woven </w:t>
      </w:r>
      <w:r w:rsidRPr="00C90932">
        <w:rPr>
          <w:u w:val="single"/>
        </w:rPr>
        <w:t>out of</w:t>
      </w:r>
      <w:r w:rsidRPr="00C5301A">
        <w:rPr>
          <w:sz w:val="16"/>
        </w:rPr>
        <w:t xml:space="preserve"> the ineffable terror of </w:t>
      </w:r>
      <w:r w:rsidRPr="00C90932">
        <w:rPr>
          <w:u w:val="single"/>
        </w:rPr>
        <w:t>the past. The importance of postmemory is that it also provides a space for the Black community to organize and learn from these inevitable and connected instances of violence.</w:t>
      </w:r>
      <w:r w:rsidRPr="00C5301A">
        <w:rPr>
          <w:sz w:val="16"/>
        </w:rPr>
        <w:t xml:space="preserve"> Despite the shared reality that Black life exists under the continued threat of racially inflicted violence, </w:t>
      </w:r>
      <w:r w:rsidRPr="00C90932">
        <w:rPr>
          <w:u w:val="single"/>
        </w:rPr>
        <w:t>it has also produced a culture of communal mourning for Black people.</w:t>
      </w:r>
      <w:r w:rsidRPr="00C5301A">
        <w:rPr>
          <w:sz w:val="16"/>
        </w:rPr>
        <w:t xml:space="preserve"> A pivotal moment within postmemory that marks a moment of communal mourning is the murder and public funeral of Emmett Till. </w:t>
      </w:r>
      <w:r w:rsidRPr="00C90932">
        <w:rPr>
          <w:u w:val="single"/>
        </w:rPr>
        <w:t xml:space="preserve">Images from that funeral were printed and circulated around the world, revealing what white men did to Black children in the American south. </w:t>
      </w:r>
    </w:p>
    <w:p w14:paraId="22ED0B0A" w14:textId="77777777" w:rsidR="0092333F" w:rsidRPr="00C5301A" w:rsidRDefault="0092333F" w:rsidP="00C5301A">
      <w:pPr>
        <w:rPr>
          <w:sz w:val="16"/>
        </w:rPr>
      </w:pPr>
      <w:r w:rsidRPr="00C5301A">
        <w:rPr>
          <w:sz w:val="16"/>
        </w:rPr>
        <w:t xml:space="preserve">In 1955 both John H. Johnson’s Jet magazine and Robert Abbot’s The Chicago Defender printed the infamous image of Emmett Till’s brutalized face in his casket. </w:t>
      </w:r>
      <w:r w:rsidRPr="00C90932">
        <w:rPr>
          <w:u w:val="single"/>
        </w:rPr>
        <w:t>Black journalism was essential in informing critical masses of Black people about the violence that Till had succumbed to, the pain that led Mamie Till Mobley to "let the people see what they had done . . ." and, ultimately, the not guilty verdict.</w:t>
      </w:r>
      <w:r w:rsidRPr="00C5301A">
        <w:rPr>
          <w:sz w:val="16"/>
        </w:rPr>
        <w:t xml:space="preserve"> While white media outlets did a report on the trial of Emmett Till’s murderers, it was solely the Black press at the time that printed and circulated the photos of Emmett Till from his public funeral in Chicago. </w:t>
      </w:r>
      <w:r w:rsidRPr="00C90932">
        <w:rPr>
          <w:u w:val="single"/>
        </w:rPr>
        <w:t>Emmett Till’s murder marks a crucial moment in the history of image circulation</w:t>
      </w:r>
      <w:r w:rsidRPr="00C5301A">
        <w:rPr>
          <w:sz w:val="16"/>
        </w:rPr>
        <w:t xml:space="preserve">. It was the first issue of Jet magazine that had necessitated a reprint, marking a moment in which Till’s photo and story had gone proto-viral. The historian Elliot J. Gorn discusses censorship in mainstream media and their refusal to show the image in newspapers and on the news. </w:t>
      </w:r>
    </w:p>
    <w:p w14:paraId="7ACD4968" w14:textId="77777777" w:rsidR="0092333F" w:rsidRPr="00C5301A" w:rsidRDefault="0092333F" w:rsidP="00C5301A">
      <w:pPr>
        <w:rPr>
          <w:sz w:val="16"/>
        </w:rPr>
      </w:pPr>
      <w:r w:rsidRPr="00C90932">
        <w:rPr>
          <w:u w:val="single"/>
        </w:rPr>
        <w:t>The Chicago Defender and Jet shared the images because they presented the painful reality of American racism. They were fulfilling their duty to the Black community and respecting the wishes of Mamie Till Mobley to bear witness and to transform their readers into witnesses as well.</w:t>
      </w:r>
      <w:r w:rsidRPr="00C5301A">
        <w:rPr>
          <w:sz w:val="16"/>
        </w:rPr>
        <w:t xml:space="preserve"> </w:t>
      </w:r>
      <w:r w:rsidRPr="00C90932">
        <w:rPr>
          <w:u w:val="single"/>
        </w:rPr>
        <w:t>Black journalism was how the Black community accessed the truth</w:t>
      </w:r>
      <w:r w:rsidRPr="00C5301A">
        <w:rPr>
          <w:sz w:val="16"/>
        </w:rPr>
        <w:t xml:space="preserve">.117 While seventy-seven percent of American households owned a television at the time, Black journalism was the primary mode of dissemination of Emmett Till’s story and primarily aided in the circulation of the image of his face. Print media was accessible, affordable, and easily shared. It could be read aloud in schools, and it could be further shared and spread via word of mouth. </w:t>
      </w:r>
      <w:r w:rsidRPr="00C90932">
        <w:rPr>
          <w:u w:val="single"/>
        </w:rPr>
        <w:t>The news of Emmett Till’s death spread throughout Black communities, and his story ultimately galvanized Black people to take action and join the Civil Rights Movement.</w:t>
      </w:r>
      <w:r w:rsidRPr="00C5301A">
        <w:rPr>
          <w:sz w:val="16"/>
        </w:rPr>
        <w:t xml:space="preserve"> </w:t>
      </w:r>
      <w:r w:rsidRPr="00C90932">
        <w:rPr>
          <w:u w:val="single"/>
        </w:rPr>
        <w:t>His story made their worst fears tangible; that this could happen to their children, to their loved ones, and they would be powerless.</w:t>
      </w:r>
      <w:r w:rsidRPr="00C5301A">
        <w:rPr>
          <w:sz w:val="16"/>
        </w:rPr>
        <w:t xml:space="preserve"> However, the refusal of the press to share the images (within the South specifically) was in response to Mamie Till Mobley's decision to share these images of her son. The white south was infuriated, and they lashed out using the press. </w:t>
      </w:r>
    </w:p>
    <w:p w14:paraId="308625A0" w14:textId="77777777" w:rsidR="0092333F" w:rsidRPr="00C5301A" w:rsidRDefault="0092333F" w:rsidP="00C5301A">
      <w:pPr>
        <w:rPr>
          <w:sz w:val="16"/>
        </w:rPr>
      </w:pPr>
      <w:r w:rsidRPr="00C5301A">
        <w:rPr>
          <w:sz w:val="16"/>
        </w:rPr>
        <w:t xml:space="preserve">Communications scholar Davis Houck mapped out the crucial role of the press in the exoneration of Till’s murderers. The first five days after the trial, the local press was sympathetic, and a local paper stated that Emmett Till’s murder "dealt the reputation of the South and Mississippi a savage blow." The press was strategic in its representation of the defendants and of Carolyn Bryant, who was pictured in a beauty pageant photo. Her husband, Roy Bryant, and his accomplice, J.W. Millam, were pictured in their military uniforms, further pushing a visual narrative that they were upstanding, law-abiding citizens and incapable of committing such a crime. In contradistinction, Emmett Till was represented as a "large" and "husky" arrogant young man from the North. The Delta Democratic Times chastised the NAACP, as well as the "friends" and family of Emmett Till. </w:t>
      </w:r>
    </w:p>
    <w:p w14:paraId="28892752" w14:textId="37103564" w:rsidR="00557D7C" w:rsidRPr="00C5301A" w:rsidRDefault="0092333F" w:rsidP="00C90932">
      <w:pPr>
        <w:rPr>
          <w:sz w:val="24"/>
          <w:u w:val="single"/>
        </w:rPr>
      </w:pPr>
      <w:r w:rsidRPr="00C5301A">
        <w:rPr>
          <w:sz w:val="16"/>
        </w:rPr>
        <w:t xml:space="preserve">The Democratic Times was considered a moderate paper, and their journalism heavily influenced the local white population, so much so that three key witnesses in the trial fled the state of Mississippi.120 </w:t>
      </w:r>
      <w:r w:rsidRPr="00C90932">
        <w:rPr>
          <w:u w:val="single"/>
        </w:rPr>
        <w:t xml:space="preserve">The press had immense power when it came to shaping public perception of the trial, but it wasn’t simply their words that wielded all of the power. </w:t>
      </w:r>
      <w:r w:rsidRPr="00C5301A">
        <w:rPr>
          <w:sz w:val="16"/>
        </w:rPr>
        <w:t xml:space="preserve">The optics of Bryant and Millam as men who had served America and the dissemination of this narrative were used to manipulate and distort the public’s perception of Emmett Till.121 </w:t>
      </w:r>
      <w:r w:rsidRPr="00C90932">
        <w:rPr>
          <w:u w:val="single"/>
        </w:rPr>
        <w:t>The process by which the white press invoked a historic myth speaks to the convoluted path that Black people have too often faced in instances of state and extrajudicial violence.</w:t>
      </w:r>
      <w:r w:rsidRPr="00C5301A">
        <w:rPr>
          <w:sz w:val="16"/>
        </w:rPr>
        <w:t xml:space="preserve"> At first appearance, these racialized myths are presented as "natural," as having always existed, despite the fact that they are used to present a historical intention as a natural justification or "making contingency appear eternal."122 This justification for Till’s death in the Southern press further contributes to the distorted perception of Black people and, in this context, Black men (and boys). </w:t>
      </w:r>
      <w:r w:rsidRPr="00C90932">
        <w:rPr>
          <w:u w:val="single"/>
        </w:rPr>
        <w:t xml:space="preserve">The white press created a reactionary backlash against the photo of Emmett Till as an attempt to neutralize the truth that Emmett Till’s photo told. This separation in the way that the press decided to report on Emmett Till’s kidnapping/murder and the subsequent trial and acquittal further positioned Black journalism as a site of real truth by and for the Black community. </w:t>
      </w:r>
    </w:p>
    <w:p w14:paraId="222AAF96" w14:textId="10003FBF" w:rsidR="003E0096" w:rsidRPr="00C90932" w:rsidRDefault="003E0096" w:rsidP="00C90932">
      <w:pPr>
        <w:pStyle w:val="Heading3"/>
      </w:pPr>
      <w:r w:rsidRPr="00C90932">
        <w:t>AT: Psychoanalysis non-falsifiable</w:t>
      </w:r>
    </w:p>
    <w:p w14:paraId="451D5918" w14:textId="77777777" w:rsidR="00C23E2D" w:rsidRPr="00C90932" w:rsidRDefault="00C23E2D" w:rsidP="00C23E2D">
      <w:pPr>
        <w:pStyle w:val="Heading4"/>
      </w:pPr>
      <w:r w:rsidRPr="00C90932">
        <w:t xml:space="preserve">Falsifiability is a bad frame developed to intentionally exclude and refuse to engage theories which western scientists considered unworthy, like post-colonialism. </w:t>
      </w:r>
    </w:p>
    <w:p w14:paraId="11EFC83C" w14:textId="77777777" w:rsidR="00C23E2D" w:rsidRPr="002214B9" w:rsidRDefault="00C23E2D" w:rsidP="00C23E2D">
      <w:r w:rsidRPr="002214B9">
        <w:rPr>
          <w:rStyle w:val="Style13ptBold"/>
        </w:rPr>
        <w:t>Castellano 12</w:t>
      </w:r>
      <w:r w:rsidRPr="002214B9">
        <w:t xml:space="preserve"> [Daniel J. Castellano, SB in Mathematics and Physics from MIT, former graduate research and teaching fellow in Physics at Boston University, MA in History from Boston University, specializing in late medieval and early modern (13th-18th c.) European history, with emphasis on intellectual and social history. He is the author of From Medieval to Modern Man., "The Insufficiency of Empiricism: Part II", 05/12/2012, No Publication, https://www.arcaneknowledge.org/philtheo/empiricism2.htm] // Micah</w:t>
      </w:r>
    </w:p>
    <w:p w14:paraId="36E16975" w14:textId="77777777" w:rsidR="00C23E2D" w:rsidRPr="002214B9" w:rsidRDefault="00C23E2D" w:rsidP="00C23E2D">
      <w:pPr>
        <w:rPr>
          <w:rStyle w:val="StyleUnderline"/>
        </w:rPr>
      </w:pPr>
      <w:r w:rsidRPr="002214B9">
        <w:rPr>
          <w:rStyle w:val="StyleUnderline"/>
        </w:rPr>
        <w:t>The successful use of controlled experiments in science to corroborate or falsify hypotheses has led many to consider this testing process as the defining characteristic of scientific inquiry.</w:t>
      </w:r>
      <w:r w:rsidRPr="00C90932">
        <w:rPr>
          <w:sz w:val="16"/>
        </w:rPr>
        <w:t xml:space="preserve"> Sir Karl </w:t>
      </w:r>
      <w:r w:rsidRPr="002214B9">
        <w:rPr>
          <w:rStyle w:val="StyleUnderline"/>
        </w:rPr>
        <w:t>Popper articulated this</w:t>
      </w:r>
      <w:r w:rsidRPr="00C90932">
        <w:rPr>
          <w:sz w:val="16"/>
        </w:rPr>
        <w:t xml:space="preserve"> criterion </w:t>
      </w:r>
      <w:r w:rsidRPr="002214B9">
        <w:rPr>
          <w:rStyle w:val="StyleUnderline"/>
        </w:rPr>
        <w:t>when trying to find a way to distinguish apparent pseudosciences such as Freudianism and Marxism</w:t>
      </w:r>
      <w:r w:rsidRPr="00C90932">
        <w:rPr>
          <w:sz w:val="16"/>
        </w:rPr>
        <w:t xml:space="preserve"> from genuine science. </w:t>
      </w:r>
      <w:r w:rsidRPr="002214B9">
        <w:rPr>
          <w:rStyle w:val="StyleUnderline"/>
        </w:rPr>
        <w:t>Popper asserted</w:t>
      </w:r>
      <w:r w:rsidRPr="00C90932">
        <w:rPr>
          <w:sz w:val="16"/>
        </w:rPr>
        <w:t xml:space="preserve"> that </w:t>
      </w:r>
      <w:r w:rsidRPr="002214B9">
        <w:rPr>
          <w:rStyle w:val="StyleUnderline"/>
        </w:rPr>
        <w:t xml:space="preserve">a truly scientific theory must be “falsifiable,” </w:t>
      </w:r>
      <w:r w:rsidRPr="00C90932">
        <w:rPr>
          <w:sz w:val="16"/>
        </w:rPr>
        <w:t xml:space="preserve">that is to say, it can be subjected to a controlled experiment that could conceivably contradict it. Conversely, </w:t>
      </w:r>
      <w:r w:rsidRPr="002214B9">
        <w:rPr>
          <w:rStyle w:val="StyleUnderline"/>
        </w:rPr>
        <w:t>any theory</w:t>
      </w:r>
      <w:r w:rsidRPr="00C90932">
        <w:t xml:space="preserve"> </w:t>
      </w:r>
      <w:r w:rsidRPr="00C90932">
        <w:rPr>
          <w:sz w:val="16"/>
        </w:rPr>
        <w:t xml:space="preserve">that does </w:t>
      </w:r>
      <w:r w:rsidRPr="002214B9">
        <w:rPr>
          <w:rStyle w:val="StyleUnderline"/>
        </w:rPr>
        <w:t>not</w:t>
      </w:r>
      <w:r w:rsidRPr="00C90932">
        <w:rPr>
          <w:sz w:val="16"/>
        </w:rPr>
        <w:t xml:space="preserve"> admit the possibility of </w:t>
      </w:r>
      <w:r w:rsidRPr="002214B9">
        <w:rPr>
          <w:rStyle w:val="StyleUnderline"/>
        </w:rPr>
        <w:t>empirical falsification is regarded as pseudoscience.</w:t>
      </w:r>
    </w:p>
    <w:p w14:paraId="0097882C" w14:textId="77777777" w:rsidR="00C23E2D" w:rsidRPr="002214B9" w:rsidRDefault="00C23E2D" w:rsidP="00C23E2D">
      <w:pPr>
        <w:rPr>
          <w:rStyle w:val="StyleUnderline"/>
        </w:rPr>
      </w:pPr>
      <w:r w:rsidRPr="00C90932">
        <w:rPr>
          <w:sz w:val="16"/>
        </w:rPr>
        <w:t xml:space="preserve">The falsifiability standard has attained widespread acceptance among scientists, though </w:t>
      </w:r>
      <w:r w:rsidRPr="002214B9">
        <w:rPr>
          <w:rStyle w:val="StyleUnderline"/>
        </w:rPr>
        <w:t>philosophers of science have pointed out several problems with such a definition of scientific method.</w:t>
      </w:r>
    </w:p>
    <w:p w14:paraId="504FAB38" w14:textId="77777777" w:rsidR="00C23E2D" w:rsidRPr="002214B9" w:rsidRDefault="00C23E2D" w:rsidP="00C23E2D">
      <w:pPr>
        <w:rPr>
          <w:rStyle w:val="StyleUnderline"/>
        </w:rPr>
      </w:pPr>
      <w:r w:rsidRPr="00C90932">
        <w:rPr>
          <w:sz w:val="16"/>
        </w:rPr>
        <w:t xml:space="preserve">First, the </w:t>
      </w:r>
      <w:r w:rsidRPr="002214B9">
        <w:rPr>
          <w:rStyle w:val="StyleUnderline"/>
        </w:rPr>
        <w:t>falsifiability</w:t>
      </w:r>
      <w:r w:rsidRPr="00C90932">
        <w:t xml:space="preserve"> </w:t>
      </w:r>
      <w:r w:rsidRPr="00C90932">
        <w:rPr>
          <w:sz w:val="16"/>
        </w:rPr>
        <w:t xml:space="preserve">standard </w:t>
      </w:r>
      <w:r w:rsidRPr="002214B9">
        <w:rPr>
          <w:rStyle w:val="StyleUnderline"/>
        </w:rPr>
        <w:t>was</w:t>
      </w:r>
      <w:r w:rsidRPr="00C90932">
        <w:t xml:space="preserve"> </w:t>
      </w:r>
      <w:r w:rsidRPr="00C90932">
        <w:rPr>
          <w:rStyle w:val="Emphasis"/>
        </w:rPr>
        <w:t xml:space="preserve">chosen by Popper deliberately to exclude theories he intuitively judged unscientific, so it </w:t>
      </w:r>
      <w:r w:rsidRPr="002214B9">
        <w:rPr>
          <w:rStyle w:val="StyleUnderline"/>
        </w:rPr>
        <w:t>possibly</w:t>
      </w:r>
      <w:r w:rsidRPr="00C90932">
        <w:t xml:space="preserve"> </w:t>
      </w:r>
      <w:r w:rsidRPr="00C90932">
        <w:rPr>
          <w:rStyle w:val="Emphasis"/>
        </w:rPr>
        <w:t xml:space="preserve">contains </w:t>
      </w:r>
      <w:r w:rsidRPr="002214B9">
        <w:rPr>
          <w:rStyle w:val="StyleUnderline"/>
        </w:rPr>
        <w:t>more</w:t>
      </w:r>
      <w:r w:rsidRPr="00C90932">
        <w:t xml:space="preserve"> </w:t>
      </w:r>
      <w:r w:rsidRPr="00C90932">
        <w:rPr>
          <w:rStyle w:val="Emphasis"/>
        </w:rPr>
        <w:t>cultural bias</w:t>
      </w:r>
      <w:r w:rsidRPr="00C90932">
        <w:t xml:space="preserve"> </w:t>
      </w:r>
      <w:r w:rsidRPr="002214B9">
        <w:rPr>
          <w:rStyle w:val="StyleUnderline"/>
        </w:rPr>
        <w:t>than an objective theory of knowledge should</w:t>
      </w:r>
      <w:r w:rsidRPr="00C90932">
        <w:t>.</w:t>
      </w:r>
      <w:r w:rsidRPr="00C90932">
        <w:rPr>
          <w:sz w:val="16"/>
        </w:rPr>
        <w:t xml:space="preserve"> Second</w:t>
      </w:r>
      <w:r w:rsidRPr="00C90932">
        <w:rPr>
          <w:rStyle w:val="Emphasis"/>
        </w:rPr>
        <w:t>, it is not clear that this standard includes or excludes the theories that Popper intended</w:t>
      </w:r>
      <w:r w:rsidRPr="00C90932">
        <w:rPr>
          <w:sz w:val="16"/>
        </w:rPr>
        <w:t xml:space="preserve">. Some Marxists and Freudians are quite amenable to refutation by experiment, while </w:t>
      </w:r>
      <w:r w:rsidRPr="002214B9">
        <w:rPr>
          <w:rStyle w:val="StyleUnderline"/>
        </w:rPr>
        <w:t>some mathematical theories of physics deal with particle interactions that are fundamentally unobservable</w:t>
      </w:r>
      <w:r w:rsidRPr="00C90932">
        <w:rPr>
          <w:sz w:val="16"/>
        </w:rPr>
        <w:t xml:space="preserve">. Moreover, </w:t>
      </w:r>
      <w:r w:rsidRPr="002214B9">
        <w:rPr>
          <w:rStyle w:val="StyleUnderline"/>
        </w:rPr>
        <w:t>Popper’s definition might be interpreted to exclude mathematics and many of the social sciences</w:t>
      </w:r>
      <w:r w:rsidRPr="00C90932">
        <w:rPr>
          <w:sz w:val="16"/>
        </w:rPr>
        <w:t xml:space="preserve">, particularly those studying the unrepeatable past. </w:t>
      </w:r>
      <w:r w:rsidRPr="002214B9">
        <w:rPr>
          <w:rStyle w:val="StyleUnderline"/>
        </w:rPr>
        <w:t>Falsifiability might be a good standard for empirical natural science, but not science in the broader, classical sense of the term.</w:t>
      </w:r>
    </w:p>
    <w:p w14:paraId="1B6855C5" w14:textId="77777777" w:rsidR="00C23E2D" w:rsidRPr="00C90932" w:rsidRDefault="00C23E2D" w:rsidP="00C23E2D">
      <w:pPr>
        <w:rPr>
          <w:sz w:val="16"/>
        </w:rPr>
      </w:pPr>
      <w:r w:rsidRPr="00C90932">
        <w:rPr>
          <w:sz w:val="16"/>
        </w:rPr>
        <w:t>So-called pseudosciences such as Freudianism, Marxism, and astrology do not meet the falsifiability standard, to the extent that their defenders resort to special pleading to explain away failed predictions, rather than admit a failure of their theory. This seems to make the scientific or pseudoscientific status of a theory depend more on the behavior of its adherents than on any intrinsic characteristic of the theory as such.</w:t>
      </w:r>
    </w:p>
    <w:p w14:paraId="0CAF1E04" w14:textId="77777777" w:rsidR="00C23E2D" w:rsidRPr="00C90932" w:rsidRDefault="00C23E2D" w:rsidP="00C23E2D">
      <w:pPr>
        <w:rPr>
          <w:sz w:val="16"/>
        </w:rPr>
      </w:pPr>
      <w:r w:rsidRPr="002214B9">
        <w:rPr>
          <w:rStyle w:val="StyleUnderline"/>
        </w:rPr>
        <w:t>Tautological knowledge</w:t>
      </w:r>
      <w:r w:rsidRPr="00C90932">
        <w:rPr>
          <w:sz w:val="16"/>
        </w:rPr>
        <w:t xml:space="preserve">, which may be deduced by philosophers and mathematicians, </w:t>
      </w:r>
      <w:r w:rsidRPr="00C90932">
        <w:rPr>
          <w:rStyle w:val="Emphasis"/>
        </w:rPr>
        <w:t>would seem to be inherently unfalsifiable.</w:t>
      </w:r>
      <w:r w:rsidRPr="00C90932">
        <w:rPr>
          <w:sz w:val="16"/>
        </w:rPr>
        <w:t xml:space="preserve"> This exclusion reminds us that </w:t>
      </w:r>
      <w:r w:rsidRPr="002214B9">
        <w:rPr>
          <w:rStyle w:val="StyleUnderline"/>
        </w:rPr>
        <w:t>a theory of empirical science can never serve as a general theory of knowledge, as there are other possible paths to knowledge.</w:t>
      </w:r>
      <w:r w:rsidRPr="00C90932">
        <w:rPr>
          <w:sz w:val="16"/>
        </w:rPr>
        <w:t xml:space="preserve"> Thus pseudosciences that do not meet the falsifiability standard are not thereby discredited in the least. All that is proven is that they are not empirical sciences of nature, but neither are mathematics and philosophy, and that is not to their discredit.</w:t>
      </w:r>
    </w:p>
    <w:p w14:paraId="351F42D1" w14:textId="77777777" w:rsidR="00C23E2D" w:rsidRPr="00C90932" w:rsidRDefault="00C23E2D" w:rsidP="00C23E2D">
      <w:pPr>
        <w:rPr>
          <w:sz w:val="16"/>
        </w:rPr>
      </w:pPr>
      <w:r w:rsidRPr="00C90932">
        <w:rPr>
          <w:sz w:val="16"/>
        </w:rPr>
        <w:t xml:space="preserve">The </w:t>
      </w:r>
      <w:r w:rsidRPr="002214B9">
        <w:rPr>
          <w:rStyle w:val="StyleUnderline"/>
        </w:rPr>
        <w:t>falsifiability</w:t>
      </w:r>
      <w:r w:rsidRPr="00C90932">
        <w:t xml:space="preserve"> </w:t>
      </w:r>
      <w:r w:rsidRPr="00C90932">
        <w:rPr>
          <w:sz w:val="16"/>
        </w:rPr>
        <w:t xml:space="preserve">standard </w:t>
      </w:r>
      <w:r w:rsidRPr="002214B9">
        <w:rPr>
          <w:rStyle w:val="StyleUnderline"/>
        </w:rPr>
        <w:t>counterintuitively suggests that the credibility of a scientific theory is derived from the possibility of it being wrong.</w:t>
      </w:r>
      <w:r w:rsidRPr="00C90932">
        <w:rPr>
          <w:sz w:val="16"/>
        </w:rPr>
        <w:t xml:space="preserve"> It is </w:t>
      </w:r>
      <w:r w:rsidRPr="002214B9">
        <w:rPr>
          <w:rStyle w:val="StyleUnderline"/>
        </w:rPr>
        <w:t>more accurate</w:t>
      </w:r>
      <w:r w:rsidRPr="00C90932">
        <w:rPr>
          <w:sz w:val="16"/>
        </w:rPr>
        <w:t xml:space="preserve"> to assert that </w:t>
      </w:r>
      <w:r w:rsidRPr="002214B9">
        <w:rPr>
          <w:rStyle w:val="StyleUnderline"/>
        </w:rPr>
        <w:t>a scientific theory gains credibility from its </w:t>
      </w:r>
      <w:r w:rsidRPr="002214B9">
        <w:rPr>
          <w:rStyle w:val="StyleUnderline"/>
          <w:i/>
          <w:iCs/>
        </w:rPr>
        <w:t>verifiability</w:t>
      </w:r>
      <w:r w:rsidRPr="00C90932">
        <w:rPr>
          <w:sz w:val="16"/>
        </w:rPr>
        <w:t xml:space="preserve">, by successfully </w:t>
      </w:r>
      <w:r w:rsidRPr="002214B9">
        <w:rPr>
          <w:rStyle w:val="StyleUnderline"/>
        </w:rPr>
        <w:t>passing tests</w:t>
      </w:r>
      <w:r w:rsidRPr="00C90932">
        <w:rPr>
          <w:sz w:val="16"/>
        </w:rPr>
        <w:t xml:space="preserve"> where it might have been proven wrong. What is paramount is that a theory is consistent with observation, and this has been the hallmark of physical science for the last three centuries, without explicit reference to a falsifiability standard. </w:t>
      </w:r>
      <w:r w:rsidRPr="002214B9">
        <w:rPr>
          <w:rStyle w:val="StyleUnderline"/>
        </w:rPr>
        <w:t>As long as a theory is confirmed</w:t>
      </w:r>
      <w:r w:rsidRPr="00C90932">
        <w:rPr>
          <w:sz w:val="16"/>
        </w:rPr>
        <w:t xml:space="preserve"> by controlled experiment, the hypothetical</w:t>
      </w:r>
      <w:r w:rsidRPr="00C90932">
        <w:t xml:space="preserve"> </w:t>
      </w:r>
      <w:r w:rsidRPr="002214B9">
        <w:rPr>
          <w:rStyle w:val="StyleUnderline"/>
        </w:rPr>
        <w:t>possibility of a negative result is of secondary importance</w:t>
      </w:r>
      <w:r w:rsidRPr="00C90932">
        <w:rPr>
          <w:sz w:val="16"/>
        </w:rPr>
        <w:t>.</w:t>
      </w:r>
    </w:p>
    <w:p w14:paraId="0B530AB8" w14:textId="77777777" w:rsidR="00C23E2D" w:rsidRPr="00C90932" w:rsidRDefault="00C23E2D" w:rsidP="00C23E2D">
      <w:pPr>
        <w:rPr>
          <w:sz w:val="16"/>
        </w:rPr>
      </w:pPr>
      <w:r w:rsidRPr="00C90932">
        <w:rPr>
          <w:sz w:val="16"/>
        </w:rPr>
        <w:t xml:space="preserve">Equally counterintuitive is the implication that a theory lacking falsifiability loses credibility. Intuitively, </w:t>
      </w:r>
      <w:r w:rsidRPr="002214B9">
        <w:rPr>
          <w:rStyle w:val="StyleUnderline"/>
        </w:rPr>
        <w:t>if a proposition is absolutely not falsifiable, it is certainly true</w:t>
      </w:r>
      <w:r w:rsidRPr="00C90932">
        <w:rPr>
          <w:sz w:val="16"/>
        </w:rPr>
        <w:t xml:space="preserve">, though it may be merely a tautology. Regarding pseudosciences as non-falsifiable gives them too much credit, when in fact their excuses for failed predictions can be refuted by evidence and argument. All too often the </w:t>
      </w:r>
      <w:r w:rsidRPr="002214B9">
        <w:rPr>
          <w:rStyle w:val="StyleUnderline"/>
        </w:rPr>
        <w:t>falsifiability</w:t>
      </w:r>
      <w:r w:rsidRPr="00C90932">
        <w:rPr>
          <w:sz w:val="16"/>
        </w:rPr>
        <w:t xml:space="preserve"> standard is used as </w:t>
      </w:r>
      <w:r w:rsidRPr="002214B9">
        <w:rPr>
          <w:rStyle w:val="Emphasis"/>
        </w:rPr>
        <w:t>an excuse to refuse to engage a theory</w:t>
      </w:r>
      <w:r w:rsidRPr="00C90932">
        <w:rPr>
          <w:sz w:val="16"/>
        </w:rPr>
        <w:t>, maintaining that its exponents will not accept any refutation.</w:t>
      </w:r>
    </w:p>
    <w:p w14:paraId="1CEF953D" w14:textId="7D150596" w:rsidR="00C23E2D" w:rsidRPr="00C23E2D" w:rsidRDefault="00C23E2D" w:rsidP="00C23E2D">
      <w:pPr>
        <w:rPr>
          <w:sz w:val="16"/>
        </w:rPr>
      </w:pPr>
      <w:r w:rsidRPr="00C90932">
        <w:rPr>
          <w:sz w:val="16"/>
        </w:rPr>
        <w:t>Since falsifiability really means being </w:t>
      </w:r>
      <w:r w:rsidRPr="00C90932">
        <w:rPr>
          <w:i/>
          <w:iCs/>
          <w:sz w:val="16"/>
        </w:rPr>
        <w:t>empirically</w:t>
      </w:r>
      <w:r w:rsidRPr="00C90932">
        <w:rPr>
          <w:sz w:val="16"/>
        </w:rPr>
        <w:t> falsifiable, and the empirical is restricted to physical observation, Popper’s theory furtively incorporates philosophical materialism into his theory of science, which is then misused as a general theory of knowledge. With one stroke, any sort of metaphysical, religious, or spiritual speculation is dismissed as not meriting credibility. Rather than be forced to honestly engage metaphysical arguments with counterarguments, we are excused from debating them altogether, as if they were beyond reason. Clearly, this position is unwarranted, and it arises from the error of equating non-empiricism with irrationality.</w:t>
      </w:r>
    </w:p>
    <w:p w14:paraId="796778C4" w14:textId="77777777" w:rsidR="00C61852" w:rsidRPr="00C90932" w:rsidRDefault="00C61852" w:rsidP="00C90932">
      <w:pPr>
        <w:pStyle w:val="Heading3"/>
      </w:pPr>
      <w:r w:rsidRPr="00C90932">
        <w:t>AT: Extinction Outweighs/Util</w:t>
      </w:r>
    </w:p>
    <w:p w14:paraId="11910053" w14:textId="77777777" w:rsidR="00C61852" w:rsidRPr="00C90932" w:rsidRDefault="00C61852" w:rsidP="00C90932">
      <w:pPr>
        <w:pStyle w:val="Heading4"/>
      </w:pPr>
      <w:r w:rsidRPr="00C90932">
        <w:t xml:space="preserve">Utilitarian calculations of risk are </w:t>
      </w:r>
      <w:r w:rsidRPr="00C90932">
        <w:rPr>
          <w:u w:val="single"/>
        </w:rPr>
        <w:t>unethical</w:t>
      </w:r>
      <w:r w:rsidRPr="00C90932">
        <w:t xml:space="preserve"> and justify </w:t>
      </w:r>
      <w:r w:rsidRPr="00C90932">
        <w:rPr>
          <w:u w:val="single"/>
        </w:rPr>
        <w:t>existentially genocidal violence</w:t>
      </w:r>
      <w:r w:rsidRPr="00C90932">
        <w:t>.</w:t>
      </w:r>
    </w:p>
    <w:p w14:paraId="02C63311" w14:textId="77777777" w:rsidR="00C61852" w:rsidRPr="00C90932" w:rsidRDefault="00C61852" w:rsidP="00C90932">
      <w:r w:rsidRPr="00C90932">
        <w:rPr>
          <w:rStyle w:val="Style13ptBold"/>
        </w:rPr>
        <w:t>Oliver, 23</w:t>
      </w:r>
      <w:r w:rsidRPr="00C90932">
        <w:t xml:space="preserve">—Department of Philosophy, Vanderbilt University (Kelly, “The Limits and Dangers of Risk-Benefit Analysis: From the Refugee Crisis to the Coronavirus Pandemic,” </w:t>
      </w:r>
      <w:r w:rsidRPr="00C90932">
        <w:rPr>
          <w:i/>
          <w:iCs/>
        </w:rPr>
        <w:t>The Vulnerability of the Human World: Well-being, Health, Technology and the Environment</w:t>
      </w:r>
      <w:r w:rsidRPr="00C90932">
        <w:t xml:space="preserve">, Chapter 2, pp. 13–27, SpringerLink, dml) </w:t>
      </w:r>
    </w:p>
    <w:p w14:paraId="08A1CE86" w14:textId="77777777" w:rsidR="00C61852" w:rsidRPr="00C90932" w:rsidRDefault="00C61852" w:rsidP="00C90932">
      <w:pPr>
        <w:rPr>
          <w:sz w:val="14"/>
        </w:rPr>
      </w:pPr>
      <w:r w:rsidRPr="00C90932">
        <w:rPr>
          <w:sz w:val="14"/>
        </w:rPr>
        <w:t xml:space="preserve">In Carceral Humanitarianism (2017), I argue against </w:t>
      </w:r>
      <w:r w:rsidRPr="00C90932">
        <w:rPr>
          <w:rStyle w:val="StyleUnderline"/>
        </w:rPr>
        <w:t>utilitarian risk-benefit calculations</w:t>
      </w:r>
      <w:r w:rsidRPr="00C90932">
        <w:rPr>
          <w:sz w:val="14"/>
        </w:rPr>
        <w:t xml:space="preserve"> as a principle of ethics. There, I argue that the utilitarian calculus used by both humanitarian aid organizations and so-called humanitarian military operations (with its surgical strikes and statistical modelling) </w:t>
      </w:r>
      <w:r w:rsidRPr="00C90932">
        <w:rPr>
          <w:rStyle w:val="Emphasis"/>
        </w:rPr>
        <w:t>reduces</w:t>
      </w:r>
      <w:r w:rsidRPr="00C90932">
        <w:rPr>
          <w:rStyle w:val="StyleUnderline"/>
        </w:rPr>
        <w:t xml:space="preserve"> human life to </w:t>
      </w:r>
      <w:r w:rsidRPr="00C90932">
        <w:rPr>
          <w:rStyle w:val="Emphasis"/>
        </w:rPr>
        <w:t>statistical calculations</w:t>
      </w:r>
      <w:r w:rsidRPr="00C90932">
        <w:rPr>
          <w:rStyle w:val="StyleUnderline"/>
        </w:rPr>
        <w:t xml:space="preserve"> of risk or benefit</w:t>
      </w:r>
      <w:r w:rsidRPr="00C90932">
        <w:rPr>
          <w:sz w:val="14"/>
        </w:rPr>
        <w:t xml:space="preserve">—and </w:t>
      </w:r>
      <w:r w:rsidRPr="00C90932">
        <w:rPr>
          <w:rStyle w:val="Emphasis"/>
        </w:rPr>
        <w:t>not</w:t>
      </w:r>
      <w:r w:rsidRPr="00C90932">
        <w:rPr>
          <w:sz w:val="14"/>
        </w:rPr>
        <w:t xml:space="preserve"> just risk or benefit </w:t>
      </w:r>
      <w:r w:rsidRPr="00C90932">
        <w:rPr>
          <w:rStyle w:val="StyleUnderline"/>
        </w:rPr>
        <w:t xml:space="preserve">in the </w:t>
      </w:r>
      <w:r w:rsidRPr="00C90932">
        <w:rPr>
          <w:rStyle w:val="Emphasis"/>
        </w:rPr>
        <w:t>absolute</w:t>
      </w:r>
      <w:r w:rsidRPr="00C90932">
        <w:rPr>
          <w:sz w:val="14"/>
        </w:rPr>
        <w:t xml:space="preserve">, </w:t>
      </w:r>
      <w:r w:rsidRPr="00C90932">
        <w:rPr>
          <w:rStyle w:val="StyleUnderline"/>
        </w:rPr>
        <w:t>but</w:t>
      </w:r>
      <w:r w:rsidRPr="00C90932">
        <w:rPr>
          <w:sz w:val="14"/>
        </w:rPr>
        <w:t xml:space="preserve"> rather risk or benefit as defined by the organization or government doing the calculations. Risks and benefits are </w:t>
      </w:r>
      <w:r w:rsidRPr="00C90932">
        <w:rPr>
          <w:rStyle w:val="Emphasis"/>
        </w:rPr>
        <w:t>always</w:t>
      </w:r>
      <w:r w:rsidRPr="00C90932">
        <w:rPr>
          <w:rStyle w:val="StyleUnderline"/>
        </w:rPr>
        <w:t xml:space="preserve"> defined with certain goals in mind</w:t>
      </w:r>
      <w:r w:rsidRPr="00C90932">
        <w:rPr>
          <w:sz w:val="14"/>
        </w:rPr>
        <w:t xml:space="preserve">. </w:t>
      </w:r>
      <w:r w:rsidRPr="00C90932">
        <w:rPr>
          <w:rStyle w:val="StyleUnderline"/>
        </w:rPr>
        <w:t xml:space="preserve">They are </w:t>
      </w:r>
      <w:r w:rsidRPr="00C90932">
        <w:rPr>
          <w:rStyle w:val="Emphasis"/>
        </w:rPr>
        <w:t>never</w:t>
      </w:r>
      <w:r w:rsidRPr="00C90932">
        <w:rPr>
          <w:rStyle w:val="StyleUnderline"/>
        </w:rPr>
        <w:t xml:space="preserve"> without context</w:t>
      </w:r>
      <w:r w:rsidRPr="00C90932">
        <w:rPr>
          <w:sz w:val="14"/>
        </w:rPr>
        <w:t xml:space="preserve">, </w:t>
      </w:r>
      <w:r w:rsidRPr="00C90932">
        <w:rPr>
          <w:rStyle w:val="StyleUnderline"/>
        </w:rPr>
        <w:t>and</w:t>
      </w:r>
      <w:r w:rsidRPr="00C90932">
        <w:rPr>
          <w:sz w:val="14"/>
        </w:rPr>
        <w:t xml:space="preserve"> therefore </w:t>
      </w:r>
      <w:r w:rsidRPr="00C90932">
        <w:rPr>
          <w:rStyle w:val="StyleUnderline"/>
        </w:rPr>
        <w:t>purely</w:t>
      </w:r>
      <w:r w:rsidRPr="00C90932">
        <w:rPr>
          <w:sz w:val="14"/>
        </w:rPr>
        <w:t xml:space="preserve"> “</w:t>
      </w:r>
      <w:r w:rsidRPr="00C90932">
        <w:rPr>
          <w:rStyle w:val="Emphasis"/>
        </w:rPr>
        <w:t>objective</w:t>
      </w:r>
      <w:r w:rsidRPr="00C90932">
        <w:rPr>
          <w:sz w:val="14"/>
        </w:rPr>
        <w:t xml:space="preserve">” </w:t>
      </w:r>
      <w:r w:rsidRPr="00C90932">
        <w:rPr>
          <w:rStyle w:val="StyleUnderline"/>
        </w:rPr>
        <w:t xml:space="preserve">or </w:t>
      </w:r>
      <w:r w:rsidRPr="00C90932">
        <w:rPr>
          <w:rStyle w:val="Emphasis"/>
        </w:rPr>
        <w:t>free</w:t>
      </w:r>
      <w:r w:rsidRPr="00C90932">
        <w:rPr>
          <w:rStyle w:val="StyleUnderline"/>
        </w:rPr>
        <w:t xml:space="preserve"> from</w:t>
      </w:r>
      <w:r w:rsidRPr="00C90932">
        <w:rPr>
          <w:sz w:val="14"/>
        </w:rPr>
        <w:t xml:space="preserve"> politics or </w:t>
      </w:r>
      <w:r w:rsidRPr="00C90932">
        <w:rPr>
          <w:rStyle w:val="Emphasis"/>
        </w:rPr>
        <w:t>bias</w:t>
      </w:r>
      <w:r w:rsidRPr="00C90932">
        <w:rPr>
          <w:sz w:val="14"/>
        </w:rPr>
        <w:t xml:space="preserve">. Thus, any utilitarian calculus assumes some good or goal beyond calculation such as pain or pleasure, suffering or quality of life. </w:t>
      </w:r>
      <w:r w:rsidRPr="00C90932">
        <w:rPr>
          <w:rStyle w:val="StyleUnderline"/>
        </w:rPr>
        <w:t xml:space="preserve">Even </w:t>
      </w:r>
      <w:r w:rsidRPr="00C90932">
        <w:rPr>
          <w:rStyle w:val="Emphasis"/>
        </w:rPr>
        <w:t>survival</w:t>
      </w:r>
      <w:r w:rsidRPr="00C90932">
        <w:rPr>
          <w:sz w:val="14"/>
        </w:rPr>
        <w:t>—life and death—</w:t>
      </w:r>
      <w:r w:rsidRPr="00C90932">
        <w:rPr>
          <w:rStyle w:val="StyleUnderline"/>
        </w:rPr>
        <w:t xml:space="preserve">are valued relative to particular goals that </w:t>
      </w:r>
      <w:r w:rsidRPr="00C90932">
        <w:rPr>
          <w:rStyle w:val="Emphasis"/>
        </w:rPr>
        <w:t>defy</w:t>
      </w:r>
      <w:r w:rsidRPr="00C90932">
        <w:rPr>
          <w:rStyle w:val="StyleUnderline"/>
        </w:rPr>
        <w:t xml:space="preserve"> the calculations of risk-benefit analysis</w:t>
      </w:r>
      <w:r w:rsidRPr="00C90932">
        <w:rPr>
          <w:sz w:val="14"/>
        </w:rPr>
        <w:t xml:space="preserve">. In other words, employing risk-benefit and utilitarian calculations, requires making assumptions about end goals and values that defy those very calculations. It is not just that </w:t>
      </w:r>
      <w:r w:rsidRPr="00C90932">
        <w:rPr>
          <w:rStyle w:val="StyleUnderline"/>
        </w:rPr>
        <w:t xml:space="preserve">there are </w:t>
      </w:r>
      <w:r w:rsidRPr="00C90932">
        <w:rPr>
          <w:rStyle w:val="Emphasis"/>
        </w:rPr>
        <w:t>always</w:t>
      </w:r>
      <w:r w:rsidRPr="00C90932">
        <w:rPr>
          <w:rStyle w:val="StyleUnderline"/>
        </w:rPr>
        <w:t xml:space="preserve"> factors beyond our control and variables we </w:t>
      </w:r>
      <w:r w:rsidRPr="00C90932">
        <w:rPr>
          <w:rStyle w:val="Emphasis"/>
        </w:rPr>
        <w:t>do not know</w:t>
      </w:r>
      <w:r w:rsidRPr="00C90932">
        <w:rPr>
          <w:sz w:val="14"/>
        </w:rPr>
        <w:t xml:space="preserve">, as the deadly coronavirus makes painfully clear, but also that risk-benefit and </w:t>
      </w:r>
      <w:r w:rsidRPr="00C90932">
        <w:rPr>
          <w:rStyle w:val="StyleUnderline"/>
        </w:rPr>
        <w:t xml:space="preserve">utilitarian calculations do not operate in a </w:t>
      </w:r>
      <w:r w:rsidRPr="00C90932">
        <w:rPr>
          <w:rStyle w:val="Emphasis"/>
        </w:rPr>
        <w:t>vacuum</w:t>
      </w:r>
      <w:r w:rsidRPr="00C90932">
        <w:rPr>
          <w:rStyle w:val="StyleUnderline"/>
        </w:rPr>
        <w:t xml:space="preserve"> but </w:t>
      </w:r>
      <w:r w:rsidRPr="00C90932">
        <w:rPr>
          <w:rStyle w:val="Emphasis"/>
        </w:rPr>
        <w:t>necessarily</w:t>
      </w:r>
      <w:r w:rsidRPr="00C90932">
        <w:rPr>
          <w:rStyle w:val="StyleUnderline"/>
        </w:rPr>
        <w:t xml:space="preserve"> make assumptions about the good</w:t>
      </w:r>
      <w:r w:rsidRPr="00C90932">
        <w:rPr>
          <w:sz w:val="14"/>
        </w:rPr>
        <w:t>.</w:t>
      </w:r>
    </w:p>
    <w:p w14:paraId="427C98C3" w14:textId="77777777" w:rsidR="00C61852" w:rsidRPr="00C90932" w:rsidRDefault="00C61852" w:rsidP="00C90932">
      <w:pPr>
        <w:rPr>
          <w:sz w:val="14"/>
        </w:rPr>
      </w:pPr>
      <w:r w:rsidRPr="00C90932">
        <w:rPr>
          <w:sz w:val="14"/>
        </w:rPr>
        <w:t xml:space="preserve">In the West, risk-benefit analysis or </w:t>
      </w:r>
      <w:r w:rsidRPr="00C90932">
        <w:rPr>
          <w:rStyle w:val="StyleUnderline"/>
        </w:rPr>
        <w:t>utilitarian calculative reasoning</w:t>
      </w:r>
      <w:r w:rsidRPr="00C90932">
        <w:rPr>
          <w:sz w:val="14"/>
        </w:rPr>
        <w:t xml:space="preserve"> has become the dominant mode of addressing social issues, economic issues, and health issues. For example, Doctors without Borders uses complex risk-benefit computer modeling to set policies about where to send medical aid (Neuman, 2016).Footnote 9 And too many hospitals dealing with the Covid-19 pandemic have had to resort to triage medicine that uses risk-benefit analysis to distribute scarce resources such as ICU beds, oxygen, and ventilators.</w:t>
      </w:r>
    </w:p>
    <w:p w14:paraId="40FD5682" w14:textId="77777777" w:rsidR="00C61852" w:rsidRPr="00C90932" w:rsidRDefault="00C61852" w:rsidP="00C90932">
      <w:pPr>
        <w:rPr>
          <w:sz w:val="14"/>
        </w:rPr>
      </w:pPr>
      <w:r w:rsidRPr="00C90932">
        <w:rPr>
          <w:sz w:val="14"/>
        </w:rPr>
        <w:t xml:space="preserve">This type of calculative reasoning, however, </w:t>
      </w:r>
      <w:r w:rsidRPr="00C90932">
        <w:rPr>
          <w:rStyle w:val="StyleUnderline"/>
        </w:rPr>
        <w:t xml:space="preserve">treats human life as </w:t>
      </w:r>
      <w:r w:rsidRPr="00C90932">
        <w:rPr>
          <w:rStyle w:val="Emphasis"/>
        </w:rPr>
        <w:t>fungible</w:t>
      </w:r>
      <w:r w:rsidRPr="00C90932">
        <w:rPr>
          <w:rStyle w:val="StyleUnderline"/>
        </w:rPr>
        <w:t xml:space="preserve"> and </w:t>
      </w:r>
      <w:r w:rsidRPr="00C90932">
        <w:rPr>
          <w:rStyle w:val="Emphasis"/>
        </w:rPr>
        <w:t>exchangeable</w:t>
      </w:r>
      <w:r w:rsidRPr="00C90932">
        <w:rPr>
          <w:sz w:val="14"/>
        </w:rPr>
        <w:t xml:space="preserve">, </w:t>
      </w:r>
      <w:r w:rsidRPr="00C90932">
        <w:rPr>
          <w:rStyle w:val="StyleUnderline"/>
        </w:rPr>
        <w:t>and</w:t>
      </w:r>
      <w:r w:rsidRPr="00C90932">
        <w:rPr>
          <w:sz w:val="14"/>
        </w:rPr>
        <w:t xml:space="preserve"> thereby </w:t>
      </w:r>
      <w:r w:rsidRPr="00C90932">
        <w:rPr>
          <w:rStyle w:val="StyleUnderline"/>
        </w:rPr>
        <w:t>makes acceptable</w:t>
      </w:r>
      <w:r w:rsidRPr="00C90932">
        <w:rPr>
          <w:sz w:val="14"/>
        </w:rPr>
        <w:t xml:space="preserve"> so-called </w:t>
      </w:r>
      <w:r w:rsidRPr="00C90932">
        <w:rPr>
          <w:rStyle w:val="Emphasis"/>
        </w:rPr>
        <w:t>collateral damage</w:t>
      </w:r>
      <w:r w:rsidRPr="00C90932">
        <w:rPr>
          <w:rStyle w:val="StyleUnderline"/>
        </w:rPr>
        <w:t xml:space="preserve"> and </w:t>
      </w:r>
      <w:r w:rsidRPr="00C90932">
        <w:rPr>
          <w:rStyle w:val="Emphasis"/>
        </w:rPr>
        <w:t>death</w:t>
      </w:r>
      <w:r w:rsidRPr="00C90932">
        <w:rPr>
          <w:sz w:val="14"/>
        </w:rPr>
        <w:t xml:space="preserve">. The way risk-benefit analysis is used to calculate acceptable collateral damage in warfare is a prime example of the costs of calculable reason, where utilitarian arguments are used to justify acceptable levels of killing and death. </w:t>
      </w:r>
      <w:r w:rsidRPr="00C90932">
        <w:rPr>
          <w:rStyle w:val="StyleUnderline"/>
        </w:rPr>
        <w:t xml:space="preserve">The calculating machine at the heart of utilitarian risk-benefit analysis is </w:t>
      </w:r>
      <w:r w:rsidRPr="00C90932">
        <w:rPr>
          <w:rStyle w:val="Emphasis"/>
        </w:rPr>
        <w:t>dangerous</w:t>
      </w:r>
      <w:r w:rsidRPr="00C90932">
        <w:rPr>
          <w:rStyle w:val="StyleUnderline"/>
        </w:rPr>
        <w:t xml:space="preserve"> when it makes individual lives fungible and exchangeable</w:t>
      </w:r>
      <w:r w:rsidRPr="00C90932">
        <w:rPr>
          <w:sz w:val="14"/>
        </w:rPr>
        <w:t xml:space="preserve">. </w:t>
      </w:r>
      <w:r w:rsidRPr="00C90932">
        <w:rPr>
          <w:rStyle w:val="StyleUnderline"/>
        </w:rPr>
        <w:t>This</w:t>
      </w:r>
      <w:r w:rsidRPr="00C90932">
        <w:rPr>
          <w:sz w:val="14"/>
        </w:rPr>
        <w:t xml:space="preserve"> approach </w:t>
      </w:r>
      <w:r w:rsidRPr="00C90932">
        <w:rPr>
          <w:rStyle w:val="Emphasis"/>
        </w:rPr>
        <w:t>does not</w:t>
      </w:r>
      <w:r w:rsidRPr="00C90932">
        <w:rPr>
          <w:rStyle w:val="StyleUnderline"/>
        </w:rPr>
        <w:t xml:space="preserve"> and </w:t>
      </w:r>
      <w:r w:rsidRPr="00C90932">
        <w:rPr>
          <w:rStyle w:val="Emphasis"/>
        </w:rPr>
        <w:t>cannot</w:t>
      </w:r>
      <w:r w:rsidRPr="00C90932">
        <w:rPr>
          <w:rStyle w:val="StyleUnderline"/>
        </w:rPr>
        <w:t xml:space="preserve"> address the </w:t>
      </w:r>
      <w:r w:rsidRPr="00C90932">
        <w:rPr>
          <w:rStyle w:val="Emphasis"/>
        </w:rPr>
        <w:t>singularity</w:t>
      </w:r>
      <w:r w:rsidRPr="00C90932">
        <w:rPr>
          <w:rStyle w:val="StyleUnderline"/>
        </w:rPr>
        <w:t xml:space="preserve"> of each living being</w:t>
      </w:r>
      <w:r w:rsidRPr="00C90932">
        <w:rPr>
          <w:sz w:val="14"/>
        </w:rPr>
        <w:t>.</w:t>
      </w:r>
    </w:p>
    <w:p w14:paraId="51EC9670" w14:textId="77777777" w:rsidR="00C61852" w:rsidRPr="00C90932" w:rsidRDefault="00C61852" w:rsidP="00C90932">
      <w:pPr>
        <w:rPr>
          <w:sz w:val="14"/>
        </w:rPr>
      </w:pPr>
      <w:r w:rsidRPr="00C90932">
        <w:rPr>
          <w:sz w:val="14"/>
        </w:rPr>
        <w:t>Both humanitarian aid and “humanitarian” warfare operate according to logics of calculation. In fact, humanitarian warfare and humanitarian aid operate in tandem. In a sense, nation states create refugees by limiting citizenship, and then pay humanitarian aid organizations to take care of them. National sovereignty and its concomitant notion of citizenship are dependent upon so-called neutral humanitarian space, which occupies an ambiguous space on the outskirts, and borders of, host countries. Refugees are detained in camps and detention centers at the borders in supposedly neutral humanitarian space free from politics and war. Yet, this neutral humanitarian space, often guarded by state police and military, is far from independent of state sovereignty.</w:t>
      </w:r>
    </w:p>
    <w:p w14:paraId="7C541F06" w14:textId="77777777" w:rsidR="00C61852" w:rsidRPr="00C90932" w:rsidRDefault="00C61852" w:rsidP="00C90932">
      <w:pPr>
        <w:rPr>
          <w:sz w:val="14"/>
        </w:rPr>
      </w:pPr>
      <w:r w:rsidRPr="00C90932">
        <w:rPr>
          <w:sz w:val="14"/>
        </w:rPr>
        <w:t>To the contrary, humanitarian space is coopted to maintain national sovereignty against the so-called threat of migrants, asylum seekers, and refugees. In other words, within carceral humanitarianism, refugees operate as both a threat to national sovereignty, and the justification for shoring up borders.</w:t>
      </w:r>
    </w:p>
    <w:p w14:paraId="42372F4D" w14:textId="77777777" w:rsidR="00C61852" w:rsidRPr="00C90932" w:rsidRDefault="00C61852" w:rsidP="00C90932">
      <w:pPr>
        <w:rPr>
          <w:sz w:val="14"/>
        </w:rPr>
      </w:pPr>
      <w:r w:rsidRPr="00C90932">
        <w:rPr>
          <w:sz w:val="14"/>
        </w:rPr>
        <w:t>The fact that the United States and the European Union pay other countries to keep refugees from crossing into their borders makes clear that the lives of these people can be bought and sold like so much cargo to be held in port or lost at sea. For example, the recent crisis in Belarus at the Polish border, where, according to migrants and refugees are being used as political pawns. According to the New York Times: “Europe has long paid other nations to keep refugees away from its borders… This gives countries on the European periphery the leverage, and incentive, to use those refugees as pawns” (see Fisher, 2021).Footnote 10</w:t>
      </w:r>
    </w:p>
    <w:p w14:paraId="5A1E7C0E" w14:textId="77777777" w:rsidR="00C61852" w:rsidRPr="00C90932" w:rsidRDefault="00C61852" w:rsidP="00C90932">
      <w:pPr>
        <w:rPr>
          <w:sz w:val="14"/>
        </w:rPr>
      </w:pPr>
      <w:r w:rsidRPr="00C90932">
        <w:rPr>
          <w:sz w:val="14"/>
        </w:rPr>
        <w:t>Policies that treat refugees as collateral damage or units of exchange, where some lives are more valuable than others as calculated through risk-benefit analysis, renders the lives of refugees fungible, and therefore, ultimately, disposable.</w:t>
      </w:r>
    </w:p>
    <w:p w14:paraId="5E8A122E" w14:textId="77777777" w:rsidR="00C61852" w:rsidRPr="00C90932" w:rsidRDefault="00C61852" w:rsidP="00C90932">
      <w:pPr>
        <w:rPr>
          <w:sz w:val="14"/>
        </w:rPr>
      </w:pPr>
      <w:r w:rsidRPr="00C90932">
        <w:rPr>
          <w:sz w:val="14"/>
        </w:rPr>
        <w:t xml:space="preserve">Statistical models that compute </w:t>
      </w:r>
      <w:r w:rsidRPr="00C90932">
        <w:rPr>
          <w:rStyle w:val="StyleUnderline"/>
        </w:rPr>
        <w:t xml:space="preserve">comparative valuations set out a </w:t>
      </w:r>
      <w:r w:rsidRPr="00C90932">
        <w:rPr>
          <w:rStyle w:val="Emphasis"/>
        </w:rPr>
        <w:t>hierarchy</w:t>
      </w:r>
      <w:r w:rsidRPr="00C90932">
        <w:rPr>
          <w:rStyle w:val="StyleUnderline"/>
        </w:rPr>
        <w:t xml:space="preserve"> of life</w:t>
      </w:r>
      <w:r w:rsidRPr="00C90932">
        <w:rPr>
          <w:sz w:val="14"/>
        </w:rPr>
        <w:t xml:space="preserve">, human and otherwise, </w:t>
      </w:r>
      <w:r w:rsidRPr="00C90932">
        <w:rPr>
          <w:rStyle w:val="StyleUnderline"/>
        </w:rPr>
        <w:t xml:space="preserve">through which violence is </w:t>
      </w:r>
      <w:r w:rsidRPr="00C90932">
        <w:rPr>
          <w:rStyle w:val="Emphasis"/>
        </w:rPr>
        <w:t>justified</w:t>
      </w:r>
      <w:r w:rsidRPr="00C90932">
        <w:rPr>
          <w:sz w:val="14"/>
        </w:rPr>
        <w:t xml:space="preserve">, </w:t>
      </w:r>
      <w:r w:rsidRPr="00C90932">
        <w:rPr>
          <w:rStyle w:val="StyleUnderline"/>
        </w:rPr>
        <w:t xml:space="preserve">and some lives are </w:t>
      </w:r>
      <w:r w:rsidRPr="00C90932">
        <w:rPr>
          <w:rStyle w:val="Emphasis"/>
        </w:rPr>
        <w:t>valuable</w:t>
      </w:r>
      <w:r w:rsidRPr="00C90932">
        <w:rPr>
          <w:sz w:val="14"/>
        </w:rPr>
        <w:t xml:space="preserve"> (in this case, citizens), </w:t>
      </w:r>
      <w:r w:rsidRPr="00C90932">
        <w:rPr>
          <w:rStyle w:val="StyleUnderline"/>
        </w:rPr>
        <w:t xml:space="preserve">while others are </w:t>
      </w:r>
      <w:r w:rsidRPr="00C90932">
        <w:rPr>
          <w:rStyle w:val="Emphasis"/>
        </w:rPr>
        <w:t>disposable</w:t>
      </w:r>
      <w:r w:rsidRPr="00C90932">
        <w:rPr>
          <w:sz w:val="14"/>
        </w:rPr>
        <w:t xml:space="preserve"> (in this case, refugees). Yet, </w:t>
      </w:r>
      <w:r w:rsidRPr="00C90932">
        <w:rPr>
          <w:rStyle w:val="StyleUnderline"/>
        </w:rPr>
        <w:t xml:space="preserve">in </w:t>
      </w:r>
      <w:r w:rsidRPr="00C90932">
        <w:rPr>
          <w:rStyle w:val="Emphasis"/>
        </w:rPr>
        <w:t>any</w:t>
      </w:r>
      <w:r w:rsidRPr="00C90932">
        <w:rPr>
          <w:rStyle w:val="StyleUnderline"/>
        </w:rPr>
        <w:t xml:space="preserve"> risk-benefit or utilitarian calculation</w:t>
      </w:r>
      <w:r w:rsidRPr="00C90932">
        <w:rPr>
          <w:sz w:val="14"/>
        </w:rPr>
        <w:t xml:space="preserve">, </w:t>
      </w:r>
      <w:r w:rsidRPr="00C90932">
        <w:rPr>
          <w:rStyle w:val="StyleUnderline"/>
        </w:rPr>
        <w:t xml:space="preserve">there is </w:t>
      </w:r>
      <w:r w:rsidRPr="00C90932">
        <w:rPr>
          <w:rStyle w:val="Emphasis"/>
        </w:rPr>
        <w:t>always</w:t>
      </w:r>
      <w:r w:rsidRPr="00C90932">
        <w:rPr>
          <w:rStyle w:val="StyleUnderline"/>
        </w:rPr>
        <w:t xml:space="preserve"> a remainder that </w:t>
      </w:r>
      <w:r w:rsidRPr="00C90932">
        <w:rPr>
          <w:rStyle w:val="Emphasis"/>
        </w:rPr>
        <w:t>cannot be calculated</w:t>
      </w:r>
      <w:r w:rsidRPr="00C90932">
        <w:rPr>
          <w:sz w:val="14"/>
        </w:rPr>
        <w:t xml:space="preserve">—not just in the arithmetic sense, but also </w:t>
      </w:r>
      <w:r w:rsidRPr="00C90932">
        <w:rPr>
          <w:rStyle w:val="StyleUnderline"/>
        </w:rPr>
        <w:t>a remainder beyond calculation and beyond recognition</w:t>
      </w:r>
      <w:r w:rsidRPr="00C90932">
        <w:rPr>
          <w:sz w:val="14"/>
        </w:rPr>
        <w:t>.</w:t>
      </w:r>
    </w:p>
    <w:p w14:paraId="71E85A88" w14:textId="77777777" w:rsidR="00C61852" w:rsidRPr="00C90932" w:rsidRDefault="00C61852" w:rsidP="00C90932">
      <w:pPr>
        <w:rPr>
          <w:sz w:val="14"/>
        </w:rPr>
      </w:pPr>
      <w:r w:rsidRPr="00C90932">
        <w:rPr>
          <w:rStyle w:val="StyleUnderline"/>
        </w:rPr>
        <w:t xml:space="preserve">There is always something we </w:t>
      </w:r>
      <w:r w:rsidRPr="00C90932">
        <w:rPr>
          <w:rStyle w:val="Emphasis"/>
        </w:rPr>
        <w:t>don’t know</w:t>
      </w:r>
      <w:r w:rsidRPr="00C90932">
        <w:rPr>
          <w:rStyle w:val="StyleUnderline"/>
        </w:rPr>
        <w:t xml:space="preserve"> that is </w:t>
      </w:r>
      <w:r w:rsidRPr="00C90932">
        <w:rPr>
          <w:rStyle w:val="Emphasis"/>
        </w:rPr>
        <w:t>necessarily left out</w:t>
      </w:r>
      <w:r w:rsidRPr="00C90932">
        <w:rPr>
          <w:rStyle w:val="StyleUnderline"/>
        </w:rPr>
        <w:t xml:space="preserve"> of any calculation</w:t>
      </w:r>
      <w:r w:rsidRPr="00C90932">
        <w:rPr>
          <w:sz w:val="14"/>
        </w:rPr>
        <w:t xml:space="preserve">. </w:t>
      </w:r>
      <w:r w:rsidRPr="00C90932">
        <w:rPr>
          <w:rStyle w:val="StyleUnderline"/>
        </w:rPr>
        <w:t xml:space="preserve">We are </w:t>
      </w:r>
      <w:r w:rsidRPr="00C90932">
        <w:rPr>
          <w:rStyle w:val="Emphasis"/>
        </w:rPr>
        <w:t>not masters</w:t>
      </w:r>
      <w:r w:rsidRPr="00C90932">
        <w:rPr>
          <w:rStyle w:val="StyleUnderline"/>
        </w:rPr>
        <w:t xml:space="preserve"> of the world and therefore there are always factors </w:t>
      </w:r>
      <w:r w:rsidRPr="00C90932">
        <w:rPr>
          <w:rStyle w:val="Emphasis"/>
        </w:rPr>
        <w:t>beyond</w:t>
      </w:r>
      <w:r w:rsidRPr="00C90932">
        <w:rPr>
          <w:rStyle w:val="StyleUnderline"/>
        </w:rPr>
        <w:t xml:space="preserve"> our knowledge and control</w:t>
      </w:r>
      <w:r w:rsidRPr="00C90932">
        <w:rPr>
          <w:sz w:val="14"/>
        </w:rPr>
        <w:t xml:space="preserve">. In addition, there are elements beyond our comprehension. </w:t>
      </w:r>
      <w:r w:rsidRPr="00C90932">
        <w:rPr>
          <w:rStyle w:val="StyleUnderline"/>
        </w:rPr>
        <w:t xml:space="preserve">It is </w:t>
      </w:r>
      <w:r w:rsidRPr="00C90932">
        <w:rPr>
          <w:rStyle w:val="Emphasis"/>
        </w:rPr>
        <w:t>not</w:t>
      </w:r>
      <w:r w:rsidRPr="00C90932">
        <w:rPr>
          <w:sz w:val="14"/>
        </w:rPr>
        <w:t xml:space="preserve">, then, </w:t>
      </w:r>
      <w:r w:rsidRPr="00C90932">
        <w:rPr>
          <w:rStyle w:val="StyleUnderline"/>
        </w:rPr>
        <w:t xml:space="preserve">just a matter of </w:t>
      </w:r>
      <w:r w:rsidRPr="00C90932">
        <w:rPr>
          <w:rStyle w:val="Emphasis"/>
        </w:rPr>
        <w:t>gathering all the relevant data</w:t>
      </w:r>
      <w:r w:rsidRPr="00C90932">
        <w:rPr>
          <w:sz w:val="14"/>
        </w:rPr>
        <w:t xml:space="preserve">, and that fact that we always fall short. </w:t>
      </w:r>
      <w:r w:rsidRPr="00C90932">
        <w:rPr>
          <w:rStyle w:val="StyleUnderline"/>
        </w:rPr>
        <w:t xml:space="preserve">There are elements that affect our calculations that we </w:t>
      </w:r>
      <w:r w:rsidRPr="00C90932">
        <w:rPr>
          <w:rStyle w:val="Emphasis"/>
        </w:rPr>
        <w:t>aren’t even aware of</w:t>
      </w:r>
      <w:r w:rsidRPr="00C90932">
        <w:rPr>
          <w:sz w:val="14"/>
        </w:rPr>
        <w:t xml:space="preserve">, </w:t>
      </w:r>
      <w:r w:rsidRPr="00C90932">
        <w:rPr>
          <w:rStyle w:val="StyleUnderline"/>
        </w:rPr>
        <w:t xml:space="preserve">that we </w:t>
      </w:r>
      <w:r w:rsidRPr="00C90932">
        <w:rPr>
          <w:rStyle w:val="Emphasis"/>
        </w:rPr>
        <w:t>can never know</w:t>
      </w:r>
      <w:r w:rsidRPr="00C90932">
        <w:rPr>
          <w:sz w:val="14"/>
        </w:rPr>
        <w:t xml:space="preserve">. </w:t>
      </w:r>
      <w:r w:rsidRPr="00C90932">
        <w:rPr>
          <w:rStyle w:val="StyleUnderline"/>
        </w:rPr>
        <w:t xml:space="preserve">There will always be something </w:t>
      </w:r>
      <w:r w:rsidRPr="00C90932">
        <w:rPr>
          <w:rStyle w:val="Emphasis"/>
          <w:sz w:val="30"/>
          <w:szCs w:val="30"/>
        </w:rPr>
        <w:t>outside our comprehension affecting our calculations</w:t>
      </w:r>
      <w:r w:rsidRPr="00C90932">
        <w:rPr>
          <w:sz w:val="14"/>
        </w:rPr>
        <w:t xml:space="preserve">. Furthermore, </w:t>
      </w:r>
      <w:r w:rsidRPr="00C90932">
        <w:rPr>
          <w:rStyle w:val="StyleUnderline"/>
        </w:rPr>
        <w:t>human experience</w:t>
      </w:r>
      <w:r w:rsidRPr="00C90932">
        <w:rPr>
          <w:sz w:val="14"/>
        </w:rPr>
        <w:t xml:space="preserve">, and the experience of life itself, </w:t>
      </w:r>
      <w:r w:rsidRPr="00C90932">
        <w:rPr>
          <w:rStyle w:val="Emphasis"/>
        </w:rPr>
        <w:t>cannot be reduced</w:t>
      </w:r>
      <w:r w:rsidRPr="00C90932">
        <w:rPr>
          <w:rStyle w:val="StyleUnderline"/>
        </w:rPr>
        <w:t xml:space="preserve"> to calculations or exchangeable units</w:t>
      </w:r>
      <w:r w:rsidRPr="00C90932">
        <w:rPr>
          <w:sz w:val="14"/>
        </w:rPr>
        <w:t xml:space="preserve">. </w:t>
      </w:r>
      <w:r w:rsidRPr="00C90932">
        <w:rPr>
          <w:rStyle w:val="StyleUnderline"/>
        </w:rPr>
        <w:t xml:space="preserve">There is always something about life that </w:t>
      </w:r>
      <w:r w:rsidRPr="00C90932">
        <w:rPr>
          <w:rStyle w:val="Emphasis"/>
        </w:rPr>
        <w:t>transcends</w:t>
      </w:r>
      <w:r w:rsidRPr="00C90932">
        <w:rPr>
          <w:rStyle w:val="StyleUnderline"/>
        </w:rPr>
        <w:t xml:space="preserve"> even the most sophisticated mathematical calculations</w:t>
      </w:r>
      <w:r w:rsidRPr="00C90932">
        <w:rPr>
          <w:sz w:val="14"/>
        </w:rPr>
        <w:t>. We might call this the remainder left over when we attempt to translate ethics into politics or the singular into the universal. There is always something about the singularity of each living being that cannot be reduced to any system of exchange value.</w:t>
      </w:r>
    </w:p>
    <w:p w14:paraId="79E5FBDA" w14:textId="77777777" w:rsidR="00C61852" w:rsidRPr="00C90932" w:rsidRDefault="00C61852" w:rsidP="00C90932">
      <w:pPr>
        <w:rPr>
          <w:sz w:val="14"/>
        </w:rPr>
      </w:pPr>
      <w:r w:rsidRPr="00C90932">
        <w:rPr>
          <w:sz w:val="14"/>
        </w:rPr>
        <w:t xml:space="preserve">2.3 Justice Between Ethics and Politics </w:t>
      </w:r>
    </w:p>
    <w:p w14:paraId="06FBE258" w14:textId="77777777" w:rsidR="00C61852" w:rsidRPr="00C90932" w:rsidRDefault="00C61852" w:rsidP="00C90932">
      <w:pPr>
        <w:rPr>
          <w:sz w:val="14"/>
        </w:rPr>
      </w:pPr>
      <w:r w:rsidRPr="00C90932">
        <w:rPr>
          <w:sz w:val="14"/>
        </w:rPr>
        <w:t xml:space="preserve">Justice requires continually renegotiating the relationship between ethics and politics, singular and universal, precisely because there is always something in excess, something beyond recognition. </w:t>
      </w:r>
      <w:r w:rsidRPr="00C90932">
        <w:rPr>
          <w:rStyle w:val="StyleUnderline"/>
        </w:rPr>
        <w:t>This</w:t>
      </w:r>
      <w:r w:rsidRPr="00C90932">
        <w:rPr>
          <w:sz w:val="14"/>
        </w:rPr>
        <w:t xml:space="preserve"> remainder </w:t>
      </w:r>
      <w:r w:rsidRPr="00C90932">
        <w:rPr>
          <w:rStyle w:val="StyleUnderline"/>
        </w:rPr>
        <w:t xml:space="preserve">is the </w:t>
      </w:r>
      <w:r w:rsidRPr="00C90932">
        <w:rPr>
          <w:rStyle w:val="Emphasis"/>
        </w:rPr>
        <w:t>ethical imperative</w:t>
      </w:r>
      <w:r w:rsidRPr="00C90932">
        <w:rPr>
          <w:rStyle w:val="StyleUnderline"/>
        </w:rPr>
        <w:t xml:space="preserve"> that should </w:t>
      </w:r>
      <w:r w:rsidRPr="00C90932">
        <w:rPr>
          <w:rStyle w:val="Emphasis"/>
        </w:rPr>
        <w:t>keep us awake at night</w:t>
      </w:r>
      <w:r w:rsidRPr="00C90932">
        <w:rPr>
          <w:sz w:val="14"/>
        </w:rPr>
        <w:t xml:space="preserve">. </w:t>
      </w:r>
      <w:r w:rsidRPr="00C90932">
        <w:rPr>
          <w:rStyle w:val="StyleUnderline"/>
        </w:rPr>
        <w:t xml:space="preserve">Rather than lead to </w:t>
      </w:r>
      <w:r w:rsidRPr="00C90932">
        <w:rPr>
          <w:rStyle w:val="Emphasis"/>
        </w:rPr>
        <w:t>inquietude</w:t>
      </w:r>
      <w:r w:rsidRPr="00C90932">
        <w:rPr>
          <w:rStyle w:val="StyleUnderline"/>
        </w:rPr>
        <w:t xml:space="preserve"> or </w:t>
      </w:r>
      <w:r w:rsidRPr="00C90932">
        <w:rPr>
          <w:rStyle w:val="Emphasis"/>
        </w:rPr>
        <w:t>apathy</w:t>
      </w:r>
      <w:r w:rsidRPr="00C90932">
        <w:rPr>
          <w:sz w:val="14"/>
        </w:rPr>
        <w:t xml:space="preserve">, the excess beyond our </w:t>
      </w:r>
      <w:r w:rsidRPr="00C90932">
        <w:rPr>
          <w:rStyle w:val="StyleUnderline"/>
        </w:rPr>
        <w:t xml:space="preserve">recognition keeps us </w:t>
      </w:r>
      <w:r w:rsidRPr="00C90932">
        <w:rPr>
          <w:rStyle w:val="Emphasis"/>
        </w:rPr>
        <w:t>actively searching</w:t>
      </w:r>
      <w:r w:rsidRPr="00C90932">
        <w:rPr>
          <w:rStyle w:val="StyleUnderline"/>
        </w:rPr>
        <w:t xml:space="preserve"> for better ways to approach justice </w:t>
      </w:r>
      <w:r w:rsidRPr="00C90932">
        <w:rPr>
          <w:rStyle w:val="Emphasis"/>
        </w:rPr>
        <w:t>without</w:t>
      </w:r>
      <w:r w:rsidRPr="00C90932">
        <w:rPr>
          <w:rStyle w:val="StyleUnderline"/>
        </w:rPr>
        <w:t xml:space="preserve"> resting on</w:t>
      </w:r>
      <w:r w:rsidRPr="00C90932">
        <w:rPr>
          <w:sz w:val="14"/>
        </w:rPr>
        <w:t xml:space="preserve"> moral rules or </w:t>
      </w:r>
      <w:r w:rsidRPr="00C90932">
        <w:rPr>
          <w:rStyle w:val="StyleUnderline"/>
        </w:rPr>
        <w:t>risk-benefit calculations</w:t>
      </w:r>
      <w:r w:rsidRPr="00C90932">
        <w:rPr>
          <w:sz w:val="14"/>
        </w:rPr>
        <w:t xml:space="preserve"> or self-righteous principles. The remainder beyond calculation, beyond recognition, demands that we continue to question our own principles and policies, that we continue to examine our concepts of justice and fairness and equality.</w:t>
      </w:r>
    </w:p>
    <w:p w14:paraId="0826FF19" w14:textId="77777777" w:rsidR="00C61852" w:rsidRPr="00C90932" w:rsidRDefault="00C61852" w:rsidP="00C90932">
      <w:pPr>
        <w:rPr>
          <w:sz w:val="14"/>
        </w:rPr>
      </w:pPr>
      <w:r w:rsidRPr="00C90932">
        <w:rPr>
          <w:sz w:val="14"/>
        </w:rPr>
        <w:t xml:space="preserve">An </w:t>
      </w:r>
      <w:r w:rsidRPr="00C90932">
        <w:rPr>
          <w:rStyle w:val="StyleUnderline"/>
        </w:rPr>
        <w:t>ethical politics</w:t>
      </w:r>
      <w:r w:rsidRPr="00C90932">
        <w:rPr>
          <w:sz w:val="14"/>
        </w:rPr>
        <w:t xml:space="preserve"> is one in which justice demands the hyper-vigilance self-critical reflection on where any response—ethical or political—necessarily falls short. It is an ongoing task that </w:t>
      </w:r>
      <w:r w:rsidRPr="00C90932">
        <w:rPr>
          <w:rStyle w:val="Emphasis"/>
        </w:rPr>
        <w:t>cannot end</w:t>
      </w:r>
      <w:r w:rsidRPr="00C90932">
        <w:rPr>
          <w:rStyle w:val="StyleUnderline"/>
        </w:rPr>
        <w:t xml:space="preserve"> with risk-benefit analysis</w:t>
      </w:r>
      <w:r w:rsidRPr="00C90932">
        <w:rPr>
          <w:sz w:val="14"/>
        </w:rPr>
        <w:t xml:space="preserve">. </w:t>
      </w:r>
      <w:r w:rsidRPr="00C90932">
        <w:rPr>
          <w:rStyle w:val="StyleUnderline"/>
        </w:rPr>
        <w:t xml:space="preserve">Despite the </w:t>
      </w:r>
      <w:r w:rsidRPr="00C90932">
        <w:rPr>
          <w:rStyle w:val="Emphasis"/>
        </w:rPr>
        <w:t>ethical insomnia</w:t>
      </w:r>
      <w:r w:rsidRPr="00C90932">
        <w:rPr>
          <w:rStyle w:val="StyleUnderline"/>
        </w:rPr>
        <w:t xml:space="preserve"> and </w:t>
      </w:r>
      <w:r w:rsidRPr="00C90932">
        <w:rPr>
          <w:rStyle w:val="Emphasis"/>
        </w:rPr>
        <w:t>political vertigo</w:t>
      </w:r>
      <w:r w:rsidRPr="00C90932">
        <w:rPr>
          <w:rStyle w:val="StyleUnderline"/>
        </w:rPr>
        <w:t xml:space="preserve"> caused by this interminable self-questioning</w:t>
      </w:r>
      <w:r w:rsidRPr="00C90932">
        <w:rPr>
          <w:sz w:val="14"/>
        </w:rPr>
        <w:t xml:space="preserve">, </w:t>
      </w:r>
      <w:r w:rsidRPr="00C90932">
        <w:rPr>
          <w:rStyle w:val="StyleUnderline"/>
        </w:rPr>
        <w:t xml:space="preserve">we must </w:t>
      </w:r>
      <w:r w:rsidRPr="00C90932">
        <w:rPr>
          <w:rStyle w:val="Emphasis"/>
        </w:rPr>
        <w:t>act</w:t>
      </w:r>
      <w:r w:rsidRPr="00C90932">
        <w:rPr>
          <w:sz w:val="14"/>
        </w:rPr>
        <w:t>—</w:t>
      </w:r>
      <w:r w:rsidRPr="00C90932">
        <w:rPr>
          <w:rStyle w:val="StyleUnderline"/>
        </w:rPr>
        <w:t xml:space="preserve">even </w:t>
      </w:r>
      <w:r w:rsidRPr="00C90932">
        <w:rPr>
          <w:rStyle w:val="Emphasis"/>
        </w:rPr>
        <w:t>leap</w:t>
      </w:r>
      <w:r w:rsidRPr="00C90932">
        <w:rPr>
          <w:sz w:val="14"/>
        </w:rPr>
        <w:t xml:space="preserve">. Although ultimately the gap between singularity and universality is impassible, </w:t>
      </w:r>
      <w:r w:rsidRPr="00C90932">
        <w:rPr>
          <w:rStyle w:val="StyleUnderline"/>
        </w:rPr>
        <w:t xml:space="preserve">the impossibility of achieving justice is </w:t>
      </w:r>
      <w:r w:rsidRPr="00C90932">
        <w:rPr>
          <w:rStyle w:val="Emphasis"/>
        </w:rPr>
        <w:t>no excuse</w:t>
      </w:r>
      <w:r w:rsidRPr="00C90932">
        <w:rPr>
          <w:rStyle w:val="StyleUnderline"/>
        </w:rPr>
        <w:t xml:space="preserve"> for not </w:t>
      </w:r>
      <w:r w:rsidRPr="00C90932">
        <w:rPr>
          <w:rStyle w:val="Emphasis"/>
          <w:sz w:val="30"/>
          <w:szCs w:val="30"/>
        </w:rPr>
        <w:t>attempting it every single day</w:t>
      </w:r>
      <w:r w:rsidRPr="00C90932">
        <w:rPr>
          <w:sz w:val="14"/>
        </w:rPr>
        <w:t>.</w:t>
      </w:r>
    </w:p>
    <w:p w14:paraId="5B150D3D" w14:textId="77777777" w:rsidR="00C61852" w:rsidRPr="00C90932" w:rsidRDefault="00C61852" w:rsidP="00C90932">
      <w:pPr>
        <w:rPr>
          <w:sz w:val="14"/>
        </w:rPr>
      </w:pPr>
      <w:r w:rsidRPr="00C90932">
        <w:rPr>
          <w:sz w:val="14"/>
        </w:rPr>
        <w:t>This tension between politics (which addresses itself to what can be seen, and to the universal, what can be shared), and ethics (which addressed itself to what cannot be seen, and to the singular, what cannot be shared) is the knot at the center of justice.</w:t>
      </w:r>
    </w:p>
    <w:p w14:paraId="51A9CEFA" w14:textId="77777777" w:rsidR="00C61852" w:rsidRPr="00C90932" w:rsidRDefault="00C61852" w:rsidP="00C90932">
      <w:pPr>
        <w:rPr>
          <w:sz w:val="14"/>
        </w:rPr>
      </w:pPr>
      <w:r w:rsidRPr="00C90932">
        <w:rPr>
          <w:rStyle w:val="StyleUnderline"/>
        </w:rPr>
        <w:t xml:space="preserve">Justice is </w:t>
      </w:r>
      <w:r w:rsidRPr="00C90932">
        <w:rPr>
          <w:rStyle w:val="Emphasis"/>
        </w:rPr>
        <w:t>antithetical</w:t>
      </w:r>
      <w:r w:rsidRPr="00C90932">
        <w:rPr>
          <w:rStyle w:val="StyleUnderline"/>
        </w:rPr>
        <w:t xml:space="preserve"> to utilitarian ethics insofar as individuals are </w:t>
      </w:r>
      <w:r w:rsidRPr="00C90932">
        <w:rPr>
          <w:rStyle w:val="Emphasis"/>
        </w:rPr>
        <w:t>not fungible units</w:t>
      </w:r>
      <w:r w:rsidRPr="00C90932">
        <w:rPr>
          <w:rStyle w:val="StyleUnderline"/>
        </w:rPr>
        <w:t xml:space="preserve"> that can be exchanged</w:t>
      </w:r>
      <w:r w:rsidRPr="00C90932">
        <w:rPr>
          <w:sz w:val="14"/>
        </w:rPr>
        <w:t xml:space="preserve">. </w:t>
      </w:r>
      <w:r w:rsidRPr="00C90932">
        <w:rPr>
          <w:rStyle w:val="StyleUnderline"/>
        </w:rPr>
        <w:t xml:space="preserve">Utilitarianism relies on the </w:t>
      </w:r>
      <w:r w:rsidRPr="00C90932">
        <w:rPr>
          <w:rStyle w:val="Emphasis"/>
        </w:rPr>
        <w:t>calculability</w:t>
      </w:r>
      <w:r w:rsidRPr="00C90932">
        <w:rPr>
          <w:rStyle w:val="StyleUnderline"/>
        </w:rPr>
        <w:t xml:space="preserve"> of</w:t>
      </w:r>
      <w:r w:rsidRPr="00C90932">
        <w:rPr>
          <w:sz w:val="14"/>
        </w:rPr>
        <w:t xml:space="preserve"> pain, suffering, </w:t>
      </w:r>
      <w:r w:rsidRPr="00C90932">
        <w:rPr>
          <w:rStyle w:val="Emphasis"/>
        </w:rPr>
        <w:t>survival</w:t>
      </w:r>
      <w:r w:rsidRPr="00C90932">
        <w:rPr>
          <w:sz w:val="14"/>
        </w:rPr>
        <w:t xml:space="preserve">, </w:t>
      </w:r>
      <w:r w:rsidRPr="00C90932">
        <w:rPr>
          <w:rStyle w:val="StyleUnderline"/>
        </w:rPr>
        <w:t>or the quality of life</w:t>
      </w:r>
      <w:r w:rsidRPr="00C90932">
        <w:rPr>
          <w:sz w:val="14"/>
        </w:rPr>
        <w:t xml:space="preserve"> itself. And the </w:t>
      </w:r>
      <w:r w:rsidRPr="00C90932">
        <w:rPr>
          <w:rStyle w:val="StyleUnderline"/>
        </w:rPr>
        <w:t xml:space="preserve">utilitarian calculus relies on determining </w:t>
      </w:r>
      <w:r w:rsidRPr="00C90932">
        <w:rPr>
          <w:rStyle w:val="Emphasis"/>
        </w:rPr>
        <w:t>thresholds</w:t>
      </w:r>
      <w:r w:rsidRPr="00C90932">
        <w:rPr>
          <w:rStyle w:val="StyleUnderline"/>
        </w:rPr>
        <w:t xml:space="preserve"> that separate individuals into groups</w:t>
      </w:r>
      <w:r w:rsidRPr="00C90932">
        <w:rPr>
          <w:sz w:val="14"/>
        </w:rPr>
        <w:t xml:space="preserve">, whether it is those who are members of the moral community or the polis, and those who are not (for example animals), or those </w:t>
      </w:r>
      <w:r w:rsidRPr="00C90932">
        <w:rPr>
          <w:rStyle w:val="StyleUnderline"/>
        </w:rPr>
        <w:t xml:space="preserve">whose lives are </w:t>
      </w:r>
      <w:r w:rsidRPr="00C90932">
        <w:rPr>
          <w:rStyle w:val="Emphasis"/>
        </w:rPr>
        <w:t>worth saving</w:t>
      </w:r>
      <w:r w:rsidRPr="00C90932">
        <w:rPr>
          <w:rStyle w:val="StyleUnderline"/>
        </w:rPr>
        <w:t xml:space="preserve"> and those whose lives are </w:t>
      </w:r>
      <w:r w:rsidRPr="00C90932">
        <w:rPr>
          <w:rStyle w:val="Emphasis"/>
        </w:rPr>
        <w:t>not</w:t>
      </w:r>
      <w:r w:rsidRPr="00C90932">
        <w:rPr>
          <w:sz w:val="14"/>
        </w:rPr>
        <w:t>.</w:t>
      </w:r>
    </w:p>
    <w:p w14:paraId="7A762349" w14:textId="77777777" w:rsidR="00C61852" w:rsidRPr="00C90932" w:rsidRDefault="00C61852" w:rsidP="00C90932">
      <w:pPr>
        <w:rPr>
          <w:sz w:val="14"/>
        </w:rPr>
      </w:pPr>
      <w:r w:rsidRPr="00C90932">
        <w:rPr>
          <w:sz w:val="14"/>
        </w:rPr>
        <w:t xml:space="preserve">At some point, however, </w:t>
      </w:r>
      <w:r w:rsidRPr="00C90932">
        <w:rPr>
          <w:rStyle w:val="StyleUnderline"/>
        </w:rPr>
        <w:t xml:space="preserve">this type of line-drawing </w:t>
      </w:r>
      <w:r w:rsidRPr="00C90932">
        <w:rPr>
          <w:rStyle w:val="Emphasis"/>
        </w:rPr>
        <w:t>inevitably</w:t>
      </w:r>
      <w:r w:rsidRPr="00C90932">
        <w:rPr>
          <w:rStyle w:val="StyleUnderline"/>
        </w:rPr>
        <w:t xml:space="preserve"> becomes either </w:t>
      </w:r>
      <w:r w:rsidRPr="00C90932">
        <w:rPr>
          <w:rStyle w:val="Emphasis"/>
        </w:rPr>
        <w:t>political</w:t>
      </w:r>
      <w:r w:rsidRPr="00C90932">
        <w:rPr>
          <w:rStyle w:val="StyleUnderline"/>
        </w:rPr>
        <w:t xml:space="preserve"> or </w:t>
      </w:r>
      <w:r w:rsidRPr="00C90932">
        <w:rPr>
          <w:rStyle w:val="Emphasis"/>
        </w:rPr>
        <w:t>arbitrary</w:t>
      </w:r>
      <w:r w:rsidRPr="00C90932">
        <w:rPr>
          <w:sz w:val="14"/>
        </w:rPr>
        <w:t xml:space="preserve">. Take debates over the basis for membership in the moral community. What are the criteria for membership? Intelligence, language, reason, sentience, the ability to suffer? And </w:t>
      </w:r>
      <w:r w:rsidRPr="00C90932">
        <w:rPr>
          <w:rStyle w:val="StyleUnderline"/>
        </w:rPr>
        <w:t>whatever we decide should be the criteria</w:t>
      </w:r>
      <w:r w:rsidRPr="00C90932">
        <w:rPr>
          <w:sz w:val="14"/>
        </w:rPr>
        <w:t xml:space="preserve">, </w:t>
      </w:r>
      <w:r w:rsidRPr="00C90932">
        <w:rPr>
          <w:rStyle w:val="StyleUnderline"/>
        </w:rPr>
        <w:t xml:space="preserve">where do we </w:t>
      </w:r>
      <w:r w:rsidRPr="00C90932">
        <w:rPr>
          <w:rStyle w:val="Emphasis"/>
        </w:rPr>
        <w:t>draw the line</w:t>
      </w:r>
      <w:r w:rsidRPr="00C90932">
        <w:rPr>
          <w:rStyle w:val="StyleUnderline"/>
        </w:rPr>
        <w:t>?</w:t>
      </w:r>
      <w:r w:rsidRPr="00C90932">
        <w:rPr>
          <w:sz w:val="14"/>
        </w:rPr>
        <w:t xml:space="preserve"> For example, what counts as a language? Does the bees signal dance count? Or, as some argue, is it merely a code and not a language? What counts as intelligence? Peter Singer argues that great apes should be extended rights or admitted to the moral community based on their intelligence, which is greater than severely mentally disabled persons (see Singer, 1999; McMahan, 2009; Anstötz, 1993).Footnote 11 Some disability scholars such as Eva Kittay have argued against this comparison, insisting that human beings should be accorded special status regardless of their mental abilities (Kittay, 1998a, b, 2009).Footnote 12 The controversy over Singer’s argument demonstrates how </w:t>
      </w:r>
      <w:r w:rsidRPr="00C90932">
        <w:rPr>
          <w:rStyle w:val="StyleUnderline"/>
        </w:rPr>
        <w:t xml:space="preserve">utilitarian line-drawing is always a </w:t>
      </w:r>
      <w:r w:rsidRPr="00C90932">
        <w:rPr>
          <w:rStyle w:val="Emphasis"/>
        </w:rPr>
        <w:t>fraught endeavor</w:t>
      </w:r>
      <w:r w:rsidRPr="00C90932">
        <w:rPr>
          <w:rStyle w:val="StyleUnderline"/>
        </w:rPr>
        <w:t xml:space="preserve"> that ultimately rests on an </w:t>
      </w:r>
      <w:r w:rsidRPr="00C90932">
        <w:rPr>
          <w:rStyle w:val="Emphasis"/>
        </w:rPr>
        <w:t>arbitrary cut off point</w:t>
      </w:r>
      <w:r w:rsidRPr="00C90932">
        <w:rPr>
          <w:sz w:val="14"/>
        </w:rPr>
        <w:t>.</w:t>
      </w:r>
    </w:p>
    <w:p w14:paraId="213498E3" w14:textId="77777777" w:rsidR="00C61852" w:rsidRPr="00C90932" w:rsidRDefault="00C61852" w:rsidP="00C90932">
      <w:pPr>
        <w:rPr>
          <w:sz w:val="14"/>
        </w:rPr>
      </w:pPr>
      <w:r w:rsidRPr="00C90932">
        <w:rPr>
          <w:sz w:val="14"/>
        </w:rPr>
        <w:t>For example, in Animal Liberation, Singer draws the line between calms and shellfish, who supposedly cannot feel pain (Singer, 1990, 173–4).Footnote 13 But what if we learn that shellfish can feel pain? In all these utilitarian endeavors, the liminal cases are unsettling because they reveal the arbitrariness of borders and the inadequacy of general classifications. This type of line-drawing or threshold not only ignores the singularity of each individual, but also poses an arbitrary or political dividing line as a natural border. The same is true of national borders used to keep migrants out.</w:t>
      </w:r>
    </w:p>
    <w:p w14:paraId="79DA0F8F" w14:textId="77777777" w:rsidR="00C61852" w:rsidRPr="00C90932" w:rsidRDefault="00C61852" w:rsidP="00C90932">
      <w:pPr>
        <w:rPr>
          <w:sz w:val="14"/>
        </w:rPr>
      </w:pPr>
      <w:r w:rsidRPr="00C90932">
        <w:rPr>
          <w:sz w:val="14"/>
        </w:rPr>
        <w:t>We see something similar in covid triage medicine where triage protocols disadvantage whole classes of people. Old people, disabled people, cancer survivors. The coronavirus lays bare the fantasy of calculable criteria as an ethical way of life. Covid reveals gaping inequities in the length and quality of life caused by social and economic “pre-existing conditions.” Celebrities and politicians from Madonna to Andrew Cuomo called the coronavirus the “great equalizer.” In March 2020, Cuomo tweeted “This virus is the great equalizer.” In reality, covid is the great unequalizer… Footnote 14</w:t>
      </w:r>
    </w:p>
    <w:p w14:paraId="3D93CBA6" w14:textId="77777777" w:rsidR="00C61852" w:rsidRPr="00C90932" w:rsidRDefault="00C61852" w:rsidP="00C90932">
      <w:pPr>
        <w:rPr>
          <w:sz w:val="14"/>
        </w:rPr>
      </w:pPr>
      <w:r w:rsidRPr="00C90932">
        <w:rPr>
          <w:sz w:val="14"/>
        </w:rPr>
        <w:t xml:space="preserve">The pandemic forces doctors and nurses to make impossible decisions about who is given the chance to live and who will die. But these decisions exist in the context of pre-existing conditions of poverty, racism, and unequal access to health care that skew any attempt at fair or reasonable calculation. In a fair and just world, there would be adequate resources available to everyone. Tragically, the real world is not so fair or just. And </w:t>
      </w:r>
      <w:r w:rsidRPr="00C90932">
        <w:rPr>
          <w:rStyle w:val="StyleUnderline"/>
        </w:rPr>
        <w:t xml:space="preserve">risk-benefit analysis and calculative reasoning become the justification for </w:t>
      </w:r>
      <w:r w:rsidRPr="00C90932">
        <w:rPr>
          <w:rStyle w:val="Emphasis"/>
        </w:rPr>
        <w:t>allowing some to die</w:t>
      </w:r>
      <w:r w:rsidRPr="00C90932">
        <w:rPr>
          <w:sz w:val="14"/>
        </w:rPr>
        <w:t xml:space="preserve">. </w:t>
      </w:r>
      <w:r w:rsidRPr="00C90932">
        <w:rPr>
          <w:rStyle w:val="StyleUnderline"/>
        </w:rPr>
        <w:t xml:space="preserve">When those calculations pose as </w:t>
      </w:r>
      <w:r w:rsidRPr="00C90932">
        <w:rPr>
          <w:rStyle w:val="Emphasis"/>
        </w:rPr>
        <w:t>justice</w:t>
      </w:r>
      <w:r w:rsidRPr="00C90932">
        <w:rPr>
          <w:rStyle w:val="StyleUnderline"/>
        </w:rPr>
        <w:t xml:space="preserve"> or </w:t>
      </w:r>
      <w:r w:rsidRPr="00C90932">
        <w:rPr>
          <w:rStyle w:val="Emphasis"/>
        </w:rPr>
        <w:t>fairness</w:t>
      </w:r>
      <w:r w:rsidRPr="00C90932">
        <w:rPr>
          <w:sz w:val="14"/>
        </w:rPr>
        <w:t xml:space="preserve">, </w:t>
      </w:r>
      <w:r w:rsidRPr="00C90932">
        <w:rPr>
          <w:rStyle w:val="StyleUnderline"/>
        </w:rPr>
        <w:t xml:space="preserve">and when they allow us to feel </w:t>
      </w:r>
      <w:r w:rsidRPr="00C90932">
        <w:rPr>
          <w:rStyle w:val="Emphasis"/>
        </w:rPr>
        <w:t>certain</w:t>
      </w:r>
      <w:r w:rsidRPr="00C90932">
        <w:rPr>
          <w:sz w:val="14"/>
        </w:rPr>
        <w:t xml:space="preserve">, even righteous, </w:t>
      </w:r>
      <w:r w:rsidRPr="00C90932">
        <w:rPr>
          <w:rStyle w:val="StyleUnderline"/>
        </w:rPr>
        <w:t xml:space="preserve">in our </w:t>
      </w:r>
      <w:r w:rsidRPr="00C90932">
        <w:rPr>
          <w:rStyle w:val="Emphasis"/>
        </w:rPr>
        <w:t>decisions</w:t>
      </w:r>
      <w:r w:rsidRPr="00C90932">
        <w:rPr>
          <w:sz w:val="14"/>
        </w:rPr>
        <w:t xml:space="preserve">, then </w:t>
      </w:r>
      <w:r w:rsidRPr="00C90932">
        <w:rPr>
          <w:rStyle w:val="StyleUnderline"/>
        </w:rPr>
        <w:t xml:space="preserve">they risk a </w:t>
      </w:r>
      <w:r w:rsidRPr="00C90932">
        <w:rPr>
          <w:rStyle w:val="Emphasis"/>
        </w:rPr>
        <w:t>slippery slope</w:t>
      </w:r>
      <w:r w:rsidRPr="00C90932">
        <w:rPr>
          <w:rStyle w:val="StyleUnderline"/>
        </w:rPr>
        <w:t xml:space="preserve"> that leads us to a place where </w:t>
      </w:r>
      <w:r w:rsidRPr="00C90932">
        <w:rPr>
          <w:rStyle w:val="Emphasis"/>
        </w:rPr>
        <w:t>any</w:t>
      </w:r>
      <w:r w:rsidRPr="00C90932">
        <w:rPr>
          <w:rStyle w:val="StyleUnderline"/>
        </w:rPr>
        <w:t xml:space="preserve"> and </w:t>
      </w:r>
      <w:r w:rsidRPr="00C90932">
        <w:rPr>
          <w:rStyle w:val="Emphasis"/>
        </w:rPr>
        <w:t>all life</w:t>
      </w:r>
      <w:r w:rsidRPr="00C90932">
        <w:rPr>
          <w:rStyle w:val="StyleUnderline"/>
        </w:rPr>
        <w:t xml:space="preserve"> can become </w:t>
      </w:r>
      <w:r w:rsidRPr="00C90932">
        <w:rPr>
          <w:rStyle w:val="Emphasis"/>
        </w:rPr>
        <w:t>disposable</w:t>
      </w:r>
      <w:r w:rsidRPr="00C90932">
        <w:rPr>
          <w:sz w:val="14"/>
        </w:rPr>
        <w:t>.</w:t>
      </w:r>
    </w:p>
    <w:p w14:paraId="69F86BF4" w14:textId="77777777" w:rsidR="00C61852" w:rsidRPr="00C90932" w:rsidRDefault="00C61852" w:rsidP="00C90932">
      <w:pPr>
        <w:rPr>
          <w:sz w:val="14"/>
        </w:rPr>
      </w:pPr>
      <w:r w:rsidRPr="00C90932">
        <w:rPr>
          <w:sz w:val="14"/>
        </w:rPr>
        <w:t>The pandemic has made painfully clear the limitations of risk-benefit analysis and calculative reasoning. Doctors and nurses report being traumatized when forced to decide who will get life saving resources. Face-to-face with patients, risk-benefit calculations are not as straight forward as the mathematical or statistical modelling suggests.</w:t>
      </w:r>
    </w:p>
    <w:p w14:paraId="7A5268DF" w14:textId="77777777" w:rsidR="00C61852" w:rsidRPr="00C90932" w:rsidRDefault="00C61852" w:rsidP="00C90932">
      <w:pPr>
        <w:rPr>
          <w:sz w:val="14"/>
        </w:rPr>
      </w:pPr>
      <w:r w:rsidRPr="00C90932">
        <w:rPr>
          <w:sz w:val="14"/>
        </w:rPr>
        <w:t>A group of research physicians at the University of California, describes the problem:</w:t>
      </w:r>
    </w:p>
    <w:p w14:paraId="468E2F2B" w14:textId="77777777" w:rsidR="00C61852" w:rsidRPr="00C90932" w:rsidRDefault="00C61852" w:rsidP="00C90932">
      <w:pPr>
        <w:rPr>
          <w:sz w:val="14"/>
        </w:rPr>
      </w:pPr>
      <w:r w:rsidRPr="00C90932">
        <w:rPr>
          <w:rStyle w:val="StyleUnderline"/>
        </w:rPr>
        <w:t>Utilitarian approaches</w:t>
      </w:r>
      <w:r w:rsidRPr="00C90932">
        <w:rPr>
          <w:sz w:val="14"/>
        </w:rPr>
        <w:t xml:space="preserve"> to ethical problems </w:t>
      </w:r>
      <w:r w:rsidRPr="00C90932">
        <w:rPr>
          <w:rStyle w:val="StyleUnderline"/>
        </w:rPr>
        <w:t xml:space="preserve">often </w:t>
      </w:r>
      <w:r w:rsidRPr="00C90932">
        <w:rPr>
          <w:rStyle w:val="Emphasis"/>
        </w:rPr>
        <w:t>appear</w:t>
      </w:r>
      <w:r w:rsidRPr="00C90932">
        <w:rPr>
          <w:rStyle w:val="StyleUnderline"/>
        </w:rPr>
        <w:t xml:space="preserve"> to be </w:t>
      </w:r>
      <w:r w:rsidRPr="00C90932">
        <w:rPr>
          <w:rStyle w:val="Emphasis"/>
        </w:rPr>
        <w:t>more practical</w:t>
      </w:r>
      <w:r w:rsidRPr="00C90932">
        <w:rPr>
          <w:rStyle w:val="StyleUnderline"/>
        </w:rPr>
        <w:t xml:space="preserve"> than many alternatives</w:t>
      </w:r>
      <w:r w:rsidRPr="00C90932">
        <w:rPr>
          <w:sz w:val="14"/>
        </w:rPr>
        <w:t xml:space="preserve">: </w:t>
      </w:r>
      <w:r w:rsidRPr="00C90932">
        <w:rPr>
          <w:rStyle w:val="StyleUnderline"/>
        </w:rPr>
        <w:t xml:space="preserve">we can </w:t>
      </w:r>
      <w:r w:rsidRPr="00C90932">
        <w:rPr>
          <w:rStyle w:val="Emphasis"/>
        </w:rPr>
        <w:t>know</w:t>
      </w:r>
      <w:r w:rsidRPr="00C90932">
        <w:rPr>
          <w:rStyle w:val="StyleUnderline"/>
        </w:rPr>
        <w:t xml:space="preserve"> what the right course of action is by calculating whichever choice will produce the </w:t>
      </w:r>
      <w:r w:rsidRPr="00C90932">
        <w:rPr>
          <w:rStyle w:val="Emphasis"/>
        </w:rPr>
        <w:t>greatest good</w:t>
      </w:r>
      <w:r w:rsidRPr="00C90932">
        <w:rPr>
          <w:rStyle w:val="StyleUnderline"/>
        </w:rPr>
        <w:t xml:space="preserve"> for the </w:t>
      </w:r>
      <w:r w:rsidRPr="00C90932">
        <w:rPr>
          <w:rStyle w:val="Emphasis"/>
        </w:rPr>
        <w:t>greatest number</w:t>
      </w:r>
      <w:r w:rsidRPr="00C90932">
        <w:rPr>
          <w:sz w:val="14"/>
        </w:rPr>
        <w:t xml:space="preserve">. Part of the appeal of utilitarian ethics is that it seems like it should “work.” </w:t>
      </w:r>
      <w:r w:rsidRPr="00C90932">
        <w:rPr>
          <w:rStyle w:val="StyleUnderline"/>
        </w:rPr>
        <w:t xml:space="preserve">In the </w:t>
      </w:r>
      <w:r w:rsidRPr="00C90932">
        <w:rPr>
          <w:rStyle w:val="Emphasis"/>
        </w:rPr>
        <w:t>real world</w:t>
      </w:r>
      <w:r w:rsidRPr="00C90932">
        <w:rPr>
          <w:sz w:val="14"/>
        </w:rPr>
        <w:t xml:space="preserve">, however, </w:t>
      </w:r>
      <w:r w:rsidRPr="00C90932">
        <w:rPr>
          <w:rStyle w:val="StyleUnderline"/>
        </w:rPr>
        <w:t xml:space="preserve">performing the relevant calculations can be </w:t>
      </w:r>
      <w:r w:rsidRPr="00C90932">
        <w:rPr>
          <w:rStyle w:val="Emphasis"/>
        </w:rPr>
        <w:t>far from easy</w:t>
      </w:r>
      <w:r w:rsidRPr="00C90932">
        <w:rPr>
          <w:sz w:val="14"/>
        </w:rPr>
        <w:t xml:space="preserve">. This is especially true in crisis situations. </w:t>
      </w:r>
      <w:r w:rsidRPr="00C90932">
        <w:rPr>
          <w:rStyle w:val="StyleUnderline"/>
        </w:rPr>
        <w:t xml:space="preserve">It may be </w:t>
      </w:r>
      <w:r w:rsidRPr="00C90932">
        <w:rPr>
          <w:rStyle w:val="Emphasis"/>
        </w:rPr>
        <w:t>impossible</w:t>
      </w:r>
      <w:r w:rsidRPr="00C90932">
        <w:rPr>
          <w:rStyle w:val="StyleUnderline"/>
        </w:rPr>
        <w:t xml:space="preserve"> to collect the </w:t>
      </w:r>
      <w:r w:rsidRPr="00C90932">
        <w:rPr>
          <w:rStyle w:val="Emphasis"/>
        </w:rPr>
        <w:t>data</w:t>
      </w:r>
      <w:r w:rsidRPr="00C90932">
        <w:rPr>
          <w:rStyle w:val="StyleUnderline"/>
        </w:rPr>
        <w:t xml:space="preserve"> needed</w:t>
      </w:r>
      <w:r w:rsidRPr="00C90932">
        <w:rPr>
          <w:sz w:val="14"/>
        </w:rPr>
        <w:t xml:space="preserve"> as input for the calculations, it may be difficult or impossible </w:t>
      </w:r>
      <w:r w:rsidRPr="00C90932">
        <w:rPr>
          <w:rStyle w:val="StyleUnderline"/>
        </w:rPr>
        <w:t xml:space="preserve">to create the </w:t>
      </w:r>
      <w:r w:rsidRPr="00C90932">
        <w:rPr>
          <w:rStyle w:val="Emphasis"/>
        </w:rPr>
        <w:t>decision rules</w:t>
      </w:r>
      <w:r w:rsidRPr="00C90932">
        <w:rPr>
          <w:sz w:val="14"/>
        </w:rPr>
        <w:t xml:space="preserve"> (predicting prognosis or comparing outcomes) that constitute the calculations, </w:t>
      </w:r>
      <w:r w:rsidRPr="00C90932">
        <w:rPr>
          <w:rStyle w:val="StyleUnderline"/>
        </w:rPr>
        <w:t xml:space="preserve">the calculator may be </w:t>
      </w:r>
      <w:r w:rsidRPr="00C90932">
        <w:rPr>
          <w:rStyle w:val="Emphasis"/>
        </w:rPr>
        <w:t>impaired</w:t>
      </w:r>
      <w:r w:rsidRPr="00C90932">
        <w:rPr>
          <w:rStyle w:val="StyleUnderline"/>
        </w:rPr>
        <w:t xml:space="preserve"> by any number of different factors</w:t>
      </w:r>
      <w:r w:rsidRPr="00C90932">
        <w:rPr>
          <w:sz w:val="14"/>
        </w:rPr>
        <w:t xml:space="preserve"> (moral distress, fatigue, internal and external pressures, etc.) </w:t>
      </w:r>
      <w:r w:rsidRPr="00C90932">
        <w:rPr>
          <w:rStyle w:val="StyleUnderline"/>
        </w:rPr>
        <w:t xml:space="preserve">or </w:t>
      </w:r>
      <w:r w:rsidRPr="00C90932">
        <w:rPr>
          <w:rStyle w:val="Emphasis"/>
        </w:rPr>
        <w:t>non-utilitarian moral constraints</w:t>
      </w:r>
      <w:r w:rsidRPr="00C90932">
        <w:rPr>
          <w:sz w:val="14"/>
        </w:rPr>
        <w:t xml:space="preserve"> (such as superseding egalitarian policies, or even exponentially increasing crisis severity) </w:t>
      </w:r>
      <w:r w:rsidRPr="00C90932">
        <w:rPr>
          <w:rStyle w:val="StyleUnderline"/>
        </w:rPr>
        <w:t xml:space="preserve">can make utilitarian approaches </w:t>
      </w:r>
      <w:r w:rsidRPr="00C90932">
        <w:rPr>
          <w:rStyle w:val="Emphasis"/>
        </w:rPr>
        <w:t>infeasible</w:t>
      </w:r>
      <w:r w:rsidRPr="00C90932">
        <w:rPr>
          <w:sz w:val="14"/>
        </w:rPr>
        <w:t>. (Fedyk et al., 2020)Footnote 15</w:t>
      </w:r>
    </w:p>
    <w:p w14:paraId="57B45DB6" w14:textId="77777777" w:rsidR="00C61852" w:rsidRPr="00C90932" w:rsidRDefault="00C61852" w:rsidP="00C90932">
      <w:pPr>
        <w:rPr>
          <w:sz w:val="14"/>
        </w:rPr>
      </w:pPr>
      <w:r w:rsidRPr="00C90932">
        <w:rPr>
          <w:sz w:val="14"/>
        </w:rPr>
        <w:t>2.4 The “Lessor of Evils”</w:t>
      </w:r>
    </w:p>
    <w:p w14:paraId="3D7BE7D5" w14:textId="77777777" w:rsidR="00C61852" w:rsidRPr="00C90932" w:rsidRDefault="00C61852" w:rsidP="00C90932">
      <w:pPr>
        <w:rPr>
          <w:sz w:val="14"/>
        </w:rPr>
      </w:pPr>
      <w:r w:rsidRPr="00C90932">
        <w:rPr>
          <w:rStyle w:val="StyleUnderline"/>
        </w:rPr>
        <w:t>Rather than an ethical solution</w:t>
      </w:r>
      <w:r w:rsidRPr="00C90932">
        <w:rPr>
          <w:sz w:val="14"/>
        </w:rPr>
        <w:t xml:space="preserve">, </w:t>
      </w:r>
      <w:r w:rsidRPr="00C90932">
        <w:rPr>
          <w:rStyle w:val="StyleUnderline"/>
        </w:rPr>
        <w:t>utilitarian risk-benefit analysis</w:t>
      </w:r>
      <w:r w:rsidRPr="00C90932">
        <w:rPr>
          <w:sz w:val="14"/>
        </w:rPr>
        <w:t xml:space="preserve"> in a triage medicine </w:t>
      </w:r>
      <w:r w:rsidRPr="00C90932">
        <w:rPr>
          <w:rStyle w:val="StyleUnderline"/>
        </w:rPr>
        <w:t>is a</w:t>
      </w:r>
      <w:r w:rsidRPr="00C90932">
        <w:rPr>
          <w:sz w:val="14"/>
        </w:rPr>
        <w:t xml:space="preserve"> “</w:t>
      </w:r>
      <w:r w:rsidRPr="00C90932">
        <w:rPr>
          <w:rStyle w:val="Emphasis"/>
        </w:rPr>
        <w:t>lesser</w:t>
      </w:r>
      <w:r w:rsidRPr="00C90932">
        <w:rPr>
          <w:sz w:val="14"/>
        </w:rPr>
        <w:t xml:space="preserve"> of the </w:t>
      </w:r>
      <w:r w:rsidRPr="00C90932">
        <w:rPr>
          <w:rStyle w:val="Emphasis"/>
        </w:rPr>
        <w:t>evils</w:t>
      </w:r>
      <w:r w:rsidRPr="00C90932">
        <w:rPr>
          <w:sz w:val="14"/>
        </w:rPr>
        <w:t xml:space="preserve">” </w:t>
      </w:r>
      <w:r w:rsidRPr="00C90932">
        <w:rPr>
          <w:rStyle w:val="StyleUnderline"/>
        </w:rPr>
        <w:t>approach</w:t>
      </w:r>
      <w:r w:rsidRPr="00C90932">
        <w:rPr>
          <w:sz w:val="14"/>
        </w:rPr>
        <w:t>. In fact, as I discovered doing research for Carceral Humanitarianism, when discussing both humanitarian aid and warfare, experts described risk-benefit and collateral damage calculations as the “lessor of the evils” (Oliver, 2017). Some even see these policies of assessing collateral damage as preventing the worst evil by preventing massacre, genocide, and mass death. But as Hannah Arendt reminds us, “</w:t>
      </w:r>
      <w:r w:rsidRPr="00C90932">
        <w:rPr>
          <w:rStyle w:val="StyleUnderline"/>
        </w:rPr>
        <w:t xml:space="preserve">Those who choose the lesser evil </w:t>
      </w:r>
      <w:r w:rsidRPr="00C90932">
        <w:rPr>
          <w:rStyle w:val="Emphasis"/>
        </w:rPr>
        <w:t>forget very quickly</w:t>
      </w:r>
      <w:r w:rsidRPr="00C90932">
        <w:rPr>
          <w:rStyle w:val="StyleUnderline"/>
        </w:rPr>
        <w:t xml:space="preserve"> that they </w:t>
      </w:r>
      <w:r w:rsidRPr="00C90932">
        <w:rPr>
          <w:rStyle w:val="Emphasis"/>
        </w:rPr>
        <w:t>still chose evil</w:t>
      </w:r>
      <w:r w:rsidRPr="00C90932">
        <w:rPr>
          <w:sz w:val="14"/>
        </w:rPr>
        <w:t>” (Arendt, 2003, 30).Footnote 16</w:t>
      </w:r>
    </w:p>
    <w:p w14:paraId="5579B29D" w14:textId="77777777" w:rsidR="00C61852" w:rsidRPr="00C90932" w:rsidRDefault="00C61852" w:rsidP="00C90932">
      <w:pPr>
        <w:rPr>
          <w:sz w:val="14"/>
        </w:rPr>
      </w:pPr>
      <w:r w:rsidRPr="00C90932">
        <w:rPr>
          <w:sz w:val="14"/>
        </w:rPr>
        <w:t xml:space="preserve">In Carceral Humanitarianism, I consider the question of “the worst” violence. There, I argue that contemporary logics of proportionality employed by both humanitarian aid organization and humanitarian military operations are designed to mitigate and control violence and death to avoid the worst violence and death, according to calculations of the “lessor of evils.” Thus, </w:t>
      </w:r>
      <w:r w:rsidRPr="00C90932">
        <w:rPr>
          <w:rStyle w:val="StyleUnderline"/>
        </w:rPr>
        <w:t>we must ask what is the</w:t>
      </w:r>
      <w:r w:rsidRPr="00C90932">
        <w:rPr>
          <w:sz w:val="14"/>
        </w:rPr>
        <w:t xml:space="preserve"> “most evil,” or the </w:t>
      </w:r>
      <w:r w:rsidRPr="00C90932">
        <w:rPr>
          <w:rStyle w:val="Emphasis"/>
        </w:rPr>
        <w:t>worst</w:t>
      </w:r>
      <w:r w:rsidRPr="00C90932">
        <w:rPr>
          <w:rStyle w:val="StyleUnderline"/>
        </w:rPr>
        <w:t xml:space="preserve"> evil</w:t>
      </w:r>
      <w:r w:rsidRPr="00C90932">
        <w:rPr>
          <w:sz w:val="14"/>
        </w:rPr>
        <w:t>. We may think of genocide as the worst evil, and, in the West, “the worst” is often shorthand for the “final solution” and the Holocaust. Since the end of World War II, and the Cold War, “</w:t>
      </w:r>
      <w:r w:rsidRPr="00C90932">
        <w:rPr>
          <w:rStyle w:val="StyleUnderline"/>
        </w:rPr>
        <w:t xml:space="preserve">the </w:t>
      </w:r>
      <w:r w:rsidRPr="00C90932">
        <w:rPr>
          <w:rStyle w:val="Emphasis"/>
        </w:rPr>
        <w:t>worst</w:t>
      </w:r>
      <w:r w:rsidRPr="00C90932">
        <w:rPr>
          <w:sz w:val="14"/>
        </w:rPr>
        <w:t xml:space="preserve">” </w:t>
      </w:r>
      <w:r w:rsidRPr="00C90932">
        <w:rPr>
          <w:rStyle w:val="StyleUnderline"/>
        </w:rPr>
        <w:t>has become associated with</w:t>
      </w:r>
      <w:r w:rsidRPr="00C90932">
        <w:rPr>
          <w:sz w:val="14"/>
        </w:rPr>
        <w:t xml:space="preserve"> the possibility of nuclear war, even </w:t>
      </w:r>
      <w:r w:rsidRPr="00C90932">
        <w:rPr>
          <w:rStyle w:val="StyleUnderline"/>
        </w:rPr>
        <w:t xml:space="preserve">the destruction of the </w:t>
      </w:r>
      <w:r w:rsidRPr="00C90932">
        <w:rPr>
          <w:rStyle w:val="Emphasis"/>
        </w:rPr>
        <w:t>entire planet</w:t>
      </w:r>
      <w:r w:rsidRPr="00C90932">
        <w:rPr>
          <w:sz w:val="14"/>
        </w:rPr>
        <w:t>.</w:t>
      </w:r>
    </w:p>
    <w:p w14:paraId="38C621E1" w14:textId="77777777" w:rsidR="00C61852" w:rsidRPr="00C90932" w:rsidRDefault="00C61852" w:rsidP="00C90932">
      <w:pPr>
        <w:rPr>
          <w:sz w:val="14"/>
        </w:rPr>
      </w:pPr>
      <w:r w:rsidRPr="00C90932">
        <w:rPr>
          <w:rStyle w:val="StyleUnderline"/>
        </w:rPr>
        <w:t xml:space="preserve">What if the worst is a result of the </w:t>
      </w:r>
      <w:r w:rsidRPr="00C90932">
        <w:rPr>
          <w:rStyle w:val="Emphasis"/>
        </w:rPr>
        <w:t>logic of calculation</w:t>
      </w:r>
      <w:r w:rsidRPr="00C90932">
        <w:rPr>
          <w:rStyle w:val="StyleUnderline"/>
        </w:rPr>
        <w:t xml:space="preserve"> taken to the </w:t>
      </w:r>
      <w:r w:rsidRPr="00C90932">
        <w:rPr>
          <w:rStyle w:val="Emphasis"/>
        </w:rPr>
        <w:t>extreme</w:t>
      </w:r>
      <w:r w:rsidRPr="00C90932">
        <w:rPr>
          <w:rStyle w:val="StyleUnderline"/>
        </w:rPr>
        <w:t xml:space="preserve"> at the expense of </w:t>
      </w:r>
      <w:r w:rsidRPr="00C90932">
        <w:rPr>
          <w:rStyle w:val="Emphasis"/>
        </w:rPr>
        <w:t>all other worldviews</w:t>
      </w:r>
      <w:r w:rsidRPr="00C90932">
        <w:rPr>
          <w:rStyle w:val="StyleUnderline"/>
        </w:rPr>
        <w:t>?</w:t>
      </w:r>
      <w:r w:rsidRPr="00C90932">
        <w:rPr>
          <w:sz w:val="14"/>
        </w:rPr>
        <w:t xml:space="preserve"> </w:t>
      </w:r>
      <w:r w:rsidRPr="00C90932">
        <w:rPr>
          <w:rStyle w:val="StyleUnderline"/>
        </w:rPr>
        <w:t xml:space="preserve">What if the worst is when this calculable way of thinking is used to justify </w:t>
      </w:r>
      <w:r w:rsidRPr="00C90932">
        <w:rPr>
          <w:rStyle w:val="Emphasis"/>
        </w:rPr>
        <w:t>massacre</w:t>
      </w:r>
      <w:r w:rsidRPr="00C90932">
        <w:rPr>
          <w:sz w:val="14"/>
        </w:rPr>
        <w:t xml:space="preserve">, </w:t>
      </w:r>
      <w:r w:rsidRPr="00C90932">
        <w:rPr>
          <w:rStyle w:val="Emphasis"/>
        </w:rPr>
        <w:t>genocide</w:t>
      </w:r>
      <w:r w:rsidRPr="00C90932">
        <w:rPr>
          <w:sz w:val="14"/>
        </w:rPr>
        <w:t xml:space="preserve">, </w:t>
      </w:r>
      <w:r w:rsidRPr="00C90932">
        <w:rPr>
          <w:rStyle w:val="StyleUnderline"/>
        </w:rPr>
        <w:t xml:space="preserve">and </w:t>
      </w:r>
      <w:r w:rsidRPr="00C90932">
        <w:rPr>
          <w:rStyle w:val="Emphasis"/>
        </w:rPr>
        <w:t>mass death</w:t>
      </w:r>
      <w:r w:rsidRPr="00C90932">
        <w:rPr>
          <w:rStyle w:val="StyleUnderline"/>
        </w:rPr>
        <w:t>?</w:t>
      </w:r>
      <w:r w:rsidRPr="00C90932">
        <w:rPr>
          <w:sz w:val="14"/>
        </w:rPr>
        <w:t xml:space="preserve"> </w:t>
      </w:r>
      <w:r w:rsidRPr="00C90932">
        <w:rPr>
          <w:rStyle w:val="StyleUnderline"/>
        </w:rPr>
        <w:t xml:space="preserve">When lives become </w:t>
      </w:r>
      <w:r w:rsidRPr="00C90932">
        <w:rPr>
          <w:rStyle w:val="Emphasis"/>
        </w:rPr>
        <w:t>fungible</w:t>
      </w:r>
      <w:r w:rsidRPr="00C90932">
        <w:rPr>
          <w:sz w:val="14"/>
        </w:rPr>
        <w:t xml:space="preserve"> and exchange, then </w:t>
      </w:r>
      <w:r w:rsidRPr="00C90932">
        <w:rPr>
          <w:rStyle w:val="StyleUnderline"/>
        </w:rPr>
        <w:t>we risk</w:t>
      </w:r>
      <w:r w:rsidRPr="00C90932">
        <w:rPr>
          <w:sz w:val="14"/>
        </w:rPr>
        <w:t xml:space="preserve"> “</w:t>
      </w:r>
      <w:r w:rsidRPr="00C90932">
        <w:rPr>
          <w:rStyle w:val="StyleUnderline"/>
        </w:rPr>
        <w:t xml:space="preserve">the </w:t>
      </w:r>
      <w:r w:rsidRPr="00C90932">
        <w:rPr>
          <w:rStyle w:val="Emphasis"/>
        </w:rPr>
        <w:t>worst</w:t>
      </w:r>
      <w:r w:rsidRPr="00C90932">
        <w:rPr>
          <w:sz w:val="14"/>
        </w:rPr>
        <w:t>.” Insofar as contemporary so-called “humanitarian” warfare operates according to the logic of utilitarian calculations of collateral damage that make some lives disposable, it too risks “the worst.”</w:t>
      </w:r>
    </w:p>
    <w:p w14:paraId="240E7D59" w14:textId="77777777" w:rsidR="00C61852" w:rsidRPr="00C90932" w:rsidRDefault="00C61852" w:rsidP="00C90932">
      <w:pPr>
        <w:rPr>
          <w:sz w:val="14"/>
        </w:rPr>
      </w:pPr>
      <w:r w:rsidRPr="00C90932">
        <w:rPr>
          <w:rStyle w:val="StyleUnderline"/>
        </w:rPr>
        <w:t xml:space="preserve">The worst goes </w:t>
      </w:r>
      <w:r w:rsidRPr="00C90932">
        <w:rPr>
          <w:rStyle w:val="Emphasis"/>
          <w:sz w:val="30"/>
          <w:szCs w:val="30"/>
        </w:rPr>
        <w:t>beyond literal killing</w:t>
      </w:r>
      <w:r w:rsidRPr="00C90932">
        <w:rPr>
          <w:rStyle w:val="StyleUnderline"/>
        </w:rPr>
        <w:t xml:space="preserve"> and signals the </w:t>
      </w:r>
      <w:r w:rsidRPr="00C90932">
        <w:rPr>
          <w:rStyle w:val="Emphasis"/>
        </w:rPr>
        <w:t>erasure</w:t>
      </w:r>
      <w:r w:rsidRPr="00C90932">
        <w:rPr>
          <w:sz w:val="14"/>
        </w:rPr>
        <w:t xml:space="preserve"> a way </w:t>
      </w:r>
      <w:r w:rsidRPr="00C90932">
        <w:rPr>
          <w:rStyle w:val="StyleUnderline"/>
        </w:rPr>
        <w:t>of</w:t>
      </w:r>
      <w:r w:rsidRPr="00C90932">
        <w:rPr>
          <w:sz w:val="14"/>
        </w:rPr>
        <w:t xml:space="preserve"> seeing the world—or we might as well say </w:t>
      </w:r>
      <w:r w:rsidRPr="00C90932">
        <w:rPr>
          <w:rStyle w:val="StyleUnderline"/>
        </w:rPr>
        <w:t xml:space="preserve">a </w:t>
      </w:r>
      <w:r w:rsidRPr="00C90932">
        <w:rPr>
          <w:rStyle w:val="Emphasis"/>
        </w:rPr>
        <w:t>world itself</w:t>
      </w:r>
      <w:r w:rsidRPr="00C90932">
        <w:rPr>
          <w:sz w:val="14"/>
        </w:rPr>
        <w:t>—</w:t>
      </w:r>
      <w:r w:rsidRPr="00C90932">
        <w:rPr>
          <w:rStyle w:val="StyleUnderline"/>
        </w:rPr>
        <w:t xml:space="preserve">by </w:t>
      </w:r>
      <w:r w:rsidRPr="00C90932">
        <w:rPr>
          <w:rStyle w:val="Emphasis"/>
        </w:rPr>
        <w:t>covering it over</w:t>
      </w:r>
      <w:r w:rsidRPr="00C90932">
        <w:rPr>
          <w:rStyle w:val="StyleUnderline"/>
        </w:rPr>
        <w:t xml:space="preserve"> with another worldview</w:t>
      </w:r>
      <w:r w:rsidRPr="00C90932">
        <w:rPr>
          <w:sz w:val="14"/>
        </w:rPr>
        <w:t xml:space="preserve">. In this regard, </w:t>
      </w:r>
      <w:r w:rsidRPr="00C90932">
        <w:rPr>
          <w:rStyle w:val="StyleUnderline"/>
        </w:rPr>
        <w:t xml:space="preserve">comparative models that </w:t>
      </w:r>
      <w:r w:rsidRPr="00C90932">
        <w:rPr>
          <w:rStyle w:val="Emphasis"/>
        </w:rPr>
        <w:t>reduce</w:t>
      </w:r>
      <w:r w:rsidRPr="00C90932">
        <w:rPr>
          <w:rStyle w:val="StyleUnderline"/>
        </w:rPr>
        <w:t xml:space="preserve"> life to units to be </w:t>
      </w:r>
      <w:r w:rsidRPr="00C90932">
        <w:rPr>
          <w:rStyle w:val="Emphasis"/>
        </w:rPr>
        <w:t>exchanged</w:t>
      </w:r>
      <w:r w:rsidRPr="00C90932">
        <w:rPr>
          <w:rStyle w:val="StyleUnderline"/>
        </w:rPr>
        <w:t xml:space="preserve"> or </w:t>
      </w:r>
      <w:r w:rsidRPr="00C90932">
        <w:rPr>
          <w:rStyle w:val="Emphasis"/>
        </w:rPr>
        <w:t>plugged into equations</w:t>
      </w:r>
      <w:r w:rsidRPr="00C90932">
        <w:rPr>
          <w:rStyle w:val="StyleUnderline"/>
        </w:rPr>
        <w:t xml:space="preserve"> operate according to a </w:t>
      </w:r>
      <w:r w:rsidRPr="00C90932">
        <w:rPr>
          <w:rStyle w:val="Emphasis"/>
          <w:sz w:val="30"/>
          <w:szCs w:val="30"/>
        </w:rPr>
        <w:t>world-destroying genocidal logic</w:t>
      </w:r>
      <w:r w:rsidRPr="00C90932">
        <w:rPr>
          <w:sz w:val="14"/>
        </w:rPr>
        <w:t>. This is to say, when “the worst” becomes part of the economy of “lessor of evils,” life and death are reduced to a logic of calculation that makes them fungible; one life is weighed against another. Which is the lesser evil: One thousand four hundred and twenty-two refugees who died in the Mediterranean Sea in 2020 or the cost to citizens of the European Union of providing safe passage to refugees? Which is the lesser evil: killing one civilian infant or killing three soldiers in a surgical strike? Which is the lessor evil: a 50-year-old diabetic and mother of two with covid dying because she doesn’t have access to a ventilator, or a widowed and otherwise healthy 70-year-old man dying without access to a ventilator? Etc. Etc.</w:t>
      </w:r>
    </w:p>
    <w:p w14:paraId="5AEB732E" w14:textId="77777777" w:rsidR="00C61852" w:rsidRPr="00C90932" w:rsidRDefault="00C61852" w:rsidP="00C90932">
      <w:pPr>
        <w:rPr>
          <w:sz w:val="14"/>
        </w:rPr>
      </w:pPr>
      <w:r w:rsidRPr="00C90932">
        <w:rPr>
          <w:sz w:val="14"/>
        </w:rPr>
        <w:t xml:space="preserve">What is an acceptable death? The death as collateral damage? </w:t>
      </w:r>
      <w:r w:rsidRPr="00C90932">
        <w:rPr>
          <w:rStyle w:val="StyleUnderline"/>
        </w:rPr>
        <w:t xml:space="preserve">To be </w:t>
      </w:r>
      <w:r w:rsidRPr="00C90932">
        <w:rPr>
          <w:rStyle w:val="Emphasis"/>
        </w:rPr>
        <w:t>calculable</w:t>
      </w:r>
      <w:r w:rsidRPr="00C90932">
        <w:rPr>
          <w:sz w:val="14"/>
        </w:rPr>
        <w:t xml:space="preserve">, </w:t>
      </w:r>
      <w:r w:rsidRPr="00C90932">
        <w:rPr>
          <w:rStyle w:val="StyleUnderline"/>
        </w:rPr>
        <w:t xml:space="preserve">each life must be </w:t>
      </w:r>
      <w:r w:rsidRPr="00C90932">
        <w:rPr>
          <w:rStyle w:val="Emphasis"/>
        </w:rPr>
        <w:t>reducible</w:t>
      </w:r>
      <w:r w:rsidRPr="00C90932">
        <w:rPr>
          <w:rStyle w:val="StyleUnderline"/>
        </w:rPr>
        <w:t xml:space="preserve"> to a common denominator and </w:t>
      </w:r>
      <w:r w:rsidRPr="00C90932">
        <w:rPr>
          <w:rStyle w:val="Emphasis"/>
        </w:rPr>
        <w:t>exchangeable</w:t>
      </w:r>
      <w:r w:rsidRPr="00C90932">
        <w:rPr>
          <w:sz w:val="14"/>
        </w:rPr>
        <w:t xml:space="preserve">. </w:t>
      </w:r>
      <w:r w:rsidRPr="00C90932">
        <w:rPr>
          <w:rStyle w:val="StyleUnderline"/>
        </w:rPr>
        <w:t>Each life becomes a unit in an equation</w:t>
      </w:r>
      <w:r w:rsidRPr="00C90932">
        <w:rPr>
          <w:sz w:val="14"/>
        </w:rPr>
        <w:t>, a risk factor.</w:t>
      </w:r>
    </w:p>
    <w:p w14:paraId="25742C7F" w14:textId="2A90093E" w:rsidR="00C83918" w:rsidRPr="00C90932" w:rsidRDefault="00C61852" w:rsidP="00C90932">
      <w:pPr>
        <w:rPr>
          <w:sz w:val="14"/>
        </w:rPr>
      </w:pPr>
      <w:r w:rsidRPr="00C90932">
        <w:rPr>
          <w:sz w:val="14"/>
        </w:rPr>
        <w:t xml:space="preserve">Yet, as the examples I just mentioned suggest, </w:t>
      </w:r>
      <w:r w:rsidRPr="00C90932">
        <w:rPr>
          <w:rStyle w:val="StyleUnderline"/>
        </w:rPr>
        <w:t xml:space="preserve">these decisions as to which is </w:t>
      </w:r>
      <w:r w:rsidRPr="00C90932">
        <w:rPr>
          <w:rStyle w:val="Emphasis"/>
        </w:rPr>
        <w:t>worse</w:t>
      </w:r>
      <w:r w:rsidRPr="00C90932">
        <w:rPr>
          <w:sz w:val="14"/>
        </w:rPr>
        <w:t>—</w:t>
      </w:r>
      <w:r w:rsidRPr="00C90932">
        <w:rPr>
          <w:rStyle w:val="StyleUnderline"/>
        </w:rPr>
        <w:t xml:space="preserve">or which is the </w:t>
      </w:r>
      <w:r w:rsidRPr="00C90932">
        <w:rPr>
          <w:rStyle w:val="Emphasis"/>
        </w:rPr>
        <w:t>lesser</w:t>
      </w:r>
      <w:r w:rsidRPr="00C90932">
        <w:rPr>
          <w:rStyle w:val="StyleUnderline"/>
        </w:rPr>
        <w:t xml:space="preserve"> of the evils</w:t>
      </w:r>
      <w:r w:rsidRPr="00C90932">
        <w:rPr>
          <w:sz w:val="14"/>
        </w:rPr>
        <w:t>—</w:t>
      </w:r>
      <w:r w:rsidRPr="00C90932">
        <w:rPr>
          <w:rStyle w:val="StyleUnderline"/>
        </w:rPr>
        <w:t xml:space="preserve">are </w:t>
      </w:r>
      <w:r w:rsidRPr="00C90932">
        <w:rPr>
          <w:rStyle w:val="Emphasis"/>
        </w:rPr>
        <w:t>always</w:t>
      </w:r>
      <w:r w:rsidRPr="00C90932">
        <w:rPr>
          <w:rStyle w:val="StyleUnderline"/>
        </w:rPr>
        <w:t xml:space="preserve"> made by </w:t>
      </w:r>
      <w:r w:rsidRPr="00C90932">
        <w:rPr>
          <w:rStyle w:val="Emphasis"/>
        </w:rPr>
        <w:t>privileging one context</w:t>
      </w:r>
      <w:r w:rsidRPr="00C90932">
        <w:rPr>
          <w:rStyle w:val="StyleUnderline"/>
        </w:rPr>
        <w:t xml:space="preserve"> over another</w:t>
      </w:r>
      <w:r w:rsidRPr="00C90932">
        <w:rPr>
          <w:sz w:val="14"/>
        </w:rPr>
        <w:t xml:space="preserve">. Citizenship over foreign nations. Civilians over military. Diabetes over motherhood. </w:t>
      </w:r>
      <w:r w:rsidRPr="00C90932">
        <w:rPr>
          <w:rStyle w:val="StyleUnderline"/>
        </w:rPr>
        <w:t>How do we weigh one life against another?</w:t>
      </w:r>
      <w:r w:rsidRPr="00C90932">
        <w:rPr>
          <w:sz w:val="14"/>
        </w:rPr>
        <w:t xml:space="preserve"> </w:t>
      </w:r>
      <w:r w:rsidRPr="00C90932">
        <w:rPr>
          <w:rStyle w:val="StyleUnderline"/>
        </w:rPr>
        <w:t>How do we decide whose life is worth more?</w:t>
      </w:r>
      <w:r w:rsidRPr="00C90932">
        <w:rPr>
          <w:sz w:val="14"/>
        </w:rPr>
        <w:t xml:space="preserve"> Whose life is worth more and whose life is expendable as collateral damage? </w:t>
      </w:r>
      <w:r w:rsidRPr="00C90932">
        <w:rPr>
          <w:rStyle w:val="StyleUnderline"/>
        </w:rPr>
        <w:t>Which factors are deemed relevant</w:t>
      </w:r>
      <w:r w:rsidRPr="00C90932">
        <w:rPr>
          <w:sz w:val="14"/>
        </w:rPr>
        <w:t xml:space="preserve">, </w:t>
      </w:r>
      <w:r w:rsidRPr="00C90932">
        <w:rPr>
          <w:rStyle w:val="StyleUnderline"/>
        </w:rPr>
        <w:t>and which are not?</w:t>
      </w:r>
      <w:r w:rsidRPr="00C90932">
        <w:rPr>
          <w:sz w:val="14"/>
        </w:rPr>
        <w:t xml:space="preserve"> Which goals are deemed worthy, and which are not? Ultimately, </w:t>
      </w:r>
      <w:r w:rsidRPr="00C90932">
        <w:rPr>
          <w:rStyle w:val="StyleUnderline"/>
        </w:rPr>
        <w:t xml:space="preserve">utilitarian calculus </w:t>
      </w:r>
      <w:r w:rsidRPr="00C90932">
        <w:rPr>
          <w:rStyle w:val="Emphasis"/>
        </w:rPr>
        <w:t>cannot give us the answers</w:t>
      </w:r>
      <w:r w:rsidRPr="00C90932">
        <w:rPr>
          <w:rStyle w:val="StyleUnderline"/>
        </w:rPr>
        <w:t xml:space="preserve"> to these questions</w:t>
      </w:r>
      <w:r w:rsidRPr="00C90932">
        <w:rPr>
          <w:sz w:val="14"/>
        </w:rPr>
        <w:t>.</w:t>
      </w:r>
    </w:p>
    <w:p w14:paraId="3166D6ED" w14:textId="3D52BDA9" w:rsidR="00C83918" w:rsidRPr="00C90932" w:rsidRDefault="00C83918" w:rsidP="00C90932">
      <w:pPr>
        <w:pStyle w:val="Heading3"/>
      </w:pPr>
      <w:r w:rsidRPr="00C90932">
        <w:t>2NC – Add-Ons</w:t>
      </w:r>
    </w:p>
    <w:p w14:paraId="476D5930" w14:textId="77777777" w:rsidR="00C83918" w:rsidRPr="00C90932" w:rsidRDefault="00C83918" w:rsidP="00C90932">
      <w:pPr>
        <w:pStyle w:val="Heading4"/>
        <w:rPr>
          <w:rFonts w:eastAsia="Cambria"/>
        </w:rPr>
      </w:pPr>
      <w:r w:rsidRPr="00C90932">
        <w:rPr>
          <w:rFonts w:eastAsia="Cambria"/>
        </w:rPr>
        <w:t xml:space="preserve">The climate is haunted by the ghosts of the Eurocene. The European genocide of Turtle Island represents the most significant change in the C02 record in 2,000 years. </w:t>
      </w:r>
    </w:p>
    <w:p w14:paraId="1FB8203D" w14:textId="68FA77F4" w:rsidR="00E15544" w:rsidRPr="00C23E2D" w:rsidRDefault="004F5920" w:rsidP="00C23E2D">
      <w:r w:rsidRPr="00C23E2D">
        <w:rPr>
          <w:rStyle w:val="Style13ptBold"/>
        </w:rPr>
        <w:t>Harris 22</w:t>
      </w:r>
      <w:r w:rsidRPr="00C23E2D">
        <w:t xml:space="preserve"> [Dylan M. Harris, </w:t>
      </w:r>
      <w:r w:rsidR="00C23E2D">
        <w:t xml:space="preserve">Assistant Professor, Department of Geography &amp; Environmental Studies, University of Colorado Colorado Springs, PhD, Graduate School of Geography, Clark University, </w:t>
      </w:r>
      <w:r w:rsidRPr="00C23E2D">
        <w:t xml:space="preserve">"The Trouble with Modeling the Human into the Future Climate", </w:t>
      </w:r>
      <w:r w:rsidR="00C23E2D">
        <w:t xml:space="preserve">GeoHumanities 8 (2), 2022, </w:t>
      </w:r>
      <w:r w:rsidRPr="00C23E2D">
        <w:t>https://www.tandfonline.com/doi/abs/10.1080/2373566X.2022.2043764]</w:t>
      </w:r>
      <w:r w:rsidR="00550D92" w:rsidRPr="00C23E2D">
        <w:t xml:space="preserve"> //Micah</w:t>
      </w:r>
    </w:p>
    <w:p w14:paraId="49036C57" w14:textId="77777777" w:rsidR="00C83918" w:rsidRPr="00C5301A" w:rsidRDefault="00C83918" w:rsidP="00C90932">
      <w:pPr>
        <w:rPr>
          <w:rFonts w:eastAsia="Times New Roman"/>
        </w:rPr>
      </w:pPr>
      <w:r w:rsidRPr="00C5301A">
        <w:rPr>
          <w:rFonts w:eastAsia="Times New Roman"/>
          <w:u w:val="single"/>
        </w:rPr>
        <w:t>Ice cores</w:t>
      </w:r>
      <w:r w:rsidRPr="00C5301A">
        <w:rPr>
          <w:rFonts w:eastAsia="Times New Roman"/>
        </w:rPr>
        <w:t xml:space="preserve"> taken from places like Antarctica </w:t>
      </w:r>
      <w:r w:rsidRPr="00C5301A">
        <w:rPr>
          <w:rFonts w:eastAsia="Times New Roman"/>
          <w:u w:val="single"/>
        </w:rPr>
        <w:t xml:space="preserve">are among </w:t>
      </w:r>
      <w:r w:rsidRPr="00C5301A">
        <w:rPr>
          <w:rStyle w:val="Emphasis"/>
        </w:rPr>
        <w:t>the most important archives for understanding past climates</w:t>
      </w:r>
      <w:r w:rsidRPr="00C5301A">
        <w:rPr>
          <w:rFonts w:eastAsia="Times New Roman"/>
        </w:rPr>
        <w:t xml:space="preserve">. As ice accumulates, it creates layers. </w:t>
      </w:r>
      <w:r w:rsidRPr="00C5301A">
        <w:rPr>
          <w:rFonts w:eastAsia="Times New Roman"/>
          <w:u w:val="single"/>
        </w:rPr>
        <w:t>When drilled, these layers reveal a wealth of information, from dust concentrations that signal global wind patterns to bubbles of ancient air that disclose the chemical composition of past atmospheres</w:t>
      </w:r>
      <w:r w:rsidRPr="00C5301A">
        <w:rPr>
          <w:rFonts w:eastAsia="Times New Roman"/>
        </w:rPr>
        <w:t xml:space="preserve">. The layers closest to the surface are thicker, allowing scientists to see how individual seasons and storms impacted climate. The layers furthest from the surface are compacted and have thinned over time due to glacial dynamics, but </w:t>
      </w:r>
      <w:r w:rsidRPr="00C5301A">
        <w:rPr>
          <w:rFonts w:eastAsia="Times New Roman"/>
          <w:u w:val="single"/>
        </w:rPr>
        <w:t>these layers allow scientists to understand past climates at longer time scales</w:t>
      </w:r>
      <w:r w:rsidRPr="00C5301A">
        <w:rPr>
          <w:rFonts w:eastAsia="Times New Roman"/>
        </w:rPr>
        <w:t xml:space="preserve"> (Alley 2000). The data taken from these cores </w:t>
      </w:r>
      <w:r w:rsidRPr="00C5301A">
        <w:rPr>
          <w:rFonts w:eastAsia="Times New Roman"/>
          <w:u w:val="single"/>
        </w:rPr>
        <w:t>help reconstruct patterns of past climates; however, this data is also increasingly used to understand human history.</w:t>
      </w:r>
      <w:r w:rsidRPr="00C5301A">
        <w:rPr>
          <w:rFonts w:eastAsia="Times New Roman"/>
        </w:rPr>
        <w:t xml:space="preserve"> As Antonello and Carey (2017, 194) note,“</w:t>
      </w:r>
      <w:r w:rsidRPr="00C5301A">
        <w:rPr>
          <w:rFonts w:eastAsia="Times New Roman"/>
          <w:u w:val="single"/>
        </w:rPr>
        <w:t>Ice cores are as much about humans as they are about glaciers and climates, and indeed ice ties people and climate together closely</w:t>
      </w:r>
      <w:r w:rsidRPr="00C5301A">
        <w:rPr>
          <w:rFonts w:eastAsia="Times New Roman"/>
        </w:rPr>
        <w:t xml:space="preserve">, in some ways synchronizing them.” While much of </w:t>
      </w:r>
      <w:r w:rsidRPr="00C5301A">
        <w:rPr>
          <w:rFonts w:eastAsia="Times New Roman"/>
          <w:u w:val="single"/>
        </w:rPr>
        <w:t xml:space="preserve">the effort of finding human traces in ice cores is used to further justify the roots of anthropogenic climate change, </w:t>
      </w:r>
      <w:r w:rsidRPr="00C5301A">
        <w:rPr>
          <w:rFonts w:eastAsia="Times New Roman"/>
        </w:rPr>
        <w:t>ice cores have also been used to reconstruct historical events. For example, data taken from two high-</w:t>
      </w:r>
      <w:r w:rsidRPr="00C5301A">
        <w:rPr>
          <w:rFonts w:eastAsia="Times New Roman"/>
          <w:u w:val="single"/>
        </w:rPr>
        <w:t>resolution Antarctic ice core records–the Law Dome</w:t>
      </w:r>
      <w:r w:rsidRPr="00C5301A">
        <w:rPr>
          <w:rFonts w:eastAsia="Times New Roman"/>
        </w:rPr>
        <w:t xml:space="preserve"> and the Western Antarctic Ice Sheet–show a reduction in atmospheric CO2 of 7-10 parts per million between 1570 and 1620. These decreases in atmospheric CO2 cor- respond with what Lewis and Maslin (2015) define as the“Orbis Spike,” which </w:t>
      </w:r>
      <w:r w:rsidRPr="00C5301A">
        <w:rPr>
          <w:rFonts w:eastAsia="Times New Roman"/>
          <w:u w:val="single"/>
        </w:rPr>
        <w:t xml:space="preserve">they argue is a </w:t>
      </w:r>
      <w:r w:rsidRPr="00C5301A">
        <w:rPr>
          <w:rStyle w:val="Emphasis"/>
        </w:rPr>
        <w:t>“golden spike,” or start date, for the apparent Anthropocene. This historical moment in the ice record correlates with the socioecological aftermath of the arrival of Europeans in the Caribbean in 1492</w:t>
      </w:r>
      <w:r w:rsidRPr="00C5301A">
        <w:rPr>
          <w:rFonts w:eastAsia="Times New Roman"/>
          <w:b/>
          <w:bCs/>
          <w:u w:val="single"/>
        </w:rPr>
        <w:t>.</w:t>
      </w:r>
      <w:r w:rsidRPr="00C5301A">
        <w:rPr>
          <w:rFonts w:eastAsia="Times New Roman"/>
        </w:rPr>
        <w:t xml:space="preserve"> Prior to the arrival of Europeans, there was an estimated 54–61 million people living in the Americas, which dropped to a minimum of about 6 million people by 1650 due to disease, famine, war, and enslavement. </w:t>
      </w:r>
      <w:r w:rsidRPr="00C5301A">
        <w:rPr>
          <w:rFonts w:eastAsia="Times New Roman"/>
          <w:u w:val="single"/>
        </w:rPr>
        <w:t>The dearth in population led to increased carbon sequestration, as approximately 50 million hectares of farming land was left fallow and regenerated over the course of 100 years.</w:t>
      </w:r>
      <w:r w:rsidRPr="00C5301A">
        <w:rPr>
          <w:rFonts w:eastAsia="Times New Roman"/>
        </w:rPr>
        <w:t xml:space="preserve"> According to Lewis and Maslin (2015, 175),“</w:t>
      </w:r>
      <w:r w:rsidRPr="00C5301A">
        <w:rPr>
          <w:rFonts w:eastAsia="Times New Roman"/>
          <w:u w:val="single"/>
        </w:rPr>
        <w:t xml:space="preserve">This dip in atmospheric CO2 is the </w:t>
      </w:r>
      <w:r w:rsidRPr="00C5301A">
        <w:rPr>
          <w:rStyle w:val="Emphasis"/>
        </w:rPr>
        <w:t>most prominent feature</w:t>
      </w:r>
      <w:r w:rsidRPr="00C5301A">
        <w:rPr>
          <w:rFonts w:eastAsia="Times New Roman"/>
          <w:u w:val="single"/>
        </w:rPr>
        <w:t xml:space="preserve">, in terms of both rate of change and magnitude, in pre-industrial CO2 records </w:t>
      </w:r>
      <w:r w:rsidRPr="00C5301A">
        <w:rPr>
          <w:rStyle w:val="Emphasis"/>
        </w:rPr>
        <w:t>over the past 2,000 years</w:t>
      </w:r>
      <w:r w:rsidRPr="00C5301A">
        <w:rPr>
          <w:rFonts w:eastAsia="Times New Roman"/>
        </w:rPr>
        <w:t xml:space="preserve">.” Considering the Orbis Spike not only is it </w:t>
      </w:r>
      <w:r w:rsidRPr="00C5301A">
        <w:rPr>
          <w:rStyle w:val="Emphasis"/>
        </w:rPr>
        <w:t>possible to link the origins of the apparent Anthropocene to colonialism</w:t>
      </w:r>
      <w:r w:rsidRPr="00C5301A">
        <w:rPr>
          <w:rFonts w:eastAsia="Times New Roman"/>
        </w:rPr>
        <w:t xml:space="preserve"> (Davis and Todd 2017; Yusoff 2018), it is possible to see how the same social relations that led to </w:t>
      </w:r>
      <w:r w:rsidRPr="00C5301A">
        <w:rPr>
          <w:rFonts w:eastAsia="Times New Roman"/>
          <w:u w:val="single"/>
        </w:rPr>
        <w:t>the inequalities of the present</w:t>
      </w:r>
      <w:r w:rsidRPr="00C5301A">
        <w:rPr>
          <w:rFonts w:eastAsia="Times New Roman"/>
        </w:rPr>
        <w:t xml:space="preserve"> (e.g., an adherence to Enlightenment-era rationalization via homo oeconomicus), left unchecked, </w:t>
      </w:r>
      <w:r w:rsidRPr="00C5301A">
        <w:rPr>
          <w:rFonts w:eastAsia="Times New Roman"/>
          <w:u w:val="single"/>
        </w:rPr>
        <w:t>are likely to extend into the future climate</w:t>
      </w:r>
      <w:r w:rsidRPr="00C5301A">
        <w:rPr>
          <w:rFonts w:eastAsia="Times New Roman"/>
        </w:rPr>
        <w:t xml:space="preserve"> (Erickson 2020). Further, </w:t>
      </w:r>
      <w:r w:rsidRPr="00C5301A">
        <w:rPr>
          <w:u w:val="single"/>
        </w:rPr>
        <w:t>when read through the lens of the inhuman, the</w:t>
      </w:r>
      <w:r w:rsidRPr="00C5301A">
        <w:rPr>
          <w:rStyle w:val="Emphasis"/>
        </w:rPr>
        <w:t xml:space="preserve"> increased sequestration of carbon </w:t>
      </w:r>
      <w:r w:rsidRPr="00C5301A">
        <w:rPr>
          <w:u w:val="single"/>
        </w:rPr>
        <w:t>due to increased photosynthesis is less about vegetative regeneration than it</w:t>
      </w:r>
      <w:r w:rsidRPr="00C5301A">
        <w:rPr>
          <w:rStyle w:val="Emphasis"/>
        </w:rPr>
        <w:t xml:space="preserve"> is about the death of millions of people never considered human.</w:t>
      </w:r>
      <w:r w:rsidRPr="00C5301A">
        <w:rPr>
          <w:rFonts w:eastAsia="Times New Roman"/>
        </w:rPr>
        <w:t xml:space="preserve"> Taking </w:t>
      </w:r>
      <w:r w:rsidRPr="00C5301A">
        <w:rPr>
          <w:rFonts w:eastAsia="Times New Roman"/>
          <w:u w:val="single"/>
        </w:rPr>
        <w:t>the obvious presence of the absence of certain human lives in the ice record into account, I find Gordon’s (2008) writing on ghostly matters relevant</w:t>
      </w:r>
      <w:r w:rsidRPr="00C5301A">
        <w:rPr>
          <w:rFonts w:eastAsia="Times New Roman"/>
        </w:rPr>
        <w:t xml:space="preserve">. Her work is motivated by a “desire to find a method of knowledge production and a way of writing that could represent the damage and the haunting of the historical alternatives and thus richly conjure, describe, narrate, and explain the liens, the costs, the forfeits, and the losses of modern systems of abusive powerTROUBLE WITH MODELING THE HUMAN 393 in their immediacy and worldly significance” (Gordon 2008, xvii). On </w:t>
      </w:r>
      <w:r w:rsidRPr="00C5301A">
        <w:rPr>
          <w:rFonts w:eastAsia="Times New Roman"/>
          <w:u w:val="single"/>
        </w:rPr>
        <w:t>haunting,</w:t>
      </w:r>
      <w:r w:rsidRPr="00C5301A">
        <w:rPr>
          <w:rFonts w:eastAsia="Times New Roman"/>
        </w:rPr>
        <w:t xml:space="preserve"> she (2008, 7–8) writes, it“</w:t>
      </w:r>
      <w:r w:rsidRPr="00C5301A">
        <w:rPr>
          <w:rFonts w:eastAsia="Times New Roman"/>
          <w:u w:val="single"/>
        </w:rPr>
        <w:t>is a constituent of modern social life,” and being haunted“draws us affectively</w:t>
      </w:r>
      <w:r w:rsidRPr="00C5301A">
        <w:rPr>
          <w:rFonts w:eastAsia="Times New Roman"/>
        </w:rPr>
        <w:t xml:space="preserve">, some- times against our will and always a bit magically </w:t>
      </w:r>
      <w:r w:rsidRPr="00C5301A">
        <w:rPr>
          <w:rFonts w:eastAsia="Times New Roman"/>
          <w:u w:val="single"/>
        </w:rPr>
        <w:t xml:space="preserve">into the structure of feeling of a reality we come to experience, </w:t>
      </w:r>
      <w:r w:rsidRPr="00C5301A">
        <w:rPr>
          <w:rFonts w:eastAsia="Times New Roman"/>
        </w:rPr>
        <w:t>not as cold knowledge, but as a transformative recognition.” In the case of the Orbis Spike</w:t>
      </w:r>
      <w:r w:rsidRPr="00C5301A">
        <w:rPr>
          <w:rFonts w:eastAsia="Times New Roman"/>
          <w:u w:val="single"/>
        </w:rPr>
        <w:t xml:space="preserve">, I find the present-absence of millions of lives ghostly; being </w:t>
      </w:r>
      <w:r w:rsidRPr="00C5301A">
        <w:rPr>
          <w:rStyle w:val="Emphasis"/>
        </w:rPr>
        <w:t>haunted by this absence</w:t>
      </w:r>
      <w:r w:rsidRPr="00C5301A">
        <w:rPr>
          <w:rFonts w:eastAsia="Times New Roman"/>
          <w:u w:val="single"/>
        </w:rPr>
        <w:t xml:space="preserve"> demands a radical recognition of those lives that are presently absent, meaning that the present climate–its material composition and its associated impacts on contemporary human life–is haunted by these past lives</w:t>
      </w:r>
      <w:r w:rsidRPr="00C5301A">
        <w:rPr>
          <w:rFonts w:eastAsia="Times New Roman"/>
        </w:rPr>
        <w:t xml:space="preserve">. The way </w:t>
      </w:r>
      <w:r w:rsidRPr="00C5301A">
        <w:rPr>
          <w:rFonts w:eastAsia="Times New Roman"/>
          <w:u w:val="single"/>
        </w:rPr>
        <w:t>human history is typically interpolated into the ice record, as a signal for all humanity, is significant for understanding not only the way a flattened humanity is then projected into the future,</w:t>
      </w:r>
      <w:r w:rsidRPr="00C5301A">
        <w:rPr>
          <w:rFonts w:eastAsia="Times New Roman"/>
        </w:rPr>
        <w:t xml:space="preserve"> but also to the ways in which </w:t>
      </w:r>
      <w:r w:rsidRPr="00C5301A">
        <w:rPr>
          <w:rFonts w:eastAsia="Times New Roman"/>
          <w:u w:val="single"/>
        </w:rPr>
        <w:t>climate science</w:t>
      </w:r>
      <w:r w:rsidRPr="00C5301A">
        <w:rPr>
          <w:rFonts w:eastAsia="Times New Roman"/>
        </w:rPr>
        <w:t xml:space="preserve">, and its modes of knowledge production, </w:t>
      </w:r>
      <w:r w:rsidRPr="00C5301A">
        <w:rPr>
          <w:rFonts w:eastAsia="Times New Roman"/>
          <w:u w:val="single"/>
        </w:rPr>
        <w:t>are also haunted</w:t>
      </w:r>
      <w:r w:rsidRPr="00C5301A">
        <w:rPr>
          <w:rFonts w:eastAsia="Times New Roman"/>
        </w:rPr>
        <w:t xml:space="preserve">. Carey et al.’s (2016) article on the gendered dimensions of glaciological science highlights how certain humans have been historically excluded from the production of knowledge around ice and climate. However, this argument could be taken a step further to suggest that </w:t>
      </w:r>
      <w:r w:rsidRPr="00C5301A">
        <w:rPr>
          <w:rFonts w:eastAsia="Times New Roman"/>
          <w:u w:val="single"/>
        </w:rPr>
        <w:t>the purposeful absenting of certain human lives is a necessary function of this knowledge production.</w:t>
      </w:r>
      <w:r w:rsidRPr="00C5301A">
        <w:rPr>
          <w:rFonts w:eastAsia="Times New Roman"/>
        </w:rPr>
        <w:t xml:space="preserve"> Reflecting on the death of Trayvon Martin, James and Vargas argue that Black death is a predict- able and constituent part of U.S. democracy. They ask,“What will happen then if instead of demanding justice we recognized (or at least consider) that the very notion of justice… produces and requires Black exclusion and death as normative?” (2014, 193). Following a similar logic with regards to environmental knowledge production, w</w:t>
      </w:r>
      <w:r w:rsidRPr="00C5301A">
        <w:rPr>
          <w:rFonts w:eastAsia="Times New Roman"/>
          <w:u w:val="single"/>
        </w:rPr>
        <w:t xml:space="preserve">hat if marginalized lives have been historically excluded as a matter of scientific praxis? Consider that the father of glaciology, </w:t>
      </w:r>
      <w:r w:rsidRPr="00C5301A">
        <w:rPr>
          <w:rFonts w:eastAsia="Times New Roman"/>
        </w:rPr>
        <w:t xml:space="preserve">Louis Agassiz, was also the father of scientific racism in the U.S. (Gordon 2008), or that John Muir, founder of the conservation organization Sierra Club, </w:t>
      </w:r>
      <w:r w:rsidRPr="00C5301A">
        <w:rPr>
          <w:rFonts w:eastAsia="Times New Roman"/>
          <w:u w:val="single"/>
        </w:rPr>
        <w:t>was a white supremacist</w:t>
      </w:r>
      <w:r w:rsidRPr="00C5301A">
        <w:rPr>
          <w:rFonts w:eastAsia="Times New Roman"/>
        </w:rPr>
        <w:t xml:space="preserve"> (Fears and Mufson 2020). In their analysis of plastic pollution, Liboiron (2021) articulates how </w:t>
      </w:r>
      <w:r w:rsidRPr="00C5301A">
        <w:rPr>
          <w:rFonts w:eastAsia="Times New Roman"/>
          <w:u w:val="single"/>
        </w:rPr>
        <w:t>pollution science–and its assumptions about land use, contamination, etc.–are inherently based on colonial ideas of natural relations as universal and the absenting of Indigenous knowledge systems</w:t>
      </w:r>
      <w:r w:rsidRPr="00C5301A">
        <w:rPr>
          <w:rFonts w:eastAsia="Times New Roman"/>
        </w:rPr>
        <w:t xml:space="preserve">. When hindcasting the inhuman, </w:t>
      </w:r>
      <w:r w:rsidRPr="00C5301A">
        <w:rPr>
          <w:rStyle w:val="Emphasis"/>
        </w:rPr>
        <w:t>the present becomes an amalgamation of ghosts</w:t>
      </w:r>
      <w:r w:rsidRPr="00C5301A">
        <w:rPr>
          <w:rFonts w:eastAsia="Times New Roman"/>
        </w:rPr>
        <w:t xml:space="preserve">. </w:t>
      </w:r>
      <w:r w:rsidRPr="00C5301A">
        <w:rPr>
          <w:rFonts w:eastAsia="Times New Roman"/>
          <w:u w:val="single"/>
        </w:rPr>
        <w:t>The present- absence of the millions of lives lost due to European colonization can be seen in the chemical composition of our rapidly warming climate</w:t>
      </w:r>
      <w:r w:rsidRPr="00C5301A">
        <w:rPr>
          <w:rFonts w:eastAsia="Times New Roman"/>
        </w:rPr>
        <w:t xml:space="preserve">. Thinking through the lens of the inhuman allows for a deeper understanding of the intersecting materialities and subjectivities of past lives not considered human and their socioecological relations. However, </w:t>
      </w:r>
      <w:r w:rsidRPr="00C5301A">
        <w:rPr>
          <w:rFonts w:eastAsia="Times New Roman"/>
          <w:u w:val="single"/>
        </w:rPr>
        <w:t>as with hindcasting in climate modeling, hindcasting the inhuman allows for a reckoning with past inequalities regarding attributions to climate change and with colonial practices and social relations that have led to the manifestation of the apparent Anthropocene</w:t>
      </w:r>
      <w:r w:rsidRPr="00C5301A">
        <w:rPr>
          <w:rFonts w:eastAsia="Times New Roman"/>
        </w:rPr>
        <w:t xml:space="preserve">. With these necessary calibrations in mind, this paper now turns toward the future. FORECASTING THE INHUMAN Given the climatic history of the inhuman outlined above, it is possible to see that future projec- tions of the human can only be validated when compared to one specific model of the human (e.g., homo oecnomicus), whereas other ways of being human are doomed. This is not surprising, of course, as many </w:t>
      </w:r>
      <w:r w:rsidRPr="00C5301A">
        <w:rPr>
          <w:rFonts w:eastAsia="Times New Roman"/>
          <w:u w:val="single"/>
        </w:rPr>
        <w:t>queer and people of color were never meant to survive under liberalism</w:t>
      </w:r>
      <w:r w:rsidRPr="00C5301A">
        <w:rPr>
          <w:rFonts w:eastAsia="Times New Roman"/>
        </w:rPr>
        <w:t xml:space="preserve"> (Lorde 2007; Luciano and Chen 2015). In this section, I aim to build upon the hindcasting of the</w:t>
      </w:r>
    </w:p>
    <w:p w14:paraId="50A747E2" w14:textId="77777777" w:rsidR="00550D92" w:rsidRPr="00C90932" w:rsidRDefault="00550D92" w:rsidP="00C90932">
      <w:pPr>
        <w:pStyle w:val="Heading4"/>
      </w:pPr>
      <w:r w:rsidRPr="00C90932">
        <w:t xml:space="preserve">The liquid legacies of blue colonialism and its entanglements with racial enslavement permeate the “post” colonial world. The Anthropocene thus must be understood as the Plantationocene- and any solution to the crisis must stem first from the blue. </w:t>
      </w:r>
    </w:p>
    <w:p w14:paraId="3C7D7A79" w14:textId="769FB803" w:rsidR="00550D92" w:rsidRPr="00C23E2D" w:rsidRDefault="00550D92" w:rsidP="00C23E2D">
      <w:r w:rsidRPr="00C23E2D">
        <w:t xml:space="preserve">Cydney </w:t>
      </w:r>
      <w:r w:rsidRPr="00C23E2D">
        <w:rPr>
          <w:rStyle w:val="Style13ptBold"/>
        </w:rPr>
        <w:t>Phillip</w:t>
      </w:r>
      <w:r w:rsidRPr="00C23E2D">
        <w:t>, The Liquid Plantationocene and Jesmyn Ward’s Let Us Descend (20</w:t>
      </w:r>
      <w:r w:rsidRPr="00C23E2D">
        <w:rPr>
          <w:rStyle w:val="Style13ptBold"/>
        </w:rPr>
        <w:t>23</w:t>
      </w:r>
      <w:r w:rsidRPr="00C23E2D">
        <w:t>), ISLE: Interdisciplinary Studies in Literature and Environment, 2025;, isaf029, https://doi.org/10.1093/isle/isaf029, Cydney Phillip is an interdisciplinary researcher and public engagement advocate. She received her PhD in 2023 from Goldsmiths, University of London, before beginning a one-year postdoctoral fellowship at the Institute of Advanced Studies, UCL. // Micah</w:t>
      </w:r>
    </w:p>
    <w:p w14:paraId="34D057D6" w14:textId="77777777" w:rsidR="00550D92" w:rsidRPr="00C90932" w:rsidRDefault="00550D92" w:rsidP="00C90932">
      <w:pPr>
        <w:rPr>
          <w:sz w:val="16"/>
        </w:rPr>
      </w:pPr>
      <w:r w:rsidRPr="00C90932">
        <w:rPr>
          <w:sz w:val="16"/>
        </w:rPr>
        <w:t xml:space="preserve">Introduction </w:t>
      </w:r>
      <w:r w:rsidRPr="00C90932">
        <w:rPr>
          <w:rStyle w:val="Emphasis"/>
        </w:rPr>
        <w:t>The liquid legacies</w:t>
      </w:r>
      <w:r w:rsidRPr="00C90932">
        <w:rPr>
          <w:u w:val="single"/>
        </w:rPr>
        <w:t xml:space="preserve"> of transatlantic slavery continue to spill over into the present, not just figuratively—in the sense that racial capitalism saturates contemporary ecologies and economies—but materially, too.</w:t>
      </w:r>
      <w:r w:rsidRPr="00C90932">
        <w:rPr>
          <w:sz w:val="16"/>
        </w:rPr>
        <w:t xml:space="preserve"> </w:t>
      </w:r>
      <w:r w:rsidRPr="00C90932">
        <w:rPr>
          <w:u w:val="single"/>
        </w:rPr>
        <w:t>Slavery altered the natural hydrology of the American South (Silkenat 81). Industrialized agriculture was dependent not only on precipitation patterns—as in, rainfall for harvest—but also on drainage systems to facilitate the control of water.</w:t>
      </w:r>
      <w:r w:rsidRPr="00C90932">
        <w:rPr>
          <w:sz w:val="16"/>
        </w:rPr>
        <w:t xml:space="preserve"> Along the Mississippi River, enslaved people were deployed to build and maintain </w:t>
      </w:r>
      <w:r w:rsidRPr="00C90932">
        <w:rPr>
          <w:u w:val="single"/>
        </w:rPr>
        <w:t>canals and levees</w:t>
      </w:r>
      <w:r w:rsidRPr="00C90932">
        <w:rPr>
          <w:sz w:val="16"/>
        </w:rPr>
        <w:t xml:space="preserve"> were used to prevent flooding and to assist the cultivation of crops in low-lying areas across the Mississippi Delta and Louisiana. However, as Anna Hartnell writes, “In time it would become apparent that [. . .] </w:t>
      </w:r>
      <w:r w:rsidRPr="00C90932">
        <w:rPr>
          <w:u w:val="single"/>
        </w:rPr>
        <w:t>man-made levees deprive the soil of the water and sediment that builds the land [. . .] and keeps it from collapsing in on itself and sinking”</w:t>
      </w:r>
      <w:r w:rsidRPr="00C90932">
        <w:rPr>
          <w:sz w:val="16"/>
        </w:rPr>
        <w:t xml:space="preserve"> (934). In the words of Richard Campanella, “All this creates air pockets in the soil body, into which those sand, silt, and clay particles settle, consolidate—and drop below sea level” (Campanella). Compounded by anthropogenic climate change and the construction of oil pipelines, </w:t>
      </w:r>
      <w:r w:rsidRPr="00C90932">
        <w:rPr>
          <w:u w:val="single"/>
        </w:rPr>
        <w:t>the hydraulic infrastructures of the Plantation continue to shape environmental crises across the US south</w:t>
      </w:r>
      <w:r w:rsidRPr="00C90932">
        <w:rPr>
          <w:sz w:val="16"/>
        </w:rPr>
        <w:t xml:space="preserve">, contributingISLE: Interdisciplinary Studies in Literature and Environment 00.0 (2025), pp. 1–19 https://doi.org/10.1093/isle/isaf029© The Author(s) 2025. Published by Oxford University Press on behalf of the Association for the Study of Literature and Environment. This is an Open Access article distributed under the terms of the Creative Commons AttributionNonCommercial-NoDerivs licence (https://creativecommons.org/licenses/by-nc-nd/4.0/), which permits non-commercial reproduction and distribution of the work, in any medium, provided the original work is not altered or transformed in any way, and that the work is properly cited. For commercial re-use, please contact reprints@oup. com for reprints and translation rights for reprints. All other permissions can be obtained through our RightsLink service via the Permissions link on the article page on our site—for further information please contact journals.permissions@oup.com. Downloaded from https://academic.oup.com/isle/advance-article/doi/10.1093/isle/isaf029/8105628 by Goldsmiths College user on 15 April 2025of the Anthropocene. Finally, I reflect on how the ending of the novel, ultimately, resonates with histories of “marronage and other forms of fugitive mobilities,” which as Leslie Gross-Wyrtzen and Alex Moulton write, “highlight the social and spatial dynamics of resistance and refashioning that African, African-descended, and Indigenous people enacted wherever chattel slavery existed” (1260). Through the neoslave narrative, Ward salvages the miscellaneous water-related histories and knowledges that are bypassed by the limited purview of the Anthropocene (tailored exclusively to the Western “Anthropos”) as well as terrestrial definitions of the Plantationocene. If, as Lucy Bond argues, </w:t>
      </w:r>
      <w:r w:rsidRPr="00C90932">
        <w:rPr>
          <w:u w:val="single"/>
        </w:rPr>
        <w:t>the Anthropocene induces a “crisis of memory” through the perpetuation of “narratives that serve to mask the historical connection between socio-economic and ecological violence</w:t>
      </w:r>
      <w:r w:rsidRPr="00C90932">
        <w:rPr>
          <w:sz w:val="16"/>
        </w:rPr>
        <w:t xml:space="preserve">” (196-197), then Let Us Descend complicates that strategic forgetfulness by articulating how </w:t>
      </w:r>
      <w:r w:rsidRPr="00C90932">
        <w:rPr>
          <w:rStyle w:val="Emphasis"/>
        </w:rPr>
        <w:t xml:space="preserve">the so-called natural environment is physically and metaphorically soaked in </w:t>
      </w:r>
      <w:r w:rsidRPr="00C90932">
        <w:rPr>
          <w:u w:val="single"/>
        </w:rPr>
        <w:t>histories of transatlantic slavery and its liquid legacies</w:t>
      </w:r>
      <w:r w:rsidRPr="00C90932">
        <w:rPr>
          <w:sz w:val="16"/>
        </w:rPr>
        <w:t>. The liquid Plantationocene is a nod to two critical interventions in which the concept of liquid(ity) has proven to be a generative framework for understanding the fluid dynamics of racial capitalism. The first is Hartnell’s work on the experience of “</w:t>
      </w:r>
      <w:r w:rsidRPr="00C90932">
        <w:rPr>
          <w:rStyle w:val="Emphasis"/>
        </w:rPr>
        <w:t>liquid precarity</w:t>
      </w:r>
      <w:r w:rsidRPr="00C90932">
        <w:rPr>
          <w:u w:val="single"/>
        </w:rPr>
        <w:t>” in what is now a sinking New Orleans (933). Whereas Zygmunt Baumon employs the notion of “liquid modernity” to describe the unfettered flows of global capitalism, Hartnell identifies the phenomenon of“liquid precarity” that continues to emerge as a result of the earth’s inability to withstand the weight of racial capitalism (933). As Hartnell reminds, this liquid precarity is evidenced by the sea’s ongoing absorption of the soil in Louisiana. Second, Rinaldo Walcott’s “The Black Aquatic” centers both the metaphorical and material proponents of liquid. Walcott argues that “Blackness begins in the context of liquidity—the coffle and the slave ship are its founding.</w:t>
      </w:r>
      <w:r w:rsidRPr="00C90932">
        <w:rPr>
          <w:sz w:val="16"/>
        </w:rPr>
        <w:t xml:space="preserve"> From historical examples like the ships Amistad and Zong, we see how </w:t>
      </w:r>
      <w:r w:rsidRPr="00C90932">
        <w:rPr>
          <w:u w:val="single"/>
        </w:rPr>
        <w:t xml:space="preserve">liquidity marks the birth of black possibility and/or potentialities that come into being. Liquidity, too, has its opposite: liquidation” </w:t>
      </w:r>
      <w:r w:rsidRPr="00C90932">
        <w:rPr>
          <w:sz w:val="16"/>
        </w:rPr>
        <w:t>(66). In doing so, Walcott draws the reader’s attention to “</w:t>
      </w:r>
      <w:r w:rsidRPr="00C90932">
        <w:rPr>
          <w:u w:val="single"/>
        </w:rPr>
        <w:t>the liquidity of people and economies in which the historical implications of the ship meet the contemporary liveability of Black</w:t>
      </w:r>
      <w:r w:rsidRPr="00C90932">
        <w:rPr>
          <w:sz w:val="16"/>
        </w:rPr>
        <w:t xml:space="preserve"> peoples’</w:t>
      </w:r>
      <w:r w:rsidRPr="00C90932">
        <w:rPr>
          <w:u w:val="single"/>
        </w:rPr>
        <w:t xml:space="preserve"> lives</w:t>
      </w:r>
      <w:r w:rsidRPr="00C90932">
        <w:rPr>
          <w:sz w:val="16"/>
        </w:rPr>
        <w:t xml:space="preserve">” (66). Thus, while the concept of </w:t>
      </w:r>
      <w:r w:rsidRPr="00C90932">
        <w:rPr>
          <w:u w:val="single"/>
        </w:rPr>
        <w:t>the Blue Plantationocene</w:t>
      </w:r>
      <w:r w:rsidRPr="00C90932">
        <w:rPr>
          <w:sz w:val="16"/>
        </w:rPr>
        <w:t xml:space="preserve"> might have situated this essay firmly within the field of </w:t>
      </w:r>
      <w:r w:rsidRPr="00C90932">
        <w:rPr>
          <w:rStyle w:val="Emphasis"/>
        </w:rPr>
        <w:t>blue humanities</w:t>
      </w:r>
      <w:r w:rsidRPr="00C90932">
        <w:rPr>
          <w:sz w:val="16"/>
        </w:rPr>
        <w:t xml:space="preserve"> scholarship, I want to maintain the focus on liquid that emerges in the work of both Hartnell and Walcott. </w:t>
      </w:r>
      <w:r w:rsidRPr="00C90932">
        <w:rPr>
          <w:u w:val="single"/>
        </w:rPr>
        <w:t>Blue humanities</w:t>
      </w:r>
      <w:r w:rsidRPr="00C90932">
        <w:rPr>
          <w:sz w:val="16"/>
        </w:rPr>
        <w:t xml:space="preserve"> discourse </w:t>
      </w:r>
      <w:r w:rsidRPr="00C90932">
        <w:rPr>
          <w:u w:val="single"/>
        </w:rPr>
        <w:t>is usually focused on the possibilities that emerge when marine science and cultural studies are combined to challenge anthropocentric understandings of the sea (</w:t>
      </w:r>
      <w:r w:rsidRPr="00C90932">
        <w:rPr>
          <w:sz w:val="16"/>
        </w:rPr>
        <w:t>Opperman 2-3). However, grappling with the liquid ecologies of 4 I S L E Downloaded from https://academic.oup.com/isle/advance-article/doi/10.1093/isle/isaf029/8105628 by Goldsmiths College user on 15 April 2025transatlantic slavery and identifying how they come to bear on the present means transgressing the saltwater focus that has long dominated that discourse.</w:t>
      </w:r>
      <w:r w:rsidRPr="00C90932">
        <w:rPr>
          <w:u w:val="single"/>
        </w:rPr>
        <w:t>2 Liquid, with its lexical associations with both water and capital, is a particularly useful term when it comes to apprehending the intersections among aqueous violence, economic exploitation, and racial domination in the Plantationocene</w:t>
      </w:r>
    </w:p>
    <w:p w14:paraId="7D4C7DB3" w14:textId="77777777" w:rsidR="00550D92" w:rsidRPr="00C90932" w:rsidRDefault="00550D92" w:rsidP="00C90932">
      <w:pPr>
        <w:pStyle w:val="Heading4"/>
        <w:rPr>
          <w:rFonts w:cs="Calibri"/>
        </w:rPr>
      </w:pPr>
      <w:r w:rsidRPr="00C90932">
        <w:rPr>
          <w:rFonts w:cs="Calibri"/>
        </w:rPr>
        <w:t xml:space="preserve">Western Blue Desires sanction black and indigenous death through the construction of humanist hierarchies which explicitly exclude subaltern and blackened subject positions. </w:t>
      </w:r>
    </w:p>
    <w:p w14:paraId="526F9160" w14:textId="1D28EAC4" w:rsidR="00C23E2D" w:rsidRPr="00C90932" w:rsidRDefault="00C23E2D" w:rsidP="00C23E2D">
      <w:r w:rsidRPr="00C90932">
        <w:rPr>
          <w:b/>
          <w:bCs/>
          <w:color w:val="000000" w:themeColor="text1"/>
          <w:sz w:val="26"/>
          <w:szCs w:val="26"/>
        </w:rPr>
        <w:t>Patel, ‘18</w:t>
      </w:r>
      <w:r w:rsidRPr="00C90932">
        <w:rPr>
          <w:color w:val="000000" w:themeColor="text1"/>
        </w:rPr>
        <w:t xml:space="preserve"> [Shaista Patel, </w:t>
      </w:r>
      <w:r>
        <w:rPr>
          <w:color w:val="000000" w:themeColor="text1"/>
        </w:rPr>
        <w:t xml:space="preserve">PhD candidate in Social Justice Education at the University of Toronto, </w:t>
      </w:r>
      <w:r w:rsidRPr="00C90932">
        <w:rPr>
          <w:color w:val="000000" w:themeColor="text1"/>
        </w:rPr>
        <w:t>“Histories out of the Blue: From Blue Hands, and Lands to Blue Destinies”, 2018</w:t>
      </w:r>
      <w:r>
        <w:rPr>
          <w:color w:val="000000" w:themeColor="text1"/>
        </w:rPr>
        <w:t>, https://utoronto.scholaris.ca/server/api/core/bitstreams/0e36ad97-6b71-421e-84f8-2f63ab60a752/content</w:t>
      </w:r>
      <w:r w:rsidRPr="00C90932">
        <w:rPr>
          <w:color w:val="000000" w:themeColor="text1"/>
        </w:rPr>
        <w:t>] // Micah</w:t>
      </w:r>
    </w:p>
    <w:p w14:paraId="6B9183D8" w14:textId="43EF45C8" w:rsidR="00331EB7" w:rsidRPr="00C90932" w:rsidRDefault="00550D92" w:rsidP="00C90932">
      <w:pPr>
        <w:rPr>
          <w:sz w:val="16"/>
        </w:rPr>
      </w:pPr>
      <w:r w:rsidRPr="00C90932">
        <w:rPr>
          <w:u w:val="single"/>
        </w:rPr>
        <w:t>What remains of bodies once they turn blue?</w:t>
      </w:r>
      <w:r w:rsidRPr="00C90932">
        <w:rPr>
          <w:sz w:val="16"/>
        </w:rPr>
        <w:t xml:space="preserve"> In life, not in death. When the colour of the blood running through your veins is no longer red but blue. When you breathe out blue? When the stench of cruelty of your masters in the form of your sweat and blood in indigo vats might be the only familiar smells to you; the vats the only land you know, as you continue to inhale and exhale more blue. When these rancid, claustrophobic, incarcerating vats are the land you are coerced to feel familiar with? When the limits of your body blurred with those of vats so that you no longer know where your body ends and where the vats begin? Or where the blue begins and ends? </w:t>
      </w:r>
      <w:r w:rsidRPr="00C90932">
        <w:rPr>
          <w:u w:val="single"/>
        </w:rPr>
        <w:t>How do we begin to theorize blue blood, blue lungs, blue fingers, the blue stuck underneath the nails, the blue breath that stretched Black and brown bodies across the four continents?</w:t>
      </w:r>
      <w:r w:rsidRPr="00C90932">
        <w:rPr>
          <w:sz w:val="16"/>
        </w:rPr>
        <w:t xml:space="preserve"> I want to think about how we can read for extensions of these bodies in Divakaruni's poem about blue lungs and breaths of Bengali peasants to the already-always blue hands of the unborn, already enslaved child (Sharpe, 2016; Dash, 1991) to land that too turned blue (and red) from the indigo seeds that were unethically and forcefully thrust deep into its heart? The blue was grown on all four continents with European masters and colonisers raping the land, the women, enslaving Black people, and starving Black and brown colonized people into (strategic) submission. In this chapter, I argue that the legacy of colour blue needs to attend to racial, colonial and imperial violence which produced it. I argue that attending to the violence of blue means thinking about colonialism from British Raj to the Americas; that it means thinking about slavery and the hierarchy of labour conditions produced through transnational travels of blue. Once again, this means bringing unlikely, seemingly unconnected spaces together in a conversation. </w:t>
      </w:r>
      <w:r w:rsidRPr="00C90932">
        <w:rPr>
          <w:u w:val="single"/>
        </w:rPr>
        <w:t>Blue coloured the four continents</w:t>
      </w:r>
      <w:r w:rsidRPr="00C90932">
        <w:rPr>
          <w:sz w:val="16"/>
        </w:rPr>
        <w:t xml:space="preserve">. And in this chapter, I try to hold onto its trace to understand the intimacies of the four continents produced through colour. In order to make clear why I stopped at blue lungs and fingers, I need to take a brief detour and talk about 211 some critical Black feminist and decolonial works that read marks on bodies within a context of systems of domination. For instance, in her book, In the Wake: On Blackness and Being, Black American feminist scholar, Christina Sharpe (2016) argues an extended meditation on slavery and its afterlife which she calls "wake work". I have engaged with wake work as an analytic, method and ethics of engaging with resilient Black life in my chapter on Theoretical Framework.119 Some of the key constellations of the text include the ship, the hold, and the weather through which she maps the co-ordinates of Black life despite death, as Sharpe puts it (p.20). I have found myself pausing on her discussion of the ship several times, and write about it here not to (perhaps once again) present Black life as one that is always slipping, always on the ebb of (normative) life, but to think through a mark, a taped piece of paper that becomes a site, or rather, a modality, of imprinting on Black flesh through which Black life is often made visible (to non-Black people like myself). I also discuss this to illustrate that these markings have a history. Sharpe discusses a photograph she comes upon in her archival work looking through images of a catastrophic earthquake, of a little Haitian girl who, injured, with a wound on her face, is lying on a stretcher with an ice pack under her head. What struck Sharpe (and the readers) about this photograph is a piece of transparent tape on her forehead, with the word "Ship" written on it. Sharpe contextualizes her discussion of this photograph, and the 'mark,' within a "semiotics of the slave ship" (p. 21). She discusses Zong, a slave ship which brought enslaved African people from the West coast of Africa to Jamaica in 1781, and deliberately drowned 132 people (or 140 or 142, as Sharpe points out) en route due to lack of water on board, and for filing insurance claims since no insurance money would have been paid had these African people died of "natural death".120 When Sharpe comes upon that photograph of the little Black girl, she cannot look at that image outside the history of slavery and present of Black incarceration in a police-plantation state of Haiti; she could not analyze the word Ship on the girl's forehead outside of the marks that were burnt into flesh of abducted Africans before they were huddled onto slave ships (48- 49); she could not analyze it outside Zong, outside of other slave ships and the Middle 119 As I have said in my Theoretical Framework as well, wake work is more than just an analytic. Sharpe argue for it as an ontology of Black life as well, something which I have respectfully stayed away from employing in my work as a non-Black scholar. 120 As Sharpe 212 Passage, and the Atlantic on whose bed are buried uncountable African people in the 400 years of slavery. Sharpe writes: Is Ship a proper name? A destination? An imperative? A signifier of the im/possibility of Black life under the conditions of what, Stephanie Smallwood tells us, "would become an enduring project in the modern Western world 'of] probing the limits up to which it is possible to discipline the body without extinguishing the life within" (Smallwood 2008, 35-36)? Is Ship a reminder and/or remainder of the Middle Passage, of the difference between life and death? Of those other Haitians in crisis sometimes called boat people? Or is Ship a reminder and/or remainder of the ongoing migrant and refugee crisis unfolding in the Mediterranean Sea and the Indian and Atlantic Oceans? Given how visual and literary culture evoke and invoke the Middle Passage with such deliberate and reflexive dysgraphic unseeing, I cannot help but extrapolate. (p. 46) Sharpe also highlights the other ways in which Blackness circulates through the figures of the captive, migrant, and refugee in her reading of the word Ship. Living Black life is performing wake work, always in an intimate relationship with death in the world because Blackness and Black people are constantly denied life. Once again, it is important for me to reiterate that I do not discuss this image to resign Black life to terror and death. Taking cues from Sharpe's scholarship, I want to question how we can make sense of the blue lungs, blue fingers/nails, blue unborness (Dash, 1991), </w:t>
      </w:r>
      <w:r w:rsidRPr="00C90932">
        <w:rPr>
          <w:u w:val="single"/>
        </w:rPr>
        <w:t>blue blood and blue breaths</w:t>
      </w:r>
      <w:r w:rsidRPr="00C90932">
        <w:rPr>
          <w:sz w:val="16"/>
        </w:rPr>
        <w:t xml:space="preserve"> that </w:t>
      </w:r>
      <w:r w:rsidRPr="00C90932">
        <w:rPr>
          <w:u w:val="single"/>
        </w:rPr>
        <w:t>marked the lands of Indigenous peoples as coerced into settlement</w:t>
      </w:r>
      <w:r w:rsidRPr="00C90932">
        <w:rPr>
          <w:sz w:val="16"/>
        </w:rPr>
        <w:t xml:space="preserve"> </w:t>
      </w:r>
      <w:r w:rsidRPr="00C90932">
        <w:rPr>
          <w:u w:val="single"/>
        </w:rPr>
        <w:t>by Black and brown hands across the Empire, and flesh and skins of Black and brown people</w:t>
      </w:r>
      <w:r w:rsidRPr="00C90932">
        <w:rPr>
          <w:sz w:val="16"/>
        </w:rPr>
        <w:t xml:space="preserve"> as it spanned the whole of European and American Empires. As a non-Black and non-Indigenous person looking at the image in Sharpe’s book I am trying to actively think about the "ethical demands on the viewer," (Sharpe, p. 51) and I would add, of the reader here. The question of how to be ethical and responsible when encountering the little Black girl, about whom we know nothing more, none of the humanizing co-ordinates outside of the narrative of earthquake (that always seemingly happen by force of nature and devour Black and brown people) and aids agency, in the archive continues to stay with me. It is a struggle to even become aware of my orientation to Black lives in these moments. I am working with the ethic that we non-Black people have a responsibility of treating with care (and attention to complicity in anti-Blackness) this becoming of the Haitian girl into a ship. 213 I write this with an understanding that Black fungibility is not the same as the multitude of labouring Bengali peasants I write about here. Black fungibility, as Tiffany King (2014) argues drawing upon Black feminist scholars like Saidiya Hartman and Hortense Spillers, is a “key analytic for thinking about Blackness and settler colonialism in White settler nation-states”. She writes: The space making practices of settler colonialism require the production of Black flesh as a fungible form of property, not just as a form of labor. In Scenes of Subjection, Saidiya Hartman argues that the enslaved embody the abstract “interchangeability and replaceability” that is endemic to the commodity (Hartman, 1997, p. 21). </w:t>
      </w:r>
      <w:r w:rsidRPr="00C90932">
        <w:rPr>
          <w:u w:val="single"/>
        </w:rPr>
        <w:t>Beyond, the captive body’s use as labor, the Black body has a figurative and metaphorical value that extends into the realm of the discursive and symbolic. (n.p) In pointing out some instances of how imperial, colonial and racial processes undergirding the life of natural indigo entangled the lives of enslaved Africans and colonized Bengali peasants,</w:t>
      </w:r>
      <w:r w:rsidRPr="00C90932">
        <w:rPr>
          <w:sz w:val="16"/>
        </w:rPr>
        <w:t xml:space="preserve"> I am not looking for drawing any comparisons for there are no one-dimensional, easily graspable, readily available units that can be compared here.121 I am also trying to be careful that I do not make the argument that their labour is what made them similar or even comparable to each other. What I want to pay attention to in this chapter is how the </w:t>
      </w:r>
      <w:r w:rsidRPr="00C90932">
        <w:rPr>
          <w:u w:val="single"/>
        </w:rPr>
        <w:t>blue moved around the globe, marking bodies and consolidating vertical and horizontal hierarchies of the human</w:t>
      </w:r>
      <w:r w:rsidRPr="00C90932">
        <w:rPr>
          <w:sz w:val="16"/>
        </w:rPr>
        <w:t xml:space="preserve">. I attended to Black fungibility because Blackness was and remains the most dehumanized as Sylvia Wynter, Christina Sharpe, Saidiya Hartman and other Black scholars I have discussed in my Theoretical Framework have noted. In order to talk about </w:t>
      </w:r>
      <w:r w:rsidRPr="00C90932">
        <w:rPr>
          <w:u w:val="single"/>
        </w:rPr>
        <w:t>dehumanizing of Bengali peasants</w:t>
      </w:r>
      <w:r w:rsidRPr="00C90932">
        <w:rPr>
          <w:sz w:val="16"/>
        </w:rPr>
        <w:t xml:space="preserve">, to take into account the resistance against this dehumanizing, I wanted to signal Black fungibility as the first and core site of historical and ongoing practices of dehumanizing. Colour has been an important site for how we can "approach anew the question of cultural exchange, violence and resistance," notes Natasha Eaton (2013), a scholar of Art History. This is certainly true for indigo for it has generated so much fascination, hatred, oppression, but also, revolutions. The politics of indigo has made it into a malevolent colour, making Empire stick together through the blood of variously colonized peoples, and those enslaved and brought to continental America, to the Caribbean, to South America, and to the 121 Please see my Theoretical Framework on discussion of politics of Black flesh. 214 ryots (small land-owning peasants) of Bengal, Bihar, and Orissa and everywhere else where Europeans went in search of land, labour and other resources. I follow this trajectory of indigo to reflect upon how </w:t>
      </w:r>
      <w:r w:rsidRPr="00C90932">
        <w:rPr>
          <w:u w:val="single"/>
        </w:rPr>
        <w:t xml:space="preserve">white </w:t>
      </w:r>
      <w:r w:rsidRPr="00C90932">
        <w:rPr>
          <w:rStyle w:val="Emphasis"/>
        </w:rPr>
        <w:t>settler colonialism, enslavement of Africans and colonial</w:t>
      </w:r>
      <w:r w:rsidRPr="00C90932">
        <w:rPr>
          <w:u w:val="single"/>
        </w:rPr>
        <w:t xml:space="preserve">/imperial domination across Asia and Africa </w:t>
      </w:r>
      <w:r w:rsidRPr="00C90932">
        <w:rPr>
          <w:rStyle w:val="Emphasis"/>
        </w:rPr>
        <w:t>constituted the global power through which indigo was</w:t>
      </w:r>
      <w:r w:rsidRPr="00C90932">
        <w:rPr>
          <w:u w:val="single"/>
        </w:rPr>
        <w:t xml:space="preserve"> made into such an important actant on world stage and i</w:t>
      </w:r>
      <w:r w:rsidRPr="00C90932">
        <w:rPr>
          <w:rStyle w:val="Emphasis"/>
        </w:rPr>
        <w:t xml:space="preserve">ntegral to relations of white domination and Black and brown subordination everywhere </w:t>
      </w:r>
      <w:r w:rsidRPr="00C90932">
        <w:rPr>
          <w:u w:val="single"/>
        </w:rPr>
        <w:t>until early 20th century when synthetic indigo in Germany and elsewhere finally ended this coercion to grow indigo.</w:t>
      </w:r>
      <w:r w:rsidRPr="00C90932">
        <w:rPr>
          <w:sz w:val="16"/>
        </w:rPr>
        <w:t xml:space="preserve"> In this chapter, I hold onto blue to make sense of seemingly disjointed spaces, temporalities and people which indigo brought into often intimate, and always asymmetrical encounters. I bring together two differently colonized spatial sites of enactment of racial violence, South Carolina and Bengal by analysing two important cultural texts of resistance. The first one is a mid-19th century Bengali protest play that explicated the violence of colonizing indigo planters and the resistance of the peasants, called Neel Darpan. The title of the Bengali play means, “Indigo mirror” in its English translation, the mirror being a “magic mirror which reflects two faces: the face of the tyrant, and the face of the aggrieved victim of tyranny” (Pradhan, date unknown). It reflects the harsh reality of the ordinariness and everydayness of cruelty of the East India Company and the accompanying British Raj, and also makes an attempt at capturing the violence against but also the resistance of the colonized (though more so of the coerced Bengali landlords rather than that of ryots or the peasants themselves). This play is the focus of my analysis and I examine it to think about anticolonial resistance of colonized Bengali people, but also, and more importantly, to pause on how these discourses of resistance could also work toward strengthening colonial and native elites in power, and in turn supporting the rule of white masters. I discuss the play in more detail later on in this chapter, but want to point out here too that Neel Darpan is not an infallible example of a radical anticolonial play that should be emulated in designing discourses of resistance and freedom. The play is problematic in how it centers the bodies of class and caste privileged landowning (zamindar) men rather than the ryots and those landless peasants who were Muslims and/or Dalit and had lived under the tyranny of these landlords even before British colonial relations were consolidated in Bengal. I have come to believe that it is precisely the problematic nature of the play that makes it more important to analyze if our goal is to think about questions of complicity in colonialism 215 here and there even as injured colonized subjects of history. What can be perceived as failure, I believe and argue, is pedagogically more important for learning to resist better than trying to live or emulate some previous example of resistance that left the landless/low caste/Dalit/Muslim subaltern people as silent and vestigial. In this chapter, I also want to reflect upon the conversation that can be facilitated between Neel Darpan and Daughters of the Dust, a 1991 independent film by Black filmmaker and novelist, Julie Dash. The film is set in early 20th century Dawtuh Island, located on the Sea Islands off the South Carolina coast where thousands of Africans had been enslaved during the last three quarters of 18th century. Set in 1902, the film is a story of three generation of Gullah women whose hands were stained blue from growing indigo on plantations. Just as in Neel Darpan, indigo is the impetus for the entire film, but centers enslaved (and free) Black women of past, present and future instead of landlords and relatively class and caste privileged ryots. It’s also a woman-centered narrative that disrupts the linearity of time by indicating a future for previously enslaved Black people (through the figure of the unborn daughter). My choice to stage and facilitate a discussion between two literal and textual spaces that do not make any obvious references to each other might beget the question of why this should and can be done. To begin to answer this question, I note that I have known of Neel Darpan for much longer than I have known about Indigenous peoples and enslaved Black people in the New World who were also coerced into growing indigo. My earliest knowledge about indigo came from stories told by my Bengali Muslim mother who probably knows (of) indigo more intimately than I ever will. She has heard more stories and have seen indigo fields and grew up playing in and around neel kuthi, or blue walled houses built by European planters during initial days of indigo trade in a small city of Narayanganj, outside of Dhaka, Bangladesh, where she lived with her large working-class family and was one of the nine children of factory workers. Neither of us are certain about who in our families grew indigo but considering the fact that my mother’s family comes from the Nadia district of East Bengal (in present-day India) and Bangladesh (part of India until 1947 and then Pakistan until 1971), and were among the poorest of Hindu peasants who converted to Ismailism122 in 122 Ismailism is a branch of Shi'i Islam. While scholarly studies into conversion of Hindus to Ismailism in South Asia have yet to be carried out systematically in terms of caste, hearing some stories from 100s of years ago 216 17th- to 18th centuries to escape caste relations under Hinduism that were intimately tied to their depressed class and caste positions, it is likely that they saw themselves reflected in the anticolonial struggles of which Neel Darpan is a part. We grew up hearing stories from my mother, grandparents and aunties about brave men and women who spent their lives struggling against the brutal realities of the East India Company rule in India. From stories of getting tortured and killed by British sahibs to a fable of an old woman who fed those “evil sahibs” of the East India Company poisoned roti (bread), tales of revolutionaries who fought the sahibs who would beat us for land, for labour, and our women; in fact, for our very souls. And for colours, which, in these stories, grew by 'magic' in the soil.</w:t>
      </w:r>
      <w:r w:rsidRPr="00C90932">
        <w:rPr>
          <w:u w:val="single"/>
        </w:rPr>
        <w:t xml:space="preserve"> This magic sent blue poison deep into the veins and blood of my ancestors. They grew poison and died in the process and all of this so that Europeans and Americans could wear blue clothes! I have been very angry thinking about the millions of deaths of Black and brown people and their futures around the world just so there can be blue uniforms, gowns and drapes. Initially, I planned to only write about European planters and the East India Company’s violence against the Bengali peasants, and focus on colonizer-colonized, but also the hierarchical relations amongst the colonized. However, once I began to read up more widely on the history of indigo –the transnationality of its reach, and the poison it infused not only in brown bodies but also how it stained Black flesh –it became increasingly difficult to not contextualize indigo within the context of enslavement and deaths of Black people. </w:t>
      </w:r>
      <w:r w:rsidRPr="00C90932">
        <w:rPr>
          <w:sz w:val="16"/>
        </w:rPr>
        <w:t xml:space="preserve">Without thinking about the blue-stained hands of women in Nana Peazant’s family in Dash’s film –presented as both, a poetics of slavery and resistance –thinking about indigo in Bengal (only) seemed to be just a small piece of the story. Living in North America, talking about colonial violence unleashed by the British planters on Bengalis prompted me to unforget how I live where I now live, and how integral it is to my narratives to pay attention to the colour now surviving in Gujarati language, and from knowledge passed down in family and the larger community, I know that most of us converted to Ismailism to escape caste tyranny. I understand my ancestors as belonging to Chamar caste of Dalit people. However, it is a subject position which I do not claim today given that among Ismailis, caste hierarchies are disavowed and for generations now we have grown up without knowing casteist violence. I now understand myself to be a privileged caste person in diaspora and hold myself complicit in upholding caste hierarchies. This is despite the fact that caste definitely shows in our surnames, whether it be my adopted mid-caste surname of Patel or my extended family's surname of Kachra which means garbage in Hindi/Urdu. It was a surname which they think marked their means of living as generations of garbage collectors at the time of conversion to Islam/Ismailism. I, however, do not know how or why we changed our paternal last name or what it actually was before Patel or even how this name change was possible in a very casteist South Asia. I have yet to examine my own family histories and of caste relations among Ismailis of earlier centuries. 217 which marked bodies of other colonized and enslaved peoples of the New World. For a long time now, because of the stories I grew up with, I have known that blue killed. What I realize only more recently is that </w:t>
      </w:r>
      <w:r w:rsidRPr="00C90932">
        <w:rPr>
          <w:rStyle w:val="Emphasis"/>
        </w:rPr>
        <w:t>blue is an archive in itself</w:t>
      </w:r>
      <w:r w:rsidRPr="00C90932">
        <w:rPr>
          <w:sz w:val="16"/>
        </w:rPr>
        <w:t xml:space="preserve">. So much has happened out of the blue; so much violence has come out of the blue. Indigo blue is an archive that has brought the peasants whose stories I grew up hearing together with enslaved and Indigenous peoples in the New World. This chapter is a small attempt at reading that vast, transnational archive of blue through the play and the film. Bringing these texts and spaces into conversation has been difficult for me because my academic training, as I have stated in my introductory chapter, has prepared me to hold onto mostly clear-cut boundaries of fields, theories, temporalities, and geographies. Attempting to draw these connections when there is no linear narrative to present in easily consumable bits is a daunting task. Again and again I would give up on writing this chapter because tracing the legacies and connections left in the wake of blue has been difficult since the boundaries around different archives have been kept strictly segregated.123 But </w:t>
      </w:r>
      <w:r w:rsidRPr="00C90932">
        <w:rPr>
          <w:u w:val="single"/>
        </w:rPr>
        <w:t>labour exploitation, imperialism, colonialism and slavery are all encoded in the sign of indigo</w:t>
      </w:r>
      <w:r w:rsidRPr="00C90932">
        <w:rPr>
          <w:sz w:val="16"/>
        </w:rPr>
        <w:t xml:space="preserve"> but so is the resistance of the ryots, of the enslaved and of other colonized peoples coerced into growing indigo for Europe and later, America. The colonized people in Neel Darpan and Nana Peazant's family in Daughter of the Dust are already in conversation with each other even if the conversations are placed in different spatio-temporal coordinates. Linking imperialism in India with colonial and racial violence of the New World despite the vast geographical and chronological divide is actually needed because as I have argued in another chapter, the colonizers of the New World who were also the Master of the stolen and enslaved people, later came to India as East India Company officials, as planters, as private business holders, adventurers and soldiers. Reading these texts in relation to each other provides an analytical framework that decolonizes the kinds of archival and representational separations that constitute and reproduce present-day colonial discontinuities and “afterlives of slavery” (Hartman, 1997). Moreover, I take heed from Gyandera Pandey’s (2008) instruction in his editorial on bringing changing modes of disenfranchisement in South Asia and the US into conversation with each other. He writes: 123 I have discussed this in more detail in my chapter on methodology. I am also very grateful to Lisa Lowe’s (2006, 2015) work for encouraging me to think through the archival boundaries. 218 The juxtaposition of different bodies of scholarship and differing debates should help to bring about a new awareness, not only of shared histories and shared struggles in the making of the modern world, but of particularities and facets of our different histories and societal conditions that we have simply assumed as being well understood, and hence taken for granted. (p. 272) From India to Arabia to Europe and Africa and back to India, indigo moved along trade routes, solidifying human hierarchies of colonizers, colonized, Masters, slaves, planters/colonizers, and the colonized/peasants. This chapter is not an effort at writing a better or more complete story of indigo. However, it is an effort at expanding the analytical frames within which scholars of South Asia and British Empire have looked at indigo production in Bengal. I want to place the stories of indigo I know with the ones I am beginning to learn about. I try to do that without losing the specificities of the forms of violence indigo travels took in different continents and time periods. In her truly remarkable doctoral project titled, In the Clearing: Black Female Bodies, Space and Settler Colonial Landscapes, Tiffany Lethabo-King (2013) argues for development of what she calls, “simultaneous vision” (p. 32) in order to “see” how slavery and settler colonialism structure one another. Indebted to her work, in this chapter, I argue for bringing in the journey of indigo in South Asia too to help us better "see" how colonialism in one place was entangled with so many other stories of violence and people(s), and to “see” how the indigo which stained the hands of the women in Daughters of the Dust also structured the lives and death of colonized people in India. This has been important for me as I continue to think about the question of interconnectedness of white settler colonialism, slavery, and other imperial and colonial enterprises of British and American empires. In the next section, I give a brief summary of the transnational travels of indigo. I will then discuss the play, paying attention to the question of radicality of the play and discussing my reasons for choosing it in more detail. I will analyze the play by holding onto the social formations of caste, coloniality, and whiteness in order to understand how anticolonial resistance of peasants was co-opted by elite native perceptions of the 1860 Blue Mutiny. I then look into the debates on “slavery” in East India and West India with a focus on the question of freedom. It was in these debates that the colonizers/Master/planters/EIC officials 219 brought the ryots from “East India” into conversation with slaves on plantations of “West India”. Alluding to these debates, I insist on holding together both these figures conventionally held apart by disciplinarily-separated archives. I will end this chapter by analyzing Dash's film to reflect on what I have learned about resistance from it.</w:t>
      </w:r>
    </w:p>
    <w:p w14:paraId="3592D1B6" w14:textId="77777777" w:rsidR="003215B1" w:rsidRPr="00C90932" w:rsidRDefault="003215B1" w:rsidP="00C90932">
      <w:pPr>
        <w:pStyle w:val="Heading4"/>
        <w:rPr>
          <w:rFonts w:eastAsia="Cambria"/>
        </w:rPr>
      </w:pPr>
      <w:r w:rsidRPr="00C90932">
        <w:rPr>
          <w:rFonts w:eastAsia="Cambria"/>
        </w:rPr>
        <w:t xml:space="preserve">Maritime sovereignty formed the legal basis of the non-personhood of blackened populations – only by undoing the desire for blue sovereignty can the hierarchy of humanism be undone. </w:t>
      </w:r>
    </w:p>
    <w:p w14:paraId="5C84065C" w14:textId="60782F31" w:rsidR="003215B1" w:rsidRPr="00C23E2D" w:rsidRDefault="003215B1" w:rsidP="00C23E2D">
      <w:r w:rsidRPr="00C23E2D">
        <w:rPr>
          <w:rStyle w:val="Style13ptBold"/>
        </w:rPr>
        <w:t>Mawani 22</w:t>
      </w:r>
      <w:r w:rsidR="00C23E2D">
        <w:t xml:space="preserve"> [Renisa Mawani, </w:t>
      </w:r>
      <w:r w:rsidRPr="00C23E2D">
        <w:t>Professor of Sociology at the University of British Columbia, Austin Sarat, George Pavlich, Richard Mailey, "Interrupting the Legal Person," 2022 Studies in Law, Politics, and Society, Vol. 87B, Emerald Publishing Limited, Bingley, pp. 19-42 https://doi.org/10.1108/S1059-43372022000087B002</w:t>
      </w:r>
      <w:r w:rsidR="00C23E2D">
        <w:t>]</w:t>
      </w:r>
      <w:r w:rsidRPr="00C23E2D">
        <w:t xml:space="preserve"> - Recut //Micah</w:t>
      </w:r>
    </w:p>
    <w:p w14:paraId="4FF4F00E" w14:textId="77777777" w:rsidR="003215B1" w:rsidRPr="00C90932" w:rsidRDefault="003215B1" w:rsidP="00C90932">
      <w:pPr>
        <w:rPr>
          <w:rFonts w:eastAsia="Cambria"/>
          <w:sz w:val="16"/>
        </w:rPr>
      </w:pPr>
      <w:r w:rsidRPr="00C90932">
        <w:rPr>
          <w:rFonts w:eastAsia="Cambria"/>
          <w:sz w:val="16"/>
        </w:rPr>
        <w:t>THE PERSISTENT LIVES OF TRANSATLANTIC SLAVERY</w:t>
      </w:r>
    </w:p>
    <w:p w14:paraId="02AA33DD" w14:textId="77777777" w:rsidR="003215B1" w:rsidRPr="00C90932" w:rsidRDefault="003215B1" w:rsidP="00C90932">
      <w:pPr>
        <w:rPr>
          <w:rFonts w:eastAsia="Cambria"/>
          <w:sz w:val="16"/>
        </w:rPr>
      </w:pPr>
      <w:r w:rsidRPr="00C90932">
        <w:rPr>
          <w:rFonts w:eastAsia="Cambria"/>
          <w:sz w:val="16"/>
        </w:rPr>
        <w:t xml:space="preserve">Ultimately </w:t>
      </w:r>
      <w:r w:rsidRPr="00C90932">
        <w:rPr>
          <w:rFonts w:eastAsia="Cambria"/>
          <w:u w:val="single"/>
        </w:rPr>
        <w:t>the law decides who gets legal personality and status: there is nothing spontaneous about it.</w:t>
      </w:r>
      <w:r w:rsidRPr="00C90932">
        <w:rPr>
          <w:rFonts w:eastAsia="Cambria"/>
          <w:sz w:val="16"/>
        </w:rPr>
        <w:t xml:space="preserve"> (McLean, ‘The Transnational Corporation in History’, p. 376)</w:t>
      </w:r>
    </w:p>
    <w:p w14:paraId="5694528A" w14:textId="77777777" w:rsidR="003215B1" w:rsidRPr="00C90932" w:rsidRDefault="003215B1" w:rsidP="00C90932">
      <w:pPr>
        <w:rPr>
          <w:rFonts w:eastAsia="Cambria"/>
          <w:sz w:val="16"/>
        </w:rPr>
      </w:pPr>
      <w:r w:rsidRPr="00C90932">
        <w:rPr>
          <w:rFonts w:eastAsia="Cambria"/>
          <w:u w:val="single"/>
        </w:rPr>
        <w:t>Discussions of legal personhood today most often centre on the corporation</w:t>
      </w:r>
      <w:r w:rsidRPr="00C90932">
        <w:rPr>
          <w:rFonts w:eastAsia="Cambria"/>
          <w:sz w:val="16"/>
        </w:rPr>
        <w:t xml:space="preserve">. In American jurisprudence, the corporation is defined as a legal entity with rights and obligations that are separate from its members. As critics have argued, </w:t>
      </w:r>
      <w:r w:rsidRPr="00C90932">
        <w:rPr>
          <w:rFonts w:eastAsia="Cambria"/>
          <w:u w:val="single"/>
        </w:rPr>
        <w:t>the corporation is a legal form that emerged from histories of colonial exploitation including transatlantic slavery</w:t>
      </w:r>
      <w:r w:rsidRPr="00C90932">
        <w:rPr>
          <w:rFonts w:eastAsia="Cambria"/>
          <w:sz w:val="16"/>
        </w:rPr>
        <w:t xml:space="preserve">. For Janet McLean (2004), the corporation can be traced directly to the joint stock company. Therefore, </w:t>
      </w:r>
      <w:r w:rsidRPr="00C90932">
        <w:rPr>
          <w:rFonts w:eastAsia="Cambria"/>
          <w:u w:val="single"/>
        </w:rPr>
        <w:t>colonial expansion and appropriation</w:t>
      </w:r>
      <w:r w:rsidRPr="00C90932">
        <w:rPr>
          <w:rFonts w:eastAsia="Cambria"/>
          <w:sz w:val="16"/>
        </w:rPr>
        <w:t xml:space="preserve">, she argues, </w:t>
      </w:r>
      <w:r w:rsidRPr="00C90932">
        <w:rPr>
          <w:rFonts w:eastAsia="Cambria"/>
          <w:u w:val="single"/>
        </w:rPr>
        <w:t>must ‘be viewed as a history of the corporate form’</w:t>
      </w:r>
      <w:r w:rsidRPr="00C90932">
        <w:rPr>
          <w:rFonts w:eastAsia="Cambria"/>
          <w:sz w:val="16"/>
        </w:rPr>
        <w:t xml:space="preserve"> (p. 363). Others have traced </w:t>
      </w:r>
      <w:r w:rsidRPr="00C90932">
        <w:rPr>
          <w:rFonts w:eastAsia="Cambria"/>
          <w:u w:val="single"/>
        </w:rPr>
        <w:t>the rise of the corporation to transatlantic slavery</w:t>
      </w:r>
      <w:r w:rsidRPr="00C90932">
        <w:rPr>
          <w:rFonts w:eastAsia="Cambria"/>
          <w:sz w:val="16"/>
        </w:rPr>
        <w:t xml:space="preserve"> (Logan, 2019). In the 1880s, the US Supreme Court expanded </w:t>
      </w:r>
      <w:r w:rsidRPr="00C90932">
        <w:rPr>
          <w:rFonts w:eastAsia="Cambria"/>
          <w:u w:val="single"/>
        </w:rPr>
        <w:t>the fourteenth amendment</w:t>
      </w:r>
      <w:r w:rsidRPr="00C90932">
        <w:rPr>
          <w:rFonts w:eastAsia="Cambria"/>
          <w:sz w:val="16"/>
        </w:rPr>
        <w:t xml:space="preserve">, originally </w:t>
      </w:r>
      <w:r w:rsidRPr="00C90932">
        <w:rPr>
          <w:rFonts w:eastAsia="Cambria"/>
          <w:u w:val="single"/>
        </w:rPr>
        <w:t>intended to extend citizenship and protect the person- hood of formerly enslaved peoples, to include corporations.</w:t>
      </w:r>
      <w:r w:rsidRPr="00C90932">
        <w:rPr>
          <w:rFonts w:eastAsia="Cambria"/>
          <w:sz w:val="16"/>
        </w:rPr>
        <w:t xml:space="preserve"> Between 1868 and 1911, as Nneka Logan (2019) argues, the Supreme Court heard 604 cases that centred on the fourteenth amendment. Only 28 of these dealt with the rights of formerly enslaved peoples, and only in 6 cases did the court uphold their interests (Logan, 2019, p. 980). These decisions, Logan (2019, p. 977) contends, ‘ushered in an unprecedented era of corporate wealth, power, and privilege’ at the expense of the personhood of the formerly enslaved. Whereas McLean (2004) focusses on the corporation as a product of British imperial expansion, Logan (2019, p. 978) traces the durability of racial ideologies produced through transatlantic slav- ery, which continue to make it uncontroversial for ‘certain people to be treated as things and the things of certain people to be treated as persons in American jurisprudence’. </w:t>
      </w:r>
      <w:r w:rsidRPr="00C90932">
        <w:rPr>
          <w:rFonts w:eastAsia="Cambria"/>
          <w:u w:val="single"/>
        </w:rPr>
        <w:t>The genealogy of legal personhood</w:t>
      </w:r>
      <w:r w:rsidRPr="00C90932">
        <w:rPr>
          <w:rFonts w:eastAsia="Cambria"/>
          <w:sz w:val="16"/>
        </w:rPr>
        <w:t xml:space="preserve"> that I have started to sketch out here, while appreciative of these arguments, </w:t>
      </w:r>
      <w:r w:rsidRPr="00C90932">
        <w:rPr>
          <w:rFonts w:eastAsia="Cambria"/>
          <w:u w:val="single"/>
        </w:rPr>
        <w:t xml:space="preserve">points to a longer and entangled history of Anglo imperial maritime contests. </w:t>
      </w:r>
      <w:r w:rsidRPr="00C90932">
        <w:rPr>
          <w:rStyle w:val="Emphasis"/>
        </w:rPr>
        <w:t>Marshall and Story borrowed from maritime customs and British admiralty law to designate ships as legal persons</w:t>
      </w:r>
      <w:r w:rsidRPr="00C90932">
        <w:rPr>
          <w:rFonts w:eastAsia="Cambria"/>
          <w:b/>
          <w:iCs/>
          <w:u w:val="single"/>
        </w:rPr>
        <w:t>, determinations that extended US jurisdiction along the Atlantic while allowing the courts to address inter-imperial conflicts over commerce, piracy, and illegal slavery at sea.</w:t>
      </w:r>
      <w:r w:rsidRPr="00C90932">
        <w:rPr>
          <w:rFonts w:eastAsia="Cambria"/>
          <w:sz w:val="16"/>
        </w:rPr>
        <w:t xml:space="preserve"> </w:t>
      </w:r>
      <w:r w:rsidRPr="00C90932">
        <w:rPr>
          <w:rFonts w:eastAsia="Cambria"/>
          <w:u w:val="single"/>
        </w:rPr>
        <w:t xml:space="preserve">At roughly </w:t>
      </w:r>
      <w:r w:rsidRPr="00C90932">
        <w:rPr>
          <w:rStyle w:val="Emphasis"/>
        </w:rPr>
        <w:t>the same time</w:t>
      </w:r>
      <w:r w:rsidRPr="00C90932">
        <w:rPr>
          <w:rFonts w:eastAsia="Cambria"/>
          <w:u w:val="single"/>
        </w:rPr>
        <w:t xml:space="preserve">, they also decided on the legal person- hood and </w:t>
      </w:r>
      <w:r w:rsidRPr="00C90932">
        <w:rPr>
          <w:rStyle w:val="Emphasis"/>
        </w:rPr>
        <w:t>non-personhood of slaves</w:t>
      </w:r>
      <w:r w:rsidRPr="00C90932">
        <w:rPr>
          <w:rFonts w:eastAsia="Cambria"/>
          <w:u w:val="single"/>
        </w:rPr>
        <w:t>.</w:t>
      </w:r>
      <w:r w:rsidRPr="00C90932">
        <w:rPr>
          <w:rFonts w:eastAsia="Cambria"/>
          <w:sz w:val="16"/>
        </w:rPr>
        <w:t xml:space="preserve"> When these cases are read together, </w:t>
      </w:r>
      <w:r w:rsidRPr="00C90932">
        <w:rPr>
          <w:rFonts w:eastAsia="Cambria"/>
          <w:u w:val="single"/>
        </w:rPr>
        <w:t>mari- time law and the laws of slavery emerge as interconnected and integral to the history of legal personhood</w:t>
      </w:r>
      <w:r w:rsidRPr="00C90932">
        <w:rPr>
          <w:rFonts w:eastAsia="Cambria"/>
          <w:sz w:val="16"/>
        </w:rPr>
        <w:t>.</w:t>
      </w:r>
    </w:p>
    <w:p w14:paraId="132F6D40" w14:textId="77777777" w:rsidR="003215B1" w:rsidRPr="00C90932" w:rsidRDefault="003215B1" w:rsidP="00C90932">
      <w:pPr>
        <w:rPr>
          <w:rFonts w:eastAsia="Cambria"/>
          <w:sz w:val="16"/>
        </w:rPr>
      </w:pPr>
      <w:r w:rsidRPr="00C90932">
        <w:rPr>
          <w:rFonts w:eastAsia="Cambria"/>
          <w:u w:val="single"/>
        </w:rPr>
        <w:t>The (after)lives of slavery are most often traced to the criminal justice system,</w:t>
      </w:r>
      <w:r w:rsidRPr="00C90932">
        <w:rPr>
          <w:rFonts w:eastAsia="Cambria"/>
          <w:sz w:val="16"/>
        </w:rPr>
        <w:t xml:space="preserve"> especially the mass incarceration of African Americans and the ongoing police vio- lence directed at Black communities (Alexander, 2010; Davis, 2001; DeLombard, 2019, p. 514). But </w:t>
      </w:r>
      <w:r w:rsidRPr="00C90932">
        <w:rPr>
          <w:rFonts w:eastAsia="Cambria"/>
          <w:u w:val="single"/>
        </w:rPr>
        <w:t xml:space="preserve">the persistent lives of transatlantic slavery are manifest in other ways that often go unremarked and unnoticed. Slavery was foundational to the rise of shipping, insurance, and banking </w:t>
      </w:r>
      <w:r w:rsidRPr="00C90932">
        <w:rPr>
          <w:rFonts w:eastAsia="Cambria"/>
          <w:sz w:val="16"/>
        </w:rPr>
        <w:t>(Armstrong, 2004; Baucom, 2005; Williams, 1944, pp. 98–102). The transatlantic slave trade, James Walvin (2013) observes, has been described as ‘the most international of all commercial activities before the nineteenth century.’ Its ships were drawn from all corners of the Atlantic world, and the goods loaded on board were themselves gathered from the most distant parts of the globe, all in the intention of acquiring slaves. (p. 72)</w:t>
      </w:r>
    </w:p>
    <w:p w14:paraId="1D7EF70F" w14:textId="77777777" w:rsidR="003215B1" w:rsidRPr="00C90932" w:rsidRDefault="003215B1" w:rsidP="00C90932">
      <w:pPr>
        <w:rPr>
          <w:rFonts w:eastAsia="Cambria"/>
          <w:sz w:val="16"/>
        </w:rPr>
      </w:pPr>
      <w:r w:rsidRPr="00C90932">
        <w:rPr>
          <w:rFonts w:eastAsia="Cambria"/>
          <w:sz w:val="16"/>
        </w:rPr>
        <w:t xml:space="preserve">Moreover, </w:t>
      </w:r>
      <w:r w:rsidRPr="00C90932">
        <w:rPr>
          <w:rFonts w:eastAsia="Cambria"/>
          <w:u w:val="single"/>
        </w:rPr>
        <w:t>the maritime legal instruments that transformed persons into prop- erty</w:t>
      </w:r>
      <w:r w:rsidRPr="00C90932">
        <w:rPr>
          <w:rFonts w:eastAsia="Cambria"/>
          <w:sz w:val="16"/>
        </w:rPr>
        <w:t xml:space="preserve"> – </w:t>
      </w:r>
      <w:r w:rsidRPr="00C90932">
        <w:rPr>
          <w:rFonts w:eastAsia="Cambria"/>
          <w:u w:val="single"/>
        </w:rPr>
        <w:t>ship logs, ledgers, and account books – have shaped a range of contempo- rary business practices including speculative finance, insurance, accounting, and bookkeeping</w:t>
      </w:r>
      <w:r w:rsidRPr="00C90932">
        <w:rPr>
          <w:rFonts w:eastAsia="Cambria"/>
          <w:sz w:val="16"/>
        </w:rPr>
        <w:t xml:space="preserve"> (Armstrong, 2004; Baucom, 2005; Rosenthal, 2018). The origins of </w:t>
      </w:r>
      <w:r w:rsidRPr="00C90932">
        <w:rPr>
          <w:rFonts w:eastAsia="Cambria"/>
          <w:u w:val="single"/>
        </w:rPr>
        <w:t>corporations</w:t>
      </w:r>
      <w:r w:rsidRPr="00C90932">
        <w:rPr>
          <w:rFonts w:eastAsia="Cambria"/>
          <w:sz w:val="16"/>
        </w:rPr>
        <w:t xml:space="preserve">, especially </w:t>
      </w:r>
      <w:r w:rsidRPr="00C90932">
        <w:rPr>
          <w:rFonts w:eastAsia="Cambria"/>
          <w:u w:val="single"/>
        </w:rPr>
        <w:t>banks and insurance companies</w:t>
      </w:r>
      <w:r w:rsidRPr="00C90932">
        <w:rPr>
          <w:rFonts w:eastAsia="Cambria"/>
          <w:sz w:val="16"/>
        </w:rPr>
        <w:t xml:space="preserve">, which </w:t>
      </w:r>
      <w:r w:rsidRPr="00C90932">
        <w:rPr>
          <w:rFonts w:eastAsia="Cambria"/>
          <w:u w:val="single"/>
        </w:rPr>
        <w:t>emerged and expanded during the eighteenth and nineteenth centuries,</w:t>
      </w:r>
      <w:r w:rsidRPr="00C90932">
        <w:rPr>
          <w:rFonts w:eastAsia="Cambria"/>
          <w:sz w:val="16"/>
        </w:rPr>
        <w:t xml:space="preserve"> can be </w:t>
      </w:r>
      <w:r w:rsidRPr="00C90932">
        <w:rPr>
          <w:rFonts w:eastAsia="Cambria"/>
          <w:u w:val="single"/>
        </w:rPr>
        <w:t>traced directly to the triangular trade, and reveal the interconnections between shipping and Atlantic slavery</w:t>
      </w:r>
      <w:r w:rsidRPr="00C90932">
        <w:rPr>
          <w:rFonts w:eastAsia="Cambria"/>
          <w:sz w:val="16"/>
        </w:rPr>
        <w:t xml:space="preserve"> (Baucom, 2005, pp. 38–40; Rupprecht, 2016, p. 33). </w:t>
      </w:r>
      <w:r w:rsidRPr="00C90932">
        <w:rPr>
          <w:rStyle w:val="Emphasis"/>
          <w:sz w:val="32"/>
          <w:szCs w:val="32"/>
        </w:rPr>
        <w:t xml:space="preserve">The legal mutability of the ship and the slave created the conditions of possibility </w:t>
      </w:r>
      <w:r w:rsidRPr="00C90932">
        <w:rPr>
          <w:rFonts w:eastAsia="Cambria"/>
          <w:b/>
          <w:iCs/>
          <w:u w:val="single"/>
        </w:rPr>
        <w:t xml:space="preserve">for a flourishing Atlantic commerce </w:t>
      </w:r>
      <w:r w:rsidRPr="00C90932">
        <w:rPr>
          <w:rFonts w:eastAsia="Cambria"/>
          <w:sz w:val="16"/>
        </w:rPr>
        <w:t xml:space="preserve">that was </w:t>
      </w:r>
      <w:r w:rsidRPr="00C90932">
        <w:rPr>
          <w:rFonts w:eastAsia="Cambria"/>
          <w:b/>
          <w:iCs/>
          <w:u w:val="single"/>
        </w:rPr>
        <w:t>underpinned by racial and colonial vio- lence</w:t>
      </w:r>
      <w:r w:rsidRPr="00C90932">
        <w:rPr>
          <w:rFonts w:eastAsia="Cambria"/>
          <w:u w:val="single"/>
        </w:rPr>
        <w:t>.</w:t>
      </w:r>
      <w:r w:rsidRPr="00C90932">
        <w:rPr>
          <w:rFonts w:eastAsia="Cambria"/>
          <w:sz w:val="16"/>
        </w:rPr>
        <w:t xml:space="preserve"> </w:t>
      </w:r>
      <w:r w:rsidRPr="00C90932">
        <w:rPr>
          <w:rFonts w:eastAsia="Cambria"/>
          <w:u w:val="single"/>
        </w:rPr>
        <w:t>This history only fully materialises</w:t>
      </w:r>
      <w:r w:rsidRPr="00C90932">
        <w:rPr>
          <w:rFonts w:eastAsia="Cambria"/>
          <w:sz w:val="16"/>
        </w:rPr>
        <w:t xml:space="preserve"> </w:t>
      </w:r>
      <w:r w:rsidRPr="00C90932">
        <w:rPr>
          <w:rFonts w:eastAsia="Cambria"/>
          <w:u w:val="single"/>
        </w:rPr>
        <w:t>when maritime worlds are foregrounded in legal histories of slavery.</w:t>
      </w:r>
    </w:p>
    <w:p w14:paraId="2AD8C6E1" w14:textId="77777777" w:rsidR="003215B1" w:rsidRPr="00C90932" w:rsidRDefault="003215B1" w:rsidP="00C90932">
      <w:pPr>
        <w:rPr>
          <w:rFonts w:eastAsia="Cambria"/>
          <w:sz w:val="16"/>
        </w:rPr>
      </w:pPr>
      <w:r w:rsidRPr="00C90932">
        <w:rPr>
          <w:rFonts w:eastAsia="Cambria"/>
          <w:sz w:val="16"/>
        </w:rPr>
        <w:t xml:space="preserve">As I completed this chapter in summer 2020, the Black Lives Matter move- ment was gaining global traction in protests across US, Canadian, and British cities. Amidst global demands for racial justice – in response to the death of George Floyd and too many other Black women and men murdered by police – Lloyd’s of London, the world’s oldest insurance provider, finally admitted its role in the transatlantic slave trade. The company is included in the ‘Legacies of British Slave-ownership Project’, a database compiled by a group of schol- ars led by Professor Catherine Hall and hosted by University College London (see Hall, Draper, McClelland, Donnington, &amp; Lang, 2014). However, it was not until June 2020, in a global moment of protest condemning anti-Black violence, that Lloyd’s finally issued a public apology for their involvement in the Atlantic slave trade, which they described as an ‘appalling and shameful period of English history’ (Ziady, 2020). </w:t>
      </w:r>
      <w:r w:rsidRPr="00C90932">
        <w:rPr>
          <w:rFonts w:eastAsia="Cambria"/>
          <w:u w:val="single"/>
        </w:rPr>
        <w:t>The effects of the slave trade</w:t>
      </w:r>
      <w:r w:rsidRPr="00C90932">
        <w:rPr>
          <w:rFonts w:eastAsia="Cambria"/>
          <w:sz w:val="16"/>
        </w:rPr>
        <w:t xml:space="preserve">, they acknowledge, </w:t>
      </w:r>
      <w:r w:rsidRPr="00C90932">
        <w:rPr>
          <w:rFonts w:eastAsia="Cambria"/>
          <w:u w:val="single"/>
        </w:rPr>
        <w:t>extends well beyond eighteenth and nineteenth century England</w:t>
      </w:r>
      <w:r w:rsidRPr="00C90932">
        <w:rPr>
          <w:rFonts w:eastAsia="Cambria"/>
          <w:sz w:val="16"/>
        </w:rPr>
        <w:t xml:space="preserve">. However, the origin of Lloyd’s can be traced to the heart of London and to a historical period when developments in the laws of shipping and slavery visibly influenced one another. Established in 1687 by Edward Lloyd, what is now a global insurance giant began as a local coffee house on Tower Street near the River Thames. Early patrons included seafarers, captains, and ‘ship’s husbands’, who frequented the coffee house to complete their daily business and to exchange news on maritime arrivals, departures, and events (Herschaft, 2005, p. 170). Lloyd later expanded his busi- ness to include the collection and distribution of maritime information. He sent men to nearby ports so they could report and record maritime traffic and events. Lloyd’s, the company, eventually started a weekly trade newspaper, Lloyd News, a shipping registry, and a thriving maritime insurance business (Herschaft, 2005, p. 171). Lloyd’s did not begin underwriting marine insurance, including ships and (human) cargos, until the eighteenth century. By then, Edward Lloyd was already complicit in the Atlantic slave trade (Dua, 2019, p. 494; Williams, 1944). Fugitive slave advertisements that were placed in London newspapers ‘listed Lloyd’s as the place they [fugitive slaves] should be returned’ (Williams, 1944, p. 104). In the maritime worlds engendered by Edward Lloyd’s coffee house, </w:t>
      </w:r>
      <w:r w:rsidRPr="00C90932">
        <w:rPr>
          <w:rFonts w:eastAsia="Cambria"/>
          <w:u w:val="single"/>
        </w:rPr>
        <w:t>ships and slaves were already connected, as they would be in US maritime law and in the jurispru- dence of slavery</w:t>
      </w:r>
      <w:r w:rsidRPr="00C90932">
        <w:rPr>
          <w:rFonts w:eastAsia="Cambria"/>
          <w:sz w:val="16"/>
        </w:rPr>
        <w:t>.</w:t>
      </w:r>
    </w:p>
    <w:p w14:paraId="595263B4" w14:textId="77777777" w:rsidR="003215B1" w:rsidRPr="00C90932" w:rsidRDefault="003215B1" w:rsidP="00C90932">
      <w:pPr>
        <w:rPr>
          <w:rFonts w:eastAsia="Cambria"/>
          <w:sz w:val="16"/>
        </w:rPr>
      </w:pPr>
      <w:r w:rsidRPr="00C90932">
        <w:rPr>
          <w:rFonts w:eastAsia="Cambria"/>
          <w:sz w:val="16"/>
        </w:rPr>
        <w:t xml:space="preserve">In The Mirror of the Sea, Conrad (1906) gives his readers a glimpse into a dynamic and tumultuous ocean world where winds, waves, ships, and anchors collide and combine to illuminate the entanglements between human and more- than-human life. </w:t>
      </w:r>
      <w:r w:rsidRPr="00C90932">
        <w:rPr>
          <w:rFonts w:eastAsia="Cambria"/>
          <w:u w:val="single"/>
        </w:rPr>
        <w:t>When read through maritime legal orders</w:t>
      </w:r>
      <w:r w:rsidRPr="00C90932">
        <w:rPr>
          <w:rFonts w:eastAsia="Cambria"/>
          <w:sz w:val="16"/>
        </w:rPr>
        <w:t xml:space="preserve">, his ruminations, </w:t>
      </w:r>
      <w:r w:rsidRPr="00C90932">
        <w:rPr>
          <w:rFonts w:eastAsia="Cambria"/>
          <w:u w:val="single"/>
        </w:rPr>
        <w:t>particularly on the personality of ships – their names, temperaments, and heter- onormative relations – invite an alternative genealogy of legal personhood, one that foregrounds the racial terror of maritime worlds.</w:t>
      </w:r>
      <w:r w:rsidRPr="00C90932">
        <w:rPr>
          <w:rFonts w:eastAsia="Cambria"/>
          <w:sz w:val="16"/>
        </w:rPr>
        <w:t xml:space="preserve"> Conrad’s (1906) negation of the slave, as I suggest throughout, inadvertently draws attention to Anglo impe- rial contests at sea and to changing patterns and intensities of racial violence. By reading The Mirror of the Sea through maritime law and the jurisprudence of slavery, I offer </w:t>
      </w:r>
      <w:r w:rsidRPr="00C90932">
        <w:rPr>
          <w:rFonts w:eastAsia="Cambria"/>
          <w:u w:val="single"/>
        </w:rPr>
        <w:t>an account of legal personhood in which the ship and the slave feature as central and conjoined characters.</w:t>
      </w:r>
      <w:r w:rsidRPr="00C90932">
        <w:rPr>
          <w:rFonts w:eastAsia="Cambria"/>
          <w:sz w:val="16"/>
        </w:rPr>
        <w:t xml:space="preserve"> </w:t>
      </w:r>
      <w:r w:rsidRPr="00C90932">
        <w:rPr>
          <w:rFonts w:eastAsia="Cambria"/>
          <w:u w:val="single"/>
        </w:rPr>
        <w:t>For Marshall and Story</w:t>
      </w:r>
      <w:r w:rsidRPr="00C90932">
        <w:rPr>
          <w:rFonts w:eastAsia="Cambria"/>
          <w:sz w:val="16"/>
        </w:rPr>
        <w:t xml:space="preserve">, </w:t>
      </w:r>
      <w:r w:rsidRPr="00C90932">
        <w:rPr>
          <w:rFonts w:eastAsia="Cambria"/>
          <w:u w:val="single"/>
        </w:rPr>
        <w:t>the ship was a legal person and an expression of white male sovereignty even though she was represented through feminine attributes. The slave, by contrast, was a non-person in US territory, stripped of gender, identity, and humanity.</w:t>
      </w:r>
    </w:p>
    <w:p w14:paraId="70778E16" w14:textId="0EDC89BA" w:rsidR="003215B1" w:rsidRPr="00C90932" w:rsidRDefault="003215B1" w:rsidP="00C90932">
      <w:pPr>
        <w:rPr>
          <w:rFonts w:eastAsia="Cambria"/>
          <w:u w:val="single"/>
        </w:rPr>
      </w:pPr>
      <w:r w:rsidRPr="00C90932">
        <w:rPr>
          <w:rFonts w:eastAsia="Cambria"/>
          <w:sz w:val="16"/>
        </w:rPr>
        <w:t xml:space="preserve">What Conrad (1906) missed </w:t>
      </w:r>
      <w:r w:rsidRPr="00C90932">
        <w:rPr>
          <w:rFonts w:eastAsia="Cambria"/>
          <w:u w:val="single"/>
        </w:rPr>
        <w:t xml:space="preserve">in his contention that ‘[a] ship is not a slave’ was the mutability of legal personhood. </w:t>
      </w:r>
      <w:r w:rsidRPr="00C90932">
        <w:rPr>
          <w:rFonts w:eastAsia="Cambria"/>
          <w:sz w:val="16"/>
        </w:rPr>
        <w:t xml:space="preserve">Writing of modern law more broadly, Colin Dayan (2011) argues that </w:t>
      </w:r>
      <w:r w:rsidRPr="00C90932">
        <w:rPr>
          <w:rFonts w:eastAsia="Cambria"/>
          <w:u w:val="single"/>
        </w:rPr>
        <w:t xml:space="preserve">law enables and disables, empowers and dispossesses through the fictions of legal personhood. ‘A series of metamorphoses, </w:t>
      </w:r>
      <w:r w:rsidRPr="00C90932">
        <w:rPr>
          <w:rFonts w:eastAsia="Cambria"/>
          <w:sz w:val="16"/>
        </w:rPr>
        <w:t xml:space="preserve">both legal and magical, </w:t>
      </w:r>
      <w:r w:rsidRPr="00C90932">
        <w:rPr>
          <w:rFonts w:eastAsia="Cambria"/>
          <w:u w:val="single"/>
        </w:rPr>
        <w:t xml:space="preserve">transform persons into ghosts, into things and into animals’ </w:t>
      </w:r>
      <w:r w:rsidRPr="00C90932">
        <w:rPr>
          <w:rFonts w:eastAsia="Cambria"/>
          <w:sz w:val="16"/>
        </w:rPr>
        <w:t xml:space="preserve">(p. xvii). In these transformations, Dayan (2011) continues, ‘person, ghost, thing, animal – which we assume to have definite boundaries, lose their demarcations’ (p. xvii). But in the decisions made by Marshall and Story, </w:t>
      </w:r>
      <w:r w:rsidRPr="00C90932">
        <w:rPr>
          <w:rFonts w:eastAsia="Cambria"/>
          <w:u w:val="single"/>
        </w:rPr>
        <w:t>the slave and the ship reveal an inherent ambiguity. The line between personhood and property was shifting in response to a wider racial, imperial, and capitalist order that demanded exploita- ble land, resources, and labour, and a violent dispossession of Indigenous nations and enslaved peoples</w:t>
      </w:r>
      <w:r w:rsidRPr="00C90932">
        <w:rPr>
          <w:rFonts w:eastAsia="Cambria"/>
          <w:sz w:val="16"/>
        </w:rPr>
        <w:t xml:space="preserve">. Tracing legal personhood through the sea points to longer histories of racial and colonial violence that join the ship, the slave, and the cor- poration. </w:t>
      </w:r>
      <w:r w:rsidRPr="00C90932">
        <w:rPr>
          <w:rFonts w:eastAsia="Cambria"/>
          <w:u w:val="single"/>
        </w:rPr>
        <w:t xml:space="preserve">Excavating legal personhood from maritime worlds reveals a history in which the legal person is not merely a legal fiction or a metaphysical creation, but a racial and gendered artefact born of </w:t>
      </w:r>
      <w:r w:rsidRPr="00C90932">
        <w:rPr>
          <w:rFonts w:eastAsia="Cambria"/>
          <w:sz w:val="16"/>
        </w:rPr>
        <w:t xml:space="preserve">Anglo </w:t>
      </w:r>
      <w:r w:rsidRPr="00C90932">
        <w:rPr>
          <w:rFonts w:eastAsia="Cambria"/>
          <w:u w:val="single"/>
        </w:rPr>
        <w:t>imperial contests over commerce, including transatlantic slavery.</w:t>
      </w:r>
    </w:p>
    <w:p w14:paraId="0877447D" w14:textId="065CDE61" w:rsidR="00550D92" w:rsidRPr="00C90932" w:rsidRDefault="00550D92" w:rsidP="00C90932">
      <w:pPr>
        <w:pStyle w:val="Heading3"/>
      </w:pPr>
      <w:r w:rsidRPr="00C90932">
        <w:t>2NC – Alt</w:t>
      </w:r>
    </w:p>
    <w:p w14:paraId="33CBE2A4" w14:textId="77777777" w:rsidR="00550D92" w:rsidRPr="00C90932" w:rsidRDefault="00550D92" w:rsidP="00C90932">
      <w:pPr>
        <w:pStyle w:val="Heading4"/>
        <w:rPr>
          <w:rFonts w:cs="Calibri"/>
        </w:rPr>
      </w:pPr>
      <w:r w:rsidRPr="00C90932">
        <w:rPr>
          <w:rFonts w:cs="Calibri"/>
        </w:rPr>
        <w:t>Thinking with blue unravels blue desires as both colonial and decolonial. The alt is key to build a praxis of resistance that deconstructs cycles of imperial violence, extraction, and environmental destruction that looks beyond colonial blue desires.</w:t>
      </w:r>
    </w:p>
    <w:p w14:paraId="143FEA25" w14:textId="77777777" w:rsidR="00C23E2D" w:rsidRPr="00C90932" w:rsidRDefault="00C23E2D" w:rsidP="00C23E2D">
      <w:r w:rsidRPr="00C90932">
        <w:rPr>
          <w:rStyle w:val="Style13ptBold"/>
        </w:rPr>
        <w:t>Ferwerda 24</w:t>
      </w:r>
      <w:r w:rsidRPr="00C90932">
        <w:t xml:space="preserve"> [Susanne Ferwerda, </w:t>
      </w:r>
      <w:r>
        <w:t xml:space="preserve">Assistant Professor of Comparative Literature, Utrecht University, PhD in English from the University of Tasmania, </w:t>
      </w:r>
      <w:r w:rsidRPr="00C90932">
        <w:t xml:space="preserve">March 2024, “Blue Humanities and the Color of Colonialism,” </w:t>
      </w:r>
      <w:r>
        <w:t xml:space="preserve">Environmental Humanities 16(1), </w:t>
      </w:r>
      <w:r w:rsidRPr="005A21D6">
        <w:t>https://read.dukeupress.edu/environmental-humanities/article/16/1/1/386278/Blue-Humanities-and-the-Color-of-Colonialism</w:t>
      </w:r>
      <w:r w:rsidRPr="00C90932">
        <w:t xml:space="preserve"> // Micah]</w:t>
      </w:r>
    </w:p>
    <w:p w14:paraId="528D3FAA" w14:textId="77777777" w:rsidR="00550D92" w:rsidRPr="00C90932" w:rsidRDefault="00550D92" w:rsidP="00C90932">
      <w:pPr>
        <w:rPr>
          <w:u w:val="single"/>
        </w:rPr>
      </w:pPr>
      <w:r w:rsidRPr="00C90932">
        <w:rPr>
          <w:sz w:val="16"/>
        </w:rPr>
        <w:t xml:space="preserve">Like the disruptive nature of ultramarine, indigo ignited the movement for freedom from British rule and their continued exploitation of the earth, seas, and people through blue colonialisms. </w:t>
      </w:r>
      <w:r w:rsidRPr="00C90932">
        <w:rPr>
          <w:u w:val="single"/>
        </w:rPr>
        <w:t>These British blue colonialisms bring me to the writing and poetic performance of Aotearoa New Zealand poet Selina Tusitala Marsh, who in her capacity as Commonwealth poet 2016 shook the continued blue colonialisms and blue desires of the British Monarchy and Commonwealth empire. When Marsh walked onstage to perform the poem “Unity” in London’s Westminster Abbey on March 14, 2016, her words and presence reverberated in this imperial space par excellence</w:t>
      </w:r>
      <w:r w:rsidRPr="00C90932">
        <w:rPr>
          <w:sz w:val="16"/>
        </w:rPr>
        <w:t xml:space="preserve">. She stood in front of the British royal family and a legion of high-placed invitees as well as over a thousand school children. It was Commonwealth Day, and Marsh was that year’s Commonwealth poet. </w:t>
      </w:r>
      <w:r w:rsidRPr="00C90932">
        <w:rPr>
          <w:u w:val="single"/>
        </w:rPr>
        <w:t>“It’s called the Va in Samoan philosophy / what you do, affects me / what we do, affects the sea,” she said,</w:t>
      </w:r>
      <w:r w:rsidRPr="00C90932">
        <w:rPr>
          <w:sz w:val="16"/>
        </w:rPr>
        <w:t xml:space="preserve"> addressing the audience, including Her Majesty, Queen Elizabeth II, who was sitting at the very front, to Marsh’s left.47 Of her experience of the event, her performance, and meeting the royals, Marsh later writes: She has the most recognisable face in contemporary Western history and she’s almost within my reach. </w:t>
      </w:r>
      <w:r w:rsidRPr="00C90932">
        <w:rPr>
          <w:u w:val="single"/>
        </w:rPr>
        <w:t>The longest-reigning British monarch and I share a few things</w:t>
      </w:r>
      <w:r w:rsidRPr="00C90932">
        <w:rPr>
          <w:sz w:val="16"/>
        </w:rPr>
        <w:t xml:space="preserve">: we are both seated in Westminster Abbey (founded in 960); we share the same birthday (on 21 44. Hogendorn and Gemery, “The ‘Hidden Half’ of the Anglo-African Trade.” 45. Majmudar, Gandhi’s Pilgrimage of Faith, 138; Shiva, “Satyagraha,” 80–82. 46. Shiva, “Satyagraha,” 82. Shiva also cites “Mr R. W. Tower, the Magistrate of Faridpur in Benghal,” who “said to Commission on the grievances of the indigo tenants, ‘Not a chest of indigo reached England without being stained with human blood’” (Shiva and Prasad, quoted in Shiva, “Satyagraha,” 82). 47. Marsh, “Unity,” lines 11–13. Unity also appears in Marsh’s 2017 collection Tightrope, with some minor differences to the performed version. Here, I cite her performance and the text as it appeared in the Commonwealth Service booklet. 12 Environmental Humanities 16:1 / March 2024 Downloaded from http://read.dukeupress.edu/environmental-humanities/article-pdf/16/1/1/2073118/1ferwerda.pdf by guest on 10 December 2024 April 2016, I turn forty-five and will be exactly half her age, a quirky fact I thought to share but then my Samoan discretion got the better of me); and </w:t>
      </w:r>
      <w:r w:rsidRPr="00C90932">
        <w:rPr>
          <w:u w:val="single"/>
        </w:rPr>
        <w:t xml:space="preserve">we are both wearing blue in a sea of black and beige, as observed by many an attendee afterwards.48 Marsh was wearing a deep Pacific blue dress and silk wrap that pays homage to her Samoan-Tuvaluan-English-Scottish-French heritage but confused some of those present. The blue of Marsh’s dress was interpreted by some attendees as a political response to the royal setting and the customary royal blue garment of Her Majesty, Queen Elizabeth II, who that day was wearing a powder-blue dress and matching hat. “My dear, how politic of you to wear the royal blue,” someone said to Marsh afterward, who answered: “The blue of majestic </w:t>
      </w:r>
      <w:r w:rsidRPr="00C90932">
        <w:rPr>
          <w:b/>
          <w:bCs/>
          <w:u w:val="single"/>
        </w:rPr>
        <w:t>te moana nui a kiwa, the Pacific Ocean</w:t>
      </w:r>
      <w:r w:rsidRPr="00C90932">
        <w:rPr>
          <w:u w:val="single"/>
        </w:rPr>
        <w:t>? Why thank you</w:t>
      </w:r>
      <w:r w:rsidRPr="00C90932">
        <w:rPr>
          <w:sz w:val="16"/>
        </w:rPr>
        <w:t xml:space="preserve">!”49 </w:t>
      </w:r>
      <w:r w:rsidRPr="00C90932">
        <w:rPr>
          <w:u w:val="single"/>
        </w:rPr>
        <w:t xml:space="preserve">Marsh’s appearance and, by extension, the Pacific Commonwealth she represents are inherently personal and political, and therefore disruptive to the royal blue traditions at work in Westminster Abbey. </w:t>
      </w:r>
      <w:r w:rsidRPr="00C90932">
        <w:rPr>
          <w:sz w:val="16"/>
        </w:rPr>
        <w:t>There is often little observable difference between the darker shades of blue. Navy blue, cobalt blue, royal blue, Pacific blue, Egyptian blue, and Prussian blue, for instance, sit across a similar range of dark blues of varying cooler and warmer tones. The name royal blue is said to have originated with the silks worn by Queen Charlotte—wife of King George III between 1761 and her death in 1818—at the height of the British expansion into the Indian indigo trade. Derived from the royal obsession with the godlike qualities ascribed to the deepest blue shades as well as the increased appeal of indigo dyes, the royal blue we know today is a vibrant deep blue shade that is close if not identical to the highest quality natural ultramarine or the deepest of indigo shades. T</w:t>
      </w:r>
      <w:r w:rsidRPr="00C90932">
        <w:rPr>
          <w:u w:val="single"/>
        </w:rPr>
        <w:t>h</w:t>
      </w:r>
      <w:r w:rsidRPr="00C90932">
        <w:rPr>
          <w:sz w:val="16"/>
        </w:rPr>
        <w:t xml:space="preserve">e color of the finest lapis lazuli can be described as “a pure royal blue without blemish” that was turned into a deep and irresistible blue pigment.50 It is the royal setting that generates the royal association to the blue shade Marsh was wearing in Westminster Abbey. </w:t>
      </w:r>
      <w:r w:rsidRPr="00C90932">
        <w:rPr>
          <w:u w:val="single"/>
        </w:rPr>
        <w:t xml:space="preserve">The prominent presence of Pacific blue in Westminster Abbey disrupts the dominance of reading all deep blues in royal environments as belonging to European royal empires. Her Pacific blue dress and wrap, representing the deep blue tones of the Pacific Ocean, entangle the colonial and the oceanic. </w:t>
      </w:r>
      <w:r w:rsidRPr="00C90932">
        <w:rPr>
          <w:sz w:val="16"/>
        </w:rPr>
        <w:t xml:space="preserve">The poem Marsh wrote for the 2016 Commonwealth Day celebrations, “Unity,” follows the official theme and implores all Commonwealth nations to come together and “shar[e] our thoughts over a cup of tea.”51 Her thoughts, however, politely but forcefully critique the hierarchies at stake in Commonwealth realities. The tension between the United Kingdom, the Pacific, and their relative positions within the wider Commonwealth are palpable as Marsh says: “There’s a ‘U’ and an ‘I’ in unity / costs the earth and 48. Marsh, “Post-colonial Talk Back.” 49. Marsh, “Post-colonial Talk Back.” 50. Hermann, “Lapis Lazuli,” 24. 51. Marsh, “Unity,” line 37. Ferwerda / Blue Humanities 13 Downloaded from http://read.dukeupress.edu/environmental-humanities/article-pdf/16/1/1/2073118/1ferwerda.pdf by guest on 10 December 2024 yet its free.”52 </w:t>
      </w:r>
      <w:r w:rsidRPr="00C90932">
        <w:rPr>
          <w:u w:val="single"/>
        </w:rPr>
        <w:t xml:space="preserve">Invoking her heritage and family history, she takes aim at the idea that “West is best”: “my ancestors were guided by sky and sea trails / and way before Columbus even hoisted his sails!”53 Her words both symbolically and materially connect the Pacific region to the United Kingdom: “Did you know there’s a London in Kiribati?”54 Several of Kiribati’s atolls and settlements carry European names: Poland, for example, lies south of London, across the main lagoon. In her Commonwealth poem Marsh not only talks back to the continued colonial presence in the South Pacific, she also redefines the center and moves her audience from London, UK, to London, Kiribati.55 The blue connections that are drawn in the performance of “Unity”—the Pacific blue of Marsh’s dress against the powder blue of Queen Elizabeth’s—reinforce the idea that thinking of blue addresses as well as disrupts the extractive colonial legacies that are inextricably tied to the color. In her poem, Marsh foregrounds that Commonwealth relations do not exist because of the power that is held in the United Kingdom, but by virtue of the unity that keeps the queen alive rather than the other way around. Looking directly at Queen Elizabeth, </w:t>
      </w:r>
      <w:r w:rsidRPr="00C90932">
        <w:rPr>
          <w:sz w:val="16"/>
        </w:rPr>
        <w:t xml:space="preserve">she speaks: “bees thrive in hives keeping their queen / unity keeps them alive, keeps them buzzing / they’re key to our fruit and vege supplies / but parasitic attacks and pesticides / threaten the bee, then you and me / it’s all connected— that’s unity.”56 </w:t>
      </w:r>
      <w:r w:rsidRPr="00C90932">
        <w:rPr>
          <w:u w:val="single"/>
        </w:rPr>
        <w:t>The blue unity that Marsh draws on unsettles the extractivist coloniality that merely serves the continuation of the center of empire. In an interview about her poetry collection Tightrope (2007), which features “Unity” as well as two other poems that engage with Marsh’s royal encounters,57 she speaks to the transformative power of poetic color: “Unity is what my poetry seeks to create. Unity of the multitudinous stories that constitute our memory, which in turn, form our history, ‘the remembered tightrope,’ to quote Albert Wendt. The morphing colours of that beautiful rainbow line [on the cover of Tightrope] evokes the many hues of our lives that refuse to be forgotten.</w:t>
      </w:r>
      <w:r w:rsidRPr="00C90932">
        <w:rPr>
          <w:sz w:val="16"/>
        </w:rPr>
        <w:t xml:space="preserve">”58 The instructions for writing the Commonwealth poem were to stay away from politics, 52. Marsh, “Unity,” lines 23–24. 53. Marsh, “Unity,” lines 29–30. 54. Marsh, “Unity,” line 3. 55. Paloma Fresno-Calleja explains in “Talking Back, Fast, and Beyond” how Marsh redefines the postcolonial notion of “the empire writes back”—an expression from Salman Rushdie that became the title of Bill Ashcroft, Gareth Griffiths, and Helen Tiffin’s The Empire Writes Back (1995)—and “conceives of her poetry as a tool to ‘talk back,’ prioritizing the performative quality of her work in line with the oral traditions that inform it and the cultural encounters and representations that originated in the colonial Pacific and which continue to determine more contemporary representations” (Fresno-Calleja, “Talking Back, Fast, and Beyond,” 370). 56. Marsh, “Unity,” lines 17–22. 57. In Tightrope, “Unity” is followed by “Pussy Cat,” which starts with the nursery rhyme “Pussy cat, pussy cat / Where have you been? / I’ve been to London to visit the Queen” (lines 1–3), and “Queens I have met,” featuring Dr Ngahuia, HRH Elizabeth II, Oprah, and Alice Walker. Marsh describes Queen Elizabeth II as having “Boucheron blue irises / set in the cool parchment / of your skin / lines written into Britain’s history / powder-blue hat, white gloves / (changed to black in the / running of the crowd)” (lines 38–44). 58. Green, “In Conversation with Selina Tusitala Marsh.” 14 Environmental Humanities 16:1 / March 2024 Downloaded from http://read.dukeupress.edu/environmental-humanities/article-pdf/16/1/1/2073118/1ferwerda.pdf by guest on 10 December 2024 </w:t>
      </w:r>
      <w:r w:rsidRPr="00C90932">
        <w:rPr>
          <w:u w:val="single"/>
        </w:rPr>
        <w:t>but when the personal is political—the realities of Pacific life influenced by centuries of colonial politics—the presence of a Pasifika woman in Westminster Abbey can only ever disrupt colonial blue signification. Her dress, her heritage and her words embody the continued resistance of the Pacific region against the imperial coloniality that connects the ocean to the growing threat of the climate change realities shaping contemporary Pacific life. Conclusion Thinking with blue not only addresses the importance of reckoning with coloniality in the blue humanities but also attends to the powers at work that have always already entangled the blue as pigment, as textile, as rock, and as symbolic of water, sea, and ocean. The emergence of the blue humanities as a subfield of the environmental humanities draws on the ways in which the blue has long been an actant in the transoceanic movement of power: of riches, trade, violence, and the consequences of imperial extractive politics. While</w:t>
      </w:r>
      <w:r w:rsidRPr="00C90932">
        <w:rPr>
          <w:sz w:val="16"/>
        </w:rPr>
        <w:t xml:space="preserve"> both Pothoven and Marsh engage with contemporary colonial and extractive blues, they work differently with </w:t>
      </w:r>
      <w:r w:rsidRPr="00C90932">
        <w:rPr>
          <w:u w:val="single"/>
        </w:rPr>
        <w:t>what blue can do for environmental futures beyond blue colonial desires</w:t>
      </w:r>
      <w:r w:rsidRPr="00C90932">
        <w:rPr>
          <w:sz w:val="16"/>
        </w:rPr>
        <w:t xml:space="preserve">. Pothoven’s account of the afterlives of blue extraction and cost of obsessions with Afghan rocks and caves show that the blue has built empires, taken lives, and altered environments. His work looks back on the long history of blue desires. Marsh’s poetry, on the other hand, undoes the marginalization of Pacific blue at the heart of the British Empire. Her performance visualizes continued blue resistance against imperial power and the persistent defiance of colonization in the Pacific region. Standing tall on the Secretarium Steps of Westminster Abbey, she invokes Giotto’s blue ceilings and disrupts royal blue signification. In Marsh’s blue presence, the Pacific is large and the royals seem small. The oceanic and the blue are entwined, and as exemplified in Pothoven and Marsh’s work pushes beyond a simple equation of the blue in the humanities as the symbolic color of water. The rocky blue lapis lazuli and the vegetational blue of indigo suggest alternative modes of possible blue humanities that address blue colonial inheritances but critique colonial desires. </w:t>
      </w:r>
      <w:r w:rsidRPr="00C90932">
        <w:rPr>
          <w:u w:val="single"/>
        </w:rPr>
        <w:t>Thinking with blue accounts for the entanglement of the watery and oceanic with the colonial materiality of rocks, textiles and unmoored materiality. The blue is rock. The blue is ocean. The blue is river. The blue is mineral. The blue is textile. The blue is colonial. The blue is anticolonial. Blue touches all aspects of life on Earth, and as the global blue connections of this essay show, thinking with blue foregrounds blue resistance.</w:t>
      </w:r>
    </w:p>
    <w:p w14:paraId="6B49ADB1" w14:textId="77777777" w:rsidR="00550D92" w:rsidRPr="00C90932" w:rsidRDefault="00550D92" w:rsidP="00C90932"/>
    <w:p w14:paraId="667B067D" w14:textId="0217D770" w:rsidR="00586A2E" w:rsidRDefault="00545FCE" w:rsidP="00586A2E">
      <w:pPr>
        <w:pStyle w:val="Heading1"/>
      </w:pPr>
      <w:r w:rsidRPr="00C90932">
        <w:t>AFF</w:t>
      </w:r>
      <w:r w:rsidR="00586A2E">
        <w:t xml:space="preserve"> Answer</w:t>
      </w:r>
      <w:r w:rsidR="00634082">
        <w:t>s</w:t>
      </w:r>
    </w:p>
    <w:p w14:paraId="73CF486C" w14:textId="63F690D1" w:rsidR="00586A2E" w:rsidRPr="00586A2E" w:rsidRDefault="00586A2E" w:rsidP="00586A2E">
      <w:pPr>
        <w:pStyle w:val="Heading2"/>
      </w:pPr>
      <w:r>
        <w:t>Theory</w:t>
      </w:r>
    </w:p>
    <w:p w14:paraId="42B0B3FC" w14:textId="77777777" w:rsidR="0091288F" w:rsidRPr="00C90932" w:rsidRDefault="0091288F" w:rsidP="00C90932"/>
    <w:p w14:paraId="3B8556BE" w14:textId="77777777" w:rsidR="0091288F" w:rsidRPr="00C90932" w:rsidRDefault="0091288F" w:rsidP="00C90932"/>
    <w:p w14:paraId="5E47090B" w14:textId="66B7C1DA" w:rsidR="00EC2357" w:rsidRPr="00C90932" w:rsidRDefault="00586A2E" w:rsidP="00C90932">
      <w:pPr>
        <w:pStyle w:val="Heading3"/>
        <w:rPr>
          <w:rFonts w:cs="Calibri"/>
        </w:rPr>
      </w:pPr>
      <w:r>
        <w:rPr>
          <w:rFonts w:cs="Calibri"/>
        </w:rPr>
        <w:t>Theory Wrong---Psychoanalysis Wrong---2AC</w:t>
      </w:r>
    </w:p>
    <w:p w14:paraId="655DC1D5" w14:textId="77777777" w:rsidR="00C23E2D" w:rsidRPr="00C90932" w:rsidRDefault="00C23E2D" w:rsidP="00C23E2D">
      <w:pPr>
        <w:pStyle w:val="Heading4"/>
      </w:pPr>
      <w:r w:rsidRPr="00C90932">
        <w:t>Psychoanalysis is non-falsifiable bunk science – reject their claims of “western blue desires”</w:t>
      </w:r>
    </w:p>
    <w:p w14:paraId="58E1E537" w14:textId="77777777" w:rsidR="00C23E2D" w:rsidRDefault="00C23E2D" w:rsidP="00C23E2D">
      <w:r w:rsidRPr="002214B9">
        <w:rPr>
          <w:rStyle w:val="Style13ptBold"/>
        </w:rPr>
        <w:t>Järvinen 21</w:t>
      </w:r>
      <w:r>
        <w:t xml:space="preserve"> [Anna Järvinen, PhD, Goldsmiths College, University of London, “Psychoanalysis: Science or pseudoscience? examining the status of Freudian theory,” The Skeptic, 2021-08-09, https://www.skeptic.org.uk/2021/07/psychoanalysis-science-or-pseudoscience-examining-the-status-of-freudian-theory/] // Micah</w:t>
      </w:r>
    </w:p>
    <w:p w14:paraId="6D234AD7" w14:textId="77777777" w:rsidR="00C23E2D" w:rsidRPr="002214B9" w:rsidRDefault="00C23E2D" w:rsidP="00C23E2D">
      <w:pPr>
        <w:rPr>
          <w:sz w:val="16"/>
        </w:rPr>
      </w:pPr>
      <w:r w:rsidRPr="002214B9">
        <w:rPr>
          <w:sz w:val="16"/>
        </w:rPr>
        <w:t xml:space="preserve">Sigmund </w:t>
      </w:r>
      <w:r w:rsidRPr="00C90932">
        <w:rPr>
          <w:u w:val="single"/>
        </w:rPr>
        <w:t xml:space="preserve">Freud </w:t>
      </w:r>
      <w:r w:rsidRPr="002214B9">
        <w:rPr>
          <w:sz w:val="16"/>
        </w:rPr>
        <w:t xml:space="preserve">(1856-1939) </w:t>
      </w:r>
      <w:r w:rsidRPr="00C90932">
        <w:rPr>
          <w:u w:val="single"/>
        </w:rPr>
        <w:t>insisted that</w:t>
      </w:r>
      <w:r w:rsidRPr="002214B9">
        <w:rPr>
          <w:sz w:val="16"/>
        </w:rPr>
        <w:t xml:space="preserve"> his postulations that are collectively known as </w:t>
      </w:r>
      <w:r w:rsidRPr="00C90932">
        <w:rPr>
          <w:u w:val="single"/>
        </w:rPr>
        <w:t>psychoanalysis formed the basis for the science of psychology.</w:t>
      </w:r>
      <w:r w:rsidRPr="002214B9">
        <w:rPr>
          <w:sz w:val="16"/>
        </w:rPr>
        <w:t xml:space="preserve"> Yet, ever since its beginnings in the early years of the twentieth century, </w:t>
      </w:r>
      <w:r w:rsidRPr="00C90932">
        <w:rPr>
          <w:u w:val="single"/>
        </w:rPr>
        <w:t xml:space="preserve">there has been considerable argument as to whether psychoanalysis is even a science at all. Some claim that Freud’s work itself was entirely </w:t>
      </w:r>
      <w:r w:rsidRPr="00C90932">
        <w:rPr>
          <w:b/>
          <w:bCs/>
          <w:u w:val="single"/>
        </w:rPr>
        <w:t xml:space="preserve">pseudoscientific </w:t>
      </w:r>
      <w:r w:rsidRPr="002214B9">
        <w:rPr>
          <w:sz w:val="16"/>
        </w:rPr>
        <w:t xml:space="preserve">in nature, and that later proponents of his theory have done little to revise this state of affairs. Yet, in its approximately one hundred years of existence, </w:t>
      </w:r>
      <w:r w:rsidRPr="00C90932">
        <w:rPr>
          <w:u w:val="single"/>
        </w:rPr>
        <w:t>psychoanalysis has had a tremendous influence on Western culture</w:t>
      </w:r>
      <w:r w:rsidRPr="002214B9">
        <w:rPr>
          <w:sz w:val="16"/>
        </w:rPr>
        <w:t>, and in spite of all the stones slung in its direction, it still has many supporters around the globe.</w:t>
      </w:r>
    </w:p>
    <w:p w14:paraId="7DFB0E77" w14:textId="77777777" w:rsidR="00C23E2D" w:rsidRPr="002214B9" w:rsidRDefault="00C23E2D" w:rsidP="00C23E2D">
      <w:pPr>
        <w:rPr>
          <w:sz w:val="16"/>
        </w:rPr>
      </w:pPr>
      <w:r w:rsidRPr="002214B9">
        <w:rPr>
          <w:sz w:val="16"/>
        </w:rPr>
        <w:t>Nobel Laureate Sir Peter Medawar (1984) argues that certain, seemingly ‘naïve’ questions are beyond the power of pure science to answer, such as those concerning the purpose of human life. He believes that such ‘ultimate questions’, as well as psychoanalysis with its subject matter of ‘human nature’, belong to the ‘domain of myth’. Indeed it is important to note here that several physical scientists dismiss the social sciences in general as pseudoscientific.</w:t>
      </w:r>
    </w:p>
    <w:p w14:paraId="2366EEE2" w14:textId="77777777" w:rsidR="00C23E2D" w:rsidRPr="002214B9" w:rsidRDefault="00C23E2D" w:rsidP="00C23E2D">
      <w:pPr>
        <w:rPr>
          <w:sz w:val="16"/>
        </w:rPr>
      </w:pPr>
      <w:r w:rsidRPr="002214B9">
        <w:rPr>
          <w:sz w:val="16"/>
        </w:rPr>
        <w:t>Before assessing psychoanalysis against the criteria of pseudoscience, and for that matter, those of science, it is important to briefly consider what psychoanalysis is, and how it is assumed to work. The diffusion of Freudian theory is fascinating, it having been adopted for application in such fields as history, political science, literature, music and the arts. Further, for many laypersons Freudian theory is synonymous with psychology. Its goals are immensely ambitious, and theory and practice work hand-in-hand. Nevertheless, psychoanalysis is primarily grounded on pseudoscientific postulations that are inherently non-falsifiable.</w:t>
      </w:r>
    </w:p>
    <w:p w14:paraId="3EE70D1F" w14:textId="77777777" w:rsidR="00C23E2D" w:rsidRPr="002214B9" w:rsidRDefault="00C23E2D" w:rsidP="00C23E2D">
      <w:pPr>
        <w:rPr>
          <w:sz w:val="16"/>
        </w:rPr>
      </w:pPr>
      <w:r w:rsidRPr="002214B9">
        <w:rPr>
          <w:sz w:val="16"/>
        </w:rPr>
        <w:t>Central to Freud’s theory is the division of the mind into three levels of consciousness, the first being the conscious. Below this rests the preconscious, which contains most of a person’s memories, and which in modern psychological language is equivalent to longterm memory. Below this lies the unconscious, which is one of the key concepts of psychoanalysis. According to Freud, this contains feelings, desires and memories that are repressed from the conscious because they are too traumatic or painful to deal with directly. One example of this putative repression is the Oedipus complex, which is concerned with incestuous desires. A further assumption of the unconscious is that the material in it is not available to the conscious mind, but nevertheless can powerfully affect behaviour – it therefore follows that repressed memories can result in psychological problems.</w:t>
      </w:r>
    </w:p>
    <w:p w14:paraId="40EF40DE" w14:textId="77777777" w:rsidR="00C23E2D" w:rsidRPr="002214B9" w:rsidRDefault="00C23E2D" w:rsidP="00C23E2D">
      <w:pPr>
        <w:rPr>
          <w:sz w:val="16"/>
        </w:rPr>
      </w:pPr>
      <w:r w:rsidRPr="002214B9">
        <w:rPr>
          <w:sz w:val="16"/>
        </w:rPr>
        <w:t>Sigmund Freud</w:t>
      </w:r>
    </w:p>
    <w:p w14:paraId="35985FFD" w14:textId="77777777" w:rsidR="00C23E2D" w:rsidRPr="002214B9" w:rsidRDefault="00C23E2D" w:rsidP="00C23E2D">
      <w:pPr>
        <w:rPr>
          <w:sz w:val="16"/>
        </w:rPr>
      </w:pPr>
      <w:r w:rsidRPr="002214B9">
        <w:rPr>
          <w:sz w:val="16"/>
        </w:rPr>
        <w:t>A major part of Freud’s theory deals with personality development, particularly from the perspective of sexual behaviour and sexual identity. Freudian theory is divided into four developmental psycho-sexual stages. In chronological order these are the oral, anal, phallic and genital stages. In some of these stages one has to resolve certain ‘complexes’ in order to develop normally. In Freud’s view, mature personality consists of the id, the ego and the superego, which all assume very different roles. The id is considered as the very core of personality, from which the other structures develop. The id is the most primitive structure, solely seeking to achieve pleasure and avoid pain. The superego can be thought of as the conscience of the person. These structures of personality bind together in a complex manner, and in individuals regarded as ‘normal’, they function in an interactive fashion.</w:t>
      </w:r>
    </w:p>
    <w:p w14:paraId="31A7307F" w14:textId="77777777" w:rsidR="00C23E2D" w:rsidRPr="002214B9" w:rsidRDefault="00C23E2D" w:rsidP="00C23E2D">
      <w:pPr>
        <w:rPr>
          <w:sz w:val="16"/>
        </w:rPr>
      </w:pPr>
      <w:r w:rsidRPr="002214B9">
        <w:rPr>
          <w:sz w:val="16"/>
        </w:rPr>
        <w:t xml:space="preserve">Psychologist Terence Hines (1988) proposes several criteria by which a field may be judged as being either pseudoscientific or otherwise. </w:t>
      </w:r>
      <w:r w:rsidRPr="00C90932">
        <w:rPr>
          <w:u w:val="single"/>
        </w:rPr>
        <w:t>One characteristic of pseudoscientific theories is that they exhibit non-falsifiable hypotheses</w:t>
      </w:r>
      <w:r w:rsidRPr="002214B9">
        <w:rPr>
          <w:sz w:val="16"/>
        </w:rPr>
        <w:t xml:space="preserve">. </w:t>
      </w:r>
      <w:r w:rsidRPr="00C90932">
        <w:rPr>
          <w:u w:val="single"/>
        </w:rPr>
        <w:t xml:space="preserve">Some testable predictions can be derived from psychoanalysis, but they have typically </w:t>
      </w:r>
      <w:r w:rsidRPr="00C90932">
        <w:rPr>
          <w:rStyle w:val="Emphasis"/>
        </w:rPr>
        <w:t>been shown to be untrue</w:t>
      </w:r>
      <w:r w:rsidRPr="002214B9">
        <w:rPr>
          <w:sz w:val="16"/>
        </w:rPr>
        <w:t xml:space="preserve">. </w:t>
      </w:r>
      <w:r w:rsidRPr="00C90932">
        <w:rPr>
          <w:u w:val="single"/>
        </w:rPr>
        <w:t>Several researchers,</w:t>
      </w:r>
      <w:r w:rsidRPr="002214B9">
        <w:rPr>
          <w:sz w:val="16"/>
        </w:rPr>
        <w:t xml:space="preserve"> such as Hans Eysenck (1985), </w:t>
      </w:r>
      <w:r w:rsidRPr="00C90932">
        <w:rPr>
          <w:u w:val="single"/>
        </w:rPr>
        <w:t>have embarked on the experimental study of Freudian concepts</w:t>
      </w:r>
      <w:r w:rsidRPr="002214B9">
        <w:rPr>
          <w:sz w:val="16"/>
        </w:rPr>
        <w:t xml:space="preserve"> (see also Eysenck &amp; Wilson, 1973). For instance, Paul Kline (1968) and Calvin Hall (1954) </w:t>
      </w:r>
      <w:r w:rsidRPr="00C90932">
        <w:rPr>
          <w:u w:val="single"/>
        </w:rPr>
        <w:t>have empirically investigated the Freudian developmental assumption that toilet-training exerts a great influence on personality</w:t>
      </w:r>
      <w:r w:rsidRPr="002214B9">
        <w:rPr>
          <w:sz w:val="16"/>
        </w:rPr>
        <w:t xml:space="preserve">. This is based on a postulation that the mother’s training practices, together with her attitudes towards defecation, cleanliness, control and responsibility, strongly influence the personality development of the child. </w:t>
      </w:r>
      <w:r w:rsidRPr="00C90932">
        <w:rPr>
          <w:u w:val="single"/>
        </w:rPr>
        <w:t>If this training is strict, then the child may take revenge upon authority figures by being messy, wasteful, extravagant, etc, or alternatively the child may become excessively neat and meticulous and develop a fear of dirt and exhibit overcontrolled behaviours</w:t>
      </w:r>
      <w:r w:rsidRPr="002214B9">
        <w:rPr>
          <w:sz w:val="16"/>
        </w:rPr>
        <w:t xml:space="preserve">. Hence, </w:t>
      </w:r>
      <w:r w:rsidRPr="00C90932">
        <w:rPr>
          <w:u w:val="single"/>
        </w:rPr>
        <w:t>the theory can explain</w:t>
      </w:r>
      <w:r>
        <w:rPr>
          <w:u w:val="single"/>
        </w:rPr>
        <w:t xml:space="preserve"> </w:t>
      </w:r>
      <w:r w:rsidRPr="00C90932">
        <w:rPr>
          <w:i/>
          <w:iCs/>
          <w:u w:val="single"/>
        </w:rPr>
        <w:t>post hoc</w:t>
      </w:r>
      <w:r>
        <w:rPr>
          <w:i/>
          <w:iCs/>
          <w:u w:val="single"/>
        </w:rPr>
        <w:t xml:space="preserve"> </w:t>
      </w:r>
      <w:r w:rsidRPr="00C90932">
        <w:rPr>
          <w:u w:val="single"/>
        </w:rPr>
        <w:t>any extent of tidiness or messiness as resulting from strict toilet-training.</w:t>
      </w:r>
      <w:r w:rsidRPr="002214B9">
        <w:rPr>
          <w:sz w:val="16"/>
        </w:rPr>
        <w:t xml:space="preserve"> According to Hall, </w:t>
      </w:r>
      <w:r w:rsidRPr="00C90932">
        <w:rPr>
          <w:u w:val="single"/>
        </w:rPr>
        <w:t>this theory becomes</w:t>
      </w:r>
      <w:r>
        <w:rPr>
          <w:u w:val="single"/>
        </w:rPr>
        <w:t xml:space="preserve"> </w:t>
      </w:r>
      <w:r w:rsidRPr="00C90932">
        <w:rPr>
          <w:i/>
          <w:iCs/>
          <w:u w:val="single"/>
        </w:rPr>
        <w:t>twice</w:t>
      </w:r>
      <w:r>
        <w:rPr>
          <w:i/>
          <w:iCs/>
          <w:u w:val="single"/>
        </w:rPr>
        <w:t xml:space="preserve"> </w:t>
      </w:r>
      <w:r w:rsidRPr="00C90932">
        <w:rPr>
          <w:u w:val="single"/>
        </w:rPr>
        <w:t>non-falsifiable when the effects of gentle toilet-training are examined –</w:t>
      </w:r>
      <w:r w:rsidRPr="002214B9">
        <w:rPr>
          <w:sz w:val="16"/>
        </w:rPr>
        <w:t xml:space="preserve"> these are indistinguishable from the result of strict toilet training, and once more, both personality styles can be explained </w:t>
      </w:r>
      <w:r w:rsidRPr="002214B9">
        <w:rPr>
          <w:i/>
          <w:iCs/>
          <w:sz w:val="16"/>
        </w:rPr>
        <w:t>post hoc</w:t>
      </w:r>
      <w:r w:rsidRPr="002214B9">
        <w:rPr>
          <w:sz w:val="16"/>
        </w:rPr>
        <w:t>, but neither can be predicted.</w:t>
      </w:r>
      <w:r w:rsidRPr="00C90932">
        <w:rPr>
          <w:u w:val="single"/>
        </w:rPr>
        <w:t xml:space="preserve"> In addition to the lack of clear logic in Freud’s postulation of the relationship between toilet-training and personality, studies investigating the relationship between these variables </w:t>
      </w:r>
      <w:r w:rsidRPr="00C90932">
        <w:rPr>
          <w:rStyle w:val="Emphasis"/>
        </w:rPr>
        <w:t xml:space="preserve">have found no relationship </w:t>
      </w:r>
      <w:r w:rsidRPr="00C90932">
        <w:rPr>
          <w:u w:val="single"/>
        </w:rPr>
        <w:t>between the actual toilet training practices employed by parents and the child’s resultant personality style.</w:t>
      </w:r>
    </w:p>
    <w:p w14:paraId="75FC4BD4" w14:textId="77777777" w:rsidR="00C23E2D" w:rsidRPr="00C90932" w:rsidRDefault="00C23E2D" w:rsidP="00C23E2D">
      <w:pPr>
        <w:rPr>
          <w:rStyle w:val="Emphasis"/>
        </w:rPr>
      </w:pPr>
      <w:r w:rsidRPr="002214B9">
        <w:rPr>
          <w:sz w:val="16"/>
        </w:rPr>
        <w:t xml:space="preserve">Related to these questionable assumptions of </w:t>
      </w:r>
      <w:r w:rsidRPr="00C90932">
        <w:rPr>
          <w:u w:val="single"/>
        </w:rPr>
        <w:t>psychoanalysis are two equally questionable methods of investigating the alleged memories hidden in the unconscious: free association and the interpretation of dreams. Neither method is capable of scientific formulation or empirical testing.</w:t>
      </w:r>
      <w:r w:rsidRPr="002214B9">
        <w:rPr>
          <w:sz w:val="16"/>
        </w:rPr>
        <w:t xml:space="preserve"> These methods bear no validity in reality. When these results are taken together with others, it seems plausible to suggest that </w:t>
      </w:r>
      <w:r w:rsidRPr="00C90932">
        <w:rPr>
          <w:rStyle w:val="Emphasis"/>
        </w:rPr>
        <w:t>falsifiability poses a problem for most aspects of psychoanalysis!</w:t>
      </w:r>
    </w:p>
    <w:p w14:paraId="6AF60018" w14:textId="77777777" w:rsidR="00C23E2D" w:rsidRPr="002214B9" w:rsidRDefault="00C23E2D" w:rsidP="00C23E2D">
      <w:pPr>
        <w:rPr>
          <w:sz w:val="16"/>
        </w:rPr>
      </w:pPr>
      <w:r w:rsidRPr="002214B9">
        <w:rPr>
          <w:sz w:val="16"/>
        </w:rPr>
        <w:t>Daisie and Michael Radner (1982), ardent advocates of scientific methodology, observe that pseudoscientific proponents are inclined to “look for mysteries”. It could certainly be argued that Freud largely got away with a lack of scientific rigour in his work due to the volatile, obscure and often inaccessible content of the subject matter of psychoanalysis, especially as it relates to human sexuality. Whilst Richard Webster (1995), a radical psychologist, notes that much of Freud’s theory appears elegant and does display internal coherence, he argues that ‘laws’ of human nature are largely covered in mystery, and it is problematic to change this because, in order to investigate ‘human nature’, the power of science is not sufficient. Moreover, many of Freud’s achievements are seen to result from his own charismatic personality and “the heroic myth which he spun around himself during his own lifetime” (p. 9). Freud is sometimes likened to a religious, ‘messianic’ figure, who formed a ‘church’ and obtained a large crowd of followers, not because of the scientific basis of his teachings, but solely because of his authority.</w:t>
      </w:r>
    </w:p>
    <w:p w14:paraId="7A6E9120" w14:textId="77777777" w:rsidR="00C23E2D" w:rsidRPr="00C90932" w:rsidRDefault="00C23E2D" w:rsidP="00C23E2D">
      <w:pPr>
        <w:rPr>
          <w:u w:val="single"/>
        </w:rPr>
      </w:pPr>
      <w:r w:rsidRPr="002214B9">
        <w:rPr>
          <w:sz w:val="16"/>
        </w:rPr>
        <w:t xml:space="preserve">Another of Hines’ (1988) observations was that pseudoscientists accuse sceptics of demanding more proof for their postulations in comparison to that required for more established theorists. But, as Hines puts it, “extraordinary claims demand extraordinary proof ” (p.5). Psychoanalysts often argue that clinical experiences are the proof for psychoanalytic theory and thus do not require evidence of the scientific kind, and these are the facts on which their ‘science’ is founded. However, since these data consist of symbolic interpretations of dreams, free associations, and such, in the light of this discussion such claims may be seen to be entirely circular in nature. Hines further notes that pseudoscientific proponents commonly fail to modify their theories in the light of new evidence. A notable example of this is the idea of motivated forgetting, also known as repression. Repression is said to be an active mechanism by which particular memories are prevented from reaching consciousness due to their emotionally painful content. Infantile amnesia, referring to the fact that adults usually have virtually no memories of their infancy, has widely been regarded as evidence for repression. In Freud’s explanation, this is because the period of early childhood is a time when the child is immersed in strong sexual desires, which are largely incestuous in nature. Because these desires cannot be satisfied, frustration follows. For a boy, his sexual feelings towards his mother may cause castration anxiety. Memories of these feelings are repressed when the Oedipus complex is resolved. Such memories cannot be allowed to enter the conscious mind, as there would be a risk that they would cause perversion and psychological damage. The </w:t>
      </w:r>
      <w:r w:rsidRPr="00C90932">
        <w:rPr>
          <w:u w:val="single"/>
        </w:rPr>
        <w:t>scientific evidence for this notion of unconscious repression is lacking</w:t>
      </w:r>
      <w:r w:rsidRPr="002214B9">
        <w:rPr>
          <w:sz w:val="16"/>
        </w:rPr>
        <w:t xml:space="preserve">, </w:t>
      </w:r>
      <w:r w:rsidRPr="00C90932">
        <w:rPr>
          <w:u w:val="single"/>
        </w:rPr>
        <w:t>as is any evidence that conscious thought or behaviour is influenced by repressed memories.</w:t>
      </w:r>
    </w:p>
    <w:p w14:paraId="7EC274ED" w14:textId="77777777" w:rsidR="00C23E2D" w:rsidRPr="002214B9" w:rsidRDefault="00C23E2D" w:rsidP="00C23E2D">
      <w:pPr>
        <w:rPr>
          <w:sz w:val="16"/>
        </w:rPr>
      </w:pPr>
      <w:r w:rsidRPr="002214B9">
        <w:rPr>
          <w:sz w:val="16"/>
        </w:rPr>
        <w:t>Infantile amnesia is regarded as a real phenomenon, but studies investigating memory and brain have shown that its causes are far from the psychoanalytical explanation. The currently accepted explanation is that infantile amnesia is due to the nature of the brain of the immature organism. A second important variable in childhood amnesia is the development of language, i.e., the limited language skills of young children make it more difficult to memorise information. However, a large body of evidence showing that infantile amnesia is not due to repression, but to the immaturity of the infant’s brain, has not made psychoanalysts revise the theory. Another example of a failure to update psychoanalytic theories is Freud’s field of psychohistory, created for understanding historic individuals. Several flaws in his theorising have been indicated, but again such theories have not been subsequently modified.</w:t>
      </w:r>
    </w:p>
    <w:p w14:paraId="050CB57E" w14:textId="77777777" w:rsidR="00C23E2D" w:rsidRPr="002214B9" w:rsidRDefault="00C23E2D" w:rsidP="00C23E2D">
      <w:pPr>
        <w:rPr>
          <w:sz w:val="16"/>
        </w:rPr>
      </w:pPr>
      <w:r w:rsidRPr="002214B9">
        <w:rPr>
          <w:sz w:val="16"/>
        </w:rPr>
        <w:t>What is science, then? How scientific is psychoanalysis? According to Donald Spence (1987), an American psychiatrist, something deserves to be considered as a science when there is a prevalent regard for the data, which is available for all interested parties, and when theory is data-driven and changes in response to new observations. Further, the progress of the theory is cumulative and the original model may serve as a basis for newer models. Finally, the claims are based on evidence rather than on authority. In this view science is immensely democratic. In terms of the above criteria, psychoanalysis fails on every count. Frank Sulloway (1979), a psychologist and historian of science, has actually described psychoanalysis as “a scientific fairytale”. However, the subject matter of psychoanalysis, human sexuality and human nature, are laden with powerful taboos. Webster (1995) argues that to postulate theories concerning such issues requires not only intellect, but also emotional lucidity, something that is not commonly regarded as a characteristic of the scientific mind. Furthermore, to engage in such an activity requires a pinch of rebelliousness, which again is a quality rarely seen amongst those trained in natural sciences. In Webster’s view, scientific ideas should not be judged by their intellectual source but by their explanatory power.</w:t>
      </w:r>
    </w:p>
    <w:p w14:paraId="539B4CF5" w14:textId="77777777" w:rsidR="00C23E2D" w:rsidRPr="002214B9" w:rsidRDefault="00C23E2D" w:rsidP="00C23E2D">
      <w:pPr>
        <w:rPr>
          <w:sz w:val="16"/>
        </w:rPr>
      </w:pPr>
      <w:r w:rsidRPr="002214B9">
        <w:rPr>
          <w:sz w:val="16"/>
        </w:rPr>
        <w:t>It cannot be denied, however, that Freud’s theory is superlatively ingenious, creative and perceptive. It further provides an initially plausible explanation of many aspects of human sexual behaviour. To dismiss psychoanalysis as being without any intellectual merit or importance would be wrong, and to do so would dismiss all of the many respectable authors who ever wrote in the psychoanalytic tradition.</w:t>
      </w:r>
    </w:p>
    <w:p w14:paraId="07E436F6" w14:textId="77777777" w:rsidR="00C23E2D" w:rsidRPr="002214B9" w:rsidRDefault="00C23E2D" w:rsidP="00C23E2D">
      <w:pPr>
        <w:rPr>
          <w:u w:val="single"/>
        </w:rPr>
      </w:pPr>
      <w:r w:rsidRPr="00C90932">
        <w:rPr>
          <w:u w:val="single"/>
        </w:rPr>
        <w:t>The majority of psychologists hold that psychoanalysis is a pseudoscience</w:t>
      </w:r>
      <w:r w:rsidRPr="002214B9">
        <w:rPr>
          <w:sz w:val="16"/>
        </w:rPr>
        <w:t xml:space="preserve">, but perhaps the very business of examining Freud’s work from the scientific perspective is unnecessarily harsh. Hans Eysenck, a hard-core behaviourist and iconoclast of the twentieth century, maintains that for many, Freud’s contribution has not been to the scientific study of human behaviour, but to the interpretation and meaning of mental events. Specifically, Freud pioneered the desire to understand those individuals whose behaviour and thinking cross the bounds of convention dictated by civilization and cultures. It is difficult to dismiss the importance of psychoanalysis as it is so tightly entangled with our cultural history. However, perhaps the most transparent evidence that Freud was wrong is that he is very difficult for us to understand, and much of him remains an enigma – in Webster’s (1995, p. 29) words, “a psychologist who is beyond the reach of psychology, the creator of a movement which has encircled the globe but which has formulated no theory which can even begin to account for its own success”. </w:t>
      </w:r>
      <w:r w:rsidRPr="00C90932">
        <w:rPr>
          <w:u w:val="single"/>
        </w:rPr>
        <w:t xml:space="preserve">It seems clear to me that </w:t>
      </w:r>
      <w:r w:rsidRPr="00C90932">
        <w:rPr>
          <w:rStyle w:val="Emphasis"/>
        </w:rPr>
        <w:t>psychoanalysis belongs to the ‘domain of myth’</w:t>
      </w:r>
      <w:r w:rsidRPr="00C90932">
        <w:rPr>
          <w:u w:val="single"/>
        </w:rPr>
        <w:t>, and while of course myths may be enigmatic, they are not in the least scientific.</w:t>
      </w:r>
    </w:p>
    <w:p w14:paraId="56E11FED" w14:textId="0DBD3B8F" w:rsidR="00D8081B" w:rsidRPr="00C90932" w:rsidRDefault="00586A2E" w:rsidP="00C90932">
      <w:pPr>
        <w:pStyle w:val="Heading3"/>
      </w:pPr>
      <w:r>
        <w:t>Theory Wrong---Humanism Good---2AC</w:t>
      </w:r>
    </w:p>
    <w:p w14:paraId="47677A2F" w14:textId="77777777" w:rsidR="00C23E2D" w:rsidRPr="00C90932" w:rsidRDefault="00C23E2D" w:rsidP="00C23E2D">
      <w:pPr>
        <w:pStyle w:val="Heading4"/>
      </w:pPr>
      <w:r w:rsidRPr="00C90932">
        <w:t>Humanism is not irredeemable, but rather it is contingent and malleable. The alt jettisons the liberatory potential of humanism in exchange for ethical purity.</w:t>
      </w:r>
    </w:p>
    <w:p w14:paraId="67C72D2C" w14:textId="77777777" w:rsidR="00C23E2D" w:rsidRPr="00C23E2D" w:rsidRDefault="00C23E2D" w:rsidP="00C23E2D">
      <w:r w:rsidRPr="00C23E2D">
        <w:rPr>
          <w:rStyle w:val="Style13ptBold"/>
        </w:rPr>
        <w:t>Lester 12</w:t>
      </w:r>
      <w:r w:rsidRPr="00C23E2D">
        <w:t xml:space="preserve"> [Alan Lester, </w:t>
      </w:r>
      <w:r>
        <w:t xml:space="preserve">British historical geographer and author who has worked for Sussex University since 2000. He was appointed Professor of Historical Geography in 2006. He is known for his research on imperial networks, colonial humanitarianism and imperial governance. </w:t>
      </w:r>
      <w:r w:rsidRPr="00C23E2D">
        <w:t>"</w:t>
      </w:r>
      <w:r>
        <w:t>Humanism, race and the colonial frontier</w:t>
      </w:r>
      <w:r w:rsidRPr="00C23E2D">
        <w:t xml:space="preserve">", </w:t>
      </w:r>
      <w:r>
        <w:t xml:space="preserve">Transactions of the Institute of British Geographers 37 (1), January 2012, </w:t>
      </w:r>
      <w:r w:rsidRPr="00C23E2D">
        <w:t>https://rgs-ibg.onlinelibrary.wiley.com/doi/full/10.1111/j.1475-5661.2011.00450.x]// Micah</w:t>
      </w:r>
    </w:p>
    <w:p w14:paraId="5F1CD17E" w14:textId="77777777" w:rsidR="00C23E2D" w:rsidRPr="002214B9" w:rsidRDefault="00C23E2D" w:rsidP="00C23E2D">
      <w:pPr>
        <w:rPr>
          <w:sz w:val="16"/>
        </w:rPr>
      </w:pPr>
      <w:r w:rsidRPr="002214B9">
        <w:rPr>
          <w:sz w:val="16"/>
        </w:rPr>
        <w:t>As a number of new imperial historians of Britain have stressed, these scientists effectively strengthened the connections between settler-originated constructions of race and metropolitan middle-class constructions of other kinds of ‘internal’ social difference (Hall 1996; Hall and Rose 2006). In Hunt’s view, the brain of the ‘Negro’ was much like that of the European woman or child, and in the view of many contemporaries, both shared certain characteristics with those of criminals, Celts and the labouring poor, none of whom were differentiated through their relations with nature in a metropolitan context (Bolt 1971). Long-held settler representations, such as those that were reformulated for metropolitan consumption by Knox and Hunt, became more powerful in Britain because they articulated a language of inherent difference in which the relations of British class and gender could now be more conveniently framed. They helped establish, as Ann Stoler puts it, ‘a “mobile” discourse of empire that designated eligibility for citizenship, class membership, and gendered assignments to race’ (Stoler 1995, 127–8).</w:t>
      </w:r>
    </w:p>
    <w:p w14:paraId="6F9DA6D0" w14:textId="77777777" w:rsidR="00C23E2D" w:rsidRPr="002214B9" w:rsidRDefault="00C23E2D" w:rsidP="00C23E2D">
      <w:pPr>
        <w:rPr>
          <w:sz w:val="16"/>
        </w:rPr>
      </w:pPr>
      <w:r w:rsidRPr="002214B9">
        <w:rPr>
          <w:sz w:val="16"/>
        </w:rPr>
        <w:t>Although, as I have argued, both Anderson and I emphasise in practice those sets of relations on colonial frontiers that gave rise to racial discursive shifts in the nineteenth century, there are important postcolonial questions hinging on the distinction between the different kind of discursive relations that Anderson emphasises, and those that I have tried to track above.</w:t>
      </w:r>
    </w:p>
    <w:p w14:paraId="0E1563D0" w14:textId="77777777" w:rsidR="00C23E2D" w:rsidRPr="002214B9" w:rsidRDefault="00C23E2D" w:rsidP="00C23E2D">
      <w:pPr>
        <w:rPr>
          <w:sz w:val="16"/>
        </w:rPr>
      </w:pPr>
      <w:r w:rsidRPr="002214B9">
        <w:rPr>
          <w:sz w:val="16"/>
        </w:rPr>
        <w:t>Anderson argues that</w:t>
      </w:r>
    </w:p>
    <w:p w14:paraId="65A2EBEA" w14:textId="77777777" w:rsidR="00C23E2D" w:rsidRPr="002214B9" w:rsidRDefault="00C23E2D" w:rsidP="00C23E2D">
      <w:pPr>
        <w:rPr>
          <w:sz w:val="16"/>
        </w:rPr>
      </w:pPr>
      <w:r w:rsidRPr="002214B9">
        <w:rPr>
          <w:sz w:val="16"/>
        </w:rPr>
        <w:t>it is not an issue of extending humanity to … negatively racialised people, but of putting into question that from which such people have been excluded – that which, for liberal discourse, remains unproblematised. (2007, 199)</w:t>
      </w:r>
    </w:p>
    <w:p w14:paraId="3641698B" w14:textId="77777777" w:rsidR="00C23E2D" w:rsidRPr="002214B9" w:rsidRDefault="00C23E2D" w:rsidP="00C23E2D">
      <w:pPr>
        <w:rPr>
          <w:sz w:val="16"/>
        </w:rPr>
      </w:pPr>
      <w:r w:rsidRPr="002214B9">
        <w:rPr>
          <w:sz w:val="16"/>
        </w:rPr>
        <w:t>I fear, however, that if we direct attention away from histories of humanism’s failure to deal with difference and to render that difference compatible with its fundamental universalism, and if we overlook its proponents’ failed attempts to combat dispossession, murder and oppression; if our history of race is instead understood through a critique of humanity’s conceptual separation from nature, we dilute the political potency of universalism.</w:t>
      </w:r>
    </w:p>
    <w:p w14:paraId="067AC4CE" w14:textId="77777777" w:rsidR="00C23E2D" w:rsidRPr="00C90932" w:rsidRDefault="00C23E2D" w:rsidP="00C23E2D">
      <w:pPr>
        <w:rPr>
          <w:u w:val="single"/>
        </w:rPr>
      </w:pPr>
      <w:r w:rsidRPr="00C90932">
        <w:rPr>
          <w:u w:val="single"/>
        </w:rPr>
        <w:t xml:space="preserve">Historically, it was not humanism that gave rise to racial innatism, it was the specifically anti-humanist politics of settlers forging new social assemblages through relations of violence on colonial frontiers. </w:t>
      </w:r>
      <w:r w:rsidRPr="00C90932">
        <w:rPr>
          <w:rStyle w:val="Emphasis"/>
        </w:rPr>
        <w:t>Settler communities became established social assemblages in their own right specifically through the rejection of humanist interventions.</w:t>
      </w:r>
      <w:r w:rsidRPr="00C90932">
        <w:rPr>
          <w:u w:val="single"/>
        </w:rPr>
        <w:t xml:space="preserve"> Perhaps, as Edward Said suggested</w:t>
      </w:r>
      <w:r w:rsidRPr="002214B9">
        <w:rPr>
          <w:sz w:val="16"/>
        </w:rPr>
        <w:t xml:space="preserve">, </w:t>
      </w:r>
      <w:r w:rsidRPr="00C90932">
        <w:rPr>
          <w:u w:val="single"/>
        </w:rPr>
        <w:t>we can learn from the implementation of humanist universalism in practice, and insist on its </w:t>
      </w:r>
      <w:r w:rsidRPr="00C90932">
        <w:rPr>
          <w:i/>
          <w:iCs/>
          <w:u w:val="single"/>
        </w:rPr>
        <w:t>potential</w:t>
      </w:r>
      <w:r w:rsidRPr="00C90932">
        <w:rPr>
          <w:u w:val="single"/>
        </w:rPr>
        <w:t xml:space="preserve"> to combat racism, and perhaps we </w:t>
      </w:r>
      <w:r w:rsidRPr="002214B9">
        <w:rPr>
          <w:sz w:val="16"/>
        </w:rPr>
        <w:t>can insist on the contemporary conceptual hybridisation of human–non-human entities too</w:t>
      </w:r>
      <w:r w:rsidRPr="00C90932">
        <w:rPr>
          <w:u w:val="single"/>
        </w:rPr>
        <w:t xml:space="preserve">, without necessarily abandoning all the precepts of humanism </w:t>
      </w:r>
      <w:r w:rsidRPr="002214B9">
        <w:rPr>
          <w:sz w:val="16"/>
        </w:rPr>
        <w:t xml:space="preserve">(Said 2004; Todorov 2002). </w:t>
      </w:r>
      <w:r w:rsidRPr="00C90932">
        <w:rPr>
          <w:u w:val="single"/>
        </w:rPr>
        <w:t>We do not necessarily need to accord a specific value to the human, separate from and above nature, in order to make a moral and political case for a fundamental human universalism that can be wielded strategically against racial violence.</w:t>
      </w:r>
    </w:p>
    <w:p w14:paraId="2EDCB501" w14:textId="77777777" w:rsidR="00C23E2D" w:rsidRPr="002214B9" w:rsidRDefault="00C23E2D" w:rsidP="00C23E2D">
      <w:pPr>
        <w:rPr>
          <w:sz w:val="16"/>
        </w:rPr>
      </w:pPr>
      <w:r w:rsidRPr="00C90932">
        <w:rPr>
          <w:u w:val="single"/>
        </w:rPr>
        <w:t xml:space="preserve">Nineteenth century humanitarians’ universalism was fundamentally </w:t>
      </w:r>
      <w:r w:rsidRPr="00C90932">
        <w:rPr>
          <w:rStyle w:val="Emphasis"/>
        </w:rPr>
        <w:t>conditioned by</w:t>
      </w:r>
      <w:r w:rsidRPr="00C90932">
        <w:rPr>
          <w:u w:val="single"/>
        </w:rPr>
        <w:t xml:space="preserve"> their belief that British culture stood at the apex of a hierarchical order of civilisations. From the mid-nineteenth century through to the mid-twentieth century, this ethnocentrism produced what Lyotard describes as ‘the flattening of differences, or the demand for a norm (“human nature”)’</w:t>
      </w:r>
      <w:r w:rsidRPr="002214B9">
        <w:rPr>
          <w:sz w:val="16"/>
        </w:rPr>
        <w:t>,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But we must not forget that humanism’s alternatives, founded upon principles of difference rather than commonality, have the potential to do the same and even worse.</w:t>
      </w:r>
    </w:p>
    <w:p w14:paraId="6418BA9B" w14:textId="77777777" w:rsidR="00C23E2D" w:rsidRPr="002214B9" w:rsidRDefault="00C23E2D" w:rsidP="00C23E2D">
      <w:pPr>
        <w:rPr>
          <w:sz w:val="16"/>
        </w:rPr>
      </w:pPr>
      <w:r w:rsidRPr="002214B9">
        <w:rPr>
          <w:sz w:val="16"/>
        </w:rPr>
        <w:t>In the nineteenth century, Caribbean planters and then emigrant British settlers emphasised the multiplicity of the human species, the absence of any universal ‘human nature’, the incorrigibility of difference, in their upholding of biological determinism. Their assault on any notion of a fundamental commonality among human beings has disconcerting points of intersection with the radical critique of humanism today. The scientific argument of the nineteenth century that came closest to post-humanism’s insistence on the hybridity of humanity, promising to ‘close the ontological gap between human and non-human animals’ (Day 2008, 49), was the evolutionary theory of biological descent associated with Darwin, and yet this theory was adopted in Aotearoa New Zealand and other colonial sites precisely to legitimate the potential extinction of other, ‘weaker’ races in the face of British colonisation on the grounds of the natural law of a struggle for survival (Stenhouse 1999).</w:t>
      </w:r>
    </w:p>
    <w:p w14:paraId="23BBC4F2" w14:textId="77777777" w:rsidR="00C23E2D" w:rsidRPr="002214B9" w:rsidRDefault="00C23E2D" w:rsidP="00C23E2D">
      <w:pPr>
        <w:rPr>
          <w:sz w:val="16"/>
        </w:rPr>
      </w:pPr>
      <w:r w:rsidRPr="002214B9">
        <w:rPr>
          <w:sz w:val="16"/>
        </w:rPr>
        <w:t>Both the upholding and the rejection of human–nature binaries can thus result in racially oppressive actions, depending on the contingent politics of specific social assemblages. 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w:t>
      </w:r>
    </w:p>
    <w:p w14:paraId="757F3C52" w14:textId="77777777" w:rsidR="00C23E2D" w:rsidRPr="002214B9" w:rsidRDefault="00C23E2D" w:rsidP="00C23E2D">
      <w:pPr>
        <w:rPr>
          <w:sz w:val="16"/>
        </w:rPr>
      </w:pPr>
      <w:r w:rsidRPr="00C90932">
        <w:rPr>
          <w:u w:val="single"/>
        </w:rPr>
        <w:t>The politics of humanism in practice</w:t>
      </w:r>
      <w:r w:rsidRPr="002214B9">
        <w:rPr>
          <w:sz w:val="16"/>
        </w:rPr>
        <w:t xml:space="preserve">, </w:t>
      </w:r>
      <w:r w:rsidRPr="00C90932">
        <w:rPr>
          <w:u w:val="single"/>
        </w:rPr>
        <w:t>then, was riddled with contradiction, fraught with particularity and latent with varying possibilities. It could be </w:t>
      </w:r>
      <w:r w:rsidRPr="00C90932">
        <w:rPr>
          <w:i/>
          <w:iCs/>
          <w:u w:val="single"/>
        </w:rPr>
        <w:t>relatively</w:t>
      </w:r>
      <w:r w:rsidRPr="00C90932">
        <w:rPr>
          <w:u w:val="single"/>
        </w:rPr>
        <w:t> progressive and liberatory; it could be dispossessive and culturally genocidal.</w:t>
      </w:r>
      <w:r w:rsidRPr="002214B9">
        <w:rPr>
          <w:sz w:val="16"/>
        </w:rPr>
        <w:t xml:space="preserve"> Within its repertoire lay potential to combat environmental and biological determinism and innatism, however, and this should not be forgotten in a rush to condemn humanism’s universalism as well as its anthropocentrism. It is in the tensions within universalism that the ongoing potential of an always provisional, self-conscious, flexible and strategic humanism – one that now recognises the continuity between the human and the non-human as well as the power-laden particularities of the male, middle class, Western human subject – resides.</w:t>
      </w:r>
    </w:p>
    <w:p w14:paraId="2D3A0FC6" w14:textId="77777777" w:rsidR="00C23E2D" w:rsidRPr="002214B9" w:rsidRDefault="00C23E2D" w:rsidP="00C23E2D">
      <w:pPr>
        <w:rPr>
          <w:sz w:val="16"/>
        </w:rPr>
      </w:pPr>
      <w:r w:rsidRPr="002214B9">
        <w:rPr>
          <w:sz w:val="16"/>
        </w:rPr>
        <w:t>In her appraisal of Anderson’s work, Nash points to an urgent contemporary political imperative, concerning the human genome project. The project provides a resource for strengthening post-humanism’s critique of anthropocentrism, since it has ‘confounded ideas of human genetic distinctiveness and sophistication relative to other animals’ by finding a smaller specifically human genome than expected’ (Nash 2008, 465). However, and as in the early nineteenth century, it is not so much our understanding of human–non-human relations that matters in the construction of race, but the political uses of the genome project’s findings about variability among humans. As Nash points out,</w:t>
      </w:r>
    </w:p>
    <w:p w14:paraId="277BEDAE" w14:textId="77777777" w:rsidR="00C23E2D" w:rsidRPr="002214B9" w:rsidRDefault="00C23E2D" w:rsidP="00C23E2D">
      <w:pPr>
        <w:rPr>
          <w:sz w:val="16"/>
        </w:rPr>
      </w:pPr>
      <w:r w:rsidRPr="002214B9">
        <w:rPr>
          <w:sz w:val="16"/>
        </w:rPr>
        <w:t>the narrative of shared human origins ‘out of Africa’ and accounts of the genetic unity of humanity are accompanied by a new insistent focus on the small amount of genetic variation within humanity. The thrust of this is to supplement the study of the human genome in general with the study of human genome variation. Most problematically and most controversially, much of this work is focused on exploring human genetic variation between those located in the broad conventional categories of race, or uses racial or ethnic groups in sampling and mapping global human genetic diversity. So the move to declare the redundancy of race in light of new knowledge of the human genome has been swiftly followed by a resurgence of interest in genetic differences between old categories of race. (2008, 465)</w:t>
      </w:r>
    </w:p>
    <w:p w14:paraId="585A0261" w14:textId="77777777" w:rsidR="00C23E2D" w:rsidRPr="002214B9" w:rsidRDefault="00C23E2D" w:rsidP="00C23E2D">
      <w:pPr>
        <w:rPr>
          <w:sz w:val="16"/>
        </w:rPr>
      </w:pPr>
      <w:r w:rsidRPr="002214B9">
        <w:rPr>
          <w:sz w:val="16"/>
        </w:rPr>
        <w:t>Demarcations between human races thus continue, as a result of the political entanglements of subordination, inclusion and exclusion, regardless of evidence about human–nature boundaries. As Saldanha recognises, given the material, phenotypical basis for ideas of race, ‘when understood as an immanent process, it becomes clear that, though contingent, race cannot be transcended, only understood and rearranged’ (2006, 9). If we are not to use the principle of human universalism, stripped as far as possible in the light of colonial history of its colonising prescriptions, to combat persistent innatist demarcations, however, then what are we to use?</w:t>
      </w:r>
    </w:p>
    <w:p w14:paraId="101A18BC" w14:textId="77777777" w:rsidR="00C23E2D" w:rsidRPr="002214B9" w:rsidRDefault="00C23E2D" w:rsidP="00C23E2D">
      <w:pPr>
        <w:rPr>
          <w:sz w:val="16"/>
        </w:rPr>
      </w:pPr>
      <w:r w:rsidRPr="002214B9">
        <w:rPr>
          <w:sz w:val="16"/>
        </w:rPr>
        <w:t>The legacy of humanism may be ‘an obstacle, an ideology, a myth’ (Badmington 2004, 1344), and the notion of ‘the human’ may have to be redefined contingently and strategically as a moral category rather than a biological category discrete from the non-human,5 but it may be a necessary political fiction, providing a resource for the construction of a new cosmopolitanism (Mignolo 2000), or even, in Fanon’s words, a ‘new humanism’ founded in human immanence rather than transcendence (Alessandrini 2009; Fanon 1967, 7; Pithouse 2003; Murdoch 2004). We need a universality of human worth without assuming a universality of either human biology or culture, and perhaps the best way to achieve this within a new cosmopolitan humanism is, as Saldanha puts it, not to ‘eliminate’ race (cf. Gilroy 2000), but to proliferate it – to direct its ‘many energies’‘at multiplying racial differences so as to render them joyfully cacophonic’ (Saldanha 2006, 21). The universalism of what Saldanha calls ‘a thousand tiny races’ (Saldanha 2006, 21) constituting humanity may have to exist alongside, and in acknowledged tension with, the deconstruction of the anthropocentrism that isolates all these races from ‘nature’.</w:t>
      </w:r>
    </w:p>
    <w:p w14:paraId="5433A170" w14:textId="77777777" w:rsidR="00C23E2D" w:rsidRPr="002214B9" w:rsidRDefault="00C23E2D" w:rsidP="00C23E2D">
      <w:pPr>
        <w:rPr>
          <w:sz w:val="16"/>
        </w:rPr>
      </w:pPr>
    </w:p>
    <w:p w14:paraId="037003DE" w14:textId="77777777" w:rsidR="00F3765A" w:rsidRPr="00C90932" w:rsidRDefault="00F3765A" w:rsidP="00C90932">
      <w:pPr>
        <w:pStyle w:val="Heading3"/>
      </w:pPr>
      <w:r w:rsidRPr="00C90932">
        <w:t>Theory Wrong---Colonialism---2AC</w:t>
      </w:r>
    </w:p>
    <w:p w14:paraId="7B5101B5" w14:textId="77777777" w:rsidR="00F3765A" w:rsidRPr="00C90932" w:rsidRDefault="00F3765A" w:rsidP="00C90932">
      <w:pPr>
        <w:pStyle w:val="Heading4"/>
      </w:pPr>
      <w:r w:rsidRPr="00C90932">
        <w:t xml:space="preserve">‘Blue colonialism’ and its dependence on Orientalism arbitrarily inflate the microhistory of blue pigment and imposes a Eurocentric worldview onto the history of humanism. </w:t>
      </w:r>
    </w:p>
    <w:p w14:paraId="6DBB8772" w14:textId="77777777" w:rsidR="00F3765A" w:rsidRPr="00C90932" w:rsidRDefault="00F3765A" w:rsidP="00C90932">
      <w:r w:rsidRPr="00C90932">
        <w:t xml:space="preserve">Dorothy </w:t>
      </w:r>
      <w:r w:rsidRPr="00C90932">
        <w:rPr>
          <w:rStyle w:val="Style13ptBold"/>
        </w:rPr>
        <w:t>Figueria 8</w:t>
      </w:r>
      <w:r w:rsidRPr="00C90932">
        <w:t xml:space="preserve">, Professor of Comparative Literature at the University of Georgia, Ph.D. in Comparative Studies in Literature from the University of Chicago, “Postcolonial Criticism and Identitarian Politics,” in </w:t>
      </w:r>
      <w:r w:rsidRPr="00C90932">
        <w:rPr>
          <w:i/>
          <w:iCs/>
        </w:rPr>
        <w:t>Otherwise Occupied: Pedagogies of Alterity and the Brahminization of Theory</w:t>
      </w:r>
      <w:r w:rsidRPr="00C90932">
        <w:t>, pp. 31-48, State University of New York Press, 2008, accessed 06-27-2025, DG</w:t>
      </w:r>
    </w:p>
    <w:p w14:paraId="4E4802A5" w14:textId="77777777" w:rsidR="00F3765A" w:rsidRPr="00C90932" w:rsidRDefault="00F3765A" w:rsidP="00C90932">
      <w:pPr>
        <w:rPr>
          <w:sz w:val="16"/>
        </w:rPr>
      </w:pPr>
      <w:r w:rsidRPr="00C90932">
        <w:rPr>
          <w:rStyle w:val="StyleUnderline"/>
        </w:rPr>
        <w:t>Postcolonial criticism invites cross-cultural analysis without</w:t>
      </w:r>
      <w:r w:rsidRPr="00C90932">
        <w:rPr>
          <w:sz w:val="16"/>
        </w:rPr>
        <w:t xml:space="preserve"> demanding extensive </w:t>
      </w:r>
      <w:r w:rsidRPr="00C90932">
        <w:rPr>
          <w:rStyle w:val="Emphasis"/>
        </w:rPr>
        <w:t>cultural knowledge</w:t>
      </w:r>
      <w:r w:rsidRPr="00C90932">
        <w:rPr>
          <w:rStyle w:val="StyleUnderline"/>
        </w:rPr>
        <w:t xml:space="preserve">. It trades in </w:t>
      </w:r>
      <w:r w:rsidRPr="00C90932">
        <w:rPr>
          <w:rStyle w:val="Emphasis"/>
        </w:rPr>
        <w:t>stereotypes</w:t>
      </w:r>
      <w:r w:rsidRPr="00C90932">
        <w:rPr>
          <w:rStyle w:val="StyleUnderline"/>
        </w:rPr>
        <w:t xml:space="preserve"> and the </w:t>
      </w:r>
      <w:r w:rsidRPr="00C90932">
        <w:rPr>
          <w:rStyle w:val="Emphasis"/>
        </w:rPr>
        <w:t>fantasy</w:t>
      </w:r>
      <w:r w:rsidRPr="00C90932">
        <w:rPr>
          <w:rStyle w:val="StyleUnderline"/>
        </w:rPr>
        <w:t xml:space="preserve"> of locating a genuine anticolonial nationalistic subject grasped through a psychoanalytic framework that is itself </w:t>
      </w:r>
      <w:r w:rsidRPr="00C90932">
        <w:rPr>
          <w:rStyle w:val="Emphasis"/>
        </w:rPr>
        <w:t>not culturally specific</w:t>
      </w:r>
      <w:r w:rsidRPr="00C90932">
        <w:rPr>
          <w:sz w:val="16"/>
        </w:rPr>
        <w:t xml:space="preserve"> (Harootunian 2002:172). 7  </w:t>
      </w:r>
      <w:r w:rsidRPr="00C90932">
        <w:rPr>
          <w:rStyle w:val="StyleUnderline"/>
        </w:rPr>
        <w:t>This lack of specificity has led</w:t>
      </w:r>
      <w:r w:rsidRPr="00C90932">
        <w:rPr>
          <w:sz w:val="16"/>
        </w:rPr>
        <w:t xml:space="preserve"> some </w:t>
      </w:r>
      <w:r w:rsidRPr="00C90932">
        <w:rPr>
          <w:rStyle w:val="StyleUnderline"/>
        </w:rPr>
        <w:t>critics to compare</w:t>
      </w:r>
      <w:r w:rsidRPr="00C90932">
        <w:rPr>
          <w:sz w:val="16"/>
        </w:rPr>
        <w:t xml:space="preserve"> the discourse of </w:t>
      </w:r>
      <w:r w:rsidRPr="00C90932">
        <w:rPr>
          <w:rStyle w:val="StyleUnderline"/>
        </w:rPr>
        <w:t>postcolonial criticism with</w:t>
      </w:r>
      <w:r w:rsidRPr="00C90932">
        <w:rPr>
          <w:sz w:val="16"/>
        </w:rPr>
        <w:t xml:space="preserve"> that of </w:t>
      </w:r>
      <w:r w:rsidRPr="00C90932">
        <w:rPr>
          <w:rStyle w:val="Emphasis"/>
        </w:rPr>
        <w:t>colonial thinking</w:t>
      </w:r>
      <w:r w:rsidRPr="00C90932">
        <w:rPr>
          <w:sz w:val="16"/>
        </w:rPr>
        <w:t xml:space="preserve"> (Shohat 1992:99). </w:t>
      </w:r>
      <w:r w:rsidRPr="00C90932">
        <w:rPr>
          <w:rStyle w:val="StyleUnderline"/>
        </w:rPr>
        <w:t>Postcolonial theory</w:t>
      </w:r>
      <w:r w:rsidRPr="00C90932">
        <w:rPr>
          <w:sz w:val="16"/>
        </w:rPr>
        <w:t xml:space="preserve"> still </w:t>
      </w:r>
      <w:r w:rsidRPr="00C90932">
        <w:rPr>
          <w:rStyle w:val="StyleUnderline"/>
        </w:rPr>
        <w:t xml:space="preserve">orients the globe according to a </w:t>
      </w:r>
      <w:r w:rsidRPr="00C90932">
        <w:rPr>
          <w:rStyle w:val="Emphasis"/>
        </w:rPr>
        <w:t xml:space="preserve">single binary </w:t>
      </w:r>
      <w:r w:rsidRPr="00C90932">
        <w:rPr>
          <w:rStyle w:val="StyleUnderline"/>
        </w:rPr>
        <w:t>of Western historicism</w:t>
      </w:r>
      <w:r w:rsidRPr="00C90932">
        <w:rPr>
          <w:sz w:val="16"/>
        </w:rPr>
        <w:t xml:space="preserve"> (McClintock 1992:85). </w:t>
      </w:r>
      <w:r w:rsidRPr="00C90932">
        <w:rPr>
          <w:rStyle w:val="StyleUnderline"/>
        </w:rPr>
        <w:t>It marks and markets</w:t>
      </w:r>
      <w:r w:rsidRPr="00C90932">
        <w:rPr>
          <w:sz w:val="16"/>
        </w:rPr>
        <w:t xml:space="preserve"> the multitudinous </w:t>
      </w:r>
      <w:r w:rsidRPr="00C90932">
        <w:rPr>
          <w:rStyle w:val="StyleUnderline"/>
        </w:rPr>
        <w:t>cultures</w:t>
      </w:r>
      <w:r w:rsidRPr="00C90932">
        <w:rPr>
          <w:sz w:val="16"/>
        </w:rPr>
        <w:t xml:space="preserve"> of the world </w:t>
      </w:r>
      <w:r w:rsidRPr="00C90932">
        <w:rPr>
          <w:rStyle w:val="StyleUnderline"/>
        </w:rPr>
        <w:t xml:space="preserve">and telescopes their geopolitical distinctions </w:t>
      </w:r>
      <w:r w:rsidRPr="00C90932">
        <w:rPr>
          <w:rStyle w:val="Emphasis"/>
        </w:rPr>
        <w:t>into invisibility</w:t>
      </w:r>
      <w:r w:rsidRPr="00C90932">
        <w:rPr>
          <w:sz w:val="16"/>
        </w:rPr>
        <w:t xml:space="preserve"> (McClintock 1992:86). </w:t>
      </w:r>
      <w:r w:rsidRPr="00C90932">
        <w:rPr>
          <w:rStyle w:val="StyleUnderline"/>
        </w:rPr>
        <w:t>One colonial experience can come to resemble another</w:t>
      </w:r>
      <w:r w:rsidRPr="00C90932">
        <w:rPr>
          <w:sz w:val="16"/>
        </w:rPr>
        <w:t xml:space="preserve">. The </w:t>
      </w:r>
      <w:r w:rsidRPr="00C90932">
        <w:rPr>
          <w:rStyle w:val="StyleUnderline"/>
        </w:rPr>
        <w:t xml:space="preserve">critics </w:t>
      </w:r>
      <w:r w:rsidRPr="00C90932">
        <w:rPr>
          <w:rStyle w:val="Emphasis"/>
        </w:rPr>
        <w:t>indiscriminately embrace the Other</w:t>
      </w:r>
      <w:r w:rsidRPr="00C90932">
        <w:rPr>
          <w:rStyle w:val="StyleUnderline"/>
        </w:rPr>
        <w:t xml:space="preserve"> and level out</w:t>
      </w:r>
      <w:r w:rsidRPr="00C90932">
        <w:rPr>
          <w:sz w:val="16"/>
        </w:rPr>
        <w:t xml:space="preserve"> the </w:t>
      </w:r>
      <w:r w:rsidRPr="00C90932">
        <w:rPr>
          <w:rStyle w:val="StyleUnderline"/>
        </w:rPr>
        <w:t>various competing Others</w:t>
      </w:r>
      <w:r w:rsidRPr="00C90932">
        <w:rPr>
          <w:sz w:val="16"/>
        </w:rPr>
        <w:t xml:space="preserve">. What is important is that </w:t>
      </w:r>
      <w:r w:rsidRPr="00C90932">
        <w:rPr>
          <w:rStyle w:val="StyleUnderline"/>
        </w:rPr>
        <w:t xml:space="preserve">the Other </w:t>
      </w:r>
      <w:r w:rsidRPr="00C90932">
        <w:rPr>
          <w:rStyle w:val="Emphasis"/>
        </w:rPr>
        <w:t>always be perceived as correct, regardless of differences</w:t>
      </w:r>
      <w:r w:rsidRPr="00C90932">
        <w:rPr>
          <w:sz w:val="16"/>
        </w:rPr>
        <w:t xml:space="preserve">. It must fulfill the critic’s desire for a pure otherness in pristine luminosity (Chow 1995:45). In this manner, </w:t>
      </w:r>
      <w:r w:rsidRPr="00C90932">
        <w:rPr>
          <w:rStyle w:val="StyleUnderline"/>
        </w:rPr>
        <w:t>postcolonial criticism</w:t>
      </w:r>
      <w:r w:rsidRPr="00C90932">
        <w:rPr>
          <w:sz w:val="16"/>
        </w:rPr>
        <w:t xml:space="preserve"> exhibits a banal Rousseauism that </w:t>
      </w:r>
      <w:r w:rsidRPr="00C90932">
        <w:rPr>
          <w:rStyle w:val="StyleUnderline"/>
        </w:rPr>
        <w:t xml:space="preserve">privileges non-Western culture and glories in its presumptive eventual resurgence as it </w:t>
      </w:r>
      <w:r w:rsidRPr="00C90932">
        <w:rPr>
          <w:rStyle w:val="Emphasis"/>
        </w:rPr>
        <w:t>topples some establishment</w:t>
      </w:r>
      <w:r w:rsidRPr="00C90932">
        <w:rPr>
          <w:sz w:val="16"/>
        </w:rPr>
        <w:t xml:space="preserve"> (Clark 1996:44).</w:t>
      </w:r>
    </w:p>
    <w:p w14:paraId="3B9A52E0" w14:textId="77777777" w:rsidR="00F3765A" w:rsidRPr="00C90932" w:rsidRDefault="00F3765A" w:rsidP="00C90932">
      <w:pPr>
        <w:rPr>
          <w:sz w:val="16"/>
        </w:rPr>
      </w:pPr>
      <w:r w:rsidRPr="00C90932">
        <w:rPr>
          <w:sz w:val="16"/>
        </w:rPr>
        <w:t xml:space="preserve">The most sustained complaint against postcolonial criticism, however, is that it </w:t>
      </w:r>
      <w:r w:rsidRPr="00C90932">
        <w:rPr>
          <w:rStyle w:val="StyleUnderline"/>
        </w:rPr>
        <w:t xml:space="preserve">claims </w:t>
      </w:r>
      <w:r w:rsidRPr="00C90932">
        <w:rPr>
          <w:rStyle w:val="Emphasis"/>
        </w:rPr>
        <w:t>historical method without</w:t>
      </w:r>
      <w:r w:rsidRPr="00C90932">
        <w:rPr>
          <w:rStyle w:val="StyleUnderline"/>
        </w:rPr>
        <w:t xml:space="preserve"> a grasp of </w:t>
      </w:r>
      <w:r w:rsidRPr="00C90932">
        <w:rPr>
          <w:rStyle w:val="Emphasis"/>
        </w:rPr>
        <w:t>historical facts</w:t>
      </w:r>
      <w:r w:rsidRPr="00C90932">
        <w:rPr>
          <w:sz w:val="16"/>
        </w:rPr>
        <w:t xml:space="preserve">. As Aijaz Ahmad (1992) has shown, </w:t>
      </w:r>
      <w:r w:rsidRPr="00C90932">
        <w:rPr>
          <w:rStyle w:val="StyleUnderline"/>
        </w:rPr>
        <w:t>if you level out all histories, you can take</w:t>
      </w:r>
      <w:r w:rsidRPr="00C90932">
        <w:rPr>
          <w:sz w:val="16"/>
        </w:rPr>
        <w:t xml:space="preserve"> up </w:t>
      </w:r>
      <w:r w:rsidRPr="00C90932">
        <w:rPr>
          <w:rStyle w:val="StyleUnderline"/>
        </w:rPr>
        <w:t xml:space="preserve">a thousand available microhistories </w:t>
      </w:r>
      <w:r w:rsidRPr="00C90932">
        <w:rPr>
          <w:rStyle w:val="Emphasis"/>
        </w:rPr>
        <w:t>arbitrarily</w:t>
      </w:r>
      <w:r w:rsidRPr="00C90932">
        <w:rPr>
          <w:rStyle w:val="StyleUnderline"/>
        </w:rPr>
        <w:t xml:space="preserve"> since they all amount more or less to the same thing</w:t>
      </w:r>
      <w:r w:rsidRPr="00C90932">
        <w:rPr>
          <w:sz w:val="16"/>
        </w:rPr>
        <w:t xml:space="preserve">. Relying on the experience of modern colonialism, </w:t>
      </w:r>
      <w:r w:rsidRPr="00C90932">
        <w:rPr>
          <w:rStyle w:val="StyleUnderline"/>
        </w:rPr>
        <w:t xml:space="preserve">the critic divides history into </w:t>
      </w:r>
      <w:r w:rsidRPr="00C90932">
        <w:rPr>
          <w:rStyle w:val="Emphasis"/>
        </w:rPr>
        <w:t>manageable</w:t>
      </w:r>
      <w:r w:rsidRPr="00C90932">
        <w:rPr>
          <w:sz w:val="16"/>
        </w:rPr>
        <w:t xml:space="preserve"> and </w:t>
      </w:r>
      <w:r w:rsidRPr="00C90932">
        <w:rPr>
          <w:rStyle w:val="Emphasis"/>
        </w:rPr>
        <w:t>isolated segments</w:t>
      </w:r>
      <w:r w:rsidRPr="00C90932">
        <w:rPr>
          <w:rStyle w:val="StyleUnderline"/>
        </w:rPr>
        <w:t xml:space="preserve"> while</w:t>
      </w:r>
      <w:r w:rsidRPr="00C90932">
        <w:rPr>
          <w:sz w:val="16"/>
        </w:rPr>
        <w:t xml:space="preserve"> at the same time </w:t>
      </w:r>
      <w:r w:rsidRPr="00C90932">
        <w:rPr>
          <w:rStyle w:val="StyleUnderline"/>
        </w:rPr>
        <w:t xml:space="preserve">arguing against </w:t>
      </w:r>
      <w:r w:rsidRPr="00C90932">
        <w:rPr>
          <w:sz w:val="16"/>
        </w:rPr>
        <w:t xml:space="preserve">the false </w:t>
      </w:r>
      <w:r w:rsidRPr="00C90932">
        <w:rPr>
          <w:rStyle w:val="StyleUnderline"/>
        </w:rPr>
        <w:t>homogenization</w:t>
      </w:r>
      <w:r w:rsidRPr="00C90932">
        <w:rPr>
          <w:sz w:val="16"/>
        </w:rPr>
        <w:t xml:space="preserve"> of Orientalist projects (Bahri 1995:52). Ahmad bewails the postcolonial theorist’s denial of history, especially the histories of peoples, their trajectories of survival, and their achievements. For example, the “historical” narrative of Said’s Culture and Imperialism  is quite abstract, consisting more of textual commentary and literary history than history, per se .  Bhabha even vaunts the antihistoricism in his rewriting of the nation as narration. </w:t>
      </w:r>
      <w:r w:rsidRPr="00C90932">
        <w:rPr>
          <w:rStyle w:val="StyleUnderline"/>
        </w:rPr>
        <w:t xml:space="preserve">By mystifying the political effects of Western postmodern </w:t>
      </w:r>
      <w:r w:rsidRPr="00C90932">
        <w:rPr>
          <w:rStyle w:val="Emphasis"/>
        </w:rPr>
        <w:t>heg</w:t>
      </w:r>
      <w:r w:rsidRPr="00C90932">
        <w:rPr>
          <w:rStyle w:val="StyleUnderline"/>
        </w:rPr>
        <w:t>emony, frameworks</w:t>
      </w:r>
      <w:r w:rsidRPr="00C90932">
        <w:rPr>
          <w:sz w:val="16"/>
        </w:rPr>
        <w:t xml:space="preserve"> such as Bhabha’s cult of linguistic and psychological ambivalence and Spivak’s metaphysics of textualism further </w:t>
      </w:r>
      <w:r w:rsidRPr="00C90932">
        <w:rPr>
          <w:rStyle w:val="Emphasis"/>
        </w:rPr>
        <w:t>obscure</w:t>
      </w:r>
      <w:r w:rsidRPr="00C90932">
        <w:rPr>
          <w:sz w:val="16"/>
        </w:rPr>
        <w:t xml:space="preserve"> the history of </w:t>
      </w:r>
      <w:r w:rsidRPr="00C90932">
        <w:rPr>
          <w:rStyle w:val="Emphasis"/>
        </w:rPr>
        <w:t>peoples’ resistance to imperialism</w:t>
      </w:r>
      <w:r w:rsidRPr="00C90932">
        <w:rPr>
          <w:sz w:val="16"/>
        </w:rPr>
        <w:t>.</w:t>
      </w:r>
    </w:p>
    <w:p w14:paraId="2A6A3A89" w14:textId="77777777" w:rsidR="00F3765A" w:rsidRPr="00C90932" w:rsidRDefault="00F3765A" w:rsidP="00C90932">
      <w:pPr>
        <w:rPr>
          <w:sz w:val="16"/>
        </w:rPr>
      </w:pPr>
      <w:r w:rsidRPr="00C90932">
        <w:rPr>
          <w:rStyle w:val="StyleUnderline"/>
        </w:rPr>
        <w:t xml:space="preserve">This lack within postcolonial criticism of </w:t>
      </w:r>
      <w:r w:rsidRPr="00C90932">
        <w:rPr>
          <w:rStyle w:val="Emphasis"/>
        </w:rPr>
        <w:t>any effective historical consciousness</w:t>
      </w:r>
      <w:r w:rsidRPr="00C90932">
        <w:rPr>
          <w:rStyle w:val="StyleUnderline"/>
        </w:rPr>
        <w:t xml:space="preserve"> explains why it</w:t>
      </w:r>
      <w:r w:rsidRPr="00C90932">
        <w:rPr>
          <w:sz w:val="16"/>
        </w:rPr>
        <w:t xml:space="preserve"> has primarily </w:t>
      </w:r>
      <w:r w:rsidRPr="00C90932">
        <w:rPr>
          <w:rStyle w:val="StyleUnderline"/>
        </w:rPr>
        <w:t xml:space="preserve">found urgent currency in the first world and few ripples resonate in </w:t>
      </w:r>
      <w:r w:rsidRPr="00C90932">
        <w:rPr>
          <w:sz w:val="16"/>
        </w:rPr>
        <w:t xml:space="preserve">the excolonized worlds of </w:t>
      </w:r>
      <w:r w:rsidRPr="00C90932">
        <w:rPr>
          <w:rStyle w:val="StyleUnderline"/>
        </w:rPr>
        <w:t xml:space="preserve">South Asia and Africa. The predominance of critical contestants in Euroamerican centers reflects how much this theory is </w:t>
      </w:r>
      <w:r w:rsidRPr="00C90932">
        <w:rPr>
          <w:rStyle w:val="Emphasis"/>
        </w:rPr>
        <w:t>inherently Eurocentric</w:t>
      </w:r>
      <w:r w:rsidRPr="00C90932">
        <w:rPr>
          <w:rStyle w:val="StyleUnderline"/>
        </w:rPr>
        <w:t xml:space="preserve"> and </w:t>
      </w:r>
      <w:r w:rsidRPr="00C90932">
        <w:rPr>
          <w:rStyle w:val="Emphasis"/>
        </w:rPr>
        <w:t>culture bound</w:t>
      </w:r>
      <w:r w:rsidRPr="00C90932">
        <w:rPr>
          <w:sz w:val="16"/>
        </w:rPr>
        <w:t xml:space="preserve"> (Clark 1996:24). Critics of postcolonial theory have begun to question the agendas lurking behind its rhetoric and its complicity with certain forms of Eurocentric cultural theory (Radhakrishnan 1993:750) and the power struggles replicated within this critical discourse. </w:t>
      </w:r>
      <w:r w:rsidRPr="00C90932">
        <w:rPr>
          <w:rStyle w:val="StyleUnderline"/>
        </w:rPr>
        <w:t>It is</w:t>
      </w:r>
      <w:r w:rsidRPr="00C90932">
        <w:rPr>
          <w:sz w:val="16"/>
        </w:rPr>
        <w:t xml:space="preserve">, indeed, </w:t>
      </w:r>
      <w:r w:rsidRPr="00C90932">
        <w:rPr>
          <w:rStyle w:val="StyleUnderline"/>
        </w:rPr>
        <w:t>ironic the degree to which postcolonial theory depends on European cultural theory while</w:t>
      </w:r>
      <w:r w:rsidRPr="00C90932">
        <w:rPr>
          <w:sz w:val="16"/>
        </w:rPr>
        <w:t xml:space="preserve">, at the same time, </w:t>
      </w:r>
      <w:r w:rsidRPr="00C90932">
        <w:rPr>
          <w:rStyle w:val="StyleUnderline"/>
        </w:rPr>
        <w:t>claiming</w:t>
      </w:r>
      <w:r w:rsidRPr="00C90932">
        <w:rPr>
          <w:sz w:val="16"/>
        </w:rPr>
        <w:t xml:space="preserve"> that </w:t>
      </w:r>
      <w:r w:rsidRPr="00C90932">
        <w:rPr>
          <w:rStyle w:val="StyleUnderline"/>
        </w:rPr>
        <w:t xml:space="preserve">European knowledge can </w:t>
      </w:r>
      <w:r w:rsidRPr="00C90932">
        <w:rPr>
          <w:rStyle w:val="Emphasis"/>
        </w:rPr>
        <w:t>never disclose the truth</w:t>
      </w:r>
      <w:r w:rsidRPr="00C90932">
        <w:rPr>
          <w:rStyle w:val="StyleUnderline"/>
        </w:rPr>
        <w:t xml:space="preserve"> regarding the colonized</w:t>
      </w:r>
      <w:r w:rsidRPr="00C90932">
        <w:rPr>
          <w:sz w:val="16"/>
        </w:rPr>
        <w:t xml:space="preserve"> (San Juan 2002:259).</w:t>
      </w:r>
    </w:p>
    <w:p w14:paraId="48546778" w14:textId="77777777" w:rsidR="00F3765A" w:rsidRPr="00C90932" w:rsidRDefault="00F3765A" w:rsidP="00C90932">
      <w:pPr>
        <w:pStyle w:val="Heading4"/>
      </w:pPr>
      <w:r w:rsidRPr="00C90932">
        <w:t xml:space="preserve">It privileges theoretical abstraction over the </w:t>
      </w:r>
      <w:r w:rsidRPr="00C90932">
        <w:rPr>
          <w:u w:val="single"/>
        </w:rPr>
        <w:t>particularities</w:t>
      </w:r>
      <w:r w:rsidRPr="00C90932">
        <w:t xml:space="preserve"> of colonial violence.</w:t>
      </w:r>
    </w:p>
    <w:p w14:paraId="69124E4B" w14:textId="77777777" w:rsidR="00F3765A" w:rsidRPr="00C90932" w:rsidRDefault="00F3765A" w:rsidP="00C90932">
      <w:r w:rsidRPr="00C90932">
        <w:t xml:space="preserve">Swati </w:t>
      </w:r>
      <w:r w:rsidRPr="00C90932">
        <w:rPr>
          <w:rStyle w:val="Style13ptBold"/>
        </w:rPr>
        <w:t>Parashar &amp;</w:t>
      </w:r>
      <w:r w:rsidRPr="00C90932">
        <w:t xml:space="preserve"> Michael </w:t>
      </w:r>
      <w:r w:rsidRPr="00C90932">
        <w:rPr>
          <w:rStyle w:val="Style13ptBold"/>
        </w:rPr>
        <w:t>Schulz 21</w:t>
      </w:r>
      <w:r w:rsidRPr="00C90932">
        <w:t>, Associate Professor of Peace and Development at the University of Gothenburg, Ph.D. in Politics and International Relations from Lancaster University; Professor of Peace and Development at the University of Gothenburg, Ph.D. in Peace and Development Research from the University of Gothenburg, “Colonial legacies, postcolonial ‘selfhood’ and the (un)doing of Africa,” Third World Quarterly, Vol. 42, No. 5, 2021, accessed 06-27-2025, https://doi.org/10.1080/01436597.2021.1903313, DG</w:t>
      </w:r>
    </w:p>
    <w:p w14:paraId="7E527C11" w14:textId="77777777" w:rsidR="00F3765A" w:rsidRPr="00C90932" w:rsidRDefault="00F3765A" w:rsidP="00C90932">
      <w:pPr>
        <w:rPr>
          <w:sz w:val="16"/>
        </w:rPr>
      </w:pPr>
      <w:r w:rsidRPr="00C90932">
        <w:rPr>
          <w:sz w:val="16"/>
        </w:rPr>
        <w:t xml:space="preserve">Our point of reflection is that </w:t>
      </w:r>
      <w:r w:rsidRPr="00C90932">
        <w:rPr>
          <w:rStyle w:val="StyleUnderline"/>
        </w:rPr>
        <w:t>if colonialism was a violent project, postcolonial</w:t>
      </w:r>
      <w:r w:rsidRPr="00C90932">
        <w:rPr>
          <w:sz w:val="16"/>
        </w:rPr>
        <w:t xml:space="preserve"> and decolonial </w:t>
      </w:r>
      <w:r w:rsidRPr="00C90932">
        <w:rPr>
          <w:rStyle w:val="StyleUnderline"/>
        </w:rPr>
        <w:t>encounters</w:t>
      </w:r>
      <w:r w:rsidRPr="00C90932">
        <w:rPr>
          <w:sz w:val="16"/>
        </w:rPr>
        <w:t xml:space="preserve"> also </w:t>
      </w:r>
      <w:r w:rsidRPr="00C90932">
        <w:rPr>
          <w:rStyle w:val="StyleUnderline"/>
        </w:rPr>
        <w:t xml:space="preserve">unleash </w:t>
      </w:r>
      <w:r w:rsidRPr="00C90932">
        <w:rPr>
          <w:rStyle w:val="Emphasis"/>
        </w:rPr>
        <w:t>multiple forms of violence</w:t>
      </w:r>
      <w:r w:rsidRPr="00C90932">
        <w:rPr>
          <w:sz w:val="16"/>
        </w:rPr>
        <w:t xml:space="preserve">. We have indicated that </w:t>
      </w:r>
      <w:r w:rsidRPr="00C90932">
        <w:rPr>
          <w:rStyle w:val="StyleUnderline"/>
        </w:rPr>
        <w:t xml:space="preserve">the Western-style, modern nation-state formula </w:t>
      </w:r>
      <w:r w:rsidRPr="00C90932">
        <w:rPr>
          <w:rStyle w:val="Emphasis"/>
        </w:rPr>
        <w:t>remains aspirational</w:t>
      </w:r>
      <w:r w:rsidRPr="00C90932">
        <w:rPr>
          <w:rStyle w:val="StyleUnderline"/>
        </w:rPr>
        <w:t xml:space="preserve"> for many counter-hegemonic groups, and for regimes that want to consolidate power</w:t>
      </w:r>
      <w:r w:rsidRPr="00C90932">
        <w:rPr>
          <w:sz w:val="16"/>
        </w:rPr>
        <w:t xml:space="preserve"> (Parashar 2019). </w:t>
      </w:r>
      <w:r w:rsidRPr="00C90932">
        <w:rPr>
          <w:rStyle w:val="StyleUnderline"/>
        </w:rPr>
        <w:t>The process of</w:t>
      </w:r>
      <w:r w:rsidRPr="00C90932">
        <w:rPr>
          <w:sz w:val="16"/>
        </w:rPr>
        <w:t xml:space="preserve"> ‘</w:t>
      </w:r>
      <w:r w:rsidRPr="00C90932">
        <w:rPr>
          <w:rStyle w:val="StyleUnderline"/>
        </w:rPr>
        <w:t>becoming</w:t>
      </w:r>
      <w:r w:rsidRPr="00C90932">
        <w:rPr>
          <w:sz w:val="16"/>
        </w:rPr>
        <w:t xml:space="preserve">’ has </w:t>
      </w:r>
      <w:r w:rsidRPr="00C90932">
        <w:rPr>
          <w:rStyle w:val="Emphasis"/>
        </w:rPr>
        <w:t>unleashed its own structures of violence</w:t>
      </w:r>
      <w:r w:rsidRPr="00C90932">
        <w:rPr>
          <w:sz w:val="16"/>
        </w:rPr>
        <w:t xml:space="preserve">. Bina D’Costa and John Braithwaite (2018) have shown how both </w:t>
      </w:r>
      <w:r w:rsidRPr="00C90932">
        <w:rPr>
          <w:rStyle w:val="StyleUnderline"/>
        </w:rPr>
        <w:t>violent actions and</w:t>
      </w:r>
      <w:r w:rsidRPr="00C90932">
        <w:rPr>
          <w:sz w:val="16"/>
        </w:rPr>
        <w:t xml:space="preserve"> violent </w:t>
      </w:r>
      <w:r w:rsidRPr="00C90932">
        <w:rPr>
          <w:rStyle w:val="StyleUnderline"/>
        </w:rPr>
        <w:t xml:space="preserve">imaginaries </w:t>
      </w:r>
      <w:r w:rsidRPr="00C90932">
        <w:rPr>
          <w:rStyle w:val="Emphasis"/>
        </w:rPr>
        <w:t>cascade in</w:t>
      </w:r>
      <w:r w:rsidRPr="00C90932">
        <w:rPr>
          <w:sz w:val="16"/>
        </w:rPr>
        <w:t xml:space="preserve"> many </w:t>
      </w:r>
      <w:r w:rsidRPr="00C90932">
        <w:rPr>
          <w:rStyle w:val="Emphasis"/>
        </w:rPr>
        <w:t>postcolonial societies</w:t>
      </w:r>
      <w:r w:rsidRPr="00C90932">
        <w:rPr>
          <w:rStyle w:val="StyleUnderline"/>
        </w:rPr>
        <w:t>. Crime cascades to war, war</w:t>
      </w:r>
      <w:r w:rsidRPr="00C90932">
        <w:rPr>
          <w:sz w:val="16"/>
        </w:rPr>
        <w:t xml:space="preserve"> cascades </w:t>
      </w:r>
      <w:r w:rsidRPr="00C90932">
        <w:rPr>
          <w:rStyle w:val="StyleUnderline"/>
        </w:rPr>
        <w:t xml:space="preserve">to more war and to crime, and crime and war both cascade to </w:t>
      </w:r>
      <w:r w:rsidRPr="00C90932">
        <w:rPr>
          <w:rStyle w:val="Emphasis"/>
        </w:rPr>
        <w:t>state violence</w:t>
      </w:r>
      <w:r w:rsidRPr="00C90932">
        <w:rPr>
          <w:rStyle w:val="StyleUnderline"/>
        </w:rPr>
        <w:t xml:space="preserve"> such as </w:t>
      </w:r>
      <w:r w:rsidRPr="00C90932">
        <w:rPr>
          <w:rStyle w:val="Emphasis"/>
        </w:rPr>
        <w:t>torture, enforced disappearances</w:t>
      </w:r>
      <w:r w:rsidRPr="00C90932">
        <w:rPr>
          <w:rStyle w:val="StyleUnderline"/>
        </w:rPr>
        <w:t xml:space="preserve"> and </w:t>
      </w:r>
      <w:r w:rsidRPr="00C90932">
        <w:rPr>
          <w:rStyle w:val="Emphasis"/>
        </w:rPr>
        <w:t>extrajudicial execution</w:t>
      </w:r>
      <w:r w:rsidRPr="00C90932">
        <w:rPr>
          <w:sz w:val="16"/>
        </w:rPr>
        <w:t xml:space="preserve">. Gerlach (2010) argues that extremely violent societies are not violent in some cultural or essential way. Instead, </w:t>
      </w:r>
      <w:r w:rsidRPr="00C90932">
        <w:rPr>
          <w:rStyle w:val="StyleUnderline"/>
        </w:rPr>
        <w:t xml:space="preserve">societies transition in and out of </w:t>
      </w:r>
      <w:r w:rsidRPr="00C90932">
        <w:rPr>
          <w:sz w:val="16"/>
        </w:rPr>
        <w:t xml:space="preserve">extremely </w:t>
      </w:r>
      <w:r w:rsidRPr="00C90932">
        <w:rPr>
          <w:rStyle w:val="StyleUnderline"/>
        </w:rPr>
        <w:t>violent periods</w:t>
      </w:r>
      <w:r w:rsidRPr="00C90932">
        <w:rPr>
          <w:sz w:val="16"/>
        </w:rPr>
        <w:t xml:space="preserve"> of their histories as a result of crises. </w:t>
      </w:r>
    </w:p>
    <w:p w14:paraId="3D6E9CCD" w14:textId="77777777" w:rsidR="00F3765A" w:rsidRPr="00C90932" w:rsidRDefault="00F3765A" w:rsidP="00C90932">
      <w:pPr>
        <w:rPr>
          <w:sz w:val="16"/>
        </w:rPr>
      </w:pPr>
      <w:r w:rsidRPr="00C90932">
        <w:rPr>
          <w:rStyle w:val="StyleUnderline"/>
        </w:rPr>
        <w:t>Violence is not the defining characteristic of any society</w:t>
      </w:r>
      <w:r w:rsidRPr="00C90932">
        <w:rPr>
          <w:sz w:val="16"/>
        </w:rPr>
        <w:t xml:space="preserve">; violence is the result of the socialisation and exchanges embedded in the very nature of colonial encounters and subsequently in their various legacies, as we explore here. However, </w:t>
      </w:r>
      <w:r w:rsidRPr="00C90932">
        <w:rPr>
          <w:rStyle w:val="Emphasis"/>
        </w:rPr>
        <w:t>we continue to</w:t>
      </w:r>
      <w:r w:rsidRPr="00C90932">
        <w:rPr>
          <w:sz w:val="16"/>
        </w:rPr>
        <w:t xml:space="preserve"> erase the histories of people and societies, especially colonialism and imperialism, to </w:t>
      </w:r>
      <w:r w:rsidRPr="00C90932">
        <w:rPr>
          <w:rStyle w:val="Emphasis"/>
        </w:rPr>
        <w:t>justify violence as a contemporary affliction devoid of context</w:t>
      </w:r>
      <w:r w:rsidRPr="00C90932">
        <w:rPr>
          <w:rStyle w:val="StyleUnderline"/>
        </w:rPr>
        <w:t>. In much of the Global South</w:t>
      </w:r>
      <w:r w:rsidRPr="00C90932">
        <w:rPr>
          <w:sz w:val="16"/>
        </w:rPr>
        <w:t xml:space="preserve">, former colonies and </w:t>
      </w:r>
      <w:r w:rsidRPr="00C90932">
        <w:rPr>
          <w:rStyle w:val="StyleUnderline"/>
        </w:rPr>
        <w:t>now post colonies, it is not possible to understand</w:t>
      </w:r>
      <w:r w:rsidRPr="00C90932">
        <w:rPr>
          <w:sz w:val="16"/>
        </w:rPr>
        <w:t xml:space="preserve"> contemporary </w:t>
      </w:r>
      <w:r w:rsidRPr="00C90932">
        <w:rPr>
          <w:rStyle w:val="StyleUnderline"/>
        </w:rPr>
        <w:t>violence</w:t>
      </w:r>
      <w:r w:rsidRPr="00C90932">
        <w:rPr>
          <w:sz w:val="16"/>
        </w:rPr>
        <w:t xml:space="preserve"> without its antecedents, </w:t>
      </w:r>
      <w:r w:rsidRPr="00C90932">
        <w:rPr>
          <w:rStyle w:val="StyleUnderline"/>
        </w:rPr>
        <w:t>without accounting for colonial continuities and historical legacies</w:t>
      </w:r>
      <w:r w:rsidRPr="00C90932">
        <w:rPr>
          <w:sz w:val="16"/>
        </w:rPr>
        <w:t xml:space="preserve">. We do not mean history here in the ordinary, official, disciplinary sense but histories as the past that lives and the past with which most people still live, at least in societies not dominated by historical consciousness, which is often dependent on shared and private memories, cultures, myths, legends and epics that bypass the historical mode of reasoning (Nandy 1995). </w:t>
      </w:r>
      <w:r w:rsidRPr="00C90932">
        <w:rPr>
          <w:rStyle w:val="StyleUnderline"/>
        </w:rPr>
        <w:t xml:space="preserve">Violence is </w:t>
      </w:r>
      <w:r w:rsidRPr="00C90932">
        <w:rPr>
          <w:sz w:val="16"/>
        </w:rPr>
        <w:t xml:space="preserve">not a product but </w:t>
      </w:r>
      <w:r w:rsidRPr="00C90932">
        <w:rPr>
          <w:rStyle w:val="Emphasis"/>
        </w:rPr>
        <w:t>a process</w:t>
      </w:r>
      <w:r w:rsidRPr="00C90932">
        <w:rPr>
          <w:sz w:val="16"/>
        </w:rPr>
        <w:t xml:space="preserve"> in these societies, </w:t>
      </w:r>
      <w:r w:rsidRPr="00C90932">
        <w:rPr>
          <w:rStyle w:val="StyleUnderline"/>
        </w:rPr>
        <w:t>where the</w:t>
      </w:r>
      <w:r w:rsidRPr="00C90932">
        <w:rPr>
          <w:sz w:val="16"/>
        </w:rPr>
        <w:t xml:space="preserve"> violent </w:t>
      </w:r>
      <w:r w:rsidRPr="00C90932">
        <w:rPr>
          <w:rStyle w:val="StyleUnderline"/>
        </w:rPr>
        <w:t xml:space="preserve">histories of colonialism are </w:t>
      </w:r>
      <w:r w:rsidRPr="00C90932">
        <w:rPr>
          <w:rStyle w:val="Emphasis"/>
        </w:rPr>
        <w:t>gradually</w:t>
      </w:r>
      <w:r w:rsidRPr="00C90932">
        <w:rPr>
          <w:sz w:val="16"/>
        </w:rPr>
        <w:t xml:space="preserve"> being </w:t>
      </w:r>
      <w:r w:rsidRPr="00C90932">
        <w:rPr>
          <w:rStyle w:val="Emphasis"/>
        </w:rPr>
        <w:t>erased</w:t>
      </w:r>
      <w:r w:rsidRPr="00C90932">
        <w:rPr>
          <w:sz w:val="16"/>
        </w:rPr>
        <w:t xml:space="preserve"> out of the analysis of the contemporary ‘political’. What </w:t>
      </w:r>
      <w:r w:rsidRPr="00C90932">
        <w:rPr>
          <w:rStyle w:val="StyleUnderline"/>
        </w:rPr>
        <w:t>we get</w:t>
      </w:r>
      <w:r w:rsidRPr="00C90932">
        <w:rPr>
          <w:sz w:val="16"/>
        </w:rPr>
        <w:t xml:space="preserve"> are </w:t>
      </w:r>
      <w:r w:rsidRPr="00C90932">
        <w:rPr>
          <w:rStyle w:val="Emphasis"/>
        </w:rPr>
        <w:t>poorly articulated justifications of colonialism</w:t>
      </w:r>
      <w:r w:rsidRPr="00C90932">
        <w:rPr>
          <w:sz w:val="16"/>
        </w:rPr>
        <w:t xml:space="preserve">, often </w:t>
      </w:r>
      <w:r w:rsidRPr="00C90932">
        <w:rPr>
          <w:rStyle w:val="StyleUnderline"/>
        </w:rPr>
        <w:t xml:space="preserve">vile expressions of white fragility and emasculation that masquerade as informed </w:t>
      </w:r>
      <w:r w:rsidRPr="00C90932">
        <w:rPr>
          <w:sz w:val="16"/>
        </w:rPr>
        <w:t>‘</w:t>
      </w:r>
      <w:r w:rsidRPr="00C90932">
        <w:rPr>
          <w:rStyle w:val="StyleUnderline"/>
        </w:rPr>
        <w:t>viewpoints</w:t>
      </w:r>
      <w:r w:rsidRPr="00C90932">
        <w:rPr>
          <w:sz w:val="16"/>
        </w:rPr>
        <w:t xml:space="preserve">’ </w:t>
      </w:r>
      <w:r w:rsidRPr="00C90932">
        <w:rPr>
          <w:rStyle w:val="StyleUnderline"/>
        </w:rPr>
        <w:t>and research</w:t>
      </w:r>
      <w:r w:rsidRPr="00C90932">
        <w:rPr>
          <w:sz w:val="16"/>
        </w:rPr>
        <w:t xml:space="preserve"> about a textured and multi-layered past.</w:t>
      </w:r>
    </w:p>
    <w:p w14:paraId="57822B47" w14:textId="77777777" w:rsidR="00F3765A" w:rsidRPr="00C90932" w:rsidRDefault="00F3765A" w:rsidP="00C90932">
      <w:pPr>
        <w:rPr>
          <w:sz w:val="16"/>
        </w:rPr>
      </w:pPr>
      <w:r w:rsidRPr="00C90932">
        <w:rPr>
          <w:sz w:val="16"/>
        </w:rPr>
        <w:t>The erasure of violence on the Global South was attended to in one of the recent special issues in Third World Quarterly on ‘Violence and Ordering of the Third World’ (Persaud and Kumarakulasingam 2019). The editors made a powerful case to centre the violence (especially body counts) that has been a definitive and structurally constitutive factor in the contact between the West and the Third World, through colonisation and occupation, and through mimicry practices of postcolonial states invested in Western modernity and the nation-state system. States had to be willed into homogeneous, masculine, geographical entities, denying difference and diversity. As the editors, Persaud and Kumarakulsingam, postulated in their introduction,</w:t>
      </w:r>
    </w:p>
    <w:p w14:paraId="37C33595" w14:textId="77777777" w:rsidR="00F3765A" w:rsidRPr="00C90932" w:rsidRDefault="00F3765A" w:rsidP="00C90932">
      <w:pPr>
        <w:ind w:left="720"/>
        <w:rPr>
          <w:sz w:val="16"/>
        </w:rPr>
      </w:pPr>
      <w:r w:rsidRPr="00C90932">
        <w:rPr>
          <w:rStyle w:val="StyleUnderline"/>
        </w:rPr>
        <w:t>Violence in</w:t>
      </w:r>
      <w:r w:rsidRPr="00C90932">
        <w:rPr>
          <w:sz w:val="16"/>
        </w:rPr>
        <w:t xml:space="preserve"> such </w:t>
      </w:r>
      <w:r w:rsidRPr="00C90932">
        <w:rPr>
          <w:rStyle w:val="StyleUnderline"/>
        </w:rPr>
        <w:t>colonial contexts has taken multiple forms, ranging from</w:t>
      </w:r>
      <w:r w:rsidRPr="00C90932">
        <w:rPr>
          <w:sz w:val="16"/>
        </w:rPr>
        <w:t xml:space="preserve"> the </w:t>
      </w:r>
      <w:r w:rsidRPr="00C90932">
        <w:rPr>
          <w:rStyle w:val="StyleUnderline"/>
        </w:rPr>
        <w:t>everyday rituals</w:t>
      </w:r>
      <w:r w:rsidRPr="00C90932">
        <w:rPr>
          <w:sz w:val="16"/>
        </w:rPr>
        <w:t xml:space="preserve"> of extracting submission for labour exploitation, </w:t>
      </w:r>
      <w:r w:rsidRPr="00C90932">
        <w:rPr>
          <w:rStyle w:val="StyleUnderline"/>
        </w:rPr>
        <w:t>to outright, total war</w:t>
      </w:r>
      <w:r w:rsidRPr="00C90932">
        <w:rPr>
          <w:sz w:val="16"/>
        </w:rPr>
        <w:t>. These regimes of violence include but are not limited to everyday disciplinary punishment to maintain ‘order’ (espe- cially in slavery and indentureship), massacres, saturation bombing of peoples and landscapes, genocide and near extermination. (2019, 199)</w:t>
      </w:r>
    </w:p>
    <w:p w14:paraId="56EB7975" w14:textId="77777777" w:rsidR="00F3765A" w:rsidRPr="00C90932" w:rsidRDefault="00F3765A" w:rsidP="00C90932">
      <w:pPr>
        <w:rPr>
          <w:sz w:val="16"/>
        </w:rPr>
      </w:pPr>
      <w:r w:rsidRPr="00C90932">
        <w:rPr>
          <w:sz w:val="16"/>
        </w:rPr>
        <w:t xml:space="preserve">The </w:t>
      </w:r>
      <w:r w:rsidRPr="00C90932">
        <w:rPr>
          <w:rStyle w:val="StyleUnderline"/>
        </w:rPr>
        <w:t>silences around these issues were discussed</w:t>
      </w:r>
      <w:r w:rsidRPr="00C90932">
        <w:rPr>
          <w:sz w:val="16"/>
        </w:rPr>
        <w:t xml:space="preserve"> by the various authors </w:t>
      </w:r>
      <w:r w:rsidRPr="00C90932">
        <w:rPr>
          <w:rStyle w:val="StyleUnderline"/>
        </w:rPr>
        <w:t xml:space="preserve">as an act of </w:t>
      </w:r>
      <w:r w:rsidRPr="00C90932">
        <w:rPr>
          <w:rStyle w:val="Emphasis"/>
        </w:rPr>
        <w:t xml:space="preserve">active forgetting </w:t>
      </w:r>
      <w:r w:rsidRPr="00C90932">
        <w:rPr>
          <w:rStyle w:val="StyleUnderline"/>
        </w:rPr>
        <w:t>that</w:t>
      </w:r>
      <w:r w:rsidRPr="00C90932">
        <w:rPr>
          <w:rStyle w:val="Emphasis"/>
        </w:rPr>
        <w:t xml:space="preserve"> privileged theoretical abstraction</w:t>
      </w:r>
      <w:r w:rsidRPr="00C90932">
        <w:rPr>
          <w:sz w:val="16"/>
        </w:rPr>
        <w:t>. We take these conversations further, revisiting the impact of colonialism’s violence on postcolonial politics and development in Africa. The discussions in this volume draw insights from postcolonial developments and discourses in Cameroon, Ethiopia, Ghana, Kenya, Liberia, Mozambique, Nigeria, Rwanda, Sierra Leone, South Africa, South Sudan, Togo and Uganda.</w:t>
      </w:r>
    </w:p>
    <w:p w14:paraId="229F5FA9" w14:textId="77777777" w:rsidR="00F3765A" w:rsidRPr="00C90932" w:rsidRDefault="00F3765A" w:rsidP="00C90932">
      <w:pPr>
        <w:pStyle w:val="Heading3"/>
      </w:pPr>
      <w:r w:rsidRPr="00C90932">
        <w:t>Theory Wrong---Coloniality in IR---2AC</w:t>
      </w:r>
    </w:p>
    <w:p w14:paraId="5725AE49" w14:textId="77777777" w:rsidR="00F3765A" w:rsidRPr="00C90932" w:rsidRDefault="00F3765A" w:rsidP="00C90932">
      <w:pPr>
        <w:pStyle w:val="Heading4"/>
      </w:pPr>
      <w:r w:rsidRPr="00C90932">
        <w:t>‘Coloniality’ is neither unifying nor should it serve as a catch-all concept for explaining global oppression.</w:t>
      </w:r>
    </w:p>
    <w:p w14:paraId="5B9C02D4" w14:textId="77777777" w:rsidR="00F3765A" w:rsidRPr="00C90932" w:rsidRDefault="00F3765A" w:rsidP="00C90932">
      <w:r w:rsidRPr="00C90932">
        <w:t xml:space="preserve">Doerthe </w:t>
      </w:r>
      <w:r w:rsidRPr="00C90932">
        <w:rPr>
          <w:rStyle w:val="Style13ptBold"/>
        </w:rPr>
        <w:t>Rosenow 24</w:t>
      </w:r>
      <w:r w:rsidRPr="00C90932">
        <w:t>, Lecturer in International Relations at King’s College London, Ph.D. in War Studies from King’s College London, “The Violence of Settler Imperialism – and Why the Concept of Coloniality Cannot Grasp It,” Millenium: Journal of International Studies, Vol. 52, No. 2, February 2024, accessed 06-27-2025, https://doi.org/10.1177/03058298231202554, DG</w:t>
      </w:r>
    </w:p>
    <w:p w14:paraId="0B2576D4" w14:textId="77777777" w:rsidR="00F3765A" w:rsidRPr="00C90932" w:rsidRDefault="00F3765A" w:rsidP="00C90932">
      <w:pPr>
        <w:rPr>
          <w:sz w:val="16"/>
        </w:rPr>
      </w:pPr>
      <w:r w:rsidRPr="00C90932">
        <w:rPr>
          <w:sz w:val="16"/>
        </w:rPr>
        <w:t xml:space="preserve">The concept of ‘coloniality’ seems to offer the right tool for such an all-encompassing understanding and analysis, and it might be for that reason that it is now increasingly used in the social sciences. Similar to what is going on in the public realm, </w:t>
      </w:r>
      <w:r w:rsidRPr="00C90932">
        <w:rPr>
          <w:rStyle w:val="StyleUnderline"/>
        </w:rPr>
        <w:t>academia</w:t>
      </w:r>
      <w:r w:rsidRPr="00C90932">
        <w:rPr>
          <w:sz w:val="16"/>
        </w:rPr>
        <w:t xml:space="preserve"> also </w:t>
      </w:r>
      <w:r w:rsidRPr="00C90932">
        <w:rPr>
          <w:rStyle w:val="StyleUnderline"/>
        </w:rPr>
        <w:t>attempts to come to terms with colonial legacies</w:t>
      </w:r>
      <w:r w:rsidRPr="00C90932">
        <w:rPr>
          <w:sz w:val="16"/>
        </w:rPr>
        <w:t>. Ánibal Quijano uses the term ‘coloniality’ to describe the continuities of global colonial rationalities and practices. ‘Coloniality’ names a system of capitalist-colonial expansion that started in the 15th century with the conquering of the Americas, relying on the creation of an exploitative global division of labour. This division of labour was based on and justified through the establishment of a sociocultural, racialised hierarchy, and went along with the suppression of any non-capitalist/non-European ways to know and live, on the basis of the project of ‘modernity’ at large. ‘Coloniality’, according to Quijano, has not ended, as formal colonialism did – it brought the world as we know it into being, and continues to hold it in its thrall.3</w:t>
      </w:r>
    </w:p>
    <w:p w14:paraId="374C6780" w14:textId="77777777" w:rsidR="00F3765A" w:rsidRPr="00C90932" w:rsidRDefault="00F3765A" w:rsidP="00C90932">
      <w:pPr>
        <w:rPr>
          <w:sz w:val="16"/>
        </w:rPr>
      </w:pPr>
      <w:r w:rsidRPr="00C90932">
        <w:rPr>
          <w:rStyle w:val="StyleUnderline"/>
        </w:rPr>
        <w:t>Because coloniality makes sense of past and ongoing oppression in global terms</w:t>
      </w:r>
      <w:r w:rsidRPr="00C90932">
        <w:rPr>
          <w:sz w:val="16"/>
        </w:rPr>
        <w:t xml:space="preserve">, it seems a particularly apt concept for International Relations (IR), which, after all, is interested in understanding the nature of global power. It might be for this reason that </w:t>
      </w:r>
      <w:r w:rsidRPr="00C90932">
        <w:rPr>
          <w:rStyle w:val="StyleUnderline"/>
        </w:rPr>
        <w:t>there is</w:t>
      </w:r>
      <w:r w:rsidRPr="00C90932">
        <w:rPr>
          <w:sz w:val="16"/>
        </w:rPr>
        <w:t xml:space="preserve"> now </w:t>
      </w:r>
      <w:r w:rsidRPr="00C90932">
        <w:rPr>
          <w:rStyle w:val="StyleUnderline"/>
        </w:rPr>
        <w:t>an ever-expanding body of IR literature that uses the term</w:t>
      </w:r>
      <w:r w:rsidRPr="00C90932">
        <w:rPr>
          <w:sz w:val="16"/>
        </w:rPr>
        <w:t>, ranging from simply using coloniality as a non-distinct descriptor of global colonial relations, to being used in place of or in addition to terms such as ‘race’, ‘colonialism’, ‘raciality’, ‘slavery’ or ‘Eurocentrism’, to those scholars who situate themselves strongly in the Latin American decolonial tradition (sometimes even explicitly identifying themselves as ‘decolonial’ scholars).4</w:t>
      </w:r>
    </w:p>
    <w:p w14:paraId="092B7418" w14:textId="77777777" w:rsidR="00F3765A" w:rsidRPr="00C90932" w:rsidRDefault="00F3765A" w:rsidP="00C90932">
      <w:pPr>
        <w:rPr>
          <w:sz w:val="16"/>
        </w:rPr>
      </w:pPr>
      <w:r w:rsidRPr="00C90932">
        <w:rPr>
          <w:sz w:val="16"/>
        </w:rPr>
        <w:t xml:space="preserve">However, even when coloniality is used in a manner that demonstrates a strong understanding of its intellectual legacy, </w:t>
      </w:r>
      <w:r w:rsidRPr="00C90932">
        <w:rPr>
          <w:rStyle w:val="StyleUnderline"/>
        </w:rPr>
        <w:t>its suitability as a</w:t>
      </w:r>
      <w:r w:rsidRPr="00C90932">
        <w:rPr>
          <w:sz w:val="16"/>
        </w:rPr>
        <w:t xml:space="preserve"> ‘</w:t>
      </w:r>
      <w:r w:rsidRPr="00C90932">
        <w:rPr>
          <w:rStyle w:val="StyleUnderline"/>
        </w:rPr>
        <w:t>catch-all</w:t>
      </w:r>
      <w:r w:rsidRPr="00C90932">
        <w:rPr>
          <w:sz w:val="16"/>
        </w:rPr>
        <w:t xml:space="preserve">’ </w:t>
      </w:r>
      <w:r w:rsidRPr="00C90932">
        <w:rPr>
          <w:rStyle w:val="StyleUnderline"/>
        </w:rPr>
        <w:t>concept</w:t>
      </w:r>
      <w:r w:rsidRPr="00C90932">
        <w:rPr>
          <w:sz w:val="16"/>
        </w:rPr>
        <w:t xml:space="preserve"> that can describe our global condition at large </w:t>
      </w:r>
      <w:r w:rsidRPr="00C90932">
        <w:rPr>
          <w:rStyle w:val="StyleUnderline"/>
        </w:rPr>
        <w:t xml:space="preserve">is </w:t>
      </w:r>
      <w:r w:rsidRPr="00C90932">
        <w:rPr>
          <w:rStyle w:val="Emphasis"/>
        </w:rPr>
        <w:t>rarely interrogated</w:t>
      </w:r>
      <w:r w:rsidRPr="00C90932">
        <w:rPr>
          <w:sz w:val="16"/>
        </w:rPr>
        <w:t xml:space="preserve">. As Karen Tucker argues, </w:t>
      </w:r>
      <w:r w:rsidRPr="00C90932">
        <w:rPr>
          <w:rStyle w:val="StyleUnderline"/>
        </w:rPr>
        <w:t>there is a danger that coloniality becomes a way to describe</w:t>
      </w:r>
      <w:r w:rsidRPr="00C90932">
        <w:rPr>
          <w:sz w:val="16"/>
        </w:rPr>
        <w:t xml:space="preserve"> ‘</w:t>
      </w:r>
      <w:r w:rsidRPr="00C90932">
        <w:rPr>
          <w:rStyle w:val="StyleUnderline"/>
        </w:rPr>
        <w:t>systems of oppression and domination</w:t>
      </w:r>
      <w:r w:rsidRPr="00C90932">
        <w:rPr>
          <w:sz w:val="16"/>
        </w:rPr>
        <w:t xml:space="preserve">’ </w:t>
      </w:r>
      <w:r w:rsidRPr="00C90932">
        <w:rPr>
          <w:rStyle w:val="StyleUnderline"/>
        </w:rPr>
        <w:t>as</w:t>
      </w:r>
      <w:r w:rsidRPr="00C90932">
        <w:rPr>
          <w:sz w:val="16"/>
        </w:rPr>
        <w:t xml:space="preserve"> ‘</w:t>
      </w:r>
      <w:r w:rsidRPr="00C90932">
        <w:rPr>
          <w:rStyle w:val="Emphasis"/>
        </w:rPr>
        <w:t>uniform</w:t>
      </w:r>
      <w:r w:rsidRPr="00C90932">
        <w:rPr>
          <w:sz w:val="16"/>
        </w:rPr>
        <w:t xml:space="preserve">’ </w:t>
      </w:r>
      <w:r w:rsidRPr="00C90932">
        <w:rPr>
          <w:rStyle w:val="StyleUnderline"/>
        </w:rPr>
        <w:t>and</w:t>
      </w:r>
      <w:r w:rsidRPr="00C90932">
        <w:rPr>
          <w:sz w:val="16"/>
        </w:rPr>
        <w:t xml:space="preserve"> ‘</w:t>
      </w:r>
      <w:r w:rsidRPr="00C90932">
        <w:rPr>
          <w:rStyle w:val="StyleUnderline"/>
        </w:rPr>
        <w:t>unitary</w:t>
      </w:r>
      <w:r w:rsidRPr="00C90932">
        <w:rPr>
          <w:sz w:val="16"/>
        </w:rPr>
        <w:t xml:space="preserve">’, </w:t>
      </w:r>
      <w:r w:rsidRPr="00C90932">
        <w:rPr>
          <w:rStyle w:val="StyleUnderline"/>
        </w:rPr>
        <w:t>at the expense of</w:t>
      </w:r>
      <w:r w:rsidRPr="00C90932">
        <w:rPr>
          <w:sz w:val="16"/>
        </w:rPr>
        <w:t xml:space="preserve"> conducting ‘</w:t>
      </w:r>
      <w:r w:rsidRPr="00C90932">
        <w:rPr>
          <w:rStyle w:val="Emphasis"/>
        </w:rPr>
        <w:t>close, detailed analysis</w:t>
      </w:r>
      <w:r w:rsidRPr="00C90932">
        <w:rPr>
          <w:rStyle w:val="StyleUnderline"/>
        </w:rPr>
        <w:t xml:space="preserve"> of the dispersed practices that produce racialized hierarchies and erasures</w:t>
      </w:r>
      <w:r w:rsidRPr="00C90932">
        <w:rPr>
          <w:sz w:val="16"/>
        </w:rPr>
        <w:t xml:space="preserve">’.5 In this article, I aim to demonstrate that </w:t>
      </w:r>
      <w:r w:rsidRPr="00C90932">
        <w:rPr>
          <w:rStyle w:val="StyleUnderline"/>
        </w:rPr>
        <w:t xml:space="preserve">this tendency to describe colonial oppression as unitary and homogeneous is </w:t>
      </w:r>
      <w:r w:rsidRPr="00C90932">
        <w:rPr>
          <w:rStyle w:val="Emphasis"/>
        </w:rPr>
        <w:t>inherent in the</w:t>
      </w:r>
      <w:r w:rsidRPr="00C90932">
        <w:rPr>
          <w:rStyle w:val="StyleUnderline"/>
        </w:rPr>
        <w:t xml:space="preserve"> way that the </w:t>
      </w:r>
      <w:r w:rsidRPr="00C90932">
        <w:rPr>
          <w:rStyle w:val="Emphasis"/>
        </w:rPr>
        <w:t>concept</w:t>
      </w:r>
      <w:r w:rsidRPr="00C90932">
        <w:rPr>
          <w:rStyle w:val="StyleUnderline"/>
        </w:rPr>
        <w:t xml:space="preserve"> was designed</w:t>
      </w:r>
      <w:r w:rsidRPr="00C90932">
        <w:rPr>
          <w:sz w:val="16"/>
        </w:rPr>
        <w:t xml:space="preserve"> by Quijano, </w:t>
      </w:r>
      <w:r w:rsidRPr="00C90932">
        <w:rPr>
          <w:rStyle w:val="StyleUnderline"/>
        </w:rPr>
        <w:t>and</w:t>
      </w:r>
      <w:r w:rsidRPr="00C90932">
        <w:rPr>
          <w:sz w:val="16"/>
        </w:rPr>
        <w:t xml:space="preserve"> then further </w:t>
      </w:r>
      <w:r w:rsidRPr="00C90932">
        <w:rPr>
          <w:rStyle w:val="StyleUnderline"/>
        </w:rPr>
        <w:t>consolidated by</w:t>
      </w:r>
      <w:r w:rsidRPr="00C90932">
        <w:rPr>
          <w:sz w:val="16"/>
        </w:rPr>
        <w:t xml:space="preserve"> other </w:t>
      </w:r>
      <w:r w:rsidRPr="00C90932">
        <w:rPr>
          <w:rStyle w:val="StyleUnderline"/>
        </w:rPr>
        <w:t>decolonial scholars who became key reference points in IR</w:t>
      </w:r>
      <w:r w:rsidRPr="00C90932">
        <w:rPr>
          <w:sz w:val="16"/>
        </w:rPr>
        <w:t xml:space="preserve">. As I will show, </w:t>
      </w:r>
      <w:r w:rsidRPr="00C90932">
        <w:rPr>
          <w:rStyle w:val="StyleUnderline"/>
        </w:rPr>
        <w:t xml:space="preserve">this has problematic consequences, </w:t>
      </w:r>
      <w:r w:rsidRPr="00C90932">
        <w:rPr>
          <w:rStyle w:val="Emphasis"/>
        </w:rPr>
        <w:t>not only for understanding</w:t>
      </w:r>
      <w:r w:rsidRPr="00C90932">
        <w:rPr>
          <w:sz w:val="16"/>
        </w:rPr>
        <w:t xml:space="preserve"> the nature of </w:t>
      </w:r>
      <w:r w:rsidRPr="00C90932">
        <w:rPr>
          <w:rStyle w:val="Emphasis"/>
        </w:rPr>
        <w:t>colonial oppression</w:t>
      </w:r>
      <w:r w:rsidRPr="00C90932">
        <w:rPr>
          <w:rStyle w:val="StyleUnderline"/>
        </w:rPr>
        <w:t xml:space="preserve"> but </w:t>
      </w:r>
      <w:r w:rsidRPr="00C90932">
        <w:rPr>
          <w:rStyle w:val="Emphasis"/>
        </w:rPr>
        <w:t>also for the resistance against it</w:t>
      </w:r>
      <w:r w:rsidRPr="00C90932">
        <w:rPr>
          <w:rStyle w:val="StyleUnderline"/>
        </w:rPr>
        <w:t>. Coloniality is grounded in</w:t>
      </w:r>
      <w:r w:rsidRPr="00C90932">
        <w:rPr>
          <w:sz w:val="16"/>
        </w:rPr>
        <w:t xml:space="preserve"> particular </w:t>
      </w:r>
      <w:r w:rsidRPr="00C90932">
        <w:rPr>
          <w:rStyle w:val="StyleUnderline"/>
        </w:rPr>
        <w:t xml:space="preserve">assumptions that not only </w:t>
      </w:r>
      <w:r w:rsidRPr="00C90932">
        <w:rPr>
          <w:rStyle w:val="Emphasis"/>
        </w:rPr>
        <w:t>render certain colonial violence invisible</w:t>
      </w:r>
      <w:r w:rsidRPr="00C90932">
        <w:rPr>
          <w:rStyle w:val="StyleUnderline"/>
        </w:rPr>
        <w:t xml:space="preserve"> but are even in danger of </w:t>
      </w:r>
      <w:r w:rsidRPr="00C90932">
        <w:rPr>
          <w:rStyle w:val="Emphasis"/>
        </w:rPr>
        <w:t>reinforcing that violence</w:t>
      </w:r>
      <w:r w:rsidRPr="00C90932">
        <w:rPr>
          <w:sz w:val="16"/>
        </w:rPr>
        <w:t>.</w:t>
      </w:r>
    </w:p>
    <w:p w14:paraId="631160FB" w14:textId="77777777" w:rsidR="00F3765A" w:rsidRPr="00C90932" w:rsidRDefault="00F3765A" w:rsidP="00C90932">
      <w:pPr>
        <w:pStyle w:val="Heading3"/>
      </w:pPr>
      <w:r w:rsidRPr="00C90932">
        <w:t>Theory Wrong---Blue Humanities---2AC</w:t>
      </w:r>
    </w:p>
    <w:p w14:paraId="2CC27A17" w14:textId="77777777" w:rsidR="00F3765A" w:rsidRPr="00C90932" w:rsidRDefault="00F3765A" w:rsidP="00C90932">
      <w:pPr>
        <w:pStyle w:val="Heading4"/>
      </w:pPr>
      <w:r w:rsidRPr="00C90932">
        <w:t xml:space="preserve">‘Blue humanities’ get co-opted by the military and can’t escape colonial knowledge production. </w:t>
      </w:r>
    </w:p>
    <w:p w14:paraId="3BD29654" w14:textId="77777777" w:rsidR="00F3765A" w:rsidRPr="00C90932" w:rsidRDefault="00F3765A" w:rsidP="00C90932">
      <w:r w:rsidRPr="00C90932">
        <w:t xml:space="preserve">Bianca Louise </w:t>
      </w:r>
      <w:r w:rsidRPr="00C90932">
        <w:rPr>
          <w:rStyle w:val="Style13ptBold"/>
        </w:rPr>
        <w:t>Hennessy 21</w:t>
      </w:r>
      <w:r w:rsidRPr="00C90932">
        <w:t>, Ph.D. candidate in Pacific Studies at the Australian National University, “The Possibilities of Decolonial Pacific Studies: Learning from an Oceanic Genealogy of Transformative Academic Practice,” The Australian National University, 2021, accessed 06-28-2025, ProQuest, DG</w:t>
      </w:r>
    </w:p>
    <w:p w14:paraId="18DDE36B" w14:textId="77777777" w:rsidR="00F3765A" w:rsidRPr="00C90932" w:rsidRDefault="00F3765A" w:rsidP="00C90932">
      <w:pPr>
        <w:rPr>
          <w:sz w:val="16"/>
        </w:rPr>
      </w:pPr>
      <w:r w:rsidRPr="00C90932">
        <w:rPr>
          <w:sz w:val="16"/>
        </w:rPr>
        <w:t xml:space="preserve">There is another reason to be careful about specificity: these </w:t>
      </w:r>
      <w:r w:rsidRPr="00C90932">
        <w:rPr>
          <w:rStyle w:val="StyleUnderline"/>
        </w:rPr>
        <w:t>capitalist and militarist interventions</w:t>
      </w:r>
      <w:r w:rsidRPr="00C90932">
        <w:rPr>
          <w:sz w:val="16"/>
        </w:rPr>
        <w:t xml:space="preserve"> in the Pacific </w:t>
      </w:r>
      <w:r w:rsidRPr="00C90932">
        <w:rPr>
          <w:rStyle w:val="StyleUnderline"/>
        </w:rPr>
        <w:t xml:space="preserve">tend to insidiously </w:t>
      </w:r>
      <w:r w:rsidRPr="00C90932">
        <w:rPr>
          <w:rStyle w:val="Emphasis"/>
        </w:rPr>
        <w:t>co-opt terminology</w:t>
      </w:r>
      <w:r w:rsidRPr="00C90932">
        <w:rPr>
          <w:rStyle w:val="StyleUnderline"/>
        </w:rPr>
        <w:t xml:space="preserve"> and </w:t>
      </w:r>
      <w:r w:rsidRPr="00C90932">
        <w:rPr>
          <w:rStyle w:val="Emphasis"/>
        </w:rPr>
        <w:t>framings of expansiveness and fluidity</w:t>
      </w:r>
      <w:r w:rsidRPr="00C90932">
        <w:rPr>
          <w:sz w:val="16"/>
        </w:rPr>
        <w:t xml:space="preserve">. Elizabeth DeLoughrey’s essay ‘Critical Ocean Studies for the Anthropocence’ makes this point. In an argument that cautions those associated with </w:t>
      </w:r>
      <w:r w:rsidRPr="00C90932">
        <w:rPr>
          <w:rStyle w:val="StyleUnderline"/>
        </w:rPr>
        <w:t>the</w:t>
      </w:r>
      <w:r w:rsidRPr="00C90932">
        <w:rPr>
          <w:sz w:val="16"/>
        </w:rPr>
        <w:t xml:space="preserve"> ‘oceanic or </w:t>
      </w:r>
      <w:r w:rsidRPr="00C90932">
        <w:rPr>
          <w:rStyle w:val="StyleUnderline"/>
        </w:rPr>
        <w:t>blue humanities</w:t>
      </w:r>
      <w:r w:rsidRPr="00C90932">
        <w:rPr>
          <w:sz w:val="16"/>
        </w:rPr>
        <w:t>’ – to which I would add Pacific studies – she notes that,</w:t>
      </w:r>
    </w:p>
    <w:p w14:paraId="136A3D9D" w14:textId="77777777" w:rsidR="00F3765A" w:rsidRPr="00C90932" w:rsidRDefault="00F3765A" w:rsidP="00C90932">
      <w:pPr>
        <w:ind w:left="720"/>
        <w:rPr>
          <w:sz w:val="16"/>
        </w:rPr>
      </w:pPr>
      <w:r w:rsidRPr="00C90932">
        <w:rPr>
          <w:sz w:val="16"/>
        </w:rPr>
        <w:t>Fluidity, mobility, adaptability, and flux – all terms associated with neoliberal globalization regimes as well the oceanic or blue humanities – are also key words and strategies of twenty-first-century maritime militarism. (DeLoughrey 2019, 25)</w:t>
      </w:r>
    </w:p>
    <w:p w14:paraId="6DCA7D49" w14:textId="77777777" w:rsidR="00F3765A" w:rsidRPr="00C90932" w:rsidRDefault="00F3765A" w:rsidP="00C90932">
      <w:pPr>
        <w:rPr>
          <w:sz w:val="16"/>
        </w:rPr>
      </w:pPr>
      <w:r w:rsidRPr="00C90932">
        <w:rPr>
          <w:sz w:val="16"/>
        </w:rPr>
        <w:t>In explaining the expansiveness of maritime militarism, DeLoughrey examines RIMPAC (Rim of the Pacific Exercise), a biennial military exercise conducted by US-allied Pacific Rim nations (Figure 3.9). Though its headquarters are in US military sites in Hawai‛i, RIMPAC’s naval and air-based weaponry stretch, in an arguably absurdly vast scale, across the Pacific. DeLoughrey cites a US federal court ruling in 2015 which noted the ‘breathtaking assertion’ that the US Navy assumed its right to access literally all of the Pacific, unlimited by ‘time, space, species, or depth’ (DeLoughrey 2019, 31). Its claim to use such vast space to perform military might is underscored by the fact that the ‘US Indo–Pacific Command,’ based in Hawai‛i, claims responsibility for US-led military operations spanning 100 million square miles (260 million square kilometres), a staggering ‘fifty-two percent of the Earth’s surface’ (DeLoughrey 2019, 24). The United States military, the progenitor of colonial occupation of Pacific Islander lands and seas throughout much of the north Pacific, clearly demonstrates an almost endless quest for terrestrial and aquatic expansion – much like the ever-expanding, land-seeking logics that underscore settler colonialism (Veracini 2011, 3). A sea of islands, vast and hospitable in the ‘Our Sea of Islands’ sense, becomes twisted insidiously to serve militarist ends (see also Allen et al. 2018).</w:t>
      </w:r>
    </w:p>
    <w:p w14:paraId="0C353DC7" w14:textId="77777777" w:rsidR="00F3765A" w:rsidRPr="00C90932" w:rsidRDefault="00F3765A" w:rsidP="00C90932">
      <w:pPr>
        <w:rPr>
          <w:sz w:val="16"/>
        </w:rPr>
      </w:pPr>
      <w:r w:rsidRPr="00C90932">
        <w:rPr>
          <w:sz w:val="16"/>
        </w:rPr>
        <w:t xml:space="preserve">Indeed, the </w:t>
      </w:r>
      <w:r w:rsidRPr="00C90932">
        <w:rPr>
          <w:rStyle w:val="StyleUnderline"/>
        </w:rPr>
        <w:t>conceptual framings</w:t>
      </w:r>
      <w:r w:rsidRPr="00C90932">
        <w:rPr>
          <w:sz w:val="16"/>
        </w:rPr>
        <w:t xml:space="preserve"> of area studies </w:t>
      </w:r>
      <w:r w:rsidRPr="00C90932">
        <w:rPr>
          <w:rStyle w:val="StyleUnderline"/>
        </w:rPr>
        <w:t xml:space="preserve">have expanded and contracted </w:t>
      </w:r>
      <w:r w:rsidRPr="00C90932">
        <w:rPr>
          <w:rStyle w:val="Emphasis"/>
        </w:rPr>
        <w:t>precisely</w:t>
      </w:r>
      <w:r w:rsidRPr="00C90932">
        <w:rPr>
          <w:rStyle w:val="StyleUnderline"/>
        </w:rPr>
        <w:t xml:space="preserve"> in line with how hegemonic nations such as the </w:t>
      </w:r>
      <w:r w:rsidRPr="00C90932">
        <w:rPr>
          <w:rStyle w:val="Emphasis"/>
        </w:rPr>
        <w:t>U</w:t>
      </w:r>
      <w:r w:rsidRPr="00C90932">
        <w:rPr>
          <w:rStyle w:val="StyleUnderline"/>
        </w:rPr>
        <w:t xml:space="preserve">nited </w:t>
      </w:r>
      <w:r w:rsidRPr="00C90932">
        <w:rPr>
          <w:rStyle w:val="Emphasis"/>
        </w:rPr>
        <w:t>S</w:t>
      </w:r>
      <w:r w:rsidRPr="00C90932">
        <w:rPr>
          <w:rStyle w:val="StyleUnderline"/>
        </w:rPr>
        <w:t>tates have perceived their real and desired spheres of influence</w:t>
      </w:r>
      <w:r w:rsidRPr="00C90932">
        <w:rPr>
          <w:sz w:val="16"/>
        </w:rPr>
        <w:t xml:space="preserve">. Nowhere is this more relevant than the Pacific, where capitalism and the arrangement of global alliances have deigned the liquid zone of the great ocean as one where ‘co-prosperity’ of rim nations is predicated upon the movement of capital and ideas through the Pacific, not of the Pacific, considering it a moving marketplace rather than anything peopled or historied (Connery 1994; Jolly 2007, 525–26).4 </w:t>
      </w:r>
      <w:r w:rsidRPr="00C90932">
        <w:rPr>
          <w:rStyle w:val="StyleUnderline"/>
        </w:rPr>
        <w:t xml:space="preserve">These arguments remind us to </w:t>
      </w:r>
      <w:r w:rsidRPr="00C90932">
        <w:rPr>
          <w:rStyle w:val="Emphasis"/>
        </w:rPr>
        <w:t>be cautious of unquestioned fluidity</w:t>
      </w:r>
      <w:r w:rsidRPr="00C90932">
        <w:rPr>
          <w:rStyle w:val="StyleUnderline"/>
        </w:rPr>
        <w:t xml:space="preserve">, and as who it empowers and who, or what, it exploits. The threat of co-optation </w:t>
      </w:r>
      <w:r w:rsidRPr="00C90932">
        <w:rPr>
          <w:rStyle w:val="Emphasis"/>
        </w:rPr>
        <w:t>forever looms</w:t>
      </w:r>
      <w:r w:rsidRPr="00C90932">
        <w:rPr>
          <w:sz w:val="16"/>
        </w:rPr>
        <w:t>, as it does with decolonisation itself (Tuck and Yang 2012).</w:t>
      </w:r>
    </w:p>
    <w:p w14:paraId="718FB01D" w14:textId="77777777" w:rsidR="00F3765A" w:rsidRPr="00C90932" w:rsidRDefault="00F3765A" w:rsidP="00C90932">
      <w:pPr>
        <w:rPr>
          <w:sz w:val="16"/>
        </w:rPr>
      </w:pPr>
      <w:r w:rsidRPr="00C90932">
        <w:rPr>
          <w:sz w:val="16"/>
        </w:rPr>
        <w:t xml:space="preserve">Pacific studies’ decolonial mission of restoring rhetoric, representative and real power to Pacific Islanders must be wary of such co-optation. </w:t>
      </w:r>
      <w:r w:rsidRPr="00C90932">
        <w:rPr>
          <w:rStyle w:val="StyleUnderline"/>
        </w:rPr>
        <w:t>If notions of place invoke ways of thinking</w:t>
      </w:r>
      <w:r w:rsidRPr="00C90932">
        <w:rPr>
          <w:sz w:val="16"/>
        </w:rPr>
        <w:t xml:space="preserve"> in Pacific studies, </w:t>
      </w:r>
      <w:r w:rsidRPr="00C90932">
        <w:rPr>
          <w:rStyle w:val="StyleUnderline"/>
        </w:rPr>
        <w:t>we tend to celebrate expansive and mobile approaches to scholarly work through metaphors of the ocean</w:t>
      </w:r>
      <w:r w:rsidRPr="00C90932">
        <w:rPr>
          <w:sz w:val="16"/>
        </w:rPr>
        <w:t xml:space="preserve">. For example, in Geoffrey White’s introduction to the anthology of Hau‛ofa’s works, he recognises the use of the ocean as ‘a trope for perpetual motion and freedom as well as vastness and depth,’ that Hau‛ofa’s Pacific is ‘startlingly expansive and inclusive,’ and that the ocean provides ‘metaphors that allow for openness and connection’ (G. White 2008). </w:t>
      </w:r>
      <w:r w:rsidRPr="00C90932">
        <w:rPr>
          <w:rStyle w:val="StyleUnderline"/>
        </w:rPr>
        <w:t>Such tropes and metaphors are certainly useful in resisting the constraints placed on bodies and ideas by enduring settler colonial and neoliberal nation-states</w:t>
      </w:r>
      <w:r w:rsidRPr="00C90932">
        <w:rPr>
          <w:sz w:val="16"/>
        </w:rPr>
        <w:t xml:space="preserve">, but </w:t>
      </w:r>
      <w:r w:rsidRPr="00C90932">
        <w:rPr>
          <w:rStyle w:val="StyleUnderline"/>
        </w:rPr>
        <w:t xml:space="preserve">we do a </w:t>
      </w:r>
      <w:r w:rsidRPr="00C90932">
        <w:rPr>
          <w:rStyle w:val="Emphasis"/>
        </w:rPr>
        <w:t>disservice to those people and knowledges by not also attending to their particular ways of being, knowing and doing, and we need specificity of mobility</w:t>
      </w:r>
      <w:r w:rsidRPr="00C90932">
        <w:rPr>
          <w:sz w:val="16"/>
        </w:rPr>
        <w:t xml:space="preserve"> (like Hau‛ofa’s anecdote about his Tongan friend flying across the Pacific) </w:t>
      </w:r>
      <w:r w:rsidRPr="00C90932">
        <w:rPr>
          <w:rStyle w:val="Emphasis"/>
        </w:rPr>
        <w:t>to ward off</w:t>
      </w:r>
      <w:r w:rsidRPr="00C90932">
        <w:rPr>
          <w:sz w:val="16"/>
        </w:rPr>
        <w:t xml:space="preserve"> pervasive </w:t>
      </w:r>
      <w:r w:rsidRPr="00C90932">
        <w:rPr>
          <w:rStyle w:val="Emphasis"/>
        </w:rPr>
        <w:t>co-opting threats of territory-seeking capitalism, colonialism and militarism</w:t>
      </w:r>
      <w:r w:rsidRPr="00C90932">
        <w:rPr>
          <w:sz w:val="16"/>
        </w:rPr>
        <w:t>. In Diaz’s keynote on Milanesian seafaring, he reminds us that the title of ‘Our Sea of Islands’ features a sea, not an ocean – a liminal zone linked to landmasses, where fluid potentiality meets anchored and rooted edges of shoreline (see also Kauvaka 2016). He writes that ‘</w:t>
      </w:r>
      <w:r w:rsidRPr="00C90932">
        <w:rPr>
          <w:rStyle w:val="StyleUnderline"/>
        </w:rPr>
        <w:t xml:space="preserve">some of us, and our seas, consistently get </w:t>
      </w:r>
      <w:r w:rsidRPr="00C90932">
        <w:rPr>
          <w:rStyle w:val="Emphasis"/>
        </w:rPr>
        <w:t>washed out by the rush to expansive ideas of oceanic fluidity</w:t>
      </w:r>
      <w:r w:rsidRPr="00C90932">
        <w:rPr>
          <w:sz w:val="16"/>
        </w:rPr>
        <w:t xml:space="preserve">’ (Diaz 2018, 25) – </w:t>
      </w:r>
      <w:r w:rsidRPr="00C90932">
        <w:rPr>
          <w:rStyle w:val="Emphasis"/>
        </w:rPr>
        <w:t>an erasure that does not serve Pacific Islanders wherever they may lay down roots, or indeed, routes</w:t>
      </w:r>
      <w:r w:rsidRPr="00C90932">
        <w:rPr>
          <w:sz w:val="16"/>
        </w:rPr>
        <w:t>.</w:t>
      </w:r>
    </w:p>
    <w:p w14:paraId="30644AE9" w14:textId="77777777" w:rsidR="00F3765A" w:rsidRPr="00C90932" w:rsidRDefault="00F3765A" w:rsidP="00C90932">
      <w:pPr>
        <w:pStyle w:val="Heading4"/>
      </w:pPr>
      <w:r w:rsidRPr="00C90932">
        <w:t xml:space="preserve">Blue humanities as a scholarly body is </w:t>
      </w:r>
      <w:r w:rsidRPr="00C90932">
        <w:rPr>
          <w:u w:val="single"/>
        </w:rPr>
        <w:t>insulated from criticism</w:t>
      </w:r>
      <w:r w:rsidRPr="00C90932">
        <w:t xml:space="preserve"> and fails to properly engage with its dissidents. </w:t>
      </w:r>
    </w:p>
    <w:p w14:paraId="129AA896" w14:textId="77777777" w:rsidR="00F3765A" w:rsidRPr="00C90932" w:rsidRDefault="00F3765A" w:rsidP="00C90932">
      <w:r w:rsidRPr="00C90932">
        <w:t xml:space="preserve">Ian </w:t>
      </w:r>
      <w:r w:rsidRPr="00C90932">
        <w:rPr>
          <w:rStyle w:val="Style13ptBold"/>
        </w:rPr>
        <w:t>Buchanan 21</w:t>
      </w:r>
      <w:r w:rsidRPr="00C90932">
        <w:t>, Professor of Cultural Studies at the University of Wollongong, Ph.D. in English and Comparative Literature from Murdoch University, “The Unsustainability of Sustainability,” Symploke, Vol. 29, No 1/2, 2021, accessed 06-28-2025, ProQuest, DG</w:t>
      </w:r>
    </w:p>
    <w:p w14:paraId="52423119" w14:textId="77777777" w:rsidR="00F3765A" w:rsidRPr="00C90932" w:rsidRDefault="00F3765A" w:rsidP="00C90932">
      <w:pPr>
        <w:rPr>
          <w:sz w:val="16"/>
        </w:rPr>
      </w:pPr>
      <w:r w:rsidRPr="00C90932">
        <w:rPr>
          <w:sz w:val="16"/>
        </w:rPr>
        <w:t xml:space="preserve">I will start by saying what I welcomed in Sustaining Seas because the bulk of this review will be taken up with an analysis of what I found to be unwelcome. To me, the most important aspect of this collection is the way it offers an exciting illustration of what a hands-reaching-across-the-table collaboration between the humanities and the sciences can look like. The "Operation Crayweed" project led by Australian marine ecologist Adriana Vergės is a model in this regard. "If there is a message from major environmental issues such as climate change it is that scientific evidence in and of itself does not convince the broader public of the need for action or even caring about the environment" (242-43). Several chapters in this collection echo this point, which is welcome indeed, and for the most part they suggest that the sciences need to work with artists to produce works of art, stories, songs and other varieties of art work to engage the "broader public," about which I can only say that would surely be welcome. However, I would suggest that </w:t>
      </w:r>
      <w:r w:rsidRPr="00C90932">
        <w:rPr>
          <w:rStyle w:val="StyleUnderline"/>
        </w:rPr>
        <w:t>the humanities can do more than make art</w:t>
      </w:r>
      <w:r w:rsidRPr="00C90932">
        <w:rPr>
          <w:sz w:val="16"/>
        </w:rPr>
        <w:t xml:space="preserve">, as valuable as that is; </w:t>
      </w:r>
      <w:r w:rsidRPr="00C90932">
        <w:rPr>
          <w:rStyle w:val="StyleUnderline"/>
        </w:rPr>
        <w:t>it</w:t>
      </w:r>
      <w:r w:rsidRPr="00C90932">
        <w:rPr>
          <w:sz w:val="16"/>
        </w:rPr>
        <w:t xml:space="preserve"> can also, I would say </w:t>
      </w:r>
      <w:r w:rsidRPr="00C90932">
        <w:rPr>
          <w:rStyle w:val="StyleUnderline"/>
        </w:rPr>
        <w:t>must</w:t>
      </w:r>
      <w:r w:rsidRPr="00C90932">
        <w:rPr>
          <w:sz w:val="16"/>
        </w:rPr>
        <w:t xml:space="preserve">, </w:t>
      </w:r>
      <w:r w:rsidRPr="00C90932">
        <w:rPr>
          <w:rStyle w:val="Emphasis"/>
        </w:rPr>
        <w:t>engage in</w:t>
      </w:r>
      <w:r w:rsidRPr="00C90932">
        <w:rPr>
          <w:sz w:val="16"/>
        </w:rPr>
        <w:t xml:space="preserve"> what used to be known as ideologiekritik, which is the process of </w:t>
      </w:r>
      <w:r w:rsidRPr="00C90932">
        <w:rPr>
          <w:rStyle w:val="Emphasis"/>
        </w:rPr>
        <w:t>rigorously examining and</w:t>
      </w:r>
      <w:r w:rsidRPr="00C90932">
        <w:rPr>
          <w:sz w:val="16"/>
        </w:rPr>
        <w:t xml:space="preserve"> where necessary </w:t>
      </w:r>
      <w:r w:rsidRPr="00C90932">
        <w:rPr>
          <w:rStyle w:val="Emphasis"/>
        </w:rPr>
        <w:t>critiquing the concepts, assumptions, and ideological positions that underpin a given piece of scholarly work</w:t>
      </w:r>
      <w:r w:rsidRPr="00C90932">
        <w:rPr>
          <w:sz w:val="16"/>
        </w:rPr>
        <w:t xml:space="preserve">. We need to unite not just the creative and the scientific, but also the scientific and the critical, </w:t>
      </w:r>
      <w:r w:rsidRPr="00C90932">
        <w:rPr>
          <w:rStyle w:val="StyleUnderline"/>
        </w:rPr>
        <w:t>if we are to develop</w:t>
      </w:r>
      <w:r w:rsidRPr="00C90932">
        <w:rPr>
          <w:sz w:val="16"/>
        </w:rPr>
        <w:t xml:space="preserve"> the nascent field of the "</w:t>
      </w:r>
      <w:r w:rsidRPr="00C90932">
        <w:rPr>
          <w:rStyle w:val="StyleUnderline"/>
        </w:rPr>
        <w:t>blue humanities</w:t>
      </w:r>
      <w:r w:rsidRPr="00C90932">
        <w:rPr>
          <w:sz w:val="16"/>
        </w:rPr>
        <w:t xml:space="preserve">" </w:t>
      </w:r>
      <w:r w:rsidRPr="00C90932">
        <w:rPr>
          <w:rStyle w:val="StyleUnderline"/>
        </w:rPr>
        <w:t>into a genuine field of scholarly inquiry</w:t>
      </w:r>
      <w:r w:rsidRPr="00C90932">
        <w:rPr>
          <w:sz w:val="16"/>
        </w:rPr>
        <w:t>. I might as well be blunt here and say it is the critical element that I find lacking in this collection.</w:t>
      </w:r>
    </w:p>
    <w:p w14:paraId="5062652C" w14:textId="77777777" w:rsidR="00F3765A" w:rsidRPr="00C90932" w:rsidRDefault="00F3765A" w:rsidP="00C90932">
      <w:pPr>
        <w:rPr>
          <w:sz w:val="16"/>
        </w:rPr>
      </w:pPr>
      <w:r w:rsidRPr="00C90932">
        <w:rPr>
          <w:sz w:val="16"/>
        </w:rPr>
        <w:t xml:space="preserve">It is difficult to respond to any edited collection, particularly one as richly interdisciplinary as Sustaining Seas, without risking turning it into a grading exercise in which you single out the papers you like and the ones you don't, or worse, in typical Žižekian fashion, stipulating which papers are right and which ones are wrong. In the hope of avoiding that fate, I will instead treat it as multifaceted group project, or if that still sounds too much like a grading exercise, then as a collaborative mission. Although the collection as a whole is internally heterogeneous, particularly with regards to disciplinary background and disciplinary ways of writing (humanities and social sciences really are different!), it is remarkably homogeneous with regards the varieties of modalities of relating to marine life it espouses. This might be expected of a collection that originated with a conference, so it may just be an artifact of the self-selecting nature of conferences rather than a conscious editorial choice. </w:t>
      </w:r>
      <w:r w:rsidRPr="00C90932">
        <w:rPr>
          <w:rStyle w:val="StyleUnderline"/>
        </w:rPr>
        <w:t>The absence of debate</w:t>
      </w:r>
      <w:r w:rsidRPr="00C90932">
        <w:rPr>
          <w:sz w:val="16"/>
        </w:rPr>
        <w:t xml:space="preserve"> in these pages </w:t>
      </w:r>
      <w:r w:rsidRPr="00C90932">
        <w:rPr>
          <w:rStyle w:val="StyleUnderline"/>
        </w:rPr>
        <w:t xml:space="preserve">is noteworthy because many of the positions it adopts are </w:t>
      </w:r>
      <w:r w:rsidRPr="00C90932">
        <w:rPr>
          <w:rStyle w:val="Emphasis"/>
        </w:rPr>
        <w:t>problematic</w:t>
      </w:r>
      <w:r w:rsidRPr="00C90932">
        <w:rPr>
          <w:sz w:val="16"/>
        </w:rPr>
        <w:t xml:space="preserve">, as I will try to show in what follows; </w:t>
      </w:r>
      <w:r w:rsidRPr="00C90932">
        <w:rPr>
          <w:rStyle w:val="StyleUnderline"/>
        </w:rPr>
        <w:t>it</w:t>
      </w:r>
      <w:r w:rsidRPr="00C90932">
        <w:rPr>
          <w:sz w:val="16"/>
        </w:rPr>
        <w:t xml:space="preserve"> also </w:t>
      </w:r>
      <w:r w:rsidRPr="00C90932">
        <w:rPr>
          <w:rStyle w:val="StyleUnderline"/>
        </w:rPr>
        <w:t>seems</w:t>
      </w:r>
      <w:r w:rsidRPr="00C90932">
        <w:rPr>
          <w:sz w:val="16"/>
        </w:rPr>
        <w:t xml:space="preserve"> to be symptomatic of a systematic </w:t>
      </w:r>
      <w:r w:rsidRPr="00C90932">
        <w:rPr>
          <w:rStyle w:val="StyleUnderline"/>
        </w:rPr>
        <w:t>avoidance of the kinds of discourses</w:t>
      </w:r>
      <w:r w:rsidRPr="00C90932">
        <w:rPr>
          <w:sz w:val="16"/>
        </w:rPr>
        <w:t>-Marxism in particular-</w:t>
      </w:r>
      <w:r w:rsidRPr="00C90932">
        <w:rPr>
          <w:rStyle w:val="StyleUnderline"/>
        </w:rPr>
        <w:t>that could not but disrupt the apparent consensus this set of authors has settled into</w:t>
      </w:r>
      <w:r w:rsidRPr="00C90932">
        <w:rPr>
          <w:sz w:val="16"/>
        </w:rPr>
        <w:t>. One cannot stay with the trouble as Haraway suggests is necessary in these troubling times if one is not also prepared to make trouble as I aim to do here.</w:t>
      </w:r>
    </w:p>
    <w:p w14:paraId="69D021B2" w14:textId="77777777" w:rsidR="00F3765A" w:rsidRPr="00C90932" w:rsidRDefault="00F3765A" w:rsidP="00C90932">
      <w:pPr>
        <w:rPr>
          <w:sz w:val="16"/>
        </w:rPr>
      </w:pPr>
      <w:r w:rsidRPr="00C90932">
        <w:rPr>
          <w:sz w:val="16"/>
        </w:rPr>
        <w:t xml:space="preserve">To my mind, </w:t>
      </w:r>
      <w:r w:rsidRPr="00C90932">
        <w:rPr>
          <w:rStyle w:val="StyleUnderline"/>
        </w:rPr>
        <w:t xml:space="preserve">the most </w:t>
      </w:r>
      <w:r w:rsidRPr="00C90932">
        <w:rPr>
          <w:rStyle w:val="Emphasis"/>
        </w:rPr>
        <w:t>glaring</w:t>
      </w:r>
      <w:r w:rsidRPr="00C90932">
        <w:rPr>
          <w:rStyle w:val="StyleUnderline"/>
        </w:rPr>
        <w:t xml:space="preserve"> and indeed troubling </w:t>
      </w:r>
      <w:r w:rsidRPr="00C90932">
        <w:rPr>
          <w:rStyle w:val="Emphasis"/>
        </w:rPr>
        <w:t>absence</w:t>
      </w:r>
      <w:r w:rsidRPr="00C90932">
        <w:rPr>
          <w:sz w:val="16"/>
        </w:rPr>
        <w:t xml:space="preserve"> in this whole collection </w:t>
      </w:r>
      <w:r w:rsidRPr="00C90932">
        <w:rPr>
          <w:rStyle w:val="Emphasis"/>
        </w:rPr>
        <w:t>is any discussion of capitalism</w:t>
      </w:r>
      <w:r w:rsidRPr="00C90932">
        <w:rPr>
          <w:sz w:val="16"/>
        </w:rPr>
        <w:t xml:space="preserve"> as a world-system. One might respond by saying: well you can't include everything, not even in a capacious volume like this. To which I would reply: it is the one thing that cannot not be included. As Jennifer Telesca writes in her recent book Red Gold on the demise of the bluefin tuna, it is capitalism as a world-system, not the practices of fishers, which drives the "predatory regime of value" that is pushing all sea life towards extinction (Teslsca 2020, 3). As such, </w:t>
      </w:r>
      <w:r w:rsidRPr="00C90932">
        <w:rPr>
          <w:rStyle w:val="StyleUnderline"/>
        </w:rPr>
        <w:t>no discussion of the present state of affairs can legitimately sidestep it</w:t>
      </w:r>
      <w:r w:rsidRPr="00C90932">
        <w:rPr>
          <w:sz w:val="16"/>
        </w:rPr>
        <w:t xml:space="preserve"> as this collection consistently tries to do </w:t>
      </w:r>
      <w:r w:rsidRPr="00C90932">
        <w:rPr>
          <w:rStyle w:val="StyleUnderline"/>
        </w:rPr>
        <w:t xml:space="preserve">because to do so is to </w:t>
      </w:r>
      <w:r w:rsidRPr="00C90932">
        <w:rPr>
          <w:rStyle w:val="Emphasis"/>
        </w:rPr>
        <w:t>mistake symptoms for causes</w:t>
      </w:r>
      <w:r w:rsidRPr="00C90932">
        <w:rPr>
          <w:sz w:val="16"/>
        </w:rPr>
        <w:t xml:space="preserve">. I say sidestep because capitalism's effects are frequently acknowledged here but capitalism itself as the motor cause of history is passed over in silence. </w:t>
      </w:r>
      <w:r w:rsidRPr="00C90932">
        <w:rPr>
          <w:rStyle w:val="StyleUnderline"/>
        </w:rPr>
        <w:t>An accusing finger is occasionally pointed at</w:t>
      </w:r>
      <w:r w:rsidRPr="00C90932">
        <w:rPr>
          <w:sz w:val="16"/>
        </w:rPr>
        <w:t xml:space="preserve"> "</w:t>
      </w:r>
      <w:r w:rsidRPr="00C90932">
        <w:rPr>
          <w:rStyle w:val="StyleUnderline"/>
        </w:rPr>
        <w:t>neoliberalism</w:t>
      </w:r>
      <w:r w:rsidRPr="00C90932">
        <w:rPr>
          <w:sz w:val="16"/>
        </w:rPr>
        <w:t xml:space="preserve">," </w:t>
      </w:r>
      <w:r w:rsidRPr="00C90932">
        <w:rPr>
          <w:rStyle w:val="StyleUnderline"/>
        </w:rPr>
        <w:t>but it is</w:t>
      </w:r>
      <w:r w:rsidRPr="00C90932">
        <w:rPr>
          <w:sz w:val="16"/>
        </w:rPr>
        <w:t xml:space="preserve"> largely </w:t>
      </w:r>
      <w:r w:rsidRPr="00C90932">
        <w:rPr>
          <w:rStyle w:val="StyleUnderline"/>
        </w:rPr>
        <w:t>treated as though it referred to a lifestyle choice rather than a way of organising society</w:t>
      </w:r>
      <w:r w:rsidRPr="00C90932">
        <w:rPr>
          <w:sz w:val="16"/>
        </w:rPr>
        <w:t xml:space="preserve"> around a specific structure of value that is inherently toxic to all life on earth. In what amounts to a bait and switch move, </w:t>
      </w:r>
      <w:r w:rsidRPr="00C90932">
        <w:rPr>
          <w:rStyle w:val="StyleUnderline"/>
        </w:rPr>
        <w:t xml:space="preserve">this collection condemns largescale industrial fishing for hoovering up vast quantities of sea life, only to then turn around and say that things would be fine if we returned to the small-scale fishing practices of traditional and indigenous peoples. In this way it </w:t>
      </w:r>
      <w:r w:rsidRPr="00C90932">
        <w:rPr>
          <w:rStyle w:val="Emphasis"/>
        </w:rPr>
        <w:t>avoids condemning the system</w:t>
      </w:r>
      <w:r w:rsidRPr="00C90932">
        <w:rPr>
          <w:sz w:val="16"/>
        </w:rPr>
        <w:t>-i.e., the predatory regime of value of capitalism-that underpins both large and small-scale forms of fishing.</w:t>
      </w:r>
    </w:p>
    <w:p w14:paraId="70A9AC43" w14:textId="77777777" w:rsidR="00F3765A" w:rsidRPr="00C90932" w:rsidRDefault="00F3765A" w:rsidP="00C90932">
      <w:pPr>
        <w:rPr>
          <w:sz w:val="16"/>
        </w:rPr>
      </w:pPr>
      <w:r w:rsidRPr="00C90932">
        <w:rPr>
          <w:sz w:val="16"/>
        </w:rPr>
        <w:t>Old school Marxists would not hesitate to call this way of viewing things false consciousness and lest this charge seem too harsh let me run the highlighter pen over a couple of different iterations of it because it is the plasticity of this idea that is the surest sign of its ideological function. In the chapter pointedly titled, "Ocean Regime Shift," South African scholar Lesley Green writes "Regime-changing ocean management sciences will not render marine creatures as extractables but will prioritize the desires of creatures, including humans, to survive and live well" (Probyn, Johnston, and Lee 2020, 24). This argument is consistent with Telecsa's position inasmuch as it challenges the idea that marine life should be regarded as resources to be profited from, but then Green goes onto say this "ocean regime shift" requires that priority be given to "the forms of care articulated by small-scale fishers in the drafting of the small-scale fisher's policy, to overcome the destructive 'thingification' that undergirds the conditions leading to an Anthropocene" (24). It is not made clear, though, how reorienting fishing policy around the needs and interests of small-scale fishers would cause us to cease thinking of fish as "extractables" and "things," not least because it encourages us to continue to think of fish as "extractables" and "things" for humans to consume and profit from, providing only that they do so on a small-scale.</w:t>
      </w:r>
    </w:p>
    <w:p w14:paraId="3842772F" w14:textId="77777777" w:rsidR="00F3765A" w:rsidRPr="00C90932" w:rsidRDefault="00F3765A" w:rsidP="00C90932">
      <w:pPr>
        <w:rPr>
          <w:sz w:val="16"/>
        </w:rPr>
      </w:pPr>
      <w:r w:rsidRPr="00C90932">
        <w:rPr>
          <w:sz w:val="16"/>
        </w:rPr>
        <w:t>There is a similar tension in Elspeth Probyn's chapter "'The Sea is Empty': Fishers, Migrants, and a Watery Humanism," which extends points made in her monograph Eating the Ocean (2016) that (as the title indicates) is predicated on the idea that humans can and should eat fish. Noting that the ocean's inhabitants have a "bleak present and even bleaker future," Probyn nevertheless insists that the charge of "overexploitation" of marine life-a state of being that is nowhere challenged in this collection-needs to be "differentiated" because it is "an abstraction that masks the vast differences between small-scale and the industrial trawlers that comb the seas, often engaged in the illegal, unregulated, and unreported theft of fish" (29). As with the Green example above</w:t>
      </w:r>
      <w:r w:rsidRPr="00C90932">
        <w:rPr>
          <w:rStyle w:val="StyleUnderline"/>
        </w:rPr>
        <w:t>, it is not clear what critical purpose</w:t>
      </w:r>
      <w:r w:rsidRPr="00C90932">
        <w:rPr>
          <w:sz w:val="16"/>
        </w:rPr>
        <w:t xml:space="preserve"> this particular </w:t>
      </w:r>
      <w:r w:rsidRPr="00C90932">
        <w:rPr>
          <w:rStyle w:val="StyleUnderline"/>
        </w:rPr>
        <w:t>differentiation would serve because overexploitation is overexploitation regardless of who is doing the over-exploiting</w:t>
      </w:r>
      <w:r w:rsidRPr="00C90932">
        <w:rPr>
          <w:sz w:val="16"/>
        </w:rPr>
        <w:t>. We may speculate that if industrial scale fishing had not emerged in the 1950s that things might be different today, but we have no way of knowing if that really is the case and the simple fact is that a fleet of small boats owned by multiple small-scale fishers is just as capable of depleting the ocean of its living creatures as large trawlers are, as indeed are indigenous fishers, albeit at a slower pace, if they are motivated to do so by a growing and increasingly profitable market.</w:t>
      </w:r>
    </w:p>
    <w:p w14:paraId="68E30EAD" w14:textId="77777777" w:rsidR="00F3765A" w:rsidRPr="00C90932" w:rsidRDefault="00F3765A" w:rsidP="00C90932">
      <w:pPr>
        <w:rPr>
          <w:sz w:val="16"/>
        </w:rPr>
      </w:pPr>
      <w:r w:rsidRPr="00C90932">
        <w:rPr>
          <w:sz w:val="16"/>
        </w:rPr>
        <w:t>No mention is made either of the fact that the global population has almost doubled since the beginning of industrial fishing in the 1950s making it very unlikely indeed that the old ways would be any better (in the old days, too, bluefin tuna was sold as cat food, fertilizer, or just buried as worthless, which is hardly a model of sustainability). In other words, it is not "a dumbing down of caring for the ocean" to point out that regardless of the "complexity of relations within and of the more-than-human marine" (28), fish stocks are profoundly and perilously low, as Probyn acknowledges. Overexploitation is not in this sense an abstraction; it is rather a generalized empirical state of being-marine life literally has been overexploited by commercial fishers everywhere - as such we ought to embrace the term as a necessary starting point.</w:t>
      </w:r>
    </w:p>
    <w:p w14:paraId="69B7036C" w14:textId="77777777" w:rsidR="00F3765A" w:rsidRPr="00C90932" w:rsidRDefault="00F3765A" w:rsidP="00C90932">
      <w:pPr>
        <w:rPr>
          <w:sz w:val="16"/>
        </w:rPr>
      </w:pPr>
      <w:r w:rsidRPr="00C90932">
        <w:rPr>
          <w:sz w:val="16"/>
        </w:rPr>
        <w:t>The "</w:t>
      </w:r>
      <w:r w:rsidRPr="00C90932">
        <w:rPr>
          <w:rStyle w:val="StyleUnderline"/>
        </w:rPr>
        <w:t>real abstraction</w:t>
      </w:r>
      <w:r w:rsidRPr="00C90932">
        <w:rPr>
          <w:sz w:val="16"/>
        </w:rPr>
        <w:t xml:space="preserve">" (to borrow Patel and Moore's useful formulation) </w:t>
      </w:r>
      <w:r w:rsidRPr="00C90932">
        <w:rPr>
          <w:rStyle w:val="StyleUnderline"/>
        </w:rPr>
        <w:t>is to be found in the implied</w:t>
      </w:r>
      <w:r w:rsidRPr="00C90932">
        <w:rPr>
          <w:sz w:val="16"/>
        </w:rPr>
        <w:t xml:space="preserve"> "</w:t>
      </w:r>
      <w:r w:rsidRPr="00C90932">
        <w:rPr>
          <w:rStyle w:val="StyleUnderline"/>
        </w:rPr>
        <w:t>lost</w:t>
      </w:r>
      <w:r w:rsidRPr="00C90932">
        <w:rPr>
          <w:sz w:val="16"/>
        </w:rPr>
        <w:t xml:space="preserve">" </w:t>
      </w:r>
      <w:r w:rsidRPr="00C90932">
        <w:rPr>
          <w:rStyle w:val="StyleUnderline"/>
        </w:rPr>
        <w:t>positive, namely the thoroughly abstract notion of the</w:t>
      </w:r>
      <w:r w:rsidRPr="00C90932">
        <w:rPr>
          <w:sz w:val="16"/>
        </w:rPr>
        <w:t xml:space="preserve"> "</w:t>
      </w:r>
      <w:r w:rsidRPr="00C90932">
        <w:rPr>
          <w:rStyle w:val="StyleUnderline"/>
        </w:rPr>
        <w:t>right amount</w:t>
      </w:r>
      <w:r w:rsidRPr="00C90932">
        <w:rPr>
          <w:sz w:val="16"/>
        </w:rPr>
        <w:t xml:space="preserve">" </w:t>
      </w:r>
      <w:r w:rsidRPr="00C90932">
        <w:rPr>
          <w:rStyle w:val="StyleUnderline"/>
        </w:rPr>
        <w:t>of exploitation which by some mystical process of calculation we should be able to arrive at</w:t>
      </w:r>
      <w:r w:rsidRPr="00C90932">
        <w:rPr>
          <w:sz w:val="16"/>
        </w:rPr>
        <w:t xml:space="preserve"> (Patel and Moore 2018, 47). Regulatory bodies, such as the International Commission for the Conservation of Atlantic Tunas (ICCAT), which Telesca studies, refer to this as the Maximum Sustainable Yield (MSY) (Telesca 2020, 48-53). The best that can be said of MSY as a way of thinking about marine life is that despite its highly complex calculations it nevertheless failed to achieve the one thing it was supposed to do, namely prevent fish stocks from falling into decline. This collection dances around this issue, without ever really finding a landing place that is more concrete than the Orwellian formulation that largescale fishers are bad and small-scale fishers are good, which is nothing more than a romanticisation of something that never existed (humans have always taken as much as they can, it's just that now the capacity to take has reached the species ending level). Where it is addressed it is generally treated as an issue that can and should be resolved by policy.</w:t>
      </w:r>
    </w:p>
    <w:p w14:paraId="2D0B3AC0" w14:textId="77777777" w:rsidR="00F3765A" w:rsidRPr="00C90932" w:rsidRDefault="00F3765A" w:rsidP="00C90932">
      <w:pPr>
        <w:rPr>
          <w:sz w:val="16"/>
        </w:rPr>
      </w:pPr>
      <w:r w:rsidRPr="00C90932">
        <w:rPr>
          <w:sz w:val="16"/>
        </w:rPr>
        <w:t>The one paper that addresses regulatory frameworks directly, "Out of Sight, Out of Mind: The Challenge of Regulating High Seas Fisheries" by Rosemary Rayfuse, gives us little or no cause to think that this is a viable position. Reviewing the 1982 United Nations Law of the Sea convention, which determines which nations control which parts of the world's oceans, essentially dividing it between coastal zones controlled by countries whose coast it is and the high seas which are designated as commons, Rayfuse writes that we now know all the assumptions underpinning the construction of this document were "ill-conceived," to which she adds it is now "a matter of historical fact that.. .coastal states have by and large failed to properly manage their fishery resources, resulting in overexploitation" (Probyn, Johnston, and Lee 2020, 144-145). Here again, though, no mention is made of the system driving overexploitation, namely capitalism.</w:t>
      </w:r>
    </w:p>
    <w:p w14:paraId="22D99C89" w14:textId="77777777" w:rsidR="00F3765A" w:rsidRPr="00C90932" w:rsidRDefault="00F3765A" w:rsidP="00C90932">
      <w:pPr>
        <w:rPr>
          <w:sz w:val="16"/>
        </w:rPr>
      </w:pPr>
      <w:r w:rsidRPr="00C90932">
        <w:rPr>
          <w:sz w:val="16"/>
        </w:rPr>
        <w:t xml:space="preserve">This in turn points us toward another abstraction that really does stand in need of some fine-grained differentiation: the concept of sustainability. Surprisingly for a collection with the title Sustaining Seas, </w:t>
      </w:r>
      <w:r w:rsidRPr="00C90932">
        <w:rPr>
          <w:rStyle w:val="StyleUnderline"/>
        </w:rPr>
        <w:t>there is no discussion whatsoever of the problematic nature of the concept of sustainability</w:t>
      </w:r>
      <w:r w:rsidRPr="00C90932">
        <w:rPr>
          <w:sz w:val="16"/>
        </w:rPr>
        <w:t>, by which I mean no one questions whether or not the idea is even tenable. I imagine this is because to do so would be to question whether humans have any business eating seafood at all. The unstated premise of sustainability is that humans are "natural" predators of the sea with a "natural" right to eat sea creatures and that this can be done in a balanced way (i.e., along the same lines that we imagine is true of the relation between sharks and other fish). For Probyn, whose research grant funded the conference, human lives and the lives of marine animals are "entangled," which she defines as meaning something like symbiotic, with the corresponding implication that humans have a "natural" right to eat marine life because they have always done so. As I have argued elsewhere, this position is conceptually flawed because while it is manifestly true that humans cannot live without marine life, not least because it supplies 70% of the oxygen we breathe, it is doubtful indeed that marine life would suffer all that much were humans to disappear. As such, insisting on the entanglement of humans and marine life is really just a way of legitimating the ethically questionable (to say the least) position that humans can and should consume marine life to support its protein needs.</w:t>
      </w:r>
    </w:p>
    <w:p w14:paraId="115703DF" w14:textId="77777777" w:rsidR="00F3765A" w:rsidRPr="00C90932" w:rsidRDefault="00F3765A" w:rsidP="00C90932">
      <w:pPr>
        <w:rPr>
          <w:sz w:val="16"/>
        </w:rPr>
      </w:pPr>
      <w:r w:rsidRPr="00C90932">
        <w:rPr>
          <w:sz w:val="16"/>
        </w:rPr>
        <w:t xml:space="preserve">Sustainability is generally treated in this collection as an ideal that is within reach, if only we could get the governance right. But as this collection amply documents, to date the governance has been a long way from right, where right would mean the fair, equitable and sustainable distribution of a biological resource and not the absolute protection of vanishing species, which is another category altogether. There are several key policy disconnects that have been identified. For example, while Australia rigorously polices catches in its own waters, imported catches are regulated as food so its sustainability is never questioned (75). Fish caught in the so-called "high seas," i.e., outside the jurisdiction of individual nations, are not subject to any enforceable controls beyond the handshakes and gentleman's agreements (as Telesca calls them) of international NGOs such as ICCAT (143). The governance systems have tended to be created with large-scale fishers in mind, and as such they are not fit for purpose for dealing with small-scale fishers, tending to place upon them an insupportable compliance burden (185). </w:t>
      </w:r>
      <w:r w:rsidRPr="00C90932">
        <w:rPr>
          <w:rStyle w:val="StyleUnderline"/>
        </w:rPr>
        <w:t>The faith that is placed in policy frameworks</w:t>
      </w:r>
      <w:r w:rsidRPr="00C90932">
        <w:rPr>
          <w:sz w:val="16"/>
        </w:rPr>
        <w:t xml:space="preserve"> here </w:t>
      </w:r>
      <w:r w:rsidRPr="00C90932">
        <w:rPr>
          <w:rStyle w:val="StyleUnderline"/>
        </w:rPr>
        <w:t>despite the mounting evidence of policy failures is</w:t>
      </w:r>
      <w:r w:rsidRPr="00C90932">
        <w:rPr>
          <w:sz w:val="16"/>
        </w:rPr>
        <w:t xml:space="preserve"> quite </w:t>
      </w:r>
      <w:r w:rsidRPr="00C90932">
        <w:rPr>
          <w:rStyle w:val="Emphasis"/>
        </w:rPr>
        <w:t>remarkable</w:t>
      </w:r>
      <w:r w:rsidRPr="00C90932">
        <w:rPr>
          <w:sz w:val="16"/>
        </w:rPr>
        <w:t xml:space="preserve">, though perfectly consistent with the findings of policy ethnographers like Tess Lea who show </w:t>
      </w:r>
      <w:r w:rsidRPr="00C90932">
        <w:rPr>
          <w:rStyle w:val="StyleUnderline"/>
        </w:rPr>
        <w:t>that is the default position of</w:t>
      </w:r>
      <w:r w:rsidRPr="00C90932">
        <w:rPr>
          <w:sz w:val="16"/>
        </w:rPr>
        <w:t xml:space="preserve"> almost all policy workers and, lately of </w:t>
      </w:r>
      <w:r w:rsidRPr="00C90932">
        <w:rPr>
          <w:rStyle w:val="StyleUnderline"/>
        </w:rPr>
        <w:t>cultural studies</w:t>
      </w:r>
      <w:r w:rsidRPr="00C90932">
        <w:rPr>
          <w:sz w:val="16"/>
        </w:rPr>
        <w:t xml:space="preserve">. Indeed, not to think this way is to be accused of cynicism.2 </w:t>
      </w:r>
      <w:r w:rsidRPr="00C90932">
        <w:rPr>
          <w:rStyle w:val="StyleUnderline"/>
        </w:rPr>
        <w:t>It would</w:t>
      </w:r>
      <w:r w:rsidRPr="00C90932">
        <w:rPr>
          <w:sz w:val="16"/>
        </w:rPr>
        <w:t xml:space="preserve"> also </w:t>
      </w:r>
      <w:r w:rsidRPr="00C90932">
        <w:rPr>
          <w:rStyle w:val="StyleUnderline"/>
        </w:rPr>
        <w:t xml:space="preserve">induce a </w:t>
      </w:r>
      <w:r w:rsidRPr="00C90932">
        <w:rPr>
          <w:rStyle w:val="Emphasis"/>
        </w:rPr>
        <w:t>crisis of faith</w:t>
      </w:r>
      <w:r w:rsidRPr="00C90932">
        <w:rPr>
          <w:rStyle w:val="StyleUnderline"/>
        </w:rPr>
        <w:t xml:space="preserve"> for cultural studies as a field</w:t>
      </w:r>
      <w:r w:rsidRPr="00C90932">
        <w:rPr>
          <w:sz w:val="16"/>
        </w:rPr>
        <w:t>-</w:t>
      </w:r>
      <w:r w:rsidRPr="00C90932">
        <w:rPr>
          <w:rStyle w:val="StyleUnderline"/>
        </w:rPr>
        <w:t>if as cultural studies practitioners we cannot assume that our knowledge-producing work is contributing to world-changing policy mechanisms, then what in fact can we believe in?</w:t>
      </w:r>
      <w:r w:rsidRPr="00C90932">
        <w:rPr>
          <w:sz w:val="16"/>
        </w:rPr>
        <w:t xml:space="preserve"> But </w:t>
      </w:r>
      <w:r w:rsidRPr="00C90932">
        <w:rPr>
          <w:rStyle w:val="StyleUnderline"/>
        </w:rPr>
        <w:t>such a crisis of faith is</w:t>
      </w:r>
      <w:r w:rsidRPr="00C90932">
        <w:rPr>
          <w:sz w:val="16"/>
        </w:rPr>
        <w:t xml:space="preserve"> also perhaps </w:t>
      </w:r>
      <w:r w:rsidRPr="00C90932">
        <w:rPr>
          <w:rStyle w:val="Emphasis"/>
        </w:rPr>
        <w:t>overdue</w:t>
      </w:r>
      <w:r w:rsidRPr="00C90932">
        <w:rPr>
          <w:sz w:val="16"/>
        </w:rPr>
        <w:t xml:space="preserve"> because </w:t>
      </w:r>
      <w:r w:rsidRPr="00C90932">
        <w:rPr>
          <w:rStyle w:val="Emphasis"/>
        </w:rPr>
        <w:t>putting one's faith in policy in the way cultural studies sometimes does is to forget</w:t>
      </w:r>
      <w:r w:rsidRPr="00C90932">
        <w:rPr>
          <w:sz w:val="16"/>
        </w:rPr>
        <w:t>-or least to not sufficiently attend to-</w:t>
      </w:r>
      <w:r w:rsidRPr="00C90932">
        <w:rPr>
          <w:rStyle w:val="Emphasis"/>
        </w:rPr>
        <w:t>the fact that policy is an instrument of power</w:t>
      </w:r>
      <w:r w:rsidRPr="00C90932">
        <w:rPr>
          <w:rStyle w:val="StyleUnderline"/>
        </w:rPr>
        <w:t>. To see it as a perfectible tool for improving the world</w:t>
      </w:r>
      <w:r w:rsidRPr="00C90932">
        <w:rPr>
          <w:sz w:val="16"/>
        </w:rPr>
        <w:t xml:space="preserve">, as cultural studies is wont to do, </w:t>
      </w:r>
      <w:r w:rsidRPr="00C90932">
        <w:rPr>
          <w:rStyle w:val="StyleUnderline"/>
        </w:rPr>
        <w:t xml:space="preserve">is not simply naive, it is a category mistake that </w:t>
      </w:r>
      <w:r w:rsidRPr="00C90932">
        <w:rPr>
          <w:rStyle w:val="Emphasis"/>
        </w:rPr>
        <w:t>confuses symptom</w:t>
      </w:r>
      <w:r w:rsidRPr="00C90932">
        <w:rPr>
          <w:sz w:val="16"/>
        </w:rPr>
        <w:t xml:space="preserve"> (</w:t>
      </w:r>
      <w:r w:rsidRPr="00C90932">
        <w:rPr>
          <w:rStyle w:val="Emphasis"/>
        </w:rPr>
        <w:t>policy</w:t>
      </w:r>
      <w:r w:rsidRPr="00C90932">
        <w:rPr>
          <w:sz w:val="16"/>
        </w:rPr>
        <w:t xml:space="preserve">) </w:t>
      </w:r>
      <w:r w:rsidRPr="00C90932">
        <w:rPr>
          <w:rStyle w:val="Emphasis"/>
        </w:rPr>
        <w:t>and cause</w:t>
      </w:r>
      <w:r w:rsidRPr="00C90932">
        <w:rPr>
          <w:sz w:val="16"/>
        </w:rPr>
        <w:t xml:space="preserve"> (</w:t>
      </w:r>
      <w:r w:rsidRPr="00C90932">
        <w:rPr>
          <w:rStyle w:val="Emphasis"/>
        </w:rPr>
        <w:t>power</w:t>
      </w:r>
      <w:r w:rsidRPr="00C90932">
        <w:rPr>
          <w:sz w:val="16"/>
        </w:rPr>
        <w:t>).</w:t>
      </w:r>
    </w:p>
    <w:p w14:paraId="523C3C28" w14:textId="77777777" w:rsidR="00F3765A" w:rsidRPr="00C90932" w:rsidRDefault="00F3765A" w:rsidP="00C90932">
      <w:pPr>
        <w:rPr>
          <w:sz w:val="16"/>
        </w:rPr>
      </w:pPr>
      <w:r w:rsidRPr="00C90932">
        <w:rPr>
          <w:rStyle w:val="StyleUnderline"/>
        </w:rPr>
        <w:t>Cultural studies has been actively engaged in</w:t>
      </w:r>
      <w:r w:rsidRPr="00C90932">
        <w:rPr>
          <w:sz w:val="16"/>
        </w:rPr>
        <w:t xml:space="preserve"> what might usefully and justly be termed </w:t>
      </w:r>
      <w:r w:rsidRPr="00C90932">
        <w:rPr>
          <w:rStyle w:val="StyleUnderline"/>
        </w:rPr>
        <w:t xml:space="preserve">a </w:t>
      </w:r>
      <w:r w:rsidRPr="00C90932">
        <w:rPr>
          <w:rStyle w:val="Emphasis"/>
        </w:rPr>
        <w:t>governmentality project</w:t>
      </w:r>
      <w:r w:rsidRPr="00C90932">
        <w:rPr>
          <w:sz w:val="16"/>
        </w:rPr>
        <w:t xml:space="preserve"> (i.e., it has sought to contribute to and further the aims of governmentality) for the past three decades. The early advocates of this turn in cultural studies about which Jameson has been very sharp in his critique, were indeed inspired by Foucault's work on governmentality, but apparently drew the opposite conclusion to Foucault as to how one should think about policy discourse. Far from freeing itself from the category as "subjugated knowledge," as Foucault puts it, </w:t>
      </w:r>
      <w:r w:rsidRPr="00C90932">
        <w:rPr>
          <w:rStyle w:val="StyleUnderline"/>
        </w:rPr>
        <w:t xml:space="preserve">cultural studies has plunged itself deeper into the abyss by becoming the </w:t>
      </w:r>
      <w:r w:rsidRPr="00C90932">
        <w:rPr>
          <w:rStyle w:val="Emphasis"/>
        </w:rPr>
        <w:t>willing servant of</w:t>
      </w:r>
      <w:r w:rsidRPr="00C90932">
        <w:rPr>
          <w:rStyle w:val="StyleUnderline"/>
        </w:rPr>
        <w:t xml:space="preserve"> the very thing</w:t>
      </w:r>
      <w:r w:rsidRPr="00C90932">
        <w:rPr>
          <w:sz w:val="16"/>
        </w:rPr>
        <w:t>-</w:t>
      </w:r>
      <w:r w:rsidRPr="00C90932">
        <w:rPr>
          <w:rStyle w:val="Emphasis"/>
        </w:rPr>
        <w:t>governmentality</w:t>
      </w:r>
      <w:r w:rsidRPr="00C90932">
        <w:rPr>
          <w:sz w:val="16"/>
        </w:rPr>
        <w:t>-</w:t>
      </w:r>
      <w:r w:rsidRPr="00C90932">
        <w:rPr>
          <w:rStyle w:val="StyleUnderline"/>
        </w:rPr>
        <w:t>it set out to investigate and it has</w:t>
      </w:r>
      <w:r w:rsidRPr="00C90932">
        <w:rPr>
          <w:sz w:val="16"/>
        </w:rPr>
        <w:t xml:space="preserve"> thereby </w:t>
      </w:r>
      <w:r w:rsidRPr="00C90932">
        <w:rPr>
          <w:rStyle w:val="StyleUnderline"/>
        </w:rPr>
        <w:t xml:space="preserve">contributed to the </w:t>
      </w:r>
      <w:r w:rsidRPr="00C90932">
        <w:rPr>
          <w:rStyle w:val="Emphasis"/>
        </w:rPr>
        <w:t>masking of power</w:t>
      </w:r>
      <w:r w:rsidRPr="00C90932">
        <w:rPr>
          <w:rStyle w:val="StyleUnderline"/>
        </w:rPr>
        <w:t xml:space="preserve"> with its elaborations of</w:t>
      </w:r>
      <w:r w:rsidRPr="00C90932">
        <w:rPr>
          <w:sz w:val="16"/>
        </w:rPr>
        <w:t xml:space="preserve"> "</w:t>
      </w:r>
      <w:r w:rsidRPr="00C90932">
        <w:rPr>
          <w:rStyle w:val="StyleUnderline"/>
        </w:rPr>
        <w:t>functional coherences</w:t>
      </w:r>
      <w:r w:rsidRPr="00C90932">
        <w:rPr>
          <w:sz w:val="16"/>
        </w:rPr>
        <w:t xml:space="preserve">" </w:t>
      </w:r>
      <w:r w:rsidRPr="00C90932">
        <w:rPr>
          <w:rStyle w:val="StyleUnderline"/>
        </w:rPr>
        <w:t>and</w:t>
      </w:r>
      <w:r w:rsidRPr="00C90932">
        <w:rPr>
          <w:sz w:val="16"/>
        </w:rPr>
        <w:t xml:space="preserve"> "</w:t>
      </w:r>
      <w:r w:rsidRPr="00C90932">
        <w:rPr>
          <w:rStyle w:val="StyleUnderline"/>
        </w:rPr>
        <w:t>formal systematizations</w:t>
      </w:r>
      <w:r w:rsidRPr="00C90932">
        <w:rPr>
          <w:sz w:val="16"/>
        </w:rPr>
        <w:t xml:space="preserve">" </w:t>
      </w:r>
      <w:r w:rsidRPr="00C90932">
        <w:rPr>
          <w:rStyle w:val="StyleUnderline"/>
        </w:rPr>
        <w:t>of policy frameworks</w:t>
      </w:r>
      <w:r w:rsidRPr="00C90932">
        <w:rPr>
          <w:sz w:val="16"/>
        </w:rPr>
        <w:t xml:space="preserve"> (Foucault 2003, 7). One cannot but agree here with Jameson's appraisal of </w:t>
      </w:r>
      <w:r w:rsidRPr="00C90932">
        <w:rPr>
          <w:rStyle w:val="StyleUnderline"/>
        </w:rPr>
        <w:t>cultural studies use of concepts like</w:t>
      </w:r>
      <w:r w:rsidRPr="00C90932">
        <w:rPr>
          <w:sz w:val="16"/>
        </w:rPr>
        <w:t xml:space="preserve"> "</w:t>
      </w:r>
      <w:r w:rsidRPr="00C90932">
        <w:rPr>
          <w:rStyle w:val="StyleUnderline"/>
        </w:rPr>
        <w:t>power</w:t>
      </w:r>
      <w:r w:rsidRPr="00C90932">
        <w:rPr>
          <w:sz w:val="16"/>
        </w:rPr>
        <w:t xml:space="preserve">," but one could easily add "policy" to the list, it </w:t>
      </w:r>
      <w:r w:rsidRPr="00C90932">
        <w:rPr>
          <w:rStyle w:val="StyleUnderline"/>
        </w:rPr>
        <w:t>is</w:t>
      </w:r>
      <w:r w:rsidRPr="00C90932">
        <w:rPr>
          <w:sz w:val="16"/>
        </w:rPr>
        <w:t xml:space="preserve">, he said, </w:t>
      </w:r>
      <w:r w:rsidRPr="00C90932">
        <w:rPr>
          <w:rStyle w:val="StyleUnderline"/>
        </w:rPr>
        <w:t>a</w:t>
      </w:r>
      <w:r w:rsidRPr="00C90932">
        <w:rPr>
          <w:sz w:val="16"/>
        </w:rPr>
        <w:t xml:space="preserve"> "</w:t>
      </w:r>
      <w:r w:rsidRPr="00C90932">
        <w:rPr>
          <w:rStyle w:val="Emphasis"/>
        </w:rPr>
        <w:t>dangerous and intoxicating slogan for intellectuals, who</w:t>
      </w:r>
      <w:r w:rsidRPr="00C90932">
        <w:rPr>
          <w:sz w:val="16"/>
        </w:rPr>
        <w:t xml:space="preserve"> thereby </w:t>
      </w:r>
      <w:r w:rsidRPr="00C90932">
        <w:rPr>
          <w:rStyle w:val="Emphasis"/>
        </w:rPr>
        <w:t>feel</w:t>
      </w:r>
      <w:r w:rsidRPr="00C90932">
        <w:rPr>
          <w:sz w:val="16"/>
        </w:rPr>
        <w:t xml:space="preserve"> themselves </w:t>
      </w:r>
      <w:r w:rsidRPr="00C90932">
        <w:rPr>
          <w:rStyle w:val="Emphasis"/>
        </w:rPr>
        <w:t>closer to its 'reality' than they may actually be"</w:t>
      </w:r>
      <w:r w:rsidRPr="00C90932">
        <w:rPr>
          <w:sz w:val="16"/>
        </w:rPr>
        <w:t xml:space="preserve"> (Jameson 2008, 627). One must ask, what has the field really gained by hitching its wagon to policy in this way, as enabler rather than critic? This is obviously not the place to attempt such an evaluation, but I will say that any such evaluation will have to be prepared to find that the field got less than the going rate of thirty pieces of silver for its efforts because it is evident that in many cases its faith in the policy machine was misplaced.</w:t>
      </w:r>
    </w:p>
    <w:p w14:paraId="6BDCA292" w14:textId="77777777" w:rsidR="00F3765A" w:rsidRPr="00C90932" w:rsidRDefault="00F3765A" w:rsidP="00C90932">
      <w:pPr>
        <w:rPr>
          <w:sz w:val="16"/>
        </w:rPr>
      </w:pPr>
      <w:r w:rsidRPr="00C90932">
        <w:rPr>
          <w:sz w:val="16"/>
        </w:rPr>
        <w:t>Telesca's work is sobering in this respect because as she demonstrates in the case of bluefin tuna, the species management policy achieved precisely what it set out to achieve: the distribution of a biological asset and the growth of a global industry worth hundreds of millions of dollars. The coming extinction of the bluefin tuna was not in this sense a policy failure: the preservation and protection of the bluefin tuna was never ICCAT's actual goal. To even approach ICCAT in terms of its policy successes and failures is to put oneself inside the belly of the policy beast. In a striking passage that sums up everything that-in my view-is missing from Sustaining Seas, Telesca writes:</w:t>
      </w:r>
    </w:p>
    <w:p w14:paraId="0A55A54A" w14:textId="77777777" w:rsidR="00F3765A" w:rsidRPr="00C90932" w:rsidRDefault="00F3765A" w:rsidP="00C90932">
      <w:pPr>
        <w:rPr>
          <w:sz w:val="16"/>
        </w:rPr>
      </w:pPr>
      <w:r w:rsidRPr="00C90932">
        <w:rPr>
          <w:sz w:val="16"/>
        </w:rPr>
        <w:t>In the long run, we need to know how common publics, state bureaucrats, marine scientists, industrial fishers, environmentalists, and a host of other actors complicit in ICCAT's regulatory action are drawn into - and consent to - the way fisheries management organized by the nation-state has administered extermination over time for commodity empires. We must have an account of why people acquiesce to ICCAT's exterminatory regime of value. (Telesca 2020, 39)</w:t>
      </w:r>
    </w:p>
    <w:p w14:paraId="12B2D117" w14:textId="77777777" w:rsidR="00F3765A" w:rsidRPr="00C90932" w:rsidRDefault="00F3765A" w:rsidP="00C90932">
      <w:pPr>
        <w:rPr>
          <w:sz w:val="16"/>
        </w:rPr>
      </w:pPr>
      <w:r w:rsidRPr="00C90932">
        <w:rPr>
          <w:sz w:val="16"/>
        </w:rPr>
        <w:t xml:space="preserve">Lastly, </w:t>
      </w:r>
      <w:r w:rsidRPr="00C90932">
        <w:rPr>
          <w:rStyle w:val="StyleUnderline"/>
        </w:rPr>
        <w:t>one might have imagined that using a word like care to describe the</w:t>
      </w:r>
      <w:r w:rsidRPr="00C90932">
        <w:rPr>
          <w:sz w:val="16"/>
        </w:rPr>
        <w:t xml:space="preserve"> "</w:t>
      </w:r>
      <w:r w:rsidRPr="00C90932">
        <w:rPr>
          <w:rStyle w:val="StyleUnderline"/>
        </w:rPr>
        <w:t>ideal</w:t>
      </w:r>
      <w:r w:rsidRPr="00C90932">
        <w:rPr>
          <w:sz w:val="16"/>
        </w:rPr>
        <w:t xml:space="preserve">" </w:t>
      </w:r>
      <w:r w:rsidRPr="00C90932">
        <w:rPr>
          <w:rStyle w:val="StyleUnderline"/>
        </w:rPr>
        <w:t xml:space="preserve">relation between humans and marine animals would preclude the former from consuming the latter, but in fact as this collection reiterates </w:t>
      </w:r>
      <w:r w:rsidRPr="00C90932">
        <w:rPr>
          <w:sz w:val="16"/>
        </w:rPr>
        <w:t xml:space="preserve">in several places </w:t>
      </w:r>
      <w:r w:rsidRPr="00C90932">
        <w:rPr>
          <w:rStyle w:val="StyleUnderline"/>
        </w:rPr>
        <w:t>the exact opposite</w:t>
      </w:r>
      <w:r w:rsidRPr="00C90932">
        <w:rPr>
          <w:sz w:val="16"/>
        </w:rPr>
        <w:t xml:space="preserve"> is seen to be true: eating marine life is caring for marine life. Thus, </w:t>
      </w:r>
      <w:r w:rsidRPr="00C90932">
        <w:rPr>
          <w:rStyle w:val="StyleUnderline"/>
        </w:rPr>
        <w:t>one must wonder what exactly this new ocean regime</w:t>
      </w:r>
      <w:r w:rsidRPr="00C90932">
        <w:rPr>
          <w:sz w:val="16"/>
        </w:rPr>
        <w:t xml:space="preserve"> Green calls for </w:t>
      </w:r>
      <w:r w:rsidRPr="00C90932">
        <w:rPr>
          <w:rStyle w:val="StyleUnderline"/>
        </w:rPr>
        <w:t>will really mean for the ocean's inhabitants</w:t>
      </w:r>
      <w:r w:rsidRPr="00C90932">
        <w:rPr>
          <w:sz w:val="16"/>
        </w:rPr>
        <w:t>, other than to be "harvested" for profit and protein by small-scale fishers? In what sense is that to be rendered either non-extractable or de-thingified?</w:t>
      </w:r>
    </w:p>
    <w:p w14:paraId="2E6F300D" w14:textId="77777777" w:rsidR="00586A2E" w:rsidRPr="00C90932" w:rsidRDefault="00586A2E" w:rsidP="00586A2E">
      <w:pPr>
        <w:pStyle w:val="Heading3"/>
      </w:pPr>
      <w:r w:rsidRPr="00C90932">
        <w:t>Theory Wrong---Blue Humanities---Canals</w:t>
      </w:r>
    </w:p>
    <w:p w14:paraId="7A933E0F" w14:textId="77777777" w:rsidR="00586A2E" w:rsidRPr="00C90932" w:rsidRDefault="00586A2E" w:rsidP="00586A2E">
      <w:pPr>
        <w:pStyle w:val="Heading4"/>
      </w:pPr>
      <w:r w:rsidRPr="00C90932">
        <w:t xml:space="preserve">It can’t account for </w:t>
      </w:r>
      <w:r w:rsidRPr="00C90932">
        <w:rPr>
          <w:u w:val="single"/>
        </w:rPr>
        <w:t>canals</w:t>
      </w:r>
      <w:r w:rsidRPr="00C90932">
        <w:t xml:space="preserve">. </w:t>
      </w:r>
    </w:p>
    <w:p w14:paraId="7DC0AF65" w14:textId="77777777" w:rsidR="00586A2E" w:rsidRPr="00C90932" w:rsidRDefault="00586A2E" w:rsidP="00586A2E">
      <w:r w:rsidRPr="00C90932">
        <w:t xml:space="preserve">Jimmy </w:t>
      </w:r>
      <w:r w:rsidRPr="00C90932">
        <w:rPr>
          <w:rStyle w:val="Style13ptBold"/>
        </w:rPr>
        <w:t>Packham 24</w:t>
      </w:r>
      <w:r w:rsidRPr="00C90932">
        <w:t>, Associate Professor of North American Literature at the University of Birmingham, Ph.D. from the University of Bristol, “Weird Waterways: Blue Humanities and Eerie Canals in the Midlands,” Midland History, Vol. 49, No. 3, 2024, accessed 06-28-2025, https://doi.org/10.1080/0047729X.2024.2428454, DG</w:t>
      </w:r>
    </w:p>
    <w:p w14:paraId="6415AFE6" w14:textId="77777777" w:rsidR="00586A2E" w:rsidRPr="00C90932" w:rsidRDefault="00586A2E" w:rsidP="00586A2E">
      <w:pPr>
        <w:rPr>
          <w:sz w:val="16"/>
        </w:rPr>
      </w:pPr>
      <w:r w:rsidRPr="00C90932">
        <w:rPr>
          <w:rStyle w:val="StyleUnderline"/>
        </w:rPr>
        <w:t>Oceans roar, streams murmur, brooks babble</w:t>
      </w:r>
      <w:r w:rsidRPr="00C90932">
        <w:rPr>
          <w:sz w:val="16"/>
        </w:rPr>
        <w:t xml:space="preserve">. But </w:t>
      </w:r>
      <w:r w:rsidRPr="00C90932">
        <w:rPr>
          <w:rStyle w:val="StyleUnderline"/>
        </w:rPr>
        <w:t>what noise does a canal make</w:t>
      </w:r>
      <w:r w:rsidRPr="00C90932">
        <w:rPr>
          <w:sz w:val="16"/>
        </w:rPr>
        <w:t xml:space="preserve">? what does the voice of the canal sound like? This is a faintly ridiculous question to ask; but </w:t>
      </w:r>
      <w:r w:rsidRPr="00C90932">
        <w:rPr>
          <w:rStyle w:val="StyleUnderline"/>
        </w:rPr>
        <w:t>the difficulty of answering it is</w:t>
      </w:r>
      <w:r w:rsidRPr="00C90932">
        <w:rPr>
          <w:sz w:val="16"/>
        </w:rPr>
        <w:t xml:space="preserve">, perhaps, </w:t>
      </w:r>
      <w:r w:rsidRPr="00C90932">
        <w:rPr>
          <w:rStyle w:val="StyleUnderline"/>
        </w:rPr>
        <w:t>telling</w:t>
      </w:r>
      <w:r w:rsidRPr="00C90932">
        <w:rPr>
          <w:sz w:val="16"/>
        </w:rPr>
        <w:t xml:space="preserve">. To establish a place for the canal within the blue humanities is to be struck initially by the sense that </w:t>
      </w:r>
      <w:r w:rsidRPr="00C90932">
        <w:rPr>
          <w:rStyle w:val="StyleUnderline"/>
        </w:rPr>
        <w:t xml:space="preserve">the canal </w:t>
      </w:r>
      <w:r w:rsidRPr="00C90932">
        <w:rPr>
          <w:rStyle w:val="Emphasis"/>
        </w:rPr>
        <w:t>does not exist and</w:t>
      </w:r>
      <w:r w:rsidRPr="00C90932">
        <w:rPr>
          <w:sz w:val="16"/>
        </w:rPr>
        <w:t xml:space="preserve"> does not </w:t>
      </w:r>
      <w:r w:rsidRPr="00C90932">
        <w:rPr>
          <w:rStyle w:val="Emphasis"/>
        </w:rPr>
        <w:t>operate in ways analogous to other familiar water bodies</w:t>
      </w:r>
      <w:r w:rsidRPr="00C90932">
        <w:rPr>
          <w:sz w:val="16"/>
        </w:rPr>
        <w:t xml:space="preserve">. This might also go some way to explaining the general silence surrounding canals in the blue humanities. </w:t>
      </w:r>
      <w:r w:rsidRPr="00C90932">
        <w:rPr>
          <w:rStyle w:val="StyleUnderline"/>
        </w:rPr>
        <w:t>The canal is not marked by the same alluring qualities as other major bodies of water: it is not obviously defined by dramatic waves, currents, or flows</w:t>
      </w:r>
      <w:r w:rsidRPr="00C90932">
        <w:rPr>
          <w:sz w:val="16"/>
        </w:rPr>
        <w:t xml:space="preserve"> – at least, not to first appearances. </w:t>
      </w:r>
      <w:r w:rsidRPr="00C90932">
        <w:rPr>
          <w:rStyle w:val="StyleUnderline"/>
        </w:rPr>
        <w:t>Nor are you ever really in the canal</w:t>
      </w:r>
      <w:r w:rsidRPr="00C90932">
        <w:rPr>
          <w:sz w:val="16"/>
        </w:rPr>
        <w:t xml:space="preserve"> (hopefully), </w:t>
      </w:r>
      <w:r w:rsidRPr="00C90932">
        <w:rPr>
          <w:rStyle w:val="StyleUnderline"/>
        </w:rPr>
        <w:t>in contrast to seas and rivers, in whose waters one might be pleasurably immersed</w:t>
      </w:r>
      <w:r w:rsidRPr="00C90932">
        <w:rPr>
          <w:sz w:val="16"/>
        </w:rPr>
        <w:t xml:space="preserve">.23 Thus, </w:t>
      </w:r>
      <w:r w:rsidRPr="00C90932">
        <w:rPr>
          <w:rStyle w:val="StyleUnderline"/>
        </w:rPr>
        <w:t>humans tend to be</w:t>
      </w:r>
      <w:r w:rsidRPr="00C90932">
        <w:rPr>
          <w:sz w:val="16"/>
        </w:rPr>
        <w:t xml:space="preserve"> slightly </w:t>
      </w:r>
      <w:r w:rsidRPr="00C90932">
        <w:rPr>
          <w:rStyle w:val="StyleUnderline"/>
        </w:rPr>
        <w:t>removed from immediate proximity with canal waters</w:t>
      </w:r>
      <w:r w:rsidRPr="00C90932">
        <w:rPr>
          <w:sz w:val="16"/>
        </w:rPr>
        <w:t xml:space="preserve"> – engaging them from the deck of a narrowboat, say, or via a towpath. </w:t>
      </w:r>
      <w:r w:rsidRPr="00C90932">
        <w:rPr>
          <w:rStyle w:val="StyleUnderline"/>
        </w:rPr>
        <w:t>Canals are</w:t>
      </w:r>
      <w:r w:rsidRPr="00C90932">
        <w:rPr>
          <w:sz w:val="16"/>
        </w:rPr>
        <w:t xml:space="preserve"> also </w:t>
      </w:r>
      <w:r w:rsidRPr="00C90932">
        <w:rPr>
          <w:rStyle w:val="StyleUnderline"/>
        </w:rPr>
        <w:t>artificial</w:t>
      </w:r>
      <w:r w:rsidRPr="00C90932">
        <w:rPr>
          <w:sz w:val="16"/>
        </w:rPr>
        <w:t xml:space="preserve"> – and </w:t>
      </w:r>
      <w:r w:rsidRPr="00C90932">
        <w:rPr>
          <w:rStyle w:val="StyleUnderline"/>
        </w:rPr>
        <w:t>this suggests one way in which humans might</w:t>
      </w:r>
      <w:r w:rsidRPr="00C90932">
        <w:rPr>
          <w:sz w:val="16"/>
        </w:rPr>
        <w:t xml:space="preserve">, in fact, </w:t>
      </w:r>
      <w:r w:rsidRPr="00C90932">
        <w:rPr>
          <w:rStyle w:val="StyleUnderline"/>
        </w:rPr>
        <w:t xml:space="preserve">be existentially </w:t>
      </w:r>
      <w:r w:rsidRPr="00C90932">
        <w:rPr>
          <w:rStyle w:val="Emphasis"/>
        </w:rPr>
        <w:t>more proximate to the canal</w:t>
      </w:r>
      <w:r w:rsidRPr="00C90932">
        <w:rPr>
          <w:rStyle w:val="StyleUnderline"/>
        </w:rPr>
        <w:t xml:space="preserve"> than other</w:t>
      </w:r>
      <w:r w:rsidRPr="00C90932">
        <w:rPr>
          <w:sz w:val="16"/>
        </w:rPr>
        <w:t xml:space="preserve"> more seemingly ‘natural’ </w:t>
      </w:r>
      <w:r w:rsidRPr="00C90932">
        <w:rPr>
          <w:rStyle w:val="StyleUnderline"/>
        </w:rPr>
        <w:t>water courses</w:t>
      </w:r>
      <w:r w:rsidRPr="00C90932">
        <w:rPr>
          <w:sz w:val="16"/>
        </w:rPr>
        <w:t xml:space="preserve"> like rivers or streams. Taken holistically, </w:t>
      </w:r>
      <w:r w:rsidRPr="00C90932">
        <w:rPr>
          <w:rStyle w:val="StyleUnderline"/>
        </w:rPr>
        <w:t xml:space="preserve">it is precisely because of these differences, because </w:t>
      </w:r>
      <w:r w:rsidRPr="00C90932">
        <w:rPr>
          <w:rStyle w:val="Emphasis"/>
        </w:rPr>
        <w:t>canals offer ways of doing the blue humanities differently</w:t>
      </w:r>
      <w:r w:rsidRPr="00C90932">
        <w:rPr>
          <w:rStyle w:val="StyleUnderline"/>
        </w:rPr>
        <w:t>, that these inland waterways offer a valuable contribution to the</w:t>
      </w:r>
      <w:r w:rsidRPr="00C90932">
        <w:rPr>
          <w:sz w:val="16"/>
        </w:rPr>
        <w:t xml:space="preserve"> critical </w:t>
      </w:r>
      <w:r w:rsidRPr="00C90932">
        <w:rPr>
          <w:rStyle w:val="StyleUnderline"/>
        </w:rPr>
        <w:t>field</w:t>
      </w:r>
      <w:r w:rsidRPr="00C90932">
        <w:rPr>
          <w:sz w:val="16"/>
        </w:rPr>
        <w:t>.</w:t>
      </w:r>
    </w:p>
    <w:p w14:paraId="710C2496" w14:textId="7953F99A" w:rsidR="00F3765A" w:rsidRPr="00C90932" w:rsidRDefault="00F3765A" w:rsidP="00C90932">
      <w:pPr>
        <w:pStyle w:val="Heading3"/>
      </w:pPr>
      <w:r w:rsidRPr="00C90932">
        <w:t>Theory Wrong---</w:t>
      </w:r>
      <w:r w:rsidR="00D118CD">
        <w:t>Ballot K</w:t>
      </w:r>
      <w:r w:rsidRPr="00C90932">
        <w:t>---2AC</w:t>
      </w:r>
    </w:p>
    <w:p w14:paraId="79E48866" w14:textId="77777777" w:rsidR="00F3765A" w:rsidRPr="00C90932" w:rsidRDefault="00F3765A" w:rsidP="00C90932">
      <w:pPr>
        <w:pStyle w:val="Heading4"/>
      </w:pPr>
      <w:r w:rsidRPr="00C90932">
        <w:t xml:space="preserve">The alternative cannot solve it so long as it requires the judge’s affirmation. </w:t>
      </w:r>
    </w:p>
    <w:p w14:paraId="4F519F46" w14:textId="77777777" w:rsidR="00F3765A" w:rsidRPr="00C90932" w:rsidRDefault="00F3765A" w:rsidP="00C90932">
      <w:r w:rsidRPr="00C90932">
        <w:t xml:space="preserve">Ilan </w:t>
      </w:r>
      <w:r w:rsidRPr="00C90932">
        <w:rPr>
          <w:rStyle w:val="Style13ptBold"/>
        </w:rPr>
        <w:t>Kapoor 24</w:t>
      </w:r>
      <w:r w:rsidRPr="00C90932">
        <w:t>, Professor of Critical Development Studies at the York University Faculty of Environmental and Urban Change, Ph.D. in Political Science from the University of Toronto, “Intersectionality, Decoloniality, Indigenous Localism: A Critique,” Theory, Culture &amp; Society, OnlineFirst, 12-24-2024, accessed 06-27-2025, https://doi.org/10.1177/02632764241303689, DG</w:t>
      </w:r>
    </w:p>
    <w:p w14:paraId="095821C4" w14:textId="77777777" w:rsidR="00F3765A" w:rsidRPr="00C90932" w:rsidRDefault="00F3765A" w:rsidP="00C90932">
      <w:pPr>
        <w:rPr>
          <w:sz w:val="16"/>
        </w:rPr>
      </w:pPr>
      <w:r w:rsidRPr="00C90932">
        <w:rPr>
          <w:sz w:val="16"/>
        </w:rPr>
        <w:t xml:space="preserve">Psychoanalysis adds another significant dimension here: the reason why </w:t>
      </w:r>
      <w:r w:rsidRPr="00C90932">
        <w:rPr>
          <w:rStyle w:val="StyleUnderline"/>
        </w:rPr>
        <w:t>intersectional identity politics appeals</w:t>
      </w:r>
      <w:r w:rsidRPr="00C90932">
        <w:rPr>
          <w:sz w:val="16"/>
        </w:rPr>
        <w:t xml:space="preserve"> in today’s multicultural world is </w:t>
      </w:r>
      <w:r w:rsidRPr="00C90932">
        <w:rPr>
          <w:rStyle w:val="Emphasis"/>
        </w:rPr>
        <w:t>because of the subject’s enjoyment</w:t>
      </w:r>
      <w:r w:rsidRPr="00C90932">
        <w:rPr>
          <w:sz w:val="16"/>
        </w:rPr>
        <w:t xml:space="preserve"> (jouissance) </w:t>
      </w:r>
      <w:r w:rsidRPr="00C90932">
        <w:rPr>
          <w:rStyle w:val="Emphasis"/>
        </w:rPr>
        <w:t>of it</w:t>
      </w:r>
      <w:r w:rsidRPr="00C90932">
        <w:rPr>
          <w:sz w:val="16"/>
        </w:rPr>
        <w:t xml:space="preserve"> – enjoyment in Lacanese denoting the excessive pleasure derived from something to the point of irrationality (Lacan, 1998: 183–4). 4 Accordingly, under a multicultural regime, </w:t>
      </w:r>
      <w:r w:rsidRPr="00C90932">
        <w:rPr>
          <w:rStyle w:val="StyleUnderline"/>
        </w:rPr>
        <w:t xml:space="preserve">the subject is </w:t>
      </w:r>
      <w:r w:rsidRPr="00C90932">
        <w:rPr>
          <w:rStyle w:val="Emphasis"/>
        </w:rPr>
        <w:t xml:space="preserve">seduced by the prospect of </w:t>
      </w:r>
      <w:r w:rsidRPr="00C90932">
        <w:rPr>
          <w:rStyle w:val="StyleUnderline"/>
        </w:rPr>
        <w:t xml:space="preserve">social and political </w:t>
      </w:r>
      <w:r w:rsidRPr="00C90932">
        <w:rPr>
          <w:rStyle w:val="Emphasis"/>
        </w:rPr>
        <w:t>recognition and recovery</w:t>
      </w:r>
      <w:r w:rsidRPr="00C90932">
        <w:rPr>
          <w:sz w:val="16"/>
        </w:rPr>
        <w:t xml:space="preserve"> (Thakur, 2020: xx–xxi; Žižek, 2006: 309). </w:t>
      </w:r>
      <w:r w:rsidRPr="00C90932">
        <w:rPr>
          <w:rStyle w:val="StyleUnderline"/>
        </w:rPr>
        <w:t>Intersectionality’s libidinal reward can be seen in</w:t>
      </w:r>
      <w:r w:rsidRPr="00C90932">
        <w:rPr>
          <w:sz w:val="16"/>
        </w:rPr>
        <w:t xml:space="preserve"> a range of current socio-political occurrences: the (liberal) benevolence of granting rights and </w:t>
      </w:r>
      <w:r w:rsidRPr="00C90932">
        <w:rPr>
          <w:rStyle w:val="Emphasis"/>
        </w:rPr>
        <w:t>rescuing</w:t>
      </w:r>
      <w:r w:rsidRPr="00C90932">
        <w:rPr>
          <w:rStyle w:val="StyleUnderline"/>
        </w:rPr>
        <w:t xml:space="preserve"> and rehabilitating </w:t>
      </w:r>
      <w:r w:rsidRPr="00C90932">
        <w:rPr>
          <w:rStyle w:val="Emphasis"/>
        </w:rPr>
        <w:t>oppressed voices</w:t>
      </w:r>
      <w:r w:rsidRPr="00C90932">
        <w:rPr>
          <w:rStyle w:val="StyleUnderline"/>
        </w:rPr>
        <w:t>; the</w:t>
      </w:r>
      <w:r w:rsidRPr="00C90932">
        <w:rPr>
          <w:sz w:val="16"/>
        </w:rPr>
        <w:t xml:space="preserve"> corresponding </w:t>
      </w:r>
      <w:r w:rsidRPr="00C90932">
        <w:rPr>
          <w:rStyle w:val="Emphasis"/>
        </w:rPr>
        <w:t>thrill of being recognized by claiming identity</w:t>
      </w:r>
      <w:r w:rsidRPr="00C90932">
        <w:rPr>
          <w:sz w:val="16"/>
        </w:rPr>
        <w:t xml:space="preserve"> or minority rights; </w:t>
      </w:r>
      <w:r w:rsidRPr="00C90932">
        <w:rPr>
          <w:rStyle w:val="Emphasis"/>
        </w:rPr>
        <w:t>the self- righteousness of asserting</w:t>
      </w:r>
      <w:r w:rsidRPr="00C90932">
        <w:rPr>
          <w:sz w:val="16"/>
        </w:rPr>
        <w:t xml:space="preserve"> one’s oppression and ‘</w:t>
      </w:r>
      <w:r w:rsidRPr="00C90932">
        <w:rPr>
          <w:rStyle w:val="Emphasis"/>
        </w:rPr>
        <w:t>victimhood</w:t>
      </w:r>
      <w:r w:rsidRPr="00C90932">
        <w:rPr>
          <w:sz w:val="16"/>
        </w:rPr>
        <w:t xml:space="preserve">’; </w:t>
      </w:r>
      <w:r w:rsidRPr="00C90932">
        <w:rPr>
          <w:rStyle w:val="StyleUnderline"/>
        </w:rPr>
        <w:t>and</w:t>
      </w:r>
      <w:r w:rsidRPr="00C90932">
        <w:rPr>
          <w:sz w:val="16"/>
        </w:rPr>
        <w:t xml:space="preserve">/or </w:t>
      </w:r>
      <w:r w:rsidRPr="00C90932">
        <w:rPr>
          <w:rStyle w:val="Emphasis"/>
        </w:rPr>
        <w:t>the narcissism of acknowledging one’s</w:t>
      </w:r>
      <w:r w:rsidRPr="00C90932">
        <w:rPr>
          <w:sz w:val="16"/>
        </w:rPr>
        <w:t xml:space="preserve"> personal guilt and </w:t>
      </w:r>
      <w:r w:rsidRPr="00C90932">
        <w:rPr>
          <w:rStyle w:val="Emphasis"/>
        </w:rPr>
        <w:t>complicity</w:t>
      </w:r>
      <w:r w:rsidRPr="00C90932">
        <w:rPr>
          <w:sz w:val="16"/>
        </w:rPr>
        <w:t xml:space="preserve"> in social injustices. Of particular note is ‘privilege theory’ (Applebaum, 2011; Kimmel and Ferber, 2016), which, while </w:t>
      </w:r>
      <w:r w:rsidRPr="00C90932">
        <w:rPr>
          <w:rStyle w:val="StyleUnderline"/>
        </w:rPr>
        <w:t>bringing attention to privileged subject positions and complicity</w:t>
      </w:r>
      <w:r w:rsidRPr="00C90932">
        <w:rPr>
          <w:sz w:val="16"/>
        </w:rPr>
        <w:t xml:space="preserve"> in homophobia, patriarchy, or racism, </w:t>
      </w:r>
      <w:r w:rsidRPr="00C90932">
        <w:rPr>
          <w:rStyle w:val="StyleUnderline"/>
        </w:rPr>
        <w:t>can</w:t>
      </w:r>
      <w:r w:rsidRPr="00C90932">
        <w:rPr>
          <w:sz w:val="16"/>
        </w:rPr>
        <w:t xml:space="preserve"> sometimes </w:t>
      </w:r>
      <w:r w:rsidRPr="00C90932">
        <w:rPr>
          <w:rStyle w:val="StyleUnderline"/>
        </w:rPr>
        <w:t xml:space="preserve">create an atmosphere of </w:t>
      </w:r>
      <w:r w:rsidRPr="00C90932">
        <w:rPr>
          <w:rStyle w:val="Emphasis"/>
        </w:rPr>
        <w:t>surveillance</w:t>
      </w:r>
      <w:r w:rsidRPr="00C90932">
        <w:rPr>
          <w:rStyle w:val="StyleUnderline"/>
        </w:rPr>
        <w:t xml:space="preserve"> and </w:t>
      </w:r>
      <w:r w:rsidRPr="00C90932">
        <w:rPr>
          <w:rStyle w:val="Emphasis"/>
        </w:rPr>
        <w:t>disciplining</w:t>
      </w:r>
      <w:r w:rsidRPr="00C90932">
        <w:rPr>
          <w:sz w:val="16"/>
        </w:rPr>
        <w:t xml:space="preserve"> (‘privilege checking’) </w:t>
      </w:r>
      <w:r w:rsidRPr="00C90932">
        <w:rPr>
          <w:rStyle w:val="StyleUnderline"/>
        </w:rPr>
        <w:t>of both self and other</w:t>
      </w:r>
      <w:r w:rsidRPr="00C90932">
        <w:rPr>
          <w:sz w:val="16"/>
        </w:rPr>
        <w:t xml:space="preserve">. As Zalloua (2020) notes, </w:t>
      </w:r>
      <w:r w:rsidRPr="00C90932">
        <w:rPr>
          <w:rStyle w:val="StyleUnderline"/>
        </w:rPr>
        <w:t>there is</w:t>
      </w:r>
      <w:r w:rsidRPr="00C90932">
        <w:rPr>
          <w:sz w:val="16"/>
        </w:rPr>
        <w:t xml:space="preserve"> ‘</w:t>
      </w:r>
      <w:r w:rsidRPr="00C90932">
        <w:rPr>
          <w:rStyle w:val="StyleUnderline"/>
        </w:rPr>
        <w:t xml:space="preserve">a kind of illicit satis- faction </w:t>
      </w:r>
      <w:r w:rsidRPr="00C90932">
        <w:rPr>
          <w:sz w:val="16"/>
        </w:rPr>
        <w:t xml:space="preserve">– an unconscious enjoyment – not only </w:t>
      </w:r>
      <w:r w:rsidRPr="00C90932">
        <w:rPr>
          <w:rStyle w:val="StyleUnderline"/>
        </w:rPr>
        <w:t>in</w:t>
      </w:r>
      <w:r w:rsidRPr="00C90932">
        <w:rPr>
          <w:sz w:val="16"/>
        </w:rPr>
        <w:t xml:space="preserve"> exposing the blind spots [and] . . . </w:t>
      </w:r>
      <w:r w:rsidRPr="00C90932">
        <w:rPr>
          <w:rStyle w:val="Emphasis"/>
        </w:rPr>
        <w:t>rhetorical disciplining</w:t>
      </w:r>
      <w:r w:rsidRPr="00C90932">
        <w:rPr>
          <w:sz w:val="16"/>
        </w:rPr>
        <w:t xml:space="preserve"> of others, but in your own self-discipline, in your perceived suffering. . . . At its base level, </w:t>
      </w:r>
      <w:r w:rsidRPr="00C90932">
        <w:rPr>
          <w:rStyle w:val="StyleUnderline"/>
        </w:rPr>
        <w:t>privilege theory provides you</w:t>
      </w:r>
      <w:r w:rsidRPr="00C90932">
        <w:rPr>
          <w:sz w:val="16"/>
        </w:rPr>
        <w:t xml:space="preserve"> with </w:t>
      </w:r>
      <w:r w:rsidRPr="00C90932">
        <w:rPr>
          <w:rStyle w:val="StyleUnderline"/>
        </w:rPr>
        <w:t xml:space="preserve">the </w:t>
      </w:r>
      <w:r w:rsidRPr="00C90932">
        <w:rPr>
          <w:rStyle w:val="Emphasis"/>
        </w:rPr>
        <w:t>fantasy of intervention and action</w:t>
      </w:r>
      <w:r w:rsidRPr="00C90932">
        <w:rPr>
          <w:rStyle w:val="StyleUnderline"/>
        </w:rPr>
        <w:t>; it offers you criticism</w:t>
      </w:r>
      <w:r w:rsidRPr="00C90932">
        <w:rPr>
          <w:sz w:val="16"/>
        </w:rPr>
        <w:t xml:space="preserve"> (</w:t>
      </w:r>
      <w:r w:rsidRPr="00C90932">
        <w:rPr>
          <w:rStyle w:val="StyleUnderline"/>
        </w:rPr>
        <w:t>attention to subjective violence</w:t>
      </w:r>
      <w:r w:rsidRPr="00C90932">
        <w:rPr>
          <w:sz w:val="16"/>
        </w:rPr>
        <w:t xml:space="preserve">) </w:t>
      </w:r>
      <w:r w:rsidRPr="00C90932">
        <w:rPr>
          <w:rStyle w:val="Emphasis"/>
        </w:rPr>
        <w:t>without critique</w:t>
      </w:r>
      <w:r w:rsidRPr="00C90932">
        <w:rPr>
          <w:sz w:val="16"/>
        </w:rPr>
        <w:t xml:space="preserve"> (</w:t>
      </w:r>
      <w:r w:rsidRPr="00C90932">
        <w:rPr>
          <w:rStyle w:val="StyleUnderline"/>
        </w:rPr>
        <w:t>occluding</w:t>
      </w:r>
      <w:r w:rsidRPr="00C90932">
        <w:rPr>
          <w:sz w:val="16"/>
        </w:rPr>
        <w:t xml:space="preserve"> objective [i.e. </w:t>
      </w:r>
      <w:r w:rsidRPr="00C90932">
        <w:rPr>
          <w:rStyle w:val="StyleUnderline"/>
        </w:rPr>
        <w:t>systemic</w:t>
      </w:r>
      <w:r w:rsidRPr="00C90932">
        <w:rPr>
          <w:sz w:val="16"/>
        </w:rPr>
        <w:t xml:space="preserve">] </w:t>
      </w:r>
      <w:r w:rsidRPr="00C90932">
        <w:rPr>
          <w:rStyle w:val="StyleUnderline"/>
        </w:rPr>
        <w:t>violence</w:t>
      </w:r>
      <w:r w:rsidRPr="00C90932">
        <w:rPr>
          <w:sz w:val="16"/>
        </w:rPr>
        <w:t xml:space="preserve">)’ (pp. 36, 18). </w:t>
      </w:r>
      <w:r w:rsidRPr="00C90932">
        <w:rPr>
          <w:rStyle w:val="StyleUnderline"/>
        </w:rPr>
        <w:t>So invested can people become in identity</w:t>
      </w:r>
      <w:r w:rsidRPr="00C90932">
        <w:rPr>
          <w:sz w:val="16"/>
        </w:rPr>
        <w:t xml:space="preserve"> (their own and that of others) </w:t>
      </w:r>
      <w:r w:rsidRPr="00C90932">
        <w:rPr>
          <w:rStyle w:val="StyleUnderline"/>
        </w:rPr>
        <w:t xml:space="preserve">that they can get </w:t>
      </w:r>
      <w:r w:rsidRPr="00C90932">
        <w:rPr>
          <w:rStyle w:val="Emphasis"/>
        </w:rPr>
        <w:t>bogged down in battles over recognition and self-policing</w:t>
      </w:r>
      <w:r w:rsidRPr="00C90932">
        <w:rPr>
          <w:sz w:val="16"/>
        </w:rPr>
        <w:t>.</w:t>
      </w:r>
    </w:p>
    <w:p w14:paraId="15140DCF" w14:textId="77777777" w:rsidR="00F3765A" w:rsidRPr="00C90932" w:rsidRDefault="00F3765A" w:rsidP="00C90932">
      <w:pPr>
        <w:rPr>
          <w:sz w:val="16"/>
        </w:rPr>
      </w:pPr>
      <w:r w:rsidRPr="00C90932">
        <w:rPr>
          <w:rStyle w:val="StyleUnderline"/>
        </w:rPr>
        <w:t>The libidinal complement</w:t>
      </w:r>
      <w:r w:rsidRPr="00C90932">
        <w:rPr>
          <w:sz w:val="16"/>
        </w:rPr>
        <w:t xml:space="preserve"> to intersectional identity politics thus </w:t>
      </w:r>
      <w:r w:rsidRPr="00C90932">
        <w:rPr>
          <w:rStyle w:val="StyleUnderline"/>
        </w:rPr>
        <w:t xml:space="preserve">reinforces the culturalization of liberal democratic politics. </w:t>
      </w:r>
      <w:r w:rsidRPr="00C90932">
        <w:rPr>
          <w:rStyle w:val="Emphasis"/>
        </w:rPr>
        <w:t>Real social problems</w:t>
      </w:r>
      <w:r w:rsidRPr="00C90932">
        <w:rPr>
          <w:sz w:val="16"/>
        </w:rPr>
        <w:t xml:space="preserve"> (discrimination, marginalization, racialization, inequality) </w:t>
      </w:r>
      <w:r w:rsidRPr="00C90932">
        <w:rPr>
          <w:rStyle w:val="Emphasis"/>
        </w:rPr>
        <w:t>are pressingly raised, but</w:t>
      </w:r>
      <w:r w:rsidRPr="00C90932">
        <w:rPr>
          <w:sz w:val="16"/>
        </w:rPr>
        <w:t xml:space="preserve"> only </w:t>
      </w:r>
      <w:r w:rsidRPr="00C90932">
        <w:rPr>
          <w:rStyle w:val="Emphasis"/>
        </w:rPr>
        <w:t>superficially</w:t>
      </w:r>
      <w:r w:rsidRPr="00C90932">
        <w:rPr>
          <w:sz w:val="16"/>
        </w:rPr>
        <w:t xml:space="preserve"> or partially </w:t>
      </w:r>
      <w:r w:rsidRPr="00C90932">
        <w:rPr>
          <w:rStyle w:val="Emphasis"/>
        </w:rPr>
        <w:t>acted upon</w:t>
      </w:r>
      <w:r w:rsidRPr="00C90932">
        <w:rPr>
          <w:rStyle w:val="StyleUnderline"/>
        </w:rPr>
        <w:t>. People enjoy and publicize their critical self-awareness, their empathy with the oppressed, and their</w:t>
      </w:r>
      <w:r w:rsidRPr="00C90932">
        <w:rPr>
          <w:sz w:val="16"/>
        </w:rPr>
        <w:t xml:space="preserve"> seemingly </w:t>
      </w:r>
      <w:r w:rsidRPr="00C90932">
        <w:rPr>
          <w:rStyle w:val="StyleUnderline"/>
        </w:rPr>
        <w:t>progressive</w:t>
      </w:r>
      <w:r w:rsidRPr="00C90932">
        <w:rPr>
          <w:sz w:val="16"/>
        </w:rPr>
        <w:t xml:space="preserve"> and humanitarian </w:t>
      </w:r>
      <w:r w:rsidRPr="00C90932">
        <w:rPr>
          <w:rStyle w:val="StyleUnderline"/>
        </w:rPr>
        <w:t>politics</w:t>
      </w:r>
      <w:r w:rsidRPr="00C90932">
        <w:rPr>
          <w:sz w:val="16"/>
        </w:rPr>
        <w:t xml:space="preserve">, but </w:t>
      </w:r>
      <w:r w:rsidRPr="00C90932">
        <w:rPr>
          <w:rStyle w:val="Emphasis"/>
        </w:rPr>
        <w:t>without taking any meaningful action</w:t>
      </w:r>
      <w:r w:rsidRPr="00C90932">
        <w:rPr>
          <w:sz w:val="16"/>
        </w:rPr>
        <w:t xml:space="preserve"> (</w:t>
      </w:r>
      <w:r w:rsidRPr="00C90932">
        <w:rPr>
          <w:rStyle w:val="Emphasis"/>
        </w:rPr>
        <w:t>confronting</w:t>
      </w:r>
      <w:r w:rsidRPr="00C90932">
        <w:rPr>
          <w:sz w:val="16"/>
        </w:rPr>
        <w:t xml:space="preserve"> the </w:t>
      </w:r>
      <w:r w:rsidRPr="00C90932">
        <w:rPr>
          <w:rStyle w:val="Emphasis"/>
        </w:rPr>
        <w:t>systemic barriers to</w:t>
      </w:r>
      <w:r w:rsidRPr="00C90932">
        <w:rPr>
          <w:sz w:val="16"/>
        </w:rPr>
        <w:t xml:space="preserve"> inequalities, </w:t>
      </w:r>
      <w:r w:rsidRPr="00C90932">
        <w:rPr>
          <w:rStyle w:val="Emphasis"/>
        </w:rPr>
        <w:t>or demanding collective and material rights</w:t>
      </w:r>
      <w:r w:rsidRPr="00C90932">
        <w:rPr>
          <w:sz w:val="16"/>
        </w:rPr>
        <w:t xml:space="preserve">, not simply individual civil and cultural rights). </w:t>
      </w:r>
      <w:r w:rsidRPr="00C90932">
        <w:rPr>
          <w:rStyle w:val="StyleUnderline"/>
        </w:rPr>
        <w:t>We feel good about naming our complicity in global inequality</w:t>
      </w:r>
      <w:r w:rsidRPr="00C90932">
        <w:rPr>
          <w:sz w:val="16"/>
        </w:rPr>
        <w:t xml:space="preserve">, or </w:t>
      </w:r>
      <w:r w:rsidRPr="00C90932">
        <w:rPr>
          <w:rStyle w:val="Emphasis"/>
        </w:rPr>
        <w:t>we get off on surveilling others’ lack of ‘political correctness’</w:t>
      </w:r>
      <w:r w:rsidRPr="00C90932">
        <w:rPr>
          <w:sz w:val="16"/>
        </w:rPr>
        <w:t xml:space="preserve">, but </w:t>
      </w:r>
      <w:r w:rsidRPr="00C90932">
        <w:rPr>
          <w:rStyle w:val="StyleUnderline"/>
        </w:rPr>
        <w:t xml:space="preserve">this only ends up </w:t>
      </w:r>
      <w:r w:rsidRPr="00C90932">
        <w:rPr>
          <w:rStyle w:val="Emphasis"/>
        </w:rPr>
        <w:t>reinforcing</w:t>
      </w:r>
      <w:r w:rsidRPr="00C90932">
        <w:rPr>
          <w:rStyle w:val="StyleUnderline"/>
        </w:rPr>
        <w:t xml:space="preserve"> the particularity, fragmentation, and depoliticization that capitalist liberal democracies count on</w:t>
      </w:r>
      <w:r w:rsidRPr="00C90932">
        <w:rPr>
          <w:sz w:val="16"/>
        </w:rPr>
        <w:t>.</w:t>
      </w:r>
    </w:p>
    <w:p w14:paraId="3D627B1E" w14:textId="77777777" w:rsidR="00F3765A" w:rsidRPr="00C90932" w:rsidRDefault="00F3765A" w:rsidP="00C90932">
      <w:pPr>
        <w:pStyle w:val="Heading3"/>
      </w:pPr>
      <w:r w:rsidRPr="00C90932">
        <w:t>Theory Wrong---Settler Colonialism---2AC</w:t>
      </w:r>
    </w:p>
    <w:p w14:paraId="0619FB3A" w14:textId="77777777" w:rsidR="00F3765A" w:rsidRPr="00C90932" w:rsidRDefault="00F3765A" w:rsidP="00C90932">
      <w:pPr>
        <w:pStyle w:val="Heading4"/>
      </w:pPr>
      <w:r w:rsidRPr="00C90932">
        <w:t xml:space="preserve">Describing settler colonialism as ontological naturalizes the erasure of Indigenous people. </w:t>
      </w:r>
    </w:p>
    <w:p w14:paraId="2DC7A4EE" w14:textId="77777777" w:rsidR="00F3765A" w:rsidRPr="00C90932" w:rsidRDefault="00F3765A" w:rsidP="00C90932">
      <w:r w:rsidRPr="00C90932">
        <w:t xml:space="preserve">Callum </w:t>
      </w:r>
      <w:r w:rsidRPr="00C90932">
        <w:rPr>
          <w:rStyle w:val="Style13ptBold"/>
        </w:rPr>
        <w:t>Stewart &amp;</w:t>
      </w:r>
      <w:r w:rsidRPr="00C90932">
        <w:t xml:space="preserve"> Franka </w:t>
      </w:r>
      <w:r w:rsidRPr="00C90932">
        <w:rPr>
          <w:rStyle w:val="Style13ptBold"/>
        </w:rPr>
        <w:t>Vaughan 24</w:t>
      </w:r>
      <w:r w:rsidRPr="00C90932">
        <w:t>, Ph.D. candidate in the School of Social and Political Sciences at the University of Melbourne, M.Phil. in Sociology from the University of Cambridge; Postdoctoral Researcher and Lecturer in Development Studies at the University of Melbourne, Ph.D. in Political Science from the University of Melbourne, “Race, sovereignty, and White settler colonial studies: placing settlers at the Cultural Interface,” Settler Colonial Studies, Latest Articles, 10-02-2024, accessed 06-27-2025, https://doi.org/10.1080/2201473X.2024.2408145, DG</w:t>
      </w:r>
    </w:p>
    <w:p w14:paraId="5F0F1587" w14:textId="77777777" w:rsidR="00F3765A" w:rsidRPr="00C90932" w:rsidRDefault="00F3765A" w:rsidP="00C90932">
      <w:pPr>
        <w:rPr>
          <w:sz w:val="16"/>
        </w:rPr>
      </w:pPr>
      <w:r w:rsidRPr="00C90932">
        <w:rPr>
          <w:rStyle w:val="StyleUnderline"/>
        </w:rPr>
        <w:t>White settler colonial studies has been</w:t>
      </w:r>
      <w:r w:rsidRPr="00C90932">
        <w:rPr>
          <w:sz w:val="16"/>
        </w:rPr>
        <w:t xml:space="preserve"> widely </w:t>
      </w:r>
      <w:r w:rsidRPr="00C90932">
        <w:rPr>
          <w:rStyle w:val="StyleUnderline"/>
        </w:rPr>
        <w:t>criticised for producing a sense of</w:t>
      </w:r>
      <w:r w:rsidRPr="00C90932">
        <w:rPr>
          <w:sz w:val="16"/>
        </w:rPr>
        <w:t xml:space="preserve"> ‘</w:t>
      </w:r>
      <w:r w:rsidRPr="00C90932">
        <w:rPr>
          <w:rStyle w:val="Emphasis"/>
        </w:rPr>
        <w:t>colonial fatalism</w:t>
      </w:r>
      <w:r w:rsidRPr="00C90932">
        <w:rPr>
          <w:sz w:val="16"/>
        </w:rPr>
        <w:t xml:space="preserve">’, for </w:t>
      </w:r>
      <w:r w:rsidRPr="00C90932">
        <w:rPr>
          <w:rStyle w:val="StyleUnderline"/>
        </w:rPr>
        <w:t>representing settler colonialism as</w:t>
      </w:r>
      <w:r w:rsidRPr="00C90932">
        <w:rPr>
          <w:sz w:val="16"/>
        </w:rPr>
        <w:t xml:space="preserve"> ‘</w:t>
      </w:r>
      <w:r w:rsidRPr="00C90932">
        <w:rPr>
          <w:rStyle w:val="Emphasis"/>
        </w:rPr>
        <w:t>inevitable</w:t>
      </w:r>
      <w:r w:rsidRPr="00C90932">
        <w:rPr>
          <w:sz w:val="16"/>
        </w:rPr>
        <w:t xml:space="preserve">’, </w:t>
      </w:r>
      <w:r w:rsidRPr="00C90932">
        <w:rPr>
          <w:rStyle w:val="StyleUnderline"/>
        </w:rPr>
        <w:t>and</w:t>
      </w:r>
      <w:r w:rsidRPr="00C90932">
        <w:rPr>
          <w:sz w:val="16"/>
        </w:rPr>
        <w:t xml:space="preserve"> for </w:t>
      </w:r>
      <w:r w:rsidRPr="00C90932">
        <w:rPr>
          <w:rStyle w:val="StyleUnderline"/>
        </w:rPr>
        <w:t>reproducing a</w:t>
      </w:r>
      <w:r w:rsidRPr="00C90932">
        <w:rPr>
          <w:sz w:val="16"/>
        </w:rPr>
        <w:t xml:space="preserve"> ‘</w:t>
      </w:r>
      <w:r w:rsidRPr="00C90932">
        <w:rPr>
          <w:rStyle w:val="Emphasis"/>
        </w:rPr>
        <w:t>teleology of elimination</w:t>
      </w:r>
      <w:r w:rsidRPr="00C90932">
        <w:rPr>
          <w:sz w:val="16"/>
        </w:rPr>
        <w:t xml:space="preserve">’ </w:t>
      </w:r>
      <w:r w:rsidRPr="00C90932">
        <w:rPr>
          <w:rStyle w:val="Emphasis"/>
        </w:rPr>
        <w:t>of Indigenous lifeworlds</w:t>
      </w:r>
      <w:r w:rsidRPr="00C90932">
        <w:rPr>
          <w:sz w:val="16"/>
        </w:rPr>
        <w:t xml:space="preserve">.77 In this section, we therefore turn to theorise the background against which White settler colonial studies is produced as a discipline. Wolfe contends that, in settler colonial contexts, race functions primarily as an ‘organizing grammar’ or ‘ideology’ that may ‘obscure the primary historical relation- ship of invasion’.78 We argue, however, that </w:t>
      </w:r>
      <w:r w:rsidRPr="00C90932">
        <w:rPr>
          <w:rStyle w:val="StyleUnderline"/>
        </w:rPr>
        <w:t>White settler colonial studies takes</w:t>
      </w:r>
      <w:r w:rsidRPr="00C90932">
        <w:rPr>
          <w:sz w:val="16"/>
        </w:rPr>
        <w:t xml:space="preserve"> the </w:t>
      </w:r>
      <w:r w:rsidRPr="00C90932">
        <w:rPr>
          <w:rStyle w:val="StyleUnderline"/>
        </w:rPr>
        <w:t>macrological dynamics and institutionalised frameworks</w:t>
      </w:r>
      <w:r w:rsidRPr="00C90932">
        <w:rPr>
          <w:sz w:val="16"/>
        </w:rPr>
        <w:t xml:space="preserve"> of race </w:t>
      </w:r>
      <w:r w:rsidRPr="00C90932">
        <w:rPr>
          <w:rStyle w:val="StyleUnderline"/>
        </w:rPr>
        <w:t xml:space="preserve">as the </w:t>
      </w:r>
      <w:r w:rsidRPr="00C90932">
        <w:rPr>
          <w:rStyle w:val="Emphasis"/>
        </w:rPr>
        <w:t>self-evident background of the settler subject</w:t>
      </w:r>
      <w:r w:rsidRPr="00C90932">
        <w:rPr>
          <w:sz w:val="16"/>
        </w:rPr>
        <w:t xml:space="preserve">. White settler colonial studies is </w:t>
      </w:r>
      <w:r w:rsidRPr="00C90932">
        <w:rPr>
          <w:rStyle w:val="StyleUnderline"/>
        </w:rPr>
        <w:t xml:space="preserve">conditioned by histories of European imperialism and racial capitalism that </w:t>
      </w:r>
      <w:r w:rsidRPr="00C90932">
        <w:rPr>
          <w:rStyle w:val="Emphasis"/>
        </w:rPr>
        <w:t>orient White settler standpoints towards White sovereignty</w:t>
      </w:r>
      <w:r w:rsidRPr="00C90932">
        <w:rPr>
          <w:sz w:val="16"/>
        </w:rPr>
        <w:t xml:space="preserve">. From a White settler standpoint, </w:t>
      </w:r>
      <w:r w:rsidRPr="00C90932">
        <w:rPr>
          <w:rStyle w:val="StyleUnderline"/>
        </w:rPr>
        <w:t xml:space="preserve">the discipline </w:t>
      </w:r>
      <w:r w:rsidRPr="00C90932">
        <w:rPr>
          <w:rStyle w:val="Emphasis"/>
        </w:rPr>
        <w:t>produces the settler as transhistorical</w:t>
      </w:r>
      <w:r w:rsidRPr="00C90932">
        <w:rPr>
          <w:rStyle w:val="StyleUnderline"/>
        </w:rPr>
        <w:t xml:space="preserve">, and </w:t>
      </w:r>
      <w:r w:rsidRPr="00C90932">
        <w:rPr>
          <w:rStyle w:val="Emphasis"/>
        </w:rPr>
        <w:t>forecloses possibilities for action that emerge from Indigenous sovereignty</w:t>
      </w:r>
      <w:r w:rsidRPr="00C90932">
        <w:rPr>
          <w:sz w:val="16"/>
        </w:rPr>
        <w:t>.</w:t>
      </w:r>
    </w:p>
    <w:p w14:paraId="60B9B86E" w14:textId="77777777" w:rsidR="00F3765A" w:rsidRPr="00C90932" w:rsidRDefault="00F3765A" w:rsidP="00C90932">
      <w:pPr>
        <w:rPr>
          <w:sz w:val="16"/>
        </w:rPr>
      </w:pPr>
      <w:r w:rsidRPr="00C90932">
        <w:rPr>
          <w:sz w:val="16"/>
        </w:rPr>
        <w:t>Wolfe’s description of the settler/Indigenous binary is preconditioned by the naturalised racial difference of British imperialism. Wolfe argues that the frontier presents the ‘primary paradigm’ of ‘the historical development of Australian settler-colonisation’.79 The frontier, for Wolfe, is a performative representation that produces a primary settler/ Indigenous binary. According to Wolfe, the ‘binary nature of the Native/settler divide is a structural reality of a zero-sum conflict between two polarised and mutually distinct parties’.80 In his early work, Wolfe argues that ‘retrospectively, polarity is indisputable – back from a certain point, there is no question as to the mutual distinctiveness of the two parties to the Australian colonial process. The differences within them were smaller than the differences between them’.81 In response to critics, Wolfe forcefully repeats this point later in his career:</w:t>
      </w:r>
    </w:p>
    <w:p w14:paraId="4FE52C60" w14:textId="77777777" w:rsidR="00F3765A" w:rsidRPr="00C90932" w:rsidRDefault="00F3765A" w:rsidP="00C90932">
      <w:pPr>
        <w:ind w:left="720"/>
        <w:rPr>
          <w:sz w:val="16"/>
        </w:rPr>
      </w:pPr>
      <w:r w:rsidRPr="00C90932">
        <w:rPr>
          <w:sz w:val="16"/>
        </w:rPr>
        <w:t>the concept of the frontier has the virtue of expressing the protean fact of a historical coming together of societies that had previously been mutually discrete … Go back far enough, in other words, and there can be no disputing the existence of an unqualified empirical binarism.82</w:t>
      </w:r>
    </w:p>
    <w:p w14:paraId="25E4459B" w14:textId="77777777" w:rsidR="00F3765A" w:rsidRPr="00C90932" w:rsidRDefault="00F3765A" w:rsidP="00C90932">
      <w:pPr>
        <w:rPr>
          <w:sz w:val="16"/>
        </w:rPr>
      </w:pPr>
      <w:r w:rsidRPr="00C90932">
        <w:rPr>
          <w:sz w:val="16"/>
        </w:rPr>
        <w:t xml:space="preserve">Wolfe’s </w:t>
      </w:r>
      <w:r w:rsidRPr="00C90932">
        <w:rPr>
          <w:rStyle w:val="StyleUnderline"/>
        </w:rPr>
        <w:t>analysis</w:t>
      </w:r>
      <w:r w:rsidRPr="00C90932">
        <w:rPr>
          <w:sz w:val="16"/>
        </w:rPr>
        <w:t xml:space="preserve"> of Australia thereby </w:t>
      </w:r>
      <w:r w:rsidRPr="00C90932">
        <w:rPr>
          <w:rStyle w:val="StyleUnderline"/>
        </w:rPr>
        <w:t>assumes the existence of two pre-given and categorically different entities that precede the invasion</w:t>
      </w:r>
      <w:r w:rsidRPr="00C90932">
        <w:rPr>
          <w:sz w:val="16"/>
        </w:rPr>
        <w:t>.</w:t>
      </w:r>
    </w:p>
    <w:p w14:paraId="414EFFE9" w14:textId="77777777" w:rsidR="00F3765A" w:rsidRPr="00C90932" w:rsidRDefault="00F3765A" w:rsidP="00C90932">
      <w:pPr>
        <w:rPr>
          <w:sz w:val="16"/>
        </w:rPr>
      </w:pPr>
      <w:r w:rsidRPr="00C90932">
        <w:rPr>
          <w:rStyle w:val="StyleUnderline"/>
        </w:rPr>
        <w:t>Wolfe theoretically argues</w:t>
      </w:r>
      <w:r w:rsidRPr="00C90932">
        <w:rPr>
          <w:sz w:val="16"/>
        </w:rPr>
        <w:t xml:space="preserve"> that </w:t>
      </w:r>
      <w:r w:rsidRPr="00C90932">
        <w:rPr>
          <w:rStyle w:val="StyleUnderline"/>
        </w:rPr>
        <w:t>settler/Indigenous polarity is</w:t>
      </w:r>
      <w:r w:rsidRPr="00C90932">
        <w:rPr>
          <w:sz w:val="16"/>
        </w:rPr>
        <w:t xml:space="preserve"> ‘</w:t>
      </w:r>
      <w:r w:rsidRPr="00C90932">
        <w:rPr>
          <w:rStyle w:val="StyleUnderline"/>
        </w:rPr>
        <w:t xml:space="preserve">a </w:t>
      </w:r>
      <w:r w:rsidRPr="00C90932">
        <w:rPr>
          <w:rStyle w:val="Emphasis"/>
        </w:rPr>
        <w:t>structural relationship rather than an effect of the will</w:t>
      </w:r>
      <w:r w:rsidRPr="00C90932">
        <w:rPr>
          <w:sz w:val="16"/>
        </w:rPr>
        <w:t xml:space="preserve">’.83 As such, he </w:t>
      </w:r>
      <w:r w:rsidRPr="00C90932">
        <w:rPr>
          <w:rStyle w:val="StyleUnderline"/>
        </w:rPr>
        <w:t>categorises all non-Indigenous peoples living on stolen Indigenous land as settlers</w:t>
      </w:r>
      <w:r w:rsidRPr="00C90932">
        <w:rPr>
          <w:sz w:val="16"/>
        </w:rPr>
        <w:t xml:space="preserve">. This risks </w:t>
      </w:r>
      <w:r w:rsidRPr="00C90932">
        <w:rPr>
          <w:rStyle w:val="Emphasis"/>
        </w:rPr>
        <w:t>overdetermining the position of non-Indigenous peoples on stolen Indigenous land</w:t>
      </w:r>
      <w:r w:rsidRPr="00C90932">
        <w:rPr>
          <w:rStyle w:val="StyleUnderline"/>
        </w:rPr>
        <w:t xml:space="preserve">, producing a </w:t>
      </w:r>
      <w:r w:rsidRPr="00C90932">
        <w:rPr>
          <w:rStyle w:val="Emphasis"/>
        </w:rPr>
        <w:t>settler homogeneity</w:t>
      </w:r>
      <w:r w:rsidRPr="00C90932">
        <w:rPr>
          <w:rStyle w:val="StyleUnderline"/>
        </w:rPr>
        <w:t xml:space="preserve"> by locating Black enslaved peoples, forced migrants of colour, and Indigenous migrants </w:t>
      </w:r>
      <w:r w:rsidRPr="00C90932">
        <w:rPr>
          <w:rStyle w:val="Emphasis"/>
        </w:rPr>
        <w:t>into the White category of settler</w:t>
      </w:r>
      <w:r w:rsidRPr="00C90932">
        <w:rPr>
          <w:sz w:val="16"/>
        </w:rPr>
        <w:t>. Wolfe provides a number of counter-intuitive examples of settlers. Most contentiously, Wolfe argues that:</w:t>
      </w:r>
    </w:p>
    <w:p w14:paraId="0EBC54C1" w14:textId="77777777" w:rsidR="00F3765A" w:rsidRPr="00C90932" w:rsidRDefault="00F3765A" w:rsidP="00C90932">
      <w:pPr>
        <w:ind w:left="720"/>
        <w:rPr>
          <w:sz w:val="16"/>
        </w:rPr>
      </w:pPr>
      <w:r w:rsidRPr="00C90932">
        <w:rPr>
          <w:sz w:val="16"/>
        </w:rPr>
        <w:t>The fact that enslaved peoples immigrated against their will … does not alter the structural fact that their presence, however involuntary, was part of the process of Native dispossession.84</w:t>
      </w:r>
    </w:p>
    <w:p w14:paraId="6A0C320C" w14:textId="77777777" w:rsidR="00F3765A" w:rsidRPr="00C90932" w:rsidRDefault="00F3765A" w:rsidP="00C90932">
      <w:pPr>
        <w:rPr>
          <w:sz w:val="16"/>
        </w:rPr>
      </w:pPr>
      <w:r w:rsidRPr="00C90932">
        <w:rPr>
          <w:sz w:val="16"/>
        </w:rPr>
        <w:t>Similarly, Wolfe cites the recruitment of Native Peruvians to bolster the population of Israeli colonies in occupied Palestine, and the deployment of Native American soldiers in Hawaii as evidence of the ‘determinate nature of structural relations’ irrespective of the conditions that motivated their migration.85 British settlers nevertheless enter Wolfe’s analysis as the implicit point of reference from which the category of settler is theorised. Wolfe justifies his counter-intuitive stance by comparing enslaved peoples in America and Indigenous-cum-settlers in Israel and Hawai’i to White settlers in Australia: ‘White convicts came against their will. Does this mean that their descendants are not settlers?’.86 Wolfe’s settler/Indigenous binary might therefore be rearticulated as a White/Indigenous-race binary; a White/Black binary in the case of Australia.</w:t>
      </w:r>
    </w:p>
    <w:p w14:paraId="70E8F091" w14:textId="77777777" w:rsidR="00F3765A" w:rsidRPr="00C90932" w:rsidRDefault="00F3765A" w:rsidP="00C90932">
      <w:pPr>
        <w:rPr>
          <w:sz w:val="16"/>
        </w:rPr>
      </w:pPr>
      <w:r w:rsidRPr="00C90932">
        <w:rPr>
          <w:sz w:val="16"/>
        </w:rPr>
        <w:t xml:space="preserve">Wolfe’s </w:t>
      </w:r>
      <w:r w:rsidRPr="00C90932">
        <w:rPr>
          <w:rStyle w:val="StyleUnderline"/>
        </w:rPr>
        <w:t>description of the logic of elimination is preconditioned by naturalised bioeconomic laws of racial capitalism</w:t>
      </w:r>
      <w:r w:rsidRPr="00C90932">
        <w:rPr>
          <w:sz w:val="16"/>
        </w:rPr>
        <w:t xml:space="preserve">. Wolfe’s </w:t>
      </w:r>
      <w:r w:rsidRPr="00C90932">
        <w:rPr>
          <w:rStyle w:val="StyleUnderline"/>
        </w:rPr>
        <w:t>geographical depiction of the frontier</w:t>
      </w:r>
      <w:r w:rsidRPr="00C90932">
        <w:rPr>
          <w:sz w:val="16"/>
        </w:rPr>
        <w:t xml:space="preserve">, as noted above, </w:t>
      </w:r>
      <w:r w:rsidRPr="00C90932">
        <w:rPr>
          <w:rStyle w:val="StyleUnderline"/>
        </w:rPr>
        <w:t>presents Indigenous-settler relations in terms of a</w:t>
      </w:r>
      <w:r w:rsidRPr="00C90932">
        <w:rPr>
          <w:sz w:val="16"/>
        </w:rPr>
        <w:t xml:space="preserve"> ‘</w:t>
      </w:r>
      <w:r w:rsidRPr="00C90932">
        <w:rPr>
          <w:rStyle w:val="Emphasis"/>
        </w:rPr>
        <w:t>zero-sum conflict</w:t>
      </w:r>
      <w:r w:rsidRPr="00C90932">
        <w:rPr>
          <w:sz w:val="16"/>
        </w:rPr>
        <w:t xml:space="preserve">’ over the land.87 </w:t>
      </w:r>
      <w:r w:rsidRPr="00C90932">
        <w:rPr>
          <w:rStyle w:val="StyleUnderline"/>
        </w:rPr>
        <w:t>This</w:t>
      </w:r>
      <w:r w:rsidRPr="00C90932">
        <w:rPr>
          <w:sz w:val="16"/>
        </w:rPr>
        <w:t xml:space="preserve"> description of a zero-sum conflict </w:t>
      </w:r>
      <w:r w:rsidRPr="00C90932">
        <w:rPr>
          <w:rStyle w:val="StyleUnderline"/>
        </w:rPr>
        <w:t xml:space="preserve">presents the land as a finite and scarce resource, </w:t>
      </w:r>
      <w:r w:rsidRPr="00C90932">
        <w:rPr>
          <w:rStyle w:val="Emphasis"/>
        </w:rPr>
        <w:t>a possession to be secured through</w:t>
      </w:r>
      <w:r w:rsidRPr="00C90932">
        <w:rPr>
          <w:rStyle w:val="StyleUnderline"/>
        </w:rPr>
        <w:t xml:space="preserve"> the </w:t>
      </w:r>
      <w:r w:rsidRPr="00C90932">
        <w:rPr>
          <w:rStyle w:val="Emphasis"/>
        </w:rPr>
        <w:t>exclusion</w:t>
      </w:r>
      <w:r w:rsidRPr="00C90932">
        <w:rPr>
          <w:rStyle w:val="StyleUnderline"/>
        </w:rPr>
        <w:t xml:space="preserve"> of others</w:t>
      </w:r>
      <w:r w:rsidRPr="00C90932">
        <w:rPr>
          <w:sz w:val="16"/>
        </w:rPr>
        <w:t xml:space="preserve">. Wolfe’s description of the logic of elimination produces a slippage in his work ‘between the intent of settler colonialism and its tangible outcomes, which carry the implication of extinction’.88 Jean M. O’Brien identifies two examples of this slippage in Wolfe’s Traces of History. First, Wolfe describes allotment policy in the USA, which aimed to eliminate Native Americans from the land by requiring that they either move further west or assimilate into the settler nation by accepting a privatised allotment of land. Wolfe, however, concludes that those Choctaw people who opted to stay on their land and take up individual allotments were successfully transformed into ‘“homesteaders and American citizens”’; for Wolfe, ‘Without the tribe … for all practical purposes, they were no longer Indians’.89 Second, Wolfe describes the Indian Reorganization Act (IRA) of 1934 as a policy that aimed to eliminate Native Americans by reforming and assimilating them into the settler nation at the level of the tribe. Wolfe again concludes that those ‘reformed tribe[s] had been domesticated’ through the reservation system and the ‘inassimilable features of the tribe’ eliminated.90 He further concludes that Native Americans off-reservation were thereby incorporated into the settler nation as either Black or White, and ‘ceased being Indian’.91 In each example, </w:t>
      </w:r>
      <w:r w:rsidRPr="00C90932">
        <w:rPr>
          <w:rStyle w:val="StyleUnderline"/>
        </w:rPr>
        <w:t>Wolfe’s account of the logic of elimination slips into a description of the</w:t>
      </w:r>
      <w:r w:rsidRPr="00C90932">
        <w:rPr>
          <w:sz w:val="16"/>
        </w:rPr>
        <w:t xml:space="preserve"> ‘</w:t>
      </w:r>
      <w:r w:rsidRPr="00C90932">
        <w:rPr>
          <w:rStyle w:val="StyleUnderline"/>
        </w:rPr>
        <w:t>social death of Nativeness</w:t>
      </w:r>
      <w:r w:rsidRPr="00C90932">
        <w:rPr>
          <w:sz w:val="16"/>
        </w:rPr>
        <w:t xml:space="preserve">’92 </w:t>
      </w:r>
      <w:r w:rsidRPr="00C90932">
        <w:rPr>
          <w:rStyle w:val="StyleUnderline"/>
        </w:rPr>
        <w:t xml:space="preserve">as an actual outcome of settler colonialism. By theorising settler colonialism as bioeconomic competition over land, Wolfe </w:t>
      </w:r>
      <w:r w:rsidRPr="00C90932">
        <w:rPr>
          <w:rStyle w:val="Emphasis"/>
        </w:rPr>
        <w:t>naturalises the elimination of the Indigenous race</w:t>
      </w:r>
      <w:r w:rsidRPr="00C90932">
        <w:rPr>
          <w:rStyle w:val="StyleUnderline"/>
        </w:rPr>
        <w:t xml:space="preserve"> </w:t>
      </w:r>
      <w:r w:rsidRPr="00C90932">
        <w:rPr>
          <w:rStyle w:val="Emphasis"/>
        </w:rPr>
        <w:t>and their replacement by the White race</w:t>
      </w:r>
      <w:r w:rsidRPr="00C90932">
        <w:rPr>
          <w:sz w:val="16"/>
        </w:rPr>
        <w:t>.</w:t>
      </w:r>
    </w:p>
    <w:p w14:paraId="3361CE55" w14:textId="77777777" w:rsidR="00F3765A" w:rsidRPr="00C90932" w:rsidRDefault="00F3765A" w:rsidP="00C90932">
      <w:pPr>
        <w:rPr>
          <w:sz w:val="16"/>
        </w:rPr>
      </w:pPr>
      <w:r w:rsidRPr="00C90932">
        <w:rPr>
          <w:sz w:val="16"/>
        </w:rPr>
        <w:t xml:space="preserve">Finally, Veracini’s description of settler sovereignty is preconditioned by White possessive logics of both racial capitalism and British imperialism. Veracini describes settlers as ‘founders of political orders’, and a ‘sovereign collective’;93 a settler body politic is ‘self-constituted … through a foundational sovereign movement across space’.94 Settlers, for Veracini, ‘carry their sovereignty with them’.95 Veracini’s </w:t>
      </w:r>
      <w:r w:rsidRPr="00C90932">
        <w:rPr>
          <w:rStyle w:val="StyleUnderline"/>
        </w:rPr>
        <w:t>description of sovereignty as something settlers may carry across space represents settler sovereignty as a White possession</w:t>
      </w:r>
      <w:r w:rsidRPr="00C90932">
        <w:rPr>
          <w:sz w:val="16"/>
        </w:rPr>
        <w:t xml:space="preserve">. He details, for example, the corporate foundations of an ‘extensive’ list of settler colonial endeavours.96 In these endeavours, on Veracini’s account, the sovereignty of settlers is a product of the economic capital they carry with them. ‘Capitalism’, for Veracini, ‘is at the service of settlement’. In another example, Veracini argues </w:t>
      </w:r>
      <w:r w:rsidRPr="00C90932">
        <w:rPr>
          <w:rStyle w:val="StyleUnderline"/>
        </w:rPr>
        <w:t>that all settler colonial endeavours must have</w:t>
      </w:r>
      <w:r w:rsidRPr="00C90932">
        <w:rPr>
          <w:sz w:val="16"/>
        </w:rPr>
        <w:t xml:space="preserve"> ‘</w:t>
      </w:r>
      <w:r w:rsidRPr="00C90932">
        <w:rPr>
          <w:rStyle w:val="StyleUnderline"/>
        </w:rPr>
        <w:t>the ability to will a collective identity and its institutions into existence</w:t>
      </w:r>
      <w:r w:rsidRPr="00C90932">
        <w:rPr>
          <w:sz w:val="16"/>
        </w:rPr>
        <w:t xml:space="preserve">’.97 In other words, settler bodies can only irrupt into existence if they are able to imagine their movement to a new location. This </w:t>
      </w:r>
      <w:r w:rsidRPr="00C90932">
        <w:rPr>
          <w:rStyle w:val="StyleUnderline"/>
        </w:rPr>
        <w:t>reflects</w:t>
      </w:r>
      <w:r w:rsidRPr="00C90932">
        <w:rPr>
          <w:sz w:val="16"/>
        </w:rPr>
        <w:t xml:space="preserve">, then, </w:t>
      </w:r>
      <w:r w:rsidRPr="00C90932">
        <w:rPr>
          <w:rStyle w:val="StyleUnderline"/>
        </w:rPr>
        <w:t>a public and psychological wage of British imperialism. Veracini produces Whiteness as a possession through the construction of migrants as</w:t>
      </w:r>
      <w:r w:rsidRPr="00C90932">
        <w:rPr>
          <w:sz w:val="16"/>
        </w:rPr>
        <w:t xml:space="preserve"> ‘</w:t>
      </w:r>
      <w:r w:rsidRPr="00C90932">
        <w:rPr>
          <w:rStyle w:val="StyleUnderline"/>
        </w:rPr>
        <w:t xml:space="preserve">appellants </w:t>
      </w:r>
      <w:r w:rsidRPr="00C90932">
        <w:rPr>
          <w:rStyle w:val="Emphasis"/>
        </w:rPr>
        <w:t>facing a political order that is already constituted’</w:t>
      </w:r>
      <w:r w:rsidRPr="00C90932">
        <w:rPr>
          <w:sz w:val="16"/>
        </w:rPr>
        <w:t xml:space="preserve">.98 </w:t>
      </w:r>
      <w:r w:rsidRPr="00C90932">
        <w:rPr>
          <w:rStyle w:val="StyleUnderline"/>
        </w:rPr>
        <w:t>This</w:t>
      </w:r>
      <w:r w:rsidRPr="00C90932">
        <w:rPr>
          <w:sz w:val="16"/>
        </w:rPr>
        <w:t xml:space="preserve"> construction </w:t>
      </w:r>
      <w:r w:rsidRPr="00C90932">
        <w:rPr>
          <w:rStyle w:val="StyleUnderline"/>
        </w:rPr>
        <w:t xml:space="preserve">risks </w:t>
      </w:r>
      <w:r w:rsidRPr="00C90932">
        <w:rPr>
          <w:rStyle w:val="Emphasis"/>
        </w:rPr>
        <w:t>dehumanising migrants</w:t>
      </w:r>
      <w:r w:rsidRPr="00C90932">
        <w:rPr>
          <w:rStyle w:val="StyleUnderline"/>
        </w:rPr>
        <w:t xml:space="preserve"> by </w:t>
      </w:r>
      <w:r w:rsidRPr="00C90932">
        <w:rPr>
          <w:rStyle w:val="Emphasis"/>
        </w:rPr>
        <w:t>erasing their agency</w:t>
      </w:r>
      <w:r w:rsidRPr="00C90932">
        <w:rPr>
          <w:rStyle w:val="StyleUnderline"/>
        </w:rPr>
        <w:t xml:space="preserve"> and </w:t>
      </w:r>
      <w:r w:rsidRPr="00C90932">
        <w:rPr>
          <w:rStyle w:val="Emphasis"/>
        </w:rPr>
        <w:t>presenting them as chattel or imperial subjects who may be easily</w:t>
      </w:r>
      <w:r w:rsidRPr="00C90932">
        <w:rPr>
          <w:sz w:val="16"/>
        </w:rPr>
        <w:t xml:space="preserve"> ‘</w:t>
      </w:r>
      <w:r w:rsidRPr="00C90932">
        <w:rPr>
          <w:rStyle w:val="Emphasis"/>
        </w:rPr>
        <w:t>co-opted within settler colonial political regimes</w:t>
      </w:r>
      <w:r w:rsidRPr="00C90932">
        <w:rPr>
          <w:sz w:val="16"/>
        </w:rPr>
        <w:t xml:space="preserve">’.99 </w:t>
      </w:r>
      <w:r w:rsidRPr="00C90932">
        <w:rPr>
          <w:rStyle w:val="StyleUnderline"/>
        </w:rPr>
        <w:t>Racial capitalism and British imperialism</w:t>
      </w:r>
      <w:r w:rsidRPr="00C90932">
        <w:rPr>
          <w:sz w:val="16"/>
        </w:rPr>
        <w:t xml:space="preserve"> thus </w:t>
      </w:r>
      <w:r w:rsidRPr="00C90932">
        <w:rPr>
          <w:rStyle w:val="StyleUnderline"/>
        </w:rPr>
        <w:t>function as the background to settlers’ apparent capacity to carry their sovereignty with them wherever they go</w:t>
      </w:r>
      <w:r w:rsidRPr="00C90932">
        <w:rPr>
          <w:sz w:val="16"/>
        </w:rPr>
        <w:t xml:space="preserve">. As such, Veracini concludes that ‘sovereign entitlement … travels with the settler collective’. Whiteness as possession provides settlers with what Veracini terms a ‘crucial marker of settler substantive sovereignty’, the ability of settlers to biopolitically manage the ‘population economy’ of their territory.100 Here, Veracini’s </w:t>
      </w:r>
      <w:r w:rsidRPr="00C90932">
        <w:rPr>
          <w:rStyle w:val="StyleUnderline"/>
        </w:rPr>
        <w:t xml:space="preserve">description of settler sovereignty as </w:t>
      </w:r>
      <w:r w:rsidRPr="00C90932">
        <w:rPr>
          <w:rStyle w:val="Emphasis"/>
        </w:rPr>
        <w:t>substantive, rather than imagined</w:t>
      </w:r>
      <w:r w:rsidRPr="00C90932">
        <w:rPr>
          <w:sz w:val="16"/>
        </w:rPr>
        <w:t xml:space="preserve">, further </w:t>
      </w:r>
      <w:r w:rsidRPr="00C90932">
        <w:rPr>
          <w:rStyle w:val="Emphasis"/>
        </w:rPr>
        <w:t>represents Indigenous peoples as if they are already captured and contained by settler sovereignty. It reproduces a White fantasy of</w:t>
      </w:r>
      <w:r w:rsidRPr="00C90932">
        <w:rPr>
          <w:sz w:val="16"/>
        </w:rPr>
        <w:t xml:space="preserve"> ‘</w:t>
      </w:r>
      <w:r w:rsidRPr="00C90932">
        <w:rPr>
          <w:rStyle w:val="Emphasis"/>
        </w:rPr>
        <w:t>ownership of the earth, forever and ever, Amen!</w:t>
      </w:r>
      <w:r w:rsidRPr="00C90932">
        <w:rPr>
          <w:sz w:val="16"/>
        </w:rPr>
        <w:t>’</w:t>
      </w:r>
    </w:p>
    <w:p w14:paraId="4A355CAF" w14:textId="77777777" w:rsidR="00F3765A" w:rsidRPr="00C90932" w:rsidRDefault="00F3765A" w:rsidP="00C90932">
      <w:pPr>
        <w:rPr>
          <w:sz w:val="16"/>
        </w:rPr>
      </w:pPr>
      <w:r w:rsidRPr="00C90932">
        <w:rPr>
          <w:sz w:val="16"/>
        </w:rPr>
        <w:t>Conclusion</w:t>
      </w:r>
    </w:p>
    <w:p w14:paraId="7C317C30" w14:textId="77777777" w:rsidR="00F3765A" w:rsidRPr="00C90932" w:rsidRDefault="00F3765A" w:rsidP="00C90932">
      <w:pPr>
        <w:rPr>
          <w:sz w:val="16"/>
        </w:rPr>
      </w:pPr>
      <w:r w:rsidRPr="00C90932">
        <w:rPr>
          <w:sz w:val="16"/>
        </w:rPr>
        <w:t xml:space="preserve">This article has sought to theorise the racialisation of settler subjects and their practices by locating settlers within global and transnational histories of European and US imperialism, racial capitalism, and settler colonialism. It departs from White settler colonial studies’ description of settler colonialism as a ‘structure, not an event’, instead using Nakata’s Cultural Interface theory to unsettle settlers’ place on sovereign Indigenous land. For Nakata, Indigenous sovereignty is the starting point of the analysis, not the object of analysis. Through the analysis of White sovereignty and settler orientations, we extend Cultural Interface theory to theorise how </w:t>
      </w:r>
      <w:r w:rsidRPr="00C90932">
        <w:rPr>
          <w:rStyle w:val="StyleUnderline"/>
        </w:rPr>
        <w:t xml:space="preserve">the transhistorical appearance of the settler within White settler colonial studies is </w:t>
      </w:r>
      <w:r w:rsidRPr="00C90932">
        <w:rPr>
          <w:rStyle w:val="Emphasis"/>
        </w:rPr>
        <w:t>conditioned by race</w:t>
      </w:r>
      <w:r w:rsidRPr="00C90932">
        <w:rPr>
          <w:sz w:val="16"/>
        </w:rPr>
        <w:t xml:space="preserve">. To do so, we have explored the shape of the White settler standpoints taken up by both White colonisers and Black American settlers in Liberia, and in White settler colonial studies itself. We argue that </w:t>
      </w:r>
      <w:r w:rsidRPr="00C90932">
        <w:rPr>
          <w:rStyle w:val="StyleUnderline"/>
        </w:rPr>
        <w:t xml:space="preserve">White settler colonial studies reproduces the orientation of White settler standpoints towards White sovereignty, </w:t>
      </w:r>
      <w:r w:rsidRPr="00C90932">
        <w:rPr>
          <w:rStyle w:val="Emphasis"/>
        </w:rPr>
        <w:t>rendering possibilities that emerge from Indigenous sovereignty unintelligible</w:t>
      </w:r>
      <w:r w:rsidRPr="00C90932">
        <w:rPr>
          <w:sz w:val="16"/>
        </w:rPr>
        <w:t>.</w:t>
      </w:r>
    </w:p>
    <w:p w14:paraId="11763CBE" w14:textId="77777777" w:rsidR="00F3765A" w:rsidRPr="00C90932" w:rsidRDefault="00F3765A" w:rsidP="00C90932">
      <w:pPr>
        <w:rPr>
          <w:sz w:val="16"/>
        </w:rPr>
      </w:pPr>
      <w:r w:rsidRPr="00C90932">
        <w:rPr>
          <w:sz w:val="16"/>
        </w:rPr>
        <w:t>Through the analysis of White sovereignty and settler orientations, we have extended Nakata’s work to theorise the conditions that produce settlers at the Cultural Interface. Situating Du Bois and Moreton-Robinson in conversation, we have highlighted the theoretical connections that the analytic of White possessive sovereignty illuminates. From racial capitalism and chattel slavery, to British imperialism and settler colonial nations, Du Bois and Moreton-Robinson theorise Whiteness as a possession performatively accumulated through the dehumanisation and dispossession of others, and which rationalises White sovereign ownership of the earth and everything in it. Through the example of Liberia, we have sought to further map White possessive logics, illustrating its connections to settler subjectivity.</w:t>
      </w:r>
    </w:p>
    <w:p w14:paraId="00050FE2" w14:textId="77777777" w:rsidR="00F3765A" w:rsidRPr="00C90932" w:rsidRDefault="00F3765A" w:rsidP="00C90932">
      <w:pPr>
        <w:rPr>
          <w:sz w:val="16"/>
        </w:rPr>
      </w:pPr>
      <w:r w:rsidRPr="00C90932">
        <w:rPr>
          <w:sz w:val="16"/>
        </w:rPr>
        <w:t xml:space="preserve">Building on Ahmed and Rifkin’s account of the orientated nature of settler standpoints, we have argued that </w:t>
      </w:r>
      <w:r w:rsidRPr="00C90932">
        <w:rPr>
          <w:rStyle w:val="StyleUnderline"/>
        </w:rPr>
        <w:t>settlers inhabit an orientation towards White sovereignty</w:t>
      </w:r>
      <w:r w:rsidRPr="00C90932">
        <w:rPr>
          <w:sz w:val="16"/>
        </w:rPr>
        <w:t xml:space="preserve">. This orientation is </w:t>
      </w:r>
      <w:r w:rsidRPr="00C90932">
        <w:rPr>
          <w:rStyle w:val="StyleUnderline"/>
        </w:rPr>
        <w:t>produced against the background of race</w:t>
      </w:r>
      <w:r w:rsidRPr="00C90932">
        <w:rPr>
          <w:sz w:val="16"/>
        </w:rPr>
        <w:t xml:space="preserve">, and is </w:t>
      </w:r>
      <w:r w:rsidRPr="00C90932">
        <w:rPr>
          <w:rStyle w:val="StyleUnderline"/>
        </w:rPr>
        <w:t>premised on the elimination of Indigenous sovereignty</w:t>
      </w:r>
      <w:r w:rsidRPr="00C90932">
        <w:rPr>
          <w:sz w:val="16"/>
        </w:rPr>
        <w:t xml:space="preserve">. We argue that </w:t>
      </w:r>
      <w:r w:rsidRPr="00C90932">
        <w:rPr>
          <w:rStyle w:val="Emphasis"/>
        </w:rPr>
        <w:t>preconceived theories of race</w:t>
      </w:r>
      <w:r w:rsidRPr="00C90932">
        <w:rPr>
          <w:rStyle w:val="StyleUnderline"/>
        </w:rPr>
        <w:t xml:space="preserve"> underlie White settler colonial studies’ description of settler colonialism. White settler colonial studies’ accounts of the settler/Indigenous binary, logic of elimination, and settler sovereignty </w:t>
      </w:r>
      <w:r w:rsidRPr="00C90932">
        <w:rPr>
          <w:rStyle w:val="Emphasis"/>
        </w:rPr>
        <w:t>present settlers as transhistorical subjects</w:t>
      </w:r>
      <w:r w:rsidRPr="00C90932">
        <w:rPr>
          <w:rStyle w:val="StyleUnderline"/>
        </w:rPr>
        <w:t xml:space="preserve"> by taking the logics of race and White possessive sovereignty as given. This</w:t>
      </w:r>
      <w:r w:rsidRPr="00C90932">
        <w:rPr>
          <w:sz w:val="16"/>
        </w:rPr>
        <w:t xml:space="preserve"> analysis </w:t>
      </w:r>
      <w:r w:rsidRPr="00C90932">
        <w:rPr>
          <w:rStyle w:val="StyleUnderline"/>
        </w:rPr>
        <w:t xml:space="preserve">deepens the critiques of White settler colonial studies as a discipline that presents settler colonialism as an </w:t>
      </w:r>
      <w:r w:rsidRPr="00C90932">
        <w:rPr>
          <w:rStyle w:val="Emphasis"/>
        </w:rPr>
        <w:t>impenetrable</w:t>
      </w:r>
      <w:r w:rsidRPr="00C90932">
        <w:rPr>
          <w:rStyle w:val="StyleUnderline"/>
        </w:rPr>
        <w:t xml:space="preserve"> and </w:t>
      </w:r>
      <w:r w:rsidRPr="00C90932">
        <w:rPr>
          <w:rStyle w:val="Emphasis"/>
        </w:rPr>
        <w:t>determined structure</w:t>
      </w:r>
      <w:r w:rsidRPr="00C90932">
        <w:rPr>
          <w:sz w:val="16"/>
        </w:rPr>
        <w:t>, not to discard White settler colonial studies’ theoretical contributions, but to theorise the preconceived conditions of race that limit the discipline.</w:t>
      </w:r>
    </w:p>
    <w:p w14:paraId="5D3EEFD2" w14:textId="77777777" w:rsidR="00F3765A" w:rsidRPr="00C90932" w:rsidRDefault="00F3765A" w:rsidP="00C90932">
      <w:pPr>
        <w:rPr>
          <w:sz w:val="16"/>
        </w:rPr>
      </w:pPr>
      <w:r w:rsidRPr="00C90932">
        <w:rPr>
          <w:sz w:val="16"/>
        </w:rPr>
        <w:t xml:space="preserve">By </w:t>
      </w:r>
      <w:r w:rsidRPr="00C90932">
        <w:rPr>
          <w:rStyle w:val="StyleUnderline"/>
        </w:rPr>
        <w:t>restoring Indigenous sovereignty to the foreground</w:t>
      </w:r>
      <w:r w:rsidRPr="00C90932">
        <w:rPr>
          <w:sz w:val="16"/>
        </w:rPr>
        <w:t xml:space="preserve">, Cultural Interface theory </w:t>
      </w:r>
      <w:r w:rsidRPr="00C90932">
        <w:rPr>
          <w:rStyle w:val="StyleUnderline"/>
        </w:rPr>
        <w:t>reveals possibilities</w:t>
      </w:r>
      <w:r w:rsidRPr="00C90932">
        <w:rPr>
          <w:sz w:val="16"/>
        </w:rPr>
        <w:t xml:space="preserve"> that emerge from </w:t>
      </w:r>
      <w:r w:rsidRPr="00C90932">
        <w:rPr>
          <w:rStyle w:val="Emphasis"/>
        </w:rPr>
        <w:t>beyond the limits of White settler colonial studies</w:t>
      </w:r>
      <w:r w:rsidRPr="00C90932">
        <w:rPr>
          <w:rStyle w:val="StyleUnderline"/>
        </w:rPr>
        <w:t>. It suggests</w:t>
      </w:r>
      <w:r w:rsidRPr="00C90932">
        <w:rPr>
          <w:sz w:val="16"/>
        </w:rPr>
        <w:t xml:space="preserve"> that </w:t>
      </w:r>
      <w:r w:rsidRPr="00C90932">
        <w:rPr>
          <w:rStyle w:val="StyleUnderline"/>
        </w:rPr>
        <w:t xml:space="preserve">we might </w:t>
      </w:r>
      <w:r w:rsidRPr="00C90932">
        <w:rPr>
          <w:rStyle w:val="Emphasis"/>
        </w:rPr>
        <w:t>direct our attention to the possibilities for decolonisation that already exist</w:t>
      </w:r>
      <w:r w:rsidRPr="00C90932">
        <w:rPr>
          <w:sz w:val="16"/>
        </w:rPr>
        <w:t xml:space="preserve">. Thinking in terms of orientations opens up multiple possibilities shaped by the direction one faces, </w:t>
      </w:r>
      <w:r w:rsidRPr="00C90932">
        <w:rPr>
          <w:rStyle w:val="Emphasis"/>
        </w:rPr>
        <w:t>without abstracting the subject from the social and political relations in which they are enmeshed and implicated. It</w:t>
      </w:r>
      <w:r w:rsidRPr="00C90932">
        <w:rPr>
          <w:sz w:val="16"/>
        </w:rPr>
        <w:t xml:space="preserve"> theoretically </w:t>
      </w:r>
      <w:r w:rsidRPr="00C90932">
        <w:rPr>
          <w:rStyle w:val="Emphasis"/>
        </w:rPr>
        <w:t>restores agency to settlers and non-Indigenous peoples</w:t>
      </w:r>
      <w:r w:rsidRPr="00C90932">
        <w:rPr>
          <w:sz w:val="16"/>
        </w:rPr>
        <w:t xml:space="preserve">; it </w:t>
      </w:r>
      <w:r w:rsidRPr="00C90932">
        <w:rPr>
          <w:rStyle w:val="StyleUnderline"/>
        </w:rPr>
        <w:t xml:space="preserve">allows for them to make decisions to turn away from White sovereignty and reorient themselves towards Indigenous sovereignty, </w:t>
      </w:r>
      <w:r w:rsidRPr="00C90932">
        <w:rPr>
          <w:rStyle w:val="Emphasis"/>
        </w:rPr>
        <w:t>without claiming to be either Indigenous or innocent</w:t>
      </w:r>
      <w:r w:rsidRPr="00C90932">
        <w:rPr>
          <w:sz w:val="16"/>
        </w:rPr>
        <w:t xml:space="preserve">. By virtue of their position on sovereign Indigenous land, </w:t>
      </w:r>
      <w:r w:rsidRPr="00C90932">
        <w:rPr>
          <w:rStyle w:val="StyleUnderline"/>
        </w:rPr>
        <w:t>non-Indigenous peoples may</w:t>
      </w:r>
      <w:r w:rsidRPr="00C90932">
        <w:rPr>
          <w:sz w:val="16"/>
        </w:rPr>
        <w:t xml:space="preserve"> also </w:t>
      </w:r>
      <w:r w:rsidRPr="00C90932">
        <w:rPr>
          <w:rStyle w:val="StyleUnderline"/>
        </w:rPr>
        <w:t>be written into another set of relations</w:t>
      </w:r>
      <w:r w:rsidRPr="00C90932">
        <w:rPr>
          <w:sz w:val="16"/>
        </w:rPr>
        <w:t xml:space="preserve">, namely </w:t>
      </w:r>
      <w:r w:rsidRPr="00C90932">
        <w:rPr>
          <w:rStyle w:val="StyleUnderline"/>
        </w:rPr>
        <w:t>in relation to Indigenous peoples and their world views</w:t>
      </w:r>
      <w:r w:rsidRPr="00C90932">
        <w:rPr>
          <w:sz w:val="16"/>
        </w:rPr>
        <w:t>.101 To quote Ahmed,</w:t>
      </w:r>
    </w:p>
    <w:p w14:paraId="52833743" w14:textId="77777777" w:rsidR="00F3765A" w:rsidRPr="00C90932" w:rsidRDefault="00F3765A" w:rsidP="00C90932">
      <w:pPr>
        <w:ind w:left="720"/>
        <w:rPr>
          <w:sz w:val="16"/>
        </w:rPr>
      </w:pPr>
      <w:r w:rsidRPr="00C90932">
        <w:rPr>
          <w:sz w:val="16"/>
        </w:rPr>
        <w:t>Depending on which way one turns, different worlds might even come into view. If such turns are repeated over time, then bodies acquire the very shape of such direction.102</w:t>
      </w:r>
    </w:p>
    <w:p w14:paraId="0EEBE33A" w14:textId="77777777" w:rsidR="00F3765A" w:rsidRPr="00C90932" w:rsidRDefault="00F3765A" w:rsidP="00C90932">
      <w:pPr>
        <w:pStyle w:val="Heading3"/>
      </w:pPr>
      <w:r w:rsidRPr="00C90932">
        <w:t>Theory Wrong---No Water Ontology---2AC</w:t>
      </w:r>
    </w:p>
    <w:p w14:paraId="0A78F267" w14:textId="77777777" w:rsidR="00F3765A" w:rsidRPr="00C90932" w:rsidRDefault="00F3765A" w:rsidP="00C90932">
      <w:pPr>
        <w:pStyle w:val="Heading4"/>
      </w:pPr>
      <w:r w:rsidRPr="00C90932">
        <w:t xml:space="preserve">Ontology is </w:t>
      </w:r>
      <w:r w:rsidRPr="00C90932">
        <w:rPr>
          <w:u w:val="single"/>
        </w:rPr>
        <w:t>backwards</w:t>
      </w:r>
      <w:r w:rsidRPr="00C90932">
        <w:t>---there’s no singular ontological theory of water.</w:t>
      </w:r>
    </w:p>
    <w:p w14:paraId="5CF81416" w14:textId="77777777" w:rsidR="00F3765A" w:rsidRPr="00C90932" w:rsidRDefault="00F3765A" w:rsidP="00C90932">
      <w:r w:rsidRPr="00C90932">
        <w:rPr>
          <w:rStyle w:val="Style13ptBold"/>
        </w:rPr>
        <w:t>Boelens et al. 24</w:t>
      </w:r>
      <w:r w:rsidRPr="00C90932">
        <w:t>, Richard Boelens, Special Professor of the Political Ecology of Water at the University of Amsterdam Centre for Latin American Research and Documentation, Personal Professor of Water Governance and Social Justice at Wageningen University, Ph.D. from Wageningen University; Lena Hommes, Lecturer and Postdoctoral Researcher in the Department Geography and the Institute of the Environment at the University of Girona, Ph.D. from Wageningen University; Jaime Hoogesteger, Associate Professor of Water Commons and Collectives at Wageningen University, Ph.D. in Water Governance from Wageningen University, “Ontological Politics in River Defence Debates: Unpacking Fields of Contention in Eco-Centric and Non-Human Turns,” Water Alternatives, Vol. 17, No. 3, 2024, accessed 06-28-2025, https://www.water-alternatives.org/index.php/alldoc/articles/vol17/v17issue3/762-a17-3-4/file, DG</w:t>
      </w:r>
    </w:p>
    <w:p w14:paraId="34277273" w14:textId="77777777" w:rsidR="00F3765A" w:rsidRPr="00C90932" w:rsidRDefault="00F3765A" w:rsidP="00C90932">
      <w:pPr>
        <w:rPr>
          <w:sz w:val="16"/>
        </w:rPr>
      </w:pPr>
      <w:r w:rsidRPr="00C90932">
        <w:rPr>
          <w:rStyle w:val="StyleUnderline"/>
        </w:rPr>
        <w:t>Ontologies are modes of conceptualising and ordering the world, providing a means by which we can imagine, explain, live with, and act upon</w:t>
      </w:r>
      <w:r w:rsidRPr="00C90932">
        <w:rPr>
          <w:sz w:val="16"/>
        </w:rPr>
        <w:t xml:space="preserve"> '</w:t>
      </w:r>
      <w:r w:rsidRPr="00C90932">
        <w:rPr>
          <w:rStyle w:val="StyleUnderline"/>
        </w:rPr>
        <w:t>the world we are and live in</w:t>
      </w:r>
      <w:r w:rsidRPr="00C90932">
        <w:rPr>
          <w:sz w:val="16"/>
        </w:rPr>
        <w:t xml:space="preserve">'. They are sets of concepts and categories that help us identify, assemble, order, and explain particular entities. Thereby, ontologies are linked to imaginary worlds but also to concrete practices, as well as to forms of engagement with these socio-ecological entities. They are simultaneously of an ethical, social, symbolic, and material nature. </w:t>
      </w:r>
      <w:r w:rsidRPr="00C90932">
        <w:rPr>
          <w:rStyle w:val="StyleUnderline"/>
        </w:rPr>
        <w:t xml:space="preserve">Ontologies allow us to make sense of </w:t>
      </w:r>
      <w:r w:rsidRPr="00C90932">
        <w:rPr>
          <w:sz w:val="16"/>
        </w:rPr>
        <w:t xml:space="preserve">socio-ecological </w:t>
      </w:r>
      <w:r w:rsidRPr="00C90932">
        <w:rPr>
          <w:rStyle w:val="StyleUnderline"/>
        </w:rPr>
        <w:t>entities’ nature and properties</w:t>
      </w:r>
      <w:r w:rsidRPr="00C90932">
        <w:rPr>
          <w:sz w:val="16"/>
        </w:rPr>
        <w:t xml:space="preserve">, their </w:t>
      </w:r>
      <w:r w:rsidRPr="00C90932">
        <w:rPr>
          <w:rStyle w:val="StyleUnderline"/>
        </w:rPr>
        <w:t>interrelated constituent parts, and the relationships that give them substance and meaning</w:t>
      </w:r>
      <w:r w:rsidRPr="00C90932">
        <w:rPr>
          <w:sz w:val="16"/>
        </w:rPr>
        <w:t xml:space="preserve"> (Boelens et al., 2023). Therefore, ontological constitution and practices include the process of material-political translation from the imaginary to material becoming.</w:t>
      </w:r>
    </w:p>
    <w:p w14:paraId="685E732D" w14:textId="77777777" w:rsidR="00F3765A" w:rsidRPr="00C90932" w:rsidRDefault="00F3765A" w:rsidP="00C90932">
      <w:pPr>
        <w:rPr>
          <w:sz w:val="16"/>
        </w:rPr>
      </w:pPr>
      <w:r w:rsidRPr="00C90932">
        <w:rPr>
          <w:sz w:val="16"/>
        </w:rPr>
        <w:t xml:space="preserve">In our subject case, ontological river imaginaries may become materialised in concrete infrastructure projects or other territorialisation endeavours (see Hommes et al., 2022; Manosalvas et al., 2023). Their </w:t>
      </w:r>
      <w:r w:rsidRPr="00C90932">
        <w:rPr>
          <w:rStyle w:val="StyleUnderline"/>
        </w:rPr>
        <w:t>materialisation</w:t>
      </w:r>
      <w:r w:rsidRPr="00C90932">
        <w:rPr>
          <w:sz w:val="16"/>
        </w:rPr>
        <w:t xml:space="preserve">, however, </w:t>
      </w:r>
      <w:r w:rsidRPr="00C90932">
        <w:rPr>
          <w:rStyle w:val="StyleUnderline"/>
        </w:rPr>
        <w:t>never emerges</w:t>
      </w:r>
      <w:r w:rsidRPr="00C90932">
        <w:rPr>
          <w:sz w:val="16"/>
        </w:rPr>
        <w:t xml:space="preserve"> '</w:t>
      </w:r>
      <w:r w:rsidRPr="00C90932">
        <w:rPr>
          <w:rStyle w:val="StyleUnderline"/>
        </w:rPr>
        <w:t>out of the blue</w:t>
      </w:r>
      <w:r w:rsidRPr="00C90932">
        <w:rPr>
          <w:sz w:val="16"/>
        </w:rPr>
        <w:t xml:space="preserve">' </w:t>
      </w:r>
      <w:r w:rsidRPr="00C90932">
        <w:rPr>
          <w:rStyle w:val="StyleUnderline"/>
        </w:rPr>
        <w:t>but is historically and socio-materially rooted in cultural-political contexts</w:t>
      </w:r>
      <w:r w:rsidRPr="00C90932">
        <w:rPr>
          <w:sz w:val="16"/>
        </w:rPr>
        <w:t xml:space="preserve">. As Hommes et al. (2022: 3-4) point out, it is also importantly "(…) contingent upon a group’s ability to mobilize the necessary political, cultural, intellectual, financial, and/or physical- coercive power". Thus, from a Foucauldian perspective, onto-epistemological struggles go further than mere encounters over patterned cultural signs, words, language, myths, conceptualisations, or bodies of meaning. </w:t>
      </w:r>
      <w:r w:rsidRPr="00C90932">
        <w:rPr>
          <w:rStyle w:val="StyleUnderline"/>
        </w:rPr>
        <w:t>Onto-epistemological struggles</w:t>
      </w:r>
      <w:r w:rsidRPr="00C90932">
        <w:rPr>
          <w:sz w:val="16"/>
        </w:rPr>
        <w:t xml:space="preserve"> necessarily include sociotechnical practices and modes of socio- natural configuration. They </w:t>
      </w:r>
      <w:r w:rsidRPr="00C90932">
        <w:rPr>
          <w:rStyle w:val="StyleUnderline"/>
        </w:rPr>
        <w:t>connect knowledge, power, and truth in particular ways</w:t>
      </w:r>
      <w:r w:rsidRPr="00C90932">
        <w:rPr>
          <w:sz w:val="16"/>
        </w:rPr>
        <w:t xml:space="preserve">, in order </w:t>
      </w:r>
      <w:r w:rsidRPr="00C90932">
        <w:rPr>
          <w:rStyle w:val="StyleUnderline"/>
        </w:rPr>
        <w:t>to achieve and legitimise a certain disposition of actors, material tools, artefacts, ecologies, and</w:t>
      </w:r>
      <w:r w:rsidRPr="00C90932">
        <w:rPr>
          <w:sz w:val="16"/>
        </w:rPr>
        <w:t xml:space="preserve"> the human and non- human </w:t>
      </w:r>
      <w:r w:rsidRPr="00C90932">
        <w:rPr>
          <w:rStyle w:val="StyleUnderline"/>
        </w:rPr>
        <w:t>relations that sustain them</w:t>
      </w:r>
      <w:r w:rsidRPr="00C90932">
        <w:rPr>
          <w:sz w:val="16"/>
        </w:rPr>
        <w:t xml:space="preserve"> (Foucault, 1980). Accordingly, river ontological materialisation projects must be understood as struggles over imaginaries and the associated identities, subjectivities, and meanings that concern the wished-for hydrosocial territorial order (Boelens et al., 2016).</w:t>
      </w:r>
    </w:p>
    <w:p w14:paraId="0A75778B" w14:textId="77777777" w:rsidR="00F3765A" w:rsidRPr="00C90932" w:rsidRDefault="00F3765A" w:rsidP="00C90932">
      <w:pPr>
        <w:rPr>
          <w:sz w:val="16"/>
        </w:rPr>
      </w:pPr>
      <w:r w:rsidRPr="00C90932">
        <w:rPr>
          <w:sz w:val="16"/>
        </w:rPr>
        <w:t xml:space="preserve">Departing from this notion, </w:t>
      </w:r>
      <w:r w:rsidRPr="00C90932">
        <w:rPr>
          <w:rStyle w:val="StyleUnderline"/>
        </w:rPr>
        <w:t>we approach river ontologies as</w:t>
      </w:r>
      <w:r w:rsidRPr="00C90932">
        <w:rPr>
          <w:sz w:val="16"/>
        </w:rPr>
        <w:t xml:space="preserve"> (conscious and unconscious) Foucauldian </w:t>
      </w:r>
      <w:r w:rsidRPr="00C90932">
        <w:rPr>
          <w:rStyle w:val="StyleUnderline"/>
        </w:rPr>
        <w:t>intentions to</w:t>
      </w:r>
      <w:r w:rsidRPr="00C90932">
        <w:rPr>
          <w:sz w:val="16"/>
        </w:rPr>
        <w:t xml:space="preserve"> "</w:t>
      </w:r>
      <w:r w:rsidRPr="00C90932">
        <w:rPr>
          <w:rStyle w:val="StyleUnderline"/>
        </w:rPr>
        <w:t>tame the wild profusion of existing things</w:t>
      </w:r>
      <w:r w:rsidRPr="00C90932">
        <w:rPr>
          <w:sz w:val="16"/>
        </w:rPr>
        <w:t xml:space="preserve">". This implies that </w:t>
      </w:r>
      <w:r w:rsidRPr="00C90932">
        <w:rPr>
          <w:rStyle w:val="StyleUnderline"/>
        </w:rPr>
        <w:t xml:space="preserve">we need to </w:t>
      </w:r>
      <w:r w:rsidRPr="00C90932">
        <w:rPr>
          <w:rStyle w:val="Emphasis"/>
        </w:rPr>
        <w:t>challenge place-based truths</w:t>
      </w:r>
      <w:r w:rsidRPr="00C90932">
        <w:rPr>
          <w:rStyle w:val="StyleUnderline"/>
        </w:rPr>
        <w:t xml:space="preserve"> as well as universal </w:t>
      </w:r>
      <w:r w:rsidRPr="00C90932">
        <w:rPr>
          <w:rStyle w:val="Emphasis"/>
        </w:rPr>
        <w:t>representations that presume to know the nature of reality</w:t>
      </w:r>
      <w:r w:rsidRPr="00C90932">
        <w:rPr>
          <w:sz w:val="16"/>
        </w:rPr>
        <w:t>. In the water world, these can express themselves as, for example, 'modernist H 2O', functionalist 'river eco-systems', 'rivers as intrinsic rights entities', or 'rivers as sentient beings' (e.g. Wilson and Inkster, 2018; Bourguignon, 2023; Flaminio and Reynard, 2023; Turska and Ludwig, 2023; Mosquera-Guerrero and Krueger, 2024). Consequently, beyond interrogations regarding either 'fiction or reality', we are interested in how truth regimes work and how ontological understandings are mobilised, used, fixed, and devised by dominant and/or subaltern groups.</w:t>
      </w:r>
    </w:p>
    <w:p w14:paraId="5777BC14" w14:textId="77777777" w:rsidR="00F3765A" w:rsidRPr="00C90932" w:rsidRDefault="00F3765A" w:rsidP="00C90932">
      <w:pPr>
        <w:rPr>
          <w:sz w:val="16"/>
        </w:rPr>
      </w:pPr>
      <w:r w:rsidRPr="00C90932">
        <w:rPr>
          <w:sz w:val="16"/>
        </w:rPr>
        <w:t>In his essay El idioma analítico de John Wilkins, Jorge Luis Borges (1942) playfully analysed the taxonomy of the world fictitiously taken from an "unknown Chinese encyclopaedia" entitled the Celestial Emporium of Benevolent Knowledge. Borges (1942: 3) describes the Chinese encyclopaedia:</w:t>
      </w:r>
    </w:p>
    <w:p w14:paraId="27772807" w14:textId="77777777" w:rsidR="00F3765A" w:rsidRPr="00C90932" w:rsidRDefault="00F3765A" w:rsidP="00C90932">
      <w:pPr>
        <w:ind w:left="720"/>
        <w:rPr>
          <w:sz w:val="16"/>
        </w:rPr>
      </w:pPr>
      <w:r w:rsidRPr="00C90932">
        <w:rPr>
          <w:sz w:val="16"/>
        </w:rPr>
        <w:t>In its remote pages it is written that animals are divided into: (a) belonging to the Emperor, (b) embalmed, (c) tame, (d) suckling pigs, (e) sirens, (f) fabled, (g) stray dogs, (h) included in the present classification, (i) frenzied, (j) innumerable, (k) drawn with a very fine camelhair brush, (l) et cetera, (m) having just broken the water pitcher, (n) that from a long way off look like flies.</w:t>
      </w:r>
    </w:p>
    <w:p w14:paraId="21476970" w14:textId="77777777" w:rsidR="00F3765A" w:rsidRPr="00C90932" w:rsidRDefault="00F3765A" w:rsidP="00C90932">
      <w:pPr>
        <w:rPr>
          <w:sz w:val="16"/>
        </w:rPr>
      </w:pPr>
      <w:r w:rsidRPr="00C90932">
        <w:rPr>
          <w:sz w:val="16"/>
        </w:rPr>
        <w:t xml:space="preserve">Borges takes a pragmatic approach to the arbitrariness of finding universal frames for analysing and describing reality: "(…) </w:t>
      </w:r>
      <w:r w:rsidRPr="00C90932">
        <w:rPr>
          <w:rStyle w:val="StyleUnderline"/>
        </w:rPr>
        <w:t xml:space="preserve">it is clear that there is </w:t>
      </w:r>
      <w:r w:rsidRPr="00C90932">
        <w:rPr>
          <w:rStyle w:val="Emphasis"/>
        </w:rPr>
        <w:t>no classification of the universe that is not arbitrary and full of conjectures</w:t>
      </w:r>
      <w:r w:rsidRPr="00C90932">
        <w:rPr>
          <w:rStyle w:val="StyleUnderline"/>
        </w:rPr>
        <w:t xml:space="preserve">. The reason for this is very simple: </w:t>
      </w:r>
      <w:r w:rsidRPr="00C90932">
        <w:rPr>
          <w:rStyle w:val="Emphasis"/>
        </w:rPr>
        <w:t>we do not know what the universe is</w:t>
      </w:r>
      <w:r w:rsidRPr="00C90932">
        <w:rPr>
          <w:sz w:val="16"/>
        </w:rPr>
        <w:t xml:space="preserve">". </w:t>
      </w:r>
      <w:r w:rsidRPr="00C90932">
        <w:rPr>
          <w:rStyle w:val="StyleUnderline"/>
        </w:rPr>
        <w:t>This</w:t>
      </w:r>
      <w:r w:rsidRPr="00C90932">
        <w:rPr>
          <w:sz w:val="16"/>
        </w:rPr>
        <w:t xml:space="preserve"> observation </w:t>
      </w:r>
      <w:r w:rsidRPr="00C90932">
        <w:rPr>
          <w:rStyle w:val="StyleUnderline"/>
        </w:rPr>
        <w:t>sets the stage for ontological constructions amidst diversities and insecurities</w:t>
      </w:r>
      <w:r w:rsidRPr="00C90932">
        <w:rPr>
          <w:sz w:val="16"/>
        </w:rPr>
        <w:t>. "The impossibility of penetrating the divine scheme of the universe cannot stop us from planning human schemes, even though we are aware that they are provisional" (Borges 1942: 3).</w:t>
      </w:r>
    </w:p>
    <w:p w14:paraId="4BA4BFCF" w14:textId="77777777" w:rsidR="00F3765A" w:rsidRPr="00C90932" w:rsidRDefault="00F3765A" w:rsidP="00C90932">
      <w:pPr>
        <w:rPr>
          <w:sz w:val="16"/>
        </w:rPr>
      </w:pPr>
      <w:r w:rsidRPr="00C90932">
        <w:rPr>
          <w:sz w:val="16"/>
        </w:rPr>
        <w:t xml:space="preserve">Foucault deploys the Borgesian joke to analyse, first, how the heart of the matter is not the strangeness of individual categories, but the unimaginability of this – and other – mode(s) of taxonomic ordering.1 Second, he shows how existing epistemes, ontologies, and systems of rationality determine our mindset, as well as how knowledge and truth could be ordered quite differently. The </w:t>
      </w:r>
      <w:r w:rsidRPr="00C90932">
        <w:rPr>
          <w:rStyle w:val="StyleUnderline"/>
        </w:rPr>
        <w:t>wonderment about other systems of thought</w:t>
      </w:r>
      <w:r w:rsidRPr="00C90932">
        <w:rPr>
          <w:sz w:val="16"/>
        </w:rPr>
        <w:t xml:space="preserve">, as imposed by Borges’ fables, </w:t>
      </w:r>
      <w:r w:rsidRPr="00C90932">
        <w:rPr>
          <w:rStyle w:val="StyleUnderline"/>
        </w:rPr>
        <w:t>challenges the limitations of our own mode of thinking</w:t>
      </w:r>
      <w:r w:rsidRPr="00C90932">
        <w:rPr>
          <w:sz w:val="16"/>
        </w:rPr>
        <w:t>. As Descola (2014: 271) elaborates, "(…) it is time that we endeavour to understand how they [</w:t>
      </w:r>
      <w:r w:rsidRPr="00C90932">
        <w:rPr>
          <w:rStyle w:val="StyleUnderline"/>
        </w:rPr>
        <w:t>other styles of worlding</w:t>
      </w:r>
      <w:r w:rsidRPr="00C90932">
        <w:rPr>
          <w:sz w:val="16"/>
        </w:rPr>
        <w:t xml:space="preserve">] </w:t>
      </w:r>
      <w:r w:rsidRPr="00C90932">
        <w:rPr>
          <w:rStyle w:val="StyleUnderline"/>
        </w:rPr>
        <w:t>are composed without automatic recourse to our own mode of composition</w:t>
      </w:r>
      <w:r w:rsidRPr="00C90932">
        <w:rPr>
          <w:sz w:val="16"/>
        </w:rPr>
        <w:t>; it is time that we set out to recompose them so as to make them more amenable to a wider variety of inhabitants, human and nonhuman" (2014: 279). Foucault (1980, 1994) emphasises that dominant power/knowledge regimes often prevent or obliterate alternative ways of thinking and acting. We therefore have to question our own modes of categorising, organising, and conceptualising, and the powers that support them.</w:t>
      </w:r>
    </w:p>
    <w:p w14:paraId="0A5F450A" w14:textId="77777777" w:rsidR="00F3765A" w:rsidRPr="00C90932" w:rsidRDefault="00F3765A" w:rsidP="00C90932">
      <w:pPr>
        <w:rPr>
          <w:sz w:val="16"/>
        </w:rPr>
      </w:pPr>
      <w:r w:rsidRPr="00C90932">
        <w:rPr>
          <w:sz w:val="16"/>
        </w:rPr>
        <w:t xml:space="preserve">This makes it essential to consider the frames that claim to know the 'nature of nature' – or in our case the 'nature of rivers' – as relational. These </w:t>
      </w:r>
      <w:r w:rsidRPr="00C90932">
        <w:rPr>
          <w:rStyle w:val="StyleUnderline"/>
        </w:rPr>
        <w:t>frames are created, sustained, and transformed in specific</w:t>
      </w:r>
      <w:r w:rsidRPr="00C90932">
        <w:rPr>
          <w:sz w:val="16"/>
        </w:rPr>
        <w:t xml:space="preserve"> social, technological, and natural </w:t>
      </w:r>
      <w:r w:rsidRPr="00C90932">
        <w:rPr>
          <w:rStyle w:val="StyleUnderline"/>
        </w:rPr>
        <w:t>contexts</w:t>
      </w:r>
      <w:r w:rsidRPr="00C90932">
        <w:rPr>
          <w:sz w:val="16"/>
        </w:rPr>
        <w:t xml:space="preserve">, which are </w:t>
      </w:r>
      <w:r w:rsidRPr="00C90932">
        <w:rPr>
          <w:rStyle w:val="Emphasis"/>
        </w:rPr>
        <w:t>always and necessarily politically constituted</w:t>
      </w:r>
      <w:r w:rsidRPr="00C90932">
        <w:rPr>
          <w:sz w:val="16"/>
        </w:rPr>
        <w:t xml:space="preserve">. Consequently, </w:t>
      </w:r>
      <w:r w:rsidRPr="00C90932">
        <w:rPr>
          <w:rStyle w:val="StyleUnderline"/>
        </w:rPr>
        <w:t>river ontologies need to be seen as construed through ordering modes and models that create a very specific disposition of things</w:t>
      </w:r>
      <w:r w:rsidRPr="00C90932">
        <w:rPr>
          <w:sz w:val="16"/>
        </w:rPr>
        <w:t xml:space="preserve"> (nature/technology/humans/non-humans) and the relationships that sustain and give meaning to them (e.g. Hoogesteger et al., 2016; Rogers and Crow- Miller, 2017; Aubriot et al., 2017; Paerregaard, 2018; Wilson, 2019; Yates, 2022; Macpherson et al., 2024; O’Donnell et al., 2024; Rickard and Ludwig, 2024).</w:t>
      </w:r>
    </w:p>
    <w:p w14:paraId="03E84623" w14:textId="77777777" w:rsidR="00F3765A" w:rsidRPr="00C90932" w:rsidRDefault="00F3765A" w:rsidP="00C90932">
      <w:pPr>
        <w:rPr>
          <w:sz w:val="16"/>
        </w:rPr>
      </w:pPr>
      <w:r w:rsidRPr="00C90932">
        <w:rPr>
          <w:sz w:val="16"/>
        </w:rPr>
        <w:t xml:space="preserve">Thus, </w:t>
      </w:r>
      <w:r w:rsidRPr="00C90932">
        <w:rPr>
          <w:rStyle w:val="StyleUnderline"/>
        </w:rPr>
        <w:t>at the heart of struggles for control over rivers is a struggle to establish or transform 'socio- natural order(s)' and the modes of knowing them</w:t>
      </w:r>
      <w:r w:rsidRPr="00C90932">
        <w:rPr>
          <w:sz w:val="16"/>
        </w:rPr>
        <w:t xml:space="preserve">, which can be accomplished through the triangulation of knowledge, power, and truth. </w:t>
      </w:r>
      <w:r w:rsidRPr="00C90932">
        <w:rPr>
          <w:rStyle w:val="StyleUnderline"/>
        </w:rPr>
        <w:t>Whenever scientific, policy, vernacular, or indigenous ontologies and models for explaining</w:t>
      </w:r>
      <w:r w:rsidRPr="00C90932">
        <w:rPr>
          <w:sz w:val="16"/>
        </w:rPr>
        <w:t xml:space="preserve"> river realities and </w:t>
      </w:r>
      <w:r w:rsidRPr="00C90932">
        <w:rPr>
          <w:rStyle w:val="StyleUnderline"/>
        </w:rPr>
        <w:t>water worlds are portrayed as 'real'</w:t>
      </w:r>
      <w:r w:rsidRPr="00C90932">
        <w:rPr>
          <w:sz w:val="16"/>
        </w:rPr>
        <w:t xml:space="preserve"> (rather than entrances to imagining the real), </w:t>
      </w:r>
      <w:r w:rsidRPr="00C90932">
        <w:rPr>
          <w:rStyle w:val="StyleUnderline"/>
        </w:rPr>
        <w:t>the power-laden ordering agreements, choices, interpretations, and meanings are concealed and naturalised</w:t>
      </w:r>
      <w:r w:rsidRPr="00C90932">
        <w:rPr>
          <w:sz w:val="16"/>
        </w:rPr>
        <w:t>. This, we highlight, is highly problematic, as it veils the intrinsically political character of these ontologies.</w:t>
      </w:r>
    </w:p>
    <w:p w14:paraId="00D7545B" w14:textId="77777777" w:rsidR="00F3765A" w:rsidRDefault="00F3765A" w:rsidP="00C90932">
      <w:pPr>
        <w:rPr>
          <w:sz w:val="16"/>
        </w:rPr>
      </w:pPr>
      <w:r w:rsidRPr="00C90932">
        <w:rPr>
          <w:sz w:val="16"/>
        </w:rPr>
        <w:t xml:space="preserve">The important contribution of the more-than-human, ecocentric, and de-colonising perspectives is that they demonstrate precisely the political and social character of the water world’s material, ontological, and epistemological constructions. They show how a distinction between nature and society is a deeply political construct and how misrecognising this (in mainstream academia, policy formulation, 'development' interventions, and public discourse) in and of itself is a fundamentally political act that suffocates other representations (e.g. Blaser, 2013; Escobar, 2018; Kothari et al., 2019). Therefore, our critique is not directed at how </w:t>
      </w:r>
      <w:r w:rsidRPr="00C90932">
        <w:rPr>
          <w:rStyle w:val="StyleUnderline"/>
        </w:rPr>
        <w:t>ontological turn theorists</w:t>
      </w:r>
      <w:r w:rsidRPr="00C90932">
        <w:rPr>
          <w:sz w:val="16"/>
        </w:rPr>
        <w:t xml:space="preserve"> have helped to break open the mono-ontological fixes. Quite the opposite! Instead, we question how much of their </w:t>
      </w:r>
      <w:r w:rsidRPr="00C90932">
        <w:rPr>
          <w:rStyle w:val="StyleUnderline"/>
        </w:rPr>
        <w:t>application in everyday policy</w:t>
      </w:r>
      <w:r w:rsidRPr="00C90932">
        <w:rPr>
          <w:sz w:val="16"/>
        </w:rPr>
        <w:t xml:space="preserve">, including activist debates, globalising policy discourses, and popularised alternative approaches </w:t>
      </w:r>
      <w:r w:rsidRPr="00C90932">
        <w:rPr>
          <w:rStyle w:val="StyleUnderline"/>
        </w:rPr>
        <w:t xml:space="preserve">may in fact attempt to </w:t>
      </w:r>
      <w:r w:rsidRPr="00C90932">
        <w:rPr>
          <w:rStyle w:val="Emphasis"/>
        </w:rPr>
        <w:t>re-fix ontologies, re-naturalise the society/nature distinction, and de-politicise nature framings</w:t>
      </w:r>
      <w:r w:rsidRPr="00C90932">
        <w:rPr>
          <w:sz w:val="16"/>
        </w:rPr>
        <w:t xml:space="preserve"> (see also Bessire and Bond, 2014; Rawson and Mansfield, 2018). We elaborate this below through the identification of five distinct fields of contention in new ontological turns, as expressed in river debates.</w:t>
      </w:r>
    </w:p>
    <w:p w14:paraId="12FCC7B1" w14:textId="174C3FD4" w:rsidR="00F82AB3" w:rsidRDefault="00F82AB3" w:rsidP="00F82AB3">
      <w:pPr>
        <w:pStyle w:val="Heading3"/>
      </w:pPr>
      <w:r>
        <w:t>Theory Wrong---Posthumanism---2AC</w:t>
      </w:r>
    </w:p>
    <w:p w14:paraId="2C11F181" w14:textId="6D4F7AC7" w:rsidR="00F82AB3" w:rsidRDefault="00F943E7" w:rsidP="00F82AB3">
      <w:pPr>
        <w:pStyle w:val="Heading4"/>
      </w:pPr>
      <w:r>
        <w:t xml:space="preserve">Posthumanist critiques of humanism aren’t mutually exclusive with contingent embrace of its benefits. </w:t>
      </w:r>
    </w:p>
    <w:p w14:paraId="1D4B78D1" w14:textId="47F54EB9" w:rsidR="00F943E7" w:rsidRPr="00F943E7" w:rsidRDefault="00F943E7" w:rsidP="00F943E7">
      <w:r w:rsidRPr="00F943E7">
        <w:t>Guillermo Díaz de</w:t>
      </w:r>
      <w:r w:rsidRPr="00F943E7">
        <w:rPr>
          <w:rStyle w:val="Style13ptBold"/>
        </w:rPr>
        <w:t xml:space="preserve"> Liaño &amp; </w:t>
      </w:r>
      <w:r>
        <w:t xml:space="preserve">Manuel </w:t>
      </w:r>
      <w:r w:rsidRPr="00F943E7">
        <w:rPr>
          <w:rStyle w:val="Style13ptBold"/>
        </w:rPr>
        <w:t>Fernández-Götz 21</w:t>
      </w:r>
      <w:r>
        <w:t>, Field Archaeologist at the AOC Archaeology Group, Ph.D. in Archaeology from the University of Edinburgh; Professor of Later European Prehistory at St. Cross College, University of Oxford, Ph.D. from Christian-Albrecht University Kiel, “Posthumanism, New Humanism and Beyond,” Cambridge Archaeological Journal, Vol. 31, No. 3, August 2021, accessed 07-05-2025, https://doi.org/10.1017/S095977432100024X, DG</w:t>
      </w:r>
    </w:p>
    <w:p w14:paraId="1BF2772C" w14:textId="39CA7424" w:rsidR="003C4788" w:rsidRPr="00F943E7" w:rsidRDefault="003C4788" w:rsidP="003C4788">
      <w:pPr>
        <w:rPr>
          <w:sz w:val="16"/>
        </w:rPr>
      </w:pPr>
      <w:r w:rsidRPr="00F943E7">
        <w:rPr>
          <w:sz w:val="16"/>
        </w:rPr>
        <w:t xml:space="preserve">We believe that a </w:t>
      </w:r>
      <w:r w:rsidRPr="00F943E7">
        <w:rPr>
          <w:rStyle w:val="StyleUnderline"/>
        </w:rPr>
        <w:t xml:space="preserve">complete rejection of Humanism is </w:t>
      </w:r>
      <w:r w:rsidRPr="00F943E7">
        <w:rPr>
          <w:rStyle w:val="Emphasis"/>
        </w:rPr>
        <w:t>unproductive</w:t>
      </w:r>
      <w:r w:rsidRPr="00F943E7">
        <w:rPr>
          <w:rStyle w:val="StyleUnderline"/>
        </w:rPr>
        <w:t xml:space="preserve"> and potentially </w:t>
      </w:r>
      <w:r w:rsidRPr="00F943E7">
        <w:rPr>
          <w:rStyle w:val="Emphasis"/>
        </w:rPr>
        <w:t>dangerous</w:t>
      </w:r>
      <w:r w:rsidRPr="00F943E7">
        <w:rPr>
          <w:sz w:val="16"/>
        </w:rPr>
        <w:t xml:space="preserve">. To start with, </w:t>
      </w:r>
      <w:r w:rsidRPr="00F943E7">
        <w:rPr>
          <w:rStyle w:val="StyleUnderline"/>
        </w:rPr>
        <w:t>critics</w:t>
      </w:r>
      <w:r w:rsidRPr="00F943E7">
        <w:rPr>
          <w:sz w:val="16"/>
        </w:rPr>
        <w:t xml:space="preserve"> of Humanism </w:t>
      </w:r>
      <w:r w:rsidRPr="00F943E7">
        <w:rPr>
          <w:rStyle w:val="StyleUnderline"/>
        </w:rPr>
        <w:t xml:space="preserve">should acknowledge that this term </w:t>
      </w:r>
      <w:r w:rsidRPr="00F943E7">
        <w:rPr>
          <w:rStyle w:val="Emphasis"/>
        </w:rPr>
        <w:t>does not designate a homogeneous concept</w:t>
      </w:r>
      <w:r w:rsidRPr="00F943E7">
        <w:rPr>
          <w:sz w:val="16"/>
        </w:rPr>
        <w:t xml:space="preserve">. Fassin (2019), for example, distinguishes three major lineages in its genealogy, which he designates as Humanism I, II and III. </w:t>
      </w:r>
      <w:r w:rsidRPr="00F943E7">
        <w:rPr>
          <w:rStyle w:val="StyleUnderline"/>
        </w:rPr>
        <w:t xml:space="preserve">As Posthumanism is an umbrella term that encompasses multiple approaches, </w:t>
      </w:r>
      <w:r w:rsidRPr="00F943E7">
        <w:rPr>
          <w:rStyle w:val="Emphasis"/>
        </w:rPr>
        <w:t>so too is Humanism</w:t>
      </w:r>
      <w:r w:rsidRPr="00F943E7">
        <w:rPr>
          <w:rStyle w:val="StyleUnderline"/>
        </w:rPr>
        <w:t>: neither</w:t>
      </w:r>
      <w:r w:rsidRPr="00F943E7">
        <w:rPr>
          <w:sz w:val="16"/>
        </w:rPr>
        <w:t xml:space="preserve"> of them </w:t>
      </w:r>
      <w:r w:rsidRPr="00F943E7">
        <w:rPr>
          <w:rStyle w:val="StyleUnderline"/>
        </w:rPr>
        <w:t>should be oversimplified or disregarded</w:t>
      </w:r>
      <w:r w:rsidRPr="00F943E7">
        <w:rPr>
          <w:sz w:val="16"/>
        </w:rPr>
        <w:t xml:space="preserve"> in their entirety. Although the </w:t>
      </w:r>
      <w:r w:rsidRPr="00F943E7">
        <w:rPr>
          <w:rStyle w:val="StyleUnderline"/>
        </w:rPr>
        <w:t>complete rejection of</w:t>
      </w:r>
      <w:r w:rsidRPr="00F943E7">
        <w:rPr>
          <w:sz w:val="16"/>
        </w:rPr>
        <w:t xml:space="preserve"> core elements of </w:t>
      </w:r>
      <w:r w:rsidRPr="00F943E7">
        <w:rPr>
          <w:rStyle w:val="StyleUnderline"/>
        </w:rPr>
        <w:t>the Western world</w:t>
      </w:r>
      <w:r w:rsidRPr="00F943E7">
        <w:rPr>
          <w:sz w:val="16"/>
        </w:rPr>
        <w:t xml:space="preserve"> (e.g. Humanism, Modernity) </w:t>
      </w:r>
      <w:r w:rsidRPr="00F943E7">
        <w:rPr>
          <w:rStyle w:val="StyleUnderline"/>
        </w:rPr>
        <w:t>might sound appealing in an academic world that</w:t>
      </w:r>
      <w:r w:rsidRPr="00F943E7">
        <w:rPr>
          <w:sz w:val="16"/>
        </w:rPr>
        <w:t xml:space="preserve"> often </w:t>
      </w:r>
      <w:r w:rsidRPr="00F943E7">
        <w:rPr>
          <w:rStyle w:val="Emphasis"/>
        </w:rPr>
        <w:t>fetishizes theoretical ‘newness’</w:t>
      </w:r>
      <w:r w:rsidRPr="00F943E7">
        <w:rPr>
          <w:sz w:val="16"/>
        </w:rPr>
        <w:t xml:space="preserve"> (Ribeiro 2016b), </w:t>
      </w:r>
      <w:r w:rsidRPr="00F943E7">
        <w:rPr>
          <w:rStyle w:val="StyleUnderline"/>
        </w:rPr>
        <w:t>novel reflexive critiques could</w:t>
      </w:r>
      <w:r w:rsidRPr="00F943E7">
        <w:rPr>
          <w:sz w:val="16"/>
        </w:rPr>
        <w:t xml:space="preserve"> often </w:t>
      </w:r>
      <w:r w:rsidRPr="00F943E7">
        <w:rPr>
          <w:rStyle w:val="StyleUnderline"/>
        </w:rPr>
        <w:t>benefit from integrating elements of Modernity’s legacy of knowledge and experience</w:t>
      </w:r>
      <w:r w:rsidRPr="00F943E7">
        <w:rPr>
          <w:sz w:val="16"/>
        </w:rPr>
        <w:t xml:space="preserve"> (Criado-Boado 2016, 157; Preucel, this volume).</w:t>
      </w:r>
    </w:p>
    <w:p w14:paraId="6CF6E117" w14:textId="6A2A6B26" w:rsidR="003C4788" w:rsidRPr="00F943E7" w:rsidRDefault="003C4788" w:rsidP="003C4788">
      <w:pPr>
        <w:rPr>
          <w:sz w:val="16"/>
        </w:rPr>
      </w:pPr>
      <w:r w:rsidRPr="00F943E7">
        <w:rPr>
          <w:sz w:val="16"/>
        </w:rPr>
        <w:t xml:space="preserve">It is worth keeping in mind that posthumanist perspectives are reflecting wider trends in society that are inextricably linked to the rapid growth of artificial intelligence (AI) and biotechnology, which are in the course of diluting the boundaries between humans and non-humans in ways that we can still not fully comprehend (Barrat 2013; Lanier 2014; Wolff 2017). Moreover, </w:t>
      </w:r>
      <w:r w:rsidRPr="00F943E7">
        <w:rPr>
          <w:rStyle w:val="StyleUnderline"/>
        </w:rPr>
        <w:t>the rise of Posthumanism is taking place at the same time that the Humanities are increasingly under attack</w:t>
      </w:r>
      <w:r w:rsidRPr="00F943E7">
        <w:rPr>
          <w:sz w:val="16"/>
        </w:rPr>
        <w:t xml:space="preserve"> on a global scale, with dramatic cuts in funding and reduced social appreciation, which poses a direct threat to critical thinking and, ultimately, democracy (Nussbaum 2010; Trepanier 2018). While heading into an unknown future, perhaps </w:t>
      </w:r>
      <w:r w:rsidRPr="00F943E7">
        <w:rPr>
          <w:rStyle w:val="StyleUnderline"/>
        </w:rPr>
        <w:t xml:space="preserve">we should keep in mind some of the core values of Humanism in a </w:t>
      </w:r>
      <w:r w:rsidRPr="00F943E7">
        <w:rPr>
          <w:rStyle w:val="Emphasis"/>
        </w:rPr>
        <w:t>philosophical</w:t>
      </w:r>
      <w:r w:rsidRPr="00F943E7">
        <w:rPr>
          <w:rStyle w:val="StyleUnderline"/>
        </w:rPr>
        <w:t xml:space="preserve"> and </w:t>
      </w:r>
      <w:r w:rsidRPr="00F943E7">
        <w:rPr>
          <w:rStyle w:val="Emphasis"/>
        </w:rPr>
        <w:t>ethical sense</w:t>
      </w:r>
      <w:r w:rsidRPr="00F943E7">
        <w:rPr>
          <w:sz w:val="16"/>
        </w:rPr>
        <w:t xml:space="preserve"> (e.g. Wolff 2010; 2017; Zuboff 2019).</w:t>
      </w:r>
    </w:p>
    <w:p w14:paraId="340A7685" w14:textId="6F15D626" w:rsidR="003C4788" w:rsidRPr="00F943E7" w:rsidRDefault="003C4788" w:rsidP="003C4788">
      <w:pPr>
        <w:rPr>
          <w:sz w:val="16"/>
        </w:rPr>
      </w:pPr>
      <w:r w:rsidRPr="00F943E7">
        <w:rPr>
          <w:sz w:val="16"/>
        </w:rPr>
        <w:t xml:space="preserve">Thus, </w:t>
      </w:r>
      <w:r w:rsidRPr="00F943E7">
        <w:rPr>
          <w:rStyle w:val="StyleUnderline"/>
        </w:rPr>
        <w:t>instead of rejecting Humanism</w:t>
      </w:r>
      <w:r w:rsidRPr="00F943E7">
        <w:rPr>
          <w:sz w:val="16"/>
        </w:rPr>
        <w:t xml:space="preserve"> altogether </w:t>
      </w:r>
      <w:r w:rsidRPr="00F943E7">
        <w:rPr>
          <w:rStyle w:val="StyleUnderline"/>
        </w:rPr>
        <w:t xml:space="preserve">and </w:t>
      </w:r>
      <w:r w:rsidRPr="00F943E7">
        <w:rPr>
          <w:rStyle w:val="Emphasis"/>
        </w:rPr>
        <w:t>throwing the baby out with the bathwater</w:t>
      </w:r>
      <w:r w:rsidRPr="00F943E7">
        <w:rPr>
          <w:rStyle w:val="StyleUnderline"/>
        </w:rPr>
        <w:t>, it is worth reflecting on the call for a New Humanism</w:t>
      </w:r>
      <w:r w:rsidRPr="00F943E7">
        <w:rPr>
          <w:sz w:val="16"/>
        </w:rPr>
        <w:t xml:space="preserve"> that has recently been proposed in philosophical anthropology by authors such as Wentzer and Mattingly (2018) and Simonsen (2012). According to their perspective, this would imply an approach that</w:t>
      </w:r>
    </w:p>
    <w:p w14:paraId="34A9999D" w14:textId="2C6A240D" w:rsidR="003C4788" w:rsidRPr="00F943E7" w:rsidRDefault="003C4788" w:rsidP="003C4788">
      <w:pPr>
        <w:ind w:left="720"/>
        <w:rPr>
          <w:sz w:val="16"/>
        </w:rPr>
      </w:pPr>
      <w:r w:rsidRPr="00F943E7">
        <w:rPr>
          <w:sz w:val="16"/>
        </w:rPr>
        <w:t xml:space="preserve">is </w:t>
      </w:r>
      <w:r w:rsidRPr="00F943E7">
        <w:rPr>
          <w:rStyle w:val="StyleUnderline"/>
        </w:rPr>
        <w:t>not committed to religious or metaphysical claims concerning human essence or human superiority</w:t>
      </w:r>
      <w:r w:rsidRPr="00F943E7">
        <w:rPr>
          <w:sz w:val="16"/>
        </w:rPr>
        <w:t>. It does not appeal to a secular antireligious cultural movement, nor to a developmental stage in (Western-dominated) human civilization. Rather, our proposal marks a commitment to deal with ‘the human’ as a common and indispensable denominator for the ontological and ethical domains of anthropology and adjacent disciplines. (Wentzer &amp; Mattingly 2018, 146)</w:t>
      </w:r>
    </w:p>
    <w:p w14:paraId="73C5FA85" w14:textId="3DAAE38A" w:rsidR="003C4788" w:rsidRPr="00F943E7" w:rsidRDefault="003C4788" w:rsidP="003C4788">
      <w:pPr>
        <w:rPr>
          <w:sz w:val="16"/>
        </w:rPr>
      </w:pPr>
      <w:r w:rsidRPr="00F943E7">
        <w:rPr>
          <w:sz w:val="16"/>
        </w:rPr>
        <w:t xml:space="preserve">Viewed from this angle, </w:t>
      </w:r>
      <w:r w:rsidRPr="00F943E7">
        <w:rPr>
          <w:rStyle w:val="StyleUnderline"/>
        </w:rPr>
        <w:t>New Humanism is both a critique of some of the dangers of traditional Humanism, and also a call for caring about humans in a world increasingly facing dehumanization</w:t>
      </w:r>
      <w:r w:rsidRPr="00F943E7">
        <w:rPr>
          <w:sz w:val="16"/>
        </w:rPr>
        <w:t xml:space="preserve"> (Porpora 2017), </w:t>
      </w:r>
      <w:r w:rsidRPr="00F943E7">
        <w:rPr>
          <w:rStyle w:val="StyleUnderline"/>
        </w:rPr>
        <w:t>while</w:t>
      </w:r>
      <w:r w:rsidRPr="00F943E7">
        <w:rPr>
          <w:sz w:val="16"/>
        </w:rPr>
        <w:t xml:space="preserve"> at the same time </w:t>
      </w:r>
      <w:r w:rsidRPr="00F943E7">
        <w:rPr>
          <w:rStyle w:val="StyleUnderline"/>
        </w:rPr>
        <w:t>committing to global sustainability</w:t>
      </w:r>
      <w:r w:rsidRPr="00F943E7">
        <w:rPr>
          <w:sz w:val="16"/>
        </w:rPr>
        <w:t xml:space="preserve"> (Bokova 2010; D’Orville 2015).</w:t>
      </w:r>
    </w:p>
    <w:p w14:paraId="61A64E35" w14:textId="220CB9BA" w:rsidR="003C4788" w:rsidRPr="00F943E7" w:rsidRDefault="003C4788" w:rsidP="003C4788">
      <w:pPr>
        <w:rPr>
          <w:sz w:val="16"/>
        </w:rPr>
      </w:pPr>
      <w:r w:rsidRPr="00F943E7">
        <w:rPr>
          <w:sz w:val="16"/>
        </w:rPr>
        <w:t xml:space="preserve">In what concerns archaeology, </w:t>
      </w:r>
      <w:r w:rsidRPr="00F943E7">
        <w:rPr>
          <w:rStyle w:val="StyleUnderline"/>
        </w:rPr>
        <w:t>we argue for an approach</w:t>
      </w:r>
      <w:r w:rsidRPr="00F943E7">
        <w:rPr>
          <w:sz w:val="16"/>
        </w:rPr>
        <w:t xml:space="preserve"> that is </w:t>
      </w:r>
      <w:r w:rsidRPr="00F943E7">
        <w:rPr>
          <w:rStyle w:val="StyleUnderline"/>
        </w:rPr>
        <w:t>focused on the study of the human past, not</w:t>
      </w:r>
      <w:r w:rsidRPr="00F943E7">
        <w:rPr>
          <w:sz w:val="16"/>
        </w:rPr>
        <w:t xml:space="preserve"> in order </w:t>
      </w:r>
      <w:r w:rsidRPr="00F943E7">
        <w:rPr>
          <w:rStyle w:val="StyleUnderline"/>
        </w:rPr>
        <w:t>to reinforce obsolete notions of</w:t>
      </w:r>
      <w:r w:rsidRPr="00F943E7">
        <w:rPr>
          <w:sz w:val="16"/>
        </w:rPr>
        <w:t xml:space="preserve"> ‘</w:t>
      </w:r>
      <w:r w:rsidRPr="00F943E7">
        <w:rPr>
          <w:rStyle w:val="StyleUnderline"/>
        </w:rPr>
        <w:t>superiority</w:t>
      </w:r>
      <w:r w:rsidRPr="00F943E7">
        <w:rPr>
          <w:sz w:val="16"/>
        </w:rPr>
        <w:t xml:space="preserve">’ </w:t>
      </w:r>
      <w:r w:rsidRPr="00F943E7">
        <w:rPr>
          <w:rStyle w:val="StyleUnderline"/>
        </w:rPr>
        <w:t>or</w:t>
      </w:r>
      <w:r w:rsidRPr="00F943E7">
        <w:rPr>
          <w:sz w:val="16"/>
        </w:rPr>
        <w:t xml:space="preserve"> ‘</w:t>
      </w:r>
      <w:r w:rsidRPr="00F943E7">
        <w:rPr>
          <w:rStyle w:val="StyleUnderline"/>
        </w:rPr>
        <w:t>progress</w:t>
      </w:r>
      <w:r w:rsidRPr="00F943E7">
        <w:rPr>
          <w:sz w:val="16"/>
        </w:rPr>
        <w:t xml:space="preserve">’, </w:t>
      </w:r>
      <w:r w:rsidRPr="00F943E7">
        <w:rPr>
          <w:rStyle w:val="StyleUnderline"/>
        </w:rPr>
        <w:t xml:space="preserve">but to understand the </w:t>
      </w:r>
      <w:r w:rsidRPr="00F943E7">
        <w:rPr>
          <w:rStyle w:val="Emphasis"/>
        </w:rPr>
        <w:t>non-linear, multivocal and multifaceted diversity of human experiences</w:t>
      </w:r>
      <w:r w:rsidRPr="00F943E7">
        <w:rPr>
          <w:sz w:val="16"/>
        </w:rPr>
        <w:t xml:space="preserve"> in time and space </w:t>
      </w:r>
      <w:r w:rsidRPr="00F943E7">
        <w:rPr>
          <w:rStyle w:val="Emphasis"/>
        </w:rPr>
        <w:t>and its interrelatedness with non-human entities</w:t>
      </w:r>
      <w:r w:rsidRPr="00F943E7">
        <w:rPr>
          <w:sz w:val="16"/>
        </w:rPr>
        <w:t xml:space="preserve">. We consider that </w:t>
      </w:r>
      <w:r w:rsidRPr="00F943E7">
        <w:rPr>
          <w:rStyle w:val="StyleUnderline"/>
        </w:rPr>
        <w:t xml:space="preserve">the presence of the human is an </w:t>
      </w:r>
      <w:r w:rsidRPr="00F943E7">
        <w:rPr>
          <w:rStyle w:val="Emphasis"/>
        </w:rPr>
        <w:t>imperative</w:t>
      </w:r>
      <w:r w:rsidRPr="00F943E7">
        <w:rPr>
          <w:sz w:val="16"/>
        </w:rPr>
        <w:t xml:space="preserve"> if we are doing archaeology, </w:t>
      </w:r>
      <w:r w:rsidRPr="00F943E7">
        <w:rPr>
          <w:rStyle w:val="StyleUnderline"/>
        </w:rPr>
        <w:t>but we understand that humanness is constituted and performed differently</w:t>
      </w:r>
      <w:r w:rsidRPr="00F943E7">
        <w:rPr>
          <w:sz w:val="16"/>
        </w:rPr>
        <w:t xml:space="preserve"> through time and space, thus </w:t>
      </w:r>
      <w:r w:rsidRPr="00F943E7">
        <w:rPr>
          <w:rStyle w:val="StyleUnderline"/>
        </w:rPr>
        <w:t>including a diverse and changing array of non-human entities and relationships</w:t>
      </w:r>
      <w:r w:rsidRPr="00F943E7">
        <w:rPr>
          <w:sz w:val="16"/>
        </w:rPr>
        <w:t>. Archaeology, from this perspective, is not the ‘discipline of things’, but rather the study of humans through things and in relation to things.</w:t>
      </w:r>
    </w:p>
    <w:p w14:paraId="01B7D4F8" w14:textId="67301C97" w:rsidR="003C4788" w:rsidRPr="00F943E7" w:rsidRDefault="003C4788" w:rsidP="003C4788">
      <w:pPr>
        <w:rPr>
          <w:sz w:val="16"/>
        </w:rPr>
      </w:pPr>
      <w:r w:rsidRPr="00F943E7">
        <w:rPr>
          <w:sz w:val="16"/>
        </w:rPr>
        <w:t xml:space="preserve">Grasping the complexity and diversity of the past requires a variety of theoretical approaches and viewpoints, and most archaeologists already employ a range of perspectives to achieve this. </w:t>
      </w:r>
      <w:r w:rsidRPr="00F943E7">
        <w:rPr>
          <w:rStyle w:val="Emphasis"/>
        </w:rPr>
        <w:t>Fluid approaches</w:t>
      </w:r>
      <w:r w:rsidRPr="00F943E7">
        <w:rPr>
          <w:rStyle w:val="StyleUnderline"/>
        </w:rPr>
        <w:t xml:space="preserve"> that allow for different theoretical elements to be assembled seem </w:t>
      </w:r>
      <w:r w:rsidRPr="00F943E7">
        <w:rPr>
          <w:rStyle w:val="Emphasis"/>
        </w:rPr>
        <w:t>more inclusive</w:t>
      </w:r>
      <w:r w:rsidRPr="00F943E7">
        <w:rPr>
          <w:rStyle w:val="StyleUnderline"/>
        </w:rPr>
        <w:t xml:space="preserve"> and </w:t>
      </w:r>
      <w:r w:rsidRPr="00F943E7">
        <w:rPr>
          <w:rStyle w:val="Emphasis"/>
        </w:rPr>
        <w:t>fruitful than</w:t>
      </w:r>
      <w:r w:rsidRPr="00F943E7">
        <w:rPr>
          <w:rStyle w:val="StyleUnderline"/>
        </w:rPr>
        <w:t xml:space="preserve"> establishing </w:t>
      </w:r>
      <w:r w:rsidRPr="00F943E7">
        <w:rPr>
          <w:rStyle w:val="Emphasis"/>
        </w:rPr>
        <w:t>rigid divides between pro- and anti-humanist approaches</w:t>
      </w:r>
      <w:r w:rsidRPr="00F943E7">
        <w:rPr>
          <w:sz w:val="16"/>
        </w:rPr>
        <w:t xml:space="preserve">. Thus, </w:t>
      </w:r>
      <w:r w:rsidRPr="00F943E7">
        <w:rPr>
          <w:rStyle w:val="StyleUnderline"/>
        </w:rPr>
        <w:t xml:space="preserve">some </w:t>
      </w:r>
      <w:r w:rsidRPr="00F943E7">
        <w:rPr>
          <w:rStyle w:val="Emphasis"/>
        </w:rPr>
        <w:t>posthumanist perspectives can be incorporated by authors who</w:t>
      </w:r>
      <w:r w:rsidRPr="00F943E7">
        <w:rPr>
          <w:sz w:val="16"/>
        </w:rPr>
        <w:t xml:space="preserve">, as we do, </w:t>
      </w:r>
      <w:r w:rsidRPr="00F943E7">
        <w:rPr>
          <w:rStyle w:val="Emphasis"/>
        </w:rPr>
        <w:t>see value in maintaining the centrality of humans</w:t>
      </w:r>
      <w:r w:rsidRPr="00F943E7">
        <w:rPr>
          <w:sz w:val="16"/>
        </w:rPr>
        <w:t xml:space="preserve"> within archaeological studies. Perhaps, as Fassin (2019, 37) suggests, </w:t>
      </w:r>
      <w:r w:rsidRPr="00F943E7">
        <w:rPr>
          <w:rStyle w:val="StyleUnderline"/>
        </w:rPr>
        <w:t>a post-post-humanism</w:t>
      </w:r>
      <w:r w:rsidRPr="00F943E7">
        <w:rPr>
          <w:sz w:val="16"/>
        </w:rPr>
        <w:t xml:space="preserve"> will develop in the near future, which</w:t>
      </w:r>
    </w:p>
    <w:p w14:paraId="1CF3FFA1" w14:textId="2A1CDAE1" w:rsidR="003C4788" w:rsidRPr="00F943E7" w:rsidRDefault="003C4788" w:rsidP="003C4788">
      <w:pPr>
        <w:ind w:left="720"/>
        <w:rPr>
          <w:sz w:val="16"/>
        </w:rPr>
      </w:pPr>
      <w:r w:rsidRPr="00F943E7">
        <w:rPr>
          <w:rStyle w:val="StyleUnderline"/>
        </w:rPr>
        <w:t>would not be a</w:t>
      </w:r>
      <w:r w:rsidRPr="00F943E7">
        <w:rPr>
          <w:sz w:val="16"/>
        </w:rPr>
        <w:t xml:space="preserve"> mere </w:t>
      </w:r>
      <w:r w:rsidRPr="00F943E7">
        <w:rPr>
          <w:rStyle w:val="StyleUnderline"/>
        </w:rPr>
        <w:t xml:space="preserve">return to the varieties of humanism that we have known, with their historical flaws and ethical ambiguities, but would </w:t>
      </w:r>
      <w:r w:rsidRPr="00F943E7">
        <w:rPr>
          <w:rStyle w:val="Emphasis"/>
        </w:rPr>
        <w:t>affirm the categorical imperative of a critical approach to human worlds</w:t>
      </w:r>
      <w:r w:rsidRPr="00F943E7">
        <w:rPr>
          <w:sz w:val="16"/>
        </w:rPr>
        <w:t xml:space="preserve"> in a time </w:t>
      </w:r>
      <w:r w:rsidRPr="00F943E7">
        <w:rPr>
          <w:rStyle w:val="Emphasis"/>
        </w:rPr>
        <w:t>when</w:t>
      </w:r>
      <w:r w:rsidRPr="00F943E7">
        <w:rPr>
          <w:sz w:val="16"/>
        </w:rPr>
        <w:t xml:space="preserve"> they are </w:t>
      </w:r>
      <w:r w:rsidRPr="00F943E7">
        <w:rPr>
          <w:rStyle w:val="Emphasis"/>
        </w:rPr>
        <w:t>faced with multiple menaces that affect both humans and nonhumans</w:t>
      </w:r>
      <w:r w:rsidRPr="00F943E7">
        <w:rPr>
          <w:sz w:val="16"/>
        </w:rPr>
        <w:t xml:space="preserve"> [. . .]. </w:t>
      </w:r>
      <w:r w:rsidRPr="00F943E7">
        <w:rPr>
          <w:rStyle w:val="StyleUnderline"/>
        </w:rPr>
        <w:t>This</w:t>
      </w:r>
      <w:r w:rsidRPr="00F943E7">
        <w:rPr>
          <w:sz w:val="16"/>
        </w:rPr>
        <w:t xml:space="preserve"> post-post-humanism </w:t>
      </w:r>
      <w:r w:rsidRPr="00F943E7">
        <w:rPr>
          <w:rStyle w:val="StyleUnderline"/>
        </w:rPr>
        <w:t xml:space="preserve">would remind us that much of what happens to human beings and to the world </w:t>
      </w:r>
      <w:r w:rsidRPr="00F943E7">
        <w:rPr>
          <w:sz w:val="16"/>
        </w:rPr>
        <w:t xml:space="preserve">that they inhabit is the result of human actions and therefore </w:t>
      </w:r>
      <w:r w:rsidRPr="00F943E7">
        <w:rPr>
          <w:rStyle w:val="Emphasis"/>
        </w:rPr>
        <w:t>involves human responsibility</w:t>
      </w:r>
      <w:r w:rsidRPr="00F943E7">
        <w:rPr>
          <w:sz w:val="16"/>
        </w:rPr>
        <w:t>—</w:t>
      </w:r>
      <w:r w:rsidRPr="00F943E7">
        <w:rPr>
          <w:rStyle w:val="StyleUnderline"/>
        </w:rPr>
        <w:t>notwithstanding the ambiguity of the word human</w:t>
      </w:r>
      <w:r w:rsidRPr="00F943E7">
        <w:rPr>
          <w:sz w:val="16"/>
        </w:rPr>
        <w:t>.</w:t>
      </w:r>
    </w:p>
    <w:p w14:paraId="0C5482B6" w14:textId="13A0E3E8" w:rsidR="00586A2E" w:rsidRPr="00C90932" w:rsidRDefault="00586A2E" w:rsidP="00586A2E">
      <w:pPr>
        <w:pStyle w:val="Heading2"/>
      </w:pPr>
      <w:r>
        <w:t>Impact</w:t>
      </w:r>
    </w:p>
    <w:p w14:paraId="5FCBDDE8" w14:textId="77777777" w:rsidR="00F3765A" w:rsidRPr="00C90932" w:rsidRDefault="00F3765A" w:rsidP="00C90932">
      <w:pPr>
        <w:pStyle w:val="Heading3"/>
      </w:pPr>
      <w:r w:rsidRPr="00C90932">
        <w:t>No Root Cause---Imperialism---2AC</w:t>
      </w:r>
    </w:p>
    <w:p w14:paraId="2B0CE5A0" w14:textId="77777777" w:rsidR="00F3765A" w:rsidRPr="00C90932" w:rsidRDefault="00F3765A" w:rsidP="00C90932">
      <w:pPr>
        <w:pStyle w:val="Heading4"/>
      </w:pPr>
      <w:r w:rsidRPr="00C90932">
        <w:t>Saying Western imperialism is the root of all evil sanctions violence by both Western and non-Western actors.</w:t>
      </w:r>
    </w:p>
    <w:p w14:paraId="28D1EFFC" w14:textId="77777777" w:rsidR="00F3765A" w:rsidRPr="00C90932" w:rsidRDefault="00F3765A" w:rsidP="00C90932">
      <w:r w:rsidRPr="00C90932">
        <w:t xml:space="preserve">Dorothy </w:t>
      </w:r>
      <w:r w:rsidRPr="00C90932">
        <w:rPr>
          <w:rStyle w:val="Style13ptBold"/>
        </w:rPr>
        <w:t>Figueria 8</w:t>
      </w:r>
      <w:r w:rsidRPr="00C90932">
        <w:t xml:space="preserve">, Professor of Comparative Literature at the University of Georgia, Ph.D. in Comparative Studies in Literature from the University of Chicago, “Occidentalism,” in </w:t>
      </w:r>
      <w:r w:rsidRPr="00C90932">
        <w:rPr>
          <w:i/>
          <w:iCs/>
        </w:rPr>
        <w:t>Otherwise Occupied: Pedagogies of Alterity and the Brahminization of Theory</w:t>
      </w:r>
      <w:r w:rsidRPr="00C90932">
        <w:t>, pp. 91-106, State University of New York Press, 2008, accessed 06-27-2025, ProQuest, DG</w:t>
      </w:r>
    </w:p>
    <w:p w14:paraId="18F06D9E" w14:textId="77777777" w:rsidR="00F3765A" w:rsidRPr="00C90932" w:rsidRDefault="00F3765A" w:rsidP="00C90932">
      <w:pPr>
        <w:rPr>
          <w:sz w:val="16"/>
        </w:rPr>
      </w:pPr>
      <w:r w:rsidRPr="00C90932">
        <w:rPr>
          <w:sz w:val="16"/>
        </w:rPr>
        <w:t xml:space="preserve">Postcolonialism added to this critique its own universal based on Orientalist criticism: </w:t>
      </w:r>
      <w:r w:rsidRPr="00C90932">
        <w:rPr>
          <w:rStyle w:val="Emphasis"/>
        </w:rPr>
        <w:t>Western imperialism is always to blame</w:t>
      </w:r>
      <w:r w:rsidRPr="00C90932">
        <w:rPr>
          <w:sz w:val="16"/>
        </w:rPr>
        <w:t xml:space="preserve">. As Edward Rothstein opined in the New York Times, </w:t>
      </w:r>
      <w:r w:rsidRPr="00C90932">
        <w:rPr>
          <w:rStyle w:val="StyleUnderline"/>
        </w:rPr>
        <w:t xml:space="preserve">any act against the West by a postcolonial power cannot be viewed as anything but a </w:t>
      </w:r>
      <w:r w:rsidRPr="00C90932">
        <w:rPr>
          <w:rStyle w:val="Emphasis"/>
        </w:rPr>
        <w:t>reaction</w:t>
      </w:r>
      <w:r w:rsidRPr="00C90932">
        <w:rPr>
          <w:rStyle w:val="StyleUnderline"/>
        </w:rPr>
        <w:t xml:space="preserve"> to a previous imperial act by the West. We cannot</w:t>
      </w:r>
      <w:r w:rsidRPr="00C90932">
        <w:rPr>
          <w:sz w:val="16"/>
        </w:rPr>
        <w:t xml:space="preserve"> then </w:t>
      </w:r>
      <w:r w:rsidRPr="00C90932">
        <w:rPr>
          <w:rStyle w:val="StyleUnderline"/>
        </w:rPr>
        <w:t>condemn the World Trade Center attack, since Western hegemonic behavior is the</w:t>
      </w:r>
      <w:r w:rsidRPr="00C90932">
        <w:rPr>
          <w:sz w:val="16"/>
        </w:rPr>
        <w:t xml:space="preserve"> fundamental </w:t>
      </w:r>
      <w:r w:rsidRPr="00C90932">
        <w:rPr>
          <w:rStyle w:val="StyleUnderline"/>
        </w:rPr>
        <w:t xml:space="preserve">cause of terrorism, and the </w:t>
      </w:r>
      <w:r w:rsidRPr="00C90932">
        <w:rPr>
          <w:rStyle w:val="Emphasis"/>
        </w:rPr>
        <w:t>U</w:t>
      </w:r>
      <w:r w:rsidRPr="00C90932">
        <w:rPr>
          <w:rStyle w:val="StyleUnderline"/>
        </w:rPr>
        <w:t xml:space="preserve">nited </w:t>
      </w:r>
      <w:r w:rsidRPr="00C90932">
        <w:rPr>
          <w:rStyle w:val="Emphasis"/>
        </w:rPr>
        <w:t>S</w:t>
      </w:r>
      <w:r w:rsidRPr="00C90932">
        <w:rPr>
          <w:rStyle w:val="StyleUnderline"/>
        </w:rPr>
        <w:t>tates</w:t>
      </w:r>
      <w:r w:rsidRPr="00C90932">
        <w:rPr>
          <w:sz w:val="16"/>
        </w:rPr>
        <w:t xml:space="preserve">, against which this act was directed, </w:t>
      </w:r>
      <w:r w:rsidRPr="00C90932">
        <w:rPr>
          <w:rStyle w:val="StyleUnderline"/>
        </w:rPr>
        <w:t>is the most powerful Western hegemonic power</w:t>
      </w:r>
      <w:r w:rsidRPr="00C90932">
        <w:rPr>
          <w:sz w:val="16"/>
        </w:rPr>
        <w:t xml:space="preserve">. The rhetoric of postcolonialism and its call for </w:t>
      </w:r>
      <w:r w:rsidRPr="00C90932">
        <w:rPr>
          <w:rStyle w:val="StyleUnderline"/>
        </w:rPr>
        <w:t xml:space="preserve">the rule of relativism enabled us to </w:t>
      </w:r>
      <w:r w:rsidRPr="00C90932">
        <w:rPr>
          <w:rStyle w:val="Emphasis"/>
        </w:rPr>
        <w:t>blame the victim</w:t>
      </w:r>
      <w:r w:rsidRPr="00C90932">
        <w:rPr>
          <w:rStyle w:val="StyleUnderline"/>
        </w:rPr>
        <w:t xml:space="preserve"> and </w:t>
      </w:r>
      <w:r w:rsidRPr="00C90932">
        <w:rPr>
          <w:rStyle w:val="Emphasis"/>
        </w:rPr>
        <w:t>justify terror</w:t>
      </w:r>
      <w:r w:rsidRPr="00C90932">
        <w:rPr>
          <w:sz w:val="16"/>
        </w:rPr>
        <w:t>. Rothstein, a mere journalist, questioned whether such relativism should play any role in the face of destruction that called for a "transcendent ethical perspective" (Rothstein 2001). We, as readers of recent literary criticism, are usually far removed from such moral concerns. In fact, we might even find the logic in play here commonplace and conventional. What could be a more disturbing indictment of the state of theory today?</w:t>
      </w:r>
    </w:p>
    <w:p w14:paraId="5AA9FC6C" w14:textId="77777777" w:rsidR="00F3765A" w:rsidRDefault="00F3765A" w:rsidP="00C90932">
      <w:pPr>
        <w:rPr>
          <w:sz w:val="16"/>
        </w:rPr>
      </w:pPr>
      <w:r w:rsidRPr="00C90932">
        <w:rPr>
          <w:sz w:val="16"/>
        </w:rPr>
        <w:t xml:space="preserve">The </w:t>
      </w:r>
      <w:r w:rsidRPr="00C90932">
        <w:rPr>
          <w:rStyle w:val="StyleUnderline"/>
        </w:rPr>
        <w:t>Occidentalist rhetoric</w:t>
      </w:r>
      <w:r w:rsidRPr="00C90932">
        <w:rPr>
          <w:sz w:val="16"/>
        </w:rPr>
        <w:t xml:space="preserve"> exhibited in these responses reflects the school of thought that </w:t>
      </w:r>
      <w:r w:rsidRPr="00C90932">
        <w:rPr>
          <w:rStyle w:val="StyleUnderline"/>
        </w:rPr>
        <w:t xml:space="preserve">views the </w:t>
      </w:r>
      <w:r w:rsidRPr="00C90932">
        <w:rPr>
          <w:rStyle w:val="Emphasis"/>
        </w:rPr>
        <w:t>U</w:t>
      </w:r>
      <w:r w:rsidRPr="00C90932">
        <w:rPr>
          <w:rStyle w:val="StyleUnderline"/>
        </w:rPr>
        <w:t xml:space="preserve">nited </w:t>
      </w:r>
      <w:r w:rsidRPr="00C90932">
        <w:rPr>
          <w:rStyle w:val="Emphasis"/>
        </w:rPr>
        <w:t>S</w:t>
      </w:r>
      <w:r w:rsidRPr="00C90932">
        <w:rPr>
          <w:rStyle w:val="StyleUnderline"/>
        </w:rPr>
        <w:t xml:space="preserve">tates as the </w:t>
      </w:r>
      <w:r w:rsidRPr="00C90932">
        <w:rPr>
          <w:rStyle w:val="Emphasis"/>
        </w:rPr>
        <w:t>source of all evils</w:t>
      </w:r>
      <w:r w:rsidRPr="00C90932">
        <w:rPr>
          <w:sz w:val="16"/>
        </w:rPr>
        <w:t xml:space="preserve"> (</w:t>
      </w:r>
      <w:r w:rsidRPr="00C90932">
        <w:rPr>
          <w:rStyle w:val="StyleUnderline"/>
        </w:rPr>
        <w:t>from the price of beef in France to AIDS in Africa</w:t>
      </w:r>
      <w:r w:rsidRPr="00C90932">
        <w:rPr>
          <w:sz w:val="16"/>
        </w:rPr>
        <w:t xml:space="preserve">). This world vision offers certain advantages. For one, </w:t>
      </w:r>
      <w:r w:rsidRPr="00C90932">
        <w:rPr>
          <w:rStyle w:val="StyleUnderline"/>
        </w:rPr>
        <w:t xml:space="preserve">it allows some countries </w:t>
      </w:r>
      <w:r w:rsidRPr="00C90932">
        <w:rPr>
          <w:rStyle w:val="Emphasis"/>
        </w:rPr>
        <w:t>to avoid accepting responsibility for their actions</w:t>
      </w:r>
      <w:r w:rsidRPr="00C90932">
        <w:rPr>
          <w:sz w:val="16"/>
        </w:rPr>
        <w:t xml:space="preserve"> (Revel 2003:61). </w:t>
      </w:r>
      <w:r w:rsidRPr="00C90932">
        <w:rPr>
          <w:rStyle w:val="StyleUnderline"/>
        </w:rPr>
        <w:t xml:space="preserve">By attributing </w:t>
      </w:r>
      <w:r w:rsidRPr="00C90932">
        <w:rPr>
          <w:rStyle w:val="Emphasis"/>
        </w:rPr>
        <w:t>all moral failings</w:t>
      </w:r>
      <w:r w:rsidRPr="00C90932">
        <w:rPr>
          <w:rStyle w:val="StyleUnderline"/>
        </w:rPr>
        <w:t xml:space="preserve"> and </w:t>
      </w:r>
      <w:r w:rsidRPr="00C90932">
        <w:rPr>
          <w:rStyle w:val="Emphasis"/>
        </w:rPr>
        <w:t>grotesque intellectual errors</w:t>
      </w:r>
      <w:r w:rsidRPr="00C90932">
        <w:rPr>
          <w:rStyle w:val="StyleUnderline"/>
        </w:rPr>
        <w:t xml:space="preserve"> to the </w:t>
      </w:r>
      <w:r w:rsidRPr="00C90932">
        <w:rPr>
          <w:rStyle w:val="Emphasis"/>
        </w:rPr>
        <w:t>U</w:t>
      </w:r>
      <w:r w:rsidRPr="00C90932">
        <w:rPr>
          <w:rStyle w:val="StyleUnderline"/>
        </w:rPr>
        <w:t xml:space="preserve">nited </w:t>
      </w:r>
      <w:r w:rsidRPr="00C90932">
        <w:rPr>
          <w:rStyle w:val="Emphasis"/>
        </w:rPr>
        <w:t>S</w:t>
      </w:r>
      <w:r w:rsidRPr="00C90932">
        <w:rPr>
          <w:rStyle w:val="StyleUnderline"/>
        </w:rPr>
        <w:t xml:space="preserve">tates as the </w:t>
      </w:r>
      <w:r w:rsidRPr="00C90932">
        <w:rPr>
          <w:rStyle w:val="Emphasis"/>
        </w:rPr>
        <w:t>monster scapegoat</w:t>
      </w:r>
      <w:r w:rsidRPr="00C90932">
        <w:rPr>
          <w:sz w:val="16"/>
        </w:rPr>
        <w:t xml:space="preserve">, certain </w:t>
      </w:r>
      <w:r w:rsidRPr="00C90932">
        <w:rPr>
          <w:rStyle w:val="StyleUnderline"/>
        </w:rPr>
        <w:t xml:space="preserve">nations can </w:t>
      </w:r>
      <w:r w:rsidRPr="00C90932">
        <w:rPr>
          <w:rStyle w:val="Emphasis"/>
        </w:rPr>
        <w:t>absolve themselves</w:t>
      </w:r>
      <w:r w:rsidRPr="00C90932">
        <w:rPr>
          <w:rStyle w:val="StyleUnderline"/>
        </w:rPr>
        <w:t xml:space="preserve"> of their own moral errors and mistakes. If America becomes </w:t>
      </w:r>
      <w:r w:rsidRPr="00C90932">
        <w:rPr>
          <w:rStyle w:val="Emphasis"/>
        </w:rPr>
        <w:t>the Great Satan, all the little Satans pale in comparison</w:t>
      </w:r>
      <w:r w:rsidRPr="00C90932">
        <w:rPr>
          <w:rStyle w:val="StyleUnderline"/>
        </w:rPr>
        <w:t>. America can</w:t>
      </w:r>
      <w:r w:rsidRPr="00C90932">
        <w:rPr>
          <w:sz w:val="16"/>
        </w:rPr>
        <w:t xml:space="preserve"> thus exist to </w:t>
      </w:r>
      <w:r w:rsidRPr="00C90932">
        <w:rPr>
          <w:rStyle w:val="StyleUnderline"/>
        </w:rPr>
        <w:t>console</w:t>
      </w:r>
      <w:r w:rsidRPr="00C90932">
        <w:rPr>
          <w:sz w:val="16"/>
        </w:rPr>
        <w:t xml:space="preserve"> Europe and </w:t>
      </w:r>
      <w:r w:rsidRPr="00C90932">
        <w:rPr>
          <w:rStyle w:val="StyleUnderline"/>
        </w:rPr>
        <w:t>the world for its own failures</w:t>
      </w:r>
      <w:r w:rsidRPr="00C90932">
        <w:rPr>
          <w:sz w:val="16"/>
        </w:rPr>
        <w:t xml:space="preserve"> (Revel 2003: 158—59) </w:t>
      </w:r>
      <w:r w:rsidRPr="00C90932">
        <w:rPr>
          <w:rStyle w:val="StyleUnderline"/>
        </w:rPr>
        <w:t xml:space="preserve">among which we can count its </w:t>
      </w:r>
      <w:r w:rsidRPr="00C90932">
        <w:rPr>
          <w:rStyle w:val="Emphasis"/>
        </w:rPr>
        <w:t>complacency and</w:t>
      </w:r>
      <w:r w:rsidRPr="00C90932">
        <w:rPr>
          <w:sz w:val="16"/>
        </w:rPr>
        <w:t xml:space="preserve"> indulgent </w:t>
      </w:r>
      <w:r w:rsidRPr="00C90932">
        <w:rPr>
          <w:rStyle w:val="Emphasis"/>
        </w:rPr>
        <w:t>complicity in</w:t>
      </w:r>
      <w:r w:rsidRPr="00C90932">
        <w:rPr>
          <w:rStyle w:val="StyleUnderline"/>
        </w:rPr>
        <w:t xml:space="preserve"> </w:t>
      </w:r>
      <w:r w:rsidRPr="00C90932">
        <w:rPr>
          <w:sz w:val="16"/>
        </w:rPr>
        <w:t xml:space="preserve">Communist and post-Communist </w:t>
      </w:r>
      <w:r w:rsidRPr="00C90932">
        <w:rPr>
          <w:rStyle w:val="Emphasis"/>
        </w:rPr>
        <w:t>genocides</w:t>
      </w:r>
      <w:r w:rsidRPr="00C90932">
        <w:rPr>
          <w:sz w:val="16"/>
        </w:rPr>
        <w:t>.</w:t>
      </w:r>
    </w:p>
    <w:p w14:paraId="576895C3" w14:textId="0CA87F5A" w:rsidR="00586A2E" w:rsidRPr="00C90932" w:rsidRDefault="00F82AB3" w:rsidP="00586A2E">
      <w:pPr>
        <w:pStyle w:val="Heading3"/>
      </w:pPr>
      <w:r>
        <w:t xml:space="preserve">No </w:t>
      </w:r>
      <w:r w:rsidR="00586A2E" w:rsidRPr="00C90932">
        <w:t>Impact---Materiality Outweighs---2AC</w:t>
      </w:r>
    </w:p>
    <w:p w14:paraId="62464D27" w14:textId="77777777" w:rsidR="00586A2E" w:rsidRPr="00C90932" w:rsidRDefault="00586A2E" w:rsidP="00586A2E">
      <w:pPr>
        <w:pStyle w:val="Heading4"/>
      </w:pPr>
      <w:r w:rsidRPr="00C90932">
        <w:t xml:space="preserve">Vote aff </w:t>
      </w:r>
      <w:r w:rsidRPr="00C90932">
        <w:rPr>
          <w:u w:val="single"/>
        </w:rPr>
        <w:t>even if</w:t>
      </w:r>
      <w:r w:rsidRPr="00C90932">
        <w:t xml:space="preserve"> they win their theory---extinction is categorically distinct from any ontology argument.</w:t>
      </w:r>
    </w:p>
    <w:p w14:paraId="3E0ABFEA" w14:textId="77777777" w:rsidR="00586A2E" w:rsidRPr="00C90932" w:rsidRDefault="00586A2E" w:rsidP="00586A2E">
      <w:r w:rsidRPr="00C90932">
        <w:t xml:space="preserve">Jonathan </w:t>
      </w:r>
      <w:r w:rsidRPr="00C90932">
        <w:rPr>
          <w:rStyle w:val="Style13ptBold"/>
        </w:rPr>
        <w:t>Howard 20</w:t>
      </w:r>
      <w:r w:rsidRPr="00C90932">
        <w:t>, Assistant Professor of English and African American Studies at Yale University, Ph.D. in English from Duke University, “To See the Earth before the End of the Antiblack World,” Souls, Vol. 22, No. 2-4, 2020, accessed 06-28-2025, https://doi.org/10.1080/10999949.2021.2003622, DG</w:t>
      </w:r>
    </w:p>
    <w:p w14:paraId="3D713951" w14:textId="77777777" w:rsidR="00586A2E" w:rsidRPr="00C90932" w:rsidRDefault="00586A2E" w:rsidP="00586A2E">
      <w:pPr>
        <w:rPr>
          <w:sz w:val="16"/>
        </w:rPr>
      </w:pPr>
      <w:r w:rsidRPr="00C90932">
        <w:rPr>
          <w:sz w:val="16"/>
        </w:rPr>
        <w:t xml:space="preserve">I’ve said I want to speak a word of black life; and no one has cleared more theoretical ground for such a word, and so, for the skewed study of black life as a genuine largeness, than Fred Moten. While certainly no stranger to black death or antiblackness, Moten’s black study is a party more often than it isn’t. He makes the bias of his black study plain when he outlines his desire in Black and Blur to “subordinate by a measure so small that it constitutes measure’s eclipse, the critical analysis of anti-blackness to the celebratory analysis of blackness.”Footnote49 Jared Sexton once heard Moten state “measure’s eclipse” numerically, detailing in “The Social Life of Social Death” how </w:t>
      </w:r>
      <w:r w:rsidRPr="00C90932">
        <w:rPr>
          <w:rStyle w:val="StyleUnderline"/>
        </w:rPr>
        <w:t>Moten</w:t>
      </w:r>
      <w:r w:rsidRPr="00C90932">
        <w:rPr>
          <w:sz w:val="16"/>
        </w:rPr>
        <w:t xml:space="preserve"> once “</w:t>
      </w:r>
      <w:r w:rsidRPr="00C90932">
        <w:rPr>
          <w:rStyle w:val="StyleUnderline"/>
        </w:rPr>
        <w:t>remarked to the effect</w:t>
      </w:r>
      <w:r w:rsidRPr="00C90932">
        <w:rPr>
          <w:sz w:val="16"/>
        </w:rPr>
        <w:t xml:space="preserve"> that </w:t>
      </w:r>
      <w:r w:rsidRPr="00C90932">
        <w:rPr>
          <w:rStyle w:val="StyleUnderline"/>
        </w:rPr>
        <w:t>he always wants his writing to be comprised of 49.99% critique and 50.01% celebration</w:t>
      </w:r>
      <w:r w:rsidRPr="00C90932">
        <w:rPr>
          <w:sz w:val="16"/>
        </w:rPr>
        <w:t xml:space="preserve">.”Footnote50 </w:t>
      </w:r>
      <w:r w:rsidRPr="00C90932">
        <w:rPr>
          <w:rStyle w:val="StyleUnderline"/>
        </w:rPr>
        <w:t>This delineation of black study into the “celebration of blackness” and the “critique of anti-blackness” yields another compelling example of black ambivalence</w:t>
      </w:r>
      <w:r w:rsidRPr="00C90932">
        <w:rPr>
          <w:sz w:val="16"/>
        </w:rPr>
        <w:t>. And just as we observed of the cooperation between the testaments of black life and death in Sharpe’s black study</w:t>
      </w:r>
      <w:r w:rsidRPr="00C90932">
        <w:rPr>
          <w:rStyle w:val="StyleUnderline"/>
        </w:rPr>
        <w:t>, the “critique of anti-blackness” and “celebration of blackness” are</w:t>
      </w:r>
      <w:r w:rsidRPr="00C90932">
        <w:rPr>
          <w:sz w:val="16"/>
        </w:rPr>
        <w:t xml:space="preserve">, for Moten, </w:t>
      </w:r>
      <w:r w:rsidRPr="00C90932">
        <w:rPr>
          <w:rStyle w:val="StyleUnderline"/>
        </w:rPr>
        <w:t xml:space="preserve">not oppositional, but complementary operations that combine to </w:t>
      </w:r>
      <w:r w:rsidRPr="00C90932">
        <w:rPr>
          <w:rStyle w:val="Emphasis"/>
        </w:rPr>
        <w:t>produce black study</w:t>
      </w:r>
      <w:r w:rsidRPr="00C90932">
        <w:rPr>
          <w:sz w:val="16"/>
        </w:rPr>
        <w:t>. Thus, he explains that the “rich, rigorous, powerful, and utterly necessary analytic of anti-blackness” actually enables the celebration of blackness; and that this celebration, in turn, is “done not to avoid or ameliorate the hard truths of anti-blackness but in the service of its violent eradication.”Footnote51</w:t>
      </w:r>
    </w:p>
    <w:p w14:paraId="3BB0B2F1" w14:textId="77777777" w:rsidR="00586A2E" w:rsidRPr="00C90932" w:rsidRDefault="00586A2E" w:rsidP="00586A2E">
      <w:pPr>
        <w:rPr>
          <w:sz w:val="16"/>
        </w:rPr>
      </w:pPr>
      <w:r w:rsidRPr="00C90932">
        <w:rPr>
          <w:sz w:val="16"/>
        </w:rPr>
        <w:t xml:space="preserve">This delineation of black study offers a framework that bonds the witness of our forked-tongued tradition together. But beyond serving as just another example of black ambivalence, the subordination of critique to celebration in Moten’s black study also raises important questions about the nature of the relationship between blackness and anti-blackness. That there could be even marginally more blackness to celebrate than antiblackness to critique pulls blackness out from under anti-’s totalizing shadow. It leads us to question whether “anti-blackness” is the first, only, and exhaustive word of black study, whether the only blackness to speak of is that which gathers under anti-’s orthographic shadow. When we take part in “the devotional practice that is given in recitation of the sentence ‘blackness is x,’” have we been misspelling blackness?Footnote52 Leaving out a silent “anti-”? Is there any word we can speak for blackness that does not always already presume this prefix, which is nothing but the grammatical sign of blackness’ existence within what Frank Wilderson has theorized as a broader “grammar of suffering”?Footnote53 </w:t>
      </w:r>
      <w:r w:rsidRPr="00C90932">
        <w:rPr>
          <w:rStyle w:val="StyleUnderline"/>
        </w:rPr>
        <w:t>Does blackness have any life outside of the anti-black “world</w:t>
      </w:r>
      <w:r w:rsidRPr="00C90932">
        <w:rPr>
          <w:sz w:val="16"/>
        </w:rPr>
        <w:t xml:space="preserve"> that was going to kill” Equiano?</w:t>
      </w:r>
    </w:p>
    <w:p w14:paraId="04CD8B37" w14:textId="77777777" w:rsidR="00586A2E" w:rsidRPr="00C90932" w:rsidRDefault="00586A2E" w:rsidP="00586A2E">
      <w:pPr>
        <w:rPr>
          <w:sz w:val="16"/>
        </w:rPr>
      </w:pPr>
      <w:r w:rsidRPr="00C90932">
        <w:rPr>
          <w:sz w:val="16"/>
        </w:rPr>
        <w:t xml:space="preserve">Of course, in .02%, we are talking about a black lining thinner than silver’s. But razor thin as it is, its sheer excess is enough to put significant pressure on the understanding of antiblackness as that which “precedes and exceeds” blackness. It introduces the possibility that this apparent relation can, by another frame, appear inverted, such that </w:t>
      </w:r>
      <w:r w:rsidRPr="00C90932">
        <w:rPr>
          <w:rStyle w:val="StyleUnderline"/>
        </w:rPr>
        <w:t>blackness rather “</w:t>
      </w:r>
      <w:r w:rsidRPr="00C90932">
        <w:rPr>
          <w:rStyle w:val="Emphasis"/>
        </w:rPr>
        <w:t>precedes and exceeds</w:t>
      </w:r>
      <w:r w:rsidRPr="00C90932">
        <w:rPr>
          <w:rStyle w:val="StyleUnderline"/>
        </w:rPr>
        <w:t xml:space="preserve">” anti-blackness, and is </w:t>
      </w:r>
      <w:r w:rsidRPr="00C90932">
        <w:rPr>
          <w:rStyle w:val="Emphasis"/>
        </w:rPr>
        <w:t>not diminished</w:t>
      </w:r>
      <w:r w:rsidRPr="00C90932">
        <w:rPr>
          <w:rStyle w:val="StyleUnderline"/>
        </w:rPr>
        <w:t xml:space="preserve"> by anti-blackness’ capacity to occlude. By establishing blackness</w:t>
      </w:r>
      <w:r w:rsidRPr="00C90932">
        <w:rPr>
          <w:sz w:val="16"/>
        </w:rPr>
        <w:t xml:space="preserve"> (and by extension black life) </w:t>
      </w:r>
      <w:r w:rsidRPr="00C90932">
        <w:rPr>
          <w:rStyle w:val="StyleUnderline"/>
        </w:rPr>
        <w:t>as excessive, the .02% margin by which Moten subordinates the “critique of anti-blackness” to the “celebration of blackness” models and invites</w:t>
      </w:r>
      <w:r w:rsidRPr="00C90932">
        <w:rPr>
          <w:sz w:val="16"/>
        </w:rPr>
        <w:t xml:space="preserve"> such </w:t>
      </w:r>
      <w:r w:rsidRPr="00C90932">
        <w:rPr>
          <w:rStyle w:val="StyleUnderline"/>
        </w:rPr>
        <w:t xml:space="preserve">ambivalence as is </w:t>
      </w:r>
      <w:r w:rsidRPr="00C90932">
        <w:rPr>
          <w:rStyle w:val="Emphasis"/>
        </w:rPr>
        <w:t>ultimately skewed</w:t>
      </w:r>
      <w:r w:rsidRPr="00C90932">
        <w:rPr>
          <w:rStyle w:val="StyleUnderline"/>
        </w:rPr>
        <w:t xml:space="preserve"> in the direction of black life</w:t>
      </w:r>
      <w:r w:rsidRPr="00C90932">
        <w:rPr>
          <w:sz w:val="16"/>
        </w:rPr>
        <w:t>.Footnote54 But what grounds are there to justify this sense of “the largeness that is black life?” And are they quite so substantial as that which the antiblack world furnishes to the thought of black death?</w:t>
      </w:r>
    </w:p>
    <w:p w14:paraId="5C627147" w14:textId="77777777" w:rsidR="00586A2E" w:rsidRPr="00C90932" w:rsidRDefault="00586A2E" w:rsidP="00586A2E">
      <w:pPr>
        <w:rPr>
          <w:sz w:val="16"/>
        </w:rPr>
      </w:pPr>
      <w:r w:rsidRPr="00C90932">
        <w:rPr>
          <w:sz w:val="16"/>
        </w:rPr>
        <w:t xml:space="preserve">Perhaps </w:t>
      </w:r>
      <w:r w:rsidRPr="00C90932">
        <w:rPr>
          <w:rStyle w:val="StyleUnderline"/>
        </w:rPr>
        <w:t>we can pursue the grounds of .02%</w:t>
      </w:r>
      <w:r w:rsidRPr="00C90932">
        <w:rPr>
          <w:sz w:val="16"/>
        </w:rPr>
        <w:t xml:space="preserve"> in the nearly nothing interval of “soon” that elapses between Equiano’s initial “astonishment” at the sight of an unknown ocean and his “terror” upon boarding the slave ship.</w:t>
      </w:r>
    </w:p>
    <w:p w14:paraId="47A0A8C1" w14:textId="77777777" w:rsidR="00586A2E" w:rsidRPr="00C90932" w:rsidRDefault="00586A2E" w:rsidP="00586A2E">
      <w:pPr>
        <w:ind w:left="720"/>
        <w:rPr>
          <w:sz w:val="16"/>
        </w:rPr>
      </w:pPr>
      <w:r w:rsidRPr="00C90932">
        <w:rPr>
          <w:sz w:val="16"/>
        </w:rPr>
        <w:t>The first object which saluted my eyes when I arrived on the coast was the sea, and a slave ship, which was then riding at anchor, and waiting for its cargo. These filled me with astonishment, which was soon converted into terror when I was carried on board. I was immediately handled and tossed up to see if I were sound by some of the crew; and I was now persuaded that I had gotten into a world of bad spirits, and that they were going to kill me.Footnote55</w:t>
      </w:r>
    </w:p>
    <w:p w14:paraId="7976C688" w14:textId="77777777" w:rsidR="00586A2E" w:rsidRPr="00C90932" w:rsidRDefault="00586A2E" w:rsidP="00586A2E">
      <w:pPr>
        <w:rPr>
          <w:sz w:val="16"/>
        </w:rPr>
      </w:pPr>
      <w:r w:rsidRPr="00C90932">
        <w:rPr>
          <w:sz w:val="16"/>
        </w:rPr>
        <w:t>Notwithstanding the terror of the antiblack world that was going to kill him, I am struck that the very “first thing that saluted” Equiano, even prior to the slave ship, was the sea. And that when he saw it, he was astonished. That this astonishment was “soon converted to terror,” in a conversion which mirrors Equiano’s own conversion into cargo—and thus, the Black subject of the nonhuman hold—suggests an interval so short as to be almost negligible. Especially when considered beside the sheer scale of the antiblack world, and all there is proportionally to say about something on the scale of a world when held up against a moment, here and already gone. The agenda for black study that Equiano’s record of the beginning would seem to set is the study, critique, and overturning of this world. And I am certainly about that life. But here is where I stumble, felled perhaps too long in the passing interval of “soon.” It’s Equiano’s “astonishment” that gets me, again and again and always. That there was, that there could be, astonishment. Then, in the time of astonishment, for a moment, but only for a moment, the Earth gathers, dancing.</w:t>
      </w:r>
    </w:p>
    <w:p w14:paraId="5CAB481D" w14:textId="77777777" w:rsidR="00586A2E" w:rsidRPr="00C90932" w:rsidRDefault="00586A2E" w:rsidP="00586A2E">
      <w:pPr>
        <w:rPr>
          <w:sz w:val="16"/>
        </w:rPr>
      </w:pPr>
      <w:r w:rsidRPr="00C90932">
        <w:rPr>
          <w:sz w:val="16"/>
        </w:rPr>
        <w:t>Equiano did not jump to see the Earth before the end of his world and the beginning of ours. But he did see it. And he was astonished. Just prior to being “saluted,” or hailed in the Althusserian sense, by the slave ship—“Hey you there! Hey, cargo!”—to discovering that he really was the cargo for which the ship was waiting, and in this way being interpellated as black, Equiano was greeted by the blue face of an overwhelmingly blue planet. What if, compelled by such astonishment, we fall deep into the fleeting interval of soon? What would it mean to think the dawning of blackness in Middle Passage as not reducible to the “social death” hailed in the salute of the slave ship? What if, instead, we think blackness as not just responding also, but first, to the hailing waves of the astonishing sea? “Hey you there! Hey, earthling.” What if, as our original antiphony, blackness dawns in the ongoing response of black ecological life to the hail of a blue planet?</w:t>
      </w:r>
    </w:p>
    <w:p w14:paraId="31FA725A" w14:textId="77777777" w:rsidR="00586A2E" w:rsidRPr="00C90932" w:rsidRDefault="00586A2E" w:rsidP="00586A2E">
      <w:pPr>
        <w:rPr>
          <w:sz w:val="16"/>
        </w:rPr>
      </w:pPr>
      <w:r w:rsidRPr="00C90932">
        <w:rPr>
          <w:rStyle w:val="StyleUnderline"/>
        </w:rPr>
        <w:t>The study of black life as a genuine largeness begins when we</w:t>
      </w:r>
      <w:r w:rsidRPr="00C90932">
        <w:rPr>
          <w:sz w:val="16"/>
        </w:rPr>
        <w:t xml:space="preserve">, with Equiano and an innumerable cloud of witnesses, </w:t>
      </w:r>
      <w:r w:rsidRPr="00C90932">
        <w:rPr>
          <w:rStyle w:val="StyleUnderline"/>
        </w:rPr>
        <w:t xml:space="preserve">stop to </w:t>
      </w:r>
      <w:r w:rsidRPr="00C90932">
        <w:rPr>
          <w:rStyle w:val="Emphasis"/>
        </w:rPr>
        <w:t>behold the Earth before the end of the antiblack world</w:t>
      </w:r>
      <w:r w:rsidRPr="00C90932">
        <w:rPr>
          <w:sz w:val="16"/>
        </w:rPr>
        <w:t xml:space="preserve">. </w:t>
      </w:r>
      <w:r w:rsidRPr="00C90932">
        <w:rPr>
          <w:rStyle w:val="StyleUnderline"/>
        </w:rPr>
        <w:t>This Earth still hails and is hardly as much world as it appears on its surface</w:t>
      </w:r>
      <w:r w:rsidRPr="00C90932">
        <w:rPr>
          <w:sz w:val="16"/>
        </w:rPr>
        <w:t>, which is so much more ocean than not. Or else do we suppose that whiteness has managed to straightjacket the planet so utterly that its definition is no longer possibility, as the narrator of Invisible Man once averred?Footnote56</w:t>
      </w:r>
    </w:p>
    <w:p w14:paraId="7001BD29" w14:textId="77777777" w:rsidR="00586A2E" w:rsidRDefault="00586A2E" w:rsidP="00586A2E">
      <w:pPr>
        <w:rPr>
          <w:sz w:val="16"/>
        </w:rPr>
      </w:pPr>
      <w:r w:rsidRPr="00C90932">
        <w:rPr>
          <w:sz w:val="16"/>
        </w:rPr>
        <w:t xml:space="preserve">If, as Ed Roberson explains, the “nature poem occurs when an individual’s sense of the larger Earth enters into the world of human knowledge,” and if the “main understanding that results from this encounter is…that the world’s desires do not run the Earth, but the Earth does run the world,”Footnote57 then what would it mean for a larger sense of the Earth to enter black studies? Or, to invoke a beautiful line of Roberson’s poetry that I can’t stop thinking about, how might we endeavor, “to see the Earth before the end of the [antiblack] world?”Footnote58 And what would happen to our understandings of black life as that which is insisted from the totalizing grounds of black death, if we shift our critical frame from the world to the Earth, as our era of climate crisis seems to demand? Indeed, </w:t>
      </w:r>
      <w:r w:rsidRPr="00C90932">
        <w:rPr>
          <w:rStyle w:val="StyleUnderline"/>
        </w:rPr>
        <w:t>if by “social death,” black studies</w:t>
      </w:r>
      <w:r w:rsidRPr="00C90932">
        <w:rPr>
          <w:sz w:val="16"/>
        </w:rPr>
        <w:t xml:space="preserve"> has </w:t>
      </w:r>
      <w:r w:rsidRPr="00C90932">
        <w:rPr>
          <w:rStyle w:val="StyleUnderline"/>
        </w:rPr>
        <w:t xml:space="preserve">arrived at its most complete understanding of what it means to be black in and relative to the world, it is yet left to the field to attend ever more robustly to what it means to be </w:t>
      </w:r>
      <w:r w:rsidRPr="00C90932">
        <w:rPr>
          <w:rStyle w:val="Emphasis"/>
        </w:rPr>
        <w:t>black on and in relationship to the Earth, that exceeds the world</w:t>
      </w:r>
      <w:r w:rsidRPr="00C90932">
        <w:rPr>
          <w:rStyle w:val="StyleUnderline"/>
        </w:rPr>
        <w:t>. The necessity of this vector of black study is all the more apparent in the light of</w:t>
      </w:r>
      <w:r w:rsidRPr="00C90932">
        <w:rPr>
          <w:sz w:val="16"/>
        </w:rPr>
        <w:t xml:space="preserve"> a </w:t>
      </w:r>
      <w:r w:rsidRPr="00C90932">
        <w:rPr>
          <w:rStyle w:val="Emphasis"/>
        </w:rPr>
        <w:t>global ecological crisis</w:t>
      </w:r>
      <w:r w:rsidRPr="00C90932">
        <w:rPr>
          <w:rStyle w:val="StyleUnderline"/>
        </w:rPr>
        <w:t xml:space="preserve"> that has illuminated the</w:t>
      </w:r>
      <w:r w:rsidRPr="00C90932">
        <w:rPr>
          <w:sz w:val="16"/>
        </w:rPr>
        <w:t xml:space="preserve"> (Human) </w:t>
      </w:r>
      <w:r w:rsidRPr="00C90932">
        <w:rPr>
          <w:rStyle w:val="StyleUnderline"/>
        </w:rPr>
        <w:t xml:space="preserve">social </w:t>
      </w:r>
      <w:r w:rsidRPr="00C90932">
        <w:rPr>
          <w:rStyle w:val="Emphasis"/>
        </w:rPr>
        <w:t>life of the world as a still deeper death</w:t>
      </w:r>
      <w:r w:rsidRPr="00C90932">
        <w:rPr>
          <w:sz w:val="16"/>
        </w:rPr>
        <w:t xml:space="preserve">. So, </w:t>
      </w:r>
      <w:r w:rsidRPr="00C90932">
        <w:rPr>
          <w:rStyle w:val="StyleUnderline"/>
        </w:rPr>
        <w:t xml:space="preserve">if what we want is not only apocalypse, but an apocalypse we might live in, then </w:t>
      </w:r>
      <w:r w:rsidRPr="00C90932">
        <w:rPr>
          <w:rStyle w:val="Emphasis"/>
        </w:rPr>
        <w:t>even more than social death, we must learn to study and celebrate what</w:t>
      </w:r>
      <w:r w:rsidRPr="00C90932">
        <w:rPr>
          <w:sz w:val="16"/>
        </w:rPr>
        <w:t xml:space="preserve">, by another frame, </w:t>
      </w:r>
      <w:r w:rsidRPr="00C90932">
        <w:rPr>
          <w:rStyle w:val="Emphasis"/>
        </w:rPr>
        <w:t>can be perceived as the largeness that is black ecological life. Because after the end of the world, there will be black people on Earth, or none at all</w:t>
      </w:r>
      <w:r w:rsidRPr="00C90932">
        <w:rPr>
          <w:sz w:val="16"/>
        </w:rPr>
        <w:t>.</w:t>
      </w:r>
    </w:p>
    <w:p w14:paraId="0065BB25" w14:textId="015A64BB" w:rsidR="00B95445" w:rsidRDefault="00B95445" w:rsidP="00B95445">
      <w:pPr>
        <w:pStyle w:val="Heading3"/>
      </w:pPr>
      <w:r>
        <w:t>No Impact---Humanism---2AC</w:t>
      </w:r>
    </w:p>
    <w:p w14:paraId="33C82D40" w14:textId="52E197D4" w:rsidR="00B95445" w:rsidRDefault="00B95445" w:rsidP="00B95445">
      <w:pPr>
        <w:pStyle w:val="Heading4"/>
      </w:pPr>
      <w:r>
        <w:t>The ‘human’ is not collapsing, and posthumanism is conceptually useless.</w:t>
      </w:r>
    </w:p>
    <w:p w14:paraId="618302F6" w14:textId="6C5C71F9" w:rsidR="00B95445" w:rsidRPr="00B95445" w:rsidRDefault="00932BB1" w:rsidP="00B95445">
      <w:r>
        <w:t xml:space="preserve">Simon </w:t>
      </w:r>
      <w:r w:rsidRPr="00932BB1">
        <w:rPr>
          <w:rStyle w:val="Style13ptBold"/>
        </w:rPr>
        <w:t>Susen 22</w:t>
      </w:r>
      <w:r>
        <w:t>, Professor of Sociology at City St. George’s, University of London, Ph.D. from the University of Cambridge, “Reflections on the (Post-)Human Condition: Towards New Forms of Engagement with the World?”, Social Epistemology, Vol. 36, No. 1, 2022, accessed 07-05-2025, https://doi.org/10.1080/02691728.2021.1893859, DG</w:t>
      </w:r>
    </w:p>
    <w:p w14:paraId="37180420" w14:textId="64916965" w:rsidR="00B95445" w:rsidRPr="00B95445" w:rsidRDefault="00B95445" w:rsidP="00B95445">
      <w:pPr>
        <w:rPr>
          <w:sz w:val="16"/>
        </w:rPr>
      </w:pPr>
      <w:r w:rsidRPr="00B95445">
        <w:rPr>
          <w:sz w:val="16"/>
        </w:rPr>
        <w:t xml:space="preserve">Given that Braidotti remains firmly embedded in a poststructuralist framework, it is far from clear why she wishes to hold on to the concept of ‘the subject’. Granted, owing to the Foucauldian presuppositions underpinning her approach, </w:t>
      </w:r>
      <w:r w:rsidRPr="00B95445">
        <w:rPr>
          <w:rStyle w:val="StyleUnderline"/>
        </w:rPr>
        <w:t>it makes sense</w:t>
      </w:r>
      <w:r w:rsidRPr="00B95445">
        <w:rPr>
          <w:sz w:val="16"/>
        </w:rPr>
        <w:t xml:space="preserve"> for her </w:t>
      </w:r>
      <w:r w:rsidRPr="00B95445">
        <w:rPr>
          <w:rStyle w:val="StyleUnderline"/>
        </w:rPr>
        <w:t>to advocate a posthumanist</w:t>
      </w:r>
      <w:r w:rsidRPr="00B95445">
        <w:rPr>
          <w:sz w:val="16"/>
        </w:rPr>
        <w:t xml:space="preserve"> and post-anthropocentric </w:t>
      </w:r>
      <w:r w:rsidRPr="00B95445">
        <w:rPr>
          <w:rStyle w:val="StyleUnderline"/>
        </w:rPr>
        <w:t>conception of</w:t>
      </w:r>
      <w:r w:rsidRPr="00B95445">
        <w:rPr>
          <w:sz w:val="16"/>
        </w:rPr>
        <w:t xml:space="preserve"> ‘</w:t>
      </w:r>
      <w:r w:rsidRPr="00B95445">
        <w:rPr>
          <w:rStyle w:val="StyleUnderline"/>
        </w:rPr>
        <w:t>subjectivity</w:t>
      </w:r>
      <w:r w:rsidRPr="00B95445">
        <w:rPr>
          <w:sz w:val="16"/>
        </w:rPr>
        <w:t>’. Indeed, as she affirms, ‘[b]y “posthumanizing” subjectivity, it can be re-positioned as a dynamic convergence phenomenon across the contradictions of posthumanism and post-anthropocentrism’.240 Thus, subjectivity exists within a spatiotemporally contingent field of tensions. More specifically, ‘</w:t>
      </w:r>
      <w:r w:rsidRPr="00B95445">
        <w:rPr>
          <w:rStyle w:val="StyleUnderline"/>
        </w:rPr>
        <w:t>posthuman subjectivity</w:t>
      </w:r>
      <w:r w:rsidRPr="00B95445">
        <w:rPr>
          <w:sz w:val="16"/>
        </w:rPr>
        <w:t xml:space="preserve">’241 can be conceived of as ‘a process of becoming in its own immanence and not in binary oppositional terms’.242 It </w:t>
      </w:r>
      <w:r w:rsidRPr="00B95445">
        <w:rPr>
          <w:rStyle w:val="StyleUnderline"/>
        </w:rPr>
        <w:t xml:space="preserve">is in a </w:t>
      </w:r>
      <w:r w:rsidRPr="00B95445">
        <w:rPr>
          <w:rStyle w:val="Emphasis"/>
        </w:rPr>
        <w:t>permanent state of flux</w:t>
      </w:r>
      <w:r w:rsidRPr="00B95445">
        <w:rPr>
          <w:sz w:val="16"/>
        </w:rPr>
        <w:t xml:space="preserve">, and </w:t>
      </w:r>
      <w:r w:rsidRPr="00B95445">
        <w:rPr>
          <w:rStyle w:val="StyleUnderline"/>
        </w:rPr>
        <w:t>its multilayered constitution does not follow a binary, let alone monolithic, logic of functioning</w:t>
      </w:r>
      <w:r w:rsidRPr="00B95445">
        <w:rPr>
          <w:sz w:val="16"/>
        </w:rPr>
        <w:t>. At the same time, it is irreducible to the ‘Homo Universalis of Humanism’243 and the ‘Anthropos of anthropocentrism’,244 since it is ‘a structural relational capacity’245 that defies the rigid logic of a fixed sense of ‘human nature’ or ‘human essence’. For Braidotti, subjectivity is ‘both post-personal and pre-individual’,246 in that it finds itself situated in a dynamic, and largely unpredictable, process of ‘constant negotiation with multiple others and immersed in the conditions that it is trying to understand and modify, if not overturn’.247 On this view, amo</w:t>
      </w:r>
      <w:r w:rsidRPr="00B95445">
        <w:rPr>
          <w:rStyle w:val="StyleUnderline"/>
        </w:rPr>
        <w:t>ng the key features of human subjectivity are malleability, negotiability, unpredictability, multiplicity, contingency, and</w:t>
      </w:r>
      <w:r w:rsidRPr="00B95445">
        <w:rPr>
          <w:sz w:val="16"/>
        </w:rPr>
        <w:t xml:space="preserve"> – above all – </w:t>
      </w:r>
      <w:r w:rsidRPr="00B95445">
        <w:rPr>
          <w:rStyle w:val="StyleUnderline"/>
        </w:rPr>
        <w:t>relationality</w:t>
      </w:r>
      <w:r w:rsidRPr="00B95445">
        <w:rPr>
          <w:sz w:val="16"/>
        </w:rPr>
        <w:t>.</w:t>
      </w:r>
    </w:p>
    <w:p w14:paraId="4691AB7B" w14:textId="29072206" w:rsidR="00B95445" w:rsidRPr="00B95445" w:rsidRDefault="00B95445" w:rsidP="00B95445">
      <w:pPr>
        <w:rPr>
          <w:sz w:val="16"/>
        </w:rPr>
      </w:pPr>
      <w:r w:rsidRPr="00B95445">
        <w:rPr>
          <w:sz w:val="16"/>
        </w:rPr>
        <w:t xml:space="preserve">A noteworthy problem with this account of subjectivity, however, is that, </w:t>
      </w:r>
      <w:r w:rsidRPr="00B95445">
        <w:rPr>
          <w:rStyle w:val="StyleUnderline"/>
        </w:rPr>
        <w:t xml:space="preserve">despite its advocate’s </w:t>
      </w:r>
      <w:r w:rsidRPr="00B95445">
        <w:rPr>
          <w:rStyle w:val="Emphasis"/>
        </w:rPr>
        <w:t>nominally anti-essentialist stance</w:t>
      </w:r>
      <w:r w:rsidRPr="00B95445">
        <w:rPr>
          <w:rStyle w:val="StyleUnderline"/>
        </w:rPr>
        <w:t xml:space="preserve">, it </w:t>
      </w:r>
      <w:r w:rsidRPr="00B95445">
        <w:rPr>
          <w:rStyle w:val="Emphasis"/>
        </w:rPr>
        <w:t>relies on effectively essentialist</w:t>
      </w:r>
      <w:r w:rsidRPr="00B95445">
        <w:rPr>
          <w:sz w:val="16"/>
        </w:rPr>
        <w:t xml:space="preserve"> – or at least quasi-essentialist – </w:t>
      </w:r>
      <w:r w:rsidRPr="00B95445">
        <w:rPr>
          <w:rStyle w:val="Emphasis"/>
        </w:rPr>
        <w:t>assumptions about</w:t>
      </w:r>
      <w:r w:rsidRPr="00B95445">
        <w:rPr>
          <w:sz w:val="16"/>
        </w:rPr>
        <w:t xml:space="preserve"> the very nature of </w:t>
      </w:r>
      <w:r w:rsidRPr="00B95445">
        <w:rPr>
          <w:rStyle w:val="Emphasis"/>
        </w:rPr>
        <w:t>what it means to be</w:t>
      </w:r>
      <w:r w:rsidRPr="00B95445">
        <w:rPr>
          <w:sz w:val="16"/>
        </w:rPr>
        <w:t xml:space="preserve"> ‘</w:t>
      </w:r>
      <w:r w:rsidRPr="00B95445">
        <w:rPr>
          <w:rStyle w:val="Emphasis"/>
        </w:rPr>
        <w:t>human</w:t>
      </w:r>
      <w:r w:rsidRPr="00B95445">
        <w:rPr>
          <w:sz w:val="16"/>
        </w:rPr>
        <w:t>’. For the aforementioned charac</w:t>
      </w:r>
      <w:r w:rsidRPr="00B95445">
        <w:rPr>
          <w:rStyle w:val="StyleUnderline"/>
        </w:rPr>
        <w:t xml:space="preserve">teristics are </w:t>
      </w:r>
      <w:r w:rsidRPr="00B95445">
        <w:rPr>
          <w:rStyle w:val="Emphasis"/>
        </w:rPr>
        <w:t>constitutive elements of any human creature</w:t>
      </w:r>
      <w:r w:rsidRPr="00B95445">
        <w:rPr>
          <w:sz w:val="16"/>
        </w:rPr>
        <w:t xml:space="preserve"> – that is, they are traits that are inherent in our species-specific condition.</w:t>
      </w:r>
    </w:p>
    <w:p w14:paraId="4CFEC003" w14:textId="7B027D4A" w:rsidR="00B95445" w:rsidRPr="00B95445" w:rsidRDefault="00B95445" w:rsidP="00B95445">
      <w:pPr>
        <w:rPr>
          <w:sz w:val="16"/>
        </w:rPr>
      </w:pPr>
      <w:r w:rsidRPr="00B95445">
        <w:rPr>
          <w:rStyle w:val="StyleUnderline"/>
        </w:rPr>
        <w:t>This reflection takes us to</w:t>
      </w:r>
      <w:r w:rsidRPr="00B95445">
        <w:rPr>
          <w:sz w:val="16"/>
        </w:rPr>
        <w:t xml:space="preserve"> Braidotti’s conception of ‘</w:t>
      </w:r>
      <w:r w:rsidRPr="00B95445">
        <w:rPr>
          <w:rStyle w:val="StyleUnderline"/>
        </w:rPr>
        <w:t>the subject</w:t>
      </w:r>
      <w:r w:rsidRPr="00B95445">
        <w:rPr>
          <w:sz w:val="16"/>
        </w:rPr>
        <w:t xml:space="preserve">’ </w:t>
      </w:r>
      <w:r w:rsidRPr="00B95445">
        <w:rPr>
          <w:rStyle w:val="StyleUnderline"/>
        </w:rPr>
        <w:t>in general</w:t>
      </w:r>
      <w:r w:rsidRPr="00B95445">
        <w:rPr>
          <w:sz w:val="16"/>
        </w:rPr>
        <w:t xml:space="preserve"> and her conception of ‘the posthuman subject’ in particular. She maintains that ‘[p]osthuman subjects are a work-in- progress’248 and that, furthermore, ‘they emerge as both a critical and a creative project </w:t>
      </w:r>
      <w:r w:rsidRPr="00B95445">
        <w:rPr>
          <w:rStyle w:val="StyleUnderline"/>
        </w:rPr>
        <w:t>within the posthuman convergence</w:t>
      </w:r>
      <w:r w:rsidRPr="00B95445">
        <w:rPr>
          <w:sz w:val="16"/>
        </w:rPr>
        <w:t xml:space="preserve"> along posthumanist and post-anthropocentric axes of interrogation’.249 One may legitimately object, however, that at least the first part of this statement applies not only to (post-)human but also to non-human subjects. </w:t>
      </w:r>
      <w:r w:rsidRPr="00B95445">
        <w:rPr>
          <w:rStyle w:val="StyleUnderline"/>
        </w:rPr>
        <w:t>By definition, all living beings are</w:t>
      </w:r>
      <w:r w:rsidRPr="00B95445">
        <w:rPr>
          <w:sz w:val="16"/>
        </w:rPr>
        <w:t xml:space="preserve"> ‘</w:t>
      </w:r>
      <w:r w:rsidRPr="00B95445">
        <w:rPr>
          <w:rStyle w:val="StyleUnderline"/>
        </w:rPr>
        <w:t>a work-in-progress</w:t>
      </w:r>
      <w:r w:rsidRPr="00B95445">
        <w:rPr>
          <w:sz w:val="16"/>
        </w:rPr>
        <w:t xml:space="preserve">’, </w:t>
      </w:r>
      <w:r w:rsidRPr="00B95445">
        <w:rPr>
          <w:rStyle w:val="StyleUnderline"/>
        </w:rPr>
        <w:t>in</w:t>
      </w:r>
      <w:r w:rsidRPr="00B95445">
        <w:rPr>
          <w:sz w:val="16"/>
        </w:rPr>
        <w:t xml:space="preserve"> the sense </w:t>
      </w:r>
      <w:r w:rsidRPr="00B95445">
        <w:rPr>
          <w:rStyle w:val="StyleUnderline"/>
        </w:rPr>
        <w:t xml:space="preserve">that they are </w:t>
      </w:r>
      <w:r w:rsidRPr="00B95445">
        <w:rPr>
          <w:rStyle w:val="Emphasis"/>
        </w:rPr>
        <w:t>constantly developing and</w:t>
      </w:r>
      <w:r w:rsidRPr="00B95445">
        <w:rPr>
          <w:sz w:val="16"/>
        </w:rPr>
        <w:t xml:space="preserve">, as spatiotemporally situated beings, </w:t>
      </w:r>
      <w:r w:rsidRPr="00B95445">
        <w:rPr>
          <w:rStyle w:val="StyleUnderline"/>
        </w:rPr>
        <w:t>responding to different, and incessantly evolving, environments and historical circumstances</w:t>
      </w:r>
      <w:r w:rsidRPr="00B95445">
        <w:rPr>
          <w:sz w:val="16"/>
        </w:rPr>
        <w:t>.</w:t>
      </w:r>
    </w:p>
    <w:p w14:paraId="640F793E" w14:textId="0FCAED77" w:rsidR="00B95445" w:rsidRPr="00B95445" w:rsidRDefault="00B95445" w:rsidP="00B95445">
      <w:pPr>
        <w:rPr>
          <w:sz w:val="16"/>
        </w:rPr>
      </w:pPr>
      <w:r w:rsidRPr="00B95445">
        <w:rPr>
          <w:sz w:val="16"/>
        </w:rPr>
        <w:t xml:space="preserve">This leads us to another issue, namely the question of ‘we’. Who are ‘we’?250 Braidotti claims that posthuman subjects ‘explore the multifaceted and differential nature of the collective “we”’.251 In other words, the ‘we’ to which she is referring cannot be reduced to a monolithic, let alone transcendental, entity; rather, given its relational constitution, we are dealing with a multilayered and highly differentiated form of ‘we’, whose posthuman constitution is indicative of the posthuman era. According to Braidotti, ‘“[w]e” are in the process of becoming posthumanist and post- anthropocentric’.252 We do so as embodied and embedded selves, since ‘we are deeply steeped in the material world’253; and we do so as transversal selves, since ‘we connect [with] but also differ from each other’.254 Bonded by our ‘ontological relationality’,255 we are – in vitalist terms – ‘variations on a common matter’.256 Yet, paradoxically, ‘we differ from each other all the more as we co-define ourselves within the same living matter – environmentally, socially, and relationally’.257 </w:t>
      </w:r>
      <w:r w:rsidRPr="00B95445">
        <w:rPr>
          <w:rStyle w:val="StyleUnderline"/>
        </w:rPr>
        <w:t>Just as we share our ontological relationality with all other living beings, we differ from each other due to our context-dependent specificities</w:t>
      </w:r>
      <w:r w:rsidRPr="00B95445">
        <w:rPr>
          <w:sz w:val="16"/>
        </w:rPr>
        <w:t>.</w:t>
      </w:r>
    </w:p>
    <w:p w14:paraId="07AE0F13" w14:textId="298D7825" w:rsidR="00B95445" w:rsidRPr="00B95445" w:rsidRDefault="00B95445" w:rsidP="00B95445">
      <w:pPr>
        <w:rPr>
          <w:sz w:val="16"/>
        </w:rPr>
      </w:pPr>
      <w:r w:rsidRPr="00B95445">
        <w:rPr>
          <w:sz w:val="16"/>
        </w:rPr>
        <w:t xml:space="preserve">One of the main problems with this approach, however, is that </w:t>
      </w:r>
      <w:r w:rsidRPr="00B95445">
        <w:rPr>
          <w:rStyle w:val="StyleUnderline"/>
        </w:rPr>
        <w:t>the notion of</w:t>
      </w:r>
      <w:r w:rsidRPr="00B95445">
        <w:rPr>
          <w:sz w:val="16"/>
        </w:rPr>
        <w:t xml:space="preserve"> ‘</w:t>
      </w:r>
      <w:r w:rsidRPr="00B95445">
        <w:rPr>
          <w:rStyle w:val="StyleUnderline"/>
        </w:rPr>
        <w:t>we</w:t>
      </w:r>
      <w:r w:rsidRPr="00B95445">
        <w:rPr>
          <w:sz w:val="16"/>
        </w:rPr>
        <w:t xml:space="preserve">’ that lies at its core </w:t>
      </w:r>
      <w:r w:rsidRPr="00B95445">
        <w:rPr>
          <w:rStyle w:val="StyleUnderline"/>
        </w:rPr>
        <w:t xml:space="preserve">is both </w:t>
      </w:r>
      <w:r w:rsidRPr="00B95445">
        <w:rPr>
          <w:rStyle w:val="Emphasis"/>
        </w:rPr>
        <w:t>vague</w:t>
      </w:r>
      <w:r w:rsidRPr="00B95445">
        <w:rPr>
          <w:rStyle w:val="StyleUnderline"/>
        </w:rPr>
        <w:t xml:space="preserve"> and </w:t>
      </w:r>
      <w:r w:rsidRPr="00B95445">
        <w:rPr>
          <w:rStyle w:val="Emphasis"/>
        </w:rPr>
        <w:t>presumptuous</w:t>
      </w:r>
      <w:r w:rsidRPr="00B95445">
        <w:rPr>
          <w:sz w:val="16"/>
        </w:rPr>
        <w:t xml:space="preserve">: it is vague because </w:t>
      </w:r>
      <w:r w:rsidRPr="00B95445">
        <w:rPr>
          <w:rStyle w:val="StyleUnderline"/>
        </w:rPr>
        <w:t>it is not clear whether it comprises all or only some living beings</w:t>
      </w:r>
      <w:r w:rsidRPr="00B95445">
        <w:rPr>
          <w:sz w:val="16"/>
        </w:rPr>
        <w:t xml:space="preserve">; at the same time, </w:t>
      </w:r>
      <w:r w:rsidRPr="00B95445">
        <w:rPr>
          <w:rStyle w:val="StyleUnderline"/>
        </w:rPr>
        <w:t>it is presumptuous because the contention that we are all in the process of becoming posthumanist</w:t>
      </w:r>
      <w:r w:rsidRPr="00B95445">
        <w:rPr>
          <w:sz w:val="16"/>
        </w:rPr>
        <w:t xml:space="preserve"> and post-anthropocentric </w:t>
      </w:r>
      <w:r w:rsidRPr="00B95445">
        <w:rPr>
          <w:rStyle w:val="StyleUnderline"/>
        </w:rPr>
        <w:t xml:space="preserve">is </w:t>
      </w:r>
      <w:r w:rsidRPr="00B95445">
        <w:rPr>
          <w:rStyle w:val="Emphasis"/>
        </w:rPr>
        <w:t>far-fetched</w:t>
      </w:r>
      <w:r w:rsidRPr="00B95445">
        <w:rPr>
          <w:rStyle w:val="StyleUnderline"/>
        </w:rPr>
        <w:t>. If we include non-human agents</w:t>
      </w:r>
      <w:r w:rsidRPr="00B95445">
        <w:rPr>
          <w:sz w:val="16"/>
        </w:rPr>
        <w:t xml:space="preserve"> in our definition of ‘the subject’, then </w:t>
      </w:r>
      <w:r w:rsidRPr="00B95445">
        <w:rPr>
          <w:rStyle w:val="StyleUnderline"/>
        </w:rPr>
        <w:t>the question arises whether all</w:t>
      </w:r>
      <w:r w:rsidRPr="00B95445">
        <w:rPr>
          <w:sz w:val="16"/>
        </w:rPr>
        <w:t xml:space="preserve"> zoe-based </w:t>
      </w:r>
      <w:r w:rsidRPr="00B95445">
        <w:rPr>
          <w:rStyle w:val="StyleUnderline"/>
        </w:rPr>
        <w:t>beings</w:t>
      </w:r>
      <w:r w:rsidRPr="00B95445">
        <w:rPr>
          <w:sz w:val="16"/>
        </w:rPr>
        <w:t xml:space="preserve"> (including animals, seeds, cells, and plants) – and, indeed, all geo- and techno-based forms of existence – </w:t>
      </w:r>
      <w:r w:rsidRPr="00B95445">
        <w:rPr>
          <w:rStyle w:val="StyleUnderline"/>
        </w:rPr>
        <w:t>can be included</w:t>
      </w:r>
      <w:r w:rsidRPr="00B95445">
        <w:rPr>
          <w:sz w:val="16"/>
        </w:rPr>
        <w:t xml:space="preserve"> in this category. If the answer is ‘yes’, then we are faced with an inflationary conception of ‘the subject’, which, owing to its denotative elasticity, fails to do justice to the species-constitutive distinctiveness of human life.</w:t>
      </w:r>
    </w:p>
    <w:p w14:paraId="2EE53A0C" w14:textId="3346EB73" w:rsidR="00B95445" w:rsidRPr="00B95445" w:rsidRDefault="00B95445" w:rsidP="00B95445">
      <w:pPr>
        <w:rPr>
          <w:sz w:val="16"/>
        </w:rPr>
      </w:pPr>
      <w:r w:rsidRPr="00B95445">
        <w:rPr>
          <w:sz w:val="16"/>
        </w:rPr>
        <w:t xml:space="preserve">Of course, one may come to Braidotti’s defence by insisting that one of the principal aims of her project is to undo the boundaries between different kinds of ‘subject’ and ‘subjectivity’ (notably ‘human’, ‘inhuman’, ‘posthuman’, and ‘non-human’) and that, in some instances, the ‘we’ she envisages is more or less clearly defined.258 After all, she urges us to ‘think of ourselves as planetary subjects, rather than as global agents’.259 Crucially, the types of subject she has in mind include both ‘the human and [the] inhuman inhabitants of this planet’.260 </w:t>
      </w:r>
      <w:r w:rsidRPr="00B95445">
        <w:rPr>
          <w:rStyle w:val="StyleUnderline"/>
        </w:rPr>
        <w:t>If</w:t>
      </w:r>
      <w:r w:rsidRPr="00B95445">
        <w:rPr>
          <w:sz w:val="16"/>
        </w:rPr>
        <w:t xml:space="preserve">, however, </w:t>
      </w:r>
      <w:r w:rsidRPr="00B95445">
        <w:rPr>
          <w:rStyle w:val="StyleUnderline"/>
        </w:rPr>
        <w:t>we</w:t>
      </w:r>
      <w:r w:rsidRPr="00B95445">
        <w:rPr>
          <w:sz w:val="16"/>
        </w:rPr>
        <w:t xml:space="preserve"> – effectively – </w:t>
      </w:r>
      <w:r w:rsidRPr="00B95445">
        <w:rPr>
          <w:rStyle w:val="StyleUnderline"/>
        </w:rPr>
        <w:t xml:space="preserve">include </w:t>
      </w:r>
      <w:r w:rsidRPr="00B95445">
        <w:rPr>
          <w:rStyle w:val="Emphasis"/>
        </w:rPr>
        <w:t>every form of existence</w:t>
      </w:r>
      <w:r w:rsidRPr="00B95445">
        <w:rPr>
          <w:sz w:val="16"/>
        </w:rPr>
        <w:t xml:space="preserve"> (that is, ‘</w:t>
      </w:r>
      <w:r w:rsidRPr="00B95445">
        <w:rPr>
          <w:rStyle w:val="StyleUnderline"/>
        </w:rPr>
        <w:t>human’</w:t>
      </w:r>
      <w:r w:rsidRPr="00B95445">
        <w:rPr>
          <w:sz w:val="16"/>
        </w:rPr>
        <w:t>, ‘</w:t>
      </w:r>
      <w:r w:rsidRPr="00B95445">
        <w:rPr>
          <w:rStyle w:val="StyleUnderline"/>
        </w:rPr>
        <w:t>inhuman’</w:t>
      </w:r>
      <w:r w:rsidRPr="00B95445">
        <w:rPr>
          <w:sz w:val="16"/>
        </w:rPr>
        <w:t>, ‘</w:t>
      </w:r>
      <w:r w:rsidRPr="00B95445">
        <w:rPr>
          <w:rStyle w:val="StyleUnderline"/>
        </w:rPr>
        <w:t>posthuman’</w:t>
      </w:r>
      <w:r w:rsidRPr="00B95445">
        <w:rPr>
          <w:sz w:val="16"/>
        </w:rPr>
        <w:t xml:space="preserve">, </w:t>
      </w:r>
      <w:r w:rsidRPr="00B95445">
        <w:rPr>
          <w:rStyle w:val="StyleUnderline"/>
        </w:rPr>
        <w:t>and ‘non-human’</w:t>
      </w:r>
      <w:r w:rsidRPr="00B95445">
        <w:rPr>
          <w:sz w:val="16"/>
        </w:rPr>
        <w:t xml:space="preserve">) in our definition of ‘subject’ and ‘subjectivity’, then </w:t>
      </w:r>
      <w:r w:rsidRPr="00B95445">
        <w:rPr>
          <w:rStyle w:val="StyleUnderline"/>
        </w:rPr>
        <w:t xml:space="preserve">these terms </w:t>
      </w:r>
      <w:r w:rsidRPr="00B95445">
        <w:rPr>
          <w:rStyle w:val="Emphasis"/>
        </w:rPr>
        <w:t>lose conceptual force</w:t>
      </w:r>
      <w:r w:rsidRPr="00B95445">
        <w:rPr>
          <w:rStyle w:val="StyleUnderline"/>
        </w:rPr>
        <w:t xml:space="preserve">, since, in an omni-onto-epistemological fashion, </w:t>
      </w:r>
      <w:r w:rsidRPr="00B95445">
        <w:rPr>
          <w:rStyle w:val="Emphasis"/>
        </w:rPr>
        <w:t>they refer to everything and nothing</w:t>
      </w:r>
      <w:r w:rsidRPr="00B95445">
        <w:rPr>
          <w:sz w:val="16"/>
        </w:rPr>
        <w:t>.</w:t>
      </w:r>
    </w:p>
    <w:p w14:paraId="4033A60D" w14:textId="67EAA7AF" w:rsidR="00B95445" w:rsidRPr="00B95445" w:rsidRDefault="00B95445" w:rsidP="00B95445">
      <w:pPr>
        <w:rPr>
          <w:sz w:val="16"/>
        </w:rPr>
      </w:pPr>
      <w:r w:rsidRPr="00B95445">
        <w:rPr>
          <w:rStyle w:val="StyleUnderline"/>
        </w:rPr>
        <w:t>Even if</w:t>
      </w:r>
      <w:r w:rsidRPr="00B95445">
        <w:rPr>
          <w:sz w:val="16"/>
        </w:rPr>
        <w:t xml:space="preserve">, in a narrow sense, </w:t>
      </w:r>
      <w:r w:rsidRPr="00B95445">
        <w:rPr>
          <w:rStyle w:val="StyleUnderline"/>
        </w:rPr>
        <w:t>we reserve the</w:t>
      </w:r>
      <w:r w:rsidRPr="00B95445">
        <w:rPr>
          <w:sz w:val="16"/>
        </w:rPr>
        <w:t xml:space="preserve"> concept of ‘the </w:t>
      </w:r>
      <w:r w:rsidRPr="00B95445">
        <w:rPr>
          <w:rStyle w:val="StyleUnderline"/>
        </w:rPr>
        <w:t>subject</w:t>
      </w:r>
      <w:r w:rsidRPr="00B95445">
        <w:rPr>
          <w:sz w:val="16"/>
        </w:rPr>
        <w:t xml:space="preserve">’ </w:t>
      </w:r>
      <w:r w:rsidRPr="00B95445">
        <w:rPr>
          <w:rStyle w:val="StyleUnderline"/>
        </w:rPr>
        <w:t>for members of our species, it seems erroneous to assume that all human beings are</w:t>
      </w:r>
      <w:r w:rsidRPr="00B95445">
        <w:rPr>
          <w:sz w:val="16"/>
        </w:rPr>
        <w:t xml:space="preserve"> going through the process of </w:t>
      </w:r>
      <w:r w:rsidRPr="00B95445">
        <w:rPr>
          <w:rStyle w:val="StyleUnderline"/>
        </w:rPr>
        <w:t>being converted into posthuman(ist)</w:t>
      </w:r>
      <w:r w:rsidRPr="00B95445">
        <w:rPr>
          <w:sz w:val="16"/>
        </w:rPr>
        <w:t xml:space="preserve"> and/or post-anthropocentric </w:t>
      </w:r>
      <w:r w:rsidRPr="00B95445">
        <w:rPr>
          <w:rStyle w:val="StyleUnderline"/>
        </w:rPr>
        <w:t>actors</w:t>
      </w:r>
      <w:r w:rsidRPr="00B95445">
        <w:rPr>
          <w:sz w:val="16"/>
        </w:rPr>
        <w:t xml:space="preserve">. Ironically, the intersectional divisions to which Braidotti rightly draws her readers’ attention are the very reason that – to use a modified version of an Orwellian aphorism – some human actors are more (or less) posthuman(ist) and/or post-anthropocentric than others. </w:t>
      </w:r>
      <w:r w:rsidRPr="00B95445">
        <w:rPr>
          <w:rStyle w:val="StyleUnderline"/>
        </w:rPr>
        <w:t xml:space="preserve">Human actors are </w:t>
      </w:r>
      <w:r w:rsidRPr="00B95445">
        <w:rPr>
          <w:rStyle w:val="Emphasis"/>
        </w:rPr>
        <w:t>divided by key sociological variables</w:t>
      </w:r>
      <w:r w:rsidRPr="00B95445">
        <w:rPr>
          <w:sz w:val="16"/>
        </w:rPr>
        <w:t xml:space="preserve"> (</w:t>
      </w:r>
      <w:r w:rsidRPr="00B95445">
        <w:rPr>
          <w:rStyle w:val="StyleUnderline"/>
        </w:rPr>
        <w:t>such as class, ethnicity, gender, age, and ‘ability’</w:t>
      </w:r>
      <w:r w:rsidRPr="00B95445">
        <w:rPr>
          <w:sz w:val="16"/>
        </w:rPr>
        <w:t xml:space="preserve">). </w:t>
      </w:r>
      <w:r w:rsidRPr="00B95445">
        <w:rPr>
          <w:rStyle w:val="StyleUnderline"/>
        </w:rPr>
        <w:t xml:space="preserve">Our position in the world, including our access to socially relevant resources, is </w:t>
      </w:r>
      <w:r w:rsidRPr="00B95445">
        <w:rPr>
          <w:rStyle w:val="Emphasis"/>
        </w:rPr>
        <w:t>shaped by these variables</w:t>
      </w:r>
      <w:r w:rsidRPr="00B95445">
        <w:rPr>
          <w:sz w:val="16"/>
        </w:rPr>
        <w:t xml:space="preserve">. Braidotti’s </w:t>
      </w:r>
      <w:r w:rsidRPr="00B95445">
        <w:rPr>
          <w:rStyle w:val="StyleUnderline"/>
        </w:rPr>
        <w:t>critical theory</w:t>
      </w:r>
      <w:r w:rsidRPr="00B95445">
        <w:rPr>
          <w:sz w:val="16"/>
        </w:rPr>
        <w:t xml:space="preserve"> of society </w:t>
      </w:r>
      <w:r w:rsidRPr="00B95445">
        <w:rPr>
          <w:rStyle w:val="StyleUnderline"/>
        </w:rPr>
        <w:t>needs to emphasize the fact that the degree to which actors have</w:t>
      </w:r>
      <w:r w:rsidRPr="00B95445">
        <w:rPr>
          <w:sz w:val="16"/>
        </w:rPr>
        <w:t xml:space="preserve"> (</w:t>
      </w:r>
      <w:r w:rsidRPr="00B95445">
        <w:rPr>
          <w:rStyle w:val="StyleUnderline"/>
        </w:rPr>
        <w:t>or have not</w:t>
      </w:r>
      <w:r w:rsidRPr="00B95445">
        <w:rPr>
          <w:sz w:val="16"/>
        </w:rPr>
        <w:t xml:space="preserve">) </w:t>
      </w:r>
      <w:r w:rsidRPr="00B95445">
        <w:rPr>
          <w:rStyle w:val="StyleUnderline"/>
        </w:rPr>
        <w:t>become posthuman(ist)</w:t>
      </w:r>
      <w:r w:rsidRPr="00B95445">
        <w:rPr>
          <w:sz w:val="16"/>
        </w:rPr>
        <w:t xml:space="preserve"> and/or post-anthropocentric </w:t>
      </w:r>
      <w:r w:rsidRPr="00B95445">
        <w:rPr>
          <w:rStyle w:val="Emphasis"/>
        </w:rPr>
        <w:t>depends on</w:t>
      </w:r>
      <w:r w:rsidRPr="00B95445">
        <w:rPr>
          <w:rStyle w:val="StyleUnderline"/>
        </w:rPr>
        <w:t xml:space="preserve"> the </w:t>
      </w:r>
      <w:r w:rsidRPr="00B95445">
        <w:rPr>
          <w:rStyle w:val="Emphasis"/>
        </w:rPr>
        <w:t>social positions</w:t>
      </w:r>
      <w:r w:rsidRPr="00B95445">
        <w:rPr>
          <w:rStyle w:val="StyleUnderline"/>
        </w:rPr>
        <w:t xml:space="preserve"> they occupy and the social dispositions they acquire within the social universe. Otherwise, the</w:t>
      </w:r>
      <w:r w:rsidRPr="00B95445">
        <w:rPr>
          <w:sz w:val="16"/>
        </w:rPr>
        <w:t xml:space="preserve"> bold </w:t>
      </w:r>
      <w:r w:rsidRPr="00B95445">
        <w:rPr>
          <w:rStyle w:val="StyleUnderline"/>
        </w:rPr>
        <w:t>proposition that we have been witnessing the rise of ‘a new collective subject</w:t>
      </w:r>
      <w:r w:rsidRPr="00B95445">
        <w:rPr>
          <w:sz w:val="16"/>
        </w:rPr>
        <w:t xml:space="preserve">, a “we-are-(all)-in-this-together-but-we-are-not-one-and-the- same” kind of subject’,261 </w:t>
      </w:r>
      <w:r w:rsidRPr="00B95445">
        <w:rPr>
          <w:rStyle w:val="StyleUnderline"/>
        </w:rPr>
        <w:t xml:space="preserve">is </w:t>
      </w:r>
      <w:r w:rsidRPr="00B95445">
        <w:rPr>
          <w:rStyle w:val="Emphasis"/>
        </w:rPr>
        <w:t>of merely rhetorical, rather than substantive, relevance</w:t>
      </w:r>
      <w:r w:rsidRPr="00B95445">
        <w:rPr>
          <w:sz w:val="16"/>
        </w:rPr>
        <w:t>.</w:t>
      </w:r>
    </w:p>
    <w:p w14:paraId="2B07374B" w14:textId="17B0D513" w:rsidR="00586A2E" w:rsidRPr="00C90932" w:rsidRDefault="00586A2E" w:rsidP="00586A2E">
      <w:pPr>
        <w:pStyle w:val="Heading2"/>
      </w:pPr>
      <w:r>
        <w:t>Alternative</w:t>
      </w:r>
    </w:p>
    <w:p w14:paraId="5321EC6E" w14:textId="77777777" w:rsidR="00F3765A" w:rsidRPr="00C90932" w:rsidRDefault="00F3765A" w:rsidP="00C90932">
      <w:pPr>
        <w:pStyle w:val="Heading3"/>
      </w:pPr>
      <w:r w:rsidRPr="00C90932">
        <w:t>Alt Fails---Decoloniality---2AC</w:t>
      </w:r>
    </w:p>
    <w:p w14:paraId="57782821" w14:textId="77777777" w:rsidR="00F3765A" w:rsidRPr="00C90932" w:rsidRDefault="00F3765A" w:rsidP="00C90932">
      <w:pPr>
        <w:pStyle w:val="Heading4"/>
      </w:pPr>
      <w:r w:rsidRPr="00C90932">
        <w:t xml:space="preserve">The alternative’s epistemic focus fails---it uncritically embraces non-Western ideas and re-orients histories around overly romanticized notions of colonial struggle at the expense of meaningful emancipation. </w:t>
      </w:r>
    </w:p>
    <w:p w14:paraId="37A8509B" w14:textId="77777777" w:rsidR="00F3765A" w:rsidRPr="00C90932" w:rsidRDefault="00F3765A" w:rsidP="00C90932">
      <w:r w:rsidRPr="00C90932">
        <w:t xml:space="preserve">Ilan </w:t>
      </w:r>
      <w:r w:rsidRPr="00C90932">
        <w:rPr>
          <w:rStyle w:val="Style13ptBold"/>
        </w:rPr>
        <w:t>Kapoor 24</w:t>
      </w:r>
      <w:r w:rsidRPr="00C90932">
        <w:t>, Professor of Critical Development Studies at the York University Faculty of Environmental and Urban Change, Ph.D. in Political Science from the University of Toronto, “Intersectionality, Decoloniality, Indigenous Localism: A Critique,” Theory, Culture &amp; Society, OnlineFirst, 12-24-2024, accessed 06-27-2025, https://doi.org/10.1177/02632764241303689, DG</w:t>
      </w:r>
    </w:p>
    <w:p w14:paraId="4F29233F" w14:textId="77777777" w:rsidR="00F3765A" w:rsidRPr="00C90932" w:rsidRDefault="00F3765A" w:rsidP="00C90932">
      <w:pPr>
        <w:rPr>
          <w:sz w:val="16"/>
        </w:rPr>
      </w:pPr>
      <w:r w:rsidRPr="00C90932">
        <w:rPr>
          <w:rStyle w:val="StyleUnderline"/>
        </w:rPr>
        <w:t xml:space="preserve">Decoloniality tends to approach contemporary politics in </w:t>
      </w:r>
      <w:r w:rsidRPr="00C90932">
        <w:rPr>
          <w:rStyle w:val="Emphasis"/>
        </w:rPr>
        <w:t>stark, black-and-white terms</w:t>
      </w:r>
      <w:r w:rsidRPr="00C90932">
        <w:rPr>
          <w:sz w:val="16"/>
        </w:rPr>
        <w:t xml:space="preserve">, broadly </w:t>
      </w:r>
      <w:r w:rsidRPr="00C90932">
        <w:rPr>
          <w:rStyle w:val="StyleUnderline"/>
        </w:rPr>
        <w:t xml:space="preserve">rejecting Western modernity, while </w:t>
      </w:r>
      <w:r w:rsidRPr="00C90932">
        <w:rPr>
          <w:rStyle w:val="Emphasis"/>
        </w:rPr>
        <w:t>valorizing decolonial</w:t>
      </w:r>
      <w:r w:rsidRPr="00C90932">
        <w:rPr>
          <w:sz w:val="16"/>
        </w:rPr>
        <w:t xml:space="preserve"> (and especially Global South and subaltern) </w:t>
      </w:r>
      <w:r w:rsidRPr="00C90932">
        <w:rPr>
          <w:rStyle w:val="Emphasis"/>
        </w:rPr>
        <w:t>ways of knowing and living</w:t>
      </w:r>
      <w:r w:rsidRPr="00C90932">
        <w:rPr>
          <w:sz w:val="16"/>
        </w:rPr>
        <w:t>. For Mignolo (2007), on whose work I focus here, the geo-political location of knowledge and identity matters (p. 469). This is because, for him, European modernity has been coercively imposed on the rest of the world as universal panacea (Mignolo, 2018: xii). His goal, instead, is to retrieve a ‘pluriverse’ of decolonized subaltern epistemologies.</w:t>
      </w:r>
    </w:p>
    <w:p w14:paraId="783A1906" w14:textId="77777777" w:rsidR="00F3765A" w:rsidRPr="00C90932" w:rsidRDefault="00F3765A" w:rsidP="00C90932">
      <w:pPr>
        <w:rPr>
          <w:sz w:val="16"/>
        </w:rPr>
      </w:pPr>
      <w:r w:rsidRPr="00C90932">
        <w:rPr>
          <w:sz w:val="16"/>
        </w:rPr>
        <w:t xml:space="preserve">Central to Mignolo’s viewpoint is Quijano’s (2000, 2007) notion of ‘coloniality of power’ – the systematic application of material, epistemic, and aesthetic resources needed to ensure empire. Here </w:t>
      </w:r>
      <w:r w:rsidRPr="00C90932">
        <w:rPr>
          <w:rStyle w:val="StyleUnderline"/>
        </w:rPr>
        <w:t>coloniality is seen as continuing</w:t>
      </w:r>
      <w:r w:rsidRPr="00C90932">
        <w:rPr>
          <w:sz w:val="16"/>
        </w:rPr>
        <w:t xml:space="preserve"> in the former colonies </w:t>
      </w:r>
      <w:r w:rsidRPr="00C90932">
        <w:rPr>
          <w:rStyle w:val="StyleUnderline"/>
        </w:rPr>
        <w:t>even after</w:t>
      </w:r>
      <w:r w:rsidRPr="00C90932">
        <w:rPr>
          <w:sz w:val="16"/>
        </w:rPr>
        <w:t xml:space="preserve"> their </w:t>
      </w:r>
      <w:r w:rsidRPr="00C90932">
        <w:rPr>
          <w:rStyle w:val="StyleUnderline"/>
        </w:rPr>
        <w:t>political independence, manifesting as the pervasiveness of Eurocentric knowledge systems and</w:t>
      </w:r>
      <w:r w:rsidRPr="00C90932">
        <w:rPr>
          <w:sz w:val="16"/>
        </w:rPr>
        <w:t xml:space="preserve"> continuing </w:t>
      </w:r>
      <w:r w:rsidRPr="00C90932">
        <w:rPr>
          <w:rStyle w:val="StyleUnderline"/>
        </w:rPr>
        <w:t>patterns of racial oppression and socioeconomic exploitation</w:t>
      </w:r>
      <w:r w:rsidRPr="00C90932">
        <w:rPr>
          <w:sz w:val="16"/>
        </w:rPr>
        <w:t>. For Mignolo, coloniality cannot be separated from Western modernity; both are co-constitutive: ‘“modernity” is a complex narrative . . . that builds Western civilization by celebrating its achievements while hiding at the same time its darker side, “coloniality”. Coloniality . . . is constitutive of modernity – there is no modernity without coloniality’ (Mignolo, 2011: 2–3). The (post)colonial subject is accordingly only peripherally incorporated into the Euro-North American metropole, with subaltern epistemologies either wiped out or classified as ‘underdeveloped’ in relation to European norms (Mignolo, 2012: xxv).</w:t>
      </w:r>
    </w:p>
    <w:p w14:paraId="67DF0605" w14:textId="77777777" w:rsidR="00F3765A" w:rsidRPr="00C90932" w:rsidRDefault="00F3765A" w:rsidP="00C90932">
      <w:pPr>
        <w:rPr>
          <w:sz w:val="16"/>
        </w:rPr>
      </w:pPr>
      <w:r w:rsidRPr="00C90932">
        <w:rPr>
          <w:sz w:val="16"/>
        </w:rPr>
        <w:t>In response, Mignolo (2011) advocates for ‘epistemic disobedience and delinking from the colonial matrix in order to open up decolonial options’ (pp. 9, 54). His aim is decolonizing the colonial subject’s imaginary by fracturing ‘the hegemony of knowledge and understanding that have been ruled, since the fifteenth century . . . [by] the theological and ego-logical politics of knowledge and understanding’ (Mignolo, 2010: 313). For him, this epistemological shift will help transform both the terms and the content of the coloniality/modernity matrix. Mignolo draws on Anzaldúa (1987) to argue for ‘border thinking’, through which suppressed subaltern cosmologies are transformed into resources for constructing ‘alternatives to modernity’ (Mignolo, 2010: 320, 2011: xxviii, 2012: 12, 157).</w:t>
      </w:r>
    </w:p>
    <w:p w14:paraId="71F6DDFB" w14:textId="77777777" w:rsidR="00F3765A" w:rsidRPr="00C90932" w:rsidRDefault="00F3765A" w:rsidP="00C90932">
      <w:pPr>
        <w:rPr>
          <w:sz w:val="16"/>
        </w:rPr>
      </w:pPr>
      <w:r w:rsidRPr="00C90932">
        <w:rPr>
          <w:sz w:val="16"/>
        </w:rPr>
        <w:t>It is such epistemological delinking that, according to Mignolo, will help produce decolonial ‘pluriversality’. Here he borrows the well-known Zapatista motto of creating ‘“another world” in which many worlds will co-exist’ to make the case for a planet of multiple co-existing ontologies and temporalities. The idea is to enable, not a single global future dictated by the West, but plural ones in which decoloniality would be one option among others, including what he names as ‘Rewesternization’ (through which Western powers attempt to maintain their declining global political-economic power) and ‘Dewesternization’ (through which ‘emerging powers’ challenge Western hegemony) (Mignolo, 2011: 27–35).</w:t>
      </w:r>
    </w:p>
    <w:p w14:paraId="26AEE32A" w14:textId="77777777" w:rsidR="00F3765A" w:rsidRPr="00C90932" w:rsidRDefault="00F3765A" w:rsidP="00C90932">
      <w:pPr>
        <w:rPr>
          <w:sz w:val="16"/>
        </w:rPr>
      </w:pPr>
      <w:r w:rsidRPr="00C90932">
        <w:rPr>
          <w:sz w:val="16"/>
        </w:rPr>
        <w:t>A Politics of Authenticity and Disavowal</w:t>
      </w:r>
    </w:p>
    <w:p w14:paraId="1E4D9B33" w14:textId="77777777" w:rsidR="00F3765A" w:rsidRPr="00C90932" w:rsidRDefault="00F3765A" w:rsidP="00C90932">
      <w:pPr>
        <w:rPr>
          <w:sz w:val="16"/>
        </w:rPr>
      </w:pPr>
      <w:r w:rsidRPr="00C90932">
        <w:rPr>
          <w:sz w:val="16"/>
        </w:rPr>
        <w:t xml:space="preserve">There is much to learn from decoloniality – from its multi-dimensional analysis of coloniality, to its critique of Western modernity and its prescriptions for decolonizing the colonial matrix. But Mignolo’s </w:t>
      </w:r>
      <w:r w:rsidRPr="00C90932">
        <w:rPr>
          <w:rStyle w:val="StyleUnderline"/>
        </w:rPr>
        <w:t xml:space="preserve">analysis inclines toward </w:t>
      </w:r>
      <w:r w:rsidRPr="00C90932">
        <w:rPr>
          <w:rStyle w:val="Emphasis"/>
        </w:rPr>
        <w:t>romanticizing decolonial spaces</w:t>
      </w:r>
      <w:r w:rsidRPr="00C90932">
        <w:rPr>
          <w:sz w:val="16"/>
        </w:rPr>
        <w:t xml:space="preserve">. He </w:t>
      </w:r>
      <w:r w:rsidRPr="00C90932">
        <w:rPr>
          <w:rStyle w:val="StyleUnderline"/>
        </w:rPr>
        <w:t>has</w:t>
      </w:r>
      <w:r w:rsidRPr="00C90932">
        <w:rPr>
          <w:sz w:val="16"/>
        </w:rPr>
        <w:t xml:space="preserve"> almost </w:t>
      </w:r>
      <w:r w:rsidRPr="00C90932">
        <w:rPr>
          <w:rStyle w:val="Emphasis"/>
        </w:rPr>
        <w:t>nothing critical to say</w:t>
      </w:r>
      <w:r w:rsidRPr="00C90932">
        <w:rPr>
          <w:rStyle w:val="StyleUnderline"/>
        </w:rPr>
        <w:t xml:space="preserve"> about the subaltern</w:t>
      </w:r>
      <w:r w:rsidRPr="00C90932">
        <w:rPr>
          <w:sz w:val="16"/>
        </w:rPr>
        <w:t xml:space="preserve">/Global South; </w:t>
      </w:r>
      <w:r w:rsidRPr="00C90932">
        <w:rPr>
          <w:rStyle w:val="StyleUnderline"/>
        </w:rPr>
        <w:t xml:space="preserve">it is as though they are somehow </w:t>
      </w:r>
      <w:r w:rsidRPr="00C90932">
        <w:rPr>
          <w:rStyle w:val="Emphasis"/>
        </w:rPr>
        <w:t>immune to contradiction, failure, or disagreement</w:t>
      </w:r>
      <w:r w:rsidRPr="00C90932">
        <w:rPr>
          <w:sz w:val="16"/>
        </w:rPr>
        <w:t xml:space="preserve"> (Kapoor and Zalloua, 2022: 96–9).</w:t>
      </w:r>
    </w:p>
    <w:p w14:paraId="2247BE4F" w14:textId="77777777" w:rsidR="00F3765A" w:rsidRPr="00C90932" w:rsidRDefault="00F3765A" w:rsidP="00C90932">
      <w:pPr>
        <w:rPr>
          <w:sz w:val="16"/>
        </w:rPr>
      </w:pPr>
      <w:r w:rsidRPr="00C90932">
        <w:rPr>
          <w:rStyle w:val="StyleUnderline"/>
        </w:rPr>
        <w:t>This is evident in</w:t>
      </w:r>
      <w:r w:rsidRPr="00C90932">
        <w:rPr>
          <w:sz w:val="16"/>
        </w:rPr>
        <w:t xml:space="preserve"> Mignolo’s </w:t>
      </w:r>
      <w:r w:rsidRPr="00C90932">
        <w:rPr>
          <w:rStyle w:val="StyleUnderline"/>
        </w:rPr>
        <w:t xml:space="preserve">reliance on </w:t>
      </w:r>
      <w:r w:rsidRPr="00C90932">
        <w:rPr>
          <w:rStyle w:val="Emphasis"/>
        </w:rPr>
        <w:t>simplified</w:t>
      </w:r>
      <w:r w:rsidRPr="00C90932">
        <w:rPr>
          <w:rStyle w:val="StyleUnderline"/>
        </w:rPr>
        <w:t xml:space="preserve"> and </w:t>
      </w:r>
      <w:r w:rsidRPr="00C90932">
        <w:rPr>
          <w:rStyle w:val="Emphasis"/>
        </w:rPr>
        <w:t>intransigent binaries</w:t>
      </w:r>
      <w:r w:rsidRPr="00C90932">
        <w:rPr>
          <w:sz w:val="16"/>
        </w:rPr>
        <w:t xml:space="preserve"> such as when he pits </w:t>
      </w:r>
      <w:r w:rsidRPr="00C90932">
        <w:rPr>
          <w:rStyle w:val="StyleUnderline"/>
        </w:rPr>
        <w:t>Western</w:t>
      </w:r>
      <w:r w:rsidRPr="00C90932">
        <w:rPr>
          <w:sz w:val="16"/>
        </w:rPr>
        <w:t xml:space="preserve"> ‘</w:t>
      </w:r>
      <w:r w:rsidRPr="00C90932">
        <w:rPr>
          <w:rStyle w:val="StyleUnderline"/>
        </w:rPr>
        <w:t>imperial</w:t>
      </w:r>
      <w:r w:rsidRPr="00C90932">
        <w:rPr>
          <w:sz w:val="16"/>
        </w:rPr>
        <w:t xml:space="preserve">’ </w:t>
      </w:r>
      <w:r w:rsidRPr="00C90932">
        <w:rPr>
          <w:rStyle w:val="StyleUnderline"/>
        </w:rPr>
        <w:t>universalism against decolonial pluriversality</w:t>
      </w:r>
      <w:r w:rsidRPr="00C90932">
        <w:rPr>
          <w:sz w:val="16"/>
        </w:rPr>
        <w:t xml:space="preserve">, which for him is invariably ‘convivial, dialogical, or plurilogical . . . decolonial and communal personalities are driven by the search for love, conviviality, and harmony’ (Mignolo, 2018: xii, xiv; see also Mignolo, 2011: 313). It is also evident in the work of the Modernity/Coloniality/Decoloniality research programme, a collective Latin America- focused research project of which both Mignolo and Arturo Escobar are part. The project prioritizes ‘non-Eurocentric’ forms of living/knowledge rooted in such communities as the Zapatistas in Mexico, Indigenous groups in Ecuador and Bolivia, and Afro-Latinx movements in Colombia (Asher, 2013: 838; see also Escobar, 2020: 84–96, 120–35; Mignolo, 2011: 11, 213–51). Yet when Mignolo applauds, for example, the Zapatistas for their participatory politics and collective consensus-making, he appears to ignore that </w:t>
      </w:r>
      <w:r w:rsidRPr="00C90932">
        <w:rPr>
          <w:rStyle w:val="StyleUnderline"/>
        </w:rPr>
        <w:t>consensus-based politics can coerce single decisions on communities</w:t>
      </w:r>
      <w:r w:rsidRPr="00C90932">
        <w:rPr>
          <w:sz w:val="16"/>
        </w:rPr>
        <w:t xml:space="preserve">, often </w:t>
      </w:r>
      <w:r w:rsidRPr="00C90932">
        <w:rPr>
          <w:rStyle w:val="StyleUnderline"/>
        </w:rPr>
        <w:t>suppressing subaltern voices</w:t>
      </w:r>
      <w:r w:rsidRPr="00C90932">
        <w:rPr>
          <w:sz w:val="16"/>
        </w:rPr>
        <w:t xml:space="preserve"> (Kapoor, 2008: 107–8, 2020: 147–69; see Rancière, 1999). </w:t>
      </w:r>
      <w:r w:rsidRPr="00C90932">
        <w:rPr>
          <w:rStyle w:val="StyleUnderline"/>
        </w:rPr>
        <w:t>When Mignolo praises Indigenous communities, he ignores</w:t>
      </w:r>
      <w:r w:rsidRPr="00C90932">
        <w:rPr>
          <w:sz w:val="16"/>
        </w:rPr>
        <w:t xml:space="preserve">, for instance, </w:t>
      </w:r>
      <w:r w:rsidRPr="00C90932">
        <w:rPr>
          <w:rStyle w:val="StyleUnderline"/>
        </w:rPr>
        <w:t xml:space="preserve">the </w:t>
      </w:r>
      <w:r w:rsidRPr="00C90932">
        <w:rPr>
          <w:rStyle w:val="Emphasis"/>
        </w:rPr>
        <w:t>cooptation of Indigenous leaders</w:t>
      </w:r>
      <w:r w:rsidRPr="00C90932">
        <w:rPr>
          <w:rStyle w:val="StyleUnderline"/>
        </w:rPr>
        <w:t xml:space="preserve"> by the Ecuadorean state</w:t>
      </w:r>
      <w:r w:rsidRPr="00C90932">
        <w:rPr>
          <w:sz w:val="16"/>
        </w:rPr>
        <w:t xml:space="preserve">, the Morales regime’s backtracking on commitments to Indigenous self-determination to appease capitalist extraction, </w:t>
      </w:r>
      <w:r w:rsidRPr="00C90932">
        <w:rPr>
          <w:rStyle w:val="Emphasis"/>
        </w:rPr>
        <w:t>ideological divisions</w:t>
      </w:r>
      <w:r w:rsidRPr="00C90932">
        <w:rPr>
          <w:rStyle w:val="StyleUnderline"/>
        </w:rPr>
        <w:t xml:space="preserve"> between and among Indigenous groups</w:t>
      </w:r>
      <w:r w:rsidRPr="00C90932">
        <w:rPr>
          <w:sz w:val="16"/>
        </w:rPr>
        <w:t xml:space="preserve"> across North, South, and Central America, or the anti-Muslim politics of sections of adivasi (Aboriginal) communities in India in collaboration with right-wing Hindu supremacists: ‘</w:t>
      </w:r>
      <w:r w:rsidRPr="00C90932">
        <w:rPr>
          <w:rStyle w:val="StyleUnderline"/>
        </w:rPr>
        <w:t>What is absent</w:t>
      </w:r>
      <w:r w:rsidRPr="00C90932">
        <w:rPr>
          <w:sz w:val="16"/>
        </w:rPr>
        <w:t xml:space="preserve"> in Mignolo’s representations of the subaltern </w:t>
      </w:r>
      <w:r w:rsidRPr="00C90932">
        <w:rPr>
          <w:rStyle w:val="StyleUnderline"/>
        </w:rPr>
        <w:t>are the warnings by</w:t>
      </w:r>
      <w:r w:rsidRPr="00C90932">
        <w:rPr>
          <w:sz w:val="16"/>
        </w:rPr>
        <w:t xml:space="preserve"> the likes of </w:t>
      </w:r>
      <w:r w:rsidRPr="00C90932">
        <w:rPr>
          <w:rStyle w:val="StyleUnderline"/>
        </w:rPr>
        <w:t xml:space="preserve">Freire and Fanon about the possibility of </w:t>
      </w:r>
      <w:r w:rsidRPr="00C90932">
        <w:rPr>
          <w:rStyle w:val="Emphasis"/>
        </w:rPr>
        <w:t>internalized subaltern oppression, racism, and co-optation</w:t>
      </w:r>
      <w:r w:rsidRPr="00C90932">
        <w:rPr>
          <w:sz w:val="16"/>
        </w:rPr>
        <w:t xml:space="preserve"> (which is ironic, given that Fanon is one of Mignolo’s key decolonial exemplars)’ (Kapoor and Zalloua, 2022: 96; see also Baviskar, 2007; Merino, 2016).</w:t>
      </w:r>
    </w:p>
    <w:p w14:paraId="355C9AD1" w14:textId="77777777" w:rsidR="00F3765A" w:rsidRPr="00C90932" w:rsidRDefault="00F3765A" w:rsidP="00C90932">
      <w:pPr>
        <w:rPr>
          <w:sz w:val="16"/>
        </w:rPr>
      </w:pPr>
      <w:r w:rsidRPr="00C90932">
        <w:rPr>
          <w:sz w:val="16"/>
        </w:rPr>
        <w:t>The extent of such an indiscriminate politics of authenticity/romanticization is to be gleaned in Mignolo’s recent endorsement of a book from a right-wing Hindu author (Deepak, 2021) who deploys decolonial arguments to make the case for a return to a Hindu (Brahmanical) epistemology. After a public outcry, Mignolo eventually withdrew his endorsement, 8 but his willingness to uncritically embrace a Hindu nationalist politics just because it is disparaging of Western epistemology and aims at retrieving an ‘Indigenous’ Hindu cosmology is revealing of the decolonial tendency to embrace putatively ‘authentic’ Global South spaces even if they are elitist or oppressive.</w:t>
      </w:r>
    </w:p>
    <w:p w14:paraId="3CAC0DA8" w14:textId="77777777" w:rsidR="00F3765A" w:rsidRPr="00C90932" w:rsidRDefault="00F3765A" w:rsidP="00C90932">
      <w:pPr>
        <w:rPr>
          <w:sz w:val="16"/>
        </w:rPr>
      </w:pPr>
      <w:r w:rsidRPr="00C90932">
        <w:rPr>
          <w:sz w:val="16"/>
        </w:rPr>
        <w:t xml:space="preserve">What is conspicuously missing in Mignolo’s decolonial position is the dimension of the Real, the imminent blockage that prevents any discursive formation – whether capitalist, post-capitalist, or pluriversal – from actualizing its identity. As Crenshaw does with intersectional identity, Mignolo appears to so revel in the jouissance of the subaltern/Global South space that he is blind to – disavows – social contradictions. Hence his </w:t>
      </w:r>
      <w:r w:rsidRPr="00C90932">
        <w:rPr>
          <w:rStyle w:val="StyleUnderline"/>
        </w:rPr>
        <w:t>resort to an authentic pluriversality devoid of imperfections</w:t>
      </w:r>
      <w:r w:rsidRPr="00C90932">
        <w:rPr>
          <w:sz w:val="16"/>
        </w:rPr>
        <w:t xml:space="preserve">: a space </w:t>
      </w:r>
      <w:r w:rsidRPr="00C90932">
        <w:rPr>
          <w:rStyle w:val="StyleUnderline"/>
        </w:rPr>
        <w:t>where</w:t>
      </w:r>
      <w:r w:rsidRPr="00C90932">
        <w:rPr>
          <w:sz w:val="16"/>
        </w:rPr>
        <w:t xml:space="preserve">, as Michaelsen and Shershow (2007) underline in their analysis of his work (p. 53), </w:t>
      </w:r>
      <w:r w:rsidRPr="00C90932">
        <w:rPr>
          <w:rStyle w:val="StyleUnderline"/>
        </w:rPr>
        <w:t>there is de facto consensus and agreement</w:t>
      </w:r>
      <w:r w:rsidRPr="00C90932">
        <w:rPr>
          <w:sz w:val="16"/>
        </w:rPr>
        <w:t xml:space="preserve">, indeed </w:t>
      </w:r>
      <w:r w:rsidRPr="00C90932">
        <w:rPr>
          <w:rStyle w:val="StyleUnderline"/>
        </w:rPr>
        <w:t>not even the need to criticize, debate, or deliberate</w:t>
      </w:r>
      <w:r w:rsidRPr="00C90932">
        <w:rPr>
          <w:sz w:val="16"/>
        </w:rPr>
        <w:t xml:space="preserve">. This </w:t>
      </w:r>
      <w:r w:rsidRPr="00C90932">
        <w:rPr>
          <w:rStyle w:val="StyleUnderline"/>
        </w:rPr>
        <w:t xml:space="preserve">appears as the </w:t>
      </w:r>
      <w:r w:rsidRPr="00C90932">
        <w:rPr>
          <w:rStyle w:val="Emphasis"/>
        </w:rPr>
        <w:t>textbook definition of ideology</w:t>
      </w:r>
      <w:r w:rsidRPr="00C90932">
        <w:rPr>
          <w:sz w:val="16"/>
        </w:rPr>
        <w:t xml:space="preserve"> – </w:t>
      </w:r>
      <w:r w:rsidRPr="00C90932">
        <w:rPr>
          <w:rStyle w:val="Emphasis"/>
        </w:rPr>
        <w:t>the erasure of the political, the covering over of social antagonism</w:t>
      </w:r>
      <w:r w:rsidRPr="00C90932">
        <w:rPr>
          <w:sz w:val="16"/>
        </w:rPr>
        <w:t xml:space="preserve"> (Žižek, 1989: 25).</w:t>
      </w:r>
    </w:p>
    <w:p w14:paraId="2F94B5AE" w14:textId="77777777" w:rsidR="00F3765A" w:rsidRPr="00C90932" w:rsidRDefault="00F3765A" w:rsidP="00C90932">
      <w:pPr>
        <w:rPr>
          <w:sz w:val="16"/>
        </w:rPr>
      </w:pPr>
      <w:r w:rsidRPr="00C90932">
        <w:rPr>
          <w:sz w:val="16"/>
        </w:rPr>
        <w:t xml:space="preserve">The accompanying proclivity is that </w:t>
      </w:r>
      <w:r w:rsidRPr="00C90932">
        <w:rPr>
          <w:rStyle w:val="StyleUnderline"/>
        </w:rPr>
        <w:t>the production of an authentic Global South subaltern space ends up militating against the putative political subject of decoloniality</w:t>
      </w:r>
      <w:r w:rsidRPr="00C90932">
        <w:rPr>
          <w:sz w:val="16"/>
        </w:rPr>
        <w:t xml:space="preserve"> – </w:t>
      </w:r>
      <w:r w:rsidRPr="00C90932">
        <w:rPr>
          <w:rStyle w:val="StyleUnderline"/>
        </w:rPr>
        <w:t>the subaltern</w:t>
      </w:r>
      <w:r w:rsidRPr="00C90932">
        <w:rPr>
          <w:sz w:val="16"/>
        </w:rPr>
        <w:t xml:space="preserve">. In this regard, echoing Spivak (1988), Asher (2013: 838–9) suggests that </w:t>
      </w:r>
      <w:r w:rsidRPr="00C90932">
        <w:rPr>
          <w:rStyle w:val="StyleUnderline"/>
        </w:rPr>
        <w:t>Mignolo and his decoloniality peers are</w:t>
      </w:r>
      <w:r w:rsidRPr="00C90932">
        <w:rPr>
          <w:sz w:val="16"/>
        </w:rPr>
        <w:t xml:space="preserve"> ‘</w:t>
      </w:r>
      <w:r w:rsidRPr="00C90932">
        <w:rPr>
          <w:rStyle w:val="StyleUnderline"/>
        </w:rPr>
        <w:t>turning to subaltern knowledge to fulfill</w:t>
      </w:r>
      <w:r w:rsidRPr="00C90932">
        <w:rPr>
          <w:sz w:val="16"/>
        </w:rPr>
        <w:t xml:space="preserve"> [</w:t>
      </w:r>
      <w:r w:rsidRPr="00C90932">
        <w:rPr>
          <w:rStyle w:val="StyleUnderline"/>
        </w:rPr>
        <w:t>their</w:t>
      </w:r>
      <w:r w:rsidRPr="00C90932">
        <w:rPr>
          <w:sz w:val="16"/>
        </w:rPr>
        <w:t xml:space="preserve">] </w:t>
      </w:r>
      <w:r w:rsidRPr="00C90932">
        <w:rPr>
          <w:rStyle w:val="StyleUnderline"/>
        </w:rPr>
        <w:t>desire to create a just world</w:t>
      </w:r>
      <w:r w:rsidRPr="00C90932">
        <w:rPr>
          <w:sz w:val="16"/>
        </w:rPr>
        <w:t xml:space="preserve"> for humans and non-humans’. </w:t>
      </w:r>
      <w:r w:rsidRPr="00C90932">
        <w:rPr>
          <w:rStyle w:val="StyleUnderline"/>
        </w:rPr>
        <w:t xml:space="preserve">Decolonial jouissance of the pluriverse induces the </w:t>
      </w:r>
      <w:r w:rsidRPr="00C90932">
        <w:rPr>
          <w:rStyle w:val="Emphasis"/>
        </w:rPr>
        <w:t>absence of critical self-reflexivity</w:t>
      </w:r>
      <w:r w:rsidRPr="00C90932">
        <w:rPr>
          <w:rStyle w:val="StyleUnderline"/>
        </w:rPr>
        <w:t xml:space="preserve"> on the part of the decolonial analyst</w:t>
      </w:r>
      <w:r w:rsidRPr="00C90932">
        <w:rPr>
          <w:sz w:val="16"/>
        </w:rPr>
        <w:t xml:space="preserve">, with the latter portraying himself as transparent relay able to accurately capture the subaltern voice. </w:t>
      </w:r>
      <w:r w:rsidRPr="00C90932">
        <w:rPr>
          <w:rStyle w:val="StyleUnderline"/>
        </w:rPr>
        <w:t>The search for a subaltern pluriverse</w:t>
      </w:r>
      <w:r w:rsidRPr="00C90932">
        <w:rPr>
          <w:sz w:val="16"/>
        </w:rPr>
        <w:t xml:space="preserve"> thus </w:t>
      </w:r>
      <w:r w:rsidRPr="00C90932">
        <w:rPr>
          <w:rStyle w:val="StyleUnderline"/>
        </w:rPr>
        <w:t xml:space="preserve">becomes a </w:t>
      </w:r>
      <w:r w:rsidRPr="00C90932">
        <w:rPr>
          <w:rStyle w:val="Emphasis"/>
        </w:rPr>
        <w:t>self-fulfilling prophecy</w:t>
      </w:r>
      <w:r w:rsidRPr="00C90932">
        <w:rPr>
          <w:rStyle w:val="StyleUnderline"/>
        </w:rPr>
        <w:t>: you project a pluriversal platform on the subaltern and</w:t>
      </w:r>
      <w:r w:rsidRPr="00C90932">
        <w:rPr>
          <w:sz w:val="16"/>
        </w:rPr>
        <w:t xml:space="preserve"> then </w:t>
      </w:r>
      <w:r w:rsidRPr="00C90932">
        <w:rPr>
          <w:rStyle w:val="StyleUnderline"/>
        </w:rPr>
        <w:t xml:space="preserve">rejoice in miraculously finding it! But in this mêlée, </w:t>
      </w:r>
      <w:r w:rsidRPr="00C90932">
        <w:rPr>
          <w:rStyle w:val="Emphasis"/>
        </w:rPr>
        <w:t xml:space="preserve">the subaltern is not heard </w:t>
      </w:r>
      <w:r w:rsidRPr="00C90932">
        <w:rPr>
          <w:sz w:val="16"/>
        </w:rPr>
        <w:t>(which is why my above critique of Zapatista participatory politics says less about the Zapatistas than Mignolo’s construction of them).</w:t>
      </w:r>
    </w:p>
    <w:p w14:paraId="770AB145" w14:textId="77777777" w:rsidR="00F3765A" w:rsidRPr="00C90932" w:rsidRDefault="00F3765A" w:rsidP="00C90932">
      <w:pPr>
        <w:rPr>
          <w:sz w:val="16"/>
        </w:rPr>
      </w:pPr>
      <w:r w:rsidRPr="00C90932">
        <w:rPr>
          <w:sz w:val="16"/>
        </w:rPr>
        <w:t xml:space="preserve">Mignolo’s Manichaean </w:t>
      </w:r>
      <w:r w:rsidRPr="00C90932">
        <w:rPr>
          <w:rStyle w:val="StyleUnderline"/>
        </w:rPr>
        <w:t>argumentation</w:t>
      </w:r>
      <w:r w:rsidRPr="00C90932">
        <w:rPr>
          <w:sz w:val="16"/>
        </w:rPr>
        <w:t xml:space="preserve"> also </w:t>
      </w:r>
      <w:r w:rsidRPr="00C90932">
        <w:rPr>
          <w:rStyle w:val="StyleUnderline"/>
        </w:rPr>
        <w:t xml:space="preserve">tends to be </w:t>
      </w:r>
      <w:r w:rsidRPr="00C90932">
        <w:rPr>
          <w:rStyle w:val="Emphasis"/>
        </w:rPr>
        <w:t>broadly dismissive of Western thought</w:t>
      </w:r>
      <w:r w:rsidRPr="00C90932">
        <w:rPr>
          <w:rStyle w:val="StyleUnderline"/>
        </w:rPr>
        <w:t>, accusing it of complicity in the colonial matrix of power</w:t>
      </w:r>
      <w:r w:rsidRPr="00C90932">
        <w:rPr>
          <w:sz w:val="16"/>
        </w:rPr>
        <w:t xml:space="preserve">, thus appealing for it to be superseded (Mignolo, 2002: 80, 2010: 346). </w:t>
      </w:r>
      <w:r w:rsidRPr="00C90932">
        <w:rPr>
          <w:rStyle w:val="StyleUnderline"/>
        </w:rPr>
        <w:t xml:space="preserve">He seems to </w:t>
      </w:r>
      <w:r w:rsidRPr="00C90932">
        <w:rPr>
          <w:rStyle w:val="Emphasis"/>
        </w:rPr>
        <w:t>conflate hegemonic European</w:t>
      </w:r>
      <w:r w:rsidRPr="00C90932">
        <w:rPr>
          <w:sz w:val="16"/>
        </w:rPr>
        <w:t xml:space="preserve"> (colonial) </w:t>
      </w:r>
      <w:r w:rsidRPr="00C90932">
        <w:rPr>
          <w:rStyle w:val="Emphasis"/>
        </w:rPr>
        <w:t>thought with European thought writ large</w:t>
      </w:r>
      <w:r w:rsidRPr="00C90932">
        <w:rPr>
          <w:sz w:val="16"/>
        </w:rPr>
        <w:t xml:space="preserve">. In so doing, he </w:t>
      </w:r>
      <w:r w:rsidRPr="00C90932">
        <w:rPr>
          <w:rStyle w:val="StyleUnderline"/>
        </w:rPr>
        <w:t>fails to acknowledge</w:t>
      </w:r>
      <w:r w:rsidRPr="00C90932">
        <w:rPr>
          <w:sz w:val="16"/>
        </w:rPr>
        <w:t xml:space="preserve"> the many </w:t>
      </w:r>
      <w:r w:rsidRPr="00C90932">
        <w:rPr>
          <w:rStyle w:val="StyleUnderline"/>
        </w:rPr>
        <w:t>European intellectual counter-discourses to colonial rationality or binary thinking</w:t>
      </w:r>
      <w:r w:rsidRPr="00C90932">
        <w:rPr>
          <w:sz w:val="16"/>
        </w:rPr>
        <w:t xml:space="preserve"> (anti-imperialism, non-dualism, communitarianism, etc.) </w:t>
      </w:r>
      <w:r w:rsidRPr="00C90932">
        <w:rPr>
          <w:rStyle w:val="StyleUnderline"/>
        </w:rPr>
        <w:t>with which</w:t>
      </w:r>
      <w:r w:rsidRPr="00C90932">
        <w:rPr>
          <w:sz w:val="16"/>
        </w:rPr>
        <w:t xml:space="preserve">, for all intents and purposes, </w:t>
      </w:r>
      <w:r w:rsidRPr="00C90932">
        <w:rPr>
          <w:rStyle w:val="StyleUnderline"/>
        </w:rPr>
        <w:t>much of decolonial thought is allied</w:t>
      </w:r>
      <w:r w:rsidRPr="00C90932">
        <w:rPr>
          <w:sz w:val="16"/>
        </w:rPr>
        <w:t xml:space="preserve">. He fails as well to account for his own debt to so-called Eurocentrism, disavowing that his intellectual background, as well as the very language (English) and critical tools he deploys (e.g. geopolitics, difference, epistemology, gnoseology, aesthesis), are unavoidably Eurocentric (Kapoor and Zalloua, 2022: 99–100). Worse still, his </w:t>
      </w:r>
      <w:r w:rsidRPr="00C90932">
        <w:rPr>
          <w:rStyle w:val="StyleUnderline"/>
        </w:rPr>
        <w:t>policing of the boundaries of what is</w:t>
      </w:r>
      <w:r w:rsidRPr="00C90932">
        <w:rPr>
          <w:sz w:val="16"/>
        </w:rPr>
        <w:t xml:space="preserve"> ‘</w:t>
      </w:r>
      <w:r w:rsidRPr="00C90932">
        <w:rPr>
          <w:rStyle w:val="StyleUnderline"/>
        </w:rPr>
        <w:t>Western’/‘non- Western</w:t>
      </w:r>
      <w:r w:rsidRPr="00C90932">
        <w:rPr>
          <w:sz w:val="16"/>
        </w:rPr>
        <w:t xml:space="preserve">’ </w:t>
      </w:r>
      <w:r w:rsidRPr="00C90932">
        <w:rPr>
          <w:rStyle w:val="StyleUnderline"/>
        </w:rPr>
        <w:t>ends up eliding the centuries-old cultural and economic exchange between Europe and its putative others</w:t>
      </w:r>
      <w:r w:rsidRPr="00C90932">
        <w:rPr>
          <w:sz w:val="16"/>
        </w:rPr>
        <w:t xml:space="preserve"> (Africa, the Arab world, Indigenous America, the Indian subcontinent, etc.); </w:t>
      </w:r>
      <w:r w:rsidRPr="00C90932">
        <w:rPr>
          <w:rStyle w:val="StyleUnderline"/>
        </w:rPr>
        <w:t>or</w:t>
      </w:r>
      <w:r w:rsidRPr="00C90932">
        <w:rPr>
          <w:sz w:val="16"/>
        </w:rPr>
        <w:t xml:space="preserve"> indeed </w:t>
      </w:r>
      <w:r w:rsidRPr="00C90932">
        <w:rPr>
          <w:rStyle w:val="StyleUnderline"/>
        </w:rPr>
        <w:t>the</w:t>
      </w:r>
      <w:r w:rsidRPr="00C90932">
        <w:rPr>
          <w:sz w:val="16"/>
        </w:rPr>
        <w:t xml:space="preserve"> substantial </w:t>
      </w:r>
      <w:r w:rsidRPr="00C90932">
        <w:rPr>
          <w:rStyle w:val="StyleUnderline"/>
        </w:rPr>
        <w:t>history of subaltern resistance</w:t>
      </w:r>
      <w:r w:rsidRPr="00C90932">
        <w:rPr>
          <w:sz w:val="16"/>
        </w:rPr>
        <w:t xml:space="preserve"> – </w:t>
      </w:r>
      <w:r w:rsidRPr="00C90932">
        <w:rPr>
          <w:rStyle w:val="StyleUnderline"/>
        </w:rPr>
        <w:t>in Europe’s colonies, and in Europe itself</w:t>
      </w:r>
      <w:r w:rsidRPr="00C90932">
        <w:rPr>
          <w:sz w:val="16"/>
        </w:rPr>
        <w:t xml:space="preserve"> – that is integral to the emergence of such notions as ‘equality’, ‘freedom’, and ‘social justice’ (see, for example, Anghie, 2005; Buck-Morss, 2009; Cusicanqui, 2012).</w:t>
      </w:r>
    </w:p>
    <w:p w14:paraId="703F94D5" w14:textId="77777777" w:rsidR="00F3765A" w:rsidRPr="00C90932" w:rsidRDefault="00F3765A" w:rsidP="00C90932">
      <w:pPr>
        <w:rPr>
          <w:sz w:val="16"/>
        </w:rPr>
      </w:pPr>
      <w:r w:rsidRPr="00C90932">
        <w:rPr>
          <w:sz w:val="16"/>
        </w:rPr>
        <w:t xml:space="preserve">Thus, Mignolo’s decolonial disavowal of the unconscious/Real is not only deeply ideological for romanticizing subaltern pluriversality, but also deeply depoliticizing. Rather than seeing internal (community or social movement) differences and contradictions as weaknesses/traumas to be suppressed or avoided in order to produce a perfect subaltern ‘hero’, why not try to face them head-on to invent new and creative (although never harmonious) subaltern political spaces? </w:t>
      </w:r>
      <w:r w:rsidRPr="00C90932">
        <w:rPr>
          <w:rStyle w:val="StyleUnderline"/>
        </w:rPr>
        <w:t xml:space="preserve">Rather than understanding colonial violence and dispossession as a reason to nostalgically manufacture past or present glory or </w:t>
      </w:r>
      <w:r w:rsidRPr="00C90932">
        <w:rPr>
          <w:rStyle w:val="Emphasis"/>
        </w:rPr>
        <w:t>wallow in victimhood and resentment</w:t>
      </w:r>
      <w:r w:rsidRPr="00C90932">
        <w:rPr>
          <w:sz w:val="16"/>
        </w:rPr>
        <w:t xml:space="preserve"> (against European thinkers), </w:t>
      </w:r>
      <w:r w:rsidRPr="00C90932">
        <w:rPr>
          <w:rStyle w:val="Emphasis"/>
        </w:rPr>
        <w:t xml:space="preserve">why not struggle to become proficient with, and use, European discourses of emancipation and freedom to fight for </w:t>
      </w:r>
      <w:r w:rsidRPr="00C90932">
        <w:rPr>
          <w:sz w:val="16"/>
        </w:rPr>
        <w:t xml:space="preserve">subaltern </w:t>
      </w:r>
      <w:r w:rsidRPr="00C90932">
        <w:rPr>
          <w:rStyle w:val="Emphasis"/>
        </w:rPr>
        <w:t>equality and social justice everywhere</w:t>
      </w:r>
      <w:r w:rsidRPr="00C90932">
        <w:rPr>
          <w:sz w:val="16"/>
        </w:rPr>
        <w:t xml:space="preserve">? </w:t>
      </w:r>
      <w:r w:rsidRPr="00C90932">
        <w:rPr>
          <w:rStyle w:val="StyleUnderline"/>
        </w:rPr>
        <w:t>The Western colonial legacy is indeed imperialist domination and plunder, but it is also</w:t>
      </w:r>
      <w:r w:rsidRPr="00C90932">
        <w:rPr>
          <w:sz w:val="16"/>
        </w:rPr>
        <w:t>, as Žižek (2009) underlines, ‘</w:t>
      </w:r>
      <w:r w:rsidRPr="00C90932">
        <w:rPr>
          <w:rStyle w:val="StyleUnderline"/>
        </w:rPr>
        <w:t>that of the self-critical examination of the violence and exploitation the West itself brought</w:t>
      </w:r>
      <w:r w:rsidRPr="00C90932">
        <w:rPr>
          <w:sz w:val="16"/>
        </w:rPr>
        <w:t xml:space="preserve"> to the Third World . . . </w:t>
      </w:r>
      <w:r w:rsidRPr="00C90932">
        <w:rPr>
          <w:rStyle w:val="StyleUnderline"/>
        </w:rPr>
        <w:t>the West supplied the very standards by which it</w:t>
      </w:r>
      <w:r w:rsidRPr="00C90932">
        <w:rPr>
          <w:sz w:val="16"/>
        </w:rPr>
        <w:t xml:space="preserve"> (</w:t>
      </w:r>
      <w:r w:rsidRPr="00C90932">
        <w:rPr>
          <w:rStyle w:val="StyleUnderline"/>
        </w:rPr>
        <w:t>and its critics</w:t>
      </w:r>
      <w:r w:rsidRPr="00C90932">
        <w:rPr>
          <w:sz w:val="16"/>
        </w:rPr>
        <w:t xml:space="preserve">) </w:t>
      </w:r>
      <w:r w:rsidRPr="00C90932">
        <w:rPr>
          <w:rStyle w:val="StyleUnderline"/>
        </w:rPr>
        <w:t>measures its own criminal past</w:t>
      </w:r>
      <w:r w:rsidRPr="00C90932">
        <w:rPr>
          <w:sz w:val="16"/>
        </w:rPr>
        <w:t xml:space="preserve">’ (p. 115). </w:t>
      </w:r>
      <w:r w:rsidRPr="00C90932">
        <w:rPr>
          <w:rStyle w:val="Emphasis"/>
        </w:rPr>
        <w:t>The antagonisms of European hegemony</w:t>
      </w:r>
      <w:r w:rsidRPr="00C90932">
        <w:rPr>
          <w:sz w:val="16"/>
        </w:rPr>
        <w:t xml:space="preserve">, in this sense, </w:t>
      </w:r>
      <w:r w:rsidRPr="00C90932">
        <w:rPr>
          <w:rStyle w:val="Emphasis"/>
        </w:rPr>
        <w:t>can be viewed as powerful subaltern political resources</w:t>
      </w:r>
      <w:r w:rsidRPr="00C90932">
        <w:rPr>
          <w:sz w:val="16"/>
        </w:rPr>
        <w:t>. And such is the case not only for the subaltern from the Global South, but also for the subaltern from the Global North: their common predicaments could be the occasion to find cause together in shared trauma (Kapoor, 2020: xv, 66; Kapoor and Zalloua, 2022: 20). This is something that Mignolo’s demonization of the West precludes, failing as it does to distinguish hegemonic from subaltern (counter-) discourses, whether in the West or otherwise, thereby further depoliticizing the subaltern.</w:t>
      </w:r>
    </w:p>
    <w:p w14:paraId="523D9774" w14:textId="77777777" w:rsidR="00F3765A" w:rsidRPr="00C90932" w:rsidRDefault="00F3765A" w:rsidP="00C90932">
      <w:pPr>
        <w:rPr>
          <w:sz w:val="16"/>
        </w:rPr>
      </w:pPr>
      <w:r w:rsidRPr="00C90932">
        <w:rPr>
          <w:sz w:val="16"/>
        </w:rPr>
        <w:t xml:space="preserve">Finally, there is the issue of the exclusion of the state and political economy in Mignolo’s gloss. </w:t>
      </w:r>
      <w:r w:rsidRPr="00C90932">
        <w:rPr>
          <w:rStyle w:val="StyleUnderline"/>
        </w:rPr>
        <w:t>In regard to the state</w:t>
      </w:r>
      <w:r w:rsidRPr="00C90932">
        <w:rPr>
          <w:sz w:val="16"/>
        </w:rPr>
        <w:t xml:space="preserve">, Mignolo stands firmly against it, predictably </w:t>
      </w:r>
      <w:r w:rsidRPr="00C90932">
        <w:rPr>
          <w:rStyle w:val="StyleUnderline"/>
        </w:rPr>
        <w:t>seeing it as the political expression of</w:t>
      </w:r>
      <w:r w:rsidRPr="00C90932">
        <w:rPr>
          <w:sz w:val="16"/>
        </w:rPr>
        <w:t xml:space="preserve"> (</w:t>
      </w:r>
      <w:r w:rsidRPr="00C90932">
        <w:rPr>
          <w:rStyle w:val="StyleUnderline"/>
        </w:rPr>
        <w:t>Western</w:t>
      </w:r>
      <w:r w:rsidRPr="00C90932">
        <w:rPr>
          <w:sz w:val="16"/>
        </w:rPr>
        <w:t xml:space="preserve">) </w:t>
      </w:r>
      <w:r w:rsidRPr="00C90932">
        <w:rPr>
          <w:rStyle w:val="StyleUnderline"/>
        </w:rPr>
        <w:t>coloniality</w:t>
      </w:r>
      <w:r w:rsidRPr="00C90932">
        <w:rPr>
          <w:sz w:val="16"/>
        </w:rPr>
        <w:t>. For him, pluriversal spaces would ‘exist independently of the state and corporations’ by delinking ‘from state forms of governance, from the economy of accumulation’ (Mignolo, 2018: xii, xiv). Thus, ‘the future would be composed of “communal nodes” around the planet cooperating rather than competing with each other . . . [through] the entanglement of several cosmologies connected today in power differential’ (Mignolo, 2011: 283, 2018: x).</w:t>
      </w:r>
    </w:p>
    <w:p w14:paraId="1FE82285" w14:textId="77777777" w:rsidR="00F3765A" w:rsidRPr="00C90932" w:rsidRDefault="00F3765A" w:rsidP="00C90932">
      <w:pPr>
        <w:rPr>
          <w:sz w:val="16"/>
        </w:rPr>
      </w:pPr>
      <w:r w:rsidRPr="00C90932">
        <w:rPr>
          <w:sz w:val="16"/>
        </w:rPr>
        <w:t xml:space="preserve">But Mignolo’s position </w:t>
      </w:r>
      <w:r w:rsidRPr="00C90932">
        <w:rPr>
          <w:rStyle w:val="StyleUnderline"/>
        </w:rPr>
        <w:t xml:space="preserve">appears </w:t>
      </w:r>
      <w:r w:rsidRPr="00C90932">
        <w:rPr>
          <w:rStyle w:val="Emphasis"/>
        </w:rPr>
        <w:t>politically naive</w:t>
      </w:r>
      <w:r w:rsidRPr="00C90932">
        <w:rPr>
          <w:rStyle w:val="StyleUnderline"/>
        </w:rPr>
        <w:t>. Without some</w:t>
      </w:r>
      <w:r w:rsidRPr="00C90932">
        <w:rPr>
          <w:sz w:val="16"/>
        </w:rPr>
        <w:t xml:space="preserve"> form of </w:t>
      </w:r>
      <w:r w:rsidRPr="00C90932">
        <w:rPr>
          <w:rStyle w:val="StyleUnderline"/>
        </w:rPr>
        <w:t>coordinating authority like a state, it remains unclear how</w:t>
      </w:r>
      <w:r w:rsidRPr="00C90932">
        <w:rPr>
          <w:sz w:val="16"/>
        </w:rPr>
        <w:t xml:space="preserve"> the </w:t>
      </w:r>
      <w:r w:rsidRPr="00C90932">
        <w:rPr>
          <w:rStyle w:val="StyleUnderline"/>
        </w:rPr>
        <w:t>security and well-being</w:t>
      </w:r>
      <w:r w:rsidRPr="00C90932">
        <w:rPr>
          <w:sz w:val="16"/>
        </w:rPr>
        <w:t xml:space="preserve"> of ‘communal nodes’ </w:t>
      </w:r>
      <w:r w:rsidRPr="00C90932">
        <w:rPr>
          <w:rStyle w:val="StyleUnderline"/>
        </w:rPr>
        <w:t xml:space="preserve">would be realized; what would ensure </w:t>
      </w:r>
      <w:r w:rsidRPr="00C90932">
        <w:rPr>
          <w:rStyle w:val="Emphasis"/>
        </w:rPr>
        <w:t>coop</w:t>
      </w:r>
      <w:r w:rsidRPr="00C90932">
        <w:rPr>
          <w:rStyle w:val="StyleUnderline"/>
        </w:rPr>
        <w:t>eration, rather than conflict</w:t>
      </w:r>
      <w:r w:rsidRPr="00C90932">
        <w:rPr>
          <w:sz w:val="16"/>
        </w:rPr>
        <w:t xml:space="preserve">, among and between nodes, especially </w:t>
      </w:r>
      <w:r w:rsidRPr="00C90932">
        <w:rPr>
          <w:rStyle w:val="StyleUnderline"/>
        </w:rPr>
        <w:t>given</w:t>
      </w:r>
      <w:r w:rsidRPr="00C90932">
        <w:rPr>
          <w:sz w:val="16"/>
        </w:rPr>
        <w:t xml:space="preserve"> ‘</w:t>
      </w:r>
      <w:r w:rsidRPr="00C90932">
        <w:rPr>
          <w:rStyle w:val="StyleUnderline"/>
        </w:rPr>
        <w:t>power differential</w:t>
      </w:r>
      <w:r w:rsidRPr="00C90932">
        <w:rPr>
          <w:sz w:val="16"/>
        </w:rPr>
        <w:t xml:space="preserve">’; and how these nodes would be able to thwart the continuing incursion of global capital, or threats from both the Western and ‘de-Westernized’ powers envisaged by Mignolo. It seems, in fact, that his </w:t>
      </w:r>
      <w:r w:rsidRPr="00C90932">
        <w:rPr>
          <w:rStyle w:val="StyleUnderline"/>
        </w:rPr>
        <w:t xml:space="preserve">pluriversal politics </w:t>
      </w:r>
      <w:r w:rsidRPr="00C90932">
        <w:rPr>
          <w:rStyle w:val="Emphasis"/>
        </w:rPr>
        <w:t>unconsciously requires a</w:t>
      </w:r>
      <w:r w:rsidRPr="00C90932">
        <w:rPr>
          <w:sz w:val="16"/>
        </w:rPr>
        <w:t xml:space="preserve"> national, regional, and/or transnational </w:t>
      </w:r>
      <w:r w:rsidRPr="00C90932">
        <w:rPr>
          <w:rStyle w:val="Emphasis"/>
        </w:rPr>
        <w:t>state to ensure the coexistence of</w:t>
      </w:r>
      <w:r w:rsidRPr="00C90932">
        <w:rPr>
          <w:sz w:val="16"/>
        </w:rPr>
        <w:t xml:space="preserve"> ‘</w:t>
      </w:r>
      <w:r w:rsidRPr="00C90932">
        <w:rPr>
          <w:rStyle w:val="Emphasis"/>
        </w:rPr>
        <w:t>many worlds’</w:t>
      </w:r>
      <w:r w:rsidRPr="00C90932">
        <w:rPr>
          <w:sz w:val="16"/>
        </w:rPr>
        <w:t>. He appears to count on such things as peace enforcement, cooperation, provision of universal education and health care, regulation of multi- nationals, campaigns against global viral infections, and so forth, for his communal nodes to thrive.</w:t>
      </w:r>
    </w:p>
    <w:p w14:paraId="278118F1" w14:textId="77777777" w:rsidR="00F3765A" w:rsidRPr="00C90932" w:rsidRDefault="00F3765A" w:rsidP="00C90932">
      <w:pPr>
        <w:rPr>
          <w:sz w:val="16"/>
        </w:rPr>
      </w:pPr>
      <w:r w:rsidRPr="00C90932">
        <w:rPr>
          <w:sz w:val="16"/>
        </w:rPr>
        <w:t xml:space="preserve">As to political economy, it is all but absent in Mignolo’s political viewpoint, given his pluriversal privileging of epistemological, at the expense of material, decolonization. He does sketchily mention imperial resource extraction in his critique of coloniality, but says almost nothing about the material dimensions of pluriversality. This is because (expectedly) he assesses Marxist political economy as integral to a ‘Eurocentered critique’ (Mignolo, 2011: xi, xviii), glossing over the many variants of Third World Marxisms (whether Nepalese, Cuban, Chinese, South African, Peruvian, Indian, etc., many of which have been actualized as political projects with varying degrees of success/failure, including democratic communism in Kerala and Bengal, for example). Mignolo (2010) looks instead to ‘delinking from capitalism’ epistemologically (p. 339), as though decolonized knowledge production will undo not just neoliberal ideology but the structures of global capitalism. The overwhelming evidence to date points to just the opposite: as mentioned earlier, the </w:t>
      </w:r>
      <w:r w:rsidRPr="00C90932">
        <w:rPr>
          <w:rStyle w:val="StyleUnderline"/>
        </w:rPr>
        <w:t>success of corporate capitalism lies</w:t>
      </w:r>
      <w:r w:rsidRPr="00C90932">
        <w:rPr>
          <w:sz w:val="16"/>
        </w:rPr>
        <w:t xml:space="preserve"> in part </w:t>
      </w:r>
      <w:r w:rsidRPr="00C90932">
        <w:rPr>
          <w:rStyle w:val="StyleUnderline"/>
        </w:rPr>
        <w:t>in its cooptation of the epistemological-cultural claims of social movements</w:t>
      </w:r>
      <w:r w:rsidRPr="00C90932">
        <w:rPr>
          <w:sz w:val="16"/>
        </w:rPr>
        <w:t xml:space="preserve"> – </w:t>
      </w:r>
      <w:r w:rsidRPr="00C90932">
        <w:rPr>
          <w:rStyle w:val="StyleUnderline"/>
        </w:rPr>
        <w:t>because not only do they not pose a threat to accumulation, but they can</w:t>
      </w:r>
      <w:r w:rsidRPr="00C90932">
        <w:rPr>
          <w:sz w:val="16"/>
        </w:rPr>
        <w:t xml:space="preserve"> also </w:t>
      </w:r>
      <w:r w:rsidRPr="00C90932">
        <w:rPr>
          <w:rStyle w:val="StyleUnderline"/>
        </w:rPr>
        <w:t>be commodified to advance accumulation</w:t>
      </w:r>
      <w:r w:rsidRPr="00C90932">
        <w:rPr>
          <w:sz w:val="16"/>
        </w:rPr>
        <w:t xml:space="preserve">. This is all the more the case with </w:t>
      </w:r>
      <w:r w:rsidRPr="00C90932">
        <w:rPr>
          <w:rStyle w:val="StyleUnderline"/>
        </w:rPr>
        <w:t>a decolonial politics of authenticity</w:t>
      </w:r>
      <w:r w:rsidRPr="00C90932">
        <w:rPr>
          <w:sz w:val="16"/>
        </w:rPr>
        <w:t xml:space="preserve"> which, like intersectionality, </w:t>
      </w:r>
      <w:r w:rsidRPr="00C90932">
        <w:rPr>
          <w:rStyle w:val="Emphasis"/>
        </w:rPr>
        <w:t>fixes and essentializes subaltern culture/identity</w:t>
      </w:r>
      <w:r w:rsidRPr="00C90932">
        <w:rPr>
          <w:rStyle w:val="StyleUnderline"/>
        </w:rPr>
        <w:t xml:space="preserve">, thereby </w:t>
      </w:r>
      <w:r w:rsidRPr="00C90932">
        <w:rPr>
          <w:rStyle w:val="Emphasis"/>
        </w:rPr>
        <w:t>enabling its commoditization</w:t>
      </w:r>
      <w:r w:rsidRPr="00C90932">
        <w:rPr>
          <w:sz w:val="16"/>
        </w:rPr>
        <w:t>.</w:t>
      </w:r>
    </w:p>
    <w:p w14:paraId="1EA69A1D" w14:textId="77777777" w:rsidR="00F3765A" w:rsidRPr="00C90932" w:rsidRDefault="00F3765A" w:rsidP="00C90932">
      <w:pPr>
        <w:rPr>
          <w:sz w:val="16"/>
        </w:rPr>
      </w:pPr>
      <w:r w:rsidRPr="00C90932">
        <w:rPr>
          <w:sz w:val="16"/>
        </w:rPr>
        <w:t xml:space="preserve">Consequently, </w:t>
      </w:r>
      <w:r w:rsidRPr="00C90932">
        <w:rPr>
          <w:rStyle w:val="StyleUnderline"/>
        </w:rPr>
        <w:t>given the disavowal of any state-like authority or meaningful materialist analysis or strategy</w:t>
      </w:r>
      <w:r w:rsidRPr="00C90932">
        <w:rPr>
          <w:sz w:val="16"/>
        </w:rPr>
        <w:t xml:space="preserve">, Mignolo’s </w:t>
      </w:r>
      <w:r w:rsidRPr="00C90932">
        <w:rPr>
          <w:rStyle w:val="StyleUnderline"/>
        </w:rPr>
        <w:t xml:space="preserve">decolonial pluriversality yields to little more than </w:t>
      </w:r>
      <w:r w:rsidRPr="00C90932">
        <w:rPr>
          <w:sz w:val="16"/>
        </w:rPr>
        <w:t>what decolonial Indigenous scholar Cusicanqui (2012) sees as ‘</w:t>
      </w:r>
      <w:r w:rsidRPr="00C90932">
        <w:rPr>
          <w:rStyle w:val="StyleUnderline"/>
        </w:rPr>
        <w:t>multiculturalism</w:t>
      </w:r>
      <w:r w:rsidRPr="00C90932">
        <w:rPr>
          <w:sz w:val="16"/>
        </w:rPr>
        <w:t xml:space="preserve">’ (p. 104). Decoloniality may well mount a critique of the coloniality of power, but in Mignolo’s hands, just as in Crenshaw’s, </w:t>
      </w:r>
      <w:r w:rsidRPr="00C90932">
        <w:rPr>
          <w:rStyle w:val="StyleUnderline"/>
        </w:rPr>
        <w:t>such critique</w:t>
      </w:r>
      <w:r w:rsidRPr="00C90932">
        <w:rPr>
          <w:sz w:val="16"/>
        </w:rPr>
        <w:t xml:space="preserve"> nonetheless </w:t>
      </w:r>
      <w:r w:rsidRPr="00C90932">
        <w:rPr>
          <w:rStyle w:val="StyleUnderline"/>
        </w:rPr>
        <w:t xml:space="preserve">ends up </w:t>
      </w:r>
      <w:r w:rsidRPr="00C90932">
        <w:rPr>
          <w:rStyle w:val="Emphasis"/>
        </w:rPr>
        <w:t>facilitating, not challenging, global capitalism</w:t>
      </w:r>
      <w:r w:rsidRPr="00C90932">
        <w:rPr>
          <w:rStyle w:val="StyleUnderline"/>
        </w:rPr>
        <w:t>. Localism/particularism nicely suits capitalism as much as coloniality</w:t>
      </w:r>
      <w:r w:rsidRPr="00C90932">
        <w:rPr>
          <w:sz w:val="16"/>
        </w:rPr>
        <w:t xml:space="preserve">, since </w:t>
      </w:r>
      <w:r w:rsidRPr="00C90932">
        <w:rPr>
          <w:rStyle w:val="StyleUnderline"/>
        </w:rPr>
        <w:t xml:space="preserve">it can be </w:t>
      </w:r>
      <w:r w:rsidRPr="00C90932">
        <w:rPr>
          <w:rStyle w:val="Emphasis"/>
        </w:rPr>
        <w:t>readily accommodated if not commodified</w:t>
      </w:r>
      <w:r w:rsidRPr="00C90932">
        <w:rPr>
          <w:sz w:val="16"/>
        </w:rPr>
        <w:t>. So as with Crenshaw, my claim is that Mignolo’s disavowal of state/political economy and his accompanying advocacy of the local amounts to an unconscious acceptance of capitalist multiculturalism. We are thus left with another case of ‘fetishistic disavowal’ – a secret love for the System in spite of an outwardly biting critique of it</w:t>
      </w:r>
      <w:r w:rsidRPr="00C90932">
        <w:rPr>
          <w:rStyle w:val="StyleUnderline"/>
        </w:rPr>
        <w:t>. The global capitalist order sets</w:t>
      </w:r>
      <w:r w:rsidRPr="00C90932">
        <w:rPr>
          <w:sz w:val="16"/>
        </w:rPr>
        <w:t xml:space="preserve"> (</w:t>
      </w:r>
      <w:r w:rsidRPr="00C90932">
        <w:rPr>
          <w:rStyle w:val="StyleUnderline"/>
        </w:rPr>
        <w:t>and is allowed to set</w:t>
      </w:r>
      <w:r w:rsidRPr="00C90932">
        <w:rPr>
          <w:sz w:val="16"/>
        </w:rPr>
        <w:t xml:space="preserve">) </w:t>
      </w:r>
      <w:r w:rsidRPr="00C90932">
        <w:rPr>
          <w:rStyle w:val="StyleUnderline"/>
        </w:rPr>
        <w:t>the boundary for decolonial counterhegemonic critique</w:t>
      </w:r>
      <w:r w:rsidRPr="00C90932">
        <w:rPr>
          <w:sz w:val="16"/>
        </w:rPr>
        <w:t>.</w:t>
      </w:r>
    </w:p>
    <w:p w14:paraId="787305BA" w14:textId="77777777" w:rsidR="00F3765A" w:rsidRPr="00C90932" w:rsidRDefault="00F3765A" w:rsidP="00C90932">
      <w:pPr>
        <w:pStyle w:val="Heading3"/>
      </w:pPr>
      <w:r w:rsidRPr="00C90932">
        <w:t>Alt Fails---Resistance---2AC</w:t>
      </w:r>
    </w:p>
    <w:p w14:paraId="6FAF9D70" w14:textId="77777777" w:rsidR="00F3765A" w:rsidRPr="00C90932" w:rsidRDefault="00F3765A" w:rsidP="00C90932">
      <w:pPr>
        <w:pStyle w:val="Heading4"/>
      </w:pPr>
      <w:r w:rsidRPr="00C90932">
        <w:t xml:space="preserve">‘Anticolonial’ resistance fetishizes nativism and reproduces problematic binaries. </w:t>
      </w:r>
    </w:p>
    <w:p w14:paraId="3F37CF0B" w14:textId="77777777" w:rsidR="00F3765A" w:rsidRPr="00C90932" w:rsidRDefault="00F3765A" w:rsidP="00C90932">
      <w:r w:rsidRPr="00C90932">
        <w:t xml:space="preserve">Chenchen </w:t>
      </w:r>
      <w:r w:rsidRPr="00C90932">
        <w:rPr>
          <w:rStyle w:val="Style13ptBold"/>
        </w:rPr>
        <w:t>Zhang 23</w:t>
      </w:r>
      <w:r w:rsidRPr="00C90932">
        <w:t>, Assistant Professor of International Relations at Durham University, Ph.D. from the Free University of Brussels, “Postcolonial nationalism and the global right,” Geoforum, Vol. 144, August 2023, accessed 06-27-2025, https://doi.org/10.1016/j.geoforum.2023.103824, DG</w:t>
      </w:r>
    </w:p>
    <w:p w14:paraId="5B0EAE7D" w14:textId="77777777" w:rsidR="00F3765A" w:rsidRPr="00C90932" w:rsidRDefault="00F3765A" w:rsidP="00C90932">
      <w:pPr>
        <w:rPr>
          <w:sz w:val="16"/>
        </w:rPr>
      </w:pPr>
      <w:r w:rsidRPr="00C90932">
        <w:rPr>
          <w:rStyle w:val="StyleUnderline"/>
        </w:rPr>
        <w:t xml:space="preserve">For postcolonial critique, the </w:t>
      </w:r>
      <w:r w:rsidRPr="00C90932">
        <w:rPr>
          <w:rStyle w:val="Emphasis"/>
        </w:rPr>
        <w:t xml:space="preserve">contemporary abuse </w:t>
      </w:r>
      <w:r w:rsidRPr="00C90932">
        <w:rPr>
          <w:rStyle w:val="StyleUnderline"/>
        </w:rPr>
        <w:t>of the anti-colonial in far-right and ultranationalist projects reminds us</w:t>
      </w:r>
      <w:r w:rsidRPr="00C90932">
        <w:rPr>
          <w:sz w:val="16"/>
        </w:rPr>
        <w:t xml:space="preserve"> once </w:t>
      </w:r>
      <w:r w:rsidRPr="00C90932">
        <w:rPr>
          <w:rStyle w:val="StyleUnderline"/>
        </w:rPr>
        <w:t xml:space="preserve">again of the dangers of </w:t>
      </w:r>
      <w:r w:rsidRPr="00C90932">
        <w:rPr>
          <w:rStyle w:val="Emphasis"/>
        </w:rPr>
        <w:t>fetishizing nativist ideologies</w:t>
      </w:r>
      <w:r w:rsidRPr="00C90932">
        <w:rPr>
          <w:rStyle w:val="StyleUnderline"/>
        </w:rPr>
        <w:t xml:space="preserve"> and </w:t>
      </w:r>
      <w:r w:rsidRPr="00C90932">
        <w:rPr>
          <w:rStyle w:val="Emphasis"/>
        </w:rPr>
        <w:t xml:space="preserve">thinking of geopolitical macro-categories </w:t>
      </w:r>
      <w:r w:rsidRPr="00C90932">
        <w:rPr>
          <w:rStyle w:val="StyleUnderline"/>
        </w:rPr>
        <w:t xml:space="preserve">such as North/South and West/non-West </w:t>
      </w:r>
      <w:r w:rsidRPr="00C90932">
        <w:rPr>
          <w:rStyle w:val="Emphasis"/>
        </w:rPr>
        <w:t>as opposing political spheres</w:t>
      </w:r>
      <w:r w:rsidRPr="00C90932">
        <w:rPr>
          <w:sz w:val="16"/>
        </w:rPr>
        <w:t>. Said’s warning from 40 years ago remains relevant today as ever: one cannot respond to “</w:t>
      </w:r>
      <w:r w:rsidRPr="00C90932">
        <w:rPr>
          <w:rStyle w:val="StyleUnderline"/>
        </w:rPr>
        <w:t>the tyrannical conjuncture of colonial power with scholarly Orientalism</w:t>
      </w:r>
      <w:r w:rsidRPr="00C90932">
        <w:rPr>
          <w:sz w:val="16"/>
        </w:rPr>
        <w:t xml:space="preserve"> simply </w:t>
      </w:r>
      <w:r w:rsidRPr="00C90932">
        <w:rPr>
          <w:rStyle w:val="StyleUnderline"/>
        </w:rPr>
        <w:t>by proposing an alliance between nativist sentiment buttressed some variety of native ideology to combat them</w:t>
      </w:r>
      <w:r w:rsidRPr="00C90932">
        <w:rPr>
          <w:sz w:val="16"/>
        </w:rPr>
        <w:t xml:space="preserve">” (Said, 1985:103). As Rao has reminded us more recently (2020: 9), </w:t>
      </w:r>
      <w:r w:rsidRPr="00C90932">
        <w:rPr>
          <w:rStyle w:val="StyleUnderline"/>
        </w:rPr>
        <w:t xml:space="preserve">if </w:t>
      </w:r>
      <w:r w:rsidRPr="00C90932">
        <w:rPr>
          <w:sz w:val="16"/>
        </w:rPr>
        <w:t>“</w:t>
      </w:r>
      <w:r w:rsidRPr="00C90932">
        <w:rPr>
          <w:rStyle w:val="StyleUnderline"/>
        </w:rPr>
        <w:t>postcolonial critique is to continue to remain meaningful</w:t>
      </w:r>
      <w:r w:rsidRPr="00C90932">
        <w:rPr>
          <w:sz w:val="16"/>
        </w:rPr>
        <w:t xml:space="preserve"> in the contemporary world… </w:t>
      </w:r>
      <w:r w:rsidRPr="00C90932">
        <w:rPr>
          <w:rStyle w:val="StyleUnderline"/>
        </w:rPr>
        <w:t xml:space="preserve">[i]t must be attentive to shifts in power, including </w:t>
      </w:r>
      <w:r w:rsidRPr="00C90932">
        <w:rPr>
          <w:rStyle w:val="Emphasis"/>
        </w:rPr>
        <w:t>those that enable formerly colonised states to become colonial</w:t>
      </w:r>
      <w:r w:rsidRPr="00C90932">
        <w:rPr>
          <w:sz w:val="16"/>
        </w:rPr>
        <w:t xml:space="preserve"> in their own rights”. </w:t>
      </w:r>
      <w:r w:rsidRPr="00C90932">
        <w:rPr>
          <w:rStyle w:val="StyleUnderline"/>
        </w:rPr>
        <w:t>For the study of the global right, considering the historical entanglement of nationalism with neoliberalism and authoritarianism in postcolonial contexts may question the newness of the</w:t>
      </w:r>
      <w:r w:rsidRPr="00C90932">
        <w:rPr>
          <w:sz w:val="16"/>
        </w:rPr>
        <w:t xml:space="preserve"> so-called “</w:t>
      </w:r>
      <w:r w:rsidRPr="00C90932">
        <w:rPr>
          <w:rStyle w:val="StyleUnderline"/>
        </w:rPr>
        <w:t>populist</w:t>
      </w:r>
      <w:r w:rsidRPr="00C90932">
        <w:rPr>
          <w:sz w:val="16"/>
        </w:rPr>
        <w:t xml:space="preserve">” </w:t>
      </w:r>
      <w:r w:rsidRPr="00C90932">
        <w:rPr>
          <w:rStyle w:val="StyleUnderline"/>
        </w:rPr>
        <w:t>backlash against globalization</w:t>
      </w:r>
      <w:r w:rsidRPr="00C90932">
        <w:rPr>
          <w:sz w:val="16"/>
        </w:rPr>
        <w:t xml:space="preserve"> in the Western core. Many have pointed out that the far right or </w:t>
      </w:r>
      <w:r w:rsidRPr="00C90932">
        <w:rPr>
          <w:rStyle w:val="StyleUnderline"/>
        </w:rPr>
        <w:t>the</w:t>
      </w:r>
      <w:r w:rsidRPr="00C90932">
        <w:rPr>
          <w:sz w:val="16"/>
        </w:rPr>
        <w:t xml:space="preserve"> “</w:t>
      </w:r>
      <w:r w:rsidRPr="00C90932">
        <w:rPr>
          <w:rStyle w:val="StyleUnderline"/>
        </w:rPr>
        <w:t>fascist temptation</w:t>
      </w:r>
      <w:r w:rsidRPr="00C90932">
        <w:rPr>
          <w:sz w:val="16"/>
        </w:rPr>
        <w:t xml:space="preserve">” </w:t>
      </w:r>
      <w:r w:rsidRPr="00C90932">
        <w:rPr>
          <w:rStyle w:val="StyleUnderline"/>
        </w:rPr>
        <w:t xml:space="preserve">is </w:t>
      </w:r>
      <w:r w:rsidRPr="00C90932">
        <w:rPr>
          <w:rStyle w:val="Emphasis"/>
        </w:rPr>
        <w:t>not external to liberalism</w:t>
      </w:r>
      <w:r w:rsidRPr="00C90932">
        <w:rPr>
          <w:sz w:val="16"/>
        </w:rPr>
        <w:t xml:space="preserve"> (Cooper, 2021, Mondon and Winter, 2020) and </w:t>
      </w:r>
      <w:r w:rsidRPr="00C90932">
        <w:rPr>
          <w:rStyle w:val="StyleUnderline"/>
        </w:rPr>
        <w:t>right-wing nationalism and neoliberalism are not antinomies</w:t>
      </w:r>
      <w:r w:rsidRPr="00C90932">
        <w:rPr>
          <w:sz w:val="16"/>
        </w:rPr>
        <w:t xml:space="preserve"> (Hendrikse, 2018; Kiely, 2021). When we turn to the global trajectories of neoliberalism in the “rest of the world”, it becomes clear that they have long been overlapped with histories of postcolonial authoritarianism and nationalism (Watson, 2021). Moreover, </w:t>
      </w:r>
      <w:r w:rsidRPr="00C90932">
        <w:rPr>
          <w:rStyle w:val="StyleUnderline"/>
        </w:rPr>
        <w:t>the employment of victimhood narratives and the appropriation of the anti-colonial rhetoric are</w:t>
      </w:r>
      <w:r w:rsidRPr="00C90932">
        <w:rPr>
          <w:sz w:val="16"/>
        </w:rPr>
        <w:t xml:space="preserve"> also </w:t>
      </w:r>
      <w:r w:rsidRPr="00C90932">
        <w:rPr>
          <w:rStyle w:val="StyleUnderline"/>
        </w:rPr>
        <w:t xml:space="preserve">characteristic of </w:t>
      </w:r>
      <w:r w:rsidRPr="00C90932">
        <w:rPr>
          <w:rStyle w:val="Emphasis"/>
        </w:rPr>
        <w:t>right-wing discourses</w:t>
      </w:r>
      <w:r w:rsidRPr="00C90932">
        <w:rPr>
          <w:rStyle w:val="StyleUnderline"/>
        </w:rPr>
        <w:t xml:space="preserve"> in former colonial powers</w:t>
      </w:r>
      <w:r w:rsidRPr="00C90932">
        <w:rPr>
          <w:sz w:val="16"/>
        </w:rPr>
        <w:t xml:space="preserve"> (Al-Ghazzi 2021). Another venue for future research would be to explore commonalities, differences, and interconnections in these developments across contexts that are marked by varying relationships with colonialism and are differently positioned within global power structures.</w:t>
      </w:r>
    </w:p>
    <w:p w14:paraId="5D48D4EA" w14:textId="77777777" w:rsidR="00F3765A" w:rsidRPr="00C90932" w:rsidRDefault="00F3765A" w:rsidP="00C90932">
      <w:pPr>
        <w:pStyle w:val="Heading4"/>
      </w:pPr>
      <w:r w:rsidRPr="00C90932">
        <w:t xml:space="preserve">It can’t overcome the binaries they claim produce colonialism. </w:t>
      </w:r>
    </w:p>
    <w:p w14:paraId="4E1CF73D" w14:textId="77777777" w:rsidR="00F3765A" w:rsidRPr="00C90932" w:rsidRDefault="00F3765A" w:rsidP="00C90932">
      <w:r w:rsidRPr="00C90932">
        <w:t xml:space="preserve">Marco </w:t>
      </w:r>
      <w:r w:rsidRPr="00C90932">
        <w:rPr>
          <w:rStyle w:val="Style13ptBold"/>
        </w:rPr>
        <w:t>Vieira 19</w:t>
      </w:r>
      <w:r w:rsidRPr="00C90932">
        <w:t>, Associate Professor of International Relations at the University of Birmingham, Ph.D. in International Relations from the London School of Economics and Political Science, “The decolonial subject and the problem of non-Western authenticity,” Postcolonial Studies, Vol. 22, No. 2, 2019, accessed 06-27-2025, https://doi.org/10.1080/13688790.2019.1608795, DG</w:t>
      </w:r>
    </w:p>
    <w:p w14:paraId="4845BE05" w14:textId="77777777" w:rsidR="00F3765A" w:rsidRPr="00C90932" w:rsidRDefault="00F3765A" w:rsidP="00C90932">
      <w:pPr>
        <w:rPr>
          <w:sz w:val="16"/>
        </w:rPr>
      </w:pPr>
      <w:r w:rsidRPr="00C90932">
        <w:rPr>
          <w:sz w:val="16"/>
        </w:rPr>
        <w:t xml:space="preserve">I have argued that in the cases under examination in this article </w:t>
      </w:r>
      <w:r w:rsidRPr="00C90932">
        <w:rPr>
          <w:rStyle w:val="StyleUnderline"/>
        </w:rPr>
        <w:t xml:space="preserve">decolonial claims for liberation from colonial domination </w:t>
      </w:r>
      <w:r w:rsidRPr="00C90932">
        <w:rPr>
          <w:rStyle w:val="Emphasis"/>
        </w:rPr>
        <w:t>cannot</w:t>
      </w:r>
      <w:r w:rsidRPr="00C90932">
        <w:rPr>
          <w:sz w:val="16"/>
        </w:rPr>
        <w:t xml:space="preserve"> possibly </w:t>
      </w:r>
      <w:r w:rsidRPr="00C90932">
        <w:rPr>
          <w:rStyle w:val="Emphasis"/>
        </w:rPr>
        <w:t>erase nor overcome</w:t>
      </w:r>
      <w:r w:rsidRPr="00C90932">
        <w:rPr>
          <w:sz w:val="16"/>
        </w:rPr>
        <w:t xml:space="preserve"> what is in fact a variety of </w:t>
      </w:r>
      <w:r w:rsidRPr="00C90932">
        <w:rPr>
          <w:rStyle w:val="StyleUnderline"/>
        </w:rPr>
        <w:t>subjective positions that amalgamate Western and non-Western identity markers in an unstable relation</w:t>
      </w:r>
      <w:r w:rsidRPr="00C90932">
        <w:rPr>
          <w:sz w:val="16"/>
        </w:rPr>
        <w:t xml:space="preserve">. I have critically engaged with the work of some influential Latin American decolonial thinkers as well as IR scholars who have argued in favour of </w:t>
      </w:r>
      <w:r w:rsidRPr="00C90932">
        <w:rPr>
          <w:rStyle w:val="StyleUnderline"/>
        </w:rPr>
        <w:t>retrieving non-Western subjectivities</w:t>
      </w:r>
      <w:r w:rsidRPr="00C90932">
        <w:rPr>
          <w:sz w:val="16"/>
        </w:rPr>
        <w:t xml:space="preserve">. The focus was on some core concepts, such as Mignolo’s notions of border thinking and exteriority and Shilliam’s approach to anticolonial affective relationality. I claimed that these authors have </w:t>
      </w:r>
      <w:r w:rsidRPr="00C90932">
        <w:rPr>
          <w:rStyle w:val="StyleUnderline"/>
        </w:rPr>
        <w:t>often reduced</w:t>
      </w:r>
      <w:r w:rsidRPr="00C90932">
        <w:rPr>
          <w:sz w:val="16"/>
        </w:rPr>
        <w:t xml:space="preserve"> their </w:t>
      </w:r>
      <w:r w:rsidRPr="00C90932">
        <w:rPr>
          <w:rStyle w:val="StyleUnderline"/>
        </w:rPr>
        <w:t xml:space="preserve">decolonial theorising to </w:t>
      </w:r>
      <w:r w:rsidRPr="00C90932">
        <w:rPr>
          <w:rStyle w:val="Emphasis"/>
        </w:rPr>
        <w:t>binary reifications</w:t>
      </w:r>
      <w:r w:rsidRPr="00C90932">
        <w:rPr>
          <w:rStyle w:val="StyleUnderline"/>
        </w:rPr>
        <w:t xml:space="preserve"> of thoroughly negative Western and </w:t>
      </w:r>
      <w:r w:rsidRPr="00C90932">
        <w:rPr>
          <w:rStyle w:val="Emphasis"/>
        </w:rPr>
        <w:t>romanticised positive non-Western cultural retentions</w:t>
      </w:r>
      <w:r w:rsidRPr="00C90932">
        <w:rPr>
          <w:sz w:val="16"/>
        </w:rPr>
        <w:t>.</w:t>
      </w:r>
    </w:p>
    <w:p w14:paraId="36979E02" w14:textId="77777777" w:rsidR="00F3765A" w:rsidRPr="00C90932" w:rsidRDefault="00F3765A" w:rsidP="00C90932">
      <w:pPr>
        <w:rPr>
          <w:sz w:val="16"/>
        </w:rPr>
      </w:pPr>
      <w:r w:rsidRPr="00C90932">
        <w:rPr>
          <w:sz w:val="16"/>
        </w:rPr>
        <w:t xml:space="preserve">Ultimately, I claim that the </w:t>
      </w:r>
      <w:r w:rsidRPr="00C90932">
        <w:rPr>
          <w:rStyle w:val="StyleUnderline"/>
        </w:rPr>
        <w:t>decolonial approaches</w:t>
      </w:r>
      <w:r w:rsidRPr="00C90932">
        <w:rPr>
          <w:sz w:val="16"/>
        </w:rPr>
        <w:t xml:space="preserve"> I have examined in this article – not- withstanding their crucial contribution to the current theorising from the periphery of global politics – </w:t>
      </w:r>
      <w:r w:rsidRPr="00C90932">
        <w:rPr>
          <w:rStyle w:val="StyleUnderline"/>
        </w:rPr>
        <w:t xml:space="preserve">are not adequate for understanding </w:t>
      </w:r>
      <w:r w:rsidRPr="00C90932">
        <w:rPr>
          <w:rStyle w:val="Emphasis"/>
        </w:rPr>
        <w:t>hybrid post-Western configurations of subjectivity</w:t>
      </w:r>
      <w:r w:rsidRPr="00C90932">
        <w:rPr>
          <w:sz w:val="16"/>
        </w:rPr>
        <w:t xml:space="preserve">. In this regard, I have empirically </w:t>
      </w:r>
      <w:r w:rsidRPr="00C90932">
        <w:rPr>
          <w:rStyle w:val="StyleUnderline"/>
        </w:rPr>
        <w:t>examined the hybrid and paradoxical status of Latin American creole elites, which combine Indigenous Amerindian with Spanish and European cultural/cosmological sources into a project of breaking with the Enlightenment tradition through reconstituting a self-sufficient post-Western subjectivity</w:t>
      </w:r>
      <w:r w:rsidRPr="00C90932">
        <w:rPr>
          <w:sz w:val="16"/>
        </w:rPr>
        <w:t xml:space="preserve">. The examination of scholarly work on Toussaint L’Ouverture’s and Simón Bolívar’s psychic drives and political motivations </w:t>
      </w:r>
      <w:r w:rsidRPr="00C90932">
        <w:rPr>
          <w:rStyle w:val="StyleUnderline"/>
        </w:rPr>
        <w:t xml:space="preserve">led to the </w:t>
      </w:r>
      <w:r w:rsidRPr="00C90932">
        <w:rPr>
          <w:rStyle w:val="Emphasis"/>
        </w:rPr>
        <w:t>confirm</w:t>
      </w:r>
      <w:r w:rsidRPr="00C90932">
        <w:rPr>
          <w:rStyle w:val="StyleUnderline"/>
        </w:rPr>
        <w:t xml:space="preserve">ation of the </w:t>
      </w:r>
      <w:r w:rsidRPr="00C90932">
        <w:rPr>
          <w:rStyle w:val="Emphasis"/>
        </w:rPr>
        <w:t>inseparable nature</w:t>
      </w:r>
      <w:r w:rsidRPr="00C90932">
        <w:rPr>
          <w:rStyle w:val="StyleUnderline"/>
        </w:rPr>
        <w:t xml:space="preserve"> of their Western and non-Western identity markers. Their postcolonial subjectivity is</w:t>
      </w:r>
      <w:r w:rsidRPr="00C90932">
        <w:rPr>
          <w:sz w:val="16"/>
        </w:rPr>
        <w:t xml:space="preserve">, in this regard, </w:t>
      </w:r>
      <w:r w:rsidRPr="00C90932">
        <w:rPr>
          <w:rStyle w:val="StyleUnderline"/>
        </w:rPr>
        <w:t xml:space="preserve">the result of maintaining an </w:t>
      </w:r>
      <w:r w:rsidRPr="00C90932">
        <w:rPr>
          <w:rStyle w:val="Emphasis"/>
        </w:rPr>
        <w:t>unstable balance</w:t>
      </w:r>
      <w:r w:rsidRPr="00C90932">
        <w:rPr>
          <w:rStyle w:val="StyleUnderline"/>
        </w:rPr>
        <w:t xml:space="preserve"> between imagined representations of who they were as post-Western entities while striving for</w:t>
      </w:r>
      <w:r w:rsidRPr="00C90932">
        <w:rPr>
          <w:sz w:val="16"/>
        </w:rPr>
        <w:t xml:space="preserve"> political </w:t>
      </w:r>
      <w:r w:rsidRPr="00C90932">
        <w:rPr>
          <w:rStyle w:val="StyleUnderline"/>
        </w:rPr>
        <w:t xml:space="preserve">liberation still </w:t>
      </w:r>
      <w:r w:rsidRPr="00C90932">
        <w:rPr>
          <w:rStyle w:val="Emphasis"/>
        </w:rPr>
        <w:t>firmly attached</w:t>
      </w:r>
      <w:r w:rsidRPr="00C90932">
        <w:rPr>
          <w:rStyle w:val="StyleUnderline"/>
        </w:rPr>
        <w:t xml:space="preserve"> to an ever-present modernity/coloniality</w:t>
      </w:r>
      <w:r w:rsidRPr="00C90932">
        <w:rPr>
          <w:sz w:val="16"/>
        </w:rPr>
        <w:t>.</w:t>
      </w:r>
    </w:p>
    <w:p w14:paraId="7195848C" w14:textId="77777777" w:rsidR="00F3765A" w:rsidRPr="00C90932" w:rsidRDefault="00F3765A" w:rsidP="00C90932">
      <w:pPr>
        <w:pStyle w:val="Heading3"/>
      </w:pPr>
      <w:r w:rsidRPr="00C90932">
        <w:t>Alt Fails---Humanism---2AC</w:t>
      </w:r>
    </w:p>
    <w:p w14:paraId="100AD630" w14:textId="77777777" w:rsidR="00F3765A" w:rsidRPr="00C90932" w:rsidRDefault="00F3765A" w:rsidP="00C90932">
      <w:pPr>
        <w:pStyle w:val="Heading4"/>
      </w:pPr>
      <w:r w:rsidRPr="00C90932">
        <w:t xml:space="preserve">The alt’s refusal of humanism poisons its potential. </w:t>
      </w:r>
    </w:p>
    <w:p w14:paraId="0AC7B580" w14:textId="77777777" w:rsidR="00F3765A" w:rsidRPr="00C90932" w:rsidRDefault="00F3765A" w:rsidP="00C90932">
      <w:r w:rsidRPr="00C90932">
        <w:rPr>
          <w:rStyle w:val="Style13ptBold"/>
        </w:rPr>
        <w:t>Boelens et al. 24</w:t>
      </w:r>
      <w:r w:rsidRPr="00C90932">
        <w:t>, Richard Boelens, Special Professor of the Political Ecology of Water at the University of Amsterdam Centre for Latin American Research and Documentation, Personal Professor of Water Governance and Social Justice at Wageningen University, Ph.D. from Wageningen University; Lena Hommes, Lecturer and Postdoctoral Researcher in the Department Geography and the Institute of the Environment at the University of Girona, Ph.D. from Wageningen University; Jaime Hoogesteger, Associate Professor of Water Commons and Collectives at Wageningen University, Ph.D. in Water Governance from Wageningen University, “Ontological Politics in River Defence Debates: Unpacking Fields of Contention in Eco-Centric and Non-Human Turns,” Water Alternatives, Vol. 17, No. 3, 2024, accessed 06-28-2025, https://www.water-alternatives.org/index.php/alldoc/articles/vol17/v17issue3/762-a17-3-4/file, DG</w:t>
      </w:r>
    </w:p>
    <w:p w14:paraId="2A8A9C9C" w14:textId="77777777" w:rsidR="00F3765A" w:rsidRPr="00C90932" w:rsidRDefault="00F3765A" w:rsidP="00C90932">
      <w:pPr>
        <w:rPr>
          <w:sz w:val="16"/>
        </w:rPr>
      </w:pPr>
      <w:r w:rsidRPr="00C90932">
        <w:rPr>
          <w:sz w:val="16"/>
        </w:rPr>
        <w:t xml:space="preserve">Catton and Dunlap (1978), among others, have challenged the social sciences to engage in the urgent task of dismantling the 'human exceptionalism paradigm'. Since then, myriad bodies of transdisciplinary sciences and activism have constructed important alternatives to the Enlightenment ontology of nature as primordial, autonomous, and mechanistic, open to human extractivism (cf. Goldman and Schurman, 2000). In </w:t>
      </w:r>
      <w:r w:rsidRPr="00C90932">
        <w:rPr>
          <w:rStyle w:val="StyleUnderline"/>
        </w:rPr>
        <w:t>the non-human turn</w:t>
      </w:r>
      <w:r w:rsidRPr="00C90932">
        <w:rPr>
          <w:sz w:val="16"/>
        </w:rPr>
        <w:t xml:space="preserve">, this </w:t>
      </w:r>
      <w:r w:rsidRPr="00C90932">
        <w:rPr>
          <w:rStyle w:val="StyleUnderline"/>
        </w:rPr>
        <w:t>is often translated into the need to 'de-centre the human'</w:t>
      </w:r>
      <w:r w:rsidRPr="00C90932">
        <w:rPr>
          <w:sz w:val="16"/>
        </w:rPr>
        <w:t xml:space="preserve">. We strongly identify with movements fighting against states’ and elites’ exceptionalist claims to having the right to destroy the planet and accumulate 'natural resources'. At the same time, however, we warn activists and academics of the need for caution regarding how popularised non-human and RoN/RoR policy debates ontologically and generically tend to de-centre the human. One main reason is that </w:t>
      </w:r>
      <w:r w:rsidRPr="00C90932">
        <w:rPr>
          <w:rStyle w:val="StyleUnderline"/>
        </w:rPr>
        <w:t>human</w:t>
      </w:r>
      <w:r w:rsidRPr="00C90932">
        <w:rPr>
          <w:sz w:val="16"/>
        </w:rPr>
        <w:t xml:space="preserve"> (elite) </w:t>
      </w:r>
      <w:r w:rsidRPr="00C90932">
        <w:rPr>
          <w:rStyle w:val="StyleUnderline"/>
        </w:rPr>
        <w:t>groups certainly are exceptional in how they have radically transformed the human/non-human milieux</w:t>
      </w:r>
      <w:r w:rsidRPr="00C90932">
        <w:rPr>
          <w:sz w:val="16"/>
        </w:rPr>
        <w:t xml:space="preserve"> (Grusin, 2015; Büscher, 2021). </w:t>
      </w:r>
      <w:r w:rsidRPr="00C90932">
        <w:rPr>
          <w:rStyle w:val="StyleUnderline"/>
        </w:rPr>
        <w:t xml:space="preserve">This demands that we address the </w:t>
      </w:r>
      <w:r w:rsidRPr="00C90932">
        <w:rPr>
          <w:rStyle w:val="Emphasis"/>
        </w:rPr>
        <w:t>roots and impacts of this exceptionality, instead of 'ontologising it away'</w:t>
      </w:r>
      <w:r w:rsidRPr="00C90932">
        <w:rPr>
          <w:sz w:val="16"/>
        </w:rPr>
        <w:t xml:space="preserve">. It also asks for political contestation and the devising of strategies to make particular classes responsible. </w:t>
      </w:r>
      <w:r w:rsidRPr="00C90932">
        <w:rPr>
          <w:rStyle w:val="StyleUnderline"/>
        </w:rPr>
        <w:t>De-centring the human in policy and activist currents may</w:t>
      </w:r>
      <w:r w:rsidRPr="00C90932">
        <w:rPr>
          <w:sz w:val="16"/>
        </w:rPr>
        <w:t xml:space="preserve"> tend to </w:t>
      </w:r>
      <w:r w:rsidRPr="00C90932">
        <w:rPr>
          <w:rStyle w:val="Emphasis"/>
        </w:rPr>
        <w:t>create binaries</w:t>
      </w:r>
      <w:r w:rsidRPr="00C90932">
        <w:rPr>
          <w:rStyle w:val="StyleUnderline"/>
        </w:rPr>
        <w:t xml:space="preserve"> between 'generalised humans' and 'generalised non-humans'. These</w:t>
      </w:r>
      <w:r w:rsidRPr="00C90932">
        <w:rPr>
          <w:sz w:val="16"/>
        </w:rPr>
        <w:t xml:space="preserve"> binaries may </w:t>
      </w:r>
      <w:r w:rsidRPr="00C90932">
        <w:rPr>
          <w:rStyle w:val="StyleUnderline"/>
        </w:rPr>
        <w:t>blind us not just to the exceptionally destructive capacities of some humans and their inventions, but also to the exceptional suffering of others</w:t>
      </w:r>
      <w:r w:rsidRPr="00C90932">
        <w:rPr>
          <w:sz w:val="16"/>
        </w:rPr>
        <w:t>. At the same time, it might blind us from recognising the exceptionally creative capacities that humans have for reversing the transformation, not just of their own environments, but of the planetary system as a whole.</w:t>
      </w:r>
    </w:p>
    <w:p w14:paraId="22A6CD7D" w14:textId="77777777" w:rsidR="00F3765A" w:rsidRPr="00C90932" w:rsidRDefault="00F3765A" w:rsidP="00C90932">
      <w:pPr>
        <w:rPr>
          <w:sz w:val="16"/>
        </w:rPr>
      </w:pPr>
      <w:r w:rsidRPr="00C90932">
        <w:rPr>
          <w:rStyle w:val="StyleUnderline"/>
        </w:rPr>
        <w:t>In</w:t>
      </w:r>
      <w:r w:rsidRPr="00C90932">
        <w:rPr>
          <w:sz w:val="16"/>
        </w:rPr>
        <w:t xml:space="preserve"> mainstream </w:t>
      </w:r>
      <w:r w:rsidRPr="00C90932">
        <w:rPr>
          <w:rStyle w:val="StyleUnderline"/>
        </w:rPr>
        <w:t>water policies</w:t>
      </w:r>
      <w:r w:rsidRPr="00C90932">
        <w:rPr>
          <w:sz w:val="16"/>
        </w:rPr>
        <w:t xml:space="preserve">, for instance, </w:t>
      </w:r>
      <w:r w:rsidRPr="00C90932">
        <w:rPr>
          <w:rStyle w:val="StyleUnderline"/>
        </w:rPr>
        <w:t xml:space="preserve">de-centring humans’ exceptional agency has led to </w:t>
      </w:r>
      <w:r w:rsidRPr="00C90932">
        <w:rPr>
          <w:rStyle w:val="Emphasis"/>
        </w:rPr>
        <w:t>overlooking</w:t>
      </w:r>
      <w:r w:rsidRPr="00C90932">
        <w:rPr>
          <w:rStyle w:val="StyleUnderline"/>
        </w:rPr>
        <w:t xml:space="preserve"> the </w:t>
      </w:r>
      <w:r w:rsidRPr="00C90932">
        <w:rPr>
          <w:rStyle w:val="Emphasis"/>
        </w:rPr>
        <w:t>complex lived realities of riverine families, livelihoods, meanings, values, identities, and rights systems</w:t>
      </w:r>
      <w:r w:rsidRPr="00C90932">
        <w:rPr>
          <w:rStyle w:val="StyleUnderline"/>
        </w:rPr>
        <w:t>. These policies</w:t>
      </w:r>
      <w:r w:rsidRPr="00C90932">
        <w:rPr>
          <w:sz w:val="16"/>
        </w:rPr>
        <w:t xml:space="preserve"> have </w:t>
      </w:r>
      <w:r w:rsidRPr="00C90932">
        <w:rPr>
          <w:rStyle w:val="StyleUnderline"/>
        </w:rPr>
        <w:t>constructed their own river dwellers and water users, with identities that conveniently fit the models and policies</w:t>
      </w:r>
      <w:r w:rsidRPr="00C90932">
        <w:rPr>
          <w:sz w:val="16"/>
        </w:rPr>
        <w:t xml:space="preserve"> (Roa-García, 2014; Hoogesteger, 2015; Hidalgo-Bastidas et al., 2018). In this way, </w:t>
      </w:r>
      <w:r w:rsidRPr="00C90932">
        <w:rPr>
          <w:rStyle w:val="StyleUnderline"/>
        </w:rPr>
        <w:t xml:space="preserve">they justify </w:t>
      </w:r>
      <w:r w:rsidRPr="00C90932">
        <w:rPr>
          <w:rStyle w:val="Emphasis"/>
        </w:rPr>
        <w:t>dramatic interventions</w:t>
      </w:r>
      <w:r w:rsidRPr="00C90932">
        <w:rPr>
          <w:sz w:val="16"/>
        </w:rPr>
        <w:t xml:space="preserve"> (e.g. Nixon, 2009; Sanchis-Ibor et al., 2017; Lynch, 2019; Aubriot, 2022; Duarte-Abadía, 2023; Heikkinen, 2024). The </w:t>
      </w:r>
      <w:r w:rsidRPr="00C90932">
        <w:rPr>
          <w:rStyle w:val="StyleUnderline"/>
        </w:rPr>
        <w:t xml:space="preserve">mainstream nature-science- policy nexus </w:t>
      </w:r>
      <w:r w:rsidRPr="00C90932">
        <w:rPr>
          <w:rStyle w:val="Emphasis"/>
        </w:rPr>
        <w:t>takes exceptional agency away from 'targeted human beneficiaries' and simplifies their ontological diversity in line with expert notions</w:t>
      </w:r>
      <w:r w:rsidRPr="00C90932">
        <w:rPr>
          <w:rStyle w:val="StyleUnderline"/>
        </w:rPr>
        <w:t>. It</w:t>
      </w:r>
      <w:r w:rsidRPr="00C90932">
        <w:rPr>
          <w:sz w:val="16"/>
        </w:rPr>
        <w:t xml:space="preserve"> thereby </w:t>
      </w:r>
      <w:r w:rsidRPr="00C90932">
        <w:rPr>
          <w:rStyle w:val="StyleUnderline"/>
        </w:rPr>
        <w:t xml:space="preserve">produces policy models that </w:t>
      </w:r>
      <w:r w:rsidRPr="00C90932">
        <w:rPr>
          <w:rStyle w:val="Emphasis"/>
        </w:rPr>
        <w:t>depoliticise their deeply political choices while dehumanising the people they affect</w:t>
      </w:r>
      <w:r w:rsidRPr="00C90932">
        <w:rPr>
          <w:sz w:val="16"/>
        </w:rPr>
        <w:t xml:space="preserve">. In fact, </w:t>
      </w:r>
      <w:r w:rsidRPr="00C90932">
        <w:rPr>
          <w:rStyle w:val="StyleUnderline"/>
        </w:rPr>
        <w:t>they perceive and construct abstract 'equals' rather than recognising highly differentiated and plural realities</w:t>
      </w:r>
      <w:r w:rsidRPr="00C90932">
        <w:rPr>
          <w:sz w:val="16"/>
        </w:rPr>
        <w:t>.</w:t>
      </w:r>
    </w:p>
    <w:p w14:paraId="7425EC74" w14:textId="77777777" w:rsidR="00F3765A" w:rsidRPr="00C90932" w:rsidRDefault="00F3765A" w:rsidP="00C90932">
      <w:pPr>
        <w:rPr>
          <w:sz w:val="16"/>
        </w:rPr>
      </w:pPr>
      <w:r w:rsidRPr="00C90932">
        <w:rPr>
          <w:sz w:val="16"/>
        </w:rPr>
        <w:t xml:space="preserve">Brackel et al. (2023) provide a common illustration. Communities affected by the Manila Bay Sustainable Development Master Plan (elaborated by Dutch and Pilipino 'experts') were reduced to "people in PowerPoint pixels". These people, who would soon be displaced, disappeared from view through the 'upscaling perspective' of hydro-territorial transformation programs (cf. Melsen et al., 2018). </w:t>
      </w:r>
      <w:r w:rsidRPr="00C90932">
        <w:rPr>
          <w:rStyle w:val="StyleUnderline"/>
        </w:rPr>
        <w:t>Actively de-centring the human, and</w:t>
      </w:r>
      <w:r w:rsidRPr="00C90932">
        <w:rPr>
          <w:sz w:val="16"/>
        </w:rPr>
        <w:t xml:space="preserve"> thereby </w:t>
      </w:r>
      <w:r w:rsidRPr="00C90932">
        <w:rPr>
          <w:rStyle w:val="StyleUnderline"/>
        </w:rPr>
        <w:t xml:space="preserve">constructing ignorance, helps to 'rationally' intervene in the complex water world. This </w:t>
      </w:r>
      <w:r w:rsidRPr="00C90932">
        <w:rPr>
          <w:rStyle w:val="Emphasis"/>
        </w:rPr>
        <w:t>de-humanises water reality</w:t>
      </w:r>
      <w:r w:rsidRPr="00C90932">
        <w:rPr>
          <w:rStyle w:val="StyleUnderline"/>
        </w:rPr>
        <w:t>. Rather than revealing</w:t>
      </w:r>
      <w:r w:rsidRPr="00C90932">
        <w:rPr>
          <w:sz w:val="16"/>
        </w:rPr>
        <w:t xml:space="preserve"> the </w:t>
      </w:r>
      <w:r w:rsidRPr="00C90932">
        <w:rPr>
          <w:rStyle w:val="StyleUnderline"/>
        </w:rPr>
        <w:t xml:space="preserve">on-the-ground realities, </w:t>
      </w:r>
      <w:r w:rsidRPr="00C90932">
        <w:rPr>
          <w:rStyle w:val="Emphasis"/>
        </w:rPr>
        <w:t>only governable subjects and objects appear: an empty space for constructing and ordering rivers, water users, and identities</w:t>
      </w:r>
      <w:r w:rsidRPr="00C90932">
        <w:rPr>
          <w:sz w:val="16"/>
        </w:rPr>
        <w:t>.</w:t>
      </w:r>
    </w:p>
    <w:p w14:paraId="6DED193F" w14:textId="77777777" w:rsidR="00F3765A" w:rsidRPr="00C90932" w:rsidRDefault="00F3765A" w:rsidP="00C90932">
      <w:pPr>
        <w:rPr>
          <w:sz w:val="16"/>
        </w:rPr>
      </w:pPr>
      <w:r w:rsidRPr="00C90932">
        <w:rPr>
          <w:rStyle w:val="StyleUnderline"/>
        </w:rPr>
        <w:t>This picture is the contrary of what the posthuman</w:t>
      </w:r>
      <w:r w:rsidRPr="00C90932">
        <w:rPr>
          <w:sz w:val="16"/>
        </w:rPr>
        <w:t xml:space="preserve"> and non-human </w:t>
      </w:r>
      <w:r w:rsidRPr="00C90932">
        <w:rPr>
          <w:rStyle w:val="StyleUnderline"/>
        </w:rPr>
        <w:t>turns intend to accomplish</w:t>
      </w:r>
      <w:r w:rsidRPr="00C90932">
        <w:rPr>
          <w:sz w:val="16"/>
        </w:rPr>
        <w:t xml:space="preserve">. Nevertheless, </w:t>
      </w:r>
      <w:r w:rsidRPr="00C90932">
        <w:rPr>
          <w:rStyle w:val="StyleUnderline"/>
        </w:rPr>
        <w:t>in de-centring the human</w:t>
      </w:r>
      <w:r w:rsidRPr="00C90932">
        <w:rPr>
          <w:sz w:val="16"/>
        </w:rPr>
        <w:t xml:space="preserve">, many dam removal </w:t>
      </w:r>
      <w:r w:rsidRPr="00C90932">
        <w:rPr>
          <w:rStyle w:val="StyleUnderline"/>
        </w:rPr>
        <w:t>campaigns</w:t>
      </w:r>
      <w:r w:rsidRPr="00C90932">
        <w:rPr>
          <w:sz w:val="16"/>
        </w:rPr>
        <w:t xml:space="preserve"> in North America and Europe tend to </w:t>
      </w:r>
      <w:r w:rsidRPr="00C90932">
        <w:rPr>
          <w:rStyle w:val="StyleUnderline"/>
        </w:rPr>
        <w:t>misrecognise</w:t>
      </w:r>
      <w:r w:rsidRPr="00C90932">
        <w:rPr>
          <w:sz w:val="16"/>
        </w:rPr>
        <w:t xml:space="preserve"> the peasant </w:t>
      </w:r>
      <w:r w:rsidRPr="00C90932">
        <w:rPr>
          <w:rStyle w:val="StyleUnderline"/>
        </w:rPr>
        <w:t>communities</w:t>
      </w:r>
      <w:r w:rsidRPr="00C90932">
        <w:rPr>
          <w:sz w:val="16"/>
        </w:rPr>
        <w:t xml:space="preserve"> who build their livelihoods on the small and medium- sized dam systems – dams whose removal they project will 'enliven rivers' and re-centre nature (for critical reflections, see Sneddon et al., 2017; Drapier et al., 2023; Harrington and Cantor, 2024). Hommes (2022: 604) shows how communities along Spain’s Mijares river fiercely contest dam removal that would dry out a local irrigation canal: "Destroying the Toranes Dam is damaging this natural, territorial, and social ecosystem in which we live, it is destroying an organised community [in reference to the irrigation community]". Another illustration is how RoN policy advocates may unwittingly collaborate in new enclosures of riverine commons (Duarte-Abadía et al., 2023). For instance, in the Andean wetlands of Tungurahua, Ecuador, campesino-indigenous communities deploy territory-situated conservation practices, but international conservation agencies threaten them with RoN-based court cases that could take away their ancestral governance rights if they fail to comply with PES-based conservation schemes (pers. com. Juan Hidalgo-Bastidas, 10/04/2024). In parallel, RoN and RoR policies de-centring the human may invisibilise powerful interests. Kinkaid (2019: 561), for instance, shows how RoN imposition on the Hindu-religious rivers Ganges and Yamuna by India’s right-wing Hindu-nationalist government may lead to the violent expulsion of Muslim and Dalit river dwellers (labelled 'unclean' tannery polluters of the sacred rivers) while leaving the overall environmental status quo unchallenged.</w:t>
      </w:r>
    </w:p>
    <w:p w14:paraId="3BEE7083" w14:textId="77777777" w:rsidR="00F3765A" w:rsidRPr="00C90932" w:rsidRDefault="00F3765A" w:rsidP="00C90932">
      <w:pPr>
        <w:rPr>
          <w:sz w:val="16"/>
        </w:rPr>
      </w:pPr>
      <w:r w:rsidRPr="00C90932">
        <w:rPr>
          <w:sz w:val="16"/>
        </w:rPr>
        <w:t xml:space="preserve">In general, Büscher posits that, </w:t>
      </w:r>
      <w:r w:rsidRPr="00C90932">
        <w:rPr>
          <w:rStyle w:val="StyleUnderline"/>
        </w:rPr>
        <w:t>for the purpose of understanding how capitalism has made humans alienate themselves from non-humans</w:t>
      </w:r>
      <w:r w:rsidRPr="00C90932">
        <w:rPr>
          <w:sz w:val="16"/>
        </w:rPr>
        <w:t xml:space="preserve">, "[…] </w:t>
      </w:r>
      <w:r w:rsidRPr="00C90932">
        <w:rPr>
          <w:rStyle w:val="StyleUnderline"/>
        </w:rPr>
        <w:t xml:space="preserve">it </w:t>
      </w:r>
      <w:r w:rsidRPr="00C90932">
        <w:rPr>
          <w:rStyle w:val="Emphasis"/>
        </w:rPr>
        <w:t>makes little sense to decentre the human</w:t>
      </w:r>
      <w:r w:rsidRPr="00C90932">
        <w:rPr>
          <w:sz w:val="16"/>
        </w:rPr>
        <w:t xml:space="preserve">" (2021: 7). </w:t>
      </w:r>
      <w:r w:rsidRPr="00C90932">
        <w:rPr>
          <w:rStyle w:val="StyleUnderline"/>
        </w:rPr>
        <w:t xml:space="preserve">Because we live in increasingly alienated interrelationships, we have to </w:t>
      </w:r>
      <w:r w:rsidRPr="00C90932">
        <w:rPr>
          <w:rStyle w:val="Emphasis"/>
        </w:rPr>
        <w:t>re-emphasise our</w:t>
      </w:r>
      <w:r w:rsidRPr="00C90932">
        <w:rPr>
          <w:sz w:val="16"/>
        </w:rPr>
        <w:t xml:space="preserve"> (</w:t>
      </w:r>
      <w:r w:rsidRPr="00C90932">
        <w:rPr>
          <w:rStyle w:val="Emphasis"/>
        </w:rPr>
        <w:t>human</w:t>
      </w:r>
      <w:r w:rsidRPr="00C90932">
        <w:rPr>
          <w:sz w:val="16"/>
        </w:rPr>
        <w:t xml:space="preserve">) </w:t>
      </w:r>
      <w:r w:rsidRPr="00C90932">
        <w:rPr>
          <w:rStyle w:val="Emphasis"/>
        </w:rPr>
        <w:t>bonds with and dependence on the rest of life</w:t>
      </w:r>
      <w:r w:rsidRPr="00C90932">
        <w:rPr>
          <w:rStyle w:val="StyleUnderline"/>
        </w:rPr>
        <w:t xml:space="preserve">. This pays </w:t>
      </w:r>
      <w:r w:rsidRPr="00C90932">
        <w:rPr>
          <w:rStyle w:val="Emphasis"/>
        </w:rPr>
        <w:t>genuine attention to the agency, life worlds, and exceptional potential of highly divergent water commons and collectives</w:t>
      </w:r>
      <w:r w:rsidRPr="00C90932">
        <w:rPr>
          <w:sz w:val="16"/>
        </w:rPr>
        <w:t xml:space="preserve">. This </w:t>
      </w:r>
      <w:r w:rsidRPr="00C90932">
        <w:rPr>
          <w:rStyle w:val="StyleUnderline"/>
        </w:rPr>
        <w:t>re-centring would</w:t>
      </w:r>
      <w:r w:rsidRPr="00C90932">
        <w:rPr>
          <w:sz w:val="16"/>
        </w:rPr>
        <w:t xml:space="preserve"> also </w:t>
      </w:r>
      <w:r w:rsidRPr="00C90932">
        <w:rPr>
          <w:rStyle w:val="StyleUnderline"/>
        </w:rPr>
        <w:t>challenge any de-contextualised and detached prescription of the diverse identities and nature of human and non-human collectives</w:t>
      </w:r>
      <w:r w:rsidRPr="00C90932">
        <w:rPr>
          <w:sz w:val="16"/>
        </w:rPr>
        <w:t>.</w:t>
      </w:r>
    </w:p>
    <w:p w14:paraId="455F1759" w14:textId="77777777" w:rsidR="00F3765A" w:rsidRPr="00C90932" w:rsidRDefault="00F3765A" w:rsidP="00C90932">
      <w:pPr>
        <w:pStyle w:val="Heading3"/>
      </w:pPr>
      <w:r w:rsidRPr="00C90932">
        <w:t>Alt Fails---Blue Humanities---2AC</w:t>
      </w:r>
    </w:p>
    <w:p w14:paraId="6C0F8F4A" w14:textId="3E810DB4" w:rsidR="00F3765A" w:rsidRPr="00C90932" w:rsidRDefault="00F3765A" w:rsidP="00C90932">
      <w:pPr>
        <w:pStyle w:val="Heading4"/>
      </w:pPr>
      <w:r w:rsidRPr="00C90932">
        <w:t xml:space="preserve">Blue humanities </w:t>
      </w:r>
      <w:r w:rsidRPr="00C90932">
        <w:rPr>
          <w:u w:val="single"/>
        </w:rPr>
        <w:t>fail</w:t>
      </w:r>
      <w:r w:rsidRPr="00C90932">
        <w:t xml:space="preserve">---water cannot represent a </w:t>
      </w:r>
      <w:r w:rsidRPr="00C90932">
        <w:rPr>
          <w:u w:val="single"/>
        </w:rPr>
        <w:t>singular ontology</w:t>
      </w:r>
      <w:r w:rsidRPr="00C90932">
        <w:t xml:space="preserve">, and </w:t>
      </w:r>
      <w:r w:rsidR="000144C5">
        <w:t xml:space="preserve">thinking with the blue </w:t>
      </w:r>
      <w:r w:rsidR="000144C5">
        <w:rPr>
          <w:u w:val="single"/>
        </w:rPr>
        <w:t xml:space="preserve">reproduces </w:t>
      </w:r>
      <w:r w:rsidR="008E7DB1">
        <w:rPr>
          <w:u w:val="single"/>
        </w:rPr>
        <w:t xml:space="preserve">their </w:t>
      </w:r>
      <w:r w:rsidR="003278F9">
        <w:rPr>
          <w:u w:val="single"/>
        </w:rPr>
        <w:t>impacts</w:t>
      </w:r>
      <w:r w:rsidR="000144C5">
        <w:t xml:space="preserve">. </w:t>
      </w:r>
      <w:r w:rsidRPr="00C90932">
        <w:t xml:space="preserve"> </w:t>
      </w:r>
    </w:p>
    <w:p w14:paraId="2BF9018B" w14:textId="77777777" w:rsidR="00F3765A" w:rsidRPr="00C90932" w:rsidRDefault="00F3765A" w:rsidP="00C90932">
      <w:r w:rsidRPr="00C90932">
        <w:t xml:space="preserve">Michel </w:t>
      </w:r>
      <w:r w:rsidRPr="00C90932">
        <w:rPr>
          <w:rStyle w:val="Style13ptBold"/>
        </w:rPr>
        <w:t>Büch 24</w:t>
      </w:r>
      <w:r w:rsidRPr="00C90932">
        <w:t>, Postdoctoral Researcher and Producer of the University Players at the University of Hamburg Institute of English and American Studies, Ph.D. from the University of Bremen, “‘I want a bath!’: On the Depth and Limits of Universalist Liquefaction in Sarah Ruhl's Eurydice,” Comparative Drama, Vol. 58, No. 4, Winter 2024, accessed 06-28-2025, ProQuest, DG</w:t>
      </w:r>
    </w:p>
    <w:p w14:paraId="0ABD0E7C" w14:textId="77777777" w:rsidR="00F3765A" w:rsidRPr="00C90932" w:rsidRDefault="00F3765A" w:rsidP="00C90932">
      <w:pPr>
        <w:rPr>
          <w:sz w:val="16"/>
        </w:rPr>
      </w:pPr>
      <w:r w:rsidRPr="00C90932">
        <w:rPr>
          <w:sz w:val="16"/>
        </w:rPr>
        <w:t xml:space="preserve">In this essay, I have pitched the engagement with the water metaphor and materiality in a somewhat phenomenological way against these familiar and familial readings. I have considered the figure of Eurydice, as well as the play as a whole, through a kind of blue humanities lens because I felt there was a lacuna in the way it was discussed, and I could contribute to the discourse. I have thus attempted to meet it on its own grounds and have found the discourse on water insightful. The water metaphor appeared to offer a way into an aesthetic experience beyond mere recognition for the scholar. However, having sought to address the play on its own terms, I have been limited by </w:t>
      </w:r>
      <w:r w:rsidRPr="00C90932">
        <w:rPr>
          <w:rStyle w:val="StyleUnderline"/>
        </w:rPr>
        <w:t>the</w:t>
      </w:r>
      <w:r w:rsidRPr="00C90932">
        <w:rPr>
          <w:sz w:val="16"/>
        </w:rPr>
        <w:t xml:space="preserve"> very </w:t>
      </w:r>
      <w:r w:rsidRPr="00C90932">
        <w:rPr>
          <w:rStyle w:val="StyleUnderline"/>
        </w:rPr>
        <w:t>limitations</w:t>
      </w:r>
      <w:r w:rsidRPr="00C90932">
        <w:rPr>
          <w:sz w:val="16"/>
        </w:rPr>
        <w:t xml:space="preserve"> that limit the play-and ironically, they </w:t>
      </w:r>
      <w:r w:rsidRPr="00C90932">
        <w:rPr>
          <w:rStyle w:val="StyleUnderline"/>
        </w:rPr>
        <w:t>appear</w:t>
      </w:r>
      <w:r w:rsidRPr="00C90932">
        <w:rPr>
          <w:sz w:val="16"/>
        </w:rPr>
        <w:t xml:space="preserve"> the most </w:t>
      </w:r>
      <w:r w:rsidRPr="00C90932">
        <w:rPr>
          <w:rStyle w:val="StyleUnderline"/>
        </w:rPr>
        <w:t>limitless</w:t>
      </w:r>
      <w:r w:rsidRPr="00C90932">
        <w:rPr>
          <w:sz w:val="16"/>
        </w:rPr>
        <w:t xml:space="preserve">, i.e. the notions of </w:t>
      </w:r>
      <w:r w:rsidRPr="00C90932">
        <w:rPr>
          <w:rStyle w:val="StyleUnderline"/>
        </w:rPr>
        <w:t>fluidity, instability of meaning</w:t>
      </w:r>
      <w:r w:rsidRPr="00C90932">
        <w:rPr>
          <w:sz w:val="16"/>
        </w:rPr>
        <w:t>, and so on. The effects are consequential; here are some examples.</w:t>
      </w:r>
    </w:p>
    <w:p w14:paraId="11E16E7C" w14:textId="77777777" w:rsidR="00F3765A" w:rsidRPr="00C90932" w:rsidRDefault="00F3765A" w:rsidP="00C90932">
      <w:pPr>
        <w:rPr>
          <w:sz w:val="16"/>
        </w:rPr>
      </w:pPr>
      <w:r w:rsidRPr="00C90932">
        <w:rPr>
          <w:sz w:val="16"/>
        </w:rPr>
        <w:t xml:space="preserve">First, we must recognize that </w:t>
      </w:r>
      <w:r w:rsidRPr="00C90932">
        <w:rPr>
          <w:rStyle w:val="StyleUnderline"/>
        </w:rPr>
        <w:t>the metaphor and image of water may signify differently</w:t>
      </w:r>
      <w:r w:rsidRPr="00C90932">
        <w:rPr>
          <w:sz w:val="16"/>
        </w:rPr>
        <w:t xml:space="preserve"> than Bachelard's vision. </w:t>
      </w:r>
      <w:r w:rsidRPr="00C90932">
        <w:rPr>
          <w:rStyle w:val="StyleUnderline"/>
        </w:rPr>
        <w:t>The Middle Passage</w:t>
      </w:r>
      <w:r w:rsidRPr="00C90932">
        <w:rPr>
          <w:sz w:val="16"/>
        </w:rPr>
        <w:t xml:space="preserve">, for example, </w:t>
      </w:r>
      <w:r w:rsidRPr="00C90932">
        <w:rPr>
          <w:rStyle w:val="StyleUnderline"/>
        </w:rPr>
        <w:t xml:space="preserve">has given rise to an ontology of being in/as water, where water is </w:t>
      </w:r>
      <w:r w:rsidRPr="00C90932">
        <w:rPr>
          <w:rStyle w:val="Emphasis"/>
        </w:rPr>
        <w:t>not merely a metaphor</w:t>
      </w:r>
      <w:r w:rsidRPr="00C90932">
        <w:rPr>
          <w:rStyle w:val="StyleUnderline"/>
        </w:rPr>
        <w:t xml:space="preserve"> but signifies </w:t>
      </w:r>
      <w:r w:rsidRPr="00C90932">
        <w:rPr>
          <w:rStyle w:val="Emphasis"/>
        </w:rPr>
        <w:t>contingent, very concrete death</w:t>
      </w:r>
      <w:r w:rsidRPr="00C90932">
        <w:rPr>
          <w:sz w:val="16"/>
        </w:rPr>
        <w:t xml:space="preserve">. The water in the Atlantic Ocean holds the bodies and specters of those who were thrown overboard, because insurance payments were higher than their market value.57 M. NourbeSe Philips Zong! begins with water- but not as a transcendental, posthumanist vision. Here, </w:t>
      </w:r>
      <w:r w:rsidRPr="00C90932">
        <w:rPr>
          <w:rStyle w:val="StyleUnderline"/>
        </w:rPr>
        <w:t xml:space="preserve">the collapse of meaning in/as water is a site of horror: </w:t>
      </w:r>
      <w:r w:rsidRPr="00C90932">
        <w:rPr>
          <w:rStyle w:val="Emphasis"/>
        </w:rPr>
        <w:t>not a liberation</w:t>
      </w:r>
      <w:r w:rsidRPr="00C90932">
        <w:rPr>
          <w:rStyle w:val="StyleUnderline"/>
        </w:rPr>
        <w:t xml:space="preserve"> from binary bounds but a </w:t>
      </w:r>
      <w:r w:rsidRPr="00C90932">
        <w:rPr>
          <w:rStyle w:val="Emphasis"/>
        </w:rPr>
        <w:t>violent erasure of identity</w:t>
      </w:r>
      <w:r w:rsidRPr="00C90932">
        <w:rPr>
          <w:sz w:val="16"/>
        </w:rPr>
        <w:t xml:space="preserve">. In Zong!, </w:t>
      </w:r>
      <w:r w:rsidRPr="00C90932">
        <w:rPr>
          <w:rStyle w:val="StyleUnderline"/>
        </w:rPr>
        <w:t xml:space="preserve">water is not a space of cleansing or purification but one of trauma, disruption, and obliteration. Its vastness and depth do not evoke a transcendental sphere of connection but instead embody an </w:t>
      </w:r>
      <w:r w:rsidRPr="00C90932">
        <w:rPr>
          <w:rStyle w:val="Emphasis"/>
        </w:rPr>
        <w:t>unfathomable abyss</w:t>
      </w:r>
      <w:r w:rsidRPr="00C90932">
        <w:rPr>
          <w:rStyle w:val="StyleUnderline"/>
        </w:rPr>
        <w:t xml:space="preserve">. The absence of language to confront the dehumanizing violence and wounds of enslavement is </w:t>
      </w:r>
      <w:r w:rsidRPr="00C90932">
        <w:rPr>
          <w:rStyle w:val="Emphasis"/>
        </w:rPr>
        <w:t>not a void to be desired but an unspeakability that demands reckoning</w:t>
      </w:r>
      <w:r w:rsidRPr="00C90932">
        <w:rPr>
          <w:sz w:val="16"/>
        </w:rPr>
        <w:t xml:space="preserve">. Christina </w:t>
      </w:r>
      <w:r w:rsidRPr="00C90932">
        <w:rPr>
          <w:rStyle w:val="StyleUnderline"/>
        </w:rPr>
        <w:t>Sharpe uses</w:t>
      </w:r>
      <w:r w:rsidRPr="00C90932">
        <w:rPr>
          <w:sz w:val="16"/>
        </w:rPr>
        <w:t xml:space="preserve"> the meaning and metaphor of </w:t>
      </w:r>
      <w:r w:rsidRPr="00C90932">
        <w:rPr>
          <w:rStyle w:val="StyleUnderline"/>
        </w:rPr>
        <w:t>the</w:t>
      </w:r>
      <w:r w:rsidRPr="00C90932">
        <w:rPr>
          <w:sz w:val="16"/>
        </w:rPr>
        <w:t xml:space="preserve"> "</w:t>
      </w:r>
      <w:r w:rsidRPr="00C90932">
        <w:rPr>
          <w:rStyle w:val="StyleUnderline"/>
        </w:rPr>
        <w:t>wake</w:t>
      </w:r>
      <w:r w:rsidRPr="00C90932">
        <w:rPr>
          <w:sz w:val="16"/>
        </w:rPr>
        <w:t xml:space="preserve">" </w:t>
      </w:r>
      <w:r w:rsidRPr="00C90932">
        <w:rPr>
          <w:rStyle w:val="StyleUnderline"/>
        </w:rPr>
        <w:t>to evoke</w:t>
      </w:r>
      <w:r w:rsidRPr="00C90932">
        <w:rPr>
          <w:sz w:val="16"/>
        </w:rPr>
        <w:t xml:space="preserve">, among other associations, </w:t>
      </w:r>
      <w:r w:rsidRPr="00C90932">
        <w:rPr>
          <w:rStyle w:val="StyleUnderline"/>
        </w:rPr>
        <w:t>the literal meanings of mourning and remembrance and the metaphorical ones associated with the wake left behind by a</w:t>
      </w:r>
      <w:r w:rsidRPr="00C90932">
        <w:rPr>
          <w:sz w:val="16"/>
        </w:rPr>
        <w:t xml:space="preserve"> (</w:t>
      </w:r>
      <w:r w:rsidRPr="00C90932">
        <w:rPr>
          <w:rStyle w:val="StyleUnderline"/>
        </w:rPr>
        <w:t>slave</w:t>
      </w:r>
      <w:r w:rsidRPr="00C90932">
        <w:rPr>
          <w:sz w:val="16"/>
        </w:rPr>
        <w:t xml:space="preserve">) </w:t>
      </w:r>
      <w:r w:rsidRPr="00C90932">
        <w:rPr>
          <w:rStyle w:val="StyleUnderline"/>
        </w:rPr>
        <w:t>ship in water</w:t>
      </w:r>
      <w:r w:rsidRPr="00C90932">
        <w:rPr>
          <w:sz w:val="16"/>
        </w:rPr>
        <w:t xml:space="preserve">: the ripple effects of history, where the wake of past events continues to shape the present. </w:t>
      </w:r>
      <w:r w:rsidRPr="00C90932">
        <w:rPr>
          <w:rStyle w:val="StyleUnderline"/>
        </w:rPr>
        <w:t>There is</w:t>
      </w:r>
      <w:r w:rsidRPr="00C90932">
        <w:rPr>
          <w:sz w:val="16"/>
        </w:rPr>
        <w:t xml:space="preserve"> "</w:t>
      </w:r>
      <w:r w:rsidRPr="00C90932">
        <w:rPr>
          <w:rStyle w:val="StyleUnderline"/>
        </w:rPr>
        <w:t>loss</w:t>
      </w:r>
      <w:r w:rsidRPr="00C90932">
        <w:rPr>
          <w:sz w:val="16"/>
        </w:rPr>
        <w:t xml:space="preserve">" </w:t>
      </w:r>
      <w:r w:rsidRPr="00C90932">
        <w:rPr>
          <w:rStyle w:val="StyleUnderline"/>
        </w:rPr>
        <w:t>here</w:t>
      </w:r>
      <w:r w:rsidRPr="00C90932">
        <w:rPr>
          <w:sz w:val="16"/>
        </w:rPr>
        <w:t xml:space="preserve"> too, </w:t>
      </w:r>
      <w:r w:rsidRPr="00C90932">
        <w:rPr>
          <w:rStyle w:val="StyleUnderline"/>
        </w:rPr>
        <w:t xml:space="preserve">but of an </w:t>
      </w:r>
      <w:r w:rsidRPr="00C90932">
        <w:rPr>
          <w:rStyle w:val="Emphasis"/>
        </w:rPr>
        <w:t>entirely different scale and register</w:t>
      </w:r>
      <w:r w:rsidRPr="00C90932">
        <w:rPr>
          <w:sz w:val="16"/>
        </w:rPr>
        <w:t xml:space="preserve"> than the themes of Eurydice. A different example: for African and European audiences, the play's notion of a "salty lake" might evoke the Mediterranean Sea and, by extension, the violent Frontex regime "securing" Europe's borders-ironically on the shores of Greece. Swimming courses that help migrants develop a new relationship to water, after enduring traumatic experiences, are one symptom of this.58 There is, therefore, </w:t>
      </w:r>
      <w:r w:rsidRPr="00C90932">
        <w:rPr>
          <w:rStyle w:val="StyleUnderline"/>
        </w:rPr>
        <w:t xml:space="preserve">a </w:t>
      </w:r>
      <w:r w:rsidRPr="00C90932">
        <w:rPr>
          <w:rStyle w:val="Emphasis"/>
        </w:rPr>
        <w:t>clear distinction</w:t>
      </w:r>
      <w:r w:rsidRPr="00C90932">
        <w:rPr>
          <w:rStyle w:val="StyleUnderline"/>
        </w:rPr>
        <w:t xml:space="preserve"> between the imaginary qualities of water signifying death in a metaphysical sense</w:t>
      </w:r>
      <w:r w:rsidRPr="00C90932">
        <w:rPr>
          <w:sz w:val="16"/>
        </w:rPr>
        <w:t xml:space="preserve"> (which might be accessible only to minds shaped by white ignorance), </w:t>
      </w:r>
      <w:r w:rsidRPr="00C90932">
        <w:rPr>
          <w:rStyle w:val="StyleUnderline"/>
        </w:rPr>
        <w:t>and the</w:t>
      </w:r>
      <w:r w:rsidRPr="00C90932">
        <w:rPr>
          <w:sz w:val="16"/>
        </w:rPr>
        <w:t xml:space="preserve"> very </w:t>
      </w:r>
      <w:r w:rsidRPr="00C90932">
        <w:rPr>
          <w:rStyle w:val="Emphasis"/>
        </w:rPr>
        <w:t xml:space="preserve">non-metaphorical meanings </w:t>
      </w:r>
      <w:r w:rsidRPr="00C90932">
        <w:rPr>
          <w:rStyle w:val="StyleUnderline"/>
        </w:rPr>
        <w:t>of</w:t>
      </w:r>
      <w:r w:rsidRPr="00C90932">
        <w:rPr>
          <w:rStyle w:val="Emphasis"/>
        </w:rPr>
        <w:t xml:space="preserve"> </w:t>
      </w:r>
      <w:r w:rsidRPr="00C90932">
        <w:rPr>
          <w:rStyle w:val="StyleUnderline"/>
        </w:rPr>
        <w:t>water linked to historically concrete realities, such as the ontologies of Blackness as social death or the resonance of violent border regimes</w:t>
      </w:r>
      <w:r w:rsidRPr="00C90932">
        <w:rPr>
          <w:sz w:val="16"/>
        </w:rPr>
        <w:t>.</w:t>
      </w:r>
    </w:p>
    <w:p w14:paraId="105850CF" w14:textId="77777777" w:rsidR="00F3765A" w:rsidRPr="00C90932" w:rsidRDefault="00F3765A" w:rsidP="00C90932">
      <w:pPr>
        <w:rPr>
          <w:sz w:val="16"/>
        </w:rPr>
      </w:pPr>
      <w:r w:rsidRPr="00C90932">
        <w:rPr>
          <w:sz w:val="16"/>
        </w:rPr>
        <w:t xml:space="preserve">Second, the </w:t>
      </w:r>
      <w:r w:rsidRPr="00C90932">
        <w:rPr>
          <w:rStyle w:val="StyleUnderline"/>
        </w:rPr>
        <w:t>posthumanist fantasies that traverse the blue humanities</w:t>
      </w:r>
      <w:r w:rsidRPr="00C90932">
        <w:rPr>
          <w:sz w:val="16"/>
        </w:rPr>
        <w:t xml:space="preserve">-inspired focus on water, all those "appeals to move 'beyond the human' </w:t>
      </w:r>
      <w:r w:rsidRPr="00C90932">
        <w:rPr>
          <w:rStyle w:val="StyleUnderline"/>
        </w:rPr>
        <w:t>may</w:t>
      </w:r>
      <w:r w:rsidRPr="00C90932">
        <w:rPr>
          <w:sz w:val="16"/>
        </w:rPr>
        <w:t xml:space="preserve"> actually </w:t>
      </w:r>
      <w:r w:rsidRPr="00C90932">
        <w:rPr>
          <w:rStyle w:val="Emphasis"/>
        </w:rPr>
        <w:t>reintroduce the Eurocentric transcendentalism this movement purports to disrupt</w:t>
      </w:r>
      <w:r w:rsidRPr="00C90932">
        <w:rPr>
          <w:sz w:val="16"/>
        </w:rPr>
        <w:t xml:space="preserve">, particularly </w:t>
      </w:r>
      <w:r w:rsidRPr="00C90932">
        <w:rPr>
          <w:rStyle w:val="StyleUnderline"/>
        </w:rPr>
        <w:t>with regard to the historical and ongoing distributive ordering of race</w:t>
      </w:r>
      <w:r w:rsidRPr="00C90932">
        <w:rPr>
          <w:sz w:val="16"/>
        </w:rPr>
        <w:t xml:space="preserve">"59 </w:t>
      </w:r>
      <w:r w:rsidRPr="00C90932">
        <w:rPr>
          <w:rStyle w:val="StyleUnderline"/>
        </w:rPr>
        <w:t>To performatively shed human individualism requires a subjective capacity</w:t>
      </w:r>
      <w:r w:rsidRPr="00C90932">
        <w:rPr>
          <w:sz w:val="16"/>
        </w:rPr>
        <w:t xml:space="preserve"> that has </w:t>
      </w:r>
      <w:r w:rsidRPr="00C90932">
        <w:rPr>
          <w:rStyle w:val="Emphasis"/>
        </w:rPr>
        <w:t>only</w:t>
      </w:r>
      <w:r w:rsidRPr="00C90932">
        <w:rPr>
          <w:sz w:val="16"/>
        </w:rPr>
        <w:t xml:space="preserve"> </w:t>
      </w:r>
      <w:r w:rsidRPr="00C90932">
        <w:rPr>
          <w:rStyle w:val="Emphasis"/>
        </w:rPr>
        <w:t>been available to whites</w:t>
      </w:r>
      <w:r w:rsidRPr="00C90932">
        <w:rPr>
          <w:sz w:val="16"/>
        </w:rPr>
        <w:t xml:space="preserve">. In a racialized modernity, in Wilderson's words, </w:t>
      </w:r>
      <w:r w:rsidRPr="00C90932">
        <w:rPr>
          <w:rStyle w:val="StyleUnderline"/>
        </w:rPr>
        <w:t>one needs to belong to the</w:t>
      </w:r>
      <w:r w:rsidRPr="00C90932">
        <w:rPr>
          <w:sz w:val="16"/>
        </w:rPr>
        <w:t xml:space="preserve"> "</w:t>
      </w:r>
      <w:r w:rsidRPr="00C90932">
        <w:rPr>
          <w:rStyle w:val="StyleUnderline"/>
        </w:rPr>
        <w:t>race of Humanism</w:t>
      </w:r>
      <w:r w:rsidRPr="00C90932">
        <w:rPr>
          <w:sz w:val="16"/>
        </w:rPr>
        <w:t xml:space="preserve">"60 in order </w:t>
      </w:r>
      <w:r w:rsidRPr="00C90932">
        <w:rPr>
          <w:rStyle w:val="StyleUnderline"/>
        </w:rPr>
        <w:t>to ponder</w:t>
      </w:r>
      <w:r w:rsidRPr="00C90932">
        <w:rPr>
          <w:sz w:val="16"/>
        </w:rPr>
        <w:t xml:space="preserve"> the beyond or </w:t>
      </w:r>
      <w:r w:rsidRPr="00C90932">
        <w:rPr>
          <w:rStyle w:val="StyleUnderline"/>
        </w:rPr>
        <w:t>posthumanism</w:t>
      </w:r>
      <w:r w:rsidRPr="00C90932">
        <w:rPr>
          <w:sz w:val="16"/>
        </w:rPr>
        <w:t xml:space="preserve"> in the first place. </w:t>
      </w:r>
      <w:r w:rsidRPr="00C90932">
        <w:rPr>
          <w:rStyle w:val="StyleUnderline"/>
        </w:rPr>
        <w:t>The</w:t>
      </w:r>
      <w:r w:rsidRPr="00C90932">
        <w:rPr>
          <w:sz w:val="16"/>
        </w:rPr>
        <w:t xml:space="preserve"> somewhat </w:t>
      </w:r>
      <w:r w:rsidRPr="00C90932">
        <w:rPr>
          <w:rStyle w:val="StyleUnderline"/>
        </w:rPr>
        <w:t>moralizing attempts to envision humans beyond race</w:t>
      </w:r>
      <w:r w:rsidRPr="00C90932">
        <w:rPr>
          <w:sz w:val="16"/>
        </w:rPr>
        <w:t xml:space="preserve"> even </w:t>
      </w:r>
      <w:r w:rsidRPr="00C90932">
        <w:rPr>
          <w:rStyle w:val="StyleUnderline"/>
        </w:rPr>
        <w:t xml:space="preserve">provoke </w:t>
      </w:r>
      <w:r w:rsidRPr="00C90932">
        <w:rPr>
          <w:rStyle w:val="Emphasis"/>
        </w:rPr>
        <w:t>absurd notions</w:t>
      </w:r>
      <w:r w:rsidRPr="00C90932">
        <w:rPr>
          <w:rStyle w:val="StyleUnderline"/>
        </w:rPr>
        <w:t xml:space="preserve">, because for those inhabiting discursive Blackness, the </w:t>
      </w:r>
      <w:r w:rsidRPr="00C90932">
        <w:rPr>
          <w:sz w:val="16"/>
        </w:rPr>
        <w:t xml:space="preserve">allegedly </w:t>
      </w:r>
      <w:r w:rsidRPr="00C90932">
        <w:rPr>
          <w:rStyle w:val="StyleUnderline"/>
        </w:rPr>
        <w:t>salvaging prefix is followed by a negation</w:t>
      </w:r>
      <w:r w:rsidRPr="00C90932">
        <w:rPr>
          <w:sz w:val="16"/>
        </w:rPr>
        <w:t xml:space="preserve">. Posthumanist thought is, then, not doing the work it claims or desires to do. It is non-performative, to use Sara Ahmed's term. </w:t>
      </w:r>
      <w:r w:rsidRPr="00C90932">
        <w:rPr>
          <w:rStyle w:val="StyleUnderline"/>
        </w:rPr>
        <w:t>Its</w:t>
      </w:r>
      <w:r w:rsidRPr="00C90932">
        <w:rPr>
          <w:sz w:val="16"/>
        </w:rPr>
        <w:t xml:space="preserve"> "</w:t>
      </w:r>
      <w:r w:rsidRPr="00C90932">
        <w:rPr>
          <w:rStyle w:val="StyleUnderline"/>
        </w:rPr>
        <w:t xml:space="preserve">gestures toward the 'post' or the 'beyond' effectively </w:t>
      </w:r>
      <w:r w:rsidRPr="00C90932">
        <w:rPr>
          <w:rStyle w:val="Emphasis"/>
        </w:rPr>
        <w:t>ignore praxes of humanity and critiques produced by black people, leading to awkward bends, incommensurable logics, and difficult postures</w:t>
      </w:r>
      <w:r w:rsidRPr="00C90932">
        <w:rPr>
          <w:sz w:val="16"/>
        </w:rPr>
        <w:t xml:space="preserve">. (Thus, Barack Obamas election did not signal a postracial era-though the idea appealed to many-and the awkward postures to pretend it did are now being broadly and violently relaxed.) Here, </w:t>
      </w:r>
      <w:r w:rsidRPr="00C90932">
        <w:rPr>
          <w:rStyle w:val="StyleUnderline"/>
        </w:rPr>
        <w:t>the</w:t>
      </w:r>
      <w:r w:rsidRPr="00C90932">
        <w:rPr>
          <w:sz w:val="16"/>
        </w:rPr>
        <w:t xml:space="preserve"> "</w:t>
      </w:r>
      <w:r w:rsidRPr="00C90932">
        <w:rPr>
          <w:rStyle w:val="StyleUnderline"/>
        </w:rPr>
        <w:t>post</w:t>
      </w:r>
      <w:r w:rsidRPr="00C90932">
        <w:rPr>
          <w:sz w:val="16"/>
        </w:rPr>
        <w:t xml:space="preserve">" </w:t>
      </w:r>
      <w:r w:rsidRPr="00C90932">
        <w:rPr>
          <w:rStyle w:val="StyleUnderline"/>
        </w:rPr>
        <w:t>instantiates the prior, reasserting the very structures it (cl)aims to surpass</w:t>
      </w:r>
      <w:r w:rsidRPr="00C90932">
        <w:rPr>
          <w:sz w:val="16"/>
        </w:rPr>
        <w:t>.</w:t>
      </w:r>
    </w:p>
    <w:p w14:paraId="2720CCCC" w14:textId="77777777" w:rsidR="00F3765A" w:rsidRPr="00C90932" w:rsidRDefault="00F3765A" w:rsidP="00C90932">
      <w:pPr>
        <w:rPr>
          <w:sz w:val="16"/>
        </w:rPr>
      </w:pPr>
      <w:r w:rsidRPr="00C90932">
        <w:rPr>
          <w:sz w:val="16"/>
        </w:rPr>
        <w:t xml:space="preserve">The present critique raises several points about the dynamics of universalism and its often-unexamined Eurocentric underpinnings in the theater, while at the same time being fully implicated in them. Eurydice may not be a particularly egregious example of these tendencies, but its popularity and the discourse it generates reveal how often </w:t>
      </w:r>
      <w:r w:rsidRPr="00C90932">
        <w:rPr>
          <w:rStyle w:val="StyleUnderline"/>
        </w:rPr>
        <w:t>white, Eurocentric perspectives shape the creation, interpretation, and reception of art</w:t>
      </w:r>
      <w:r w:rsidRPr="00C90932">
        <w:rPr>
          <w:sz w:val="16"/>
        </w:rPr>
        <w:t>-</w:t>
      </w:r>
      <w:r w:rsidRPr="00C90932">
        <w:rPr>
          <w:rStyle w:val="StyleUnderline"/>
        </w:rPr>
        <w:t>especially works that aspire to</w:t>
      </w:r>
      <w:r w:rsidRPr="00C90932">
        <w:rPr>
          <w:sz w:val="16"/>
        </w:rPr>
        <w:t xml:space="preserve"> "</w:t>
      </w:r>
      <w:r w:rsidRPr="00C90932">
        <w:rPr>
          <w:rStyle w:val="StyleUnderline"/>
        </w:rPr>
        <w:t>timelessness</w:t>
      </w:r>
      <w:r w:rsidRPr="00C90932">
        <w:rPr>
          <w:sz w:val="16"/>
        </w:rPr>
        <w:t xml:space="preserve">" </w:t>
      </w:r>
      <w:r w:rsidRPr="00C90932">
        <w:rPr>
          <w:rStyle w:val="StyleUnderline"/>
        </w:rPr>
        <w:t>or address</w:t>
      </w:r>
      <w:r w:rsidRPr="00C90932">
        <w:rPr>
          <w:sz w:val="16"/>
        </w:rPr>
        <w:t xml:space="preserve"> "</w:t>
      </w:r>
      <w:r w:rsidRPr="00C90932">
        <w:rPr>
          <w:rStyle w:val="StyleUnderline"/>
        </w:rPr>
        <w:t>universal</w:t>
      </w:r>
      <w:r w:rsidRPr="00C90932">
        <w:rPr>
          <w:sz w:val="16"/>
        </w:rPr>
        <w:t xml:space="preserve">" </w:t>
      </w:r>
      <w:r w:rsidRPr="00C90932">
        <w:rPr>
          <w:rStyle w:val="StyleUnderline"/>
        </w:rPr>
        <w:t>themes</w:t>
      </w:r>
      <w:r w:rsidRPr="00C90932">
        <w:rPr>
          <w:sz w:val="16"/>
        </w:rPr>
        <w:t>. Theater scholars, producers, audiences, designers, directors, and actors are left with a dual responsibility: to reckon with the artistry of works like Eurydice while critically interrogating their discursive and political implications. This involves perceiving how such works might perpetuate racially normative ideas about universality and "the human" What Eurydice does with water and agency invites us to take up this responsibility, even as it may slips through our fingers.</w:t>
      </w:r>
    </w:p>
    <w:p w14:paraId="305D7F68" w14:textId="77777777" w:rsidR="00F3765A" w:rsidRPr="00C90932" w:rsidRDefault="00F3765A" w:rsidP="00C90932">
      <w:pPr>
        <w:pStyle w:val="Heading3"/>
      </w:pPr>
      <w:r w:rsidRPr="00C90932">
        <w:t>Alt Fails---Scholarship---2AC</w:t>
      </w:r>
    </w:p>
    <w:p w14:paraId="0DED95B2" w14:textId="77777777" w:rsidR="00F3765A" w:rsidRPr="00C90932" w:rsidRDefault="00F3765A" w:rsidP="00C90932">
      <w:pPr>
        <w:pStyle w:val="Heading4"/>
      </w:pPr>
      <w:r w:rsidRPr="00C90932">
        <w:t xml:space="preserve">Affirming scholarship is a </w:t>
      </w:r>
      <w:r w:rsidRPr="00C90932">
        <w:rPr>
          <w:u w:val="single"/>
        </w:rPr>
        <w:t>hollow gesture</w:t>
      </w:r>
      <w:r w:rsidRPr="00C90932">
        <w:t xml:space="preserve"> that stifles the possibility for material change.</w:t>
      </w:r>
    </w:p>
    <w:p w14:paraId="6E948A21" w14:textId="77777777" w:rsidR="00F3765A" w:rsidRPr="00C90932" w:rsidRDefault="00F3765A" w:rsidP="00C90932">
      <w:r w:rsidRPr="00C90932">
        <w:t xml:space="preserve">Dorothy </w:t>
      </w:r>
      <w:r w:rsidRPr="00C90932">
        <w:rPr>
          <w:rStyle w:val="Style13ptBold"/>
        </w:rPr>
        <w:t>Figueria 8</w:t>
      </w:r>
      <w:r w:rsidRPr="00C90932">
        <w:t xml:space="preserve">, Professor of Comparative Literature at the University of Georgia, Ph.D. in Comparative Studies in Literature from the University of Chicago, “Critical Background to Poststructuralist Theories,” in </w:t>
      </w:r>
      <w:r w:rsidRPr="00C90932">
        <w:rPr>
          <w:i/>
          <w:iCs/>
        </w:rPr>
        <w:t>Otherwise Occupied: Pedagogies of Alterity and the Brahminization of Theory</w:t>
      </w:r>
      <w:r w:rsidRPr="00C90932">
        <w:t>, pp. 5-14, State University of New York Press, 2008, accessed 06-27-2025, ProQuest, DG</w:t>
      </w:r>
    </w:p>
    <w:p w14:paraId="5384043B" w14:textId="77777777" w:rsidR="00F3765A" w:rsidRPr="00C90932" w:rsidRDefault="00F3765A" w:rsidP="00C90932">
      <w:pPr>
        <w:rPr>
          <w:sz w:val="16"/>
        </w:rPr>
      </w:pPr>
      <w:r w:rsidRPr="00C90932">
        <w:rPr>
          <w:sz w:val="16"/>
        </w:rPr>
        <w:t xml:space="preserve">There was indeed a clear paradox inherent in structuralist theory. </w:t>
      </w:r>
      <w:r w:rsidRPr="00C90932">
        <w:rPr>
          <w:rStyle w:val="StyleUnderline"/>
        </w:rPr>
        <w:t>While intellectuals were</w:t>
      </w:r>
      <w:r w:rsidRPr="00C90932">
        <w:rPr>
          <w:sz w:val="16"/>
        </w:rPr>
        <w:t xml:space="preserve"> ostensively </w:t>
      </w:r>
      <w:r w:rsidRPr="00C90932">
        <w:rPr>
          <w:rStyle w:val="StyleUnderline"/>
        </w:rPr>
        <w:t>working for change and developing theoretical weapons</w:t>
      </w:r>
      <w:r w:rsidRPr="00C90932">
        <w:rPr>
          <w:sz w:val="16"/>
        </w:rPr>
        <w:t xml:space="preserve"> to advance a progressive struggle, </w:t>
      </w:r>
      <w:r w:rsidRPr="00C90932">
        <w:rPr>
          <w:rStyle w:val="StyleUnderline"/>
        </w:rPr>
        <w:t>they were</w:t>
      </w:r>
      <w:r w:rsidRPr="00C90932">
        <w:rPr>
          <w:sz w:val="16"/>
        </w:rPr>
        <w:t xml:space="preserve"> at the same time being </w:t>
      </w:r>
      <w:r w:rsidRPr="00C90932">
        <w:rPr>
          <w:rStyle w:val="StyleUnderline"/>
        </w:rPr>
        <w:t xml:space="preserve">seduced by a paradigm that </w:t>
      </w:r>
      <w:r w:rsidRPr="00C90932">
        <w:rPr>
          <w:rStyle w:val="Emphasis"/>
        </w:rPr>
        <w:t>stifled all desire for change</w:t>
      </w:r>
      <w:r w:rsidRPr="00C90932">
        <w:rPr>
          <w:rStyle w:val="StyleUnderline"/>
        </w:rPr>
        <w:t xml:space="preserve"> and </w:t>
      </w:r>
      <w:r w:rsidRPr="00C90932">
        <w:rPr>
          <w:rStyle w:val="Emphasis"/>
        </w:rPr>
        <w:t>announced the end of history</w:t>
      </w:r>
      <w:r w:rsidRPr="00C90932">
        <w:rPr>
          <w:sz w:val="16"/>
        </w:rPr>
        <w:t xml:space="preserve"> (Dosse 1991:2.72). With a vengeance, May 1968 would exhume history and the subject that structuralism had repressed. The Annales historians, in particular, were beneficiaries of 1968, since they were able to transform “History” into “histories” (Veyne 1971). </w:t>
      </w:r>
      <w:r w:rsidRPr="00C90932">
        <w:rPr>
          <w:rStyle w:val="StyleUnderline"/>
        </w:rPr>
        <w:t>History was still discovering the Other</w:t>
      </w:r>
      <w:r w:rsidRPr="00C90932">
        <w:rPr>
          <w:sz w:val="16"/>
        </w:rPr>
        <w:t xml:space="preserve">. However, </w:t>
      </w:r>
      <w:r w:rsidRPr="00C90932">
        <w:rPr>
          <w:rStyle w:val="StyleUnderline"/>
        </w:rPr>
        <w:t>this Other was not in other lands, but could</w:t>
      </w:r>
      <w:r w:rsidRPr="00C90932">
        <w:rPr>
          <w:sz w:val="16"/>
        </w:rPr>
        <w:t xml:space="preserve"> now </w:t>
      </w:r>
      <w:r w:rsidRPr="00C90932">
        <w:rPr>
          <w:rStyle w:val="StyleUnderline"/>
        </w:rPr>
        <w:t xml:space="preserve">be studied </w:t>
      </w:r>
      <w:r w:rsidRPr="00C90932">
        <w:rPr>
          <w:rStyle w:val="Emphasis"/>
        </w:rPr>
        <w:t>within Western civilization</w:t>
      </w:r>
      <w:r w:rsidRPr="00C90932">
        <w:rPr>
          <w:rStyle w:val="StyleUnderline"/>
        </w:rPr>
        <w:t xml:space="preserve"> in the form of cultural histories</w:t>
      </w:r>
      <w:r w:rsidRPr="00C90932">
        <w:rPr>
          <w:sz w:val="16"/>
        </w:rPr>
        <w:t xml:space="preserve"> and the study of mentalités. 4  Anthropology’s Other had become its own past and values. Sometimes </w:t>
      </w:r>
      <w:r w:rsidRPr="00C90932">
        <w:rPr>
          <w:rStyle w:val="StyleUnderline"/>
        </w:rPr>
        <w:t>the Other became</w:t>
      </w:r>
      <w:r w:rsidRPr="00C90932">
        <w:rPr>
          <w:sz w:val="16"/>
        </w:rPr>
        <w:t xml:space="preserve"> just </w:t>
      </w:r>
      <w:r w:rsidRPr="00C90932">
        <w:rPr>
          <w:rStyle w:val="Emphasis"/>
        </w:rPr>
        <w:t>the theorist’s present</w:t>
      </w:r>
      <w:r w:rsidRPr="00C90932">
        <w:rPr>
          <w:sz w:val="16"/>
        </w:rPr>
        <w:t xml:space="preserve">. Simone de Beauvoir’s mandarins of existentialism became Kristeva’s samurai in the new cult of personality. 5  </w:t>
      </w:r>
      <w:r w:rsidRPr="00C90932">
        <w:rPr>
          <w:rStyle w:val="StyleUnderline"/>
        </w:rPr>
        <w:t xml:space="preserve">Criticism turned its attention to the </w:t>
      </w:r>
      <w:r w:rsidRPr="00C90932">
        <w:rPr>
          <w:rStyle w:val="Emphasis"/>
        </w:rPr>
        <w:t xml:space="preserve">discovery of the Self </w:t>
      </w:r>
      <w:r w:rsidRPr="00C90932">
        <w:rPr>
          <w:rStyle w:val="StyleUnderline"/>
        </w:rPr>
        <w:t>and its pleasures</w:t>
      </w:r>
      <w:r w:rsidRPr="00C90932">
        <w:rPr>
          <w:sz w:val="16"/>
        </w:rPr>
        <w:t xml:space="preserve">, in the case of Barthes, 6  </w:t>
      </w:r>
      <w:r w:rsidRPr="00C90932">
        <w:rPr>
          <w:rStyle w:val="StyleUnderline"/>
        </w:rPr>
        <w:t>or</w:t>
      </w:r>
      <w:r w:rsidRPr="00C90932">
        <w:rPr>
          <w:sz w:val="16"/>
        </w:rPr>
        <w:t xml:space="preserve"> in the case of Kristeva, </w:t>
      </w:r>
      <w:r w:rsidRPr="00C90932">
        <w:rPr>
          <w:rStyle w:val="StyleUnderline"/>
        </w:rPr>
        <w:t>its abjection</w:t>
      </w:r>
      <w:r w:rsidRPr="00C90932">
        <w:rPr>
          <w:sz w:val="16"/>
        </w:rPr>
        <w:t>. While it may seem to be truly the grand return of the repressed subject, it would be a mistake to think that the Self had not always been present for theorists.</w:t>
      </w:r>
    </w:p>
    <w:p w14:paraId="0AA32906" w14:textId="77777777" w:rsidR="00F3765A" w:rsidRPr="000A72CA" w:rsidRDefault="00F3765A" w:rsidP="00C90932">
      <w:pPr>
        <w:rPr>
          <w:sz w:val="16"/>
        </w:rPr>
      </w:pPr>
      <w:r w:rsidRPr="00C90932">
        <w:rPr>
          <w:rStyle w:val="StyleUnderline"/>
        </w:rPr>
        <w:t xml:space="preserve">It became </w:t>
      </w:r>
      <w:r w:rsidRPr="00C90932">
        <w:rPr>
          <w:rStyle w:val="Emphasis"/>
        </w:rPr>
        <w:t>increasingly fashionable</w:t>
      </w:r>
      <w:r w:rsidRPr="00C90932">
        <w:rPr>
          <w:rStyle w:val="StyleUnderline"/>
        </w:rPr>
        <w:t xml:space="preserve"> to situate onself </w:t>
      </w:r>
      <w:r w:rsidRPr="00C90932">
        <w:rPr>
          <w:rStyle w:val="Emphasis"/>
        </w:rPr>
        <w:t>at the edges</w:t>
      </w:r>
      <w:r w:rsidRPr="00C90932">
        <w:rPr>
          <w:rStyle w:val="StyleUnderline"/>
        </w:rPr>
        <w:t xml:space="preserve"> of a system of thought</w:t>
      </w:r>
      <w:r w:rsidRPr="00C90932">
        <w:rPr>
          <w:sz w:val="16"/>
        </w:rPr>
        <w:t xml:space="preserve"> in order </w:t>
      </w:r>
      <w:r w:rsidRPr="00C90932">
        <w:rPr>
          <w:rStyle w:val="StyleUnderline"/>
        </w:rPr>
        <w:t xml:space="preserve">to </w:t>
      </w:r>
      <w:r w:rsidRPr="00C90932">
        <w:rPr>
          <w:rStyle w:val="Emphasis"/>
        </w:rPr>
        <w:t>manipulate</w:t>
      </w:r>
      <w:r w:rsidRPr="00C90932">
        <w:rPr>
          <w:rStyle w:val="StyleUnderline"/>
        </w:rPr>
        <w:t xml:space="preserve"> and </w:t>
      </w:r>
      <w:r w:rsidRPr="00C90932">
        <w:rPr>
          <w:rStyle w:val="Emphasis"/>
        </w:rPr>
        <w:t>move those edges</w:t>
      </w:r>
      <w:r w:rsidRPr="00C90932">
        <w:rPr>
          <w:rStyle w:val="StyleUnderline"/>
        </w:rPr>
        <w:t xml:space="preserve">. We were no longer interested in the hell of others, but </w:t>
      </w:r>
      <w:r w:rsidRPr="00C90932">
        <w:rPr>
          <w:rStyle w:val="Emphasis"/>
        </w:rPr>
        <w:t>the hell in the Self</w:t>
      </w:r>
      <w:r w:rsidRPr="00C90932">
        <w:rPr>
          <w:sz w:val="16"/>
        </w:rPr>
        <w:t xml:space="preserve">. In the Archaeology of Knowledge,  Michel </w:t>
      </w:r>
      <w:r w:rsidRPr="00C90932">
        <w:rPr>
          <w:rStyle w:val="StyleUnderline"/>
        </w:rPr>
        <w:t>Foucault</w:t>
      </w:r>
      <w:r w:rsidRPr="00C90932">
        <w:rPr>
          <w:sz w:val="16"/>
        </w:rPr>
        <w:t xml:space="preserve"> claimed that man was an invention of recent date soon to disappear (Foucault 1972:387). He </w:t>
      </w:r>
      <w:r w:rsidRPr="00C90932">
        <w:rPr>
          <w:rStyle w:val="StyleUnderline"/>
        </w:rPr>
        <w:t>championed the destruction of history, faceless writing, and pure freedom</w:t>
      </w:r>
      <w:r w:rsidRPr="00C90932">
        <w:rPr>
          <w:sz w:val="16"/>
        </w:rPr>
        <w:t xml:space="preserve"> (Foucault 1972:17). The idea was </w:t>
      </w:r>
      <w:r w:rsidRPr="00C90932">
        <w:rPr>
          <w:rStyle w:val="Emphasis"/>
        </w:rPr>
        <w:t>to decenter man</w:t>
      </w:r>
      <w:r w:rsidRPr="00C90932">
        <w:rPr>
          <w:sz w:val="16"/>
        </w:rPr>
        <w:t xml:space="preserve"> as author, subject, and speaker. Georges Canguilhem’s work on psychology (asking whether it served science or the police) set the stage for Foucault’s work on asylums, prisons, and madness. </w:t>
      </w:r>
      <w:r w:rsidRPr="00C90932">
        <w:rPr>
          <w:rStyle w:val="StyleUnderline"/>
        </w:rPr>
        <w:t>Self-awareness regarding the limits of knowing others</w:t>
      </w:r>
      <w:r w:rsidRPr="00C90932">
        <w:rPr>
          <w:sz w:val="16"/>
        </w:rPr>
        <w:t xml:space="preserve"> now </w:t>
      </w:r>
      <w:r w:rsidRPr="00C90932">
        <w:rPr>
          <w:rStyle w:val="StyleUnderline"/>
        </w:rPr>
        <w:t xml:space="preserve">became a </w:t>
      </w:r>
      <w:r w:rsidRPr="00C90932">
        <w:rPr>
          <w:rStyle w:val="Emphasis"/>
        </w:rPr>
        <w:t>precondition for engagement</w:t>
      </w:r>
      <w:r w:rsidRPr="00C90932">
        <w:rPr>
          <w:sz w:val="16"/>
        </w:rPr>
        <w:t xml:space="preserve">. Foucault focused on the periphery and the margins of a system. He analyzed the development of European civilization as a process of marginalizing domestic misfits who were kept under surveillance through the cooperation of social “power” and “knowledge.” He further examined deviation and marginality in Discipline and Punish  (1975). The History of Sexuality  (1976) offered a discourse on sex as a form of managerial power found in censuses and the psychiatrization of deviation. </w:t>
      </w:r>
      <w:r w:rsidRPr="00C90932">
        <w:rPr>
          <w:rStyle w:val="StyleUnderline"/>
        </w:rPr>
        <w:t>The</w:t>
      </w:r>
      <w:r w:rsidRPr="00C90932">
        <w:rPr>
          <w:sz w:val="16"/>
        </w:rPr>
        <w:t xml:space="preserve"> structuralist </w:t>
      </w:r>
      <w:r w:rsidRPr="00C90932">
        <w:rPr>
          <w:rStyle w:val="StyleUnderline"/>
        </w:rPr>
        <w:t>ideal</w:t>
      </w:r>
      <w:r w:rsidRPr="00C90932">
        <w:rPr>
          <w:sz w:val="16"/>
        </w:rPr>
        <w:t xml:space="preserve"> had shift</w:t>
      </w:r>
      <w:r w:rsidRPr="00C90932">
        <w:rPr>
          <w:rStyle w:val="StyleUnderline"/>
        </w:rPr>
        <w:t xml:space="preserve">ed from a scientific method informed by political and cultural pessimism into a </w:t>
      </w:r>
      <w:r w:rsidRPr="00C90932">
        <w:rPr>
          <w:rStyle w:val="Emphasis"/>
        </w:rPr>
        <w:t>liberation antitheology celebrating difference</w:t>
      </w:r>
      <w:r w:rsidRPr="00C90932">
        <w:rPr>
          <w:sz w:val="16"/>
        </w:rPr>
        <w:t>, wherever it might be found.</w:t>
      </w:r>
    </w:p>
    <w:p w14:paraId="59217933" w14:textId="15740827" w:rsidR="00664DA3" w:rsidRPr="00AB6E2E" w:rsidRDefault="00664DA3" w:rsidP="00C90932">
      <w:pPr>
        <w:rPr>
          <w:sz w:val="16"/>
        </w:rPr>
      </w:pPr>
    </w:p>
    <w:sectPr w:rsidR="00664DA3" w:rsidRPr="00AB6E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726C6" w14:textId="77777777" w:rsidR="006D0335" w:rsidRDefault="006D0335" w:rsidP="00066D2C">
      <w:r>
        <w:separator/>
      </w:r>
    </w:p>
  </w:endnote>
  <w:endnote w:type="continuationSeparator" w:id="0">
    <w:p w14:paraId="4C6091E5" w14:textId="77777777" w:rsidR="006D0335" w:rsidRDefault="006D033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w:panose1 w:val="020B05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726C9" w14:textId="77777777" w:rsidR="006D0335" w:rsidRDefault="006D0335" w:rsidP="00066D2C">
      <w:r>
        <w:separator/>
      </w:r>
    </w:p>
  </w:footnote>
  <w:footnote w:type="continuationSeparator" w:id="0">
    <w:p w14:paraId="5D616E18" w14:textId="77777777" w:rsidR="006D0335" w:rsidRDefault="006D033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277EBC"/>
    <w:multiLevelType w:val="multilevel"/>
    <w:tmpl w:val="8430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721B85"/>
    <w:multiLevelType w:val="hybridMultilevel"/>
    <w:tmpl w:val="03F41D2E"/>
    <w:lvl w:ilvl="0" w:tplc="D0722A4A">
      <w:start w:val="1"/>
      <w:numFmt w:val="lowerLetter"/>
      <w:lvlText w:val="%1."/>
      <w:lvlJc w:val="left"/>
      <w:pPr>
        <w:ind w:left="720" w:hanging="360"/>
      </w:pPr>
      <w:rPr>
        <w:rFonts w:ascii="Georgia" w:eastAsiaTheme="majorEastAsia" w:hAnsi="Georgia"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37586580">
    <w:abstractNumId w:val="12"/>
  </w:num>
  <w:num w:numId="46" w16cid:durableId="7821180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582254160"/>
    <w:docVar w:name="VerbatimVersion" w:val="6.0.0"/>
    <w:docVar w:name="WordVersion" w:val="16.0"/>
  </w:docVars>
  <w:rsids>
    <w:rsidRoot w:val="00497952"/>
    <w:rsid w:val="00001C7E"/>
    <w:rsid w:val="00004149"/>
    <w:rsid w:val="0000487C"/>
    <w:rsid w:val="00011B96"/>
    <w:rsid w:val="00011FEF"/>
    <w:rsid w:val="00013684"/>
    <w:rsid w:val="00013C8B"/>
    <w:rsid w:val="000144C5"/>
    <w:rsid w:val="0002103C"/>
    <w:rsid w:val="00023AEF"/>
    <w:rsid w:val="000250CA"/>
    <w:rsid w:val="00027AAB"/>
    <w:rsid w:val="00032119"/>
    <w:rsid w:val="00037623"/>
    <w:rsid w:val="00041BD6"/>
    <w:rsid w:val="000427BD"/>
    <w:rsid w:val="00043C82"/>
    <w:rsid w:val="000448DC"/>
    <w:rsid w:val="00050713"/>
    <w:rsid w:val="00053D0F"/>
    <w:rsid w:val="00053D85"/>
    <w:rsid w:val="00056966"/>
    <w:rsid w:val="00057DE2"/>
    <w:rsid w:val="000615B0"/>
    <w:rsid w:val="00062CE8"/>
    <w:rsid w:val="00063921"/>
    <w:rsid w:val="0006396B"/>
    <w:rsid w:val="00064258"/>
    <w:rsid w:val="0006539C"/>
    <w:rsid w:val="000657E9"/>
    <w:rsid w:val="00066D2C"/>
    <w:rsid w:val="000724BA"/>
    <w:rsid w:val="0007328F"/>
    <w:rsid w:val="0007338C"/>
    <w:rsid w:val="00074F1E"/>
    <w:rsid w:val="0007573B"/>
    <w:rsid w:val="0007578B"/>
    <w:rsid w:val="0007692C"/>
    <w:rsid w:val="00076EA7"/>
    <w:rsid w:val="00077C8D"/>
    <w:rsid w:val="00080E37"/>
    <w:rsid w:val="00080F27"/>
    <w:rsid w:val="000912B1"/>
    <w:rsid w:val="00093AB9"/>
    <w:rsid w:val="00094DF4"/>
    <w:rsid w:val="000961CD"/>
    <w:rsid w:val="000A0198"/>
    <w:rsid w:val="000A0585"/>
    <w:rsid w:val="000A1FB1"/>
    <w:rsid w:val="000A218A"/>
    <w:rsid w:val="000A239C"/>
    <w:rsid w:val="000A4AE6"/>
    <w:rsid w:val="000A5EE1"/>
    <w:rsid w:val="000B13FB"/>
    <w:rsid w:val="000B3425"/>
    <w:rsid w:val="000B5FBB"/>
    <w:rsid w:val="000B6974"/>
    <w:rsid w:val="000B6B3E"/>
    <w:rsid w:val="000C12D9"/>
    <w:rsid w:val="000C137E"/>
    <w:rsid w:val="000C1AEE"/>
    <w:rsid w:val="000C2212"/>
    <w:rsid w:val="000C728B"/>
    <w:rsid w:val="000D0D08"/>
    <w:rsid w:val="000D4C52"/>
    <w:rsid w:val="000D5FF2"/>
    <w:rsid w:val="000D739E"/>
    <w:rsid w:val="000D7A2C"/>
    <w:rsid w:val="000E0913"/>
    <w:rsid w:val="000E13F7"/>
    <w:rsid w:val="000E2525"/>
    <w:rsid w:val="000E6FC2"/>
    <w:rsid w:val="000F3818"/>
    <w:rsid w:val="000F5C68"/>
    <w:rsid w:val="000F6390"/>
    <w:rsid w:val="000F6530"/>
    <w:rsid w:val="000F775F"/>
    <w:rsid w:val="001014FC"/>
    <w:rsid w:val="00102A57"/>
    <w:rsid w:val="0010417F"/>
    <w:rsid w:val="00105540"/>
    <w:rsid w:val="00105C8A"/>
    <w:rsid w:val="00107A3A"/>
    <w:rsid w:val="001119CE"/>
    <w:rsid w:val="00112479"/>
    <w:rsid w:val="001128A3"/>
    <w:rsid w:val="00114316"/>
    <w:rsid w:val="001149FE"/>
    <w:rsid w:val="00117F85"/>
    <w:rsid w:val="00117F87"/>
    <w:rsid w:val="00120547"/>
    <w:rsid w:val="0012117C"/>
    <w:rsid w:val="001218F5"/>
    <w:rsid w:val="00122202"/>
    <w:rsid w:val="001256DF"/>
    <w:rsid w:val="00127061"/>
    <w:rsid w:val="00131B53"/>
    <w:rsid w:val="001327C1"/>
    <w:rsid w:val="001329A3"/>
    <w:rsid w:val="00132F11"/>
    <w:rsid w:val="00134120"/>
    <w:rsid w:val="001356C8"/>
    <w:rsid w:val="001378C8"/>
    <w:rsid w:val="00140A6B"/>
    <w:rsid w:val="00141DBA"/>
    <w:rsid w:val="00143A33"/>
    <w:rsid w:val="00144AD4"/>
    <w:rsid w:val="001461E9"/>
    <w:rsid w:val="00146731"/>
    <w:rsid w:val="00146F2E"/>
    <w:rsid w:val="00150A2E"/>
    <w:rsid w:val="00151B54"/>
    <w:rsid w:val="00152286"/>
    <w:rsid w:val="00152BF7"/>
    <w:rsid w:val="00155B47"/>
    <w:rsid w:val="00163574"/>
    <w:rsid w:val="001645D4"/>
    <w:rsid w:val="0016567B"/>
    <w:rsid w:val="0016568A"/>
    <w:rsid w:val="0016794A"/>
    <w:rsid w:val="00170A72"/>
    <w:rsid w:val="001713A6"/>
    <w:rsid w:val="00171A2A"/>
    <w:rsid w:val="001723BA"/>
    <w:rsid w:val="00175A0C"/>
    <w:rsid w:val="00180A4E"/>
    <w:rsid w:val="00181F58"/>
    <w:rsid w:val="00186B65"/>
    <w:rsid w:val="00190CDA"/>
    <w:rsid w:val="00191BEB"/>
    <w:rsid w:val="0019574A"/>
    <w:rsid w:val="00196816"/>
    <w:rsid w:val="0019779A"/>
    <w:rsid w:val="001977CD"/>
    <w:rsid w:val="0019782C"/>
    <w:rsid w:val="001A07A2"/>
    <w:rsid w:val="001A1422"/>
    <w:rsid w:val="001A3079"/>
    <w:rsid w:val="001A4D9A"/>
    <w:rsid w:val="001A51F6"/>
    <w:rsid w:val="001A6960"/>
    <w:rsid w:val="001B0591"/>
    <w:rsid w:val="001B1595"/>
    <w:rsid w:val="001B1762"/>
    <w:rsid w:val="001B18CF"/>
    <w:rsid w:val="001B2C27"/>
    <w:rsid w:val="001B439D"/>
    <w:rsid w:val="001B6BAB"/>
    <w:rsid w:val="001C0A69"/>
    <w:rsid w:val="001C48D7"/>
    <w:rsid w:val="001C4B1A"/>
    <w:rsid w:val="001D0DAB"/>
    <w:rsid w:val="001D1994"/>
    <w:rsid w:val="001D56A6"/>
    <w:rsid w:val="001D6D5C"/>
    <w:rsid w:val="001D7A6D"/>
    <w:rsid w:val="001E189D"/>
    <w:rsid w:val="001E4A64"/>
    <w:rsid w:val="001E61F5"/>
    <w:rsid w:val="001E72AE"/>
    <w:rsid w:val="001F0C01"/>
    <w:rsid w:val="001F1F4D"/>
    <w:rsid w:val="002005AF"/>
    <w:rsid w:val="00200C1A"/>
    <w:rsid w:val="00203A48"/>
    <w:rsid w:val="00204C56"/>
    <w:rsid w:val="002052E3"/>
    <w:rsid w:val="00210DC2"/>
    <w:rsid w:val="002110D6"/>
    <w:rsid w:val="002152F9"/>
    <w:rsid w:val="0021530A"/>
    <w:rsid w:val="0021667A"/>
    <w:rsid w:val="002212A9"/>
    <w:rsid w:val="002234FB"/>
    <w:rsid w:val="00225437"/>
    <w:rsid w:val="002259E3"/>
    <w:rsid w:val="002263A1"/>
    <w:rsid w:val="002267CD"/>
    <w:rsid w:val="002311CF"/>
    <w:rsid w:val="00232746"/>
    <w:rsid w:val="002336C2"/>
    <w:rsid w:val="00234E98"/>
    <w:rsid w:val="00236707"/>
    <w:rsid w:val="00241116"/>
    <w:rsid w:val="0024328E"/>
    <w:rsid w:val="002508CB"/>
    <w:rsid w:val="002514A7"/>
    <w:rsid w:val="00251A2D"/>
    <w:rsid w:val="00253733"/>
    <w:rsid w:val="0025588E"/>
    <w:rsid w:val="00256AC0"/>
    <w:rsid w:val="002573AF"/>
    <w:rsid w:val="00257EAE"/>
    <w:rsid w:val="00263CC5"/>
    <w:rsid w:val="00271866"/>
    <w:rsid w:val="002739F6"/>
    <w:rsid w:val="00276E12"/>
    <w:rsid w:val="00277BB1"/>
    <w:rsid w:val="00281B05"/>
    <w:rsid w:val="00282932"/>
    <w:rsid w:val="00282FFC"/>
    <w:rsid w:val="00284EF6"/>
    <w:rsid w:val="002878D0"/>
    <w:rsid w:val="00290F1B"/>
    <w:rsid w:val="00291C09"/>
    <w:rsid w:val="00292C4F"/>
    <w:rsid w:val="00297799"/>
    <w:rsid w:val="002A3018"/>
    <w:rsid w:val="002A4DA5"/>
    <w:rsid w:val="002A57B1"/>
    <w:rsid w:val="002A5EF5"/>
    <w:rsid w:val="002B2116"/>
    <w:rsid w:val="002B3050"/>
    <w:rsid w:val="002B5F0C"/>
    <w:rsid w:val="002C0731"/>
    <w:rsid w:val="002C0B33"/>
    <w:rsid w:val="002C30D9"/>
    <w:rsid w:val="002C6C7D"/>
    <w:rsid w:val="002C769C"/>
    <w:rsid w:val="002D2387"/>
    <w:rsid w:val="002D2594"/>
    <w:rsid w:val="002D3647"/>
    <w:rsid w:val="002D418C"/>
    <w:rsid w:val="002D55A6"/>
    <w:rsid w:val="002D56E5"/>
    <w:rsid w:val="002E1815"/>
    <w:rsid w:val="002E663F"/>
    <w:rsid w:val="002F0384"/>
    <w:rsid w:val="002F276B"/>
    <w:rsid w:val="002F28CE"/>
    <w:rsid w:val="002F2CFC"/>
    <w:rsid w:val="002F2E90"/>
    <w:rsid w:val="002F37D1"/>
    <w:rsid w:val="002F593A"/>
    <w:rsid w:val="002F5A47"/>
    <w:rsid w:val="002F636E"/>
    <w:rsid w:val="00300F2F"/>
    <w:rsid w:val="00303684"/>
    <w:rsid w:val="00304257"/>
    <w:rsid w:val="00304A78"/>
    <w:rsid w:val="00306FDE"/>
    <w:rsid w:val="00307FBA"/>
    <w:rsid w:val="00310203"/>
    <w:rsid w:val="003106D9"/>
    <w:rsid w:val="00311112"/>
    <w:rsid w:val="00311C1F"/>
    <w:rsid w:val="0031266A"/>
    <w:rsid w:val="0031761F"/>
    <w:rsid w:val="003215B1"/>
    <w:rsid w:val="00323238"/>
    <w:rsid w:val="003236D7"/>
    <w:rsid w:val="00323E50"/>
    <w:rsid w:val="003264E7"/>
    <w:rsid w:val="003278F9"/>
    <w:rsid w:val="00331EB7"/>
    <w:rsid w:val="00333A69"/>
    <w:rsid w:val="003352D6"/>
    <w:rsid w:val="00340BD1"/>
    <w:rsid w:val="00345BF2"/>
    <w:rsid w:val="00347131"/>
    <w:rsid w:val="003479B5"/>
    <w:rsid w:val="003500B6"/>
    <w:rsid w:val="00352622"/>
    <w:rsid w:val="003536F7"/>
    <w:rsid w:val="00355B45"/>
    <w:rsid w:val="00361FA0"/>
    <w:rsid w:val="003662DB"/>
    <w:rsid w:val="00367D96"/>
    <w:rsid w:val="003706D8"/>
    <w:rsid w:val="00373417"/>
    <w:rsid w:val="00373B7F"/>
    <w:rsid w:val="003753F6"/>
    <w:rsid w:val="003779C8"/>
    <w:rsid w:val="00382DF7"/>
    <w:rsid w:val="00384673"/>
    <w:rsid w:val="00385554"/>
    <w:rsid w:val="00386170"/>
    <w:rsid w:val="0039157C"/>
    <w:rsid w:val="00392D93"/>
    <w:rsid w:val="00393EF2"/>
    <w:rsid w:val="00394F71"/>
    <w:rsid w:val="00396138"/>
    <w:rsid w:val="00396D52"/>
    <w:rsid w:val="003A02F6"/>
    <w:rsid w:val="003A46B4"/>
    <w:rsid w:val="003A5CE8"/>
    <w:rsid w:val="003A698D"/>
    <w:rsid w:val="003B17B3"/>
    <w:rsid w:val="003B4705"/>
    <w:rsid w:val="003B4F86"/>
    <w:rsid w:val="003B6FED"/>
    <w:rsid w:val="003B734D"/>
    <w:rsid w:val="003B7F44"/>
    <w:rsid w:val="003C177C"/>
    <w:rsid w:val="003C251E"/>
    <w:rsid w:val="003C3CCA"/>
    <w:rsid w:val="003C4788"/>
    <w:rsid w:val="003C6CA9"/>
    <w:rsid w:val="003C7B74"/>
    <w:rsid w:val="003D395A"/>
    <w:rsid w:val="003D3B44"/>
    <w:rsid w:val="003D4150"/>
    <w:rsid w:val="003D5367"/>
    <w:rsid w:val="003D5BEB"/>
    <w:rsid w:val="003D7C82"/>
    <w:rsid w:val="003D7D37"/>
    <w:rsid w:val="003E0096"/>
    <w:rsid w:val="003E12D7"/>
    <w:rsid w:val="003E214F"/>
    <w:rsid w:val="003F0E92"/>
    <w:rsid w:val="003F1F5E"/>
    <w:rsid w:val="003F3920"/>
    <w:rsid w:val="003F4D5F"/>
    <w:rsid w:val="003F6C0C"/>
    <w:rsid w:val="004000C6"/>
    <w:rsid w:val="00401450"/>
    <w:rsid w:val="00402E64"/>
    <w:rsid w:val="00403BFB"/>
    <w:rsid w:val="00405AD7"/>
    <w:rsid w:val="004074DD"/>
    <w:rsid w:val="004127EF"/>
    <w:rsid w:val="00413EFB"/>
    <w:rsid w:val="00414EB4"/>
    <w:rsid w:val="004208C6"/>
    <w:rsid w:val="00425531"/>
    <w:rsid w:val="00425A83"/>
    <w:rsid w:val="004261BC"/>
    <w:rsid w:val="00426CC6"/>
    <w:rsid w:val="00431077"/>
    <w:rsid w:val="00431905"/>
    <w:rsid w:val="00432436"/>
    <w:rsid w:val="004326E6"/>
    <w:rsid w:val="00432B88"/>
    <w:rsid w:val="00432F5F"/>
    <w:rsid w:val="0043419E"/>
    <w:rsid w:val="0043450D"/>
    <w:rsid w:val="004348C6"/>
    <w:rsid w:val="00434BCC"/>
    <w:rsid w:val="004350BF"/>
    <w:rsid w:val="00435588"/>
    <w:rsid w:val="004433A0"/>
    <w:rsid w:val="004436F8"/>
    <w:rsid w:val="00446DA0"/>
    <w:rsid w:val="00447BAE"/>
    <w:rsid w:val="00450521"/>
    <w:rsid w:val="00450DA4"/>
    <w:rsid w:val="0045468E"/>
    <w:rsid w:val="00457F13"/>
    <w:rsid w:val="004604DA"/>
    <w:rsid w:val="00462267"/>
    <w:rsid w:val="00462B60"/>
    <w:rsid w:val="00466F17"/>
    <w:rsid w:val="00472EDB"/>
    <w:rsid w:val="00474720"/>
    <w:rsid w:val="00480A40"/>
    <w:rsid w:val="004827C9"/>
    <w:rsid w:val="00484B71"/>
    <w:rsid w:val="00485562"/>
    <w:rsid w:val="00485A3F"/>
    <w:rsid w:val="00486F5E"/>
    <w:rsid w:val="004875B9"/>
    <w:rsid w:val="0049101B"/>
    <w:rsid w:val="00491660"/>
    <w:rsid w:val="00491C5F"/>
    <w:rsid w:val="0049341D"/>
    <w:rsid w:val="00493AA8"/>
    <w:rsid w:val="00497952"/>
    <w:rsid w:val="004A2B4E"/>
    <w:rsid w:val="004A40AB"/>
    <w:rsid w:val="004A4AC6"/>
    <w:rsid w:val="004A539A"/>
    <w:rsid w:val="004A74B8"/>
    <w:rsid w:val="004B06C0"/>
    <w:rsid w:val="004B2CB7"/>
    <w:rsid w:val="004B3C97"/>
    <w:rsid w:val="004B4D3B"/>
    <w:rsid w:val="004B5436"/>
    <w:rsid w:val="004C2990"/>
    <w:rsid w:val="004C5E96"/>
    <w:rsid w:val="004C75FA"/>
    <w:rsid w:val="004C7701"/>
    <w:rsid w:val="004C7B42"/>
    <w:rsid w:val="004D05AA"/>
    <w:rsid w:val="004D14C3"/>
    <w:rsid w:val="004D2C8F"/>
    <w:rsid w:val="004D2DA6"/>
    <w:rsid w:val="004D36EE"/>
    <w:rsid w:val="004D43AE"/>
    <w:rsid w:val="004D5EAC"/>
    <w:rsid w:val="004D6EEE"/>
    <w:rsid w:val="004D73E6"/>
    <w:rsid w:val="004D7907"/>
    <w:rsid w:val="004E1ECA"/>
    <w:rsid w:val="004E6CD8"/>
    <w:rsid w:val="004E6F12"/>
    <w:rsid w:val="004E746C"/>
    <w:rsid w:val="004E7533"/>
    <w:rsid w:val="004F0125"/>
    <w:rsid w:val="004F16CA"/>
    <w:rsid w:val="004F4139"/>
    <w:rsid w:val="004F467F"/>
    <w:rsid w:val="004F5920"/>
    <w:rsid w:val="004F682B"/>
    <w:rsid w:val="00500F93"/>
    <w:rsid w:val="005015BF"/>
    <w:rsid w:val="00503593"/>
    <w:rsid w:val="005036B1"/>
    <w:rsid w:val="00506CAD"/>
    <w:rsid w:val="00511177"/>
    <w:rsid w:val="005125C9"/>
    <w:rsid w:val="00512B2C"/>
    <w:rsid w:val="00515BDD"/>
    <w:rsid w:val="00517065"/>
    <w:rsid w:val="00521B9F"/>
    <w:rsid w:val="005268F8"/>
    <w:rsid w:val="005310AC"/>
    <w:rsid w:val="0053626E"/>
    <w:rsid w:val="005370BE"/>
    <w:rsid w:val="005447E4"/>
    <w:rsid w:val="00544936"/>
    <w:rsid w:val="005449A8"/>
    <w:rsid w:val="00545FCE"/>
    <w:rsid w:val="00550116"/>
    <w:rsid w:val="00550D92"/>
    <w:rsid w:val="0055242A"/>
    <w:rsid w:val="005525AE"/>
    <w:rsid w:val="005546C5"/>
    <w:rsid w:val="005558FC"/>
    <w:rsid w:val="00557B59"/>
    <w:rsid w:val="00557D7C"/>
    <w:rsid w:val="00563DFE"/>
    <w:rsid w:val="00565142"/>
    <w:rsid w:val="00567D6A"/>
    <w:rsid w:val="00567D90"/>
    <w:rsid w:val="0057452D"/>
    <w:rsid w:val="00575723"/>
    <w:rsid w:val="00583644"/>
    <w:rsid w:val="00585F11"/>
    <w:rsid w:val="00586A2E"/>
    <w:rsid w:val="005906F9"/>
    <w:rsid w:val="005909E6"/>
    <w:rsid w:val="0059184C"/>
    <w:rsid w:val="005932B4"/>
    <w:rsid w:val="005A03D0"/>
    <w:rsid w:val="005A21D6"/>
    <w:rsid w:val="005A3550"/>
    <w:rsid w:val="005A4DE4"/>
    <w:rsid w:val="005A6204"/>
    <w:rsid w:val="005A6D5A"/>
    <w:rsid w:val="005B41CE"/>
    <w:rsid w:val="005B4D57"/>
    <w:rsid w:val="005B566C"/>
    <w:rsid w:val="005B5DC5"/>
    <w:rsid w:val="005B6286"/>
    <w:rsid w:val="005C1630"/>
    <w:rsid w:val="005C1A54"/>
    <w:rsid w:val="005C2AEB"/>
    <w:rsid w:val="005C4006"/>
    <w:rsid w:val="005C5B70"/>
    <w:rsid w:val="005C6460"/>
    <w:rsid w:val="005D027B"/>
    <w:rsid w:val="005D2A9D"/>
    <w:rsid w:val="005D3400"/>
    <w:rsid w:val="005D3778"/>
    <w:rsid w:val="005D388F"/>
    <w:rsid w:val="005D45F4"/>
    <w:rsid w:val="005D700C"/>
    <w:rsid w:val="005E0F22"/>
    <w:rsid w:val="005E2CB6"/>
    <w:rsid w:val="005E3863"/>
    <w:rsid w:val="005E43F7"/>
    <w:rsid w:val="005E5941"/>
    <w:rsid w:val="005E6D10"/>
    <w:rsid w:val="005E78A2"/>
    <w:rsid w:val="005F5E14"/>
    <w:rsid w:val="006226DE"/>
    <w:rsid w:val="00622773"/>
    <w:rsid w:val="00622C58"/>
    <w:rsid w:val="0062614B"/>
    <w:rsid w:val="006266E2"/>
    <w:rsid w:val="0063037A"/>
    <w:rsid w:val="0063037B"/>
    <w:rsid w:val="00632C54"/>
    <w:rsid w:val="00634082"/>
    <w:rsid w:val="00635616"/>
    <w:rsid w:val="00641E99"/>
    <w:rsid w:val="006463F8"/>
    <w:rsid w:val="00650C88"/>
    <w:rsid w:val="0065258E"/>
    <w:rsid w:val="00653AFB"/>
    <w:rsid w:val="00655035"/>
    <w:rsid w:val="00655623"/>
    <w:rsid w:val="00656814"/>
    <w:rsid w:val="00657A00"/>
    <w:rsid w:val="006633F4"/>
    <w:rsid w:val="00664AEC"/>
    <w:rsid w:val="00664DA3"/>
    <w:rsid w:val="0066638E"/>
    <w:rsid w:val="00666CC0"/>
    <w:rsid w:val="006729B5"/>
    <w:rsid w:val="00673C22"/>
    <w:rsid w:val="0067482D"/>
    <w:rsid w:val="0067732F"/>
    <w:rsid w:val="00681007"/>
    <w:rsid w:val="0068122B"/>
    <w:rsid w:val="00681DD9"/>
    <w:rsid w:val="00682252"/>
    <w:rsid w:val="00682F5C"/>
    <w:rsid w:val="00683022"/>
    <w:rsid w:val="00687555"/>
    <w:rsid w:val="00690AD3"/>
    <w:rsid w:val="00690E39"/>
    <w:rsid w:val="00691FF9"/>
    <w:rsid w:val="0069285F"/>
    <w:rsid w:val="0069752C"/>
    <w:rsid w:val="006A0DE5"/>
    <w:rsid w:val="006A0F5C"/>
    <w:rsid w:val="006A2DD0"/>
    <w:rsid w:val="006A3677"/>
    <w:rsid w:val="006A39BA"/>
    <w:rsid w:val="006A5B27"/>
    <w:rsid w:val="006A6F20"/>
    <w:rsid w:val="006B1653"/>
    <w:rsid w:val="006B31A9"/>
    <w:rsid w:val="006B4E4E"/>
    <w:rsid w:val="006B5952"/>
    <w:rsid w:val="006B6C3C"/>
    <w:rsid w:val="006B6C5F"/>
    <w:rsid w:val="006B7E39"/>
    <w:rsid w:val="006C2072"/>
    <w:rsid w:val="006C43E7"/>
    <w:rsid w:val="006C4820"/>
    <w:rsid w:val="006C5872"/>
    <w:rsid w:val="006C60E0"/>
    <w:rsid w:val="006C676D"/>
    <w:rsid w:val="006C69E2"/>
    <w:rsid w:val="006C7825"/>
    <w:rsid w:val="006D0273"/>
    <w:rsid w:val="006D0335"/>
    <w:rsid w:val="006D767A"/>
    <w:rsid w:val="006E24F2"/>
    <w:rsid w:val="006E2A45"/>
    <w:rsid w:val="006E37D4"/>
    <w:rsid w:val="006E38A4"/>
    <w:rsid w:val="006F3768"/>
    <w:rsid w:val="006F6056"/>
    <w:rsid w:val="006F71DE"/>
    <w:rsid w:val="007006D2"/>
    <w:rsid w:val="00703B40"/>
    <w:rsid w:val="00704573"/>
    <w:rsid w:val="007072CC"/>
    <w:rsid w:val="00710147"/>
    <w:rsid w:val="0071107E"/>
    <w:rsid w:val="00711354"/>
    <w:rsid w:val="0071254A"/>
    <w:rsid w:val="007131D2"/>
    <w:rsid w:val="00713917"/>
    <w:rsid w:val="00715718"/>
    <w:rsid w:val="00717AF8"/>
    <w:rsid w:val="00720F86"/>
    <w:rsid w:val="00722E77"/>
    <w:rsid w:val="007245F1"/>
    <w:rsid w:val="007247B8"/>
    <w:rsid w:val="0072731C"/>
    <w:rsid w:val="0073056C"/>
    <w:rsid w:val="00733C03"/>
    <w:rsid w:val="00735B1F"/>
    <w:rsid w:val="00737502"/>
    <w:rsid w:val="007401DF"/>
    <w:rsid w:val="00740B3A"/>
    <w:rsid w:val="00740C8B"/>
    <w:rsid w:val="00743263"/>
    <w:rsid w:val="00743D46"/>
    <w:rsid w:val="007443CE"/>
    <w:rsid w:val="007454B6"/>
    <w:rsid w:val="0074559E"/>
    <w:rsid w:val="0074789B"/>
    <w:rsid w:val="00754A9D"/>
    <w:rsid w:val="00754ABD"/>
    <w:rsid w:val="00754D3B"/>
    <w:rsid w:val="00754EEA"/>
    <w:rsid w:val="00760D6A"/>
    <w:rsid w:val="00761F29"/>
    <w:rsid w:val="0076343C"/>
    <w:rsid w:val="00763F7C"/>
    <w:rsid w:val="00764C12"/>
    <w:rsid w:val="00770DFE"/>
    <w:rsid w:val="0077504A"/>
    <w:rsid w:val="007750DF"/>
    <w:rsid w:val="0077549B"/>
    <w:rsid w:val="00777C19"/>
    <w:rsid w:val="00782487"/>
    <w:rsid w:val="007833A7"/>
    <w:rsid w:val="00784C8D"/>
    <w:rsid w:val="00785E47"/>
    <w:rsid w:val="007873F5"/>
    <w:rsid w:val="0078760F"/>
    <w:rsid w:val="0079136A"/>
    <w:rsid w:val="00791638"/>
    <w:rsid w:val="007920B2"/>
    <w:rsid w:val="00792AD8"/>
    <w:rsid w:val="00792D84"/>
    <w:rsid w:val="00795030"/>
    <w:rsid w:val="00795A26"/>
    <w:rsid w:val="007A00CB"/>
    <w:rsid w:val="007A312F"/>
    <w:rsid w:val="007A3664"/>
    <w:rsid w:val="007A7EAB"/>
    <w:rsid w:val="007B5238"/>
    <w:rsid w:val="007B6B85"/>
    <w:rsid w:val="007B7EF8"/>
    <w:rsid w:val="007C0AED"/>
    <w:rsid w:val="007C0BEE"/>
    <w:rsid w:val="007C42F3"/>
    <w:rsid w:val="007C4FA7"/>
    <w:rsid w:val="007C5531"/>
    <w:rsid w:val="007C63A0"/>
    <w:rsid w:val="007C6D52"/>
    <w:rsid w:val="007C6F91"/>
    <w:rsid w:val="007C72C0"/>
    <w:rsid w:val="007D034D"/>
    <w:rsid w:val="007D12ED"/>
    <w:rsid w:val="007D2F9C"/>
    <w:rsid w:val="007D33E0"/>
    <w:rsid w:val="007E1757"/>
    <w:rsid w:val="007E18CC"/>
    <w:rsid w:val="007E1E34"/>
    <w:rsid w:val="007F1998"/>
    <w:rsid w:val="007F2034"/>
    <w:rsid w:val="007F3CF9"/>
    <w:rsid w:val="007F4683"/>
    <w:rsid w:val="007F55A4"/>
    <w:rsid w:val="007F75B3"/>
    <w:rsid w:val="007F7C5E"/>
    <w:rsid w:val="00800BF1"/>
    <w:rsid w:val="008016BA"/>
    <w:rsid w:val="0080316C"/>
    <w:rsid w:val="0080587F"/>
    <w:rsid w:val="00806B14"/>
    <w:rsid w:val="008072AE"/>
    <w:rsid w:val="008114D4"/>
    <w:rsid w:val="0081234D"/>
    <w:rsid w:val="00812D2D"/>
    <w:rsid w:val="008144A0"/>
    <w:rsid w:val="008154BF"/>
    <w:rsid w:val="00817A64"/>
    <w:rsid w:val="008202F7"/>
    <w:rsid w:val="008247A4"/>
    <w:rsid w:val="00824D12"/>
    <w:rsid w:val="00825D47"/>
    <w:rsid w:val="008272A6"/>
    <w:rsid w:val="0083258C"/>
    <w:rsid w:val="00833D6C"/>
    <w:rsid w:val="00840416"/>
    <w:rsid w:val="00841328"/>
    <w:rsid w:val="00841CCC"/>
    <w:rsid w:val="00844377"/>
    <w:rsid w:val="008443EF"/>
    <w:rsid w:val="00845034"/>
    <w:rsid w:val="00846F90"/>
    <w:rsid w:val="00852FB9"/>
    <w:rsid w:val="008536B7"/>
    <w:rsid w:val="00860F34"/>
    <w:rsid w:val="00862AC4"/>
    <w:rsid w:val="0086319B"/>
    <w:rsid w:val="00865E53"/>
    <w:rsid w:val="008674A6"/>
    <w:rsid w:val="0087210F"/>
    <w:rsid w:val="00872D01"/>
    <w:rsid w:val="0087564D"/>
    <w:rsid w:val="00876000"/>
    <w:rsid w:val="008859D3"/>
    <w:rsid w:val="0089108B"/>
    <w:rsid w:val="00892EE6"/>
    <w:rsid w:val="008931B4"/>
    <w:rsid w:val="00893A6C"/>
    <w:rsid w:val="008973A2"/>
    <w:rsid w:val="008A0E76"/>
    <w:rsid w:val="008A3FC6"/>
    <w:rsid w:val="008A42FE"/>
    <w:rsid w:val="008A4F23"/>
    <w:rsid w:val="008A67DE"/>
    <w:rsid w:val="008A713B"/>
    <w:rsid w:val="008B4FBE"/>
    <w:rsid w:val="008B5958"/>
    <w:rsid w:val="008B6039"/>
    <w:rsid w:val="008C2555"/>
    <w:rsid w:val="008C29FB"/>
    <w:rsid w:val="008C5B87"/>
    <w:rsid w:val="008C6444"/>
    <w:rsid w:val="008D0448"/>
    <w:rsid w:val="008D0677"/>
    <w:rsid w:val="008D0C9E"/>
    <w:rsid w:val="008D2774"/>
    <w:rsid w:val="008D2F03"/>
    <w:rsid w:val="008D5373"/>
    <w:rsid w:val="008D6762"/>
    <w:rsid w:val="008E30D8"/>
    <w:rsid w:val="008E447C"/>
    <w:rsid w:val="008E596E"/>
    <w:rsid w:val="008E6741"/>
    <w:rsid w:val="008E7DB1"/>
    <w:rsid w:val="008F04C5"/>
    <w:rsid w:val="008F125D"/>
    <w:rsid w:val="008F4369"/>
    <w:rsid w:val="008F54AB"/>
    <w:rsid w:val="008F7D96"/>
    <w:rsid w:val="00901E9C"/>
    <w:rsid w:val="00906F79"/>
    <w:rsid w:val="00907369"/>
    <w:rsid w:val="00910B12"/>
    <w:rsid w:val="00911023"/>
    <w:rsid w:val="00912404"/>
    <w:rsid w:val="0091288F"/>
    <w:rsid w:val="0091539C"/>
    <w:rsid w:val="0092071D"/>
    <w:rsid w:val="00920B9A"/>
    <w:rsid w:val="0092333F"/>
    <w:rsid w:val="00924157"/>
    <w:rsid w:val="009249C5"/>
    <w:rsid w:val="00925558"/>
    <w:rsid w:val="00925B25"/>
    <w:rsid w:val="009263C9"/>
    <w:rsid w:val="00930B2A"/>
    <w:rsid w:val="00932BB1"/>
    <w:rsid w:val="00936F03"/>
    <w:rsid w:val="0094018B"/>
    <w:rsid w:val="009418E3"/>
    <w:rsid w:val="009435BB"/>
    <w:rsid w:val="00943B02"/>
    <w:rsid w:val="00952486"/>
    <w:rsid w:val="0095333F"/>
    <w:rsid w:val="00953429"/>
    <w:rsid w:val="009536A6"/>
    <w:rsid w:val="009539A4"/>
    <w:rsid w:val="009569E3"/>
    <w:rsid w:val="00960035"/>
    <w:rsid w:val="0096040F"/>
    <w:rsid w:val="00960FBB"/>
    <w:rsid w:val="0096145A"/>
    <w:rsid w:val="009632EF"/>
    <w:rsid w:val="009636B6"/>
    <w:rsid w:val="00973D8A"/>
    <w:rsid w:val="009804B4"/>
    <w:rsid w:val="00980709"/>
    <w:rsid w:val="0098278C"/>
    <w:rsid w:val="009828DC"/>
    <w:rsid w:val="009861BC"/>
    <w:rsid w:val="00987677"/>
    <w:rsid w:val="00991819"/>
    <w:rsid w:val="00992095"/>
    <w:rsid w:val="00992BBB"/>
    <w:rsid w:val="009964E4"/>
    <w:rsid w:val="00996B34"/>
    <w:rsid w:val="009A0FC8"/>
    <w:rsid w:val="009A2372"/>
    <w:rsid w:val="009A2C97"/>
    <w:rsid w:val="009A42F1"/>
    <w:rsid w:val="009A4BBB"/>
    <w:rsid w:val="009A5571"/>
    <w:rsid w:val="009A7878"/>
    <w:rsid w:val="009B0CDC"/>
    <w:rsid w:val="009B1729"/>
    <w:rsid w:val="009B2027"/>
    <w:rsid w:val="009B56C9"/>
    <w:rsid w:val="009B656F"/>
    <w:rsid w:val="009C01EF"/>
    <w:rsid w:val="009C050D"/>
    <w:rsid w:val="009C06D3"/>
    <w:rsid w:val="009C1312"/>
    <w:rsid w:val="009C6DFD"/>
    <w:rsid w:val="009C7060"/>
    <w:rsid w:val="009D13F8"/>
    <w:rsid w:val="009D399A"/>
    <w:rsid w:val="009D4A50"/>
    <w:rsid w:val="009D57AB"/>
    <w:rsid w:val="009D5FD0"/>
    <w:rsid w:val="009D66BC"/>
    <w:rsid w:val="009E53AF"/>
    <w:rsid w:val="009E5B14"/>
    <w:rsid w:val="009E6D4B"/>
    <w:rsid w:val="009E6DF5"/>
    <w:rsid w:val="009F02C5"/>
    <w:rsid w:val="009F076C"/>
    <w:rsid w:val="009F27E4"/>
    <w:rsid w:val="009F34CC"/>
    <w:rsid w:val="009F3C4D"/>
    <w:rsid w:val="009F479E"/>
    <w:rsid w:val="009F66D9"/>
    <w:rsid w:val="00A01990"/>
    <w:rsid w:val="00A035A3"/>
    <w:rsid w:val="00A1128F"/>
    <w:rsid w:val="00A139F2"/>
    <w:rsid w:val="00A16440"/>
    <w:rsid w:val="00A169AC"/>
    <w:rsid w:val="00A2231D"/>
    <w:rsid w:val="00A2334F"/>
    <w:rsid w:val="00A250AA"/>
    <w:rsid w:val="00A277E6"/>
    <w:rsid w:val="00A30A8F"/>
    <w:rsid w:val="00A3174A"/>
    <w:rsid w:val="00A337FD"/>
    <w:rsid w:val="00A35A28"/>
    <w:rsid w:val="00A368EF"/>
    <w:rsid w:val="00A36AA1"/>
    <w:rsid w:val="00A41505"/>
    <w:rsid w:val="00A4414C"/>
    <w:rsid w:val="00A47EF1"/>
    <w:rsid w:val="00A51D29"/>
    <w:rsid w:val="00A54D46"/>
    <w:rsid w:val="00A56998"/>
    <w:rsid w:val="00A56D51"/>
    <w:rsid w:val="00A60D18"/>
    <w:rsid w:val="00A61207"/>
    <w:rsid w:val="00A61700"/>
    <w:rsid w:val="00A6285C"/>
    <w:rsid w:val="00A65BFB"/>
    <w:rsid w:val="00A663F3"/>
    <w:rsid w:val="00A669F1"/>
    <w:rsid w:val="00A67489"/>
    <w:rsid w:val="00A7268C"/>
    <w:rsid w:val="00A74365"/>
    <w:rsid w:val="00A745BF"/>
    <w:rsid w:val="00A74A79"/>
    <w:rsid w:val="00A74E46"/>
    <w:rsid w:val="00A81524"/>
    <w:rsid w:val="00A81D60"/>
    <w:rsid w:val="00A863AF"/>
    <w:rsid w:val="00A90163"/>
    <w:rsid w:val="00A9376D"/>
    <w:rsid w:val="00A97DA7"/>
    <w:rsid w:val="00AA1AC0"/>
    <w:rsid w:val="00AA39FC"/>
    <w:rsid w:val="00AA3B66"/>
    <w:rsid w:val="00AA5803"/>
    <w:rsid w:val="00AA584F"/>
    <w:rsid w:val="00AA5FA5"/>
    <w:rsid w:val="00AB13CB"/>
    <w:rsid w:val="00AB2843"/>
    <w:rsid w:val="00AB3118"/>
    <w:rsid w:val="00AB4ADB"/>
    <w:rsid w:val="00AB6E2E"/>
    <w:rsid w:val="00AB6F32"/>
    <w:rsid w:val="00AC118B"/>
    <w:rsid w:val="00AC2A83"/>
    <w:rsid w:val="00AC46C7"/>
    <w:rsid w:val="00AC5B71"/>
    <w:rsid w:val="00AC5F18"/>
    <w:rsid w:val="00AC6ED5"/>
    <w:rsid w:val="00AD446E"/>
    <w:rsid w:val="00AE00AE"/>
    <w:rsid w:val="00AE03CA"/>
    <w:rsid w:val="00AE56E1"/>
    <w:rsid w:val="00AE6C9A"/>
    <w:rsid w:val="00AF2207"/>
    <w:rsid w:val="00AF2612"/>
    <w:rsid w:val="00AF2A61"/>
    <w:rsid w:val="00AF30D9"/>
    <w:rsid w:val="00AF498A"/>
    <w:rsid w:val="00AF4FA7"/>
    <w:rsid w:val="00AF63BF"/>
    <w:rsid w:val="00AF6B3B"/>
    <w:rsid w:val="00AF75AE"/>
    <w:rsid w:val="00AF79DD"/>
    <w:rsid w:val="00AF7F2C"/>
    <w:rsid w:val="00AF7F46"/>
    <w:rsid w:val="00B0178C"/>
    <w:rsid w:val="00B019F0"/>
    <w:rsid w:val="00B02885"/>
    <w:rsid w:val="00B04EC7"/>
    <w:rsid w:val="00B06440"/>
    <w:rsid w:val="00B10663"/>
    <w:rsid w:val="00B1231F"/>
    <w:rsid w:val="00B17927"/>
    <w:rsid w:val="00B2113E"/>
    <w:rsid w:val="00B2123B"/>
    <w:rsid w:val="00B2410E"/>
    <w:rsid w:val="00B2587A"/>
    <w:rsid w:val="00B2727D"/>
    <w:rsid w:val="00B276CD"/>
    <w:rsid w:val="00B301A2"/>
    <w:rsid w:val="00B31350"/>
    <w:rsid w:val="00B315A8"/>
    <w:rsid w:val="00B32C3E"/>
    <w:rsid w:val="00B338C2"/>
    <w:rsid w:val="00B40B9F"/>
    <w:rsid w:val="00B41D37"/>
    <w:rsid w:val="00B43C5A"/>
    <w:rsid w:val="00B45128"/>
    <w:rsid w:val="00B47CEC"/>
    <w:rsid w:val="00B53DB3"/>
    <w:rsid w:val="00B547AC"/>
    <w:rsid w:val="00B60E52"/>
    <w:rsid w:val="00B66AF2"/>
    <w:rsid w:val="00B72848"/>
    <w:rsid w:val="00B74544"/>
    <w:rsid w:val="00B77754"/>
    <w:rsid w:val="00B81054"/>
    <w:rsid w:val="00B820DB"/>
    <w:rsid w:val="00B837F0"/>
    <w:rsid w:val="00B83896"/>
    <w:rsid w:val="00B860A9"/>
    <w:rsid w:val="00B867C2"/>
    <w:rsid w:val="00B87098"/>
    <w:rsid w:val="00B91517"/>
    <w:rsid w:val="00B93299"/>
    <w:rsid w:val="00B95445"/>
    <w:rsid w:val="00B97264"/>
    <w:rsid w:val="00BA0143"/>
    <w:rsid w:val="00BA227A"/>
    <w:rsid w:val="00BA2346"/>
    <w:rsid w:val="00BA2A24"/>
    <w:rsid w:val="00BA36AC"/>
    <w:rsid w:val="00BA4C69"/>
    <w:rsid w:val="00BA5FBF"/>
    <w:rsid w:val="00BA61AF"/>
    <w:rsid w:val="00BB1630"/>
    <w:rsid w:val="00BB1B90"/>
    <w:rsid w:val="00BB3567"/>
    <w:rsid w:val="00BB6860"/>
    <w:rsid w:val="00BB7814"/>
    <w:rsid w:val="00BB79F4"/>
    <w:rsid w:val="00BC3256"/>
    <w:rsid w:val="00BC3592"/>
    <w:rsid w:val="00BC36DF"/>
    <w:rsid w:val="00BC4B41"/>
    <w:rsid w:val="00BC5D4E"/>
    <w:rsid w:val="00BC66ED"/>
    <w:rsid w:val="00BC771D"/>
    <w:rsid w:val="00BD11D3"/>
    <w:rsid w:val="00BD187A"/>
    <w:rsid w:val="00BD2B47"/>
    <w:rsid w:val="00BD2CAA"/>
    <w:rsid w:val="00BD3684"/>
    <w:rsid w:val="00BD3B65"/>
    <w:rsid w:val="00BD6B17"/>
    <w:rsid w:val="00BE0E39"/>
    <w:rsid w:val="00BE1C5C"/>
    <w:rsid w:val="00BE3E67"/>
    <w:rsid w:val="00BE50E6"/>
    <w:rsid w:val="00BE61B2"/>
    <w:rsid w:val="00BE7CC3"/>
    <w:rsid w:val="00BF077F"/>
    <w:rsid w:val="00BF2B0D"/>
    <w:rsid w:val="00BF3E68"/>
    <w:rsid w:val="00BF42F4"/>
    <w:rsid w:val="00BF467B"/>
    <w:rsid w:val="00BF4E3B"/>
    <w:rsid w:val="00BF5454"/>
    <w:rsid w:val="00BF7EC9"/>
    <w:rsid w:val="00C00D8A"/>
    <w:rsid w:val="00C01C49"/>
    <w:rsid w:val="00C05650"/>
    <w:rsid w:val="00C066E6"/>
    <w:rsid w:val="00C107FE"/>
    <w:rsid w:val="00C110C0"/>
    <w:rsid w:val="00C12370"/>
    <w:rsid w:val="00C15000"/>
    <w:rsid w:val="00C15897"/>
    <w:rsid w:val="00C1616B"/>
    <w:rsid w:val="00C16B21"/>
    <w:rsid w:val="00C16DFC"/>
    <w:rsid w:val="00C1742E"/>
    <w:rsid w:val="00C2079E"/>
    <w:rsid w:val="00C221CD"/>
    <w:rsid w:val="00C23E2D"/>
    <w:rsid w:val="00C24FB6"/>
    <w:rsid w:val="00C27729"/>
    <w:rsid w:val="00C312FA"/>
    <w:rsid w:val="00C332C4"/>
    <w:rsid w:val="00C334F5"/>
    <w:rsid w:val="00C35A03"/>
    <w:rsid w:val="00C36A05"/>
    <w:rsid w:val="00C40BA5"/>
    <w:rsid w:val="00C42CE5"/>
    <w:rsid w:val="00C432D9"/>
    <w:rsid w:val="00C44166"/>
    <w:rsid w:val="00C45B5B"/>
    <w:rsid w:val="00C46F26"/>
    <w:rsid w:val="00C47C66"/>
    <w:rsid w:val="00C51687"/>
    <w:rsid w:val="00C5289C"/>
    <w:rsid w:val="00C5301A"/>
    <w:rsid w:val="00C56008"/>
    <w:rsid w:val="00C56CBC"/>
    <w:rsid w:val="00C5777F"/>
    <w:rsid w:val="00C617B0"/>
    <w:rsid w:val="00C61852"/>
    <w:rsid w:val="00C62D2B"/>
    <w:rsid w:val="00C6344F"/>
    <w:rsid w:val="00C659E2"/>
    <w:rsid w:val="00C669AD"/>
    <w:rsid w:val="00C713B4"/>
    <w:rsid w:val="00C72510"/>
    <w:rsid w:val="00C731CA"/>
    <w:rsid w:val="00C77A6B"/>
    <w:rsid w:val="00C816E6"/>
    <w:rsid w:val="00C82587"/>
    <w:rsid w:val="00C83918"/>
    <w:rsid w:val="00C84097"/>
    <w:rsid w:val="00C87FA4"/>
    <w:rsid w:val="00C90932"/>
    <w:rsid w:val="00C9181A"/>
    <w:rsid w:val="00C9487D"/>
    <w:rsid w:val="00C955CB"/>
    <w:rsid w:val="00C95664"/>
    <w:rsid w:val="00C96E53"/>
    <w:rsid w:val="00C97803"/>
    <w:rsid w:val="00CA1597"/>
    <w:rsid w:val="00CA25CC"/>
    <w:rsid w:val="00CA2BA2"/>
    <w:rsid w:val="00CA3ACE"/>
    <w:rsid w:val="00CA5FFF"/>
    <w:rsid w:val="00CA7F86"/>
    <w:rsid w:val="00CB32EF"/>
    <w:rsid w:val="00CB6461"/>
    <w:rsid w:val="00CC1BDF"/>
    <w:rsid w:val="00CC2180"/>
    <w:rsid w:val="00CC21EC"/>
    <w:rsid w:val="00CC3D42"/>
    <w:rsid w:val="00CC482B"/>
    <w:rsid w:val="00CC752E"/>
    <w:rsid w:val="00CD105E"/>
    <w:rsid w:val="00CD4AE6"/>
    <w:rsid w:val="00CD5211"/>
    <w:rsid w:val="00CD57F9"/>
    <w:rsid w:val="00CD5CD1"/>
    <w:rsid w:val="00CE0BB8"/>
    <w:rsid w:val="00CE20FF"/>
    <w:rsid w:val="00CE54E0"/>
    <w:rsid w:val="00CE5835"/>
    <w:rsid w:val="00CE6FA1"/>
    <w:rsid w:val="00CF1938"/>
    <w:rsid w:val="00CF24CD"/>
    <w:rsid w:val="00CF3227"/>
    <w:rsid w:val="00CF3FC5"/>
    <w:rsid w:val="00D01C9A"/>
    <w:rsid w:val="00D01F0A"/>
    <w:rsid w:val="00D02D38"/>
    <w:rsid w:val="00D118CD"/>
    <w:rsid w:val="00D13012"/>
    <w:rsid w:val="00D14159"/>
    <w:rsid w:val="00D14990"/>
    <w:rsid w:val="00D22380"/>
    <w:rsid w:val="00D24268"/>
    <w:rsid w:val="00D25BE6"/>
    <w:rsid w:val="00D26E46"/>
    <w:rsid w:val="00D321DB"/>
    <w:rsid w:val="00D32460"/>
    <w:rsid w:val="00D32EBF"/>
    <w:rsid w:val="00D343B3"/>
    <w:rsid w:val="00D34E23"/>
    <w:rsid w:val="00D35073"/>
    <w:rsid w:val="00D35D90"/>
    <w:rsid w:val="00D36085"/>
    <w:rsid w:val="00D421D9"/>
    <w:rsid w:val="00D436C7"/>
    <w:rsid w:val="00D47529"/>
    <w:rsid w:val="00D47713"/>
    <w:rsid w:val="00D51103"/>
    <w:rsid w:val="00D52E7E"/>
    <w:rsid w:val="00D53B1C"/>
    <w:rsid w:val="00D53D30"/>
    <w:rsid w:val="00D55A7A"/>
    <w:rsid w:val="00D568D5"/>
    <w:rsid w:val="00D56B6F"/>
    <w:rsid w:val="00D57878"/>
    <w:rsid w:val="00D60AB7"/>
    <w:rsid w:val="00D610BF"/>
    <w:rsid w:val="00D6226F"/>
    <w:rsid w:val="00D64C28"/>
    <w:rsid w:val="00D67A31"/>
    <w:rsid w:val="00D70E15"/>
    <w:rsid w:val="00D714E5"/>
    <w:rsid w:val="00D7546D"/>
    <w:rsid w:val="00D75C54"/>
    <w:rsid w:val="00D76AD7"/>
    <w:rsid w:val="00D77785"/>
    <w:rsid w:val="00D8081B"/>
    <w:rsid w:val="00D839C5"/>
    <w:rsid w:val="00D84043"/>
    <w:rsid w:val="00D8533A"/>
    <w:rsid w:val="00D91348"/>
    <w:rsid w:val="00D9398D"/>
    <w:rsid w:val="00D9566D"/>
    <w:rsid w:val="00DA0EF7"/>
    <w:rsid w:val="00DA10FE"/>
    <w:rsid w:val="00DA2D45"/>
    <w:rsid w:val="00DA38F3"/>
    <w:rsid w:val="00DA4B3F"/>
    <w:rsid w:val="00DA4EB6"/>
    <w:rsid w:val="00DA5F0C"/>
    <w:rsid w:val="00DB20EB"/>
    <w:rsid w:val="00DB33F6"/>
    <w:rsid w:val="00DB38CC"/>
    <w:rsid w:val="00DC0526"/>
    <w:rsid w:val="00DC08B6"/>
    <w:rsid w:val="00DC277F"/>
    <w:rsid w:val="00DD0950"/>
    <w:rsid w:val="00DD0BFE"/>
    <w:rsid w:val="00DD29B1"/>
    <w:rsid w:val="00DD4AF9"/>
    <w:rsid w:val="00DD5DF4"/>
    <w:rsid w:val="00DD5EE9"/>
    <w:rsid w:val="00DD7497"/>
    <w:rsid w:val="00DD74F1"/>
    <w:rsid w:val="00DD782F"/>
    <w:rsid w:val="00DE0414"/>
    <w:rsid w:val="00DE0982"/>
    <w:rsid w:val="00DE1434"/>
    <w:rsid w:val="00DE1D11"/>
    <w:rsid w:val="00DE28ED"/>
    <w:rsid w:val="00DE419E"/>
    <w:rsid w:val="00DE44C3"/>
    <w:rsid w:val="00DE4D5E"/>
    <w:rsid w:val="00DE76BB"/>
    <w:rsid w:val="00DF117E"/>
    <w:rsid w:val="00DF139C"/>
    <w:rsid w:val="00DF24FD"/>
    <w:rsid w:val="00DF7D53"/>
    <w:rsid w:val="00E10C6B"/>
    <w:rsid w:val="00E12F22"/>
    <w:rsid w:val="00E15544"/>
    <w:rsid w:val="00E15745"/>
    <w:rsid w:val="00E165FC"/>
    <w:rsid w:val="00E168D7"/>
    <w:rsid w:val="00E177C7"/>
    <w:rsid w:val="00E23A47"/>
    <w:rsid w:val="00E23E0E"/>
    <w:rsid w:val="00E2482B"/>
    <w:rsid w:val="00E2592B"/>
    <w:rsid w:val="00E25D98"/>
    <w:rsid w:val="00E264F8"/>
    <w:rsid w:val="00E30C52"/>
    <w:rsid w:val="00E33666"/>
    <w:rsid w:val="00E3771A"/>
    <w:rsid w:val="00E40159"/>
    <w:rsid w:val="00E40B45"/>
    <w:rsid w:val="00E41637"/>
    <w:rsid w:val="00E43102"/>
    <w:rsid w:val="00E435A6"/>
    <w:rsid w:val="00E4478A"/>
    <w:rsid w:val="00E4570B"/>
    <w:rsid w:val="00E50C30"/>
    <w:rsid w:val="00E51410"/>
    <w:rsid w:val="00E515E7"/>
    <w:rsid w:val="00E53E51"/>
    <w:rsid w:val="00E5580D"/>
    <w:rsid w:val="00E56402"/>
    <w:rsid w:val="00E56CB5"/>
    <w:rsid w:val="00E575D3"/>
    <w:rsid w:val="00E61828"/>
    <w:rsid w:val="00E65E56"/>
    <w:rsid w:val="00E664D0"/>
    <w:rsid w:val="00E66F94"/>
    <w:rsid w:val="00E670E5"/>
    <w:rsid w:val="00E6767D"/>
    <w:rsid w:val="00E717C1"/>
    <w:rsid w:val="00E71E63"/>
    <w:rsid w:val="00E76D4C"/>
    <w:rsid w:val="00E81786"/>
    <w:rsid w:val="00E85DE5"/>
    <w:rsid w:val="00E873EA"/>
    <w:rsid w:val="00E90EC0"/>
    <w:rsid w:val="00E92D46"/>
    <w:rsid w:val="00E944C1"/>
    <w:rsid w:val="00E957DD"/>
    <w:rsid w:val="00E95A1C"/>
    <w:rsid w:val="00E96135"/>
    <w:rsid w:val="00E97D8B"/>
    <w:rsid w:val="00EA5878"/>
    <w:rsid w:val="00EA6D3F"/>
    <w:rsid w:val="00EA7F55"/>
    <w:rsid w:val="00EB087B"/>
    <w:rsid w:val="00EB1CE6"/>
    <w:rsid w:val="00EB1F19"/>
    <w:rsid w:val="00EB7333"/>
    <w:rsid w:val="00EB7375"/>
    <w:rsid w:val="00EC06EA"/>
    <w:rsid w:val="00EC2357"/>
    <w:rsid w:val="00EC2660"/>
    <w:rsid w:val="00EC3057"/>
    <w:rsid w:val="00EC47C5"/>
    <w:rsid w:val="00ED087B"/>
    <w:rsid w:val="00ED5626"/>
    <w:rsid w:val="00ED5727"/>
    <w:rsid w:val="00ED5B51"/>
    <w:rsid w:val="00ED5EB9"/>
    <w:rsid w:val="00ED6BFE"/>
    <w:rsid w:val="00ED7FE5"/>
    <w:rsid w:val="00EE0176"/>
    <w:rsid w:val="00EE17BD"/>
    <w:rsid w:val="00EE27D8"/>
    <w:rsid w:val="00EE32BD"/>
    <w:rsid w:val="00EE5542"/>
    <w:rsid w:val="00EE5807"/>
    <w:rsid w:val="00EE598B"/>
    <w:rsid w:val="00EE6872"/>
    <w:rsid w:val="00EF0191"/>
    <w:rsid w:val="00EF09CC"/>
    <w:rsid w:val="00EF09D7"/>
    <w:rsid w:val="00EF0F91"/>
    <w:rsid w:val="00EF3BD6"/>
    <w:rsid w:val="00F00A14"/>
    <w:rsid w:val="00F021AF"/>
    <w:rsid w:val="00F04FB4"/>
    <w:rsid w:val="00F0539D"/>
    <w:rsid w:val="00F05A12"/>
    <w:rsid w:val="00F0685D"/>
    <w:rsid w:val="00F06A5D"/>
    <w:rsid w:val="00F0700E"/>
    <w:rsid w:val="00F124C2"/>
    <w:rsid w:val="00F14A61"/>
    <w:rsid w:val="00F17B58"/>
    <w:rsid w:val="00F20F0B"/>
    <w:rsid w:val="00F24B23"/>
    <w:rsid w:val="00F25A3F"/>
    <w:rsid w:val="00F27353"/>
    <w:rsid w:val="00F31B7D"/>
    <w:rsid w:val="00F32A17"/>
    <w:rsid w:val="00F34726"/>
    <w:rsid w:val="00F349CE"/>
    <w:rsid w:val="00F34BAA"/>
    <w:rsid w:val="00F35345"/>
    <w:rsid w:val="00F355CA"/>
    <w:rsid w:val="00F355FB"/>
    <w:rsid w:val="00F3765A"/>
    <w:rsid w:val="00F40C6B"/>
    <w:rsid w:val="00F41113"/>
    <w:rsid w:val="00F41C52"/>
    <w:rsid w:val="00F44385"/>
    <w:rsid w:val="00F45C61"/>
    <w:rsid w:val="00F51138"/>
    <w:rsid w:val="00F5306F"/>
    <w:rsid w:val="00F532A6"/>
    <w:rsid w:val="00F569D6"/>
    <w:rsid w:val="00F57FCC"/>
    <w:rsid w:val="00F61907"/>
    <w:rsid w:val="00F61AB2"/>
    <w:rsid w:val="00F65464"/>
    <w:rsid w:val="00F70076"/>
    <w:rsid w:val="00F70E1C"/>
    <w:rsid w:val="00F72FCE"/>
    <w:rsid w:val="00F734F9"/>
    <w:rsid w:val="00F73F90"/>
    <w:rsid w:val="00F74D13"/>
    <w:rsid w:val="00F80FBD"/>
    <w:rsid w:val="00F82AB3"/>
    <w:rsid w:val="00F84977"/>
    <w:rsid w:val="00F849FF"/>
    <w:rsid w:val="00F85910"/>
    <w:rsid w:val="00F86F4B"/>
    <w:rsid w:val="00F86F58"/>
    <w:rsid w:val="00F933B2"/>
    <w:rsid w:val="00F936BB"/>
    <w:rsid w:val="00F93BAD"/>
    <w:rsid w:val="00F941DD"/>
    <w:rsid w:val="00F943E7"/>
    <w:rsid w:val="00F95311"/>
    <w:rsid w:val="00F95F8F"/>
    <w:rsid w:val="00FA0A18"/>
    <w:rsid w:val="00FA1BBD"/>
    <w:rsid w:val="00FA2AAA"/>
    <w:rsid w:val="00FA441E"/>
    <w:rsid w:val="00FA66F4"/>
    <w:rsid w:val="00FA67BF"/>
    <w:rsid w:val="00FA70EC"/>
    <w:rsid w:val="00FB095A"/>
    <w:rsid w:val="00FB0B23"/>
    <w:rsid w:val="00FB65BF"/>
    <w:rsid w:val="00FC1707"/>
    <w:rsid w:val="00FC1C82"/>
    <w:rsid w:val="00FC1D2F"/>
    <w:rsid w:val="00FC45AC"/>
    <w:rsid w:val="00FC4CFF"/>
    <w:rsid w:val="00FC5DE9"/>
    <w:rsid w:val="00FC7058"/>
    <w:rsid w:val="00FD0415"/>
    <w:rsid w:val="00FD082A"/>
    <w:rsid w:val="00FD3215"/>
    <w:rsid w:val="00FD44E2"/>
    <w:rsid w:val="00FD48FA"/>
    <w:rsid w:val="00FD73C3"/>
    <w:rsid w:val="00FE2FD3"/>
    <w:rsid w:val="00FE4A3C"/>
    <w:rsid w:val="00FE5699"/>
    <w:rsid w:val="00FE57BD"/>
    <w:rsid w:val="00FE6A47"/>
    <w:rsid w:val="00FE6DE0"/>
    <w:rsid w:val="00FF06B2"/>
    <w:rsid w:val="00FF2542"/>
    <w:rsid w:val="00FF29EF"/>
    <w:rsid w:val="00FF3D23"/>
    <w:rsid w:val="00FF530C"/>
    <w:rsid w:val="00FF5F32"/>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BAB013"/>
  <w15:chartTrackingRefBased/>
  <w15:docId w15:val="{4A496F62-4C1E-E042-A157-78850D09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333F"/>
    <w:pPr>
      <w:spacing w:after="0" w:line="240" w:lineRule="auto"/>
    </w:pPr>
    <w:rPr>
      <w:rFonts w:ascii="Georgia" w:hAnsi="Georgia" w:cs="Calibri"/>
    </w:rPr>
  </w:style>
  <w:style w:type="paragraph" w:styleId="Heading1">
    <w:name w:val="heading 1"/>
    <w:aliases w:val="Pocket"/>
    <w:basedOn w:val="Normal"/>
    <w:next w:val="Normal"/>
    <w:link w:val="Heading1Char"/>
    <w:qFormat/>
    <w:rsid w:val="009533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qFormat/>
    <w:rsid w:val="0095333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95333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no read,No Spacing12,No Spacing211,No Spacing2111,TAG,No Spacing4,No Spacing11111,ta,Heading 2 Char1 Char Char,No Spacing1121,small space,t,Ta,T,card,Medium Grid 21, Ch"/>
    <w:basedOn w:val="Normal"/>
    <w:next w:val="Normal"/>
    <w:link w:val="Heading4Char"/>
    <w:uiPriority w:val="3"/>
    <w:qFormat/>
    <w:rsid w:val="0095333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333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533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333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5333F"/>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95333F"/>
    <w:rPr>
      <w:color w:val="auto"/>
      <w:u w:val="none"/>
    </w:rPr>
  </w:style>
  <w:style w:type="character" w:customStyle="1" w:styleId="Heading1Char">
    <w:name w:val="Heading 1 Char"/>
    <w:aliases w:val="Pocket Char"/>
    <w:basedOn w:val="DefaultParagraphFont"/>
    <w:link w:val="Heading1"/>
    <w:rsid w:val="0095333F"/>
    <w:rPr>
      <w:rFonts w:ascii="Georgia" w:eastAsiaTheme="majorEastAsia" w:hAnsi="Georgia"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95333F"/>
    <w:rPr>
      <w:rFonts w:ascii="Georgia" w:eastAsiaTheme="majorEastAsia" w:hAnsi="Georgia"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95333F"/>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Ch Char,Heading 2 Char2 Char Char,no read Char,No Spacing12 Char,No Spacing211 Char,No Spacing2111 Char,TAG Char,No Spacing4 Char,No Spacing11111 Char,ta Char"/>
    <w:basedOn w:val="DefaultParagraphFont"/>
    <w:link w:val="Heading4"/>
    <w:uiPriority w:val="3"/>
    <w:rsid w:val="0095333F"/>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5333F"/>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95333F"/>
    <w:rPr>
      <w:b w:val="0"/>
      <w:sz w:val="22"/>
      <w:u w:val="single"/>
    </w:rPr>
  </w:style>
  <w:style w:type="character" w:styleId="Strong">
    <w:name w:val="Strong"/>
    <w:basedOn w:val="DefaultParagraphFont"/>
    <w:uiPriority w:val="22"/>
    <w:qFormat/>
    <w:rsid w:val="0095333F"/>
    <w:rPr>
      <w:b/>
      <w:bCs/>
    </w:rPr>
  </w:style>
  <w:style w:type="character" w:styleId="BookTitle">
    <w:name w:val="Book Title"/>
    <w:basedOn w:val="DefaultParagraphFont"/>
    <w:uiPriority w:val="33"/>
    <w:semiHidden/>
    <w:qFormat/>
    <w:rsid w:val="0095333F"/>
    <w:rPr>
      <w:b/>
      <w:bCs/>
      <w:i/>
      <w:iCs/>
      <w:spacing w:val="5"/>
    </w:rPr>
  </w:style>
  <w:style w:type="character" w:customStyle="1" w:styleId="Heading5Char">
    <w:name w:val="Heading 5 Char"/>
    <w:basedOn w:val="DefaultParagraphFont"/>
    <w:link w:val="Heading5"/>
    <w:uiPriority w:val="9"/>
    <w:semiHidden/>
    <w:rsid w:val="009533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333F"/>
  </w:style>
  <w:style w:type="paragraph" w:styleId="Header">
    <w:name w:val="header"/>
    <w:basedOn w:val="Normal"/>
    <w:link w:val="HeaderChar"/>
    <w:uiPriority w:val="99"/>
    <w:semiHidden/>
    <w:rsid w:val="0095333F"/>
    <w:pPr>
      <w:tabs>
        <w:tab w:val="center" w:pos="4680"/>
        <w:tab w:val="right" w:pos="9360"/>
      </w:tabs>
    </w:pPr>
  </w:style>
  <w:style w:type="character" w:customStyle="1" w:styleId="HeaderChar">
    <w:name w:val="Header Char"/>
    <w:basedOn w:val="DefaultParagraphFont"/>
    <w:link w:val="Header"/>
    <w:uiPriority w:val="99"/>
    <w:semiHidden/>
    <w:rsid w:val="0095333F"/>
    <w:rPr>
      <w:rFonts w:ascii="Georgia" w:hAnsi="Georgia" w:cs="Calibri"/>
    </w:rPr>
  </w:style>
  <w:style w:type="paragraph" w:styleId="Footer">
    <w:name w:val="footer"/>
    <w:basedOn w:val="Normal"/>
    <w:link w:val="FooterChar"/>
    <w:uiPriority w:val="99"/>
    <w:semiHidden/>
    <w:rsid w:val="0095333F"/>
    <w:pPr>
      <w:tabs>
        <w:tab w:val="center" w:pos="4680"/>
        <w:tab w:val="right" w:pos="9360"/>
      </w:tabs>
    </w:pPr>
  </w:style>
  <w:style w:type="character" w:customStyle="1" w:styleId="FooterChar">
    <w:name w:val="Footer Char"/>
    <w:basedOn w:val="DefaultParagraphFont"/>
    <w:link w:val="Footer"/>
    <w:uiPriority w:val="99"/>
    <w:semiHidden/>
    <w:rsid w:val="0095333F"/>
    <w:rPr>
      <w:rFonts w:ascii="Georgia" w:hAnsi="Georgia" w:cs="Calibri"/>
    </w:rPr>
  </w:style>
  <w:style w:type="paragraph" w:styleId="BodyText">
    <w:name w:val="Body Text"/>
    <w:basedOn w:val="Normal"/>
    <w:link w:val="BodyTextChar"/>
    <w:uiPriority w:val="99"/>
    <w:semiHidden/>
    <w:unhideWhenUsed/>
    <w:rsid w:val="0095333F"/>
    <w:pPr>
      <w:spacing w:after="120"/>
    </w:pPr>
  </w:style>
  <w:style w:type="character" w:customStyle="1" w:styleId="BodyTextChar">
    <w:name w:val="Body Text Char"/>
    <w:basedOn w:val="DefaultParagraphFont"/>
    <w:link w:val="BodyText"/>
    <w:uiPriority w:val="99"/>
    <w:semiHidden/>
    <w:rsid w:val="0095333F"/>
    <w:rPr>
      <w:rFonts w:ascii="Georgia" w:hAnsi="Georgia" w:cs="Calibri"/>
    </w:rPr>
  </w:style>
  <w:style w:type="paragraph" w:styleId="NoSpacing">
    <w:name w:val="No Spacing"/>
    <w:link w:val="NoSpacingChar"/>
    <w:uiPriority w:val="99"/>
    <w:semiHidden/>
    <w:unhideWhenUsed/>
    <w:qFormat/>
    <w:rsid w:val="0095333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5333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Block Char1"/>
    <w:basedOn w:val="DefaultParagraphFont"/>
    <w:uiPriority w:val="99"/>
    <w:unhideWhenUsed/>
    <w:rsid w:val="0095333F"/>
    <w:rPr>
      <w:color w:val="0563C1" w:themeColor="hyperlink"/>
      <w:u w:val="single"/>
    </w:rPr>
  </w:style>
  <w:style w:type="character" w:styleId="UnresolvedMention">
    <w:name w:val="Unresolved Mention"/>
    <w:basedOn w:val="DefaultParagraphFont"/>
    <w:uiPriority w:val="99"/>
    <w:semiHidden/>
    <w:unhideWhenUsed/>
    <w:rsid w:val="0095333F"/>
    <w:rPr>
      <w:color w:val="605E5C"/>
      <w:shd w:val="clear" w:color="auto" w:fill="E1DFDD"/>
    </w:rPr>
  </w:style>
  <w:style w:type="paragraph" w:customStyle="1" w:styleId="p1">
    <w:name w:val="p1"/>
    <w:basedOn w:val="Normal"/>
    <w:rsid w:val="00432436"/>
    <w:rPr>
      <w:rFonts w:ascii="Helvetica" w:hAnsi="Helvetica"/>
      <w:color w:val="141413"/>
      <w:sz w:val="16"/>
      <w:szCs w:val="16"/>
    </w:rPr>
  </w:style>
  <w:style w:type="paragraph" w:customStyle="1" w:styleId="p2">
    <w:name w:val="p2"/>
    <w:basedOn w:val="Normal"/>
    <w:rsid w:val="00432436"/>
    <w:rPr>
      <w:rFonts w:ascii="Helvetica" w:hAnsi="Helvetica"/>
      <w:color w:val="141413"/>
      <w:sz w:val="14"/>
      <w:szCs w:val="14"/>
    </w:rPr>
  </w:style>
  <w:style w:type="paragraph" w:customStyle="1" w:styleId="p3">
    <w:name w:val="p3"/>
    <w:basedOn w:val="Normal"/>
    <w:rsid w:val="00432436"/>
    <w:rPr>
      <w:rFonts w:ascii="Helvetica" w:hAnsi="Helvetica"/>
      <w:color w:val="000000"/>
      <w:sz w:val="11"/>
      <w:szCs w:val="11"/>
    </w:rPr>
  </w:style>
  <w:style w:type="paragraph" w:customStyle="1" w:styleId="p4">
    <w:name w:val="p4"/>
    <w:basedOn w:val="Normal"/>
    <w:rsid w:val="00432436"/>
    <w:rPr>
      <w:rFonts w:ascii="Helvetica" w:hAnsi="Helvetica"/>
      <w:color w:val="000000"/>
      <w:sz w:val="10"/>
      <w:szCs w:val="10"/>
    </w:rPr>
  </w:style>
  <w:style w:type="paragraph" w:customStyle="1" w:styleId="p5">
    <w:name w:val="p5"/>
    <w:basedOn w:val="Normal"/>
    <w:rsid w:val="00432436"/>
    <w:rPr>
      <w:rFonts w:ascii="Helvetica" w:hAnsi="Helvetica"/>
      <w:color w:val="000000"/>
      <w:sz w:val="12"/>
      <w:szCs w:val="12"/>
    </w:rPr>
  </w:style>
  <w:style w:type="paragraph" w:customStyle="1" w:styleId="p6">
    <w:name w:val="p6"/>
    <w:basedOn w:val="Normal"/>
    <w:rsid w:val="00432436"/>
    <w:rPr>
      <w:rFonts w:ascii="Helvetica" w:hAnsi="Helvetica"/>
      <w:color w:val="141413"/>
      <w:sz w:val="14"/>
      <w:szCs w:val="14"/>
    </w:rPr>
  </w:style>
  <w:style w:type="character" w:customStyle="1" w:styleId="s1">
    <w:name w:val="s1"/>
    <w:basedOn w:val="DefaultParagraphFont"/>
    <w:rsid w:val="00432436"/>
    <w:rPr>
      <w:rFonts w:ascii="Helvetica" w:hAnsi="Helvetica" w:hint="default"/>
      <w:color w:val="000000"/>
      <w:sz w:val="11"/>
      <w:szCs w:val="11"/>
    </w:rPr>
  </w:style>
  <w:style w:type="character" w:customStyle="1" w:styleId="s2">
    <w:name w:val="s2"/>
    <w:basedOn w:val="DefaultParagraphFont"/>
    <w:rsid w:val="00432436"/>
    <w:rPr>
      <w:rFonts w:ascii="Helvetica" w:hAnsi="Helvetica" w:hint="default"/>
      <w:sz w:val="14"/>
      <w:szCs w:val="14"/>
    </w:rPr>
  </w:style>
  <w:style w:type="character" w:customStyle="1" w:styleId="s3">
    <w:name w:val="s3"/>
    <w:basedOn w:val="DefaultParagraphFont"/>
    <w:rsid w:val="00432436"/>
    <w:rPr>
      <w:rFonts w:ascii="Helvetica" w:hAnsi="Helvetica" w:hint="default"/>
      <w:sz w:val="10"/>
      <w:szCs w:val="10"/>
    </w:rPr>
  </w:style>
  <w:style w:type="paragraph" w:customStyle="1" w:styleId="textbold">
    <w:name w:val="text bold"/>
    <w:basedOn w:val="Normal"/>
    <w:link w:val="Emphasis"/>
    <w:uiPriority w:val="8"/>
    <w:qFormat/>
    <w:rsid w:val="0065562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anchor-text">
    <w:name w:val="anchor-text"/>
    <w:basedOn w:val="DefaultParagraphFont"/>
    <w:rsid w:val="004A4AC6"/>
  </w:style>
  <w:style w:type="character" w:customStyle="1" w:styleId="download-link-title">
    <w:name w:val="download-link-title"/>
    <w:basedOn w:val="DefaultParagraphFont"/>
    <w:rsid w:val="004A4AC6"/>
  </w:style>
  <w:style w:type="character" w:customStyle="1" w:styleId="captions">
    <w:name w:val="captions"/>
    <w:basedOn w:val="DefaultParagraphFont"/>
    <w:rsid w:val="004A4AC6"/>
  </w:style>
  <w:style w:type="paragraph" w:styleId="NormalWeb">
    <w:name w:val="Normal (Web)"/>
    <w:basedOn w:val="Normal"/>
    <w:uiPriority w:val="99"/>
    <w:semiHidden/>
    <w:unhideWhenUsed/>
    <w:rsid w:val="004A4AC6"/>
    <w:pPr>
      <w:spacing w:before="100" w:beforeAutospacing="1" w:after="100" w:afterAutospacing="1"/>
    </w:pPr>
  </w:style>
  <w:style w:type="character" w:customStyle="1" w:styleId="label">
    <w:name w:val="label"/>
    <w:basedOn w:val="DefaultParagraphFont"/>
    <w:rsid w:val="004A4AC6"/>
  </w:style>
  <w:style w:type="paragraph" w:customStyle="1" w:styleId="urlfind">
    <w:name w:val="urlfind"/>
    <w:basedOn w:val="Normal"/>
    <w:rsid w:val="002336C2"/>
    <w:pPr>
      <w:spacing w:before="100" w:beforeAutospacing="1" w:after="100" w:afterAutospacing="1"/>
    </w:pPr>
  </w:style>
  <w:style w:type="paragraph" w:customStyle="1" w:styleId="fonts">
    <w:name w:val="fonts"/>
    <w:basedOn w:val="Normal"/>
    <w:rsid w:val="002336C2"/>
    <w:pPr>
      <w:spacing w:before="100" w:beforeAutospacing="1" w:after="100" w:afterAutospacing="1"/>
    </w:pPr>
  </w:style>
  <w:style w:type="character" w:customStyle="1" w:styleId="ref-lnk">
    <w:name w:val="ref-lnk"/>
    <w:basedOn w:val="DefaultParagraphFont"/>
    <w:rsid w:val="004B2CB7"/>
  </w:style>
  <w:style w:type="character" w:customStyle="1" w:styleId="off-screen">
    <w:name w:val="off-screen"/>
    <w:basedOn w:val="DefaultParagraphFont"/>
    <w:rsid w:val="004B2CB7"/>
  </w:style>
  <w:style w:type="paragraph" w:customStyle="1" w:styleId="last">
    <w:name w:val="last"/>
    <w:basedOn w:val="Normal"/>
    <w:rsid w:val="004B2CB7"/>
    <w:pPr>
      <w:spacing w:before="100" w:beforeAutospacing="1" w:after="100" w:afterAutospacing="1"/>
    </w:pPr>
  </w:style>
  <w:style w:type="paragraph" w:customStyle="1" w:styleId="Emphasis1">
    <w:name w:val="Emphasis1"/>
    <w:basedOn w:val="Normal"/>
    <w:autoRedefine/>
    <w:uiPriority w:val="8"/>
    <w:qFormat/>
    <w:rsid w:val="00EC2357"/>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u w:val="single"/>
    </w:rPr>
  </w:style>
  <w:style w:type="character" w:customStyle="1" w:styleId="cite-bracket">
    <w:name w:val="cite-bracket"/>
    <w:basedOn w:val="DefaultParagraphFont"/>
    <w:rsid w:val="00C107FE"/>
  </w:style>
  <w:style w:type="paragraph" w:customStyle="1" w:styleId="Analytic">
    <w:name w:val="Analytic"/>
    <w:link w:val="AnalyticChar"/>
    <w:autoRedefine/>
    <w:uiPriority w:val="4"/>
    <w:qFormat/>
    <w:rsid w:val="0095333F"/>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95333F"/>
    <w:rPr>
      <w:rFonts w:ascii="Georgia" w:hAnsi="Georgia" w:cs="Times New Roman"/>
      <w:b/>
      <w:color w:val="44546A" w:themeColor="text2"/>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2057">
      <w:bodyDiv w:val="1"/>
      <w:marLeft w:val="0"/>
      <w:marRight w:val="0"/>
      <w:marTop w:val="0"/>
      <w:marBottom w:val="0"/>
      <w:divBdr>
        <w:top w:val="none" w:sz="0" w:space="0" w:color="auto"/>
        <w:left w:val="none" w:sz="0" w:space="0" w:color="auto"/>
        <w:bottom w:val="none" w:sz="0" w:space="0" w:color="auto"/>
        <w:right w:val="none" w:sz="0" w:space="0" w:color="auto"/>
      </w:divBdr>
    </w:div>
    <w:div w:id="78599249">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2708671">
      <w:bodyDiv w:val="1"/>
      <w:marLeft w:val="0"/>
      <w:marRight w:val="0"/>
      <w:marTop w:val="0"/>
      <w:marBottom w:val="0"/>
      <w:divBdr>
        <w:top w:val="none" w:sz="0" w:space="0" w:color="auto"/>
        <w:left w:val="none" w:sz="0" w:space="0" w:color="auto"/>
        <w:bottom w:val="none" w:sz="0" w:space="0" w:color="auto"/>
        <w:right w:val="none" w:sz="0" w:space="0" w:color="auto"/>
      </w:divBdr>
      <w:divsChild>
        <w:div w:id="729117237">
          <w:marLeft w:val="0"/>
          <w:marRight w:val="0"/>
          <w:marTop w:val="0"/>
          <w:marBottom w:val="0"/>
          <w:divBdr>
            <w:top w:val="none" w:sz="0" w:space="0" w:color="auto"/>
            <w:left w:val="none" w:sz="0" w:space="0" w:color="auto"/>
            <w:bottom w:val="none" w:sz="0" w:space="0" w:color="auto"/>
            <w:right w:val="none" w:sz="0" w:space="0" w:color="auto"/>
          </w:divBdr>
          <w:divsChild>
            <w:div w:id="1315990697">
              <w:marLeft w:val="0"/>
              <w:marRight w:val="0"/>
              <w:marTop w:val="0"/>
              <w:marBottom w:val="0"/>
              <w:divBdr>
                <w:top w:val="none" w:sz="0" w:space="0" w:color="auto"/>
                <w:left w:val="none" w:sz="0" w:space="0" w:color="auto"/>
                <w:bottom w:val="none" w:sz="0" w:space="0" w:color="auto"/>
                <w:right w:val="none" w:sz="0" w:space="0" w:color="auto"/>
              </w:divBdr>
            </w:div>
          </w:divsChild>
        </w:div>
        <w:div w:id="359354441">
          <w:marLeft w:val="0"/>
          <w:marRight w:val="0"/>
          <w:marTop w:val="750"/>
          <w:marBottom w:val="0"/>
          <w:divBdr>
            <w:top w:val="none" w:sz="0" w:space="0" w:color="auto"/>
            <w:left w:val="none" w:sz="0" w:space="0" w:color="auto"/>
            <w:bottom w:val="none" w:sz="0" w:space="0" w:color="auto"/>
            <w:right w:val="none" w:sz="0" w:space="0" w:color="auto"/>
          </w:divBdr>
        </w:div>
      </w:divsChild>
    </w:div>
    <w:div w:id="258949574">
      <w:bodyDiv w:val="1"/>
      <w:marLeft w:val="0"/>
      <w:marRight w:val="0"/>
      <w:marTop w:val="0"/>
      <w:marBottom w:val="0"/>
      <w:divBdr>
        <w:top w:val="none" w:sz="0" w:space="0" w:color="auto"/>
        <w:left w:val="none" w:sz="0" w:space="0" w:color="auto"/>
        <w:bottom w:val="none" w:sz="0" w:space="0" w:color="auto"/>
        <w:right w:val="none" w:sz="0" w:space="0" w:color="auto"/>
      </w:divBdr>
    </w:div>
    <w:div w:id="335156111">
      <w:bodyDiv w:val="1"/>
      <w:marLeft w:val="0"/>
      <w:marRight w:val="0"/>
      <w:marTop w:val="0"/>
      <w:marBottom w:val="0"/>
      <w:divBdr>
        <w:top w:val="none" w:sz="0" w:space="0" w:color="auto"/>
        <w:left w:val="none" w:sz="0" w:space="0" w:color="auto"/>
        <w:bottom w:val="none" w:sz="0" w:space="0" w:color="auto"/>
        <w:right w:val="none" w:sz="0" w:space="0" w:color="auto"/>
      </w:divBdr>
    </w:div>
    <w:div w:id="474180396">
      <w:bodyDiv w:val="1"/>
      <w:marLeft w:val="0"/>
      <w:marRight w:val="0"/>
      <w:marTop w:val="0"/>
      <w:marBottom w:val="0"/>
      <w:divBdr>
        <w:top w:val="none" w:sz="0" w:space="0" w:color="auto"/>
        <w:left w:val="none" w:sz="0" w:space="0" w:color="auto"/>
        <w:bottom w:val="none" w:sz="0" w:space="0" w:color="auto"/>
        <w:right w:val="none" w:sz="0" w:space="0" w:color="auto"/>
      </w:divBdr>
    </w:div>
    <w:div w:id="500851083">
      <w:bodyDiv w:val="1"/>
      <w:marLeft w:val="0"/>
      <w:marRight w:val="0"/>
      <w:marTop w:val="0"/>
      <w:marBottom w:val="0"/>
      <w:divBdr>
        <w:top w:val="none" w:sz="0" w:space="0" w:color="auto"/>
        <w:left w:val="none" w:sz="0" w:space="0" w:color="auto"/>
        <w:bottom w:val="none" w:sz="0" w:space="0" w:color="auto"/>
        <w:right w:val="none" w:sz="0" w:space="0" w:color="auto"/>
      </w:divBdr>
      <w:divsChild>
        <w:div w:id="288974246">
          <w:marLeft w:val="0"/>
          <w:marRight w:val="0"/>
          <w:marTop w:val="0"/>
          <w:marBottom w:val="0"/>
          <w:divBdr>
            <w:top w:val="none" w:sz="0" w:space="0" w:color="auto"/>
            <w:left w:val="none" w:sz="0" w:space="0" w:color="auto"/>
            <w:bottom w:val="none" w:sz="0" w:space="0" w:color="auto"/>
            <w:right w:val="none" w:sz="0" w:space="0" w:color="auto"/>
          </w:divBdr>
          <w:divsChild>
            <w:div w:id="1165588599">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 w:id="1222326497">
          <w:marLeft w:val="0"/>
          <w:marRight w:val="0"/>
          <w:marTop w:val="0"/>
          <w:marBottom w:val="0"/>
          <w:divBdr>
            <w:top w:val="none" w:sz="0" w:space="0" w:color="auto"/>
            <w:left w:val="none" w:sz="0" w:space="0" w:color="auto"/>
            <w:bottom w:val="none" w:sz="0" w:space="0" w:color="auto"/>
            <w:right w:val="none" w:sz="0" w:space="0" w:color="auto"/>
          </w:divBdr>
          <w:divsChild>
            <w:div w:id="879246986">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 w:id="1008482625">
          <w:marLeft w:val="0"/>
          <w:marRight w:val="0"/>
          <w:marTop w:val="0"/>
          <w:marBottom w:val="0"/>
          <w:divBdr>
            <w:top w:val="none" w:sz="0" w:space="0" w:color="auto"/>
            <w:left w:val="none" w:sz="0" w:space="0" w:color="auto"/>
            <w:bottom w:val="none" w:sz="0" w:space="0" w:color="auto"/>
            <w:right w:val="none" w:sz="0" w:space="0" w:color="auto"/>
          </w:divBdr>
          <w:divsChild>
            <w:div w:id="85846718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 w:id="2119055574">
          <w:marLeft w:val="0"/>
          <w:marRight w:val="0"/>
          <w:marTop w:val="0"/>
          <w:marBottom w:val="0"/>
          <w:divBdr>
            <w:top w:val="none" w:sz="0" w:space="0" w:color="auto"/>
            <w:left w:val="none" w:sz="0" w:space="0" w:color="auto"/>
            <w:bottom w:val="none" w:sz="0" w:space="0" w:color="auto"/>
            <w:right w:val="none" w:sz="0" w:space="0" w:color="auto"/>
          </w:divBdr>
          <w:divsChild>
            <w:div w:id="206655898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 w:id="625813020">
          <w:marLeft w:val="0"/>
          <w:marRight w:val="0"/>
          <w:marTop w:val="0"/>
          <w:marBottom w:val="0"/>
          <w:divBdr>
            <w:top w:val="none" w:sz="0" w:space="0" w:color="auto"/>
            <w:left w:val="none" w:sz="0" w:space="0" w:color="auto"/>
            <w:bottom w:val="none" w:sz="0" w:space="0" w:color="auto"/>
            <w:right w:val="none" w:sz="0" w:space="0" w:color="auto"/>
          </w:divBdr>
          <w:divsChild>
            <w:div w:id="36438357">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 w:id="1145077216">
          <w:marLeft w:val="0"/>
          <w:marRight w:val="0"/>
          <w:marTop w:val="0"/>
          <w:marBottom w:val="0"/>
          <w:divBdr>
            <w:top w:val="none" w:sz="0" w:space="0" w:color="auto"/>
            <w:left w:val="none" w:sz="0" w:space="0" w:color="auto"/>
            <w:bottom w:val="none" w:sz="0" w:space="0" w:color="auto"/>
            <w:right w:val="none" w:sz="0" w:space="0" w:color="auto"/>
          </w:divBdr>
          <w:divsChild>
            <w:div w:id="576524711">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825510987">
      <w:bodyDiv w:val="1"/>
      <w:marLeft w:val="0"/>
      <w:marRight w:val="0"/>
      <w:marTop w:val="0"/>
      <w:marBottom w:val="0"/>
      <w:divBdr>
        <w:top w:val="none" w:sz="0" w:space="0" w:color="auto"/>
        <w:left w:val="none" w:sz="0" w:space="0" w:color="auto"/>
        <w:bottom w:val="none" w:sz="0" w:space="0" w:color="auto"/>
        <w:right w:val="none" w:sz="0" w:space="0" w:color="auto"/>
      </w:divBdr>
    </w:div>
    <w:div w:id="834296024">
      <w:bodyDiv w:val="1"/>
      <w:marLeft w:val="0"/>
      <w:marRight w:val="0"/>
      <w:marTop w:val="0"/>
      <w:marBottom w:val="0"/>
      <w:divBdr>
        <w:top w:val="none" w:sz="0" w:space="0" w:color="auto"/>
        <w:left w:val="none" w:sz="0" w:space="0" w:color="auto"/>
        <w:bottom w:val="none" w:sz="0" w:space="0" w:color="auto"/>
        <w:right w:val="none" w:sz="0" w:space="0" w:color="auto"/>
      </w:divBdr>
      <w:divsChild>
        <w:div w:id="1950316268">
          <w:marLeft w:val="0"/>
          <w:marRight w:val="0"/>
          <w:marTop w:val="0"/>
          <w:marBottom w:val="315"/>
          <w:divBdr>
            <w:top w:val="none" w:sz="0" w:space="0" w:color="auto"/>
            <w:left w:val="none" w:sz="0" w:space="0" w:color="auto"/>
            <w:bottom w:val="none" w:sz="0" w:space="0" w:color="auto"/>
            <w:right w:val="none" w:sz="0" w:space="0" w:color="auto"/>
          </w:divBdr>
        </w:div>
        <w:div w:id="1444496026">
          <w:marLeft w:val="0"/>
          <w:marRight w:val="0"/>
          <w:marTop w:val="0"/>
          <w:marBottom w:val="315"/>
          <w:divBdr>
            <w:top w:val="none" w:sz="0" w:space="0" w:color="auto"/>
            <w:left w:val="none" w:sz="0" w:space="0" w:color="auto"/>
            <w:bottom w:val="none" w:sz="0" w:space="0" w:color="auto"/>
            <w:right w:val="none" w:sz="0" w:space="0" w:color="auto"/>
          </w:divBdr>
        </w:div>
      </w:divsChild>
    </w:div>
    <w:div w:id="1174682117">
      <w:bodyDiv w:val="1"/>
      <w:marLeft w:val="0"/>
      <w:marRight w:val="0"/>
      <w:marTop w:val="0"/>
      <w:marBottom w:val="0"/>
      <w:divBdr>
        <w:top w:val="none" w:sz="0" w:space="0" w:color="auto"/>
        <w:left w:val="none" w:sz="0" w:space="0" w:color="auto"/>
        <w:bottom w:val="none" w:sz="0" w:space="0" w:color="auto"/>
        <w:right w:val="none" w:sz="0" w:space="0" w:color="auto"/>
      </w:divBdr>
    </w:div>
    <w:div w:id="1281300606">
      <w:bodyDiv w:val="1"/>
      <w:marLeft w:val="0"/>
      <w:marRight w:val="0"/>
      <w:marTop w:val="0"/>
      <w:marBottom w:val="0"/>
      <w:divBdr>
        <w:top w:val="none" w:sz="0" w:space="0" w:color="auto"/>
        <w:left w:val="none" w:sz="0" w:space="0" w:color="auto"/>
        <w:bottom w:val="none" w:sz="0" w:space="0" w:color="auto"/>
        <w:right w:val="none" w:sz="0" w:space="0" w:color="auto"/>
      </w:divBdr>
    </w:div>
    <w:div w:id="1339429316">
      <w:bodyDiv w:val="1"/>
      <w:marLeft w:val="0"/>
      <w:marRight w:val="0"/>
      <w:marTop w:val="0"/>
      <w:marBottom w:val="0"/>
      <w:divBdr>
        <w:top w:val="none" w:sz="0" w:space="0" w:color="auto"/>
        <w:left w:val="none" w:sz="0" w:space="0" w:color="auto"/>
        <w:bottom w:val="none" w:sz="0" w:space="0" w:color="auto"/>
        <w:right w:val="none" w:sz="0" w:space="0" w:color="auto"/>
      </w:divBdr>
      <w:divsChild>
        <w:div w:id="514882170">
          <w:marLeft w:val="0"/>
          <w:marRight w:val="0"/>
          <w:marTop w:val="0"/>
          <w:marBottom w:val="0"/>
          <w:divBdr>
            <w:top w:val="none" w:sz="0" w:space="0" w:color="auto"/>
            <w:left w:val="none" w:sz="0" w:space="0" w:color="auto"/>
            <w:bottom w:val="none" w:sz="0" w:space="0" w:color="auto"/>
            <w:right w:val="none" w:sz="0" w:space="0" w:color="auto"/>
          </w:divBdr>
        </w:div>
      </w:divsChild>
    </w:div>
    <w:div w:id="1576863194">
      <w:bodyDiv w:val="1"/>
      <w:marLeft w:val="0"/>
      <w:marRight w:val="0"/>
      <w:marTop w:val="0"/>
      <w:marBottom w:val="0"/>
      <w:divBdr>
        <w:top w:val="none" w:sz="0" w:space="0" w:color="auto"/>
        <w:left w:val="none" w:sz="0" w:space="0" w:color="auto"/>
        <w:bottom w:val="none" w:sz="0" w:space="0" w:color="auto"/>
        <w:right w:val="none" w:sz="0" w:space="0" w:color="auto"/>
      </w:divBdr>
    </w:div>
    <w:div w:id="1578243917">
      <w:bodyDiv w:val="1"/>
      <w:marLeft w:val="0"/>
      <w:marRight w:val="0"/>
      <w:marTop w:val="0"/>
      <w:marBottom w:val="0"/>
      <w:divBdr>
        <w:top w:val="none" w:sz="0" w:space="0" w:color="auto"/>
        <w:left w:val="none" w:sz="0" w:space="0" w:color="auto"/>
        <w:bottom w:val="none" w:sz="0" w:space="0" w:color="auto"/>
        <w:right w:val="none" w:sz="0" w:space="0" w:color="auto"/>
      </w:divBdr>
      <w:divsChild>
        <w:div w:id="1876313985">
          <w:marLeft w:val="0"/>
          <w:marRight w:val="0"/>
          <w:marTop w:val="0"/>
          <w:marBottom w:val="240"/>
          <w:divBdr>
            <w:top w:val="none" w:sz="0" w:space="0" w:color="auto"/>
            <w:left w:val="none" w:sz="0" w:space="0" w:color="auto"/>
            <w:bottom w:val="none" w:sz="0" w:space="0" w:color="auto"/>
            <w:right w:val="none" w:sz="0" w:space="0" w:color="auto"/>
          </w:divBdr>
        </w:div>
        <w:div w:id="1177771726">
          <w:marLeft w:val="0"/>
          <w:marRight w:val="0"/>
          <w:marTop w:val="0"/>
          <w:marBottom w:val="240"/>
          <w:divBdr>
            <w:top w:val="none" w:sz="0" w:space="0" w:color="auto"/>
            <w:left w:val="none" w:sz="0" w:space="0" w:color="auto"/>
            <w:bottom w:val="none" w:sz="0" w:space="0" w:color="auto"/>
            <w:right w:val="none" w:sz="0" w:space="0" w:color="auto"/>
          </w:divBdr>
        </w:div>
        <w:div w:id="855193472">
          <w:marLeft w:val="0"/>
          <w:marRight w:val="0"/>
          <w:marTop w:val="0"/>
          <w:marBottom w:val="240"/>
          <w:divBdr>
            <w:top w:val="none" w:sz="0" w:space="0" w:color="auto"/>
            <w:left w:val="none" w:sz="0" w:space="0" w:color="auto"/>
            <w:bottom w:val="none" w:sz="0" w:space="0" w:color="auto"/>
            <w:right w:val="none" w:sz="0" w:space="0" w:color="auto"/>
          </w:divBdr>
        </w:div>
        <w:div w:id="426775427">
          <w:marLeft w:val="0"/>
          <w:marRight w:val="0"/>
          <w:marTop w:val="0"/>
          <w:marBottom w:val="240"/>
          <w:divBdr>
            <w:top w:val="none" w:sz="0" w:space="0" w:color="auto"/>
            <w:left w:val="none" w:sz="0" w:space="0" w:color="auto"/>
            <w:bottom w:val="none" w:sz="0" w:space="0" w:color="auto"/>
            <w:right w:val="none" w:sz="0" w:space="0" w:color="auto"/>
          </w:divBdr>
          <w:divsChild>
            <w:div w:id="1227565908">
              <w:marLeft w:val="0"/>
              <w:marRight w:val="0"/>
              <w:marTop w:val="0"/>
              <w:marBottom w:val="0"/>
              <w:divBdr>
                <w:top w:val="none" w:sz="0" w:space="0" w:color="auto"/>
                <w:left w:val="none" w:sz="0" w:space="0" w:color="auto"/>
                <w:bottom w:val="none" w:sz="0" w:space="0" w:color="auto"/>
                <w:right w:val="none" w:sz="0" w:space="0" w:color="auto"/>
              </w:divBdr>
            </w:div>
          </w:divsChild>
        </w:div>
        <w:div w:id="72512188">
          <w:marLeft w:val="0"/>
          <w:marRight w:val="0"/>
          <w:marTop w:val="0"/>
          <w:marBottom w:val="240"/>
          <w:divBdr>
            <w:top w:val="none" w:sz="0" w:space="0" w:color="auto"/>
            <w:left w:val="none" w:sz="0" w:space="0" w:color="auto"/>
            <w:bottom w:val="none" w:sz="0" w:space="0" w:color="auto"/>
            <w:right w:val="none" w:sz="0" w:space="0" w:color="auto"/>
          </w:divBdr>
        </w:div>
        <w:div w:id="974796735">
          <w:marLeft w:val="0"/>
          <w:marRight w:val="0"/>
          <w:marTop w:val="0"/>
          <w:marBottom w:val="240"/>
          <w:divBdr>
            <w:top w:val="none" w:sz="0" w:space="0" w:color="auto"/>
            <w:left w:val="none" w:sz="0" w:space="0" w:color="auto"/>
            <w:bottom w:val="none" w:sz="0" w:space="0" w:color="auto"/>
            <w:right w:val="none" w:sz="0" w:space="0" w:color="auto"/>
          </w:divBdr>
        </w:div>
        <w:div w:id="1061057796">
          <w:marLeft w:val="0"/>
          <w:marRight w:val="0"/>
          <w:marTop w:val="0"/>
          <w:marBottom w:val="240"/>
          <w:divBdr>
            <w:top w:val="none" w:sz="0" w:space="0" w:color="auto"/>
            <w:left w:val="none" w:sz="0" w:space="0" w:color="auto"/>
            <w:bottom w:val="none" w:sz="0" w:space="0" w:color="auto"/>
            <w:right w:val="none" w:sz="0" w:space="0" w:color="auto"/>
          </w:divBdr>
          <w:divsChild>
            <w:div w:id="1357582529">
              <w:blockQuote w:val="1"/>
              <w:marLeft w:val="0"/>
              <w:marRight w:val="0"/>
              <w:marTop w:val="0"/>
              <w:marBottom w:val="0"/>
              <w:divBdr>
                <w:top w:val="none" w:sz="0" w:space="0" w:color="auto"/>
                <w:left w:val="none" w:sz="0" w:space="0" w:color="auto"/>
                <w:bottom w:val="none" w:sz="0" w:space="0" w:color="auto"/>
                <w:right w:val="none" w:sz="0" w:space="0" w:color="auto"/>
              </w:divBdr>
              <w:divsChild>
                <w:div w:id="56302539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69794139">
          <w:marLeft w:val="0"/>
          <w:marRight w:val="0"/>
          <w:marTop w:val="0"/>
          <w:marBottom w:val="240"/>
          <w:divBdr>
            <w:top w:val="none" w:sz="0" w:space="0" w:color="auto"/>
            <w:left w:val="none" w:sz="0" w:space="0" w:color="auto"/>
            <w:bottom w:val="none" w:sz="0" w:space="0" w:color="auto"/>
            <w:right w:val="none" w:sz="0" w:space="0" w:color="auto"/>
          </w:divBdr>
        </w:div>
        <w:div w:id="1779830374">
          <w:marLeft w:val="0"/>
          <w:marRight w:val="0"/>
          <w:marTop w:val="0"/>
          <w:marBottom w:val="240"/>
          <w:divBdr>
            <w:top w:val="none" w:sz="0" w:space="0" w:color="auto"/>
            <w:left w:val="none" w:sz="0" w:space="0" w:color="auto"/>
            <w:bottom w:val="none" w:sz="0" w:space="0" w:color="auto"/>
            <w:right w:val="none" w:sz="0" w:space="0" w:color="auto"/>
          </w:divBdr>
        </w:div>
      </w:divsChild>
    </w:div>
    <w:div w:id="1579168738">
      <w:bodyDiv w:val="1"/>
      <w:marLeft w:val="0"/>
      <w:marRight w:val="0"/>
      <w:marTop w:val="0"/>
      <w:marBottom w:val="0"/>
      <w:divBdr>
        <w:top w:val="none" w:sz="0" w:space="0" w:color="auto"/>
        <w:left w:val="none" w:sz="0" w:space="0" w:color="auto"/>
        <w:bottom w:val="none" w:sz="0" w:space="0" w:color="auto"/>
        <w:right w:val="none" w:sz="0" w:space="0" w:color="auto"/>
      </w:divBdr>
      <w:divsChild>
        <w:div w:id="668145361">
          <w:marLeft w:val="0"/>
          <w:marRight w:val="0"/>
          <w:marTop w:val="0"/>
          <w:marBottom w:val="0"/>
          <w:divBdr>
            <w:top w:val="none" w:sz="0" w:space="0" w:color="auto"/>
            <w:left w:val="none" w:sz="0" w:space="0" w:color="auto"/>
            <w:bottom w:val="none" w:sz="0" w:space="0" w:color="auto"/>
            <w:right w:val="none" w:sz="0" w:space="0" w:color="auto"/>
          </w:divBdr>
        </w:div>
      </w:divsChild>
    </w:div>
    <w:div w:id="1609309008">
      <w:bodyDiv w:val="1"/>
      <w:marLeft w:val="0"/>
      <w:marRight w:val="0"/>
      <w:marTop w:val="0"/>
      <w:marBottom w:val="0"/>
      <w:divBdr>
        <w:top w:val="none" w:sz="0" w:space="0" w:color="auto"/>
        <w:left w:val="none" w:sz="0" w:space="0" w:color="auto"/>
        <w:bottom w:val="none" w:sz="0" w:space="0" w:color="auto"/>
        <w:right w:val="none" w:sz="0" w:space="0" w:color="auto"/>
      </w:divBdr>
    </w:div>
    <w:div w:id="1674987149">
      <w:bodyDiv w:val="1"/>
      <w:marLeft w:val="0"/>
      <w:marRight w:val="0"/>
      <w:marTop w:val="0"/>
      <w:marBottom w:val="0"/>
      <w:divBdr>
        <w:top w:val="none" w:sz="0" w:space="0" w:color="auto"/>
        <w:left w:val="none" w:sz="0" w:space="0" w:color="auto"/>
        <w:bottom w:val="none" w:sz="0" w:space="0" w:color="auto"/>
        <w:right w:val="none" w:sz="0" w:space="0" w:color="auto"/>
      </w:divBdr>
      <w:divsChild>
        <w:div w:id="463502574">
          <w:marLeft w:val="0"/>
          <w:marRight w:val="0"/>
          <w:marTop w:val="0"/>
          <w:marBottom w:val="0"/>
          <w:divBdr>
            <w:top w:val="none" w:sz="0" w:space="0" w:color="auto"/>
            <w:left w:val="none" w:sz="0" w:space="0" w:color="auto"/>
            <w:bottom w:val="none" w:sz="0" w:space="0" w:color="auto"/>
            <w:right w:val="none" w:sz="0" w:space="0" w:color="auto"/>
          </w:divBdr>
        </w:div>
      </w:divsChild>
    </w:div>
    <w:div w:id="1906718736">
      <w:bodyDiv w:val="1"/>
      <w:marLeft w:val="0"/>
      <w:marRight w:val="0"/>
      <w:marTop w:val="0"/>
      <w:marBottom w:val="0"/>
      <w:divBdr>
        <w:top w:val="none" w:sz="0" w:space="0" w:color="auto"/>
        <w:left w:val="none" w:sz="0" w:space="0" w:color="auto"/>
        <w:bottom w:val="none" w:sz="0" w:space="0" w:color="auto"/>
        <w:right w:val="none" w:sz="0" w:space="0" w:color="auto"/>
      </w:divBdr>
      <w:divsChild>
        <w:div w:id="1174568608">
          <w:marLeft w:val="0"/>
          <w:marRight w:val="0"/>
          <w:marTop w:val="0"/>
          <w:marBottom w:val="0"/>
          <w:divBdr>
            <w:top w:val="none" w:sz="0" w:space="0" w:color="auto"/>
            <w:left w:val="none" w:sz="0" w:space="0" w:color="auto"/>
            <w:bottom w:val="none" w:sz="0" w:space="0" w:color="auto"/>
            <w:right w:val="none" w:sz="0" w:space="0" w:color="auto"/>
          </w:divBdr>
        </w:div>
      </w:divsChild>
    </w:div>
    <w:div w:id="1934821695">
      <w:bodyDiv w:val="1"/>
      <w:marLeft w:val="0"/>
      <w:marRight w:val="0"/>
      <w:marTop w:val="0"/>
      <w:marBottom w:val="0"/>
      <w:divBdr>
        <w:top w:val="none" w:sz="0" w:space="0" w:color="auto"/>
        <w:left w:val="none" w:sz="0" w:space="0" w:color="auto"/>
        <w:bottom w:val="none" w:sz="0" w:space="0" w:color="auto"/>
        <w:right w:val="none" w:sz="0" w:space="0" w:color="auto"/>
      </w:divBdr>
      <w:divsChild>
        <w:div w:id="1665350810">
          <w:marLeft w:val="0"/>
          <w:marRight w:val="150"/>
          <w:marTop w:val="0"/>
          <w:marBottom w:val="180"/>
          <w:divBdr>
            <w:top w:val="none" w:sz="0" w:space="0" w:color="auto"/>
            <w:left w:val="none" w:sz="0" w:space="0" w:color="auto"/>
            <w:bottom w:val="none" w:sz="0" w:space="0" w:color="auto"/>
            <w:right w:val="none" w:sz="0" w:space="0" w:color="auto"/>
          </w:divBdr>
          <w:divsChild>
            <w:div w:id="1621493496">
              <w:marLeft w:val="0"/>
              <w:marRight w:val="0"/>
              <w:marTop w:val="0"/>
              <w:marBottom w:val="0"/>
              <w:divBdr>
                <w:top w:val="none" w:sz="0" w:space="0" w:color="auto"/>
                <w:left w:val="none" w:sz="0" w:space="0" w:color="auto"/>
                <w:bottom w:val="none" w:sz="0" w:space="0" w:color="auto"/>
                <w:right w:val="none" w:sz="0" w:space="0" w:color="auto"/>
              </w:divBdr>
              <w:divsChild>
                <w:div w:id="105828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29092">
          <w:marLeft w:val="0"/>
          <w:marRight w:val="0"/>
          <w:marTop w:val="0"/>
          <w:marBottom w:val="60"/>
          <w:divBdr>
            <w:top w:val="none" w:sz="0" w:space="0" w:color="auto"/>
            <w:left w:val="none" w:sz="0" w:space="0" w:color="auto"/>
            <w:bottom w:val="none" w:sz="0" w:space="0" w:color="auto"/>
            <w:right w:val="none" w:sz="0" w:space="0" w:color="auto"/>
          </w:divBdr>
          <w:divsChild>
            <w:div w:id="1268926428">
              <w:marLeft w:val="0"/>
              <w:marRight w:val="0"/>
              <w:marTop w:val="0"/>
              <w:marBottom w:val="0"/>
              <w:divBdr>
                <w:top w:val="none" w:sz="0" w:space="0" w:color="auto"/>
                <w:left w:val="none" w:sz="0" w:space="0" w:color="auto"/>
                <w:bottom w:val="none" w:sz="0" w:space="0" w:color="auto"/>
                <w:right w:val="none" w:sz="0" w:space="0" w:color="auto"/>
              </w:divBdr>
              <w:divsChild>
                <w:div w:id="202207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5785">
          <w:marLeft w:val="0"/>
          <w:marRight w:val="0"/>
          <w:marTop w:val="0"/>
          <w:marBottom w:val="90"/>
          <w:divBdr>
            <w:top w:val="none" w:sz="0" w:space="0" w:color="auto"/>
            <w:left w:val="none" w:sz="0" w:space="0" w:color="auto"/>
            <w:bottom w:val="none" w:sz="0" w:space="0" w:color="auto"/>
            <w:right w:val="none" w:sz="0" w:space="0" w:color="auto"/>
          </w:divBdr>
          <w:divsChild>
            <w:div w:id="15040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5327">
      <w:bodyDiv w:val="1"/>
      <w:marLeft w:val="0"/>
      <w:marRight w:val="0"/>
      <w:marTop w:val="0"/>
      <w:marBottom w:val="0"/>
      <w:divBdr>
        <w:top w:val="none" w:sz="0" w:space="0" w:color="auto"/>
        <w:left w:val="none" w:sz="0" w:space="0" w:color="auto"/>
        <w:bottom w:val="none" w:sz="0" w:space="0" w:color="auto"/>
        <w:right w:val="none" w:sz="0" w:space="0" w:color="auto"/>
      </w:divBdr>
      <w:divsChild>
        <w:div w:id="603534463">
          <w:marLeft w:val="0"/>
          <w:marRight w:val="0"/>
          <w:marTop w:val="0"/>
          <w:marBottom w:val="240"/>
          <w:divBdr>
            <w:top w:val="none" w:sz="0" w:space="0" w:color="auto"/>
            <w:left w:val="none" w:sz="0" w:space="0" w:color="auto"/>
            <w:bottom w:val="none" w:sz="0" w:space="0" w:color="auto"/>
            <w:right w:val="none" w:sz="0" w:space="0" w:color="auto"/>
          </w:divBdr>
        </w:div>
        <w:div w:id="320239864">
          <w:marLeft w:val="0"/>
          <w:marRight w:val="0"/>
          <w:marTop w:val="0"/>
          <w:marBottom w:val="240"/>
          <w:divBdr>
            <w:top w:val="none" w:sz="0" w:space="0" w:color="auto"/>
            <w:left w:val="none" w:sz="0" w:space="0" w:color="auto"/>
            <w:bottom w:val="none" w:sz="0" w:space="0" w:color="auto"/>
            <w:right w:val="none" w:sz="0" w:space="0" w:color="auto"/>
          </w:divBdr>
        </w:div>
        <w:div w:id="1675184798">
          <w:marLeft w:val="0"/>
          <w:marRight w:val="0"/>
          <w:marTop w:val="0"/>
          <w:marBottom w:val="240"/>
          <w:divBdr>
            <w:top w:val="none" w:sz="0" w:space="0" w:color="auto"/>
            <w:left w:val="none" w:sz="0" w:space="0" w:color="auto"/>
            <w:bottom w:val="none" w:sz="0" w:space="0" w:color="auto"/>
            <w:right w:val="none" w:sz="0" w:space="0" w:color="auto"/>
          </w:divBdr>
        </w:div>
        <w:div w:id="1122268754">
          <w:marLeft w:val="0"/>
          <w:marRight w:val="0"/>
          <w:marTop w:val="0"/>
          <w:marBottom w:val="240"/>
          <w:divBdr>
            <w:top w:val="none" w:sz="0" w:space="0" w:color="auto"/>
            <w:left w:val="none" w:sz="0" w:space="0" w:color="auto"/>
            <w:bottom w:val="none" w:sz="0" w:space="0" w:color="auto"/>
            <w:right w:val="none" w:sz="0" w:space="0" w:color="auto"/>
          </w:divBdr>
          <w:divsChild>
            <w:div w:id="777992173">
              <w:marLeft w:val="0"/>
              <w:marRight w:val="0"/>
              <w:marTop w:val="0"/>
              <w:marBottom w:val="0"/>
              <w:divBdr>
                <w:top w:val="none" w:sz="0" w:space="0" w:color="auto"/>
                <w:left w:val="none" w:sz="0" w:space="0" w:color="auto"/>
                <w:bottom w:val="none" w:sz="0" w:space="0" w:color="auto"/>
                <w:right w:val="none" w:sz="0" w:space="0" w:color="auto"/>
              </w:divBdr>
            </w:div>
          </w:divsChild>
        </w:div>
        <w:div w:id="1632132487">
          <w:marLeft w:val="0"/>
          <w:marRight w:val="0"/>
          <w:marTop w:val="0"/>
          <w:marBottom w:val="240"/>
          <w:divBdr>
            <w:top w:val="none" w:sz="0" w:space="0" w:color="auto"/>
            <w:left w:val="none" w:sz="0" w:space="0" w:color="auto"/>
            <w:bottom w:val="none" w:sz="0" w:space="0" w:color="auto"/>
            <w:right w:val="none" w:sz="0" w:space="0" w:color="auto"/>
          </w:divBdr>
        </w:div>
        <w:div w:id="770978778">
          <w:marLeft w:val="0"/>
          <w:marRight w:val="0"/>
          <w:marTop w:val="0"/>
          <w:marBottom w:val="240"/>
          <w:divBdr>
            <w:top w:val="none" w:sz="0" w:space="0" w:color="auto"/>
            <w:left w:val="none" w:sz="0" w:space="0" w:color="auto"/>
            <w:bottom w:val="none" w:sz="0" w:space="0" w:color="auto"/>
            <w:right w:val="none" w:sz="0" w:space="0" w:color="auto"/>
          </w:divBdr>
        </w:div>
        <w:div w:id="92669529">
          <w:marLeft w:val="0"/>
          <w:marRight w:val="0"/>
          <w:marTop w:val="0"/>
          <w:marBottom w:val="240"/>
          <w:divBdr>
            <w:top w:val="none" w:sz="0" w:space="0" w:color="auto"/>
            <w:left w:val="none" w:sz="0" w:space="0" w:color="auto"/>
            <w:bottom w:val="none" w:sz="0" w:space="0" w:color="auto"/>
            <w:right w:val="none" w:sz="0" w:space="0" w:color="auto"/>
          </w:divBdr>
          <w:divsChild>
            <w:div w:id="1287544552">
              <w:blockQuote w:val="1"/>
              <w:marLeft w:val="0"/>
              <w:marRight w:val="0"/>
              <w:marTop w:val="0"/>
              <w:marBottom w:val="0"/>
              <w:divBdr>
                <w:top w:val="none" w:sz="0" w:space="0" w:color="auto"/>
                <w:left w:val="none" w:sz="0" w:space="0" w:color="auto"/>
                <w:bottom w:val="none" w:sz="0" w:space="0" w:color="auto"/>
                <w:right w:val="none" w:sz="0" w:space="0" w:color="auto"/>
              </w:divBdr>
              <w:divsChild>
                <w:div w:id="108993273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69446380">
          <w:marLeft w:val="0"/>
          <w:marRight w:val="0"/>
          <w:marTop w:val="0"/>
          <w:marBottom w:val="240"/>
          <w:divBdr>
            <w:top w:val="none" w:sz="0" w:space="0" w:color="auto"/>
            <w:left w:val="none" w:sz="0" w:space="0" w:color="auto"/>
            <w:bottom w:val="none" w:sz="0" w:space="0" w:color="auto"/>
            <w:right w:val="none" w:sz="0" w:space="0" w:color="auto"/>
          </w:divBdr>
        </w:div>
        <w:div w:id="813369858">
          <w:marLeft w:val="0"/>
          <w:marRight w:val="0"/>
          <w:marTop w:val="0"/>
          <w:marBottom w:val="240"/>
          <w:divBdr>
            <w:top w:val="none" w:sz="0" w:space="0" w:color="auto"/>
            <w:left w:val="none" w:sz="0" w:space="0" w:color="auto"/>
            <w:bottom w:val="none" w:sz="0" w:space="0" w:color="auto"/>
            <w:right w:val="none" w:sz="0" w:space="0" w:color="auto"/>
          </w:divBdr>
        </w:div>
      </w:divsChild>
    </w:div>
    <w:div w:id="2023434111">
      <w:bodyDiv w:val="1"/>
      <w:marLeft w:val="0"/>
      <w:marRight w:val="0"/>
      <w:marTop w:val="0"/>
      <w:marBottom w:val="0"/>
      <w:divBdr>
        <w:top w:val="none" w:sz="0" w:space="0" w:color="auto"/>
        <w:left w:val="none" w:sz="0" w:space="0" w:color="auto"/>
        <w:bottom w:val="none" w:sz="0" w:space="0" w:color="auto"/>
        <w:right w:val="none" w:sz="0" w:space="0" w:color="auto"/>
      </w:divBdr>
      <w:divsChild>
        <w:div w:id="11902668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620</TotalTime>
  <Pages>1</Pages>
  <Words>95943</Words>
  <Characters>546880</Characters>
  <Application>Microsoft Office Word</Application>
  <DocSecurity>0</DocSecurity>
  <Lines>4557</Lines>
  <Paragraphs>1283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Micah Byron-Smarra</dc:creator>
  <cp:keywords>6.0.0</cp:keywords>
  <dc:description/>
  <cp:lastModifiedBy>David Griffith</cp:lastModifiedBy>
  <cp:revision>385</cp:revision>
  <dcterms:created xsi:type="dcterms:W3CDTF">2025-06-25T22:31:00Z</dcterms:created>
  <dcterms:modified xsi:type="dcterms:W3CDTF">2025-07-05T20:09:00Z</dcterms:modified>
</cp:coreProperties>
</file>