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ED25" w14:textId="77777777" w:rsidR="000E370F" w:rsidRDefault="000E370F" w:rsidP="000E370F">
      <w:pPr>
        <w:pStyle w:val="Heading1"/>
      </w:pPr>
      <w:r>
        <w:t xml:space="preserve">Topicality Supplement – DGHL  </w:t>
      </w:r>
    </w:p>
    <w:p w14:paraId="67B344E8" w14:textId="35DFC703" w:rsidR="0052316D" w:rsidRDefault="0052316D" w:rsidP="0052316D">
      <w:pPr>
        <w:pStyle w:val="Heading3"/>
      </w:pPr>
      <w:r>
        <w:lastRenderedPageBreak/>
        <w:t xml:space="preserve">Notes </w:t>
      </w:r>
    </w:p>
    <w:p w14:paraId="63899B87" w14:textId="77777777" w:rsidR="0052316D" w:rsidRDefault="0052316D" w:rsidP="0052316D"/>
    <w:p w14:paraId="3EE48186" w14:textId="04DC0993" w:rsidR="0052316D" w:rsidRDefault="0052316D" w:rsidP="0052316D">
      <w:r>
        <w:t xml:space="preserve">Small Supplement to Topicality. Did some digging on T-Development and have added other “its” cards from the past. </w:t>
      </w:r>
      <w:r w:rsidR="00681E3E">
        <w:t xml:space="preserve">Made shadow update this, but will let everyone know. </w:t>
      </w:r>
    </w:p>
    <w:p w14:paraId="1A31BC81" w14:textId="77777777" w:rsidR="00681E3E" w:rsidRDefault="00681E3E" w:rsidP="0052316D"/>
    <w:p w14:paraId="483A8BEF" w14:textId="39FAD379" w:rsidR="00681E3E" w:rsidRDefault="00681E3E" w:rsidP="0052316D">
      <w:r>
        <w:t xml:space="preserve">Best, </w:t>
      </w:r>
    </w:p>
    <w:p w14:paraId="2CD01B87" w14:textId="5739FCAE" w:rsidR="00681E3E" w:rsidRDefault="00681E3E" w:rsidP="0052316D">
      <w:r>
        <w:t xml:space="preserve">Mr. Lee </w:t>
      </w:r>
    </w:p>
    <w:p w14:paraId="46537C5B" w14:textId="77777777" w:rsidR="0052316D" w:rsidRPr="0052316D" w:rsidRDefault="0052316D" w:rsidP="0052316D"/>
    <w:p w14:paraId="3CA2919D" w14:textId="7C085BB6" w:rsidR="000E370F" w:rsidRDefault="000E370F" w:rsidP="000E370F">
      <w:pPr>
        <w:pStyle w:val="Heading2"/>
      </w:pPr>
      <w:r>
        <w:t xml:space="preserve">Development </w:t>
      </w:r>
    </w:p>
    <w:p w14:paraId="43B90089" w14:textId="77777777" w:rsidR="000E370F" w:rsidRDefault="000E370F" w:rsidP="000E370F">
      <w:pPr>
        <w:pStyle w:val="Heading3"/>
      </w:pPr>
      <w:r>
        <w:t xml:space="preserve">Development of the Arctic—3 Areas </w:t>
      </w:r>
    </w:p>
    <w:p w14:paraId="2B567312" w14:textId="77777777" w:rsidR="000E370F" w:rsidRDefault="000E370F" w:rsidP="000E370F">
      <w:pPr>
        <w:pStyle w:val="Heading4"/>
      </w:pPr>
      <w:r>
        <w:t xml:space="preserve">“Development of the Arctic” can only be three concepts: Resource Extraction, Scientific Research and Tourism </w:t>
      </w:r>
    </w:p>
    <w:p w14:paraId="2E893136" w14:textId="77777777" w:rsidR="000E370F" w:rsidRPr="00D01CFC" w:rsidRDefault="000E370F" w:rsidP="000E370F">
      <w:r>
        <w:t xml:space="preserve">Valery A. </w:t>
      </w:r>
      <w:r w:rsidRPr="00D01CFC">
        <w:rPr>
          <w:rStyle w:val="Style13ptBold"/>
        </w:rPr>
        <w:t>Tsvetkov et al 20</w:t>
      </w:r>
      <w:r>
        <w:t xml:space="preserve">, Professor specializing in Economics and Management of the National Economy, Director of the IPR RAS, Doctor of Economics at Market Economy Institute of the Russian Academy of Sciences, Moscow, Russian Federation, with Mikhail N. Dudin, and Anna A. Yuryeva, “Strategic Development of the Arctic Region in the Context of Great Challenges and Threats”, Economy of Regions 16(3):680-695, </w:t>
      </w:r>
      <w:r w:rsidRPr="00541FCA">
        <w:t>https://pdfs.semanticscholar.org/a78c/41a83 bed889f5bf2ec28dc293f5c44696e65.pdf</w:t>
      </w:r>
      <w:r>
        <w:t xml:space="preserve">, September 2020 </w:t>
      </w:r>
    </w:p>
    <w:p w14:paraId="6031BCE2" w14:textId="77777777" w:rsidR="000E370F" w:rsidRPr="00D01CFC" w:rsidRDefault="000E370F" w:rsidP="000E370F">
      <w:pPr>
        <w:rPr>
          <w:sz w:val="16"/>
        </w:rPr>
      </w:pPr>
      <w:r w:rsidRPr="00D01CFC">
        <w:rPr>
          <w:sz w:val="16"/>
        </w:rPr>
        <w:t xml:space="preserve">By now, we can examine </w:t>
      </w:r>
      <w:r w:rsidRPr="00C72932">
        <w:rPr>
          <w:rStyle w:val="StyleUnderline"/>
          <w:highlight w:val="cyan"/>
        </w:rPr>
        <w:t>three</w:t>
      </w:r>
      <w:r w:rsidRPr="00D01CFC">
        <w:rPr>
          <w:rStyle w:val="StyleUnderline"/>
        </w:rPr>
        <w:t xml:space="preserve"> possible </w:t>
      </w:r>
      <w:r w:rsidRPr="00C72932">
        <w:rPr>
          <w:rStyle w:val="StyleUnderline"/>
          <w:highlight w:val="cyan"/>
        </w:rPr>
        <w:t>concepts</w:t>
      </w:r>
      <w:r w:rsidRPr="00D01CFC">
        <w:rPr>
          <w:rStyle w:val="StyleUnderline"/>
        </w:rPr>
        <w:t xml:space="preserve"> for the developmen</w:t>
      </w:r>
      <w:r w:rsidRPr="00BE1AD0">
        <w:rPr>
          <w:rStyle w:val="StyleUnderline"/>
        </w:rPr>
        <w:t>t</w:t>
      </w:r>
      <w:r w:rsidRPr="00D01CFC">
        <w:rPr>
          <w:sz w:val="16"/>
        </w:rPr>
        <w:t xml:space="preserve"> of the resource potential, which </w:t>
      </w:r>
      <w:r w:rsidRPr="00D01CFC">
        <w:rPr>
          <w:rStyle w:val="StyleUnderline"/>
        </w:rPr>
        <w:t xml:space="preserve">can be used </w:t>
      </w:r>
      <w:r w:rsidRPr="00C72932">
        <w:rPr>
          <w:rStyle w:val="StyleUnderline"/>
          <w:highlight w:val="cyan"/>
        </w:rPr>
        <w:t>as the basis for</w:t>
      </w:r>
      <w:r w:rsidRPr="00D01CFC">
        <w:rPr>
          <w:rStyle w:val="StyleUnderline"/>
        </w:rPr>
        <w:t xml:space="preserve"> the strategy </w:t>
      </w:r>
      <w:r w:rsidRPr="00D01CFC">
        <w:rPr>
          <w:sz w:val="16"/>
        </w:rPr>
        <w:t xml:space="preserve">of socio-economic and scientific-technological </w:t>
      </w:r>
      <w:r w:rsidRPr="00C72932">
        <w:rPr>
          <w:rStyle w:val="StyleUnderline"/>
          <w:highlight w:val="cyan"/>
        </w:rPr>
        <w:t>development of the</w:t>
      </w:r>
      <w:r w:rsidRPr="00D01CFC">
        <w:rPr>
          <w:rStyle w:val="StyleUnderline"/>
        </w:rPr>
        <w:t xml:space="preserve"> </w:t>
      </w:r>
      <w:r w:rsidRPr="00D01CFC">
        <w:rPr>
          <w:sz w:val="16"/>
        </w:rPr>
        <w:t xml:space="preserve">Russian </w:t>
      </w:r>
      <w:r w:rsidRPr="00C72932">
        <w:rPr>
          <w:rStyle w:val="StyleUnderline"/>
          <w:highlight w:val="cyan"/>
        </w:rPr>
        <w:t>Arctic</w:t>
      </w:r>
      <w:r w:rsidRPr="00D01CFC">
        <w:rPr>
          <w:sz w:val="16"/>
        </w:rPr>
        <w:t>:</w:t>
      </w:r>
    </w:p>
    <w:p w14:paraId="6F2802E4" w14:textId="77777777" w:rsidR="000E370F" w:rsidRPr="00D01CFC" w:rsidRDefault="000E370F" w:rsidP="000E370F">
      <w:pPr>
        <w:rPr>
          <w:sz w:val="16"/>
        </w:rPr>
      </w:pPr>
      <w:r w:rsidRPr="00D01CFC">
        <w:rPr>
          <w:rStyle w:val="StyleUnderline"/>
        </w:rPr>
        <w:t>1)</w:t>
      </w:r>
      <w:r>
        <w:rPr>
          <w:rStyle w:val="StyleUnderline"/>
        </w:rPr>
        <w:t xml:space="preserve"> </w:t>
      </w:r>
      <w:r w:rsidRPr="00C72932">
        <w:rPr>
          <w:rStyle w:val="Emphasis"/>
          <w:highlight w:val="cyan"/>
        </w:rPr>
        <w:t>resource-rental pattern</w:t>
      </w:r>
      <w:r w:rsidRPr="00C72932">
        <w:rPr>
          <w:sz w:val="16"/>
          <w:highlight w:val="cyan"/>
        </w:rPr>
        <w:t xml:space="preserve">, </w:t>
      </w:r>
      <w:r w:rsidRPr="00C72932">
        <w:rPr>
          <w:rStyle w:val="StyleUnderline"/>
          <w:highlight w:val="cyan"/>
        </w:rPr>
        <w:t>implying</w:t>
      </w:r>
      <w:r w:rsidRPr="00D01CFC">
        <w:rPr>
          <w:rStyle w:val="StyleUnderline"/>
        </w:rPr>
        <w:t xml:space="preserve"> the </w:t>
      </w:r>
      <w:r w:rsidRPr="00C72932">
        <w:rPr>
          <w:rStyle w:val="Emphasis"/>
          <w:highlight w:val="cyan"/>
        </w:rPr>
        <w:t>extraction of mineral resources</w:t>
      </w:r>
      <w:r w:rsidRPr="00C72932">
        <w:rPr>
          <w:rStyle w:val="StyleUnderline"/>
          <w:highlight w:val="cyan"/>
        </w:rPr>
        <w:t xml:space="preserve"> and</w:t>
      </w:r>
      <w:r w:rsidRPr="00D01CFC">
        <w:rPr>
          <w:rStyle w:val="StyleUnderline"/>
        </w:rPr>
        <w:t xml:space="preserve"> increasing </w:t>
      </w:r>
      <w:r w:rsidRPr="00D01CFC">
        <w:rPr>
          <w:sz w:val="16"/>
        </w:rPr>
        <w:t xml:space="preserve">commercial </w:t>
      </w:r>
      <w:r w:rsidRPr="00C72932">
        <w:rPr>
          <w:rStyle w:val="Emphasis"/>
          <w:highlight w:val="cyan"/>
        </w:rPr>
        <w:t>fishing</w:t>
      </w:r>
      <w:r w:rsidRPr="00D01CFC">
        <w:rPr>
          <w:sz w:val="16"/>
        </w:rPr>
        <w:t xml:space="preserve"> of northern fish in the exclusive economic zone;</w:t>
      </w:r>
    </w:p>
    <w:p w14:paraId="6D03C808" w14:textId="77777777" w:rsidR="000E370F" w:rsidRPr="00D01CFC" w:rsidRDefault="000E370F" w:rsidP="000E370F">
      <w:pPr>
        <w:rPr>
          <w:sz w:val="16"/>
        </w:rPr>
      </w:pPr>
      <w:r w:rsidRPr="00D01CFC">
        <w:rPr>
          <w:rStyle w:val="StyleUnderline"/>
        </w:rPr>
        <w:t xml:space="preserve">2) </w:t>
      </w:r>
      <w:r w:rsidRPr="00C72932">
        <w:rPr>
          <w:rStyle w:val="StyleUnderline"/>
          <w:highlight w:val="cyan"/>
        </w:rPr>
        <w:t>scientific research</w:t>
      </w:r>
      <w:r w:rsidRPr="00D01CFC">
        <w:rPr>
          <w:rStyle w:val="StyleUnderline"/>
        </w:rPr>
        <w:t xml:space="preserve"> model</w:t>
      </w:r>
      <w:r w:rsidRPr="00D01CFC">
        <w:rPr>
          <w:rStyle w:val="Style13ptBold"/>
          <w:sz w:val="16"/>
        </w:rPr>
        <w:t xml:space="preserve"> </w:t>
      </w:r>
      <w:r w:rsidRPr="00D01CFC">
        <w:rPr>
          <w:sz w:val="16"/>
        </w:rPr>
        <w:t xml:space="preserve">that presupposes the conservation of the Arctic ecosystem </w:t>
      </w:r>
      <w:r w:rsidRPr="00C72932">
        <w:rPr>
          <w:rStyle w:val="StyleUnderline"/>
          <w:highlight w:val="cyan"/>
        </w:rPr>
        <w:t>and</w:t>
      </w:r>
      <w:r w:rsidRPr="00D01CFC">
        <w:rPr>
          <w:sz w:val="16"/>
        </w:rPr>
        <w:t xml:space="preserve"> the </w:t>
      </w:r>
      <w:r w:rsidRPr="00D01CFC">
        <w:rPr>
          <w:rStyle w:val="StyleUnderline"/>
        </w:rPr>
        <w:t xml:space="preserve">deployment of specialized scientific landings </w:t>
      </w:r>
      <w:r w:rsidRPr="00D01CFC">
        <w:rPr>
          <w:sz w:val="16"/>
        </w:rPr>
        <w:t>in the Arctic;</w:t>
      </w:r>
    </w:p>
    <w:p w14:paraId="2280348C" w14:textId="4EDCAFE2" w:rsidR="000E370F" w:rsidRPr="004D0B2A" w:rsidRDefault="000E370F" w:rsidP="000E370F">
      <w:pPr>
        <w:rPr>
          <w:sz w:val="16"/>
        </w:rPr>
      </w:pPr>
      <w:r w:rsidRPr="00D01CFC">
        <w:rPr>
          <w:sz w:val="16"/>
        </w:rPr>
        <w:t>3</w:t>
      </w:r>
      <w:r w:rsidRPr="00D01CFC">
        <w:rPr>
          <w:rStyle w:val="StyleUnderline"/>
        </w:rPr>
        <w:t xml:space="preserve">) </w:t>
      </w:r>
      <w:r w:rsidRPr="00C72932">
        <w:rPr>
          <w:rStyle w:val="StyleUnderline"/>
          <w:highlight w:val="cyan"/>
        </w:rPr>
        <w:t>transport and tourism</w:t>
      </w:r>
      <w:r w:rsidRPr="00D01CFC">
        <w:rPr>
          <w:rStyle w:val="StyleUnderline"/>
        </w:rPr>
        <w:t xml:space="preserve"> model</w:t>
      </w:r>
      <w:r w:rsidRPr="00D01CFC">
        <w:rPr>
          <w:sz w:val="16"/>
        </w:rPr>
        <w:t xml:space="preserve">, involving the active exploitation of the NSR and the </w:t>
      </w:r>
      <w:r w:rsidRPr="00C72932">
        <w:rPr>
          <w:rStyle w:val="StyleUnderline"/>
        </w:rPr>
        <w:t>development</w:t>
      </w:r>
      <w:r w:rsidRPr="00D01CFC">
        <w:rPr>
          <w:rStyle w:val="StyleUnderline"/>
        </w:rPr>
        <w:t xml:space="preserve"> of tourism</w:t>
      </w:r>
      <w:r w:rsidRPr="00D01CFC">
        <w:rPr>
          <w:sz w:val="16"/>
        </w:rPr>
        <w:t xml:space="preserve"> in the Arctic region.</w:t>
      </w:r>
    </w:p>
    <w:p w14:paraId="2B6C9628" w14:textId="77777777" w:rsidR="000E370F" w:rsidRDefault="000E370F" w:rsidP="000E370F">
      <w:pPr>
        <w:pStyle w:val="Heading4"/>
      </w:pPr>
      <w:r>
        <w:t xml:space="preserve">US past “development of the Arctic” is solely focused on economic gains—extraction of resources, boosting transportation, and science research </w:t>
      </w:r>
    </w:p>
    <w:p w14:paraId="7FC95851" w14:textId="77777777" w:rsidR="000E370F" w:rsidRDefault="000E370F" w:rsidP="000E370F">
      <w:r>
        <w:t xml:space="preserve">Nikolay I. </w:t>
      </w:r>
      <w:r w:rsidRPr="00F0573F">
        <w:rPr>
          <w:rStyle w:val="Style13ptBold"/>
        </w:rPr>
        <w:t>Didenko et al 18</w:t>
      </w:r>
      <w:r>
        <w:t xml:space="preserve">, Professor, Doctor of Economics, Peter the Great St. Petersburg Polytechnic University, with D. F. Skripnuk, K. N. Kikkas, V. Merkulov, G. Romashkin, and S. V. Kulik, “The analysis of convergence — Divergence in the development of innovative and technological processes in the countries of the Arctic Council”, </w:t>
      </w:r>
      <w:r w:rsidRPr="00F0573F">
        <w:rPr>
          <w:i/>
          <w:iCs/>
        </w:rPr>
        <w:t>2018 International Conference on Information Networking (ICOIN), Chiang Mai, Thailand, 2018, pp. 626-631</w:t>
      </w:r>
      <w:r>
        <w:t xml:space="preserve">, doi: 10.1109/ICOIN.2018.8343194, April 23, 2018 </w:t>
      </w:r>
    </w:p>
    <w:p w14:paraId="6A4E08D2" w14:textId="77777777" w:rsidR="000E370F" w:rsidRPr="00C72932" w:rsidRDefault="000E370F" w:rsidP="000E370F">
      <w:pPr>
        <w:rPr>
          <w:sz w:val="14"/>
        </w:rPr>
      </w:pPr>
      <w:r w:rsidRPr="00C72932">
        <w:rPr>
          <w:sz w:val="14"/>
        </w:rPr>
        <w:t xml:space="preserve">The United States of America. </w:t>
      </w:r>
      <w:r w:rsidRPr="00C72932">
        <w:rPr>
          <w:rStyle w:val="StyleUnderline"/>
          <w:highlight w:val="cyan"/>
        </w:rPr>
        <w:t>For the U</w:t>
      </w:r>
      <w:r w:rsidRPr="00F0573F">
        <w:rPr>
          <w:rStyle w:val="StyleUnderline"/>
        </w:rPr>
        <w:t xml:space="preserve">nited </w:t>
      </w:r>
      <w:r w:rsidRPr="00C72932">
        <w:rPr>
          <w:rStyle w:val="StyleUnderline"/>
          <w:highlight w:val="cyan"/>
        </w:rPr>
        <w:t>S</w:t>
      </w:r>
      <w:r w:rsidRPr="00F0573F">
        <w:rPr>
          <w:rStyle w:val="StyleUnderline"/>
        </w:rPr>
        <w:t xml:space="preserve">tates </w:t>
      </w:r>
      <w:r w:rsidRPr="00C72932">
        <w:rPr>
          <w:rStyle w:val="StyleUnderline"/>
          <w:highlight w:val="cyan"/>
        </w:rPr>
        <w:t>in the Arctic</w:t>
      </w:r>
      <w:r w:rsidRPr="00F0573F">
        <w:rPr>
          <w:rStyle w:val="StyleUnderline"/>
        </w:rPr>
        <w:t xml:space="preserve"> region,</w:t>
      </w:r>
      <w:r w:rsidRPr="00C72932">
        <w:rPr>
          <w:sz w:val="14"/>
        </w:rPr>
        <w:t xml:space="preserve"> </w:t>
      </w:r>
      <w:r w:rsidRPr="00F0573F">
        <w:rPr>
          <w:rStyle w:val="StyleUnderline"/>
        </w:rPr>
        <w:t>the most important issue is ensuring internal and external security</w:t>
      </w:r>
      <w:r w:rsidRPr="00C72932">
        <w:rPr>
          <w:sz w:val="14"/>
        </w:rPr>
        <w:t xml:space="preserve"> of the country. This thesis was enshrined in the 2015 National Security Strategy of the United States, approved in February 2015. The </w:t>
      </w:r>
      <w:r w:rsidRPr="00C72932">
        <w:rPr>
          <w:rStyle w:val="StyleUnderline"/>
          <w:highlight w:val="cyan"/>
        </w:rPr>
        <w:t>priorities</w:t>
      </w:r>
      <w:r w:rsidRPr="00C72932">
        <w:rPr>
          <w:sz w:val="14"/>
        </w:rPr>
        <w:t xml:space="preserve"> mentioned </w:t>
      </w:r>
      <w:r w:rsidRPr="00C72932">
        <w:rPr>
          <w:rStyle w:val="StyleUnderline"/>
          <w:highlight w:val="cyan"/>
        </w:rPr>
        <w:t>include</w:t>
      </w:r>
      <w:r w:rsidRPr="00F0573F">
        <w:rPr>
          <w:rStyle w:val="StyleUnderline"/>
        </w:rPr>
        <w:t xml:space="preserve">: extension of the limits </w:t>
      </w:r>
      <w:r w:rsidRPr="00C72932">
        <w:rPr>
          <w:sz w:val="14"/>
        </w:rPr>
        <w:t xml:space="preserve">of the continental shelf of the United States and resolving border issues; scientific research and international cooperation in this field; </w:t>
      </w:r>
      <w:r w:rsidRPr="00F0573F">
        <w:rPr>
          <w:rStyle w:val="StyleUnderline"/>
        </w:rPr>
        <w:t>the</w:t>
      </w:r>
      <w:r w:rsidRPr="00C72932">
        <w:rPr>
          <w:sz w:val="14"/>
        </w:rPr>
        <w:t xml:space="preserve"> </w:t>
      </w:r>
      <w:r w:rsidRPr="00C72932">
        <w:rPr>
          <w:rStyle w:val="StyleUnderline"/>
          <w:highlight w:val="cyan"/>
        </w:rPr>
        <w:t>development of</w:t>
      </w:r>
      <w:r w:rsidRPr="00F0573F">
        <w:rPr>
          <w:rStyle w:val="StyleUnderline"/>
        </w:rPr>
        <w:t xml:space="preserve"> </w:t>
      </w:r>
      <w:r w:rsidRPr="00C72932">
        <w:rPr>
          <w:rStyle w:val="StyleUnderline"/>
          <w:highlight w:val="cyan"/>
        </w:rPr>
        <w:t>maritime transport</w:t>
      </w:r>
      <w:r w:rsidRPr="00F0573F">
        <w:rPr>
          <w:rStyle w:val="StyleUnderline"/>
        </w:rPr>
        <w:t xml:space="preserve"> </w:t>
      </w:r>
      <w:r w:rsidRPr="00C72932">
        <w:rPr>
          <w:sz w:val="14"/>
        </w:rPr>
        <w:t xml:space="preserve">in the Arctic; </w:t>
      </w:r>
      <w:r w:rsidRPr="00C72932">
        <w:rPr>
          <w:rStyle w:val="StyleUnderline"/>
          <w:highlight w:val="cyan"/>
        </w:rPr>
        <w:t>economic development, including energy;</w:t>
      </w:r>
      <w:r w:rsidRPr="00F0573F">
        <w:rPr>
          <w:rStyle w:val="StyleUnderline"/>
        </w:rPr>
        <w:t xml:space="preserve"> environmental protection </w:t>
      </w:r>
      <w:r w:rsidRPr="00C72932">
        <w:rPr>
          <w:rStyle w:val="StyleUnderline"/>
          <w:highlight w:val="cyan"/>
        </w:rPr>
        <w:t>and</w:t>
      </w:r>
      <w:r w:rsidRPr="00F0573F">
        <w:rPr>
          <w:rStyle w:val="StyleUnderline"/>
        </w:rPr>
        <w:t xml:space="preserve"> conservation of natural resources.</w:t>
      </w:r>
      <w:r w:rsidRPr="00C72932">
        <w:rPr>
          <w:sz w:val="14"/>
        </w:rPr>
        <w:t xml:space="preserve"> In</w:t>
      </w:r>
      <w:r w:rsidRPr="00F0573F">
        <w:rPr>
          <w:rStyle w:val="StyleUnderline"/>
        </w:rPr>
        <w:t xml:space="preserve"> the USA </w:t>
      </w:r>
      <w:r w:rsidRPr="00C72932">
        <w:rPr>
          <w:rStyle w:val="StyleUnderline"/>
          <w:highlight w:val="cyan"/>
        </w:rPr>
        <w:t>the development of the Arctic research</w:t>
      </w:r>
      <w:r w:rsidRPr="00F0573F">
        <w:rPr>
          <w:rStyle w:val="StyleUnderline"/>
        </w:rPr>
        <w:t xml:space="preserve"> </w:t>
      </w:r>
      <w:r w:rsidRPr="00C72932">
        <w:rPr>
          <w:rStyle w:val="StyleUnderline"/>
          <w:highlight w:val="cyan"/>
        </w:rPr>
        <w:t>programs</w:t>
      </w:r>
      <w:r w:rsidRPr="00F0573F">
        <w:rPr>
          <w:rStyle w:val="StyleUnderline"/>
        </w:rPr>
        <w:t xml:space="preserve"> is conducted by the U</w:t>
      </w:r>
      <w:r w:rsidRPr="00C72932">
        <w:rPr>
          <w:sz w:val="14"/>
        </w:rPr>
        <w:t xml:space="preserve">nited </w:t>
      </w:r>
      <w:r w:rsidRPr="00F0573F">
        <w:rPr>
          <w:rStyle w:val="StyleUnderline"/>
        </w:rPr>
        <w:t>S</w:t>
      </w:r>
      <w:r w:rsidRPr="00C72932">
        <w:rPr>
          <w:sz w:val="14"/>
        </w:rPr>
        <w:t xml:space="preserve">tates </w:t>
      </w:r>
      <w:r w:rsidRPr="00F0573F">
        <w:rPr>
          <w:rStyle w:val="StyleUnderline"/>
        </w:rPr>
        <w:t xml:space="preserve">Arctic Research Commission, </w:t>
      </w:r>
      <w:r w:rsidRPr="00C72932">
        <w:rPr>
          <w:sz w:val="14"/>
        </w:rPr>
        <w:t xml:space="preserve">and </w:t>
      </w:r>
      <w:r w:rsidRPr="00F0573F">
        <w:rPr>
          <w:rStyle w:val="StyleUnderline"/>
        </w:rPr>
        <w:t xml:space="preserve">in order to collaborate with the research institutions </w:t>
      </w:r>
      <w:r w:rsidRPr="00C72932">
        <w:rPr>
          <w:sz w:val="14"/>
        </w:rPr>
        <w:t xml:space="preserve">and universities a non-profit organization - Consortium for Arctic research (ARCUS) was created in 1988 [14]. </w:t>
      </w:r>
    </w:p>
    <w:p w14:paraId="4EB5419F" w14:textId="77777777" w:rsidR="000E370F" w:rsidRDefault="000E370F" w:rsidP="000E370F">
      <w:pPr>
        <w:pStyle w:val="Heading3"/>
      </w:pPr>
      <w:r>
        <w:t xml:space="preserve">Development of the Arctic—Minerals </w:t>
      </w:r>
    </w:p>
    <w:p w14:paraId="1AA348BB" w14:textId="77777777" w:rsidR="000E370F" w:rsidRDefault="000E370F" w:rsidP="000E370F">
      <w:pPr>
        <w:pStyle w:val="Heading4"/>
      </w:pPr>
      <w:r>
        <w:t xml:space="preserve">“Development of the Arctic” is the process of exploiting resources. </w:t>
      </w:r>
    </w:p>
    <w:p w14:paraId="0529EADB" w14:textId="77777777" w:rsidR="000E370F" w:rsidRPr="00BC6827" w:rsidRDefault="000E370F" w:rsidP="000E370F">
      <w:r>
        <w:t xml:space="preserve">Matthais </w:t>
      </w:r>
      <w:r w:rsidRPr="00BC6827">
        <w:rPr>
          <w:rStyle w:val="Style13ptBold"/>
        </w:rPr>
        <w:t>Finger 22</w:t>
      </w:r>
      <w:r>
        <w:t xml:space="preserve">, Professor Emeritus from Ecole Polytechnique Fédérale in Lausanne, Switzerland (EPFL), a part-time professor at the European University Institute (EUI) in Florence, Italy, a full professor at Istanbul Technical University (ITÜ) and a research professor at Northern Arctic Federal University (NArFU), Arkhangelsk, Russia, “Sustainable Development of the Arctic?”, Chapter 17 of </w:t>
      </w:r>
      <w:r w:rsidRPr="00BC6827">
        <w:rPr>
          <w:i/>
          <w:iCs/>
        </w:rPr>
        <w:t>Global Arctic: An Introduction to the Multifaceted Dynamics of the Arctic</w:t>
      </w:r>
      <w:r>
        <w:t xml:space="preserve"> by Matthais Finger and Gunnar Rekvig, Pages pp 331–348, </w:t>
      </w:r>
      <w:r w:rsidRPr="00BC6827">
        <w:t>https://link.springer.com</w:t>
      </w:r>
      <w:r w:rsidRPr="00BC6827">
        <w:br/>
        <w:t>/chapter/10.1007/978-3-030-81253-9_17#citeas</w:t>
      </w:r>
      <w:r>
        <w:t>, February 25, 2022</w:t>
      </w:r>
    </w:p>
    <w:p w14:paraId="34237A86" w14:textId="77777777" w:rsidR="000E370F" w:rsidRPr="00BC6827" w:rsidRDefault="000E370F" w:rsidP="000E370F">
      <w:pPr>
        <w:rPr>
          <w:sz w:val="16"/>
        </w:rPr>
      </w:pPr>
      <w:r w:rsidRPr="00BC6827">
        <w:rPr>
          <w:sz w:val="16"/>
        </w:rPr>
        <w:t xml:space="preserve">In this section, I examine how the Development of the Arctic will most probably look like. </w:t>
      </w:r>
      <w:r w:rsidRPr="00C72932">
        <w:rPr>
          <w:rStyle w:val="StyleUnderline"/>
          <w:highlight w:val="cyan"/>
        </w:rPr>
        <w:t>We have</w:t>
      </w:r>
      <w:r w:rsidRPr="00BC6827">
        <w:rPr>
          <w:rStyle w:val="StyleUnderline"/>
        </w:rPr>
        <w:t xml:space="preserve"> already </w:t>
      </w:r>
      <w:r w:rsidRPr="00C72932">
        <w:rPr>
          <w:rStyle w:val="StyleUnderline"/>
          <w:highlight w:val="cyan"/>
        </w:rPr>
        <w:t>seen</w:t>
      </w:r>
      <w:r w:rsidRPr="00BC6827">
        <w:rPr>
          <w:rStyle w:val="StyleUnderline"/>
        </w:rPr>
        <w:t xml:space="preserve"> that </w:t>
      </w:r>
      <w:r w:rsidRPr="00C72932">
        <w:rPr>
          <w:rStyle w:val="StyleUnderline"/>
          <w:highlight w:val="cyan"/>
        </w:rPr>
        <w:t>the</w:t>
      </w:r>
      <w:r w:rsidRPr="00C72932">
        <w:rPr>
          <w:rStyle w:val="Emphasis"/>
          <w:highlight w:val="cyan"/>
        </w:rPr>
        <w:t xml:space="preserve"> Development of the Arctic</w:t>
      </w:r>
      <w:r w:rsidRPr="00BC6827">
        <w:rPr>
          <w:rStyle w:val="StyleUnderline"/>
        </w:rPr>
        <w:t xml:space="preserve"> will be </w:t>
      </w:r>
      <w:r w:rsidRPr="00C72932">
        <w:rPr>
          <w:rStyle w:val="Emphasis"/>
          <w:highlight w:val="cyan"/>
        </w:rPr>
        <w:t xml:space="preserve">mainly about </w:t>
      </w:r>
      <w:r w:rsidRPr="00C72932">
        <w:rPr>
          <w:rStyle w:val="StyleUnderline"/>
          <w:highlight w:val="cyan"/>
        </w:rPr>
        <w:t>the exploitation of resources,</w:t>
      </w:r>
      <w:r w:rsidRPr="00BC6827">
        <w:rPr>
          <w:rStyle w:val="StyleUnderline"/>
        </w:rPr>
        <w:t xml:space="preserve"> </w:t>
      </w:r>
      <w:r w:rsidRPr="00C72932">
        <w:rPr>
          <w:rStyle w:val="StyleUnderline"/>
          <w:highlight w:val="cyan"/>
        </w:rPr>
        <w:t>particularly oil, gas, and minerals</w:t>
      </w:r>
      <w:r w:rsidRPr="00C72932">
        <w:rPr>
          <w:sz w:val="16"/>
          <w:highlight w:val="cyan"/>
        </w:rPr>
        <w:t>.</w:t>
      </w:r>
      <w:r w:rsidRPr="00C72932">
        <w:rPr>
          <w:rStyle w:val="StyleUnderline"/>
          <w:highlight w:val="cyan"/>
        </w:rPr>
        <w:t xml:space="preserve"> There may also be Arctic shipping and fisheries</w:t>
      </w:r>
      <w:r w:rsidRPr="00BC6827">
        <w:rPr>
          <w:rStyle w:val="StyleUnderline"/>
        </w:rPr>
        <w:t xml:space="preserve"> exploitation for the (short) time that there will be fis</w:t>
      </w:r>
      <w:r w:rsidRPr="00BC6827">
        <w:rPr>
          <w:sz w:val="16"/>
        </w:rPr>
        <w:t>h. All of these</w:t>
      </w:r>
      <w:r w:rsidRPr="00BC6827">
        <w:rPr>
          <w:rStyle w:val="StyleUnderline"/>
        </w:rPr>
        <w:t xml:space="preserve"> activities will require investments into infrastructure for such exploitation, as well as access and transport infrastructures</w:t>
      </w:r>
      <w:r w:rsidRPr="00BC6827">
        <w:rPr>
          <w:sz w:val="16"/>
        </w:rPr>
        <w:t xml:space="preserve">. This may be accompanied by broader construction projects for housing. </w:t>
      </w:r>
      <w:r w:rsidRPr="00C72932">
        <w:rPr>
          <w:rStyle w:val="StyleUnderline"/>
          <w:highlight w:val="cyan"/>
        </w:rPr>
        <w:t>However</w:t>
      </w:r>
      <w:r w:rsidRPr="00C72932">
        <w:rPr>
          <w:sz w:val="16"/>
          <w:highlight w:val="cyan"/>
        </w:rPr>
        <w:t xml:space="preserve">, </w:t>
      </w:r>
      <w:r w:rsidRPr="00C72932">
        <w:rPr>
          <w:rStyle w:val="StyleUnderline"/>
          <w:highlight w:val="cyan"/>
        </w:rPr>
        <w:t xml:space="preserve">all of these infrastructures will mostly </w:t>
      </w:r>
      <w:r w:rsidRPr="00C72932">
        <w:rPr>
          <w:rStyle w:val="Emphasis"/>
          <w:highlight w:val="cyan"/>
        </w:rPr>
        <w:t>remain supportive of resources exploitation</w:t>
      </w:r>
      <w:r w:rsidRPr="00BC6827">
        <w:rPr>
          <w:rStyle w:val="Emphasis"/>
        </w:rPr>
        <w:t>,</w:t>
      </w:r>
      <w:r w:rsidRPr="00BC6827">
        <w:rPr>
          <w:rStyle w:val="StyleUnderline"/>
        </w:rPr>
        <w:t xml:space="preserve"> even though </w:t>
      </w:r>
      <w:r w:rsidRPr="00C72932">
        <w:rPr>
          <w:rStyle w:val="StyleUnderline"/>
          <w:highlight w:val="cyan"/>
        </w:rPr>
        <w:t>they</w:t>
      </w:r>
      <w:r w:rsidRPr="00BC6827">
        <w:rPr>
          <w:rStyle w:val="StyleUnderline"/>
        </w:rPr>
        <w:t xml:space="preserve"> </w:t>
      </w:r>
      <w:r w:rsidRPr="00C72932">
        <w:rPr>
          <w:rStyle w:val="StyleUnderline"/>
        </w:rPr>
        <w:t>may</w:t>
      </w:r>
      <w:r w:rsidRPr="00BC6827">
        <w:rPr>
          <w:rStyle w:val="StyleUnderline"/>
        </w:rPr>
        <w:t xml:space="preserve"> </w:t>
      </w:r>
      <w:r w:rsidRPr="00C72932">
        <w:rPr>
          <w:rStyle w:val="StyleUnderline"/>
          <w:highlight w:val="cyan"/>
        </w:rPr>
        <w:t>generate</w:t>
      </w:r>
      <w:r w:rsidRPr="00BC6827">
        <w:rPr>
          <w:rStyle w:val="StyleUnderline"/>
        </w:rPr>
        <w:t xml:space="preserve"> important </w:t>
      </w:r>
      <w:r w:rsidRPr="00C72932">
        <w:rPr>
          <w:rStyle w:val="StyleUnderline"/>
          <w:highlight w:val="cyan"/>
        </w:rPr>
        <w:t>economic activities</w:t>
      </w:r>
      <w:r w:rsidRPr="00BC6827">
        <w:rPr>
          <w:rStyle w:val="StyleUnderline"/>
        </w:rPr>
        <w:t xml:space="preserve"> in themselves.</w:t>
      </w:r>
      <w:r w:rsidRPr="00BC6827">
        <w:rPr>
          <w:sz w:val="16"/>
        </w:rPr>
        <w:t xml:space="preserve"> Thus, I will only focus on resources exploitation here. In order to do that, I will proceed in two steps. I will first identify the main actors of such resources exploitation in the Arctic, as well as reflect on their motives (States) and their incentives (companies). In a second step, I will discuss what the exploitation of such resources will look like from the perspective of the peoples who are supposed to be the beneficiaries of “sustainable development”.</w:t>
      </w:r>
    </w:p>
    <w:p w14:paraId="50202B8A" w14:textId="77777777" w:rsidR="000E370F" w:rsidRPr="00FD08C1" w:rsidRDefault="000E370F" w:rsidP="000E370F">
      <w:pPr>
        <w:rPr>
          <w:sz w:val="16"/>
          <w:szCs w:val="16"/>
        </w:rPr>
      </w:pPr>
      <w:r w:rsidRPr="00FD08C1">
        <w:rPr>
          <w:sz w:val="16"/>
          <w:szCs w:val="16"/>
        </w:rPr>
        <w:t>Actors of Arctic Development</w:t>
      </w:r>
    </w:p>
    <w:p w14:paraId="7D332432" w14:textId="77777777" w:rsidR="000E370F" w:rsidRPr="00FD08C1" w:rsidRDefault="000E370F" w:rsidP="000E370F">
      <w:pPr>
        <w:rPr>
          <w:sz w:val="16"/>
        </w:rPr>
      </w:pPr>
      <w:r w:rsidRPr="00BC6827">
        <w:rPr>
          <w:sz w:val="16"/>
        </w:rPr>
        <w:t xml:space="preserve">Krivorotov and Finger (2018) identified the main actors of Arctic resource exploitation and concluded that they are </w:t>
      </w:r>
      <w:r w:rsidRPr="00BC6827">
        <w:rPr>
          <w:rStyle w:val="StyleUnderline"/>
        </w:rPr>
        <w:t>mostly state-owned enterprises (SOEs), either owned be the Arctic States themselves or by governments of other countries interested in the Arctic</w:t>
      </w:r>
      <w:r w:rsidRPr="00BC6827">
        <w:rPr>
          <w:sz w:val="16"/>
        </w:rPr>
        <w:t xml:space="preserve"> (such as China and France). </w:t>
      </w:r>
      <w:r w:rsidRPr="00BC6827">
        <w:rPr>
          <w:rStyle w:val="StyleUnderline"/>
        </w:rPr>
        <w:t>More private companies operate in the US Arctic</w:t>
      </w:r>
      <w:r w:rsidRPr="00BC6827">
        <w:rPr>
          <w:sz w:val="16"/>
        </w:rPr>
        <w:t>. However, their relationship with government is similar to that of SOEs (Finger, 2013), a conclusion also supported by Kaznatcheev and Balazeva (2016). Furthermore, Krivorotov and Finger (2018) analyzed the strategies of the two most important SOEs operating in the Arctic – Russian Gazprom and Norwegian Statoil, now rebranded Equinor – and drew some interesting conclusions, that can be generalized to other development actors in the Arctic, beyond oil and gas and beyond Russia and Norway.</w:t>
      </w:r>
    </w:p>
    <w:p w14:paraId="2E0094EA" w14:textId="77777777" w:rsidR="000E370F" w:rsidRPr="00FD08C1" w:rsidRDefault="000E370F" w:rsidP="000E370F">
      <w:pPr>
        <w:rPr>
          <w:sz w:val="16"/>
          <w:szCs w:val="16"/>
        </w:rPr>
      </w:pPr>
      <w:r w:rsidRPr="00FD08C1">
        <w:rPr>
          <w:sz w:val="16"/>
          <w:szCs w:val="16"/>
        </w:rPr>
        <w:t>Overall, exploiting resources in the Arctic has been and remains a risky business, which companies can rarely shoulder by themselves. Whatever the companies, they will have to need government support in various forms, be it in terms of financing supporting infrastructures (access roads, ports, icebreakers), risk guarantees, preferential concessions, preferential loans, tax brakes, operational subsidies, and others. Such government support is ever more likely, the better the relationship of the company with the government, something that favors SOEs.</w:t>
      </w:r>
    </w:p>
    <w:p w14:paraId="675DAD7F" w14:textId="77777777" w:rsidR="000E370F" w:rsidRPr="00FD08C1" w:rsidRDefault="000E370F" w:rsidP="000E370F">
      <w:pPr>
        <w:rPr>
          <w:sz w:val="16"/>
          <w:szCs w:val="16"/>
        </w:rPr>
      </w:pPr>
      <w:r w:rsidRPr="00FD08C1">
        <w:rPr>
          <w:sz w:val="16"/>
          <w:szCs w:val="16"/>
        </w:rPr>
        <w:t>However, this supportive relationship is reciprocal: government support is more likely to be given to companies that a government trusts or more easily controls than to private and foreign operators. This again leads to SOEs, such as Gazprom and Equinor. But there are many others, such as Rosneft and Novatek in Russia , as well as Petoro in Norway . In the US Arctic, concessions are typically given to US companies; even though they are not state-owned, they build on long-term trusted relationships with government. There is naturally a need for particular technical expertise, given the harsh Arctic environment. Such expertise is often lacking among the Russian companies, so they team up (joint ventures) with semi-state-owned companies (such as ENI, Total).</w:t>
      </w:r>
    </w:p>
    <w:p w14:paraId="0FD5CED6" w14:textId="77777777" w:rsidR="000E370F" w:rsidRPr="00FD08C1" w:rsidRDefault="000E370F" w:rsidP="000E370F">
      <w:pPr>
        <w:rPr>
          <w:sz w:val="16"/>
          <w:szCs w:val="16"/>
        </w:rPr>
      </w:pPr>
      <w:r w:rsidRPr="00FD08C1">
        <w:rPr>
          <w:sz w:val="16"/>
          <w:szCs w:val="16"/>
        </w:rPr>
        <w:t>This reliance on SOEs is even more important for countries for which oil and gas is of strategic economic importance. To recall, “more than 80% of Russia ’s exports are oil, natural gas, metals and timber, approximately half of which stem from the Arctic region. Similarly, Norway ’s export of oil and gas constitute 45% of its total exports and more than 20% of its GDP” (Krivorotov and Finger, 2018: 58). Quite logically, government will be more likely to entrust their own with the exploitation of such strategic resources than be reliant on companies that are more subject to market dynamics with the risk of them eventually leaving less profitable ventures.</w:t>
      </w:r>
    </w:p>
    <w:p w14:paraId="186C9839" w14:textId="77777777" w:rsidR="000E370F" w:rsidRPr="00FD08C1" w:rsidRDefault="000E370F" w:rsidP="000E370F">
      <w:pPr>
        <w:rPr>
          <w:sz w:val="16"/>
          <w:szCs w:val="16"/>
        </w:rPr>
      </w:pPr>
      <w:r w:rsidRPr="00FD08C1">
        <w:rPr>
          <w:sz w:val="16"/>
          <w:szCs w:val="16"/>
        </w:rPr>
        <w:t>Again, this relationship is reciprocal: foreign private companies that would like to become active in the Arctic minimize their investment and political risks by teaming up with SOEs or directly with governments.</w:t>
      </w:r>
    </w:p>
    <w:p w14:paraId="19188A31" w14:textId="77777777" w:rsidR="000E370F" w:rsidRPr="00BC6827" w:rsidRDefault="000E370F" w:rsidP="000E370F">
      <w:pPr>
        <w:rPr>
          <w:sz w:val="16"/>
        </w:rPr>
      </w:pPr>
      <w:r w:rsidRPr="00BC6827">
        <w:rPr>
          <w:sz w:val="16"/>
        </w:rPr>
        <w:t>These same considerations can also be</w:t>
      </w:r>
      <w:r w:rsidRPr="00BC6827">
        <w:rPr>
          <w:rStyle w:val="StyleUnderline"/>
        </w:rPr>
        <w:t xml:space="preserve"> extended to mineral resources, even though t</w:t>
      </w:r>
      <w:r w:rsidRPr="00C72932">
        <w:rPr>
          <w:rStyle w:val="StyleUnderline"/>
          <w:highlight w:val="cyan"/>
        </w:rPr>
        <w:t>here are more mining than oil and gas companies active in Arctic resource extraction</w:t>
      </w:r>
      <w:r w:rsidRPr="00BC6827">
        <w:rPr>
          <w:sz w:val="16"/>
        </w:rPr>
        <w:t>. However, this is probably due more to the fact that there are very different types of minerals available in the Arctic and many companies tend to be specialized (such as nickel, cobalt, copper, zinc, lead, tungsten, titanium, zirconium, gold, silver, platinum, palladium, diamonds, and uranium). Fishing and tourism companies are mostly privately owned.</w:t>
      </w:r>
    </w:p>
    <w:p w14:paraId="5D7A3837" w14:textId="77777777" w:rsidR="000E370F" w:rsidRPr="00BC6827" w:rsidRDefault="000E370F" w:rsidP="000E370F">
      <w:pPr>
        <w:rPr>
          <w:sz w:val="16"/>
        </w:rPr>
      </w:pPr>
      <w:r w:rsidRPr="00BC6827">
        <w:rPr>
          <w:sz w:val="16"/>
        </w:rPr>
        <w:t>Despite the discourse on sustainable development,</w:t>
      </w:r>
      <w:r w:rsidRPr="00BC6827">
        <w:rPr>
          <w:rStyle w:val="StyleUnderline"/>
        </w:rPr>
        <w:t xml:space="preserve"> this is </w:t>
      </w:r>
      <w:r w:rsidRPr="00C72932">
        <w:rPr>
          <w:rStyle w:val="StyleUnderline"/>
          <w:highlight w:val="cyan"/>
        </w:rPr>
        <w:t>what development in the Arctic is</w:t>
      </w:r>
      <w:r w:rsidRPr="00BC6827">
        <w:rPr>
          <w:rStyle w:val="StyleUnderline"/>
        </w:rPr>
        <w:t xml:space="preserve"> and will essentially be about</w:t>
      </w:r>
      <w:r w:rsidRPr="00BC6827">
        <w:rPr>
          <w:sz w:val="16"/>
        </w:rPr>
        <w:t>. This is also the kind of</w:t>
      </w:r>
      <w:r w:rsidRPr="00BC6827">
        <w:rPr>
          <w:rStyle w:val="StyleUnderline"/>
        </w:rPr>
        <w:t xml:space="preserve"> development that </w:t>
      </w:r>
      <w:r w:rsidRPr="00C72932">
        <w:rPr>
          <w:rStyle w:val="StyleUnderline"/>
          <w:highlight w:val="cyan"/>
        </w:rPr>
        <w:t>governments prefer</w:t>
      </w:r>
      <w:r w:rsidRPr="00BC6827">
        <w:rPr>
          <w:rStyle w:val="StyleUnderline"/>
        </w:rPr>
        <w:t xml:space="preserve">, as such development is </w:t>
      </w:r>
      <w:r w:rsidRPr="00C72932">
        <w:rPr>
          <w:rStyle w:val="StyleUnderline"/>
          <w:highlight w:val="cyan"/>
        </w:rPr>
        <w:t>centrally controllable</w:t>
      </w:r>
      <w:r w:rsidRPr="00BC6827">
        <w:rPr>
          <w:rStyle w:val="StyleUnderline"/>
        </w:rPr>
        <w:t>.</w:t>
      </w:r>
      <w:r w:rsidRPr="00BC6827">
        <w:rPr>
          <w:sz w:val="16"/>
        </w:rPr>
        <w:t xml:space="preserve"> With the exception of Greenland and Iceland, we do not really have Arctic States. Furthermore, Iceland has no indigenous peoples and Greenland, despite being mainly indigenous, is not totally independent from Denmark. The Arctic portion of all other states is under the control of a center, located far more south. Developing their periphery means devolving power, sharing revenues and ultimately empowering local peoples, many of them indigenous, which is an additional reason not to empower them. </w:t>
      </w:r>
      <w:r w:rsidRPr="00C72932">
        <w:rPr>
          <w:rStyle w:val="StyleUnderline"/>
          <w:highlight w:val="cyan"/>
        </w:rPr>
        <w:t xml:space="preserve">Natural resources exploitation in the Arctic is certainly also </w:t>
      </w:r>
      <w:r w:rsidRPr="00C72932">
        <w:rPr>
          <w:rStyle w:val="Emphasis"/>
          <w:highlight w:val="cyan"/>
        </w:rPr>
        <w:t>fully in line</w:t>
      </w:r>
      <w:r w:rsidRPr="00C72932">
        <w:rPr>
          <w:rStyle w:val="StyleUnderline"/>
          <w:highlight w:val="cyan"/>
        </w:rPr>
        <w:t xml:space="preserve"> with wha</w:t>
      </w:r>
      <w:r w:rsidRPr="00BC6827">
        <w:rPr>
          <w:rStyle w:val="StyleUnderline"/>
        </w:rPr>
        <w:t xml:space="preserve">t their respective </w:t>
      </w:r>
      <w:r w:rsidRPr="00C72932">
        <w:rPr>
          <w:rStyle w:val="StyleUnderline"/>
          <w:highlight w:val="cyan"/>
        </w:rPr>
        <w:t>nation-states prefe</w:t>
      </w:r>
      <w:r w:rsidRPr="00BC6827">
        <w:rPr>
          <w:rStyle w:val="StyleUnderline"/>
        </w:rPr>
        <w:t>r</w:t>
      </w:r>
      <w:r w:rsidRPr="00BC6827">
        <w:rPr>
          <w:sz w:val="16"/>
        </w:rPr>
        <w:t>. Since the Industrial Revolution,</w:t>
      </w:r>
      <w:r w:rsidRPr="00BC6827">
        <w:rPr>
          <w:rStyle w:val="StyleUnderline"/>
        </w:rPr>
        <w:t xml:space="preserve"> </w:t>
      </w:r>
      <w:r w:rsidRPr="00C72932">
        <w:rPr>
          <w:rStyle w:val="StyleUnderline"/>
          <w:highlight w:val="cyan"/>
        </w:rPr>
        <w:t>renewable and especially non-renewable resources have been essential for Development to proceed</w:t>
      </w:r>
      <w:r w:rsidRPr="00BC6827">
        <w:rPr>
          <w:rStyle w:val="StyleUnderline"/>
        </w:rPr>
        <w:t xml:space="preserve"> and there will therefore inevitably be a market</w:t>
      </w:r>
      <w:r w:rsidRPr="00BC6827">
        <w:rPr>
          <w:sz w:val="16"/>
        </w:rPr>
        <w:t>. Of course, there are companies, sometimes even private ones, that do the job of extraction these resources. Mostly, however, states will prefer their own SOEs, even though foreign capital and expertise is always welcome. So, what can the Arctic peoples expect from such development ?</w:t>
      </w:r>
    </w:p>
    <w:p w14:paraId="34CB7B96" w14:textId="77777777" w:rsidR="000E370F" w:rsidRPr="00BC6827" w:rsidRDefault="000E370F" w:rsidP="000E370F"/>
    <w:p w14:paraId="7D50E8A7" w14:textId="77777777" w:rsidR="000E370F" w:rsidRDefault="000E370F" w:rsidP="000E370F">
      <w:pPr>
        <w:pStyle w:val="Heading3"/>
      </w:pPr>
      <w:r>
        <w:t xml:space="preserve">Development = Economic Oriented </w:t>
      </w:r>
    </w:p>
    <w:p w14:paraId="23FA5398" w14:textId="77777777" w:rsidR="000E370F" w:rsidRDefault="000E370F" w:rsidP="000E370F">
      <w:pPr>
        <w:pStyle w:val="Heading4"/>
      </w:pPr>
      <w:r>
        <w:t xml:space="preserve">Development Projects in the Arctic are economic focused only </w:t>
      </w:r>
    </w:p>
    <w:p w14:paraId="5565AAAF" w14:textId="77777777" w:rsidR="000E370F" w:rsidRPr="00A46246" w:rsidRDefault="000E370F" w:rsidP="000E370F">
      <w:r>
        <w:t xml:space="preserve">Ksenija </w:t>
      </w:r>
      <w:r w:rsidRPr="006C522B">
        <w:rPr>
          <w:rStyle w:val="Style13ptBold"/>
        </w:rPr>
        <w:t>Hanaček et al 22</w:t>
      </w:r>
      <w:r>
        <w:t xml:space="preserve">, PhD in 2019, Institute of Environmental Science and Technology (ICTA), Autonomous University of Barcelona (UAB), Spain, Master’s degree in interdisciplinary study in environmental, economic and social sustainability from ICTA, UAB and Master’s degree in Environment, Agriculture and Resource Management from University of Zagreb, Croatia, with Markus Kröger, Arnim Scheidel, Facundo Rojas, and, Joan Martinez-Alier, “On thin ice – The Arctic commodity extraction frontier and environmental conflicts”, Ecological Economics Volume 191, January 2022, 107247, </w:t>
      </w:r>
      <w:r w:rsidRPr="00541FCA">
        <w:t>https://www.sciencedirect.com/science/article/pii/S092180</w:t>
      </w:r>
      <w:r>
        <w:t xml:space="preserve"> 0921003062, 2022</w:t>
      </w:r>
    </w:p>
    <w:p w14:paraId="3851EBD1" w14:textId="77777777" w:rsidR="000E370F" w:rsidRPr="006C522B" w:rsidRDefault="000E370F" w:rsidP="000E370F">
      <w:pPr>
        <w:rPr>
          <w:sz w:val="16"/>
        </w:rPr>
      </w:pPr>
      <w:r w:rsidRPr="006C522B">
        <w:rPr>
          <w:sz w:val="16"/>
        </w:rPr>
        <w:t xml:space="preserve">Within this context, </w:t>
      </w:r>
      <w:r w:rsidRPr="006C522B">
        <w:rPr>
          <w:rStyle w:val="StyleUnderline"/>
          <w:highlight w:val="cyan"/>
        </w:rPr>
        <w:t>development projects and planning in the Arctic are</w:t>
      </w:r>
      <w:r w:rsidRPr="006C522B">
        <w:rPr>
          <w:rStyle w:val="StyleUnderline"/>
        </w:rPr>
        <w:t xml:space="preserve"> being </w:t>
      </w:r>
      <w:r w:rsidRPr="006C522B">
        <w:rPr>
          <w:rStyle w:val="Emphasis"/>
          <w:highlight w:val="cyan"/>
        </w:rPr>
        <w:t>driven</w:t>
      </w:r>
      <w:r w:rsidRPr="006C522B">
        <w:rPr>
          <w:rStyle w:val="StyleUnderline"/>
          <w:highlight w:val="cyan"/>
        </w:rPr>
        <w:t xml:space="preserve"> by</w:t>
      </w:r>
      <w:r w:rsidRPr="006C522B">
        <w:rPr>
          <w:rStyle w:val="StyleUnderline"/>
        </w:rPr>
        <w:t xml:space="preserve"> ideas of </w:t>
      </w:r>
      <w:r w:rsidRPr="006C522B">
        <w:rPr>
          <w:rStyle w:val="StyleUnderline"/>
          <w:highlight w:val="cyan"/>
        </w:rPr>
        <w:t xml:space="preserve">advanced </w:t>
      </w:r>
      <w:r w:rsidRPr="006C522B">
        <w:rPr>
          <w:rStyle w:val="Emphasis"/>
          <w:highlight w:val="cyan"/>
        </w:rPr>
        <w:t>tech</w:t>
      </w:r>
      <w:r w:rsidRPr="006C522B">
        <w:rPr>
          <w:rStyle w:val="Emphasis"/>
        </w:rPr>
        <w:t xml:space="preserve">nological </w:t>
      </w:r>
      <w:r w:rsidRPr="006C522B">
        <w:rPr>
          <w:rStyle w:val="Emphasis"/>
          <w:highlight w:val="cyan"/>
        </w:rPr>
        <w:t>progress and economic growth</w:t>
      </w:r>
      <w:r w:rsidRPr="006C522B">
        <w:rPr>
          <w:sz w:val="16"/>
        </w:rPr>
        <w:t xml:space="preserve"> (Egerman et al., 2003). Some of its regions are integral parts of modern industrialized nation-states (although this is not the case for Greenland, an autonomous territory within the Kingdom of Denmark) (Muller-Wille, 1987; Nuttall, 2012). </w:t>
      </w:r>
      <w:r w:rsidRPr="006C522B">
        <w:rPr>
          <w:rStyle w:val="StyleUnderline"/>
          <w:highlight w:val="cyan"/>
        </w:rPr>
        <w:t>These states cater to</w:t>
      </w:r>
      <w:r w:rsidRPr="006C522B">
        <w:rPr>
          <w:rStyle w:val="StyleUnderline"/>
        </w:rPr>
        <w:t xml:space="preserve"> particular economic sectors and corporations in different </w:t>
      </w:r>
      <w:r w:rsidRPr="006C522B">
        <w:rPr>
          <w:rStyle w:val="Emphasis"/>
          <w:highlight w:val="cyan"/>
        </w:rPr>
        <w:t>extractive sectors</w:t>
      </w:r>
      <w:r w:rsidRPr="006C522B">
        <w:rPr>
          <w:sz w:val="16"/>
        </w:rPr>
        <w:t>, easing their access to Arctic Indigenous and other territories.</w:t>
      </w:r>
    </w:p>
    <w:p w14:paraId="39D08E83" w14:textId="77777777" w:rsidR="000E370F" w:rsidRPr="00A46246" w:rsidRDefault="000E370F" w:rsidP="000E370F"/>
    <w:p w14:paraId="10F80C69" w14:textId="77777777" w:rsidR="000E370F" w:rsidRDefault="000E370F" w:rsidP="000E370F">
      <w:pPr>
        <w:pStyle w:val="Heading4"/>
      </w:pPr>
      <w:r>
        <w:t>Development must be economic oriented</w:t>
      </w:r>
    </w:p>
    <w:p w14:paraId="1700E34D" w14:textId="77777777" w:rsidR="000E370F" w:rsidRPr="00A46246" w:rsidRDefault="000E370F" w:rsidP="000E370F">
      <w:r>
        <w:t xml:space="preserve">Donatella </w:t>
      </w:r>
      <w:r w:rsidRPr="00A46246">
        <w:rPr>
          <w:rStyle w:val="Style13ptBold"/>
        </w:rPr>
        <w:t>Alessandrini 22</w:t>
      </w:r>
      <w:r>
        <w:t xml:space="preserve">, Professor of Law, University of Kent, Canterbury, United Kingdom, “A Not So ‘New Dawn’ for International Economic Law and Development: Towards a Social Reproduction Approach to GVCs”, European Journal of International Law, Volume 33, Issue 1, February 2022, Pages 131–162, </w:t>
      </w:r>
      <w:r w:rsidRPr="00541FCA">
        <w:t>https://academic.oup.com/ejil/article/33/1/131/658276 4</w:t>
      </w:r>
      <w:r>
        <w:t xml:space="preserve">, May 9, 2022 </w:t>
      </w:r>
    </w:p>
    <w:p w14:paraId="181CBB92" w14:textId="77777777" w:rsidR="000E370F" w:rsidRPr="00A46246" w:rsidRDefault="000E370F" w:rsidP="000E370F">
      <w:pPr>
        <w:rPr>
          <w:sz w:val="16"/>
        </w:rPr>
      </w:pPr>
      <w:r w:rsidRPr="00A46246">
        <w:rPr>
          <w:sz w:val="16"/>
        </w:rPr>
        <w:t xml:space="preserve">The narrative about ‘development’ as ‘insertion cum technological upgrade and greater value-capture’ has become stronger, with participation in GVCs and value capture heralded as a ‘new dawn for development’.30 The first question therefore concerns the way in which ‘development’ and ‘value added’ are understood in these reports. Despite references to a ‘new dawn’, the </w:t>
      </w:r>
      <w:r w:rsidRPr="00A46246">
        <w:rPr>
          <w:rStyle w:val="StyleUnderline"/>
        </w:rPr>
        <w:t>concept of ‘</w:t>
      </w:r>
      <w:r w:rsidRPr="006C522B">
        <w:rPr>
          <w:rStyle w:val="Emphasis"/>
          <w:highlight w:val="cyan"/>
        </w:rPr>
        <w:t>development’</w:t>
      </w:r>
      <w:r w:rsidRPr="006C522B">
        <w:rPr>
          <w:rStyle w:val="StyleUnderline"/>
          <w:highlight w:val="cyan"/>
        </w:rPr>
        <w:t xml:space="preserve"> is still </w:t>
      </w:r>
      <w:r w:rsidRPr="006C522B">
        <w:rPr>
          <w:rStyle w:val="Emphasis"/>
          <w:highlight w:val="cyan"/>
        </w:rPr>
        <w:t>associated</w:t>
      </w:r>
      <w:r w:rsidRPr="006C522B">
        <w:rPr>
          <w:rStyle w:val="StyleUnderline"/>
          <w:highlight w:val="cyan"/>
        </w:rPr>
        <w:t xml:space="preserve"> with</w:t>
      </w:r>
      <w:r w:rsidRPr="00A46246">
        <w:rPr>
          <w:rStyle w:val="StyleUnderline"/>
        </w:rPr>
        <w:t xml:space="preserve"> the </w:t>
      </w:r>
      <w:r w:rsidRPr="006C522B">
        <w:rPr>
          <w:rStyle w:val="Emphasis"/>
          <w:highlight w:val="cyan"/>
        </w:rPr>
        <w:t>process of</w:t>
      </w:r>
      <w:r w:rsidRPr="00A46246">
        <w:rPr>
          <w:rStyle w:val="Emphasis"/>
        </w:rPr>
        <w:t xml:space="preserve"> actively </w:t>
      </w:r>
      <w:r w:rsidRPr="006C522B">
        <w:rPr>
          <w:rStyle w:val="Emphasis"/>
          <w:highlight w:val="cyan"/>
        </w:rPr>
        <w:t>promoting export-oriented economic growth</w:t>
      </w:r>
      <w:r w:rsidRPr="00A46246">
        <w:rPr>
          <w:sz w:val="16"/>
        </w:rPr>
        <w:t>.</w:t>
      </w:r>
      <w:r w:rsidRPr="00A46246">
        <w:rPr>
          <w:rStyle w:val="StyleUnderline"/>
        </w:rPr>
        <w:t xml:space="preserve"> What is unique to this development agenda is that export-oriented growth is to be achieved not through the establishment of a whole industrial base</w:t>
      </w:r>
      <w:r w:rsidRPr="00A46246">
        <w:rPr>
          <w:sz w:val="16"/>
        </w:rPr>
        <w:t xml:space="preserve"> </w:t>
      </w:r>
      <w:r w:rsidRPr="00A46246">
        <w:rPr>
          <w:rStyle w:val="StyleUnderline"/>
        </w:rPr>
        <w:t>or the support of specific national sectors but, rather, through the creation of a regulatory environment that enables firms to specialize in parts</w:t>
      </w:r>
      <w:r w:rsidRPr="00A46246">
        <w:rPr>
          <w:sz w:val="16"/>
        </w:rPr>
        <w:t>, components and tasks so to link up with lead firms; upgrade thanks to the innovation</w:t>
      </w:r>
      <w:r w:rsidRPr="00A46246">
        <w:rPr>
          <w:rStyle w:val="StyleUnderline"/>
        </w:rPr>
        <w:t xml:space="preserve"> </w:t>
      </w:r>
      <w:r w:rsidRPr="006C522B">
        <w:rPr>
          <w:rStyle w:val="StyleUnderline"/>
          <w:highlight w:val="cyan"/>
        </w:rPr>
        <w:t>made possible by</w:t>
      </w:r>
      <w:r w:rsidRPr="00A46246">
        <w:rPr>
          <w:rStyle w:val="StyleUnderline"/>
        </w:rPr>
        <w:t xml:space="preserve"> their </w:t>
      </w:r>
      <w:r w:rsidRPr="006C522B">
        <w:rPr>
          <w:rStyle w:val="StyleUnderline"/>
          <w:highlight w:val="cyan"/>
        </w:rPr>
        <w:t>transfer of technology; and</w:t>
      </w:r>
      <w:r w:rsidRPr="00A46246">
        <w:rPr>
          <w:rStyle w:val="StyleUnderline"/>
        </w:rPr>
        <w:t xml:space="preserve">, eventually, move up the value-added ladder of economic activities, </w:t>
      </w:r>
      <w:r w:rsidRPr="006C522B">
        <w:rPr>
          <w:rStyle w:val="StyleUnderline"/>
          <w:highlight w:val="cyan"/>
        </w:rPr>
        <w:t>capturing</w:t>
      </w:r>
      <w:r w:rsidRPr="00A46246">
        <w:rPr>
          <w:rStyle w:val="StyleUnderline"/>
        </w:rPr>
        <w:t xml:space="preserve"> greater </w:t>
      </w:r>
      <w:r w:rsidRPr="006C522B">
        <w:rPr>
          <w:rStyle w:val="StyleUnderline"/>
          <w:highlight w:val="cyan"/>
        </w:rPr>
        <w:t>economic gains</w:t>
      </w:r>
      <w:r w:rsidRPr="00A46246">
        <w:rPr>
          <w:sz w:val="16"/>
        </w:rPr>
        <w:t xml:space="preserve">.31 </w:t>
      </w:r>
      <w:r w:rsidRPr="00A46246">
        <w:rPr>
          <w:rStyle w:val="StyleUnderline"/>
        </w:rPr>
        <w:t xml:space="preserve">The focus is therefore on </w:t>
      </w:r>
      <w:r w:rsidRPr="00A46246">
        <w:rPr>
          <w:rStyle w:val="Emphasis"/>
        </w:rPr>
        <w:t>increasing domestic value added</w:t>
      </w:r>
      <w:r w:rsidRPr="00A46246">
        <w:rPr>
          <w:rStyle w:val="StyleUnderline"/>
        </w:rPr>
        <w:t>.</w:t>
      </w:r>
      <w:r w:rsidRPr="00A46246">
        <w:rPr>
          <w:sz w:val="16"/>
        </w:rPr>
        <w:t xml:space="preserve"> Domestic ‘value added’ refers to the share of domestic content – of what is produced nationally – that gets destined to export.32 The assumption is that ‘value added’ will be shared between firms, through profits, and workers, through wages, consequently increasing states’ income through taxation. Increasing domestic value added is therefore key to the development potential of value chain trade. However, the 2019 GVCD report warns countries against policies aimed at increasing the share of domestic content through import substitution because substituting imported inputs – which are assumed to be cheaper and of better quality – with domestic inputs is thought to compromise the efficiency of the country’s exports.33</w:t>
      </w:r>
    </w:p>
    <w:p w14:paraId="2154852A" w14:textId="77777777" w:rsidR="000E370F" w:rsidRDefault="000E370F" w:rsidP="000E370F"/>
    <w:p w14:paraId="42856DC8" w14:textId="77777777" w:rsidR="000E370F" w:rsidRDefault="000E370F" w:rsidP="000E370F">
      <w:pPr>
        <w:pStyle w:val="Heading2"/>
      </w:pPr>
      <w:r>
        <w:t xml:space="preserve">Its </w:t>
      </w:r>
    </w:p>
    <w:p w14:paraId="13D15D1D" w14:textId="77777777" w:rsidR="000E370F" w:rsidRPr="00DE76E1" w:rsidRDefault="000E370F" w:rsidP="000E370F">
      <w:pPr>
        <w:pStyle w:val="Heading3"/>
      </w:pPr>
      <w:r>
        <w:t xml:space="preserve">Its = Ownership </w:t>
      </w:r>
    </w:p>
    <w:p w14:paraId="61EDD1A3" w14:textId="77777777" w:rsidR="000E370F" w:rsidRPr="00DE76E1" w:rsidRDefault="000E370F" w:rsidP="000E370F">
      <w:pPr>
        <w:pStyle w:val="Heading4"/>
      </w:pPr>
      <w:r w:rsidRPr="00DE76E1">
        <w:t>‘Its’ is a possessive pronoun showing ownership</w:t>
      </w:r>
    </w:p>
    <w:p w14:paraId="7B904B94" w14:textId="77777777" w:rsidR="000E370F" w:rsidRPr="00DE76E1" w:rsidRDefault="000E370F" w:rsidP="000E370F">
      <w:pPr>
        <w:rPr>
          <w:b/>
        </w:rPr>
      </w:pPr>
      <w:r w:rsidRPr="00DE76E1">
        <w:rPr>
          <w:b/>
        </w:rPr>
        <w:t xml:space="preserve">Glossary of English Grammar Terms, 2005  </w:t>
      </w:r>
    </w:p>
    <w:p w14:paraId="69B06626" w14:textId="77777777" w:rsidR="000E370F" w:rsidRPr="00DE76E1" w:rsidRDefault="000E370F" w:rsidP="000E370F">
      <w:r w:rsidRPr="00DE76E1">
        <w:t>(http://www.usingenglish.com/glossary/possessive-pronoun.html)</w:t>
      </w:r>
    </w:p>
    <w:p w14:paraId="2F4BA389" w14:textId="77777777" w:rsidR="000E370F" w:rsidRPr="00DE76E1" w:rsidRDefault="000E370F" w:rsidP="000E370F">
      <w:pPr>
        <w:rPr>
          <w:sz w:val="16"/>
        </w:rPr>
      </w:pPr>
      <w:r w:rsidRPr="00DE76E1">
        <w:rPr>
          <w:sz w:val="16"/>
        </w:rPr>
        <w:t xml:space="preserve">Mine, yours, his, hers, </w:t>
      </w:r>
      <w:r w:rsidRPr="00F05226">
        <w:rPr>
          <w:rStyle w:val="StyleUnderline"/>
          <w:highlight w:val="cyan"/>
        </w:rPr>
        <w:t>its</w:t>
      </w:r>
      <w:r w:rsidRPr="00DE76E1">
        <w:rPr>
          <w:sz w:val="16"/>
        </w:rPr>
        <w:t xml:space="preserve">, ours, theirs </w:t>
      </w:r>
      <w:r w:rsidRPr="00F05226">
        <w:rPr>
          <w:rStyle w:val="StyleUnderline"/>
          <w:highlight w:val="cyan"/>
        </w:rPr>
        <w:t>are</w:t>
      </w:r>
      <w:r w:rsidRPr="00DE76E1">
        <w:rPr>
          <w:sz w:val="16"/>
        </w:rPr>
        <w:t xml:space="preserve"> the </w:t>
      </w:r>
      <w:r w:rsidRPr="00F05226">
        <w:rPr>
          <w:rStyle w:val="StyleUnderline"/>
          <w:highlight w:val="cyan"/>
        </w:rPr>
        <w:t>possessive pronouns</w:t>
      </w:r>
      <w:r w:rsidRPr="00DE76E1">
        <w:rPr>
          <w:sz w:val="16"/>
        </w:rPr>
        <w:t xml:space="preserve"> </w:t>
      </w:r>
      <w:r w:rsidRPr="0085276B">
        <w:rPr>
          <w:rStyle w:val="StyleUnderline"/>
        </w:rPr>
        <w:t xml:space="preserve">used </w:t>
      </w:r>
      <w:r w:rsidRPr="00F05226">
        <w:rPr>
          <w:rStyle w:val="StyleUnderline"/>
          <w:highlight w:val="cyan"/>
        </w:rPr>
        <w:t>to</w:t>
      </w:r>
      <w:r w:rsidRPr="00DE76E1">
        <w:rPr>
          <w:sz w:val="16"/>
        </w:rPr>
        <w:t xml:space="preserve"> substitute a noun and to</w:t>
      </w:r>
      <w:r w:rsidRPr="0085276B">
        <w:rPr>
          <w:rStyle w:val="StyleUnderline"/>
        </w:rPr>
        <w:t xml:space="preserve"> </w:t>
      </w:r>
      <w:r w:rsidRPr="00F05226">
        <w:rPr>
          <w:rStyle w:val="StyleUnderline"/>
          <w:highlight w:val="cyan"/>
        </w:rPr>
        <w:t>show</w:t>
      </w:r>
      <w:r w:rsidRPr="00DE76E1">
        <w:rPr>
          <w:sz w:val="16"/>
        </w:rPr>
        <w:t xml:space="preserve"> possession or </w:t>
      </w:r>
      <w:r w:rsidRPr="00F05226">
        <w:rPr>
          <w:rStyle w:val="StyleUnderline"/>
          <w:highlight w:val="cyan"/>
        </w:rPr>
        <w:t>ownership</w:t>
      </w:r>
      <w:r w:rsidRPr="0085276B">
        <w:rPr>
          <w:rStyle w:val="StyleUnderline"/>
        </w:rPr>
        <w:t>.</w:t>
      </w:r>
    </w:p>
    <w:p w14:paraId="03CD8F8C" w14:textId="77777777" w:rsidR="000E370F" w:rsidRPr="00DE76E1" w:rsidRDefault="000E370F" w:rsidP="000E370F">
      <w:pPr>
        <w:rPr>
          <w:sz w:val="16"/>
        </w:rPr>
      </w:pPr>
      <w:r w:rsidRPr="00DE76E1">
        <w:rPr>
          <w:sz w:val="16"/>
        </w:rPr>
        <w:t>EG. This is your disk and that's mine. (Mine substitutes the word disk and shows that it belongs to me.)</w:t>
      </w:r>
    </w:p>
    <w:p w14:paraId="000899FF" w14:textId="77777777" w:rsidR="000E370F" w:rsidRDefault="000E370F" w:rsidP="000E370F"/>
    <w:p w14:paraId="65087E96" w14:textId="77777777" w:rsidR="000E370F" w:rsidRPr="00AB2FBF" w:rsidRDefault="000E370F" w:rsidP="000E370F">
      <w:pPr>
        <w:pStyle w:val="Heading4"/>
      </w:pPr>
      <w:r w:rsidRPr="00AB2FBF">
        <w:t>That means the government must own and maintain the project</w:t>
      </w:r>
    </w:p>
    <w:p w14:paraId="11ED2E1E" w14:textId="77777777" w:rsidR="000E370F" w:rsidRPr="00AB2FBF" w:rsidRDefault="000E370F" w:rsidP="000E370F">
      <w:pPr>
        <w:rPr>
          <w:rStyle w:val="Style13ptBold"/>
        </w:rPr>
      </w:pPr>
      <w:r w:rsidRPr="00AB2FBF">
        <w:rPr>
          <w:rStyle w:val="Style13ptBold"/>
        </w:rPr>
        <w:t>Appelate Court of Illinois 80</w:t>
      </w:r>
    </w:p>
    <w:p w14:paraId="530EEC0B" w14:textId="77777777" w:rsidR="000E370F" w:rsidRPr="00AB2FBF" w:rsidRDefault="000E370F" w:rsidP="000E370F">
      <w:r w:rsidRPr="00AB2FBF">
        <w:t>(“Hulett v. Central Illinois Light Co.,” 83 Ill. App. 3d 195, Lexis)//BB</w:t>
      </w:r>
    </w:p>
    <w:p w14:paraId="7E825635" w14:textId="77777777" w:rsidR="000E370F" w:rsidRPr="00B51A3B" w:rsidRDefault="000E370F" w:rsidP="000E370F">
      <w:pPr>
        <w:rPr>
          <w:sz w:val="16"/>
        </w:rPr>
      </w:pPr>
      <w:r w:rsidRPr="00B51A3B">
        <w:rPr>
          <w:sz w:val="16"/>
        </w:rPr>
        <w:t>The plaintiff responded to the motion for summary judgment to the effect that as to who owned or controlled the wires is immaterial, since CILCO was required to maintain and inspect all electric supply lines carrying its electricity and had failed to do so. In support of this contention the plaintiff relies upon Illinois Commerce Commission General Order 160 -- Revised, and effective as of June 1, 1963, which provides as follows:</w:t>
      </w:r>
      <w:r w:rsidRPr="00B51A3B">
        <w:rPr>
          <w:sz w:val="12"/>
        </w:rPr>
        <w:t>¶</w:t>
      </w:r>
      <w:r w:rsidRPr="00B51A3B">
        <w:rPr>
          <w:sz w:val="16"/>
        </w:rPr>
        <w:t xml:space="preserve"> "9. General Maintenance Requirements.</w:t>
      </w:r>
      <w:r w:rsidRPr="00B51A3B">
        <w:rPr>
          <w:sz w:val="12"/>
        </w:rPr>
        <w:t>¶</w:t>
      </w:r>
      <w:r w:rsidRPr="00B51A3B">
        <w:rPr>
          <w:sz w:val="16"/>
        </w:rPr>
        <w:t xml:space="preserve"> </w:t>
      </w:r>
      <w:r w:rsidRPr="00AB2FBF">
        <w:rPr>
          <w:rStyle w:val="StyleUnderline"/>
        </w:rPr>
        <w:t>Each public utility</w:t>
      </w:r>
      <w:r w:rsidRPr="00B51A3B">
        <w:rPr>
          <w:sz w:val="16"/>
        </w:rPr>
        <w:t xml:space="preserve"> operating a system of power or communication lines </w:t>
      </w:r>
      <w:r w:rsidRPr="00AB2FBF">
        <w:rPr>
          <w:rStyle w:val="StyleUnderline"/>
        </w:rPr>
        <w:t xml:space="preserve">shall maintain </w:t>
      </w:r>
      <w:r w:rsidRPr="00AB2FBF">
        <w:rPr>
          <w:rStyle w:val="StyleUnderline"/>
          <w:i/>
        </w:rPr>
        <w:t>its</w:t>
      </w:r>
      <w:r w:rsidRPr="00AB2FBF">
        <w:rPr>
          <w:rStyle w:val="StyleUnderline"/>
        </w:rPr>
        <w:t xml:space="preserve"> [italics in original] system</w:t>
      </w:r>
      <w:r w:rsidRPr="00B51A3B">
        <w:rPr>
          <w:sz w:val="16"/>
        </w:rPr>
        <w:t xml:space="preserve"> of lines in such condition as will enable it to furnish safe, adequate and dependable service.</w:t>
      </w:r>
      <w:r w:rsidRPr="00B51A3B">
        <w:rPr>
          <w:sz w:val="12"/>
        </w:rPr>
        <w:t>¶</w:t>
      </w:r>
      <w:r w:rsidRPr="00B51A3B">
        <w:rPr>
          <w:sz w:val="16"/>
        </w:rPr>
        <w:t xml:space="preserve"> Power and communication lines and their associated equipment shall comply with the provisions of this General Order when placed in service, and shall thereafter by systematically inspected, and when necessary, be subjected to tests to determine their fitness for the service required of them, and for conditions of safety. Any defects revealed by such inspections and tests which could cause or create an unsafe condition, shall be promptly corrected. If such corrections are not immediately undertaken, a record of the condition found shall be made in the proper plant office of the utility. Defective lines or their associated equipment shall be placed in good operating condition, or otherwise effectively disconnected or removed." (Emphasis added.)</w:t>
      </w:r>
      <w:r w:rsidRPr="00B51A3B">
        <w:rPr>
          <w:sz w:val="12"/>
        </w:rPr>
        <w:t>¶</w:t>
      </w:r>
      <w:r w:rsidRPr="00B51A3B">
        <w:rPr>
          <w:sz w:val="16"/>
        </w:rPr>
        <w:t xml:space="preserve"> The purport of the trial judge's order is to this court clear in that a question of law is presented, namely, whether or not the Commerce Commission General Order 160 places a duty upon CILCO to maintain, repair and inspect the electrical lines in question, even though they are not and never have been owned or controlled by the power company. We note, however, that the plaintiff attempts to challenge the sufficiency of the Volk affidavit which denies ownership or control of the lines by CILCO. It is the plaintiff's argument that the affidavit referred to records as to premises located at 821 Tremont Township, Tremont, Illinois, and that the described premises have not been established as the place where the plaintiff was injured. We find no merit in this contention since it is [198] patently clear from the record that there was no concern on the part of the trial court or the parties to this action concerning the Volk affidavit or where the plaintiff was injured. It should be noted that the plaintiff did not file a counteraffidavit and consequently admitted that CILCO did not own or control the electrical line. (See Carruthers v. B. C. Christopher &amp; Co. (1974), 57 Ill. 2d 376, 313 N.E.2d 457.) To raise on appeal the question of ownership appears to be an effort on the part of the plaintiff to obfuscate the true issue, to-wit, the meaning and effect of General Order 160.</w:t>
      </w:r>
      <w:r w:rsidRPr="00B51A3B">
        <w:rPr>
          <w:sz w:val="12"/>
        </w:rPr>
        <w:t>¶</w:t>
      </w:r>
      <w:r w:rsidRPr="00B51A3B">
        <w:rPr>
          <w:sz w:val="16"/>
        </w:rPr>
        <w:t xml:space="preserve"> We have set forth the pertinent provisions of the order and </w:t>
      </w:r>
      <w:r w:rsidRPr="00AB2FBF">
        <w:rPr>
          <w:rStyle w:val="StyleUnderline"/>
        </w:rPr>
        <w:t xml:space="preserve">attention should be directed to the word </w:t>
      </w:r>
      <w:r w:rsidRPr="00AB2FBF">
        <w:rPr>
          <w:rStyle w:val="Emphasis"/>
        </w:rPr>
        <w:t>its</w:t>
      </w:r>
      <w:r w:rsidRPr="00AB2FBF">
        <w:rPr>
          <w:rStyle w:val="StyleUnderline"/>
        </w:rPr>
        <w:t xml:space="preserve"> located in the first paragraph and which we have emphasized. The word its as used is a pronoun and is being used in its </w:t>
      </w:r>
      <w:r w:rsidRPr="00AB2FBF">
        <w:rPr>
          <w:rStyle w:val="Emphasis"/>
        </w:rPr>
        <w:t>possessive</w:t>
      </w:r>
      <w:r w:rsidRPr="00AB2FBF">
        <w:rPr>
          <w:rStyle w:val="StyleUnderline"/>
        </w:rPr>
        <w:t xml:space="preserve"> form. By the use of the word it is clear that each public utility</w:t>
      </w:r>
      <w:r w:rsidRPr="00B51A3B">
        <w:rPr>
          <w:sz w:val="16"/>
        </w:rPr>
        <w:t xml:space="preserve"> system </w:t>
      </w:r>
      <w:r w:rsidRPr="00AB2FBF">
        <w:rPr>
          <w:rStyle w:val="StyleUnderline"/>
        </w:rPr>
        <w:t>shall</w:t>
      </w:r>
      <w:r w:rsidRPr="00B51A3B">
        <w:rPr>
          <w:sz w:val="16"/>
        </w:rPr>
        <w:t xml:space="preserve"> </w:t>
      </w:r>
      <w:r w:rsidRPr="00AB2FBF">
        <w:rPr>
          <w:rStyle w:val="Emphasis"/>
        </w:rPr>
        <w:t>maintain</w:t>
      </w:r>
      <w:r w:rsidRPr="00B51A3B">
        <w:rPr>
          <w:sz w:val="16"/>
        </w:rPr>
        <w:t xml:space="preserve"> the power </w:t>
      </w:r>
      <w:r w:rsidRPr="00AB2FBF">
        <w:rPr>
          <w:rStyle w:val="StyleUnderline"/>
        </w:rPr>
        <w:t xml:space="preserve">lines which it </w:t>
      </w:r>
      <w:r w:rsidRPr="00AB2FBF">
        <w:rPr>
          <w:rStyle w:val="Emphasis"/>
        </w:rPr>
        <w:t>owns</w:t>
      </w:r>
      <w:r w:rsidRPr="00B51A3B">
        <w:rPr>
          <w:sz w:val="16"/>
        </w:rPr>
        <w:t>.</w:t>
      </w:r>
    </w:p>
    <w:p w14:paraId="693224E4" w14:textId="77777777" w:rsidR="000E370F" w:rsidRDefault="000E370F" w:rsidP="000E370F"/>
    <w:p w14:paraId="43BE1F90" w14:textId="77777777" w:rsidR="000E370F" w:rsidRPr="00AB2FBF" w:rsidRDefault="000E370F" w:rsidP="000E370F">
      <w:pPr>
        <w:pStyle w:val="Heading4"/>
      </w:pPr>
      <w:r w:rsidRPr="00AB2FBF">
        <w:t>‘its’ is possessive meaning belonging to</w:t>
      </w:r>
    </w:p>
    <w:p w14:paraId="6FCD9DE4" w14:textId="77777777" w:rsidR="000E370F" w:rsidRPr="00AB2FBF" w:rsidRDefault="000E370F" w:rsidP="000E370F">
      <w:pPr>
        <w:rPr>
          <w:rStyle w:val="Style13ptBold"/>
        </w:rPr>
      </w:pPr>
      <w:r w:rsidRPr="00AB2FBF">
        <w:rPr>
          <w:rStyle w:val="Style13ptBold"/>
        </w:rPr>
        <w:t>Supreme Court of Oklahoma 34</w:t>
      </w:r>
    </w:p>
    <w:p w14:paraId="3E2F3814" w14:textId="77777777" w:rsidR="000E370F" w:rsidRPr="00AB2FBF" w:rsidRDefault="000E370F" w:rsidP="000E370F">
      <w:r w:rsidRPr="00AB2FBF">
        <w:t>(Swindall v. State Election Board, 168 Okla. 97, Lexis)//BB</w:t>
      </w:r>
    </w:p>
    <w:p w14:paraId="348721AC" w14:textId="77777777" w:rsidR="000E370F" w:rsidRPr="00B51A3B" w:rsidRDefault="000E370F" w:rsidP="000E370F">
      <w:pPr>
        <w:rPr>
          <w:sz w:val="16"/>
        </w:rPr>
      </w:pPr>
      <w:r w:rsidRPr="00B51A3B">
        <w:rPr>
          <w:sz w:val="16"/>
        </w:rPr>
        <w:t xml:space="preserve">However, I view another phase of the act which is not considered in the majority opinion. It is my opinion that the expression, "its nominees," should have been construed by this court. Had this court so construed those words, it would have assisted the State Election Board in the furtherance of its ministerial duties, and would have set to rest the immediate question. It is my theory that the correct interpretation to place upon those words, "its nominees," is to the effect that those words do not mean all the nominees of any particular party. </w:t>
      </w:r>
      <w:r w:rsidRPr="00AB2FBF">
        <w:rPr>
          <w:rStyle w:val="StyleUnderline"/>
        </w:rPr>
        <w:t>The word "its" is the possessive case</w:t>
      </w:r>
      <w:r w:rsidRPr="00B51A3B">
        <w:rPr>
          <w:sz w:val="16"/>
        </w:rPr>
        <w:t xml:space="preserve">, or the possessive adjective </w:t>
      </w:r>
      <w:r w:rsidRPr="00AB2FBF">
        <w:rPr>
          <w:rStyle w:val="StyleUnderline"/>
        </w:rPr>
        <w:t>of "it", meaning</w:t>
      </w:r>
      <w:r w:rsidRPr="00B51A3B">
        <w:rPr>
          <w:sz w:val="16"/>
        </w:rPr>
        <w:t xml:space="preserve"> of or </w:t>
      </w:r>
      <w:r w:rsidRPr="00AB2FBF">
        <w:rPr>
          <w:rStyle w:val="Emphasis"/>
        </w:rPr>
        <w:t>belonging to it.</w:t>
      </w:r>
      <w:r w:rsidRPr="00B51A3B">
        <w:rPr>
          <w:sz w:val="16"/>
        </w:rPr>
        <w:t xml:space="preserve"> Webster's International Dictionary. In other words, the expression, "its nominees," as applied to the Republican party, means nominees of it (the Republican party). The words, "nominees" of the "Republican party," do not and necessarily cannot mean all the nominees of the Republican party. Those words, however, do mean more than one nominee. It seems reasonable to conclude, in the absence of an expression like "all of its nominees," or words of similar import, that it was not the intent of the Legislature to make those words, "its nominees," all inclusive. It seems to me that a fair and reasonable interpretation would be that those words support and embrace the thought expressed by the New York statute, to wit, that it is the intention of the candidate to support generally at the next general election the nominees of the party from which he seeks his nomination, or that it is his intention to support a majority of the candidates of that party.</w:t>
      </w:r>
    </w:p>
    <w:p w14:paraId="3F23851F" w14:textId="77777777" w:rsidR="000E370F" w:rsidRPr="00DA4744" w:rsidRDefault="000E370F" w:rsidP="000E370F"/>
    <w:p w14:paraId="50B6D499" w14:textId="77777777" w:rsidR="000E370F" w:rsidRDefault="000E370F" w:rsidP="000E370F">
      <w:pPr>
        <w:pStyle w:val="Heading3"/>
      </w:pPr>
      <w:bookmarkStart w:id="0" w:name="BlockBM101"/>
      <w:r>
        <w:t xml:space="preserve">Leases/Permits =/= Federal </w:t>
      </w:r>
    </w:p>
    <w:p w14:paraId="1106BF5C" w14:textId="77777777" w:rsidR="000E370F" w:rsidRPr="00951A51" w:rsidRDefault="000E370F" w:rsidP="000E370F">
      <w:pPr>
        <w:pStyle w:val="Heading4"/>
        <w:rPr>
          <w:rFonts w:ascii="Times New Roman" w:hAnsi="Times New Roman" w:cs="Times New Roman"/>
        </w:rPr>
      </w:pPr>
      <w:r w:rsidRPr="00951A51">
        <w:t>Granting</w:t>
      </w:r>
      <w:r>
        <w:t xml:space="preserve"> of leases and permits isn’t a ‘federal agency activity’—doesn’t meet</w:t>
      </w:r>
      <w:r w:rsidRPr="00951A51">
        <w:t xml:space="preserve"> development</w:t>
      </w:r>
    </w:p>
    <w:p w14:paraId="4AE7F4BA" w14:textId="77777777" w:rsidR="000E370F" w:rsidRPr="00AB2FBF" w:rsidRDefault="000E370F" w:rsidP="000E370F">
      <w:r w:rsidRPr="00AB2FBF">
        <w:rPr>
          <w:rStyle w:val="Style13ptBold"/>
        </w:rPr>
        <w:t>CFR 06</w:t>
      </w:r>
      <w:r w:rsidRPr="00951A51">
        <w:t xml:space="preserve"> </w:t>
      </w:r>
      <w:r w:rsidRPr="00AB2FBF">
        <w:t xml:space="preserve">(Code of Federal Regulations, amended January 5, 2006, “15 CFR 930.31 - Federal agency activity,” </w:t>
      </w:r>
      <w:r w:rsidRPr="00541FCA">
        <w:t>http://www.law.cornell.edu/cfr/text/15/930.31</w:t>
      </w:r>
      <w:r w:rsidRPr="00AB2FBF">
        <w:t>, alp)</w:t>
      </w:r>
    </w:p>
    <w:p w14:paraId="3FA46846" w14:textId="77777777" w:rsidR="000E370F" w:rsidRPr="00DA4744" w:rsidRDefault="000E370F" w:rsidP="000E370F">
      <w:pPr>
        <w:rPr>
          <w:rStyle w:val="Style13ptBold"/>
          <w:sz w:val="16"/>
        </w:rPr>
      </w:pPr>
      <w:r w:rsidRPr="007F5239">
        <w:rPr>
          <w:sz w:val="16"/>
        </w:rPr>
        <w:t>(a) The term “</w:t>
      </w:r>
      <w:r w:rsidRPr="00951A51">
        <w:rPr>
          <w:rStyle w:val="StyleUnderline"/>
        </w:rPr>
        <w:t>Federal agency activity” means any functions performed by or on behalf of a Federal agency in the exercise of its statutory responsibilities</w:t>
      </w:r>
      <w:r w:rsidRPr="007F5239">
        <w:rPr>
          <w:sz w:val="16"/>
        </w:rPr>
        <w:t xml:space="preserve">. The term </w:t>
      </w:r>
      <w:r w:rsidRPr="00951A51">
        <w:rPr>
          <w:rStyle w:val="StyleUnderline"/>
        </w:rPr>
        <w:t>“Federal agency activity” includes a range of activities where a Federal agency makes a proposal for action initiating an activity or series of activities when coastal effects are reasonably foreseeable</w:t>
      </w:r>
      <w:r w:rsidRPr="007F5239">
        <w:rPr>
          <w:sz w:val="16"/>
        </w:rPr>
        <w:t>, e.g., a Federal agency's proposal to physically alter coastal resources, a plan that is used to direct future agency actions, a proposed rulemaking that alters uses of the coastal zone. “</w:t>
      </w:r>
      <w:r w:rsidRPr="00951A51">
        <w:rPr>
          <w:rStyle w:val="StyleUnderline"/>
        </w:rPr>
        <w:t>Federal agency activity” does not include the issuance of a federal license or permit to an applicant or person</w:t>
      </w:r>
      <w:r w:rsidRPr="007F5239">
        <w:rPr>
          <w:sz w:val="16"/>
        </w:rPr>
        <w:t xml:space="preserve"> (see subparts D and E of this part) </w:t>
      </w:r>
      <w:r w:rsidRPr="00951A51">
        <w:rPr>
          <w:rStyle w:val="StyleUnderline"/>
        </w:rPr>
        <w:t>or the granting of federal assistance to an applicant agency</w:t>
      </w:r>
      <w:r w:rsidRPr="007F5239">
        <w:rPr>
          <w:sz w:val="16"/>
        </w:rPr>
        <w:t xml:space="preserve"> (see subpart F of this part). (b) </w:t>
      </w:r>
      <w:r w:rsidRPr="00951A51">
        <w:rPr>
          <w:rStyle w:val="StyleUnderline"/>
        </w:rPr>
        <w:t>The term federal “development project” means a Federal agency activity involving the planning, construction, modification,</w:t>
      </w:r>
      <w:r w:rsidRPr="007F5239">
        <w:rPr>
          <w:sz w:val="16"/>
        </w:rPr>
        <w:t xml:space="preserve"> or removal </w:t>
      </w:r>
      <w:r w:rsidRPr="00951A51">
        <w:rPr>
          <w:rStyle w:val="StyleUnderline"/>
        </w:rPr>
        <w:t>of public works, facilities, or other structures, and includes the acquisition, use, or disposal of any coastal use or resource.</w:t>
      </w:r>
    </w:p>
    <w:p w14:paraId="21412411" w14:textId="77777777" w:rsidR="000E370F" w:rsidRPr="00DE76E1" w:rsidRDefault="000E370F" w:rsidP="000E370F">
      <w:pPr>
        <w:pStyle w:val="Heading4"/>
      </w:pPr>
      <w:r w:rsidRPr="00DE76E1">
        <w:t>Licensing of private development is distinct from federal development</w:t>
      </w:r>
    </w:p>
    <w:p w14:paraId="5B116376" w14:textId="77777777" w:rsidR="000E370F" w:rsidRPr="00DE76E1" w:rsidRDefault="000E370F" w:rsidP="000E370F">
      <w:pPr>
        <w:rPr>
          <w:rFonts w:eastAsia="Calibri"/>
        </w:rPr>
      </w:pPr>
      <w:r w:rsidRPr="00DE76E1">
        <w:rPr>
          <w:b/>
        </w:rPr>
        <w:t>Bender 14</w:t>
      </w:r>
      <w:r w:rsidRPr="00DE76E1">
        <w:rPr>
          <w:rFonts w:eastAsia="Calibri"/>
          <w:b/>
        </w:rPr>
        <w:t xml:space="preserve"> </w:t>
      </w:r>
      <w:r w:rsidRPr="00DE76E1">
        <w:rPr>
          <w:rFonts w:eastAsia="Calibri"/>
        </w:rPr>
        <w:t>– operating division of the LexisNexis Group, publishes analytic legal research information authored by experts in the legal community</w:t>
      </w:r>
      <w:r>
        <w:rPr>
          <w:rFonts w:eastAsia="Calibri"/>
        </w:rPr>
        <w:t xml:space="preserve"> </w:t>
      </w:r>
      <w:r w:rsidRPr="00DE76E1">
        <w:rPr>
          <w:rFonts w:eastAsia="Calibri"/>
        </w:rPr>
        <w:t>(Matthew &amp; co., Water and Water Rights, 4-39 Waters and Water Rights § 39.02, “§</w:t>
      </w:r>
      <w:r w:rsidRPr="00DE76E1">
        <w:rPr>
          <w:rFonts w:ascii="Times New Roman" w:eastAsia="Calibri" w:hAnsi="Times New Roman" w:cs="Times New Roman"/>
        </w:rPr>
        <w:t> </w:t>
      </w:r>
      <w:r w:rsidRPr="00DE76E1">
        <w:rPr>
          <w:rFonts w:eastAsia="Calibri"/>
        </w:rPr>
        <w:t>39.02. Special Problems in Project Planning, Construction and Operation,</w:t>
      </w:r>
      <w:r w:rsidRPr="00DE76E1">
        <w:rPr>
          <w:rFonts w:eastAsia="Calibri" w:cs="Georgia"/>
        </w:rPr>
        <w:t>”</w:t>
      </w:r>
      <w:r w:rsidRPr="00DE76E1">
        <w:rPr>
          <w:rFonts w:eastAsia="Calibri"/>
        </w:rPr>
        <w:t xml:space="preserve"> Lexis)</w:t>
      </w:r>
    </w:p>
    <w:p w14:paraId="4521840D" w14:textId="77777777" w:rsidR="000E370F" w:rsidRPr="00DA4744" w:rsidRDefault="000E370F" w:rsidP="000E370F">
      <w:pPr>
        <w:rPr>
          <w:rFonts w:eastAsia="Calibri"/>
          <w:sz w:val="16"/>
        </w:rPr>
      </w:pPr>
      <w:r w:rsidRPr="00DE76E1">
        <w:rPr>
          <w:rStyle w:val="StyleUnderline"/>
        </w:rPr>
        <w:t>Section 470f</w:t>
      </w:r>
      <w:r w:rsidRPr="00DE76E1">
        <w:rPr>
          <w:rFonts w:eastAsia="Calibri"/>
          <w:b/>
          <w:bCs/>
          <w:u w:val="single"/>
        </w:rPr>
        <w:t xml:space="preserve"> </w:t>
      </w:r>
      <w:r w:rsidRPr="00DA4744">
        <w:rPr>
          <w:rFonts w:eastAsia="Calibri"/>
          <w:sz w:val="16"/>
        </w:rPr>
        <w:t xml:space="preserve">to date </w:t>
      </w:r>
      <w:r w:rsidRPr="00DE76E1">
        <w:rPr>
          <w:rStyle w:val="StyleUnderline"/>
        </w:rPr>
        <w:t xml:space="preserve">has had its greatest impact on </w:t>
      </w:r>
      <w:r w:rsidRPr="00F05226">
        <w:rPr>
          <w:rStyle w:val="StyleUnderline"/>
          <w:highlight w:val="cyan"/>
        </w:rPr>
        <w:t>federal licensing of</w:t>
      </w:r>
      <w:r w:rsidRPr="00F05226">
        <w:rPr>
          <w:rFonts w:eastAsia="Calibri"/>
          <w:b/>
          <w:bCs/>
          <w:highlight w:val="cyan"/>
          <w:u w:val="single"/>
        </w:rPr>
        <w:t xml:space="preserve"> </w:t>
      </w:r>
      <w:r w:rsidRPr="00F05226">
        <w:rPr>
          <w:rStyle w:val="Emphasis"/>
          <w:highlight w:val="cyan"/>
        </w:rPr>
        <w:t>private development</w:t>
      </w:r>
      <w:r w:rsidRPr="00DA4744">
        <w:rPr>
          <w:rFonts w:eastAsia="Calibri"/>
          <w:sz w:val="16"/>
        </w:rPr>
        <w:t xml:space="preserve">,22 and additional federal statutes have been enacted to increase the control of federal agencies over private use of archaeological resources.23 </w:t>
      </w:r>
      <w:r w:rsidRPr="00F05226">
        <w:rPr>
          <w:rStyle w:val="StyleUnderline"/>
          <w:highlight w:val="cyan"/>
        </w:rPr>
        <w:t>With regard to federal development of its own projects</w:t>
      </w:r>
      <w:r w:rsidRPr="00DA4744">
        <w:rPr>
          <w:rFonts w:eastAsia="Calibri"/>
          <w:sz w:val="16"/>
        </w:rPr>
        <w:t xml:space="preserve">, additional </w:t>
      </w:r>
      <w:r w:rsidRPr="00F05226">
        <w:rPr>
          <w:rStyle w:val="StyleUnderline"/>
          <w:highlight w:val="cyan"/>
        </w:rPr>
        <w:t>protection</w:t>
      </w:r>
      <w:r w:rsidRPr="00DA4744">
        <w:rPr>
          <w:rFonts w:eastAsia="Calibri"/>
          <w:sz w:val="16"/>
        </w:rPr>
        <w:t xml:space="preserve"> for historic and archaeological interests </w:t>
      </w:r>
      <w:r w:rsidRPr="00F05226">
        <w:rPr>
          <w:rStyle w:val="StyleUnderline"/>
          <w:highlight w:val="cyan"/>
        </w:rPr>
        <w:t>may be afforded</w:t>
      </w:r>
      <w:r w:rsidRPr="00DE76E1">
        <w:rPr>
          <w:rFonts w:eastAsia="Calibri"/>
          <w:b/>
          <w:bCs/>
          <w:u w:val="single"/>
        </w:rPr>
        <w:t xml:space="preserve"> </w:t>
      </w:r>
      <w:r w:rsidRPr="00DA4744">
        <w:rPr>
          <w:rFonts w:eastAsia="Calibri"/>
          <w:sz w:val="16"/>
        </w:rPr>
        <w:t xml:space="preserve">under NEPA24 </w:t>
      </w:r>
      <w:r w:rsidRPr="00F05226">
        <w:rPr>
          <w:rStyle w:val="StyleUnderline"/>
          <w:highlight w:val="cyan"/>
        </w:rPr>
        <w:t>or specific authorization statutes</w:t>
      </w:r>
      <w:r w:rsidRPr="00DE76E1">
        <w:rPr>
          <w:rFonts w:eastAsia="Calibri"/>
          <w:b/>
          <w:bCs/>
          <w:u w:val="single"/>
        </w:rPr>
        <w:t>,</w:t>
      </w:r>
      <w:r w:rsidRPr="00DA4744">
        <w:rPr>
          <w:rFonts w:eastAsia="Calibri"/>
          <w:sz w:val="16"/>
        </w:rPr>
        <w:t xml:space="preserve"> and in 1986 the Secretary of the Army was generally authorized to “preserve, restore and maintain” historic properties located within water project boundaries that are in the National Register of Historic Places.25</w:t>
      </w:r>
    </w:p>
    <w:p w14:paraId="31D3CCED" w14:textId="77777777" w:rsidR="000E370F" w:rsidRPr="00DE76E1" w:rsidRDefault="000E370F" w:rsidP="000E370F">
      <w:pPr>
        <w:rPr>
          <w:rFonts w:eastAsia="Calibri"/>
        </w:rPr>
      </w:pPr>
    </w:p>
    <w:p w14:paraId="256970A6" w14:textId="77777777" w:rsidR="000E370F" w:rsidRPr="00DE76E1" w:rsidRDefault="000E370F" w:rsidP="000E370F">
      <w:pPr>
        <w:pStyle w:val="Heading4"/>
      </w:pPr>
      <w:r w:rsidRPr="00DE76E1">
        <w:t>Permitting doesn’t mean it’s federal</w:t>
      </w:r>
    </w:p>
    <w:p w14:paraId="59134DE5" w14:textId="77777777" w:rsidR="000E370F" w:rsidRPr="00DE76E1" w:rsidRDefault="000E370F" w:rsidP="000E370F">
      <w:pPr>
        <w:rPr>
          <w:rFonts w:eastAsia="Calibri"/>
        </w:rPr>
      </w:pPr>
      <w:r w:rsidRPr="00DE76E1">
        <w:rPr>
          <w:b/>
        </w:rPr>
        <w:t>Aulick 5 –</w:t>
      </w:r>
      <w:r w:rsidRPr="00DE76E1">
        <w:rPr>
          <w:rFonts w:eastAsia="Calibri"/>
          <w:b/>
        </w:rPr>
        <w:t xml:space="preserve"> </w:t>
      </w:r>
      <w:r w:rsidRPr="00DE76E1">
        <w:rPr>
          <w:rFonts w:eastAsia="Calibri"/>
        </w:rPr>
        <w:t>JD  @ Widener University School of Law, Corporate Counsel, Griffin Industries LLC</w:t>
      </w:r>
    </w:p>
    <w:p w14:paraId="54A02FDE" w14:textId="77777777" w:rsidR="000E370F" w:rsidRPr="00DE76E1" w:rsidRDefault="000E370F" w:rsidP="000E370F">
      <w:pPr>
        <w:rPr>
          <w:rFonts w:eastAsia="Calibri"/>
        </w:rPr>
      </w:pPr>
      <w:r w:rsidRPr="00DE76E1">
        <w:rPr>
          <w:rFonts w:eastAsia="Calibri"/>
        </w:rPr>
        <w:t>(Bradley, ALI-ABA COURSE OF STUDY MATERIALS, “Wetlands Law and Regulation,” Cosponsored by the ABA Section of Environment, Energy, and Resources and the Environmental Law Institute, Lexis)</w:t>
      </w:r>
    </w:p>
    <w:p w14:paraId="20594426" w14:textId="77777777" w:rsidR="000E370F" w:rsidRPr="00DA4744" w:rsidRDefault="000E370F" w:rsidP="000E370F">
      <w:pPr>
        <w:rPr>
          <w:rFonts w:eastAsia="Calibri"/>
          <w:sz w:val="16"/>
        </w:rPr>
      </w:pPr>
      <w:r w:rsidRPr="00DE76E1">
        <w:rPr>
          <w:rStyle w:val="StyleUnderline"/>
        </w:rPr>
        <w:t>See Colorado River Indian Tribes v. Marsh</w:t>
      </w:r>
      <w:r w:rsidRPr="00DA4744">
        <w:rPr>
          <w:sz w:val="16"/>
        </w:rPr>
        <w:t xml:space="preserve">, 605 F. Supp. 1425 (C.D. Cal. 1985); </w:t>
      </w:r>
      <w:r w:rsidRPr="00DE76E1">
        <w:rPr>
          <w:rStyle w:val="StyleUnderline"/>
        </w:rPr>
        <w:t>Sierra Club v. Marsh</w:t>
      </w:r>
      <w:r w:rsidRPr="00DA4744">
        <w:rPr>
          <w:sz w:val="16"/>
        </w:rPr>
        <w:t xml:space="preserve">, 769 F.2d 868 (1st Cir. 1985). </w:t>
      </w:r>
      <w:r w:rsidRPr="00DE76E1">
        <w:rPr>
          <w:rStyle w:val="StyleUnderline"/>
        </w:rPr>
        <w:t>These cases were cited</w:t>
      </w:r>
      <w:r w:rsidRPr="00DA4744">
        <w:rPr>
          <w:sz w:val="16"/>
        </w:rPr>
        <w:t xml:space="preserve"> by the EPA as support </w:t>
      </w:r>
      <w:r w:rsidRPr="00DE76E1">
        <w:rPr>
          <w:rStyle w:val="StyleUnderline"/>
        </w:rPr>
        <w:t>for</w:t>
      </w:r>
      <w:r w:rsidRPr="00DA4744">
        <w:rPr>
          <w:sz w:val="16"/>
        </w:rPr>
        <w:t xml:space="preserve"> its objections to </w:t>
      </w:r>
      <w:r w:rsidRPr="00DE76E1">
        <w:rPr>
          <w:rStyle w:val="StyleUnderline"/>
        </w:rPr>
        <w:t>the</w:t>
      </w:r>
      <w:r w:rsidRPr="00DA4744">
        <w:rPr>
          <w:sz w:val="16"/>
        </w:rPr>
        <w:t xml:space="preserve"> Corps' </w:t>
      </w:r>
      <w:r w:rsidRPr="00DE76E1">
        <w:rPr>
          <w:rStyle w:val="StyleUnderline"/>
        </w:rPr>
        <w:t xml:space="preserve">proposed scope of </w:t>
      </w:r>
      <w:r w:rsidRPr="00DA4744">
        <w:rPr>
          <w:sz w:val="16"/>
        </w:rPr>
        <w:t xml:space="preserve">analysis </w:t>
      </w:r>
      <w:r w:rsidRPr="00DE76E1">
        <w:rPr>
          <w:rStyle w:val="StyleUnderline"/>
        </w:rPr>
        <w:t>regulations</w:t>
      </w:r>
      <w:r w:rsidRPr="00DA4744">
        <w:rPr>
          <w:sz w:val="16"/>
        </w:rPr>
        <w:t xml:space="preserve"> in 1984. In the former case, a developer planning a 156-acre residential and commercial development applied for a Corps permit to stabilize an adjacent river bank, which was necessary for the development to proceed. The court there required the private development to be evaluated in the NEPA document as a likely occurrence resulting from the issuance of a permit. See, generally, 605 F. Supp. at 1428-1434. The latter involved the proposed construction of a causeway from the mainland to an island, and required the NEPA analysis to include among the effects of permit issuance the industrial development on the island that would be stimulated by construction of the causeway. 769 F.2d at 877-78. As noted by the Corps in its response to EPA's objections: </w:t>
      </w:r>
      <w:r w:rsidRPr="00F05226">
        <w:rPr>
          <w:rStyle w:val="StyleUnderline"/>
          <w:highlight w:val="cyan"/>
        </w:rPr>
        <w:t>These cases did not hold</w:t>
      </w:r>
      <w:r w:rsidRPr="00DA4744">
        <w:rPr>
          <w:rFonts w:eastAsia="Calibri"/>
          <w:sz w:val="16"/>
        </w:rPr>
        <w:t xml:space="preserve"> the Corps </w:t>
      </w:r>
      <w:r w:rsidRPr="00F05226">
        <w:rPr>
          <w:rStyle w:val="StyleUnderline"/>
          <w:highlight w:val="cyan"/>
        </w:rPr>
        <w:t>permits "federalized" the</w:t>
      </w:r>
      <w:r w:rsidRPr="00DA4744">
        <w:rPr>
          <w:rFonts w:eastAsia="Calibri"/>
          <w:sz w:val="16"/>
        </w:rPr>
        <w:t xml:space="preserve"> unregulated </w:t>
      </w:r>
      <w:r w:rsidRPr="00F05226">
        <w:rPr>
          <w:rStyle w:val="StyleUnderline"/>
          <w:highlight w:val="cyan"/>
        </w:rPr>
        <w:t>private development so as to render the private action Federal</w:t>
      </w:r>
      <w:r w:rsidRPr="00DA4744">
        <w:rPr>
          <w:rFonts w:eastAsia="Calibri"/>
          <w:sz w:val="16"/>
        </w:rPr>
        <w:t xml:space="preserve"> actions for NEPA purposes. Rather, among the numerous legal problems found by each court, the cases required the Corps to consider the private development likely to occur as a result of the issuance of the Corps permit. Such analysis is part of an accepted NEPA requirement to consider the environmental effects of Federal action . . . . Quoted in Colorado River Indian Tribes, 605 F. Supp. at 1428-34; see also Landmark West! v. U.S. Postal Service, 840 F. Supp. 994, 1010 (S.D.N.Y. 1993) (skyscraper not indirect effect of Postal Service participation in project where building would be built regardless of Postal Service decision); Natural Resources Defense Council v. EPA, 822 F.2d 104, 121 n.27 (D.C. Cir. 1987) (impacts of siting of private facility are not "effects" of EPA issuance of NPDES permit). Cf. Greater Yellowstone Coalition v. Flowers, 359 F.3d 1257, 1272 n.15 (10th Cir. 2004): The appeals court observed that the distinction made in the NEPA/404 scope of analysis between the impacts of permitted discharges and those of independent upland developments (as set forth in Wetlands Action Network and Sylvester) does not properly apply to the alternatives analysis under Section 404. In this case, the court observed that, although portions of the subject residential and golf development located on uplands were arguably independent of the portions for which a Section 404 permit was required, the Corps' 404(b)(1) analysis properly took into account the impact of the development as a whole on bald eagle nesting and foraging habitat, including upland areas, because that habitat is part of the overall "aquatic ecosystem," which must be considered under the 404(b)(1) Guidelines.</w:t>
      </w:r>
    </w:p>
    <w:p w14:paraId="1B9819E2" w14:textId="77777777" w:rsidR="000E370F" w:rsidRPr="007F5239" w:rsidRDefault="000E370F" w:rsidP="000E370F">
      <w:pPr>
        <w:rPr>
          <w:sz w:val="16"/>
        </w:rPr>
      </w:pPr>
    </w:p>
    <w:p w14:paraId="3525AFCB" w14:textId="77777777" w:rsidR="000E370F" w:rsidRPr="00AB2FBF" w:rsidRDefault="000E370F" w:rsidP="000E370F">
      <w:pPr>
        <w:pStyle w:val="Heading3"/>
      </w:pPr>
      <w:bookmarkStart w:id="1" w:name="BlockBM117"/>
      <w:bookmarkEnd w:id="0"/>
      <w:r w:rsidRPr="00AB2FBF">
        <w:t>Federal land</w:t>
      </w:r>
      <w:r>
        <w:t xml:space="preserve"> = Private </w:t>
      </w:r>
    </w:p>
    <w:p w14:paraId="01D5DD89" w14:textId="77777777" w:rsidR="000E370F" w:rsidRPr="00AB2FBF" w:rsidRDefault="000E370F" w:rsidP="000E370F">
      <w:pPr>
        <w:pStyle w:val="Heading4"/>
      </w:pPr>
      <w:r w:rsidRPr="00AB2FBF">
        <w:t>Use of federal lands is private development</w:t>
      </w:r>
    </w:p>
    <w:p w14:paraId="04A07BA2" w14:textId="77777777" w:rsidR="000E370F" w:rsidRPr="00AB2FBF" w:rsidRDefault="000E370F" w:rsidP="000E370F">
      <w:r w:rsidRPr="00AB2FBF">
        <w:rPr>
          <w:rStyle w:val="Style13ptBold"/>
        </w:rPr>
        <w:t>Craig 13</w:t>
      </w:r>
      <w:r w:rsidRPr="00AB2FBF">
        <w:t xml:space="preserve"> – William H. Leary Professor of Law, University of Utah S.J. Quinney College of Law</w:t>
      </w:r>
    </w:p>
    <w:p w14:paraId="1BB3A570" w14:textId="77777777" w:rsidR="000E370F" w:rsidRPr="00AB2FBF" w:rsidRDefault="000E370F" w:rsidP="000E370F">
      <w:r w:rsidRPr="00AB2FBF">
        <w:t>(Robert, “From the 35th Public Land Law Conference: Balancing Act and Paradigm Shift: The Role of Public Lands in America's Energy Future: Oceans: Treating Offshore Submerged Lands as Public Lands: A Historical Perspective,” 34 Pub. Land &amp; Resources L. Rev. 51, Lexis)</w:t>
      </w:r>
    </w:p>
    <w:p w14:paraId="55DE6AE8" w14:textId="77777777" w:rsidR="000E370F" w:rsidRPr="007F5239" w:rsidRDefault="000E370F" w:rsidP="000E370F">
      <w:pPr>
        <w:rPr>
          <w:sz w:val="16"/>
        </w:rPr>
      </w:pPr>
      <w:r w:rsidRPr="007F5239">
        <w:rPr>
          <w:sz w:val="16"/>
        </w:rPr>
        <w:t xml:space="preserve">Nevertheless, in the context of natural resource - and especially energy - development, </w:t>
      </w:r>
      <w:r w:rsidRPr="00AB2FBF">
        <w:rPr>
          <w:rStyle w:val="StyleUnderline"/>
        </w:rPr>
        <w:t xml:space="preserve">Congress views the OCS as federal public lands on which </w:t>
      </w:r>
      <w:r w:rsidRPr="00AB2FBF">
        <w:rPr>
          <w:rStyle w:val="Emphasis"/>
        </w:rPr>
        <w:t>private</w:t>
      </w:r>
      <w:r w:rsidRPr="00AB2FBF">
        <w:rPr>
          <w:rStyle w:val="StyleUnderline"/>
        </w:rPr>
        <w:t xml:space="preserve"> </w:t>
      </w:r>
      <w:r w:rsidRPr="007F5239">
        <w:rPr>
          <w:sz w:val="16"/>
        </w:rPr>
        <w:t>mineral</w:t>
      </w:r>
      <w:r w:rsidRPr="00AB2FBF">
        <w:rPr>
          <w:rStyle w:val="StyleUnderline"/>
        </w:rPr>
        <w:t xml:space="preserve"> </w:t>
      </w:r>
      <w:r w:rsidRPr="00AB2FBF">
        <w:rPr>
          <w:rStyle w:val="Emphasis"/>
        </w:rPr>
        <w:t>development</w:t>
      </w:r>
      <w:r w:rsidRPr="00AB2FBF">
        <w:rPr>
          <w:rStyle w:val="StyleUnderline"/>
        </w:rPr>
        <w:t xml:space="preserve"> is to be encouraged</w:t>
      </w:r>
      <w:r w:rsidRPr="007F5239">
        <w:rPr>
          <w:sz w:val="16"/>
        </w:rPr>
        <w:t xml:space="preserve">. While oil spills and environmental concerns have tempered the offshore oil rush since 1953, Congress has never fundamentally changed the idea embedded in the OCSLA that </w:t>
      </w:r>
      <w:r w:rsidRPr="00AB2FBF">
        <w:rPr>
          <w:rStyle w:val="StyleUnderline"/>
        </w:rPr>
        <w:t>the federal government holds the OCS primarily for disposal to private development</w:t>
      </w:r>
      <w:r w:rsidRPr="007F5239">
        <w:rPr>
          <w:sz w:val="16"/>
        </w:rPr>
        <w:t xml:space="preserve"> of petroleum, natural gas, and other minerals. As such, the OCS comprises federal lands for which, at least until reservation or withdrawal, the United States can dispose of private property interests, rendering the OCS meaningfully indistinguishable from any other federal public lands.</w:t>
      </w:r>
    </w:p>
    <w:bookmarkEnd w:id="1"/>
    <w:p w14:paraId="50B81DD6" w14:textId="77777777" w:rsidR="000E370F" w:rsidRDefault="000E370F" w:rsidP="000E370F">
      <w:pPr>
        <w:pStyle w:val="Heading3"/>
      </w:pPr>
      <w:r>
        <w:t xml:space="preserve">    AT//Leads to Private Development</w:t>
      </w:r>
    </w:p>
    <w:p w14:paraId="425D6AEA" w14:textId="77777777" w:rsidR="000E370F" w:rsidRPr="00AB2FBF" w:rsidRDefault="000E370F" w:rsidP="000E370F">
      <w:pPr>
        <w:pStyle w:val="Heading4"/>
      </w:pPr>
      <w:r w:rsidRPr="00AB2FBF">
        <w:t>Action that facilitates private development still violates ‘its’</w:t>
      </w:r>
    </w:p>
    <w:p w14:paraId="14DB7A7D" w14:textId="77777777" w:rsidR="000E370F" w:rsidRPr="00AB2FBF" w:rsidRDefault="000E370F" w:rsidP="000E370F">
      <w:r w:rsidRPr="00AB2FBF">
        <w:rPr>
          <w:rStyle w:val="Style13ptBold"/>
        </w:rPr>
        <w:t>Conboy 93</w:t>
      </w:r>
      <w:r w:rsidRPr="00AB2FBF">
        <w:t xml:space="preserve"> – Judge on United States District Court for the Southern District of New York</w:t>
      </w:r>
    </w:p>
    <w:p w14:paraId="42F6BAF7" w14:textId="77777777" w:rsidR="000E370F" w:rsidRPr="00AB2FBF" w:rsidRDefault="000E370F" w:rsidP="000E370F">
      <w:r w:rsidRPr="00AB2FBF">
        <w:t>(Kenneth, “Landmark West! v. United States Postal Serv.,” 840 F. Supp. 994, Lexis)</w:t>
      </w:r>
    </w:p>
    <w:p w14:paraId="0E6F805B" w14:textId="77777777" w:rsidR="000E370F" w:rsidRPr="00AB2FBF" w:rsidRDefault="000E370F" w:rsidP="000E370F">
      <w:r w:rsidRPr="00AB2FBF">
        <w:t>Conclusion</w:t>
      </w:r>
    </w:p>
    <w:p w14:paraId="669BE8BD" w14:textId="77777777" w:rsidR="000E370F" w:rsidRPr="00FD5069" w:rsidRDefault="000E370F" w:rsidP="000E370F">
      <w:pPr>
        <w:rPr>
          <w:sz w:val="16"/>
        </w:rPr>
      </w:pPr>
      <w:r w:rsidRPr="00FD5069">
        <w:rPr>
          <w:sz w:val="16"/>
        </w:rPr>
        <w:t xml:space="preserve">As the USPS has emphasized, </w:t>
      </w:r>
      <w:r w:rsidRPr="00AB2FBF">
        <w:rPr>
          <w:rStyle w:val="StyleUnderline"/>
        </w:rPr>
        <w:t xml:space="preserve">the ubiquitous actions and inactions of federal agencies affect </w:t>
      </w:r>
      <w:r w:rsidRPr="00FD5069">
        <w:rPr>
          <w:sz w:val="16"/>
        </w:rPr>
        <w:t xml:space="preserve">the likelihood of </w:t>
      </w:r>
      <w:r w:rsidRPr="00AB2FBF">
        <w:rPr>
          <w:rStyle w:val="StyleUnderline"/>
        </w:rPr>
        <w:t>private undertakings</w:t>
      </w:r>
      <w:r w:rsidRPr="00FD5069">
        <w:rPr>
          <w:sz w:val="16"/>
        </w:rPr>
        <w:t xml:space="preserve">, as well as their benefits and burdens, </w:t>
      </w:r>
      <w:r w:rsidRPr="00AB2FBF">
        <w:rPr>
          <w:rStyle w:val="StyleUnderline"/>
        </w:rPr>
        <w:t>in innumerable ways</w:t>
      </w:r>
      <w:r w:rsidRPr="00FD5069">
        <w:rPr>
          <w:sz w:val="16"/>
        </w:rPr>
        <w:t xml:space="preserve">. In this context, </w:t>
      </w:r>
      <w:r w:rsidRPr="00AB2FBF">
        <w:rPr>
          <w:rStyle w:val="StyleUnderline"/>
        </w:rPr>
        <w:t>it would make no sense to require federal agencies to assess the</w:t>
      </w:r>
      <w:r w:rsidRPr="00FD5069">
        <w:rPr>
          <w:sz w:val="16"/>
        </w:rPr>
        <w:t xml:space="preserve"> environmental </w:t>
      </w:r>
      <w:r w:rsidRPr="00AB2FBF">
        <w:rPr>
          <w:rStyle w:val="StyleUnderline"/>
        </w:rPr>
        <w:t xml:space="preserve">impact of private actions over which they have no </w:t>
      </w:r>
      <w:r w:rsidRPr="00AB2FBF">
        <w:rPr>
          <w:rStyle w:val="Emphasis"/>
        </w:rPr>
        <w:t>control</w:t>
      </w:r>
      <w:r w:rsidRPr="00FD5069">
        <w:rPr>
          <w:sz w:val="16"/>
        </w:rPr>
        <w:t xml:space="preserve">, </w:t>
      </w:r>
      <w:r w:rsidRPr="00AB2FBF">
        <w:rPr>
          <w:rStyle w:val="StyleUnderline"/>
        </w:rPr>
        <w:t>solely on the basis of the</w:t>
      </w:r>
      <w:r w:rsidRPr="00FD5069">
        <w:rPr>
          <w:sz w:val="16"/>
        </w:rPr>
        <w:t xml:space="preserve"> incidental </w:t>
      </w:r>
      <w:r w:rsidRPr="00AB2FBF">
        <w:rPr>
          <w:rStyle w:val="StyleUnderline"/>
        </w:rPr>
        <w:t>effects of federal action on the private action</w:t>
      </w:r>
      <w:r w:rsidRPr="00FD5069">
        <w:rPr>
          <w:sz w:val="16"/>
        </w:rPr>
        <w:t>. Fortunately, there is no indication that in enacting NEPA Congress intended to do so.</w:t>
      </w:r>
      <w:r w:rsidRPr="00FD5069">
        <w:rPr>
          <w:sz w:val="12"/>
        </w:rPr>
        <w:t>¶</w:t>
      </w:r>
      <w:r w:rsidRPr="00FD5069">
        <w:rPr>
          <w:sz w:val="16"/>
        </w:rPr>
        <w:t xml:space="preserve"> </w:t>
      </w:r>
      <w:r w:rsidRPr="00AB2FBF">
        <w:rPr>
          <w:rStyle w:val="StyleUnderline"/>
        </w:rPr>
        <w:t>In this case, the USPS</w:t>
      </w:r>
      <w:r w:rsidRPr="00FD5069">
        <w:rPr>
          <w:sz w:val="16"/>
        </w:rPr>
        <w:t xml:space="preserve"> has </w:t>
      </w:r>
      <w:r w:rsidRPr="00AB2FBF">
        <w:rPr>
          <w:rStyle w:val="StyleUnderline"/>
        </w:rPr>
        <w:t>participated</w:t>
      </w:r>
      <w:r w:rsidRPr="00FD5069">
        <w:rPr>
          <w:sz w:val="16"/>
        </w:rPr>
        <w:t xml:space="preserve">, on an arms-length basis, </w:t>
      </w:r>
      <w:r w:rsidRPr="00AB2FBF">
        <w:rPr>
          <w:rStyle w:val="StyleUnderline"/>
        </w:rPr>
        <w:t xml:space="preserve">in a </w:t>
      </w:r>
      <w:r w:rsidRPr="00AB2FBF">
        <w:rPr>
          <w:rStyle w:val="Emphasis"/>
        </w:rPr>
        <w:t>private development</w:t>
      </w:r>
      <w:r w:rsidRPr="00FD5069">
        <w:rPr>
          <w:sz w:val="16"/>
        </w:rPr>
        <w:t xml:space="preserve">. Factually, </w:t>
      </w:r>
      <w:r w:rsidRPr="00AB2FBF">
        <w:rPr>
          <w:rStyle w:val="StyleUnderline"/>
        </w:rPr>
        <w:t>its actions were</w:t>
      </w:r>
      <w:r w:rsidRPr="00FD5069">
        <w:rPr>
          <w:sz w:val="16"/>
        </w:rPr>
        <w:t xml:space="preserve"> merely incidental to the private development and, </w:t>
      </w:r>
      <w:r w:rsidRPr="00AB2FBF">
        <w:rPr>
          <w:rStyle w:val="StyleUnderline"/>
        </w:rPr>
        <w:t>legally</w:t>
      </w:r>
      <w:r w:rsidRPr="00FD5069">
        <w:rPr>
          <w:sz w:val="16"/>
        </w:rPr>
        <w:t>, the development has been</w:t>
      </w:r>
      <w:r w:rsidRPr="00AB2FBF">
        <w:rPr>
          <w:rStyle w:val="StyleUnderline"/>
        </w:rPr>
        <w:t xml:space="preserve"> insulated from </w:t>
      </w:r>
      <w:r w:rsidRPr="00FD5069">
        <w:rPr>
          <w:sz w:val="16"/>
        </w:rPr>
        <w:t xml:space="preserve">USPS </w:t>
      </w:r>
      <w:r w:rsidRPr="00AB2FBF">
        <w:rPr>
          <w:rStyle w:val="StyleUnderline"/>
        </w:rPr>
        <w:t>control</w:t>
      </w:r>
      <w:r w:rsidRPr="00FD5069">
        <w:rPr>
          <w:sz w:val="16"/>
        </w:rPr>
        <w:t>. Accordingly, this Court holds "reasonable under the circumstances" the USPS's implicit determination that the environmental impact of the Project as a whole did not have to be considered in the environmental assessment underlying the FONSI.</w:t>
      </w:r>
    </w:p>
    <w:p w14:paraId="063C9805" w14:textId="77777777" w:rsidR="000E370F" w:rsidRDefault="000E370F" w:rsidP="000E370F">
      <w:pPr>
        <w:pStyle w:val="Heading3"/>
      </w:pPr>
      <w:r>
        <w:t xml:space="preserve">    AT//Funded By Government </w:t>
      </w:r>
    </w:p>
    <w:p w14:paraId="5DA0A6DF" w14:textId="77777777" w:rsidR="000E370F" w:rsidRPr="00AB2FBF" w:rsidRDefault="000E370F" w:rsidP="000E370F">
      <w:pPr>
        <w:pStyle w:val="Heading4"/>
      </w:pPr>
      <w:r w:rsidRPr="00AB2FBF">
        <w:t xml:space="preserve">Federal funding doesn’t change ownership—that’s the key variable </w:t>
      </w:r>
    </w:p>
    <w:p w14:paraId="772E958C" w14:textId="77777777" w:rsidR="000E370F" w:rsidRPr="00AB2FBF" w:rsidRDefault="000E370F" w:rsidP="000E370F">
      <w:r w:rsidRPr="00AB2FBF">
        <w:rPr>
          <w:rStyle w:val="Style13ptBold"/>
        </w:rPr>
        <w:t>Paget 7</w:t>
      </w:r>
      <w:r w:rsidRPr="00AB2FBF">
        <w:t xml:space="preserve"> – JD, long and widely recognized as one of this country's leading practitioners of environmental law and litigation</w:t>
      </w:r>
    </w:p>
    <w:p w14:paraId="512C0236" w14:textId="77777777" w:rsidR="000E370F" w:rsidRPr="00AB2FBF" w:rsidRDefault="000E370F" w:rsidP="000E370F">
      <w:r w:rsidRPr="00AB2FBF">
        <w:t>(David, ALI-ABA COURSE OF STUDY MATERIALS Environmental Impact Assessment: NEPA and Related Requirements Cosponsored by the Environmental Law Institute, Lexis)//BB</w:t>
      </w:r>
    </w:p>
    <w:p w14:paraId="42790611" w14:textId="3D11E9D5" w:rsidR="00FD5069" w:rsidRPr="000E370F" w:rsidRDefault="000E370F" w:rsidP="000E370F">
      <w:pPr>
        <w:rPr>
          <w:sz w:val="16"/>
        </w:rPr>
      </w:pPr>
      <w:r w:rsidRPr="00FD5069">
        <w:rPr>
          <w:sz w:val="16"/>
        </w:rPr>
        <w:t xml:space="preserve">- </w:t>
      </w:r>
      <w:r w:rsidRPr="00AB2FBF">
        <w:rPr>
          <w:rStyle w:val="StyleUnderline"/>
        </w:rPr>
        <w:t>Nonfederal Projects Eligible For Federal Assistance</w:t>
      </w:r>
      <w:r w:rsidRPr="00FD5069">
        <w:rPr>
          <w:sz w:val="12"/>
        </w:rPr>
        <w:t>¶</w:t>
      </w:r>
      <w:r w:rsidRPr="00FD5069">
        <w:rPr>
          <w:sz w:val="16"/>
        </w:rPr>
        <w:t xml:space="preserve"> - Citizens Alert Regarding the Environment, 102 Fed.Appx. 167, 2004 WL 1336644 (D.C. Cir. June 15, 2004). </w:t>
      </w:r>
      <w:r w:rsidRPr="00AB2FBF">
        <w:rPr>
          <w:rStyle w:val="StyleUnderline"/>
        </w:rPr>
        <w:t>The plaintiffs sought an injunction to prohibit the construction of a sewer pipeline</w:t>
      </w:r>
      <w:r w:rsidRPr="00FD5069">
        <w:rPr>
          <w:sz w:val="16"/>
        </w:rPr>
        <w:t xml:space="preserve"> by the Jefferson Township Sewer Authority </w:t>
      </w:r>
      <w:r w:rsidRPr="00AB2FBF">
        <w:rPr>
          <w:rStyle w:val="StyleUnderline"/>
        </w:rPr>
        <w:t>until after EPA completed its review</w:t>
      </w:r>
      <w:r w:rsidRPr="00FD5069">
        <w:rPr>
          <w:sz w:val="16"/>
        </w:rPr>
        <w:t xml:space="preserve"> of the project pursuant to NEPA. </w:t>
      </w:r>
      <w:r w:rsidRPr="00AB2FBF">
        <w:rPr>
          <w:rStyle w:val="StyleUnderline"/>
        </w:rPr>
        <w:t>The federal action in question was a proposed</w:t>
      </w:r>
      <w:r w:rsidRPr="00FD5069">
        <w:rPr>
          <w:sz w:val="16"/>
        </w:rPr>
        <w:t xml:space="preserve"> $ 1.5 million </w:t>
      </w:r>
      <w:r w:rsidRPr="00AB2FBF">
        <w:rPr>
          <w:rStyle w:val="StyleUnderline"/>
        </w:rPr>
        <w:t>grant from EPA</w:t>
      </w:r>
      <w:r w:rsidRPr="00FD5069">
        <w:rPr>
          <w:sz w:val="16"/>
        </w:rPr>
        <w:t>. Most funding for the $ 15 million project had come from the State of Pennsylvania, which in turn had received a grant through a state-administered revolving fund program funded by EPA.</w:t>
      </w:r>
      <w:r w:rsidRPr="00FD5069">
        <w:rPr>
          <w:sz w:val="12"/>
        </w:rPr>
        <w:t>¶</w:t>
      </w:r>
      <w:r w:rsidRPr="00FD5069">
        <w:rPr>
          <w:sz w:val="16"/>
        </w:rPr>
        <w:t xml:space="preserve"> At the time of the suit, EPA's direct grant had not yet been issued pending review of the project under NEPA. The Authority decided to begin construction, using the state revolving fund grant. Plaintiffs sought an injunction barring any construction until EPA completed its NEPA review.</w:t>
      </w:r>
      <w:r w:rsidRPr="00FD5069">
        <w:rPr>
          <w:sz w:val="12"/>
        </w:rPr>
        <w:t>¶</w:t>
      </w:r>
      <w:r w:rsidRPr="00FD5069">
        <w:rPr>
          <w:sz w:val="16"/>
        </w:rPr>
        <w:t xml:space="preserve"> </w:t>
      </w:r>
      <w:r w:rsidRPr="00AB2FBF">
        <w:rPr>
          <w:rStyle w:val="StyleUnderline"/>
        </w:rPr>
        <w:t>The D.C. Circuit held that EPA's participation was not substantial enough to federalize the entire project. First</w:t>
      </w:r>
      <w:r w:rsidRPr="00FD5069">
        <w:rPr>
          <w:sz w:val="16"/>
        </w:rPr>
        <w:t xml:space="preserve">, with respect to the state revolving fund, </w:t>
      </w:r>
      <w:r w:rsidRPr="00AB2FBF">
        <w:rPr>
          <w:rStyle w:val="Emphasis"/>
        </w:rPr>
        <w:t>EPA lacked substantial control</w:t>
      </w:r>
      <w:r w:rsidRPr="00FD5069">
        <w:rPr>
          <w:sz w:val="16"/>
        </w:rPr>
        <w:t xml:space="preserve"> over the distribution of funds by the state. The plaintiffs challenged EPA's approval of Pennsylvania's program for disbursing the funds, but this challenge was time-barred under the six-year statute of limitations for actions against the United States, as the approval had occurred in 1991.</w:t>
      </w:r>
      <w:r w:rsidRPr="00FD5069">
        <w:rPr>
          <w:sz w:val="12"/>
        </w:rPr>
        <w:t>¶</w:t>
      </w:r>
      <w:r w:rsidRPr="00FD5069">
        <w:rPr>
          <w:sz w:val="16"/>
        </w:rPr>
        <w:t xml:space="preserve"> </w:t>
      </w:r>
      <w:r w:rsidRPr="00AB2FBF">
        <w:rPr>
          <w:rStyle w:val="StyleUnderline"/>
        </w:rPr>
        <w:t xml:space="preserve">The court went on to hold that the direct grant by EPA was also </w:t>
      </w:r>
      <w:r w:rsidRPr="00AB2FBF">
        <w:rPr>
          <w:rStyle w:val="Emphasis"/>
        </w:rPr>
        <w:t>insufficient to federalize the project,</w:t>
      </w:r>
      <w:r w:rsidRPr="00AB2FBF">
        <w:rPr>
          <w:rStyle w:val="StyleUnderline"/>
        </w:rPr>
        <w:t xml:space="preserve"> because the withholding of the grant would present no legal impediment to the sewer</w:t>
      </w:r>
      <w:r w:rsidRPr="00FD5069">
        <w:rPr>
          <w:sz w:val="16"/>
        </w:rPr>
        <w:t xml:space="preserve"> pipeline, which was under the discretionary jurisdiction of state and local agencies. Nor would the denial of the funding prevent construction of the sewer line as a practical matter, as it represented only a small fraction of the overall cost of the project.</w:t>
      </w:r>
    </w:p>
    <w:sectPr w:rsidR="00FD5069" w:rsidRPr="000E3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290478131">
    <w:abstractNumId w:val="9"/>
  </w:num>
  <w:num w:numId="2" w16cid:durableId="620383564">
    <w:abstractNumId w:val="7"/>
  </w:num>
  <w:num w:numId="3" w16cid:durableId="2117482519">
    <w:abstractNumId w:val="6"/>
  </w:num>
  <w:num w:numId="4" w16cid:durableId="1997957725">
    <w:abstractNumId w:val="5"/>
  </w:num>
  <w:num w:numId="5" w16cid:durableId="200636389">
    <w:abstractNumId w:val="4"/>
  </w:num>
  <w:num w:numId="6" w16cid:durableId="760642412">
    <w:abstractNumId w:val="8"/>
  </w:num>
  <w:num w:numId="7" w16cid:durableId="1633753978">
    <w:abstractNumId w:val="3"/>
  </w:num>
  <w:num w:numId="8" w16cid:durableId="1091967193">
    <w:abstractNumId w:val="2"/>
  </w:num>
  <w:num w:numId="9" w16cid:durableId="816335676">
    <w:abstractNumId w:val="1"/>
  </w:num>
  <w:num w:numId="10" w16cid:durableId="132705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48004670720"/>
    <w:docVar w:name="VerbatimVersion" w:val="5.1"/>
  </w:docVars>
  <w:rsids>
    <w:rsidRoot w:val="00A46246"/>
    <w:rsid w:val="000139A3"/>
    <w:rsid w:val="00027BC9"/>
    <w:rsid w:val="000375C1"/>
    <w:rsid w:val="000C7EA5"/>
    <w:rsid w:val="000E370F"/>
    <w:rsid w:val="00100833"/>
    <w:rsid w:val="00104529"/>
    <w:rsid w:val="00105942"/>
    <w:rsid w:val="001300CE"/>
    <w:rsid w:val="00144A4C"/>
    <w:rsid w:val="00165139"/>
    <w:rsid w:val="00176AB0"/>
    <w:rsid w:val="00177B7D"/>
    <w:rsid w:val="0018322D"/>
    <w:rsid w:val="001B5776"/>
    <w:rsid w:val="001E4382"/>
    <w:rsid w:val="001E527A"/>
    <w:rsid w:val="001F78CE"/>
    <w:rsid w:val="00251FC7"/>
    <w:rsid w:val="002855A7"/>
    <w:rsid w:val="002B146A"/>
    <w:rsid w:val="002B5E17"/>
    <w:rsid w:val="00315690"/>
    <w:rsid w:val="00316B75"/>
    <w:rsid w:val="00325646"/>
    <w:rsid w:val="003460F2"/>
    <w:rsid w:val="0038158C"/>
    <w:rsid w:val="003902BA"/>
    <w:rsid w:val="003A09E2"/>
    <w:rsid w:val="003F6B88"/>
    <w:rsid w:val="00407037"/>
    <w:rsid w:val="004605D6"/>
    <w:rsid w:val="004C60E8"/>
    <w:rsid w:val="004D0B2A"/>
    <w:rsid w:val="004E2A2B"/>
    <w:rsid w:val="004E3579"/>
    <w:rsid w:val="004E728B"/>
    <w:rsid w:val="004F39E0"/>
    <w:rsid w:val="0052316D"/>
    <w:rsid w:val="00537BD5"/>
    <w:rsid w:val="00541FCA"/>
    <w:rsid w:val="005D2912"/>
    <w:rsid w:val="005E1B18"/>
    <w:rsid w:val="006065BD"/>
    <w:rsid w:val="00645FA9"/>
    <w:rsid w:val="00647866"/>
    <w:rsid w:val="00665003"/>
    <w:rsid w:val="00681E3E"/>
    <w:rsid w:val="006A2AD0"/>
    <w:rsid w:val="006B72AA"/>
    <w:rsid w:val="006C2375"/>
    <w:rsid w:val="006C522B"/>
    <w:rsid w:val="006D4ECC"/>
    <w:rsid w:val="00722258"/>
    <w:rsid w:val="007243E5"/>
    <w:rsid w:val="00730011"/>
    <w:rsid w:val="00766EA0"/>
    <w:rsid w:val="007A2226"/>
    <w:rsid w:val="007F5239"/>
    <w:rsid w:val="007F5B66"/>
    <w:rsid w:val="00823A1C"/>
    <w:rsid w:val="00845B9D"/>
    <w:rsid w:val="00860984"/>
    <w:rsid w:val="008B3ECB"/>
    <w:rsid w:val="008B4E85"/>
    <w:rsid w:val="008C1B2E"/>
    <w:rsid w:val="008C27F9"/>
    <w:rsid w:val="0091627E"/>
    <w:rsid w:val="0096038C"/>
    <w:rsid w:val="0097032B"/>
    <w:rsid w:val="009D2EAD"/>
    <w:rsid w:val="009D54B2"/>
    <w:rsid w:val="009E1922"/>
    <w:rsid w:val="009F7ED2"/>
    <w:rsid w:val="00A46246"/>
    <w:rsid w:val="00A93661"/>
    <w:rsid w:val="00A95652"/>
    <w:rsid w:val="00AA5DF5"/>
    <w:rsid w:val="00AC0AB8"/>
    <w:rsid w:val="00B33C6D"/>
    <w:rsid w:val="00B4508F"/>
    <w:rsid w:val="00B55AD5"/>
    <w:rsid w:val="00B60B58"/>
    <w:rsid w:val="00B8057C"/>
    <w:rsid w:val="00BC6827"/>
    <w:rsid w:val="00BD6238"/>
    <w:rsid w:val="00BE1AD0"/>
    <w:rsid w:val="00BF593B"/>
    <w:rsid w:val="00BF773A"/>
    <w:rsid w:val="00BF7E81"/>
    <w:rsid w:val="00C13773"/>
    <w:rsid w:val="00C17CC8"/>
    <w:rsid w:val="00C27818"/>
    <w:rsid w:val="00C83417"/>
    <w:rsid w:val="00C86FA4"/>
    <w:rsid w:val="00C9604F"/>
    <w:rsid w:val="00CA19AA"/>
    <w:rsid w:val="00CC5298"/>
    <w:rsid w:val="00CD736E"/>
    <w:rsid w:val="00CD798D"/>
    <w:rsid w:val="00CE161E"/>
    <w:rsid w:val="00CF59A8"/>
    <w:rsid w:val="00D01CFC"/>
    <w:rsid w:val="00D325A9"/>
    <w:rsid w:val="00D36A8A"/>
    <w:rsid w:val="00D535E1"/>
    <w:rsid w:val="00D61409"/>
    <w:rsid w:val="00D6351F"/>
    <w:rsid w:val="00D6691E"/>
    <w:rsid w:val="00D71170"/>
    <w:rsid w:val="00DA25D4"/>
    <w:rsid w:val="00DA4744"/>
    <w:rsid w:val="00DA6538"/>
    <w:rsid w:val="00E15E75"/>
    <w:rsid w:val="00E20423"/>
    <w:rsid w:val="00E21239"/>
    <w:rsid w:val="00E5262C"/>
    <w:rsid w:val="00EC7DC4"/>
    <w:rsid w:val="00ED30CF"/>
    <w:rsid w:val="00F0573F"/>
    <w:rsid w:val="00F1612A"/>
    <w:rsid w:val="00F176EF"/>
    <w:rsid w:val="00F45E10"/>
    <w:rsid w:val="00F6364A"/>
    <w:rsid w:val="00F9113A"/>
    <w:rsid w:val="00FD08C1"/>
    <w:rsid w:val="00FD506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D81F4"/>
  <w15:chartTrackingRefBased/>
  <w15:docId w15:val="{FBDB0085-4F31-404A-A35F-EEF0A3B3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D0B2A"/>
    <w:pPr>
      <w:spacing w:after="0" w:line="240" w:lineRule="auto"/>
    </w:pPr>
    <w:rPr>
      <w:rFonts w:ascii="Georgia" w:hAnsi="Georgia"/>
    </w:rPr>
  </w:style>
  <w:style w:type="paragraph" w:styleId="Heading1">
    <w:name w:val="heading 1"/>
    <w:aliases w:val="Pocket"/>
    <w:basedOn w:val="Normal"/>
    <w:next w:val="Normal"/>
    <w:link w:val="Heading1Char"/>
    <w:qFormat/>
    <w:rsid w:val="004D0B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0B2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
    <w:basedOn w:val="Normal"/>
    <w:next w:val="Normal"/>
    <w:link w:val="Heading3Char"/>
    <w:uiPriority w:val="2"/>
    <w:unhideWhenUsed/>
    <w:qFormat/>
    <w:rsid w:val="004D0B2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Heading 2 Char Char Char Char,CD - Cite,No Spacing41,No Spacing6,No Spacing7,No Spacing8,ta,Clear,No Spacing12,No Spacing211,TAG"/>
    <w:basedOn w:val="Normal"/>
    <w:next w:val="Normal"/>
    <w:link w:val="Heading4Char"/>
    <w:uiPriority w:val="3"/>
    <w:unhideWhenUsed/>
    <w:qFormat/>
    <w:rsid w:val="004D0B2A"/>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D0B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B2A"/>
  </w:style>
  <w:style w:type="character" w:customStyle="1" w:styleId="Heading1Char">
    <w:name w:val="Heading 1 Char"/>
    <w:aliases w:val="Pocket Char"/>
    <w:basedOn w:val="DefaultParagraphFont"/>
    <w:link w:val="Heading1"/>
    <w:rsid w:val="004D0B2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D0B2A"/>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2"/>
    <w:rsid w:val="004D0B2A"/>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Heading 2 Char Char Char Char Char,CD - Cite Char,No Spacing41 Char"/>
    <w:basedOn w:val="DefaultParagraphFont"/>
    <w:link w:val="Heading4"/>
    <w:uiPriority w:val="3"/>
    <w:rsid w:val="004D0B2A"/>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4D0B2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0B2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4D0B2A"/>
    <w:rPr>
      <w:b w:val="0"/>
      <w:sz w:val="22"/>
      <w:u w:val="single"/>
    </w:rPr>
  </w:style>
  <w:style w:type="character" w:styleId="Hyperlink">
    <w:name w:val="Hyperlink"/>
    <w:aliases w:val="heading 1 (block title),Important,Read,Card Text,Internet Link,Analytic Text"/>
    <w:basedOn w:val="DefaultParagraphFont"/>
    <w:uiPriority w:val="99"/>
    <w:unhideWhenUsed/>
    <w:rsid w:val="004D0B2A"/>
    <w:rPr>
      <w:color w:val="auto"/>
      <w:u w:val="none"/>
    </w:rPr>
  </w:style>
  <w:style w:type="character" w:styleId="FollowedHyperlink">
    <w:name w:val="FollowedHyperlink"/>
    <w:basedOn w:val="DefaultParagraphFont"/>
    <w:uiPriority w:val="99"/>
    <w:semiHidden/>
    <w:unhideWhenUsed/>
    <w:rsid w:val="004D0B2A"/>
    <w:rPr>
      <w:color w:val="auto"/>
      <w:u w:val="none"/>
    </w:rPr>
  </w:style>
  <w:style w:type="character" w:styleId="UnresolvedMention">
    <w:name w:val="Unresolved Mention"/>
    <w:basedOn w:val="DefaultParagraphFont"/>
    <w:uiPriority w:val="99"/>
    <w:semiHidden/>
    <w:unhideWhenUsed/>
    <w:rsid w:val="00A46246"/>
    <w:rPr>
      <w:color w:val="605E5C"/>
      <w:shd w:val="clear" w:color="auto" w:fill="E1DFDD"/>
    </w:rPr>
  </w:style>
  <w:style w:type="paragraph" w:customStyle="1" w:styleId="textbold">
    <w:name w:val="text bold"/>
    <w:basedOn w:val="Normal"/>
    <w:link w:val="Emphasis"/>
    <w:uiPriority w:val="7"/>
    <w:qFormat/>
    <w:rsid w:val="00DA474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89</TotalTime>
  <Pages>2</Pages>
  <Words>4349</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5.1.1</cp:keywords>
  <dc:description/>
  <cp:lastModifiedBy>Jacob Lee</cp:lastModifiedBy>
  <cp:revision>16</cp:revision>
  <dcterms:created xsi:type="dcterms:W3CDTF">2025-07-23T02:25:00Z</dcterms:created>
  <dcterms:modified xsi:type="dcterms:W3CDTF">2025-07-26T00:27:00Z</dcterms:modified>
</cp:coreProperties>
</file>