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A0AA893" w14:textId="10D9EF56" w:rsidR="005D388F" w:rsidRDefault="001A3702" w:rsidP="00F473DD">
      <w:pPr>
        <w:pStyle w:val="Heading1"/>
      </w:pPr>
      <w:r>
        <w:t>Topicality</w:t>
      </w:r>
      <w:r w:rsidR="001428E9">
        <w:t>---</w:t>
      </w:r>
      <w:r>
        <w:t>TDI 2025</w:t>
      </w:r>
    </w:p>
    <w:p w14:paraId="7826A1E9" w14:textId="3110857B" w:rsidR="001A3702" w:rsidRDefault="001A3702" w:rsidP="001A3702">
      <w:pPr>
        <w:pStyle w:val="Heading3"/>
      </w:pPr>
      <w:r>
        <w:t>Resolution</w:t>
      </w:r>
    </w:p>
    <w:p w14:paraId="20261558" w14:textId="4D38BF46" w:rsidR="00BF7F99" w:rsidRPr="00BF7F99" w:rsidRDefault="00BF7F99" w:rsidP="00BF7F99">
      <w:r w:rsidRPr="00BF7F99">
        <w:t> Resolved: The possession of nuclear weapons is immoral.</w:t>
      </w:r>
    </w:p>
    <w:p w14:paraId="24DE867A" w14:textId="77777777" w:rsidR="001A3702" w:rsidRDefault="001A3702" w:rsidP="001A3702"/>
    <w:p w14:paraId="6C25B070" w14:textId="77777777" w:rsidR="00BF7F99" w:rsidRDefault="00BF7F99" w:rsidP="001A3702"/>
    <w:p w14:paraId="78B82BE4" w14:textId="2DC81E97" w:rsidR="001A3702" w:rsidRDefault="001A3702" w:rsidP="001A3702">
      <w:pPr>
        <w:pStyle w:val="Heading2"/>
      </w:pPr>
      <w:r>
        <w:t>Resolved</w:t>
      </w:r>
    </w:p>
    <w:p w14:paraId="3A4CF54B" w14:textId="63B39101" w:rsidR="00F41D0B" w:rsidRDefault="00F41D0B" w:rsidP="00F41D0B">
      <w:pPr>
        <w:pStyle w:val="Heading3"/>
      </w:pPr>
      <w:r>
        <w:t>Resolved---Legislation</w:t>
      </w:r>
    </w:p>
    <w:p w14:paraId="427D552D" w14:textId="77777777" w:rsidR="00F41D0B" w:rsidRPr="00580E7C" w:rsidRDefault="00F41D0B" w:rsidP="00F41D0B">
      <w:pPr>
        <w:pStyle w:val="Heading4"/>
        <w:rPr>
          <w:rFonts w:cstheme="minorHAnsi"/>
        </w:rPr>
      </w:pPr>
      <w:r w:rsidRPr="00580E7C">
        <w:rPr>
          <w:rFonts w:cstheme="minorHAnsi"/>
        </w:rPr>
        <w:t>“Resolved”</w:t>
      </w:r>
    </w:p>
    <w:p w14:paraId="5D397BCF" w14:textId="77777777" w:rsidR="00F41D0B" w:rsidRPr="00580E7C" w:rsidRDefault="00F41D0B" w:rsidP="00F41D0B">
      <w:pPr>
        <w:rPr>
          <w:rFonts w:cstheme="minorHAnsi"/>
        </w:rPr>
      </w:pPr>
      <w:r w:rsidRPr="00580E7C">
        <w:rPr>
          <w:rStyle w:val="Style13ptBold"/>
          <w:rFonts w:cstheme="minorHAnsi"/>
        </w:rPr>
        <w:t xml:space="preserve">LSA 5 </w:t>
      </w:r>
      <w:r w:rsidRPr="00580E7C">
        <w:rPr>
          <w:rFonts w:cstheme="minorHAnsi"/>
        </w:rPr>
        <w:t xml:space="preserve">[Louisiana State Legislature; 2005; Governing body of the state of Louisiana; Louisiana State Legislature, “Legislative Glossary,” </w:t>
      </w:r>
      <w:hyperlink r:id="rId8" w:history="1">
        <w:r w:rsidRPr="00580E7C">
          <w:rPr>
            <w:rStyle w:val="Hyperlink"/>
            <w:rFonts w:cstheme="minorHAnsi"/>
          </w:rPr>
          <w:t>https://www.legis.la.gov/legis/Glossary.aspx</w:t>
        </w:r>
      </w:hyperlink>
      <w:r w:rsidRPr="00580E7C">
        <w:rPr>
          <w:rFonts w:cstheme="minorHAnsi"/>
        </w:rPr>
        <w:t>] TDI</w:t>
      </w:r>
    </w:p>
    <w:p w14:paraId="014F9396" w14:textId="77777777" w:rsidR="00F41D0B" w:rsidRPr="00580E7C" w:rsidRDefault="00F41D0B" w:rsidP="00F41D0B">
      <w:pPr>
        <w:rPr>
          <w:rFonts w:cstheme="minorHAnsi"/>
          <w:sz w:val="16"/>
        </w:rPr>
      </w:pPr>
      <w:r w:rsidRPr="00580E7C">
        <w:rPr>
          <w:rFonts w:cstheme="minorHAnsi"/>
          <w:sz w:val="16"/>
        </w:rPr>
        <w:t>Resolution</w:t>
      </w:r>
    </w:p>
    <w:p w14:paraId="64DD9DBC" w14:textId="77777777" w:rsidR="00F41D0B" w:rsidRPr="00580E7C" w:rsidRDefault="00F41D0B" w:rsidP="00F41D0B">
      <w:pPr>
        <w:rPr>
          <w:rFonts w:cstheme="minorHAnsi"/>
          <w:sz w:val="16"/>
        </w:rPr>
      </w:pPr>
      <w:r w:rsidRPr="00580E7C">
        <w:rPr>
          <w:rStyle w:val="StyleUnderline"/>
          <w:rFonts w:cstheme="minorHAnsi"/>
        </w:rPr>
        <w:t xml:space="preserve">A </w:t>
      </w:r>
      <w:r w:rsidRPr="00580E7C">
        <w:rPr>
          <w:rStyle w:val="Emphasis"/>
          <w:rFonts w:cstheme="minorHAnsi"/>
        </w:rPr>
        <w:t>legislative instrument</w:t>
      </w:r>
      <w:r w:rsidRPr="00580E7C">
        <w:rPr>
          <w:rFonts w:cstheme="minorHAnsi"/>
          <w:sz w:val="16"/>
        </w:rPr>
        <w:t xml:space="preserve"> that generally is </w:t>
      </w:r>
      <w:r w:rsidRPr="00580E7C">
        <w:rPr>
          <w:rStyle w:val="StyleUnderline"/>
          <w:rFonts w:cstheme="minorHAnsi"/>
        </w:rPr>
        <w:t xml:space="preserve">used for making declarations, </w:t>
      </w:r>
      <w:r w:rsidRPr="00580E7C">
        <w:rPr>
          <w:rStyle w:val="Emphasis"/>
          <w:rFonts w:cstheme="minorHAnsi"/>
        </w:rPr>
        <w:t>stating policies</w:t>
      </w:r>
      <w:r w:rsidRPr="00580E7C">
        <w:rPr>
          <w:rStyle w:val="StyleUnderline"/>
          <w:rFonts w:cstheme="minorHAnsi"/>
        </w:rPr>
        <w:t>, and making decisions</w:t>
      </w:r>
      <w:r w:rsidRPr="00580E7C">
        <w:rPr>
          <w:rFonts w:cstheme="minorHAnsi"/>
          <w:sz w:val="16"/>
        </w:rPr>
        <w:t xml:space="preserve"> where some other form is not required. A bill includes the constitutionally required enacting clause; </w:t>
      </w:r>
      <w:r w:rsidRPr="00580E7C">
        <w:rPr>
          <w:rStyle w:val="StyleUnderline"/>
          <w:rFonts w:cstheme="minorHAnsi"/>
        </w:rPr>
        <w:t>a resolution uses the term "</w:t>
      </w:r>
      <w:r w:rsidRPr="00580E7C">
        <w:rPr>
          <w:rStyle w:val="Emphasis"/>
          <w:rFonts w:cstheme="minorHAnsi"/>
        </w:rPr>
        <w:t>resolved</w:t>
      </w:r>
      <w:r w:rsidRPr="00580E7C">
        <w:rPr>
          <w:rStyle w:val="StyleUnderline"/>
          <w:rFonts w:cstheme="minorHAnsi"/>
        </w:rPr>
        <w:t>"</w:t>
      </w:r>
      <w:r w:rsidRPr="00580E7C">
        <w:rPr>
          <w:rFonts w:cstheme="minorHAnsi"/>
          <w:sz w:val="16"/>
        </w:rPr>
        <w:t>. Not subject to a time limit for introduction nor to governor's veto. (Const. Art. III, §17(B) and House Rules 8.11, 13.1, 6.8, and 7.4 and Senate Rules 10.9, 13.5 and 15.1)</w:t>
      </w:r>
    </w:p>
    <w:p w14:paraId="694CCDBA" w14:textId="77777777" w:rsidR="00F41D0B" w:rsidRPr="00F41D0B" w:rsidRDefault="00F41D0B" w:rsidP="00F41D0B"/>
    <w:p w14:paraId="4B4D16C7" w14:textId="33BC472B" w:rsidR="001A3702" w:rsidRDefault="001A3702" w:rsidP="001A3702">
      <w:pPr>
        <w:pStyle w:val="Heading2"/>
      </w:pPr>
      <w:r>
        <w:t>The</w:t>
      </w:r>
    </w:p>
    <w:p w14:paraId="677013CE" w14:textId="6CB93E74" w:rsidR="001A3702" w:rsidRDefault="001A3702" w:rsidP="001A3702">
      <w:pPr>
        <w:pStyle w:val="Heading3"/>
      </w:pPr>
      <w:r>
        <w:t>The</w:t>
      </w:r>
      <w:r w:rsidR="001428E9">
        <w:t>---</w:t>
      </w:r>
      <w:r>
        <w:t>Requires ‘All’</w:t>
      </w:r>
      <w:r w:rsidR="001428E9">
        <w:t>---</w:t>
      </w:r>
      <w:r>
        <w:t>1NC</w:t>
      </w:r>
    </w:p>
    <w:p w14:paraId="1BBFB966" w14:textId="77777777" w:rsidR="00E434D2" w:rsidRPr="00391BC0" w:rsidRDefault="00E434D2" w:rsidP="00E434D2">
      <w:pPr>
        <w:pStyle w:val="Heading4"/>
      </w:pPr>
      <w:r>
        <w:t>‘The’ requires all.</w:t>
      </w:r>
    </w:p>
    <w:p w14:paraId="2538449A" w14:textId="77777777" w:rsidR="00E434D2" w:rsidRPr="00391BC0" w:rsidRDefault="00E434D2" w:rsidP="00E434D2">
      <w:pPr>
        <w:rPr>
          <w:rFonts w:eastAsia="Cambria"/>
        </w:rPr>
      </w:pPr>
      <w:r w:rsidRPr="00391BC0">
        <w:rPr>
          <w:rStyle w:val="Style13ptBold"/>
        </w:rPr>
        <w:t>Supreme Court of Kentucky 3</w:t>
      </w:r>
      <w:r w:rsidRPr="00391BC0">
        <w:rPr>
          <w:rFonts w:eastAsia="Cambria"/>
        </w:rPr>
        <w:t xml:space="preserve"> (“Kotila v. Commonwealth,” 2000-SC-0341-MR, Lexis)//BB</w:t>
      </w:r>
    </w:p>
    <w:p w14:paraId="7AAC8F29" w14:textId="77777777" w:rsidR="00E434D2" w:rsidRPr="00E434D2" w:rsidRDefault="00E434D2" w:rsidP="00E434D2">
      <w:pPr>
        <w:rPr>
          <w:rFonts w:eastAsia="Cambria"/>
          <w:sz w:val="14"/>
        </w:rPr>
      </w:pPr>
      <w:r w:rsidRPr="00E434D2">
        <w:rPr>
          <w:rFonts w:eastAsia="Cambria"/>
          <w:u w:val="single"/>
        </w:rPr>
        <w:t>Whether a</w:t>
      </w:r>
      <w:r w:rsidRPr="00E434D2">
        <w:rPr>
          <w:rFonts w:eastAsia="Cambria"/>
          <w:sz w:val="14"/>
        </w:rPr>
        <w:t xml:space="preserve"> conviction under this </w:t>
      </w:r>
      <w:r w:rsidRPr="00E434D2">
        <w:rPr>
          <w:rFonts w:eastAsia="Cambria"/>
          <w:u w:val="single"/>
        </w:rPr>
        <w:t>statute requires</w:t>
      </w:r>
      <w:r w:rsidRPr="00E434D2">
        <w:rPr>
          <w:rFonts w:eastAsia="Cambria"/>
          <w:sz w:val="14"/>
        </w:rPr>
        <w:t xml:space="preserve"> possession of </w:t>
      </w:r>
      <w:r w:rsidRPr="00E434D2">
        <w:rPr>
          <w:rFonts w:eastAsia="Cambria"/>
          <w:b/>
          <w:iCs/>
          <w:sz w:val="24"/>
          <w:u w:val="single"/>
          <w:bdr w:val="single" w:sz="8" w:space="0" w:color="auto"/>
        </w:rPr>
        <w:t>all</w:t>
      </w:r>
      <w:r w:rsidRPr="00E434D2">
        <w:rPr>
          <w:rFonts w:eastAsia="Cambria"/>
          <w:sz w:val="14"/>
        </w:rPr>
        <w:t xml:space="preserve"> (</w:t>
      </w:r>
      <w:r w:rsidRPr="00E434D2">
        <w:rPr>
          <w:rFonts w:eastAsia="Cambria"/>
          <w:u w:val="single"/>
        </w:rPr>
        <w:t xml:space="preserve">as opposed to </w:t>
      </w:r>
      <w:r w:rsidRPr="00E434D2">
        <w:rPr>
          <w:rFonts w:eastAsia="Cambria"/>
          <w:b/>
          <w:iCs/>
          <w:sz w:val="24"/>
          <w:u w:val="single"/>
          <w:bdr w:val="single" w:sz="8" w:space="0" w:color="auto"/>
        </w:rPr>
        <w:t>any</w:t>
      </w:r>
      <w:r w:rsidRPr="00E434D2">
        <w:rPr>
          <w:rFonts w:eastAsia="Cambria"/>
          <w:sz w:val="14"/>
        </w:rPr>
        <w:t xml:space="preserve">) of the chemicals or equipment necessary to manufacture [**24] methamphetamine under some manufacturing process </w:t>
      </w:r>
      <w:r w:rsidRPr="00E434D2">
        <w:rPr>
          <w:rFonts w:eastAsia="Cambria"/>
          <w:u w:val="single"/>
        </w:rPr>
        <w:t>is a matter of statutory construction</w:t>
      </w:r>
      <w:r w:rsidRPr="00E434D2">
        <w:rPr>
          <w:rFonts w:eastAsia="Cambria"/>
          <w:sz w:val="14"/>
        </w:rPr>
        <w:t>.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w:t>
      </w:r>
      <w:proofErr w:type="spellStart"/>
      <w:r w:rsidRPr="00E434D2">
        <w:rPr>
          <w:rFonts w:eastAsia="Cambria"/>
          <w:sz w:val="14"/>
        </w:rPr>
        <w:t>ossesses</w:t>
      </w:r>
      <w:proofErr w:type="spellEnd"/>
      <w:r w:rsidRPr="00E434D2">
        <w:rPr>
          <w:rFonts w:eastAsia="Cambria"/>
          <w:sz w:val="14"/>
        </w:rPr>
        <w:t xml:space="preserve"> chemicals or equipment," or "[p]</w:t>
      </w:r>
      <w:proofErr w:type="spellStart"/>
      <w:r w:rsidRPr="00E434D2">
        <w:rPr>
          <w:rFonts w:eastAsia="Cambria"/>
          <w:sz w:val="14"/>
        </w:rPr>
        <w:t>ossesses</w:t>
      </w:r>
      <w:proofErr w:type="spellEnd"/>
      <w:r w:rsidRPr="00E434D2">
        <w:rPr>
          <w:rFonts w:eastAsia="Cambria"/>
          <w:sz w:val="14"/>
        </w:rPr>
        <w:t xml:space="preserve"> some of the chemicals or equipment," or "[p]</w:t>
      </w:r>
      <w:proofErr w:type="spellStart"/>
      <w:r w:rsidRPr="00E434D2">
        <w:rPr>
          <w:rFonts w:eastAsia="Cambria"/>
          <w:sz w:val="14"/>
        </w:rPr>
        <w:t>ossesses</w:t>
      </w:r>
      <w:proofErr w:type="spellEnd"/>
      <w:r w:rsidRPr="00E434D2">
        <w:rPr>
          <w:rFonts w:eastAsia="Cambria"/>
          <w:sz w:val="14"/>
        </w:rPr>
        <w:t xml:space="preserve"> any of the chemicals or equipment." It reads "[p]</w:t>
      </w:r>
      <w:proofErr w:type="spellStart"/>
      <w:r w:rsidRPr="00E434D2">
        <w:rPr>
          <w:rFonts w:eastAsia="Cambria"/>
          <w:sz w:val="14"/>
        </w:rPr>
        <w:t>ossesses</w:t>
      </w:r>
      <w:proofErr w:type="spellEnd"/>
      <w:r w:rsidRPr="00E434D2">
        <w:rPr>
          <w:rFonts w:eastAsia="Cambria"/>
          <w:sz w:val="14"/>
        </w:rPr>
        <w:t xml:space="preserve"> the chemicals or equipment for the manufacture of methamphetamine." </w:t>
      </w:r>
      <w:r w:rsidRPr="00E434D2">
        <w:rPr>
          <w:rFonts w:eastAsia="Cambria"/>
          <w:u w:val="single"/>
        </w:rPr>
        <w:t>The presence of the article "</w:t>
      </w:r>
      <w:r w:rsidRPr="00E434D2">
        <w:rPr>
          <w:rFonts w:eastAsia="Cambria"/>
          <w:b/>
          <w:iCs/>
          <w:sz w:val="24"/>
          <w:u w:val="single"/>
          <w:bdr w:val="single" w:sz="8" w:space="0" w:color="auto"/>
        </w:rPr>
        <w:t>the</w:t>
      </w:r>
      <w:r w:rsidRPr="00E434D2">
        <w:rPr>
          <w:rFonts w:eastAsia="Cambria"/>
          <w:u w:val="single"/>
        </w:rPr>
        <w:t>" is significant</w:t>
      </w:r>
      <w:r w:rsidRPr="00E434D2">
        <w:rPr>
          <w:rFonts w:eastAsia="Cambria"/>
          <w:sz w:val="14"/>
        </w:rPr>
        <w:t xml:space="preserve"> </w:t>
      </w:r>
      <w:r w:rsidRPr="00E434D2">
        <w:rPr>
          <w:rFonts w:eastAsia="Cambria"/>
          <w:u w:val="single"/>
        </w:rPr>
        <w:t>because</w:t>
      </w:r>
      <w:r w:rsidRPr="00E434D2">
        <w:rPr>
          <w:rFonts w:eastAsia="Cambria"/>
          <w:sz w:val="14"/>
        </w:rPr>
        <w:t xml:space="preserve">, </w:t>
      </w:r>
      <w:r w:rsidRPr="00E434D2">
        <w:rPr>
          <w:rFonts w:eastAsia="Cambria"/>
          <w:u w:val="single"/>
        </w:rPr>
        <w:t>grammatically speaking</w:t>
      </w:r>
      <w:r w:rsidRPr="00E434D2">
        <w:rPr>
          <w:rFonts w:eastAsia="Cambria"/>
          <w:sz w:val="14"/>
        </w:rPr>
        <w:t xml:space="preserve">, possession of </w:t>
      </w:r>
      <w:r w:rsidRPr="00E434D2">
        <w:rPr>
          <w:rFonts w:eastAsia="Cambria"/>
          <w:b/>
          <w:iCs/>
          <w:sz w:val="24"/>
          <w:u w:val="single"/>
          <w:bdr w:val="single" w:sz="8" w:space="0" w:color="auto"/>
        </w:rPr>
        <w:t>some but not all</w:t>
      </w:r>
      <w:r w:rsidRPr="00E434D2">
        <w:rPr>
          <w:rFonts w:eastAsia="Cambria"/>
          <w:sz w:val="14"/>
        </w:rPr>
        <w:t xml:space="preserve"> of the chemicals or equipment </w:t>
      </w:r>
      <w:r w:rsidRPr="00E434D2">
        <w:rPr>
          <w:rFonts w:eastAsia="Cambria"/>
          <w:b/>
          <w:iCs/>
          <w:sz w:val="24"/>
          <w:u w:val="single"/>
          <w:bdr w:val="single" w:sz="8" w:space="0" w:color="auto"/>
        </w:rPr>
        <w:t>does not satisfy</w:t>
      </w:r>
      <w:r w:rsidRPr="00E434D2">
        <w:rPr>
          <w:rFonts w:eastAsia="Cambria"/>
          <w:sz w:val="14"/>
        </w:rPr>
        <w:t xml:space="preserve"> the statutory language. </w:t>
      </w:r>
    </w:p>
    <w:p w14:paraId="48FD1DD4" w14:textId="77777777" w:rsidR="00E434D2" w:rsidRPr="00E434D2" w:rsidRDefault="00E434D2" w:rsidP="00E434D2">
      <w:pPr>
        <w:rPr>
          <w:rFonts w:eastAsia="Cambria"/>
          <w:sz w:val="14"/>
        </w:rPr>
      </w:pPr>
      <w:r w:rsidRPr="00E434D2">
        <w:rPr>
          <w:rFonts w:eastAsia="Cambria"/>
          <w:sz w:val="14"/>
        </w:rPr>
        <w:t>FN 10</w:t>
      </w:r>
    </w:p>
    <w:p w14:paraId="316E2EE6" w14:textId="77777777" w:rsidR="00E434D2" w:rsidRPr="00E434D2" w:rsidRDefault="00E434D2" w:rsidP="00E434D2">
      <w:pPr>
        <w:rPr>
          <w:rFonts w:eastAsia="Cambria"/>
          <w:sz w:val="14"/>
        </w:rPr>
      </w:pPr>
      <w:r w:rsidRPr="00E434D2">
        <w:rPr>
          <w:rFonts w:eastAsia="Cambria"/>
          <w:u w:val="single"/>
        </w:rPr>
        <w:t>In the context of statutory construction</w:t>
      </w:r>
      <w:r w:rsidRPr="00E434D2">
        <w:rPr>
          <w:rFonts w:eastAsia="Cambria"/>
          <w:sz w:val="14"/>
        </w:rPr>
        <w:t>, "</w:t>
      </w:r>
      <w:r w:rsidRPr="00E434D2">
        <w:rPr>
          <w:rFonts w:eastAsia="Cambria"/>
          <w:b/>
          <w:iCs/>
          <w:sz w:val="24"/>
          <w:u w:val="single"/>
          <w:bdr w:val="single" w:sz="8" w:space="0" w:color="auto"/>
        </w:rPr>
        <w:t>the</w:t>
      </w:r>
      <w:r w:rsidRPr="00E434D2">
        <w:rPr>
          <w:rFonts w:eastAsia="Cambria"/>
          <w:sz w:val="14"/>
        </w:rPr>
        <w:t xml:space="preserve">" </w:t>
      </w:r>
      <w:r w:rsidRPr="00E434D2">
        <w:rPr>
          <w:rFonts w:eastAsia="Cambria"/>
          <w:u w:val="single"/>
        </w:rPr>
        <w:t xml:space="preserve">is used as a function word before a plural noun denoting a group to indicate reference to the </w:t>
      </w:r>
      <w:r w:rsidRPr="00E434D2">
        <w:rPr>
          <w:rFonts w:eastAsia="Cambria"/>
          <w:b/>
          <w:iCs/>
          <w:sz w:val="24"/>
          <w:u w:val="single"/>
          <w:bdr w:val="single" w:sz="8" w:space="0" w:color="auto"/>
        </w:rPr>
        <w:t>group as a whole</w:t>
      </w:r>
      <w:r w:rsidRPr="00E434D2">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6B0A0212" w14:textId="77777777" w:rsidR="00E434D2" w:rsidRPr="00E434D2" w:rsidRDefault="00E434D2" w:rsidP="00E434D2">
      <w:pPr>
        <w:rPr>
          <w:rFonts w:eastAsia="Cambria"/>
          <w:sz w:val="14"/>
        </w:rPr>
      </w:pPr>
      <w:r w:rsidRPr="00E434D2">
        <w:rPr>
          <w:rFonts w:eastAsia="Cambria"/>
          <w:sz w:val="14"/>
        </w:rPr>
        <w:t>End FN 10</w:t>
      </w:r>
    </w:p>
    <w:p w14:paraId="79FE688B" w14:textId="77777777" w:rsidR="00E434D2" w:rsidRPr="00E434D2" w:rsidRDefault="00E434D2" w:rsidP="00E434D2">
      <w:pPr>
        <w:rPr>
          <w:rFonts w:eastAsia="Cambria"/>
          <w:sz w:val="14"/>
        </w:rPr>
      </w:pPr>
      <w:r w:rsidRPr="00E434D2">
        <w:rPr>
          <w:rFonts w:eastAsia="Cambria"/>
          <w:sz w:val="14"/>
        </w:rPr>
        <w:t>"</w:t>
      </w:r>
      <w:r w:rsidRPr="00E434D2">
        <w:rPr>
          <w:rFonts w:eastAsia="Cambria"/>
          <w:b/>
          <w:iCs/>
          <w:sz w:val="24"/>
          <w:u w:val="single"/>
          <w:bdr w:val="single" w:sz="8" w:space="0" w:color="auto"/>
        </w:rPr>
        <w:t>The</w:t>
      </w:r>
      <w:r w:rsidRPr="00E434D2">
        <w:rPr>
          <w:rFonts w:eastAsia="Cambria"/>
          <w:sz w:val="14"/>
        </w:rPr>
        <w:t xml:space="preserve">" </w:t>
      </w:r>
      <w:r w:rsidRPr="00E434D2">
        <w:rPr>
          <w:rFonts w:eastAsia="Cambria"/>
          <w:u w:val="single"/>
        </w:rPr>
        <w:t>is "[u]sed</w:t>
      </w:r>
      <w:r w:rsidRPr="00E434D2">
        <w:rPr>
          <w:rFonts w:eastAsia="Cambria"/>
          <w:sz w:val="14"/>
        </w:rPr>
        <w:t xml:space="preserve"> as [**25] a function word before a plural noun </w:t>
      </w:r>
      <w:r w:rsidRPr="00E434D2">
        <w:rPr>
          <w:rFonts w:eastAsia="Cambria"/>
          <w:u w:val="single"/>
        </w:rPr>
        <w:t xml:space="preserve">denoting a group to indicate reference to the </w:t>
      </w:r>
      <w:r w:rsidRPr="00E434D2">
        <w:rPr>
          <w:rFonts w:eastAsia="Cambria"/>
          <w:b/>
          <w:iCs/>
          <w:sz w:val="24"/>
          <w:u w:val="single"/>
          <w:bdr w:val="single" w:sz="8" w:space="0" w:color="auto"/>
        </w:rPr>
        <w:t>group as a</w:t>
      </w:r>
      <w:r w:rsidRPr="00E434D2">
        <w:rPr>
          <w:rFonts w:eastAsia="Cambria"/>
          <w:u w:val="single"/>
        </w:rPr>
        <w:t xml:space="preserve"> </w:t>
      </w:r>
      <w:r w:rsidRPr="00E434D2">
        <w:rPr>
          <w:rFonts w:eastAsia="Cambria"/>
          <w:b/>
          <w:iCs/>
          <w:sz w:val="24"/>
          <w:u w:val="single"/>
          <w:bdr w:val="single" w:sz="8" w:space="0" w:color="auto"/>
        </w:rPr>
        <w:t>whole</w:t>
      </w:r>
      <w:r w:rsidRPr="00E434D2">
        <w:rPr>
          <w:rFonts w:eastAsia="Cambria"/>
          <w:sz w:val="14"/>
        </w:rPr>
        <w:t xml:space="preserve">." Webster's Third New International Dictionary 2369 (1993). </w:t>
      </w:r>
      <w:r w:rsidRPr="00E434D2">
        <w:rPr>
          <w:rFonts w:eastAsia="Cambria"/>
          <w:u w:val="single"/>
        </w:rPr>
        <w:t xml:space="preserve">In decisions spanning three different centuries, </w:t>
      </w:r>
      <w:r w:rsidRPr="00E434D2">
        <w:rPr>
          <w:rFonts w:eastAsia="Cambria"/>
          <w:sz w:val="14"/>
        </w:rPr>
        <w:t>the appellate</w:t>
      </w:r>
      <w:r w:rsidRPr="00E434D2">
        <w:rPr>
          <w:rFonts w:eastAsia="Cambria"/>
          <w:u w:val="single"/>
        </w:rPr>
        <w:t xml:space="preserve"> courts </w:t>
      </w:r>
      <w:r w:rsidRPr="00E434D2">
        <w:rPr>
          <w:rFonts w:eastAsia="Cambria"/>
          <w:sz w:val="14"/>
        </w:rPr>
        <w:t>of this Commonwealth</w:t>
      </w:r>
      <w:r w:rsidRPr="00E434D2">
        <w:rPr>
          <w:rFonts w:eastAsia="Cambria"/>
          <w:u w:val="single"/>
        </w:rPr>
        <w:t xml:space="preserve"> have found use of the word "</w:t>
      </w:r>
      <w:r w:rsidRPr="00E434D2">
        <w:rPr>
          <w:rFonts w:eastAsia="Cambria"/>
          <w:b/>
          <w:iCs/>
          <w:sz w:val="24"/>
          <w:u w:val="single"/>
          <w:bdr w:val="single" w:sz="8" w:space="0" w:color="auto"/>
        </w:rPr>
        <w:t>the</w:t>
      </w:r>
      <w:r w:rsidRPr="00E434D2">
        <w:rPr>
          <w:rFonts w:eastAsia="Cambria"/>
          <w:u w:val="single"/>
        </w:rPr>
        <w:t>" to have a significant effect upon meaning</w:t>
      </w:r>
      <w:r w:rsidRPr="00E434D2">
        <w:rPr>
          <w:rFonts w:eastAsia="Cambria"/>
          <w:sz w:val="14"/>
        </w:rPr>
        <w:t>. See Revenue Cabinet v. Hubbard, Ky., 37 S.W.3d 717, 719-20 (2000) ("[</w:t>
      </w:r>
      <w:r w:rsidRPr="00E434D2">
        <w:rPr>
          <w:rFonts w:eastAsia="Cambria"/>
          <w:u w:val="single"/>
        </w:rPr>
        <w:t>U]se of</w:t>
      </w:r>
      <w:r w:rsidRPr="00E434D2">
        <w:rPr>
          <w:rFonts w:eastAsia="Cambria"/>
          <w:sz w:val="14"/>
        </w:rPr>
        <w:t xml:space="preserve"> the definite article </w:t>
      </w:r>
      <w:r w:rsidRPr="00E434D2">
        <w:rPr>
          <w:rFonts w:eastAsia="Cambria"/>
          <w:b/>
          <w:iCs/>
          <w:sz w:val="24"/>
          <w:u w:val="single"/>
          <w:bdr w:val="single" w:sz="8" w:space="0" w:color="auto"/>
        </w:rPr>
        <w:t>'the'</w:t>
      </w:r>
      <w:r w:rsidRPr="00E434D2">
        <w:rPr>
          <w:rFonts w:eastAsia="Cambria"/>
          <w:sz w:val="14"/>
        </w:rPr>
        <w:t xml:space="preserve"> </w:t>
      </w:r>
      <w:r w:rsidRPr="00E434D2">
        <w:rPr>
          <w:rFonts w:eastAsia="Cambria"/>
          <w:b/>
          <w:iCs/>
          <w:sz w:val="24"/>
          <w:u w:val="single"/>
          <w:bdr w:val="single" w:sz="8" w:space="0" w:color="auto"/>
        </w:rPr>
        <w:t>indicates</w:t>
      </w:r>
      <w:r w:rsidRPr="00E434D2">
        <w:rPr>
          <w:rFonts w:eastAsia="Cambria"/>
          <w:sz w:val="14"/>
        </w:rPr>
        <w:t xml:space="preserve"> that the statute refers to </w:t>
      </w:r>
      <w:r w:rsidRPr="00E434D2">
        <w:rPr>
          <w:rStyle w:val="Emphasis"/>
        </w:rPr>
        <w:t>the entire body and not to discrete parts</w:t>
      </w:r>
      <w:r w:rsidRPr="00E434D2">
        <w:rPr>
          <w:rFonts w:eastAsia="Cambria"/>
          <w:b/>
          <w:iCs/>
          <w:sz w:val="24"/>
          <w:u w:val="single"/>
          <w:bdr w:val="single" w:sz="8" w:space="0" w:color="auto"/>
        </w:rPr>
        <w:t xml:space="preserve"> or components</w:t>
      </w:r>
      <w:r w:rsidRPr="00E434D2">
        <w:rPr>
          <w:rFonts w:eastAsia="Cambria"/>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E434D2">
        <w:rPr>
          <w:rFonts w:eastAsia="Cambria"/>
          <w:sz w:val="14"/>
        </w:rPr>
        <w:t>Patricca</w:t>
      </w:r>
      <w:proofErr w:type="spellEnd"/>
      <w:r w:rsidRPr="00E434D2">
        <w:rPr>
          <w:rFonts w:eastAsia="Cambria"/>
          <w:sz w:val="14"/>
        </w:rPr>
        <w:t xml:space="preserve"> v. Zoning Bd. of Adjustment, 527 Pa. 267, 590 A.2d 744, 751 (Pa. 1991); McClanahan v. Woodward Constr. Co., 77 Wyo. 362, 316 P.2d 337, 341-42 (Wyo. 1957); Williams v. McComb, 38 NC. (3 </w:t>
      </w:r>
      <w:proofErr w:type="spellStart"/>
      <w:r w:rsidRPr="00E434D2">
        <w:rPr>
          <w:rFonts w:eastAsia="Cambria"/>
          <w:sz w:val="14"/>
        </w:rPr>
        <w:t>Ired</w:t>
      </w:r>
      <w:proofErr w:type="spellEnd"/>
      <w:r w:rsidRPr="00E434D2">
        <w:rPr>
          <w:rFonts w:eastAsia="Cambria"/>
          <w:sz w:val="14"/>
        </w:rPr>
        <w:t>. Eq.) 450 (1844) ("[G]</w:t>
      </w:r>
      <w:proofErr w:type="spellStart"/>
      <w:r w:rsidRPr="00E434D2">
        <w:rPr>
          <w:rFonts w:eastAsia="Cambria"/>
          <w:sz w:val="14"/>
        </w:rPr>
        <w:t>rammatically</w:t>
      </w:r>
      <w:proofErr w:type="spellEnd"/>
      <w:r w:rsidRPr="00E434D2">
        <w:rPr>
          <w:rFonts w:eastAsia="Cambria"/>
          <w:sz w:val="14"/>
        </w:rPr>
        <w:t xml:space="preserve">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2FFD8E04" w14:textId="77777777" w:rsidR="00E434D2" w:rsidRPr="00E434D2" w:rsidRDefault="00E434D2" w:rsidP="00E434D2">
      <w:pPr>
        <w:rPr>
          <w:rFonts w:eastAsia="Cambria"/>
          <w:sz w:val="14"/>
        </w:rPr>
      </w:pPr>
      <w:r w:rsidRPr="00E434D2">
        <w:rPr>
          <w:rFonts w:eastAsia="Cambria"/>
          <w:sz w:val="14"/>
        </w:rPr>
        <w:t>FN 11</w:t>
      </w:r>
    </w:p>
    <w:p w14:paraId="2D3DEA20" w14:textId="77777777" w:rsidR="00E434D2" w:rsidRPr="00E434D2" w:rsidRDefault="00E434D2" w:rsidP="00E434D2">
      <w:pPr>
        <w:rPr>
          <w:rFonts w:eastAsia="Cambria"/>
          <w:sz w:val="14"/>
        </w:rPr>
      </w:pPr>
      <w:r w:rsidRPr="00E434D2">
        <w:rPr>
          <w:rFonts w:eastAsia="Cambria"/>
          <w:u w:val="single"/>
        </w:rPr>
        <w:t>The Kentucky Supreme Court construes the phrase "</w:t>
      </w:r>
      <w:r w:rsidRPr="00E434D2">
        <w:rPr>
          <w:rFonts w:eastAsia="Cambria"/>
          <w:b/>
          <w:iCs/>
          <w:sz w:val="24"/>
          <w:u w:val="single"/>
          <w:bdr w:val="single" w:sz="8" w:space="0" w:color="auto"/>
        </w:rPr>
        <w:t>the</w:t>
      </w:r>
      <w:r w:rsidRPr="00E434D2">
        <w:rPr>
          <w:rFonts w:eastAsia="Cambria"/>
          <w:sz w:val="14"/>
        </w:rPr>
        <w:t xml:space="preserve"> </w:t>
      </w:r>
      <w:r w:rsidRPr="00E434D2">
        <w:rPr>
          <w:rFonts w:eastAsia="Cambria"/>
          <w:b/>
          <w:iCs/>
          <w:sz w:val="24"/>
          <w:u w:val="single"/>
          <w:bdr w:val="single" w:sz="8" w:space="0" w:color="auto"/>
        </w:rPr>
        <w:t>chemicals</w:t>
      </w:r>
      <w:r w:rsidRPr="00E434D2">
        <w:rPr>
          <w:rFonts w:eastAsia="Cambria"/>
          <w:sz w:val="14"/>
        </w:rPr>
        <w:t xml:space="preserve"> or equipment" as used in Ky. Rev. Stat. Ann. § Ky. Rev. Stat. § 218A.1432(1)(b) </w:t>
      </w:r>
      <w:r w:rsidRPr="00E434D2">
        <w:rPr>
          <w:rFonts w:eastAsia="Cambria"/>
          <w:u w:val="single"/>
        </w:rPr>
        <w:t xml:space="preserve">to mean </w:t>
      </w:r>
      <w:r w:rsidRPr="00E434D2">
        <w:rPr>
          <w:rFonts w:eastAsia="Cambria"/>
          <w:b/>
          <w:iCs/>
          <w:sz w:val="24"/>
          <w:u w:val="single"/>
          <w:bdr w:val="single" w:sz="8" w:space="0" w:color="auto"/>
        </w:rPr>
        <w:t>all</w:t>
      </w:r>
      <w:r w:rsidRPr="00E434D2">
        <w:rPr>
          <w:rFonts w:eastAsia="Cambria"/>
          <w:u w:val="single"/>
        </w:rPr>
        <w:t xml:space="preserve"> of the chemicals</w:t>
      </w:r>
      <w:r w:rsidRPr="00E434D2">
        <w:rPr>
          <w:rFonts w:eastAsia="Cambria"/>
          <w:sz w:val="14"/>
        </w:rPr>
        <w:t xml:space="preserve"> or all of the equipment necessary to manufacture methamphetamine. More like this Headnote</w:t>
      </w:r>
    </w:p>
    <w:p w14:paraId="3B4B89B8" w14:textId="77777777" w:rsidR="00E434D2" w:rsidRPr="00E434D2" w:rsidRDefault="00E434D2" w:rsidP="00E434D2">
      <w:pPr>
        <w:rPr>
          <w:rFonts w:eastAsia="Cambria"/>
          <w:sz w:val="14"/>
        </w:rPr>
      </w:pPr>
      <w:r w:rsidRPr="00E434D2">
        <w:rPr>
          <w:rFonts w:eastAsia="Cambria"/>
          <w:sz w:val="14"/>
        </w:rPr>
        <w:t>End FN 11</w:t>
      </w:r>
    </w:p>
    <w:p w14:paraId="5BEF253E" w14:textId="77777777" w:rsidR="00E434D2" w:rsidRPr="00E434D2" w:rsidRDefault="00E434D2" w:rsidP="00E434D2">
      <w:pPr>
        <w:rPr>
          <w:rFonts w:eastAsia="Cambria"/>
          <w:sz w:val="14"/>
        </w:rPr>
      </w:pPr>
      <w:r w:rsidRPr="00E434D2">
        <w:rPr>
          <w:rFonts w:eastAsia="Cambria"/>
          <w:sz w:val="14"/>
        </w:rPr>
        <w:t>we construe "the chemicals or equipment" to mean all of the chemicals or all of the equipment necessary to manufacture methamphetamine.</w:t>
      </w:r>
    </w:p>
    <w:p w14:paraId="0074ADB8" w14:textId="77777777" w:rsidR="00E434D2" w:rsidRPr="00E434D2" w:rsidRDefault="00E434D2" w:rsidP="00E434D2">
      <w:pPr>
        <w:pStyle w:val="Heading4"/>
      </w:pPr>
      <w:r w:rsidRPr="00E434D2">
        <w:t xml:space="preserve">‘The’ means there’s </w:t>
      </w:r>
      <w:r w:rsidRPr="00E434D2">
        <w:rPr>
          <w:u w:val="single"/>
        </w:rPr>
        <w:t>only one</w:t>
      </w:r>
      <w:r w:rsidRPr="00E434D2">
        <w:t xml:space="preserve"> whole.</w:t>
      </w:r>
    </w:p>
    <w:p w14:paraId="1739186E" w14:textId="77777777" w:rsidR="00E434D2" w:rsidRPr="00E434D2" w:rsidRDefault="00E434D2" w:rsidP="00E434D2">
      <w:r w:rsidRPr="00E434D2">
        <w:rPr>
          <w:rStyle w:val="Style13ptBold"/>
        </w:rPr>
        <w:t>Rehnquist ’4</w:t>
      </w:r>
      <w:r w:rsidRPr="00E434D2">
        <w:t xml:space="preserve"> [William Rehnquist; June 28, 2004; Chief Justice of the Supreme Court of the United States, delivering the opinion of the court; Westlaw, “Rumsfeld v. Padilla,” 542 U.S. 426]</w:t>
      </w:r>
    </w:p>
    <w:p w14:paraId="046AEA5D" w14:textId="77777777" w:rsidR="00E434D2" w:rsidRPr="00E434D2" w:rsidRDefault="00E434D2" w:rsidP="00E434D2">
      <w:pPr>
        <w:rPr>
          <w:sz w:val="16"/>
        </w:rPr>
      </w:pPr>
      <w:r w:rsidRPr="00E434D2">
        <w:rPr>
          <w:sz w:val="16"/>
        </w:rPr>
        <w:t xml:space="preserve">The federal habeas statute straightforwardly provides that the proper respondent to a habeas petition is “the person who has custody over [the petitioner].” 28 U.S.C. § 2242; see also § 2243 (“The writ, or order to show cause shall be directed to the person having custody of the person detained”). </w:t>
      </w:r>
      <w:r w:rsidRPr="00E434D2">
        <w:rPr>
          <w:rStyle w:val="StyleUnderline"/>
        </w:rPr>
        <w:t xml:space="preserve">The </w:t>
      </w:r>
      <w:r w:rsidRPr="00E434D2">
        <w:rPr>
          <w:rStyle w:val="Emphasis"/>
        </w:rPr>
        <w:t>consistent use</w:t>
      </w:r>
      <w:r w:rsidRPr="00E434D2">
        <w:rPr>
          <w:rStyle w:val="StyleUnderline"/>
        </w:rPr>
        <w:t xml:space="preserve"> of the definite article</w:t>
      </w:r>
      <w:r w:rsidRPr="00E434D2">
        <w:rPr>
          <w:sz w:val="16"/>
        </w:rPr>
        <w:t xml:space="preserve"> in reference to the custodian </w:t>
      </w:r>
      <w:r w:rsidRPr="00E434D2">
        <w:rPr>
          <w:rStyle w:val="StyleUnderline"/>
        </w:rPr>
        <w:t>indicates</w:t>
      </w:r>
      <w:r w:rsidRPr="00E434D2">
        <w:rPr>
          <w:sz w:val="16"/>
        </w:rPr>
        <w:t xml:space="preserve"> that </w:t>
      </w:r>
      <w:r w:rsidRPr="00E434D2">
        <w:rPr>
          <w:rStyle w:val="StyleUnderline"/>
        </w:rPr>
        <w:t>there is</w:t>
      </w:r>
      <w:r w:rsidRPr="00E434D2">
        <w:rPr>
          <w:sz w:val="16"/>
        </w:rPr>
        <w:t xml:space="preserve"> generally </w:t>
      </w:r>
      <w:r w:rsidRPr="00E434D2">
        <w:rPr>
          <w:rStyle w:val="Emphasis"/>
        </w:rPr>
        <w:t>only one</w:t>
      </w:r>
      <w:r w:rsidRPr="00E434D2">
        <w:rPr>
          <w:sz w:val="16"/>
        </w:rPr>
        <w:t xml:space="preserve"> proper respondent to a given prisoner's habeas petition. *435 This custodian, moreover, is “the person” with the ability to produce the prisoner's body before the habeas court. Ibid. We summed up the plain language of the habeas statute over 100 years ago in this way: “[T]</w:t>
      </w:r>
      <w:proofErr w:type="spellStart"/>
      <w:r w:rsidRPr="00E434D2">
        <w:rPr>
          <w:sz w:val="16"/>
        </w:rPr>
        <w:t>hese</w:t>
      </w:r>
      <w:proofErr w:type="spellEnd"/>
      <w:r w:rsidRPr="00E434D2">
        <w:rPr>
          <w:sz w:val="16"/>
        </w:rPr>
        <w:t xml:space="preserve"> provisions contemplate a proceeding against some person who has the immediate custody of the party detained, with the power to produce the body of such party before the court or judge, that he may be liberated if no sufficient reason is shown to the contrary.” Wales v. Whitney, 114 U.S. 564, 574, 5 </w:t>
      </w:r>
      <w:proofErr w:type="spellStart"/>
      <w:r w:rsidRPr="00E434D2">
        <w:rPr>
          <w:sz w:val="16"/>
        </w:rPr>
        <w:t>S.Ct</w:t>
      </w:r>
      <w:proofErr w:type="spellEnd"/>
      <w:r w:rsidRPr="00E434D2">
        <w:rPr>
          <w:sz w:val="16"/>
        </w:rPr>
        <w:t xml:space="preserve">. 1050, 29 </w:t>
      </w:r>
      <w:proofErr w:type="spellStart"/>
      <w:r w:rsidRPr="00E434D2">
        <w:rPr>
          <w:sz w:val="16"/>
        </w:rPr>
        <w:t>L.Ed</w:t>
      </w:r>
      <w:proofErr w:type="spellEnd"/>
      <w:r w:rsidRPr="00E434D2">
        <w:rPr>
          <w:sz w:val="16"/>
        </w:rPr>
        <w:t xml:space="preserve">. 277 (1885) **2718 (emphasis added); see also Braden v. 30th Judicial Circuit Court of Ky., 410 U.S. 484, 494-495, 93 </w:t>
      </w:r>
      <w:proofErr w:type="spellStart"/>
      <w:r w:rsidRPr="00E434D2">
        <w:rPr>
          <w:sz w:val="16"/>
        </w:rPr>
        <w:t>S.Ct</w:t>
      </w:r>
      <w:proofErr w:type="spellEnd"/>
      <w:r w:rsidRPr="00E434D2">
        <w:rPr>
          <w:sz w:val="16"/>
        </w:rPr>
        <w:t xml:space="preserve">. 1123, 35 L.Ed.2d 443 (1973) (“The writ of habeas corpus” acts upon “the person who holds [the detainee] in what is alleged to be unlawful custody,” citing Wales, supra, at 574, 5 </w:t>
      </w:r>
      <w:proofErr w:type="spellStart"/>
      <w:r w:rsidRPr="00E434D2">
        <w:rPr>
          <w:sz w:val="16"/>
        </w:rPr>
        <w:t>S.Ct</w:t>
      </w:r>
      <w:proofErr w:type="spellEnd"/>
      <w:r w:rsidRPr="00E434D2">
        <w:rPr>
          <w:sz w:val="16"/>
        </w:rPr>
        <w:t xml:space="preserve">. 1050); Braden, supra, at 495, 93 </w:t>
      </w:r>
      <w:proofErr w:type="spellStart"/>
      <w:r w:rsidRPr="00E434D2">
        <w:rPr>
          <w:sz w:val="16"/>
        </w:rPr>
        <w:t>S.Ct</w:t>
      </w:r>
      <w:proofErr w:type="spellEnd"/>
      <w:r w:rsidRPr="00E434D2">
        <w:rPr>
          <w:sz w:val="16"/>
        </w:rPr>
        <w:t>. 1123 (“ ‘[T]his writ ... is directed to ... [the] jailer,’ ” quoting In re Jackson, 15 Mich. 417, 439-440 (1867)).</w:t>
      </w:r>
    </w:p>
    <w:p w14:paraId="14ADABD2" w14:textId="77777777" w:rsidR="00E434D2" w:rsidRPr="00E434D2" w:rsidRDefault="00E434D2" w:rsidP="00E434D2">
      <w:pPr>
        <w:pStyle w:val="Heading4"/>
        <w:rPr>
          <w:rFonts w:eastAsia="MS Gothic"/>
        </w:rPr>
      </w:pPr>
      <w:r w:rsidRPr="00E434D2">
        <w:rPr>
          <w:rFonts w:eastAsia="MS Gothic"/>
        </w:rPr>
        <w:t xml:space="preserve">The only possible interpretation of ‘the’ is </w:t>
      </w:r>
      <w:r w:rsidRPr="00E434D2">
        <w:rPr>
          <w:rFonts w:eastAsia="MS Gothic"/>
          <w:u w:val="single"/>
        </w:rPr>
        <w:t>all</w:t>
      </w:r>
      <w:r w:rsidRPr="00E434D2">
        <w:rPr>
          <w:rFonts w:eastAsia="MS Gothic"/>
        </w:rPr>
        <w:t xml:space="preserve">, not </w:t>
      </w:r>
      <w:r w:rsidRPr="00E434D2">
        <w:rPr>
          <w:rFonts w:eastAsia="MS Gothic"/>
          <w:u w:val="single"/>
        </w:rPr>
        <w:t>some nor any</w:t>
      </w:r>
      <w:r w:rsidRPr="00E434D2">
        <w:rPr>
          <w:rFonts w:eastAsia="MS Gothic"/>
        </w:rPr>
        <w:t>.</w:t>
      </w:r>
    </w:p>
    <w:p w14:paraId="65A551B2" w14:textId="77777777" w:rsidR="00E434D2" w:rsidRPr="00E434D2" w:rsidRDefault="00E434D2" w:rsidP="00E434D2">
      <w:pPr>
        <w:rPr>
          <w:rFonts w:eastAsia="Cambria"/>
        </w:rPr>
      </w:pPr>
      <w:r w:rsidRPr="00E434D2">
        <w:rPr>
          <w:rStyle w:val="Style13ptBold"/>
        </w:rPr>
        <w:t>United States Court of Appeals for the Sixth Circuit 15</w:t>
      </w:r>
      <w:r w:rsidRPr="00E434D2">
        <w:rPr>
          <w:rFonts w:eastAsia="Cambria"/>
        </w:rPr>
        <w:t xml:space="preserve"> (“Gillie v. Law Office of Eric A. Jones, LLC,” File Name: 15a0087p.06, Lexis)//BB</w:t>
      </w:r>
    </w:p>
    <w:p w14:paraId="123BF6EA" w14:textId="77777777" w:rsidR="00E434D2" w:rsidRPr="00E434D2" w:rsidRDefault="00E434D2" w:rsidP="00E434D2">
      <w:pPr>
        <w:rPr>
          <w:rFonts w:eastAsia="Cambria"/>
          <w:sz w:val="16"/>
        </w:rPr>
      </w:pPr>
      <w:r w:rsidRPr="00E434D2">
        <w:rPr>
          <w:rFonts w:eastAsia="Cambria"/>
          <w:sz w:val="16"/>
        </w:rPr>
        <w:t xml:space="preserve">Turning from "authorized by law," we find another reason to disqualify special counsel as officers under the plain meaning of the Dictionary Act. Mainly, that </w:t>
      </w:r>
    </w:p>
    <w:p w14:paraId="217C37B1" w14:textId="77777777" w:rsidR="00E434D2" w:rsidRPr="00E434D2" w:rsidRDefault="00E434D2" w:rsidP="00E434D2">
      <w:pPr>
        <w:rPr>
          <w:rFonts w:eastAsia="Cambria"/>
          <w:sz w:val="16"/>
        </w:rPr>
      </w:pPr>
      <w:r w:rsidRPr="00E434D2">
        <w:rPr>
          <w:rFonts w:eastAsia="Cambria"/>
          <w:sz w:val="16"/>
        </w:rPr>
        <w:t>Headnote 13</w:t>
      </w:r>
    </w:p>
    <w:p w14:paraId="35713C1F" w14:textId="77777777" w:rsidR="00E434D2" w:rsidRPr="00E434D2" w:rsidRDefault="00E434D2" w:rsidP="00E434D2">
      <w:pPr>
        <w:rPr>
          <w:rFonts w:eastAsia="Cambria"/>
          <w:sz w:val="16"/>
        </w:rPr>
      </w:pPr>
      <w:r w:rsidRPr="00E434D2">
        <w:rPr>
          <w:rFonts w:eastAsia="Cambria"/>
          <w:sz w:val="16"/>
        </w:rPr>
        <w:t>Special counsel do not perform "</w:t>
      </w:r>
      <w:r w:rsidRPr="00E434D2">
        <w:rPr>
          <w:rFonts w:eastAsia="Cambria"/>
          <w:b/>
          <w:iCs/>
          <w:sz w:val="24"/>
          <w:u w:val="single"/>
          <w:bdr w:val="single" w:sz="8" w:space="0" w:color="auto"/>
        </w:rPr>
        <w:t>the duties</w:t>
      </w:r>
      <w:r w:rsidRPr="00E434D2">
        <w:rPr>
          <w:rFonts w:eastAsia="Cambria"/>
          <w:sz w:val="16"/>
        </w:rPr>
        <w:t xml:space="preserve">" of any office. </w:t>
      </w:r>
      <w:r w:rsidRPr="00E434D2">
        <w:rPr>
          <w:rFonts w:eastAsia="Cambria"/>
          <w:u w:val="single"/>
        </w:rPr>
        <w:t>The use of the definite article</w:t>
      </w:r>
      <w:r w:rsidRPr="00E434D2">
        <w:rPr>
          <w:rFonts w:eastAsia="Cambria"/>
          <w:sz w:val="16"/>
        </w:rPr>
        <w:t xml:space="preserve"> preceding both "duties" and "office" in the definition in the Dictionary Act, 1 U.S.C.S. § 1, </w:t>
      </w:r>
      <w:r w:rsidRPr="00E434D2">
        <w:rPr>
          <w:rFonts w:eastAsia="Cambria"/>
          <w:u w:val="single"/>
        </w:rPr>
        <w:t>restricts the court's interpretation of that language</w:t>
      </w:r>
      <w:r w:rsidRPr="00E434D2">
        <w:rPr>
          <w:rFonts w:eastAsia="Cambria"/>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E434D2">
        <w:rPr>
          <w:rFonts w:eastAsia="Cambria"/>
          <w:u w:val="single"/>
        </w:rPr>
        <w:t xml:space="preserve">the word "the" that precedes "duties" has only </w:t>
      </w:r>
      <w:r w:rsidRPr="00E434D2">
        <w:rPr>
          <w:rFonts w:eastAsia="Cambria"/>
          <w:b/>
          <w:iCs/>
          <w:sz w:val="24"/>
          <w:u w:val="single"/>
          <w:bdr w:val="single" w:sz="8" w:space="0" w:color="auto"/>
        </w:rPr>
        <w:t>one</w:t>
      </w:r>
      <w:r w:rsidRPr="00E434D2">
        <w:rPr>
          <w:rFonts w:eastAsia="Cambria"/>
          <w:u w:val="single"/>
        </w:rPr>
        <w:t xml:space="preserve"> sensible construction</w:t>
      </w:r>
      <w:r w:rsidRPr="00E434D2">
        <w:rPr>
          <w:rFonts w:eastAsia="Cambria"/>
          <w:sz w:val="16"/>
        </w:rPr>
        <w:t xml:space="preserve">--that </w:t>
      </w:r>
      <w:r w:rsidRPr="00E434D2">
        <w:rPr>
          <w:rFonts w:eastAsia="Cambria"/>
          <w:u w:val="single"/>
        </w:rPr>
        <w:t>it refers to</w:t>
      </w:r>
      <w:r w:rsidRPr="00E434D2">
        <w:rPr>
          <w:rFonts w:eastAsia="Cambria"/>
          <w:sz w:val="16"/>
        </w:rPr>
        <w:t xml:space="preserve"> a specific thing--</w:t>
      </w:r>
      <w:r w:rsidRPr="00E434D2">
        <w:rPr>
          <w:rFonts w:eastAsia="Cambria"/>
          <w:b/>
          <w:iCs/>
          <w:sz w:val="24"/>
          <w:u w:val="single"/>
          <w:bdr w:val="single" w:sz="8" w:space="0" w:color="auto"/>
        </w:rPr>
        <w:t>all</w:t>
      </w:r>
      <w:r w:rsidRPr="00E434D2">
        <w:rPr>
          <w:rFonts w:eastAsia="Cambria"/>
          <w:u w:val="single"/>
        </w:rPr>
        <w:t xml:space="preserve"> duties</w:t>
      </w:r>
      <w:r w:rsidRPr="00E434D2">
        <w:rPr>
          <w:rFonts w:eastAsia="Cambria"/>
          <w:sz w:val="16"/>
        </w:rPr>
        <w:t xml:space="preserve"> associated with the office in question. </w:t>
      </w:r>
      <w:r w:rsidRPr="00E434D2">
        <w:rPr>
          <w:rFonts w:eastAsia="Cambria"/>
          <w:u w:val="single"/>
        </w:rPr>
        <w:t>It would be unreasonable to construe "the</w:t>
      </w:r>
      <w:r w:rsidRPr="00E434D2">
        <w:rPr>
          <w:rFonts w:eastAsia="Cambria"/>
          <w:sz w:val="16"/>
        </w:rPr>
        <w:t xml:space="preserve">," in that instance, </w:t>
      </w:r>
      <w:r w:rsidRPr="00E434D2">
        <w:rPr>
          <w:rFonts w:eastAsia="Cambria"/>
          <w:u w:val="single"/>
        </w:rPr>
        <w:t>to mean</w:t>
      </w:r>
      <w:r w:rsidRPr="00E434D2">
        <w:rPr>
          <w:rFonts w:eastAsia="Cambria"/>
          <w:sz w:val="16"/>
        </w:rPr>
        <w:t xml:space="preserve"> "a," "</w:t>
      </w:r>
      <w:r w:rsidRPr="00E434D2">
        <w:rPr>
          <w:rFonts w:eastAsia="Cambria"/>
          <w:b/>
          <w:iCs/>
          <w:sz w:val="24"/>
          <w:u w:val="single"/>
          <w:bdr w:val="single" w:sz="8" w:space="0" w:color="auto"/>
        </w:rPr>
        <w:t>some</w:t>
      </w:r>
      <w:r w:rsidRPr="00E434D2">
        <w:rPr>
          <w:rFonts w:eastAsia="Cambria"/>
          <w:sz w:val="16"/>
        </w:rPr>
        <w:t xml:space="preserve">" </w:t>
      </w:r>
      <w:r w:rsidRPr="00E434D2">
        <w:rPr>
          <w:rFonts w:eastAsia="Cambria"/>
          <w:b/>
          <w:iCs/>
          <w:sz w:val="24"/>
          <w:u w:val="single"/>
          <w:bdr w:val="single" w:sz="8" w:space="0" w:color="auto"/>
        </w:rPr>
        <w:t>or</w:t>
      </w:r>
      <w:r w:rsidRPr="00E434D2">
        <w:rPr>
          <w:rFonts w:eastAsia="Cambria"/>
          <w:sz w:val="16"/>
        </w:rPr>
        <w:t xml:space="preserve"> "</w:t>
      </w:r>
      <w:r w:rsidRPr="00E434D2">
        <w:rPr>
          <w:rFonts w:eastAsia="Cambria"/>
          <w:b/>
          <w:iCs/>
          <w:sz w:val="24"/>
          <w:u w:val="single"/>
          <w:bdr w:val="single" w:sz="8" w:space="0" w:color="auto"/>
        </w:rPr>
        <w:t>any</w:t>
      </w:r>
      <w:r w:rsidRPr="00E434D2">
        <w:rPr>
          <w:rFonts w:eastAsia="Cambria"/>
          <w:sz w:val="16"/>
        </w:rPr>
        <w:t xml:space="preserve">." </w:t>
      </w:r>
      <w:r w:rsidRPr="00E434D2">
        <w:rPr>
          <w:rFonts w:eastAsia="Cambria"/>
          <w:u w:val="single"/>
        </w:rPr>
        <w:t xml:space="preserve">It is a fundamental canon </w:t>
      </w:r>
      <w:r w:rsidRPr="00E434D2">
        <w:rPr>
          <w:rFonts w:eastAsia="Cambria"/>
          <w:sz w:val="16"/>
        </w:rPr>
        <w:t>of statutory construction</w:t>
      </w:r>
      <w:r w:rsidRPr="00E434D2">
        <w:rPr>
          <w:rFonts w:eastAsia="Cambria"/>
          <w:u w:val="single"/>
        </w:rPr>
        <w:t xml:space="preserve"> that, unless otherwise defined, words will be interpreted as taking their ordinary, contemporary, common meaning. And it is normal usage that, in the absence of contrary indication, governs interpretation of texts</w:t>
      </w:r>
      <w:r w:rsidRPr="00E434D2">
        <w:rPr>
          <w:rFonts w:eastAsia="Cambria"/>
          <w:sz w:val="16"/>
        </w:rPr>
        <w:t>. More like this Headnote</w:t>
      </w:r>
    </w:p>
    <w:p w14:paraId="541C3B4A" w14:textId="77777777" w:rsidR="00E434D2" w:rsidRPr="00E434D2" w:rsidRDefault="00E434D2" w:rsidP="00E434D2">
      <w:pPr>
        <w:rPr>
          <w:rFonts w:eastAsia="Cambria"/>
          <w:sz w:val="16"/>
        </w:rPr>
      </w:pPr>
      <w:r w:rsidRPr="00E434D2">
        <w:rPr>
          <w:rFonts w:eastAsia="Cambria"/>
          <w:sz w:val="16"/>
        </w:rPr>
        <w:t>End Headnote 13</w:t>
      </w:r>
    </w:p>
    <w:p w14:paraId="5A1B7167" w14:textId="77777777" w:rsidR="00E434D2" w:rsidRPr="000A2A18" w:rsidRDefault="00E434D2" w:rsidP="00E434D2">
      <w:pPr>
        <w:rPr>
          <w:rFonts w:eastAsia="Cambria"/>
          <w:sz w:val="14"/>
        </w:rPr>
      </w:pPr>
      <w:r w:rsidRPr="00E434D2">
        <w:rPr>
          <w:rFonts w:eastAsia="Cambria"/>
          <w:sz w:val="16"/>
        </w:rPr>
        <w:t xml:space="preserve">special counsel do not perform "the duties" of any office. </w:t>
      </w:r>
      <w:r w:rsidRPr="00E434D2">
        <w:rPr>
          <w:rFonts w:eastAsia="Cambria"/>
          <w:u w:val="single"/>
        </w:rPr>
        <w:t>The</w:t>
      </w:r>
      <w:r w:rsidRPr="00E434D2">
        <w:rPr>
          <w:rFonts w:eastAsia="Cambria"/>
          <w:sz w:val="16"/>
        </w:rPr>
        <w:t xml:space="preserve"> </w:t>
      </w:r>
      <w:r w:rsidRPr="00E434D2">
        <w:rPr>
          <w:rFonts w:eastAsia="Cambria"/>
          <w:u w:val="single"/>
        </w:rPr>
        <w:t>use of the definite article</w:t>
      </w:r>
      <w:r w:rsidRPr="00E434D2">
        <w:rPr>
          <w:rFonts w:eastAsia="Cambria"/>
          <w:sz w:val="16"/>
        </w:rPr>
        <w:t xml:space="preserve"> preceding both "duties" and "office" in the Dictionary Act's definition </w:t>
      </w:r>
      <w:r w:rsidRPr="00E434D2">
        <w:rPr>
          <w:rFonts w:eastAsia="Cambria"/>
          <w:b/>
          <w:iCs/>
          <w:sz w:val="24"/>
          <w:u w:val="single"/>
          <w:bdr w:val="single" w:sz="8" w:space="0" w:color="auto"/>
        </w:rPr>
        <w:t>restricts</w:t>
      </w:r>
      <w:r w:rsidRPr="00E434D2">
        <w:rPr>
          <w:rFonts w:eastAsia="Cambria"/>
          <w:u w:val="single"/>
        </w:rPr>
        <w:t xml:space="preserve"> our interpretation</w:t>
      </w:r>
      <w:r w:rsidRPr="00E434D2">
        <w:rPr>
          <w:rFonts w:eastAsia="Cambria"/>
          <w:sz w:val="16"/>
        </w:rPr>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E434D2">
        <w:rPr>
          <w:rFonts w:eastAsia="Cambria"/>
          <w:u w:val="single"/>
        </w:rPr>
        <w:t>the word "the" that precedes "duties" has only one sensible construction—that</w:t>
      </w:r>
      <w:r w:rsidRPr="00E434D2">
        <w:rPr>
          <w:rFonts w:eastAsia="Cambria"/>
          <w:sz w:val="14"/>
        </w:rPr>
        <w:t xml:space="preserve"> [**22] </w:t>
      </w:r>
      <w:r w:rsidRPr="00E434D2">
        <w:rPr>
          <w:rFonts w:eastAsia="Cambria"/>
          <w:b/>
          <w:iCs/>
          <w:sz w:val="24"/>
          <w:u w:val="single"/>
          <w:bdr w:val="single" w:sz="8" w:space="0" w:color="auto"/>
        </w:rPr>
        <w:t>it refers to</w:t>
      </w:r>
      <w:r w:rsidRPr="00E434D2">
        <w:rPr>
          <w:rFonts w:eastAsia="Cambria"/>
          <w:sz w:val="14"/>
        </w:rPr>
        <w:t xml:space="preserve"> a specific thing—</w:t>
      </w:r>
      <w:r w:rsidRPr="00E434D2">
        <w:rPr>
          <w:rFonts w:eastAsia="Cambria"/>
          <w:b/>
          <w:iCs/>
          <w:sz w:val="24"/>
          <w:u w:val="single"/>
          <w:bdr w:val="single" w:sz="8" w:space="0" w:color="auto"/>
        </w:rPr>
        <w:t>all duties</w:t>
      </w:r>
      <w:r w:rsidRPr="00E434D2">
        <w:rPr>
          <w:rFonts w:eastAsia="Cambria"/>
          <w:sz w:val="14"/>
        </w:rPr>
        <w:t xml:space="preserve"> associated with the office in question. </w:t>
      </w:r>
      <w:r w:rsidRPr="00E434D2">
        <w:rPr>
          <w:rFonts w:eastAsia="Cambria"/>
          <w:u w:val="single"/>
        </w:rPr>
        <w:t>It would be unreasonable to construe "the,"</w:t>
      </w:r>
      <w:r w:rsidRPr="00E434D2">
        <w:rPr>
          <w:rFonts w:eastAsia="Cambria"/>
          <w:sz w:val="14"/>
        </w:rPr>
        <w:t xml:space="preserve"> in that instance, </w:t>
      </w:r>
      <w:r w:rsidRPr="00E434D2">
        <w:rPr>
          <w:rFonts w:eastAsia="Cambria"/>
          <w:b/>
          <w:iCs/>
          <w:sz w:val="24"/>
          <w:u w:val="single"/>
          <w:bdr w:val="single" w:sz="8" w:space="0" w:color="auto"/>
        </w:rPr>
        <w:t>to mean</w:t>
      </w:r>
      <w:r w:rsidRPr="00E434D2">
        <w:rPr>
          <w:rFonts w:eastAsia="Cambria"/>
          <w:sz w:val="14"/>
        </w:rPr>
        <w:t xml:space="preserve"> "a," "</w:t>
      </w:r>
      <w:r w:rsidRPr="00E434D2">
        <w:rPr>
          <w:rFonts w:eastAsia="Cambria"/>
          <w:b/>
          <w:iCs/>
          <w:sz w:val="24"/>
          <w:u w:val="single"/>
          <w:bdr w:val="single" w:sz="8" w:space="0" w:color="auto"/>
        </w:rPr>
        <w:t>some</w:t>
      </w:r>
      <w:r w:rsidRPr="00E434D2">
        <w:rPr>
          <w:rFonts w:eastAsia="Cambria"/>
          <w:sz w:val="14"/>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25A3E61D" w14:textId="77777777" w:rsidR="00E434D2" w:rsidRPr="00E434D2" w:rsidRDefault="00E434D2" w:rsidP="00E434D2"/>
    <w:p w14:paraId="3757880D" w14:textId="03F4A38B" w:rsidR="001A3702" w:rsidRDefault="001A3702" w:rsidP="001A3702">
      <w:pPr>
        <w:pStyle w:val="Heading3"/>
      </w:pPr>
      <w:r>
        <w:t>The</w:t>
      </w:r>
      <w:r w:rsidR="001428E9">
        <w:t>---</w:t>
      </w:r>
      <w:r w:rsidR="00BF7F99">
        <w:t xml:space="preserve">A2: </w:t>
      </w:r>
      <w:r>
        <w:t>Requires ‘All’</w:t>
      </w:r>
      <w:r w:rsidR="001428E9">
        <w:t>---</w:t>
      </w:r>
      <w:r>
        <w:t>1</w:t>
      </w:r>
      <w:r w:rsidR="00BF7F99">
        <w:t>AR</w:t>
      </w:r>
    </w:p>
    <w:p w14:paraId="3156F1E6" w14:textId="703BA686" w:rsidR="00676102" w:rsidRPr="00A46D4F" w:rsidRDefault="00676102" w:rsidP="00676102">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6F8AC91D" w14:textId="77777777" w:rsidR="00676102" w:rsidRPr="00A46D4F" w:rsidRDefault="00676102" w:rsidP="00676102">
      <w:pPr>
        <w:rPr>
          <w:rFonts w:eastAsia="Cambria"/>
        </w:rPr>
      </w:pPr>
      <w:r w:rsidRPr="00193C56">
        <w:rPr>
          <w:rStyle w:val="Style13ptBold"/>
        </w:rPr>
        <w:t>Webster ’7</w:t>
      </w:r>
      <w:r w:rsidRPr="00A46D4F">
        <w:rPr>
          <w:rFonts w:eastAsia="Cambria"/>
        </w:rPr>
        <w:t xml:space="preserve"> [Merriam Webster online dictionary; carbon dated 2007; “the,” </w:t>
      </w:r>
      <w:hyperlink r:id="rId9" w:history="1">
        <w:r w:rsidRPr="00A46D4F">
          <w:rPr>
            <w:rFonts w:eastAsia="Cambria"/>
          </w:rPr>
          <w:t>https://www.merriam-webster.com/dictionary/the</w:t>
        </w:r>
      </w:hyperlink>
    </w:p>
    <w:p w14:paraId="3A523F18" w14:textId="77777777" w:rsidR="00676102" w:rsidRDefault="00676102" w:rsidP="00676102">
      <w:pPr>
        <w:rPr>
          <w:rFonts w:eastAsia="Cambria"/>
          <w:b/>
          <w:iCs/>
          <w:sz w:val="24"/>
          <w:u w:val="single"/>
          <w:bdr w:val="single" w:sz="8" w:space="0" w:color="auto"/>
        </w:rPr>
      </w:pPr>
      <w:r w:rsidRPr="00A46D4F">
        <w:rPr>
          <w:rFonts w:eastAsia="Cambria"/>
          <w:sz w:val="16"/>
        </w:rPr>
        <w:t>b—</w:t>
      </w:r>
      <w:r w:rsidRPr="00AB0FE1">
        <w:rPr>
          <w:rFonts w:eastAsia="Cambria"/>
          <w:highlight w:val="cyan"/>
          <w:u w:val="single"/>
        </w:rPr>
        <w:t xml:space="preserve">used as a </w:t>
      </w:r>
      <w:r w:rsidRPr="00AB0FE1">
        <w:rPr>
          <w:rFonts w:eastAsia="Cambria"/>
          <w:b/>
          <w:iCs/>
          <w:sz w:val="24"/>
          <w:highlight w:val="cyan"/>
          <w:u w:val="single"/>
          <w:bdr w:val="single" w:sz="8" w:space="0" w:color="auto"/>
        </w:rPr>
        <w:t>function word</w:t>
      </w:r>
      <w:r w:rsidRPr="00AB0FE1">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AB0FE1">
        <w:rPr>
          <w:rFonts w:eastAsia="Cambria"/>
          <w:b/>
          <w:iCs/>
          <w:sz w:val="24"/>
          <w:highlight w:val="cyan"/>
          <w:u w:val="single"/>
          <w:bdr w:val="single" w:sz="8" w:space="0" w:color="auto"/>
        </w:rPr>
        <w:t>noun</w:t>
      </w:r>
      <w:r w:rsidRPr="00A46D4F">
        <w:rPr>
          <w:rFonts w:eastAsia="Cambria"/>
          <w:sz w:val="16"/>
        </w:rPr>
        <w:t xml:space="preserve"> or noun equivalent </w:t>
      </w:r>
      <w:r w:rsidRPr="00AB0FE1">
        <w:rPr>
          <w:rFonts w:eastAsia="Cambria"/>
          <w:highlight w:val="cyan"/>
          <w:u w:val="single"/>
        </w:rPr>
        <w:t>is a</w:t>
      </w:r>
      <w:r w:rsidRPr="00A46D4F">
        <w:rPr>
          <w:rFonts w:eastAsia="Cambria"/>
          <w:sz w:val="16"/>
        </w:rPr>
        <w:t xml:space="preserve"> unique or a particular </w:t>
      </w:r>
      <w:r w:rsidRPr="00AB0FE1">
        <w:rPr>
          <w:rFonts w:eastAsia="Cambria"/>
          <w:b/>
          <w:iCs/>
          <w:sz w:val="24"/>
          <w:highlight w:val="cyan"/>
          <w:u w:val="single"/>
          <w:bdr w:val="single" w:sz="8" w:space="0" w:color="auto"/>
        </w:rPr>
        <w:t>member of its class</w:t>
      </w:r>
    </w:p>
    <w:p w14:paraId="004B4261" w14:textId="77777777" w:rsidR="00676102" w:rsidRPr="000F2BEB" w:rsidRDefault="00676102" w:rsidP="00676102">
      <w:pPr>
        <w:pStyle w:val="Heading4"/>
      </w:pPr>
      <w:r>
        <w:t>‘The’ just makes the noun definite.</w:t>
      </w:r>
    </w:p>
    <w:p w14:paraId="623E41BA" w14:textId="77777777" w:rsidR="00676102" w:rsidRPr="00FE290A" w:rsidRDefault="00676102" w:rsidP="00676102">
      <w:r w:rsidRPr="000F2BEB">
        <w:rPr>
          <w:rStyle w:val="Style13ptBold"/>
        </w:rPr>
        <w:t>Alito ’19</w:t>
      </w:r>
      <w:r>
        <w:t xml:space="preserve"> [Samuel Alito; March 19, 2019; Justice on the Supreme Court of the United States, delivering the opinion of the Court (this is section IIIA); Westlaw, “Nielsen v. Preap,” 139 S. Ct. 954]</w:t>
      </w:r>
    </w:p>
    <w:p w14:paraId="096C6926" w14:textId="77777777" w:rsidR="00676102" w:rsidRPr="00FA5B7F" w:rsidRDefault="00676102" w:rsidP="00676102">
      <w:pPr>
        <w:rPr>
          <w:sz w:val="16"/>
        </w:rPr>
      </w:pPr>
      <w:r w:rsidRPr="00FE290A">
        <w:rPr>
          <w:rStyle w:val="StyleUnderline"/>
        </w:rPr>
        <w:t xml:space="preserve">Our reading is </w:t>
      </w:r>
      <w:r w:rsidRPr="00FE290A">
        <w:rPr>
          <w:rStyle w:val="Emphasis"/>
        </w:rPr>
        <w:t>confirmed</w:t>
      </w:r>
      <w:r w:rsidRPr="00FE290A">
        <w:rPr>
          <w:rStyle w:val="StyleUnderline"/>
        </w:rPr>
        <w:t xml:space="preserve"> by Congress's use of the </w:t>
      </w:r>
      <w:r w:rsidRPr="00FE290A">
        <w:rPr>
          <w:rStyle w:val="Emphasis"/>
        </w:rPr>
        <w:t>definite article</w:t>
      </w:r>
      <w:r w:rsidRPr="00E03753">
        <w:rPr>
          <w:sz w:val="16"/>
        </w:rPr>
        <w:t xml:space="preserve"> in “when the alien is released.” </w:t>
      </w:r>
      <w:r w:rsidRPr="00FE290A">
        <w:rPr>
          <w:rStyle w:val="StyleUnderline"/>
        </w:rPr>
        <w:t>Because “[w]</w:t>
      </w:r>
      <w:proofErr w:type="spellStart"/>
      <w:r w:rsidRPr="00FE290A">
        <w:rPr>
          <w:rStyle w:val="StyleUnderline"/>
        </w:rPr>
        <w:t>ords</w:t>
      </w:r>
      <w:proofErr w:type="spellEnd"/>
      <w:r w:rsidRPr="00FE290A">
        <w:rPr>
          <w:rStyle w:val="StyleUnderline"/>
        </w:rPr>
        <w:t xml:space="preserve"> are to be given the meaning that proper grammar and usage would assign them,”</w:t>
      </w:r>
      <w:r w:rsidRPr="00E03753">
        <w:rPr>
          <w:sz w:val="16"/>
        </w:rPr>
        <w:t xml:space="preserve"> A. Scalia &amp; B. Garner, Reading Law: The Interpretation of Legal Texts 140 (2012), </w:t>
      </w:r>
      <w:r w:rsidRPr="00FE290A">
        <w:rPr>
          <w:rStyle w:val="StyleUnderline"/>
        </w:rPr>
        <w:t>the “rules of grammar govern” statutory interpretation “unless they contradict</w:t>
      </w:r>
      <w:r w:rsidRPr="00E03753">
        <w:rPr>
          <w:sz w:val="16"/>
        </w:rPr>
        <w:t xml:space="preserve"> legislative </w:t>
      </w:r>
      <w:r w:rsidRPr="00FE290A">
        <w:rPr>
          <w:rStyle w:val="StyleUnderline"/>
        </w:rPr>
        <w:t>intent or purpose,”</w:t>
      </w:r>
      <w:r w:rsidRPr="00E03753">
        <w:rPr>
          <w:sz w:val="16"/>
        </w:rPr>
        <w:t xml:space="preserve"> ibid. (citing Costello v. INS, 376 U.S. 120, 122–126, 84 </w:t>
      </w:r>
      <w:proofErr w:type="spellStart"/>
      <w:r w:rsidRPr="00E03753">
        <w:rPr>
          <w:sz w:val="16"/>
        </w:rPr>
        <w:t>S.Ct</w:t>
      </w:r>
      <w:proofErr w:type="spellEnd"/>
      <w:r w:rsidRPr="00E03753">
        <w:rPr>
          <w:sz w:val="16"/>
        </w:rPr>
        <w:t xml:space="preserve">. 580, 11 L.Ed.2d 559 (1964)). </w:t>
      </w:r>
      <w:r w:rsidRPr="00FE290A">
        <w:rPr>
          <w:rStyle w:val="StyleUnderline"/>
        </w:rPr>
        <w:t xml:space="preserve">Here grammar </w:t>
      </w:r>
      <w:r w:rsidRPr="00FE290A">
        <w:rPr>
          <w:rStyle w:val="Emphasis"/>
        </w:rPr>
        <w:t>and</w:t>
      </w:r>
      <w:r w:rsidRPr="00FE290A">
        <w:rPr>
          <w:rStyle w:val="StyleUnderline"/>
        </w:rPr>
        <w:t xml:space="preserve"> usage </w:t>
      </w:r>
      <w:r w:rsidRPr="00FE290A">
        <w:rPr>
          <w:rStyle w:val="Emphasis"/>
        </w:rPr>
        <w:t>establish</w:t>
      </w:r>
      <w:r w:rsidRPr="00FE290A">
        <w:rPr>
          <w:rStyle w:val="StyleUnderline"/>
        </w:rPr>
        <w:t xml:space="preserve"> that </w:t>
      </w:r>
      <w:r w:rsidRPr="00AB0FE1">
        <w:rPr>
          <w:rStyle w:val="StyleUnderline"/>
          <w:highlight w:val="cyan"/>
        </w:rPr>
        <w:t xml:space="preserve">“the” is “a </w:t>
      </w:r>
      <w:r w:rsidRPr="00AB0FE1">
        <w:rPr>
          <w:rStyle w:val="Emphasis"/>
          <w:highlight w:val="cyan"/>
        </w:rPr>
        <w:t>function word</w:t>
      </w:r>
      <w:r w:rsidRPr="00FE290A">
        <w:rPr>
          <w:rStyle w:val="StyleUnderline"/>
        </w:rPr>
        <w:t xml:space="preserve"> ... </w:t>
      </w:r>
      <w:proofErr w:type="spellStart"/>
      <w:r w:rsidRPr="00AB0FE1">
        <w:rPr>
          <w:rStyle w:val="StyleUnderline"/>
          <w:highlight w:val="cyan"/>
        </w:rPr>
        <w:t>indicat</w:t>
      </w:r>
      <w:proofErr w:type="spellEnd"/>
      <w:r w:rsidRPr="00AB0FE1">
        <w:rPr>
          <w:rStyle w:val="StyleUnderline"/>
          <w:highlight w:val="cyan"/>
        </w:rPr>
        <w:t>[</w:t>
      </w:r>
      <w:proofErr w:type="spellStart"/>
      <w:r w:rsidRPr="00AB0FE1">
        <w:rPr>
          <w:rStyle w:val="StyleUnderline"/>
          <w:highlight w:val="cyan"/>
        </w:rPr>
        <w:t>ing</w:t>
      </w:r>
      <w:proofErr w:type="spellEnd"/>
      <w:r w:rsidRPr="00AB0FE1">
        <w:rPr>
          <w:rStyle w:val="StyleUnderline"/>
          <w:highlight w:val="cyan"/>
        </w:rPr>
        <w:t>]</w:t>
      </w:r>
      <w:r w:rsidRPr="00FE290A">
        <w:rPr>
          <w:rStyle w:val="StyleUnderline"/>
        </w:rPr>
        <w:t xml:space="preserve"> that </w:t>
      </w:r>
      <w:r w:rsidRPr="00AB0FE1">
        <w:rPr>
          <w:rStyle w:val="StyleUnderline"/>
          <w:highlight w:val="cyan"/>
        </w:rPr>
        <w:t>a</w:t>
      </w:r>
      <w:r w:rsidRPr="00FE290A">
        <w:rPr>
          <w:rStyle w:val="StyleUnderline"/>
        </w:rPr>
        <w:t xml:space="preserve"> following </w:t>
      </w:r>
      <w:r w:rsidRPr="00AB0FE1">
        <w:rPr>
          <w:rStyle w:val="StyleUnderline"/>
          <w:highlight w:val="cyan"/>
        </w:rPr>
        <w:t>noun</w:t>
      </w:r>
      <w:r w:rsidRPr="00E03753">
        <w:rPr>
          <w:sz w:val="16"/>
        </w:rPr>
        <w:t xml:space="preserve"> or noun equivalent </w:t>
      </w:r>
      <w:r w:rsidRPr="00FE290A">
        <w:rPr>
          <w:rStyle w:val="StyleUnderline"/>
        </w:rPr>
        <w:t xml:space="preserve">is </w:t>
      </w:r>
      <w:r w:rsidRPr="00FE290A">
        <w:rPr>
          <w:rStyle w:val="Emphasis"/>
        </w:rPr>
        <w:t>definite</w:t>
      </w:r>
      <w:r w:rsidRPr="00FE290A">
        <w:rPr>
          <w:rStyle w:val="StyleUnderline"/>
        </w:rPr>
        <w:t xml:space="preserve"> or </w:t>
      </w:r>
      <w:r w:rsidRPr="00AB0FE1">
        <w:rPr>
          <w:rStyle w:val="StyleUnderline"/>
          <w:highlight w:val="cyan"/>
        </w:rPr>
        <w:t xml:space="preserve">has been </w:t>
      </w:r>
      <w:r w:rsidRPr="00AB0FE1">
        <w:rPr>
          <w:rStyle w:val="Emphasis"/>
          <w:highlight w:val="cyan"/>
        </w:rPr>
        <w:t>previously specified</w:t>
      </w:r>
      <w:r w:rsidRPr="00AB0FE1">
        <w:rPr>
          <w:rStyle w:val="StyleUnderline"/>
          <w:highlight w:val="cyan"/>
        </w:rPr>
        <w:t xml:space="preserve"> by context.”</w:t>
      </w:r>
      <w:r w:rsidRPr="00E03753">
        <w:rPr>
          <w:sz w:val="16"/>
        </w:rPr>
        <w:t xml:space="preserve"> Merriam-Webster's Collegiate Dictionary 1294 (11th ed. 2005). See also Work v. United States ex rel. McAlester-Edwards Co., 262 U.S. 200, 208, 43 </w:t>
      </w:r>
      <w:proofErr w:type="spellStart"/>
      <w:r w:rsidRPr="00E03753">
        <w:rPr>
          <w:sz w:val="16"/>
        </w:rPr>
        <w:t>S.Ct</w:t>
      </w:r>
      <w:proofErr w:type="spellEnd"/>
      <w:r w:rsidRPr="00E03753">
        <w:rPr>
          <w:sz w:val="16"/>
        </w:rPr>
        <w:t xml:space="preserve">. 580, 67 </w:t>
      </w:r>
      <w:proofErr w:type="spellStart"/>
      <w:r w:rsidRPr="00E03753">
        <w:rPr>
          <w:sz w:val="16"/>
        </w:rPr>
        <w:t>L.Ed</w:t>
      </w:r>
      <w:proofErr w:type="spellEnd"/>
      <w:r w:rsidRPr="00E03753">
        <w:rPr>
          <w:sz w:val="16"/>
        </w:rPr>
        <w:t>.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1F0A79E0" w14:textId="77777777" w:rsidR="00676102" w:rsidRDefault="00676102" w:rsidP="00676102">
      <w:pPr>
        <w:pStyle w:val="Heading4"/>
      </w:pPr>
      <w:r>
        <w:t>‘The’ is not transformative.</w:t>
      </w:r>
    </w:p>
    <w:p w14:paraId="6FF23A26" w14:textId="77777777" w:rsidR="00676102" w:rsidRDefault="00676102" w:rsidP="00676102">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3AADB15A" w14:textId="77777777" w:rsidR="00676102" w:rsidRPr="0089750E" w:rsidRDefault="00676102" w:rsidP="00676102">
      <w:pPr>
        <w:rPr>
          <w:sz w:val="16"/>
        </w:rPr>
      </w:pPr>
      <w:r w:rsidRPr="005E4CF5">
        <w:rPr>
          <w:sz w:val="16"/>
        </w:rPr>
        <w:t xml:space="preserve">That fact does not distinguish Goodyear. A generic term may suggest that it is associated with a specific entity. That does not render it </w:t>
      </w:r>
      <w:proofErr w:type="spellStart"/>
      <w:r w:rsidRPr="005E4CF5">
        <w:rPr>
          <w:sz w:val="16"/>
        </w:rPr>
        <w:t>nongeneric</w:t>
      </w:r>
      <w:proofErr w:type="spellEnd"/>
      <w:r w:rsidRPr="005E4CF5">
        <w:rPr>
          <w:sz w:val="16"/>
        </w:rPr>
        <w:t xml:space="preserve">.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AB0FE1">
        <w:rPr>
          <w:rStyle w:val="StyleUnderline"/>
          <w:highlight w:val="cyan"/>
        </w:rPr>
        <w:t>addition of the definite article “the”</w:t>
      </w:r>
      <w:r w:rsidRPr="005E4CF5">
        <w:rPr>
          <w:rStyle w:val="StyleUnderline"/>
        </w:rPr>
        <w:t xml:space="preserve"> </w:t>
      </w:r>
      <w:r w:rsidRPr="005E4CF5">
        <w:rPr>
          <w:rStyle w:val="Emphasis"/>
        </w:rPr>
        <w:t xml:space="preserve">obviously </w:t>
      </w:r>
      <w:r w:rsidRPr="00AB0FE1">
        <w:rPr>
          <w:rStyle w:val="Emphasis"/>
          <w:highlight w:val="cyan"/>
        </w:rPr>
        <w:t>does not</w:t>
      </w:r>
      <w:r w:rsidRPr="00AB0FE1">
        <w:rPr>
          <w:rStyle w:val="StyleUnderline"/>
          <w:highlight w:val="cyan"/>
        </w:rPr>
        <w:t xml:space="preserve"> transform the generic nature of that term</w:t>
      </w:r>
      <w:r w:rsidRPr="005E4CF5">
        <w:rPr>
          <w:sz w:val="16"/>
        </w:rPr>
        <w:t xml:space="preserve">.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w:t>
      </w:r>
      <w:proofErr w:type="spellStart"/>
      <w:r w:rsidRPr="005E4CF5">
        <w:rPr>
          <w:sz w:val="16"/>
        </w:rPr>
        <w:t>S.Ct</w:t>
      </w:r>
      <w:proofErr w:type="spellEnd"/>
      <w:r w:rsidRPr="005E4CF5">
        <w:rPr>
          <w:sz w:val="16"/>
        </w:rPr>
        <w:t>. 166.</w:t>
      </w:r>
    </w:p>
    <w:p w14:paraId="0B981CE7" w14:textId="77777777" w:rsidR="00E434D2" w:rsidRPr="00E434D2" w:rsidRDefault="00E434D2" w:rsidP="00E434D2"/>
    <w:p w14:paraId="0603966D" w14:textId="0255BE3D" w:rsidR="008003CA" w:rsidRDefault="008003CA" w:rsidP="008003CA">
      <w:pPr>
        <w:pStyle w:val="Heading2"/>
      </w:pPr>
      <w:r>
        <w:t>Possession</w:t>
      </w:r>
    </w:p>
    <w:p w14:paraId="4FAC4A76" w14:textId="77777777" w:rsidR="008003CA" w:rsidRDefault="008003CA" w:rsidP="008003CA">
      <w:pPr>
        <w:pStyle w:val="Heading3"/>
      </w:pPr>
      <w:r>
        <w:t>Possession---Actual Control---1NC</w:t>
      </w:r>
    </w:p>
    <w:p w14:paraId="1FB16E01" w14:textId="77777777" w:rsidR="008003CA" w:rsidRPr="00225079" w:rsidRDefault="008003CA" w:rsidP="008003CA">
      <w:pPr>
        <w:pStyle w:val="Heading4"/>
      </w:pPr>
      <w:r>
        <w:t xml:space="preserve">Possession is having an item under your </w:t>
      </w:r>
      <w:r w:rsidRPr="001F4546">
        <w:rPr>
          <w:u w:val="single"/>
        </w:rPr>
        <w:t>control</w:t>
      </w:r>
      <w:r>
        <w:t xml:space="preserve">. </w:t>
      </w:r>
    </w:p>
    <w:p w14:paraId="74D5EDBC" w14:textId="77777777" w:rsidR="008003CA" w:rsidRDefault="008003CA" w:rsidP="008003CA">
      <w:r w:rsidRPr="001F4546">
        <w:rPr>
          <w:rFonts w:eastAsiaTheme="majorEastAsia" w:cstheme="majorBidi"/>
          <w:b/>
          <w:iCs/>
          <w:sz w:val="26"/>
        </w:rPr>
        <w:t>Black’s Law Dictionary</w:t>
      </w:r>
      <w:r>
        <w:rPr>
          <w:rFonts w:eastAsiaTheme="majorEastAsia" w:cstheme="majorBidi"/>
          <w:b/>
          <w:iCs/>
          <w:sz w:val="26"/>
        </w:rPr>
        <w:t>,</w:t>
      </w:r>
      <w:r w:rsidRPr="001F4546">
        <w:rPr>
          <w:rFonts w:eastAsiaTheme="majorEastAsia" w:cstheme="majorBidi"/>
          <w:b/>
          <w:iCs/>
          <w:sz w:val="26"/>
        </w:rPr>
        <w:t xml:space="preserve"> ND</w:t>
      </w:r>
      <w:r w:rsidRPr="001F4546">
        <w:t xml:space="preserve"> ["POSSESSION," </w:t>
      </w:r>
      <w:r>
        <w:t xml:space="preserve">The </w:t>
      </w:r>
      <w:r w:rsidRPr="001F4546">
        <w:t>Law Dictionary, https://thelawdictionary.org/possession/] TDI</w:t>
      </w:r>
    </w:p>
    <w:p w14:paraId="4E0E292D" w14:textId="77777777" w:rsidR="008003CA" w:rsidRPr="00A5228D" w:rsidRDefault="008003CA" w:rsidP="008003CA">
      <w:pPr>
        <w:rPr>
          <w:sz w:val="16"/>
        </w:rPr>
      </w:pPr>
      <w:r w:rsidRPr="00A5228D">
        <w:rPr>
          <w:sz w:val="16"/>
        </w:rPr>
        <w:t xml:space="preserve">The </w:t>
      </w:r>
      <w:r w:rsidRPr="001F4546">
        <w:rPr>
          <w:rStyle w:val="StyleUnderline"/>
        </w:rPr>
        <w:t xml:space="preserve">detention and </w:t>
      </w:r>
      <w:r w:rsidRPr="001F4546">
        <w:rPr>
          <w:rStyle w:val="Emphasis"/>
        </w:rPr>
        <w:t>control</w:t>
      </w:r>
      <w:r w:rsidRPr="001F4546">
        <w:rPr>
          <w:rStyle w:val="StyleUnderline"/>
        </w:rPr>
        <w:t>, or the manual or ideal custody, of any- thing which may be the subject of property, for one’s use and enjoyment, either as owner or as the proprietor of a qualified right in it,</w:t>
      </w:r>
      <w:r w:rsidRPr="00A5228D">
        <w:rPr>
          <w:sz w:val="16"/>
        </w:rPr>
        <w:t xml:space="preserve"> and either held personally or by another who exercises it in one’s place and name. That condition of </w:t>
      </w:r>
      <w:r w:rsidRPr="001F4546">
        <w:rPr>
          <w:rStyle w:val="StyleUnderline"/>
        </w:rPr>
        <w:t xml:space="preserve">facts under which one can </w:t>
      </w:r>
      <w:r w:rsidRPr="00A5228D">
        <w:rPr>
          <w:rStyle w:val="Emphasis"/>
        </w:rPr>
        <w:t>exercise his power</w:t>
      </w:r>
      <w:r w:rsidRPr="001F4546">
        <w:rPr>
          <w:rStyle w:val="StyleUnderline"/>
        </w:rPr>
        <w:t xml:space="preserve"> over a corporeal thing at his pleasure to the </w:t>
      </w:r>
      <w:r w:rsidRPr="001F4546">
        <w:rPr>
          <w:rStyle w:val="Emphasis"/>
        </w:rPr>
        <w:t>exclusion</w:t>
      </w:r>
      <w:r w:rsidRPr="001F4546">
        <w:rPr>
          <w:rStyle w:val="StyleUnderline"/>
        </w:rPr>
        <w:t xml:space="preserve"> of all </w:t>
      </w:r>
      <w:r w:rsidRPr="001F4546">
        <w:rPr>
          <w:rStyle w:val="Emphasis"/>
        </w:rPr>
        <w:t>other persons</w:t>
      </w:r>
      <w:r w:rsidRPr="001F4546">
        <w:rPr>
          <w:rStyle w:val="StyleUnderline"/>
        </w:rPr>
        <w:t>.</w:t>
      </w:r>
      <w:r w:rsidRPr="00A5228D">
        <w:rPr>
          <w:sz w:val="16"/>
        </w:rPr>
        <w:t xml:space="preserve"> See Staton v. Mullis, 92 N. C. 032; </w:t>
      </w:r>
      <w:proofErr w:type="spellStart"/>
      <w:r w:rsidRPr="00A5228D">
        <w:rPr>
          <w:sz w:val="16"/>
        </w:rPr>
        <w:t>Suuol</w:t>
      </w:r>
      <w:proofErr w:type="spellEnd"/>
      <w:r w:rsidRPr="00A5228D">
        <w:rPr>
          <w:sz w:val="16"/>
        </w:rPr>
        <w:t xml:space="preserve"> v. Hepburn, 1 Cal. 203; Cox v. </w:t>
      </w:r>
      <w:proofErr w:type="spellStart"/>
      <w:r w:rsidRPr="00A5228D">
        <w:rPr>
          <w:sz w:val="16"/>
        </w:rPr>
        <w:t>Deviu</w:t>
      </w:r>
      <w:proofErr w:type="spellEnd"/>
      <w:r w:rsidRPr="00A5228D">
        <w:rPr>
          <w:sz w:val="16"/>
        </w:rPr>
        <w:t xml:space="preserve">- </w:t>
      </w:r>
      <w:proofErr w:type="spellStart"/>
      <w:r w:rsidRPr="00A5228D">
        <w:rPr>
          <w:sz w:val="16"/>
        </w:rPr>
        <w:t>ney</w:t>
      </w:r>
      <w:proofErr w:type="spellEnd"/>
      <w:r w:rsidRPr="00A5228D">
        <w:rPr>
          <w:sz w:val="16"/>
        </w:rPr>
        <w:t xml:space="preserve">, 05 N. J. Law, 3S9, 47 Atl. 570; Churchill v. Onderdonk, 59 N. Y. 130; </w:t>
      </w:r>
      <w:proofErr w:type="spellStart"/>
      <w:r w:rsidRPr="00A5228D">
        <w:rPr>
          <w:sz w:val="16"/>
        </w:rPr>
        <w:t>Itice</w:t>
      </w:r>
      <w:proofErr w:type="spellEnd"/>
      <w:r w:rsidRPr="00A5228D">
        <w:rPr>
          <w:sz w:val="16"/>
        </w:rPr>
        <w:t xml:space="preserve"> v. Frayser (C. C.) 24 Fed. 400; Travers v. McElvain, 181 111. 382, 55 N. E. 135; Emmerson v. State, 33 Tex. Cr. It. S9, 25 S. V. 289; Slater v. Rawson, 0 Mete. (Mass.)t 444.</w:t>
      </w:r>
    </w:p>
    <w:p w14:paraId="104E8223" w14:textId="77777777" w:rsidR="008003CA" w:rsidRPr="00A5228D" w:rsidRDefault="008003CA" w:rsidP="008003CA">
      <w:pPr>
        <w:rPr>
          <w:sz w:val="16"/>
        </w:rPr>
      </w:pPr>
    </w:p>
    <w:p w14:paraId="2EE32393" w14:textId="77777777" w:rsidR="008003CA" w:rsidRPr="00C326BE" w:rsidRDefault="008003CA" w:rsidP="008003CA">
      <w:pPr>
        <w:pStyle w:val="Heading4"/>
      </w:pPr>
      <w:r>
        <w:t xml:space="preserve">Possession is </w:t>
      </w:r>
      <w:r w:rsidRPr="00695941">
        <w:rPr>
          <w:u w:val="single"/>
        </w:rPr>
        <w:t>actual control</w:t>
      </w:r>
      <w:r>
        <w:t>.</w:t>
      </w:r>
    </w:p>
    <w:p w14:paraId="5AD89458" w14:textId="77777777" w:rsidR="008003CA" w:rsidRDefault="008003CA" w:rsidP="008003CA">
      <w:r w:rsidRPr="002A2B85">
        <w:rPr>
          <w:rStyle w:val="Style13ptBold"/>
        </w:rPr>
        <w:t>Chang 15</w:t>
      </w:r>
      <w:r>
        <w:t>. Yun-</w:t>
      </w:r>
      <w:proofErr w:type="spellStart"/>
      <w:r>
        <w:t>chien</w:t>
      </w:r>
      <w:proofErr w:type="spellEnd"/>
      <w:r>
        <w:t xml:space="preserve"> Chang, </w:t>
      </w:r>
      <w:r w:rsidRPr="00B71203">
        <w:t xml:space="preserve">Associate Research Professor &amp; Deputy Director of Center for Empirical Legal Studies, </w:t>
      </w:r>
      <w:proofErr w:type="spellStart"/>
      <w:r w:rsidRPr="00B71203">
        <w:t>Institutum</w:t>
      </w:r>
      <w:proofErr w:type="spellEnd"/>
      <w:r w:rsidRPr="00B71203">
        <w:t xml:space="preserve"> </w:t>
      </w:r>
      <w:proofErr w:type="spellStart"/>
      <w:r w:rsidRPr="00B71203">
        <w:t>Iurisprudentiae</w:t>
      </w:r>
      <w:proofErr w:type="spellEnd"/>
      <w:r w:rsidRPr="00B71203">
        <w:t>, Academia Sinica, Taiwan. J.S.D., New York University School of Law.</w:t>
      </w:r>
      <w:r>
        <w:t xml:space="preserve"> 2015. “</w:t>
      </w:r>
      <w:r w:rsidRPr="00B71203">
        <w:t>The Economy of Concept and Possession</w:t>
      </w:r>
      <w:r>
        <w:t xml:space="preserve">.” </w:t>
      </w:r>
      <w:r w:rsidRPr="002A2B85">
        <w:t xml:space="preserve">Cambridge University Press, </w:t>
      </w:r>
      <w:r>
        <w:t xml:space="preserve">p. </w:t>
      </w:r>
      <w:r w:rsidRPr="002A2B85">
        <w:t>103–125.</w:t>
      </w:r>
      <w:r>
        <w:t xml:space="preserve"> TDI</w:t>
      </w:r>
    </w:p>
    <w:p w14:paraId="41BFDAEC" w14:textId="77777777" w:rsidR="008003CA" w:rsidRPr="00B71203" w:rsidRDefault="008003CA" w:rsidP="008003CA">
      <w:pPr>
        <w:rPr>
          <w:sz w:val="16"/>
          <w:szCs w:val="16"/>
        </w:rPr>
      </w:pPr>
      <w:r w:rsidRPr="00B71203">
        <w:rPr>
          <w:sz w:val="16"/>
          <w:szCs w:val="16"/>
        </w:rPr>
        <w:t xml:space="preserve">5. CONCLUSION </w:t>
      </w:r>
    </w:p>
    <w:p w14:paraId="783E593C" w14:textId="77777777" w:rsidR="008003CA" w:rsidRDefault="008003CA" w:rsidP="008003CA">
      <w:pPr>
        <w:rPr>
          <w:sz w:val="16"/>
        </w:rPr>
      </w:pPr>
      <w:r w:rsidRPr="00B71203">
        <w:rPr>
          <w:sz w:val="16"/>
        </w:rPr>
        <w:t xml:space="preserve">This book chapter has demonstrated that </w:t>
      </w:r>
      <w:r w:rsidRPr="00B71203">
        <w:rPr>
          <w:rStyle w:val="StyleUnderline"/>
        </w:rPr>
        <w:t xml:space="preserve">a </w:t>
      </w:r>
      <w:r w:rsidRPr="00B71203">
        <w:rPr>
          <w:rStyle w:val="Emphasis"/>
        </w:rPr>
        <w:t>concise definition</w:t>
      </w:r>
      <w:r w:rsidRPr="00B71203">
        <w:rPr>
          <w:rStyle w:val="StyleUnderline"/>
        </w:rPr>
        <w:t xml:space="preserve"> of possession</w:t>
      </w:r>
      <w:r w:rsidRPr="00B71203">
        <w:rPr>
          <w:sz w:val="16"/>
        </w:rPr>
        <w:t>—</w:t>
      </w:r>
      <w:r w:rsidRPr="00B71203">
        <w:rPr>
          <w:rStyle w:val="StyleUnderline"/>
        </w:rPr>
        <w:t xml:space="preserve">as </w:t>
      </w:r>
      <w:r w:rsidRPr="00B71203">
        <w:rPr>
          <w:rStyle w:val="Emphasis"/>
        </w:rPr>
        <w:t>actual control</w:t>
      </w:r>
      <w:r w:rsidRPr="00B71203">
        <w:rPr>
          <w:rStyle w:val="StyleUnderline"/>
        </w:rPr>
        <w:t xml:space="preserve"> with </w:t>
      </w:r>
      <w:r w:rsidRPr="00B71203">
        <w:rPr>
          <w:rStyle w:val="Emphasis"/>
        </w:rPr>
        <w:t>no exception</w:t>
      </w:r>
      <w:r w:rsidRPr="00B71203">
        <w:rPr>
          <w:sz w:val="16"/>
        </w:rPr>
        <w:t>—</w:t>
      </w:r>
      <w:r w:rsidRPr="00B71203">
        <w:rPr>
          <w:rStyle w:val="StyleUnderline"/>
        </w:rPr>
        <w:t xml:space="preserve">has an </w:t>
      </w:r>
      <w:r w:rsidRPr="00B71203">
        <w:rPr>
          <w:rStyle w:val="Emphasis"/>
        </w:rPr>
        <w:t>optimal level</w:t>
      </w:r>
      <w:r w:rsidRPr="00B71203">
        <w:rPr>
          <w:rStyle w:val="StyleUnderline"/>
        </w:rPr>
        <w:t xml:space="preserve"> of </w:t>
      </w:r>
      <w:r w:rsidRPr="00B71203">
        <w:rPr>
          <w:rStyle w:val="Emphasis"/>
        </w:rPr>
        <w:t>generality</w:t>
      </w:r>
      <w:r w:rsidRPr="00B71203">
        <w:rPr>
          <w:sz w:val="16"/>
        </w:rPr>
        <w:t xml:space="preserve"> </w:t>
      </w:r>
      <w:r w:rsidRPr="00C326BE">
        <w:rPr>
          <w:rStyle w:val="StyleUnderline"/>
        </w:rPr>
        <w:t>and economizes on information costs for users of the legal system</w:t>
      </w:r>
      <w:r w:rsidRPr="00B71203">
        <w:rPr>
          <w:sz w:val="16"/>
        </w:rPr>
        <w:t xml:space="preserve">.40 As Kahneman (2011) has shown, our System 2 is lazy. </w:t>
      </w:r>
      <w:r w:rsidRPr="00432A2F">
        <w:rPr>
          <w:rStyle w:val="StyleUnderline"/>
        </w:rPr>
        <w:t xml:space="preserve">Lawmakers and scholars should </w:t>
      </w:r>
      <w:r w:rsidRPr="00432A2F">
        <w:rPr>
          <w:rStyle w:val="Emphasis"/>
        </w:rPr>
        <w:t>avoid</w:t>
      </w:r>
      <w:r w:rsidRPr="00432A2F">
        <w:rPr>
          <w:rStyle w:val="StyleUnderline"/>
        </w:rPr>
        <w:t xml:space="preserve"> using </w:t>
      </w:r>
      <w:r w:rsidRPr="00432A2F">
        <w:rPr>
          <w:rStyle w:val="Emphasis"/>
        </w:rPr>
        <w:t>unnecessarily complex concepts</w:t>
      </w:r>
      <w:r w:rsidRPr="00432A2F">
        <w:rPr>
          <w:rStyle w:val="StyleUnderline"/>
        </w:rPr>
        <w:t xml:space="preserve">, which take a </w:t>
      </w:r>
      <w:r w:rsidRPr="00432A2F">
        <w:rPr>
          <w:rStyle w:val="Emphasis"/>
        </w:rPr>
        <w:t>heavy toll</w:t>
      </w:r>
      <w:r w:rsidRPr="00432A2F">
        <w:rPr>
          <w:rStyle w:val="StyleUnderline"/>
        </w:rPr>
        <w:t xml:space="preserve"> on our brain power</w:t>
      </w:r>
      <w:r w:rsidRPr="00B71203">
        <w:rPr>
          <w:sz w:val="16"/>
        </w:rPr>
        <w:t xml:space="preserve">. Civil property scholars might feel uncomfortable in a world without a parade of possession terms. As this book chapter has shown, a change in concepts does not lead to a substantive change in the various possession doctrines. The prescribed conditions for, say, adverse possession and first possession are still the same. </w:t>
      </w:r>
    </w:p>
    <w:p w14:paraId="0AF25A45" w14:textId="77777777" w:rsidR="008003CA" w:rsidRPr="00471BFA" w:rsidRDefault="008003CA" w:rsidP="008003CA">
      <w:pPr>
        <w:rPr>
          <w:sz w:val="16"/>
        </w:rPr>
      </w:pPr>
    </w:p>
    <w:p w14:paraId="0E7DCC21" w14:textId="77777777" w:rsidR="008003CA" w:rsidRDefault="008003CA" w:rsidP="008003CA">
      <w:pPr>
        <w:pStyle w:val="Heading4"/>
      </w:pPr>
      <w:r>
        <w:t xml:space="preserve">You must have the </w:t>
      </w:r>
      <w:r w:rsidRPr="00D1483B">
        <w:rPr>
          <w:u w:val="single"/>
        </w:rPr>
        <w:t>ability</w:t>
      </w:r>
      <w:r>
        <w:t xml:space="preserve"> to </w:t>
      </w:r>
      <w:r w:rsidRPr="00D1483B">
        <w:rPr>
          <w:u w:val="single"/>
        </w:rPr>
        <w:t>use</w:t>
      </w:r>
      <w:r>
        <w:t xml:space="preserve"> them. </w:t>
      </w:r>
    </w:p>
    <w:p w14:paraId="0B0CD746" w14:textId="77777777" w:rsidR="008003CA" w:rsidRPr="00D1483B" w:rsidRDefault="008003CA" w:rsidP="008003CA">
      <w:r>
        <w:rPr>
          <w:rFonts w:eastAsiaTheme="majorEastAsia" w:cstheme="majorBidi"/>
          <w:b/>
          <w:iCs/>
          <w:sz w:val="26"/>
        </w:rPr>
        <w:t>New York Courts,</w:t>
      </w:r>
      <w:r w:rsidRPr="00491F34">
        <w:rPr>
          <w:rFonts w:eastAsiaTheme="majorEastAsia" w:cstheme="majorBidi"/>
          <w:b/>
          <w:iCs/>
          <w:sz w:val="26"/>
        </w:rPr>
        <w:t xml:space="preserve"> </w:t>
      </w:r>
      <w:r>
        <w:rPr>
          <w:rFonts w:eastAsiaTheme="majorEastAsia" w:cstheme="majorBidi"/>
          <w:b/>
          <w:iCs/>
          <w:sz w:val="26"/>
        </w:rPr>
        <w:t>ND</w:t>
      </w:r>
      <w:r w:rsidRPr="004B4A5C">
        <w:t xml:space="preserve"> [(</w:t>
      </w:r>
      <w:r>
        <w:t>New York State Court System)</w:t>
      </w:r>
      <w:r w:rsidRPr="004B4A5C">
        <w:t xml:space="preserve"> "</w:t>
      </w:r>
      <w:r>
        <w:t>Definition of Possession</w:t>
      </w:r>
      <w:r w:rsidRPr="004B4A5C">
        <w:t>,</w:t>
      </w:r>
      <w:r>
        <w:t>”</w:t>
      </w:r>
      <w:r w:rsidRPr="004B4A5C">
        <w:t xml:space="preserve"> </w:t>
      </w:r>
      <w:r w:rsidRPr="00D1483B">
        <w:t>https://www.nycourts.gov/judges/cji/2-PenalLaw/140/AC.140.Possession.pdf</w:t>
      </w:r>
      <w:r w:rsidRPr="004B4A5C">
        <w:t>] TDI</w:t>
      </w:r>
    </w:p>
    <w:p w14:paraId="06AB3E46" w14:textId="77777777" w:rsidR="008003CA" w:rsidRDefault="008003CA" w:rsidP="008003CA">
      <w:r w:rsidRPr="00B12F66">
        <w:rPr>
          <w:rStyle w:val="Emphasis"/>
        </w:rPr>
        <w:t>POSSESS</w:t>
      </w:r>
      <w:r w:rsidRPr="00B12F66">
        <w:t xml:space="preserve"> means </w:t>
      </w:r>
      <w:r w:rsidRPr="00B12F66">
        <w:rPr>
          <w:rStyle w:val="StyleUnderline"/>
        </w:rPr>
        <w:t>to have physical possession or otherwise to exercise dominion or control over tangible property</w:t>
      </w:r>
      <w:r w:rsidRPr="00B12F66">
        <w:t xml:space="preserve">.  Thus a person may possess property in either of two ways.  First, a person may have physical possession of property by holding it in his or her hand, by carrying it in his or her clothing, or by otherwise having it on his or her person.  Second, a </w:t>
      </w:r>
      <w:r w:rsidRPr="00B12F66">
        <w:rPr>
          <w:rStyle w:val="StyleUnderline"/>
        </w:rPr>
        <w:t xml:space="preserve">person may possess property not in his or her physical possession by exercising </w:t>
      </w:r>
      <w:r w:rsidRPr="00B12F66">
        <w:rPr>
          <w:rStyle w:val="Emphasis"/>
        </w:rPr>
        <w:t>dominion or control</w:t>
      </w:r>
      <w:r w:rsidRPr="00B12F66">
        <w:rPr>
          <w:rStyle w:val="StyleUnderline"/>
        </w:rPr>
        <w:t xml:space="preserve"> over that property</w:t>
      </w:r>
      <w:r w:rsidRPr="00B12F66">
        <w:t xml:space="preserve">.  A person who exercises dominion or control over property not in his or her physical possession is </w:t>
      </w:r>
      <w:r w:rsidRPr="00B12F66">
        <w:rPr>
          <w:rStyle w:val="StyleUnderline"/>
        </w:rPr>
        <w:t>said to have that property in his or her “</w:t>
      </w:r>
      <w:r w:rsidRPr="00B12F66">
        <w:rPr>
          <w:rStyle w:val="Emphasis"/>
        </w:rPr>
        <w:t>constructive possession</w:t>
      </w:r>
      <w:r w:rsidRPr="00B12F66">
        <w:rPr>
          <w:rStyle w:val="StyleUnderline"/>
        </w:rPr>
        <w:t>.”</w:t>
      </w:r>
      <w:r w:rsidRPr="00B12F66">
        <w:t xml:space="preserve"> Under our law, a person has tangible property in his or her constructive possession when </w:t>
      </w:r>
      <w:r w:rsidRPr="00B12F66">
        <w:rPr>
          <w:rStyle w:val="StyleUnderline"/>
        </w:rPr>
        <w:t>that person exercises a level of control over the area in which the property is found</w:t>
      </w:r>
      <w:r w:rsidRPr="00B12F66">
        <w:t xml:space="preserve"> or over the person from whom the property is seized </w:t>
      </w:r>
      <w:r w:rsidRPr="00B12F66">
        <w:rPr>
          <w:rStyle w:val="StyleUnderline"/>
        </w:rPr>
        <w:t xml:space="preserve">sufficient to give him or her the ability to </w:t>
      </w:r>
      <w:r w:rsidRPr="00B12F66">
        <w:rPr>
          <w:rStyle w:val="Emphasis"/>
        </w:rPr>
        <w:t>use or dispose</w:t>
      </w:r>
      <w:r w:rsidRPr="00B12F66">
        <w:rPr>
          <w:rStyle w:val="StyleUnderline"/>
        </w:rPr>
        <w:t xml:space="preserve"> of the property.</w:t>
      </w:r>
      <w:r w:rsidRPr="00B12F66">
        <w:t>1</w:t>
      </w:r>
    </w:p>
    <w:p w14:paraId="7280AC7D" w14:textId="77777777" w:rsidR="008003CA" w:rsidRPr="009B12F9" w:rsidRDefault="008003CA" w:rsidP="008003CA"/>
    <w:p w14:paraId="4D6625EE" w14:textId="77777777" w:rsidR="008003CA" w:rsidRDefault="008003CA" w:rsidP="008003CA">
      <w:pPr>
        <w:pStyle w:val="Heading4"/>
      </w:pPr>
      <w:r>
        <w:t xml:space="preserve">That </w:t>
      </w:r>
      <w:r w:rsidRPr="00290BAF">
        <w:rPr>
          <w:u w:val="single"/>
        </w:rPr>
        <w:t>excludes</w:t>
      </w:r>
      <w:r>
        <w:t xml:space="preserve"> rights and legal entitlement. It’s </w:t>
      </w:r>
      <w:r w:rsidRPr="00290BAF">
        <w:rPr>
          <w:u w:val="single"/>
        </w:rPr>
        <w:t>exclusively physical</w:t>
      </w:r>
      <w:r>
        <w:t xml:space="preserve"> control.</w:t>
      </w:r>
    </w:p>
    <w:p w14:paraId="62C9F24D" w14:textId="77777777" w:rsidR="008003CA" w:rsidRPr="00290BAF" w:rsidRDefault="008003CA" w:rsidP="008003CA">
      <w:r w:rsidRPr="00290BAF">
        <w:rPr>
          <w:rStyle w:val="Style13ptBold"/>
        </w:rPr>
        <w:t>Lambert &amp; Shackman 19</w:t>
      </w:r>
      <w:r>
        <w:t xml:space="preserve">. Thomas C. Lambert, attorney specializing in General Practice, Corporate Law, Commercial Law and Real Estate Litigation. Steven Shackman. August 1 2019. “Legal Possession: What Does It Mean?” New York Law Journal, </w:t>
      </w:r>
      <w:hyperlink r:id="rId10" w:history="1">
        <w:r w:rsidRPr="00317E37">
          <w:rPr>
            <w:rStyle w:val="Hyperlink"/>
          </w:rPr>
          <w:t>https://www.law.com/newyorklawjournal/2019/08/01/legal-possession-what-does-it-mean</w:t>
        </w:r>
      </w:hyperlink>
      <w:r>
        <w:t>. TDI</w:t>
      </w:r>
    </w:p>
    <w:p w14:paraId="786161D0" w14:textId="77777777" w:rsidR="008003CA" w:rsidRPr="00290BAF" w:rsidRDefault="008003CA" w:rsidP="008003CA">
      <w:pPr>
        <w:rPr>
          <w:sz w:val="16"/>
          <w:szCs w:val="16"/>
        </w:rPr>
      </w:pPr>
      <w:r w:rsidRPr="00290BAF">
        <w:rPr>
          <w:sz w:val="16"/>
          <w:szCs w:val="16"/>
        </w:rPr>
        <w:t>Let's Start With 'Possession'</w:t>
      </w:r>
    </w:p>
    <w:p w14:paraId="4AF273B4" w14:textId="77777777" w:rsidR="008003CA" w:rsidRDefault="008003CA" w:rsidP="008003CA">
      <w:pPr>
        <w:rPr>
          <w:sz w:val="16"/>
        </w:rPr>
      </w:pPr>
      <w:r w:rsidRPr="00290BAF">
        <w:rPr>
          <w:sz w:val="16"/>
        </w:rPr>
        <w:t xml:space="preserve">Possession of real property is a matter of physical fact. </w:t>
      </w:r>
      <w:r w:rsidRPr="00290BAF">
        <w:rPr>
          <w:rStyle w:val="StyleUnderline"/>
        </w:rPr>
        <w:t>Having the </w:t>
      </w:r>
      <w:r w:rsidRPr="00290BAF">
        <w:rPr>
          <w:rStyle w:val="Emphasis"/>
        </w:rPr>
        <w:t>right</w:t>
      </w:r>
      <w:r w:rsidRPr="00290BAF">
        <w:rPr>
          <w:rStyle w:val="StyleUnderline"/>
        </w:rPr>
        <w:t xml:space="preserve"> or </w:t>
      </w:r>
      <w:r w:rsidRPr="00290BAF">
        <w:rPr>
          <w:rStyle w:val="Emphasis"/>
        </w:rPr>
        <w:t>legal entitlement</w:t>
      </w:r>
      <w:r w:rsidRPr="00290BAF">
        <w:rPr>
          <w:rStyle w:val="StyleUnderline"/>
        </w:rPr>
        <w:t xml:space="preserve"> to possession, is </w:t>
      </w:r>
      <w:r w:rsidRPr="00290BAF">
        <w:rPr>
          <w:rStyle w:val="Emphasis"/>
        </w:rPr>
        <w:t>not possession</w:t>
      </w:r>
      <w:r w:rsidRPr="00290BAF">
        <w:rPr>
          <w:sz w:val="16"/>
        </w:rPr>
        <w:t xml:space="preserve">. </w:t>
      </w:r>
      <w:r w:rsidRPr="00290BAF">
        <w:rPr>
          <w:rStyle w:val="StyleUnderline"/>
        </w:rPr>
        <w:t xml:space="preserve">Possession is a </w:t>
      </w:r>
      <w:r w:rsidRPr="00290BAF">
        <w:rPr>
          <w:rStyle w:val="Emphasis"/>
        </w:rPr>
        <w:t>physical concept</w:t>
      </w:r>
      <w:r w:rsidRPr="00290BAF">
        <w:rPr>
          <w:rStyle w:val="StyleUnderline"/>
        </w:rPr>
        <w:t>, not a right</w:t>
      </w:r>
      <w:r w:rsidRPr="00290BAF">
        <w:rPr>
          <w:sz w:val="16"/>
        </w:rPr>
        <w:t xml:space="preserve">. As stated </w:t>
      </w:r>
      <w:r w:rsidRPr="00290BAF">
        <w:rPr>
          <w:rStyle w:val="StyleUnderline"/>
        </w:rPr>
        <w:t xml:space="preserve">in Black's Law Dictionary, possession is “the fact of having or holding property in one's </w:t>
      </w:r>
      <w:r w:rsidRPr="00290BAF">
        <w:rPr>
          <w:rStyle w:val="Emphasis"/>
        </w:rPr>
        <w:t>power</w:t>
      </w:r>
      <w:r w:rsidRPr="00290BAF">
        <w:rPr>
          <w:rStyle w:val="StyleUnderline"/>
        </w:rPr>
        <w:t>.”</w:t>
      </w:r>
      <w:r w:rsidRPr="00290BAF">
        <w:rPr>
          <w:sz w:val="16"/>
        </w:rPr>
        <w:t xml:space="preserve"> </w:t>
      </w:r>
      <w:r w:rsidRPr="00290BAF">
        <w:rPr>
          <w:rStyle w:val="StyleUnderline"/>
        </w:rPr>
        <w:t xml:space="preserve">That power means having </w:t>
      </w:r>
      <w:r w:rsidRPr="00290BAF">
        <w:rPr>
          <w:rStyle w:val="Emphasis"/>
        </w:rPr>
        <w:t>physical dominion</w:t>
      </w:r>
      <w:r w:rsidRPr="00290BAF">
        <w:rPr>
          <w:rStyle w:val="StyleUnderline"/>
        </w:rPr>
        <w:t xml:space="preserve"> and </w:t>
      </w:r>
      <w:r w:rsidRPr="00290BAF">
        <w:rPr>
          <w:rStyle w:val="Emphasis"/>
        </w:rPr>
        <w:t>control</w:t>
      </w:r>
      <w:r w:rsidRPr="00290BAF">
        <w:rPr>
          <w:rStyle w:val="StyleUnderline"/>
        </w:rPr>
        <w:t xml:space="preserve"> over the property</w:t>
      </w:r>
      <w:r w:rsidRPr="00290BAF">
        <w:rPr>
          <w:sz w:val="16"/>
        </w:rPr>
        <w:t xml:space="preserve">. That dominion and control may be exercised by excluding others, or letting others in. </w:t>
      </w:r>
      <w:r w:rsidRPr="00290BAF">
        <w:rPr>
          <w:rStyle w:val="StyleUnderline"/>
        </w:rPr>
        <w:t>It is the fact of that physical control that is possession</w:t>
      </w:r>
      <w:r w:rsidRPr="00290BAF">
        <w:rPr>
          <w:sz w:val="16"/>
        </w:rPr>
        <w:t>. That power might be exercised legitimately, or it might be exercised wrongfully. It might be exercised in a manner that is a violation of law. But either way, it is the physical fact, the fact of having or holding the property in one's power and control, that constitutes possession.</w:t>
      </w:r>
    </w:p>
    <w:p w14:paraId="524DA611" w14:textId="77777777" w:rsidR="008003CA" w:rsidRPr="00290BAF" w:rsidRDefault="008003CA" w:rsidP="008003CA">
      <w:pPr>
        <w:rPr>
          <w:sz w:val="16"/>
        </w:rPr>
      </w:pPr>
    </w:p>
    <w:p w14:paraId="07E8C6AD" w14:textId="77777777" w:rsidR="008003CA" w:rsidRDefault="008003CA" w:rsidP="008003CA">
      <w:pPr>
        <w:pStyle w:val="Heading4"/>
      </w:pPr>
      <w:r>
        <w:t xml:space="preserve">Possession is </w:t>
      </w:r>
      <w:r w:rsidRPr="00947846">
        <w:rPr>
          <w:u w:val="single"/>
        </w:rPr>
        <w:t>having</w:t>
      </w:r>
      <w:r>
        <w:t xml:space="preserve"> or owning something. </w:t>
      </w:r>
    </w:p>
    <w:p w14:paraId="081A8EED" w14:textId="77777777" w:rsidR="008003CA" w:rsidRPr="00947846" w:rsidRDefault="008003CA" w:rsidP="008003CA">
      <w:r w:rsidRPr="00947846">
        <w:rPr>
          <w:rFonts w:eastAsiaTheme="majorEastAsia" w:cstheme="majorBidi"/>
          <w:b/>
          <w:iCs/>
          <w:sz w:val="26"/>
        </w:rPr>
        <w:t>Cambridge Dictionary, ND</w:t>
      </w:r>
      <w:r w:rsidRPr="00947846">
        <w:t xml:space="preserve"> [(</w:t>
      </w:r>
      <w:r>
        <w:t>Cambridge Dictionary</w:t>
      </w:r>
      <w:r w:rsidRPr="00947846">
        <w:t>) "possession,", https://dictionary.cambridge.org/us/dictionary/learner-english/possession,] TDI</w:t>
      </w:r>
    </w:p>
    <w:p w14:paraId="7DE9D6C9" w14:textId="77777777" w:rsidR="008003CA" w:rsidRPr="00947846" w:rsidRDefault="008003CA" w:rsidP="008003CA">
      <w:r w:rsidRPr="00947846">
        <w:rPr>
          <w:rStyle w:val="Emphasis"/>
        </w:rPr>
        <w:t>possession</w:t>
      </w:r>
      <w:r w:rsidRPr="00947846">
        <w:t> noun (HAVE)</w:t>
      </w:r>
    </w:p>
    <w:p w14:paraId="0EE1E22C" w14:textId="77777777" w:rsidR="008003CA" w:rsidRPr="00947846" w:rsidRDefault="008003CA" w:rsidP="008003CA">
      <w:r w:rsidRPr="00947846">
        <w:t>the </w:t>
      </w:r>
      <w:r w:rsidRPr="00947846">
        <w:rPr>
          <w:rStyle w:val="StyleUnderline"/>
        </w:rPr>
        <w:t xml:space="preserve">fact of </w:t>
      </w:r>
      <w:r w:rsidRPr="00947846">
        <w:rPr>
          <w:rStyle w:val="Emphasis"/>
        </w:rPr>
        <w:t>having or owning something</w:t>
      </w:r>
      <w:r w:rsidRPr="00947846">
        <w:t>:</w:t>
      </w:r>
    </w:p>
    <w:p w14:paraId="0AAE5CEC" w14:textId="77777777" w:rsidR="008003CA" w:rsidRPr="00947846" w:rsidRDefault="008003CA" w:rsidP="008003CA">
      <w:r w:rsidRPr="00947846">
        <w:t>I have in my possession a photograph which may be of interest to you.</w:t>
      </w:r>
    </w:p>
    <w:p w14:paraId="5E2F8048" w14:textId="77777777" w:rsidR="008003CA" w:rsidRPr="00947846" w:rsidRDefault="008003CA" w:rsidP="008003CA">
      <w:r w:rsidRPr="00947846">
        <w:rPr>
          <w:rStyle w:val="StyleUnderline"/>
        </w:rPr>
        <w:t>He was caught in possession of explosives</w:t>
      </w:r>
      <w:r w:rsidRPr="00947846">
        <w:t>.</w:t>
      </w:r>
    </w:p>
    <w:p w14:paraId="5F592CFC" w14:textId="77777777" w:rsidR="008003CA" w:rsidRDefault="008003CA" w:rsidP="008003CA"/>
    <w:p w14:paraId="7B1FAFC9" w14:textId="77777777" w:rsidR="008003CA" w:rsidRDefault="008003CA" w:rsidP="008003CA"/>
    <w:p w14:paraId="3A620D90" w14:textId="77777777" w:rsidR="008003CA" w:rsidRDefault="008003CA" w:rsidP="008003CA">
      <w:pPr>
        <w:pStyle w:val="Heading3"/>
      </w:pPr>
      <w:r>
        <w:t>Possession---Actual Control---Ext</w:t>
      </w:r>
    </w:p>
    <w:p w14:paraId="5EAF32B0" w14:textId="77777777" w:rsidR="008003CA" w:rsidRDefault="008003CA" w:rsidP="008003CA">
      <w:pPr>
        <w:pStyle w:val="Heading4"/>
      </w:pPr>
      <w:r>
        <w:t xml:space="preserve">Including anything else is </w:t>
      </w:r>
      <w:r w:rsidRPr="00290BAF">
        <w:rPr>
          <w:u w:val="single"/>
        </w:rPr>
        <w:t>arbitrary</w:t>
      </w:r>
      <w:r>
        <w:t>.</w:t>
      </w:r>
    </w:p>
    <w:p w14:paraId="023880ED" w14:textId="77777777" w:rsidR="008003CA" w:rsidRPr="00575FCE" w:rsidRDefault="008003CA" w:rsidP="008003CA">
      <w:r w:rsidRPr="00575FCE">
        <w:rPr>
          <w:rStyle w:val="Style13ptBold"/>
        </w:rPr>
        <w:t>Chang 15</w:t>
      </w:r>
      <w:r>
        <w:t>. Yun-</w:t>
      </w:r>
      <w:proofErr w:type="spellStart"/>
      <w:r>
        <w:t>chien</w:t>
      </w:r>
      <w:proofErr w:type="spellEnd"/>
      <w:r>
        <w:t xml:space="preserve"> Chang, </w:t>
      </w:r>
      <w:r w:rsidRPr="00B71203">
        <w:t xml:space="preserve">Associate Research Professor &amp; Deputy Director of Center for Empirical Legal Studies, </w:t>
      </w:r>
      <w:proofErr w:type="spellStart"/>
      <w:r w:rsidRPr="00B71203">
        <w:t>Institutum</w:t>
      </w:r>
      <w:proofErr w:type="spellEnd"/>
      <w:r w:rsidRPr="00B71203">
        <w:t xml:space="preserve"> </w:t>
      </w:r>
      <w:proofErr w:type="spellStart"/>
      <w:r w:rsidRPr="00B71203">
        <w:t>Iurisprudentiae</w:t>
      </w:r>
      <w:proofErr w:type="spellEnd"/>
      <w:r w:rsidRPr="00B71203">
        <w:t>, Academia Sinica, Taiwan. J.S.D., New York University School of Law.</w:t>
      </w:r>
      <w:r w:rsidRPr="00575FCE">
        <w:rPr>
          <w:rFonts w:ascii="Arial" w:hAnsi="Arial" w:cs="Arial"/>
          <w:color w:val="222222"/>
          <w:sz w:val="20"/>
          <w:szCs w:val="20"/>
          <w:shd w:val="clear" w:color="auto" w:fill="FFFFFF"/>
        </w:rPr>
        <w:t xml:space="preserve"> </w:t>
      </w:r>
      <w:r w:rsidRPr="00575FCE">
        <w:t>2015. </w:t>
      </w:r>
      <w:r>
        <w:t>“</w:t>
      </w:r>
      <w:r w:rsidRPr="00575FCE">
        <w:t>Law and economics of possession.</w:t>
      </w:r>
      <w:r>
        <w:t>”</w:t>
      </w:r>
      <w:r w:rsidRPr="00575FCE">
        <w:t xml:space="preserve"> Cambridge University Press.</w:t>
      </w:r>
      <w:r>
        <w:t xml:space="preserve"> TDI</w:t>
      </w:r>
    </w:p>
    <w:p w14:paraId="4CB6C8A8" w14:textId="77777777" w:rsidR="008003CA" w:rsidRDefault="008003CA" w:rsidP="008003CA">
      <w:pPr>
        <w:rPr>
          <w:sz w:val="16"/>
        </w:rPr>
      </w:pPr>
      <w:r w:rsidRPr="00575FCE">
        <w:rPr>
          <w:sz w:val="16"/>
        </w:rPr>
        <w:t xml:space="preserve">In a sense, my chapter, “The Economy of Concept and Possession,” serves as the book’s point of departure. Drawing on Henry Smith’s economy of concept theory, Chapter 4 argues that a simpler concept of possession (with actual control as the necessary and sufficient condition) economizes on information costs and makes the possession law much more comprehensive. </w:t>
      </w:r>
      <w:r w:rsidRPr="00845BC6">
        <w:rPr>
          <w:rStyle w:val="StyleUnderline"/>
        </w:rPr>
        <w:t>The confusion in</w:t>
      </w:r>
      <w:r w:rsidRPr="00575FCE">
        <w:rPr>
          <w:sz w:val="16"/>
        </w:rPr>
        <w:t xml:space="preserve"> the </w:t>
      </w:r>
      <w:r w:rsidRPr="00845BC6">
        <w:rPr>
          <w:rStyle w:val="Emphasis"/>
        </w:rPr>
        <w:t>civil codes</w:t>
      </w:r>
      <w:r w:rsidRPr="00575FCE">
        <w:rPr>
          <w:sz w:val="16"/>
        </w:rPr>
        <w:t xml:space="preserve"> </w:t>
      </w:r>
      <w:r w:rsidRPr="00845BC6">
        <w:rPr>
          <w:rStyle w:val="StyleUnderline"/>
        </w:rPr>
        <w:t xml:space="preserve">and the </w:t>
      </w:r>
      <w:r w:rsidRPr="00845BC6">
        <w:rPr>
          <w:rStyle w:val="Emphasis"/>
        </w:rPr>
        <w:t>scholarly literature</w:t>
      </w:r>
      <w:r w:rsidRPr="00575FCE">
        <w:rPr>
          <w:sz w:val="16"/>
        </w:rPr>
        <w:t xml:space="preserve"> </w:t>
      </w:r>
      <w:r w:rsidRPr="00845BC6">
        <w:rPr>
          <w:rStyle w:val="StyleUnderline"/>
        </w:rPr>
        <w:t xml:space="preserve">arises from </w:t>
      </w:r>
      <w:r w:rsidRPr="00845BC6">
        <w:rPr>
          <w:rStyle w:val="Emphasis"/>
        </w:rPr>
        <w:t>conflation</w:t>
      </w:r>
      <w:r w:rsidRPr="00845BC6">
        <w:rPr>
          <w:rStyle w:val="StyleUnderline"/>
        </w:rPr>
        <w:t xml:space="preserve"> of three different concepts</w:t>
      </w:r>
      <w:r w:rsidRPr="00575FCE">
        <w:rPr>
          <w:sz w:val="16"/>
        </w:rPr>
        <w:t xml:space="preserve">: </w:t>
      </w:r>
      <w:r w:rsidRPr="00845BC6">
        <w:rPr>
          <w:rStyle w:val="Emphasis"/>
        </w:rPr>
        <w:t>possession as a fact</w:t>
      </w:r>
      <w:r w:rsidRPr="00575FCE">
        <w:rPr>
          <w:sz w:val="16"/>
        </w:rPr>
        <w:t xml:space="preserve">; </w:t>
      </w:r>
      <w:r w:rsidRPr="00845BC6">
        <w:rPr>
          <w:rStyle w:val="Emphasis"/>
        </w:rPr>
        <w:t>possession as a</w:t>
      </w:r>
      <w:r w:rsidRPr="00575FCE">
        <w:rPr>
          <w:sz w:val="16"/>
        </w:rPr>
        <w:t xml:space="preserve"> (subsidiary) </w:t>
      </w:r>
      <w:r w:rsidRPr="00845BC6">
        <w:rPr>
          <w:rStyle w:val="Emphasis"/>
        </w:rPr>
        <w:t>right</w:t>
      </w:r>
      <w:r w:rsidRPr="00575FCE">
        <w:rPr>
          <w:sz w:val="16"/>
        </w:rPr>
        <w:t xml:space="preserve"> that is one stick in the ownership bundle; </w:t>
      </w:r>
      <w:r w:rsidRPr="00845BC6">
        <w:rPr>
          <w:rStyle w:val="StyleUnderline"/>
        </w:rPr>
        <w:t xml:space="preserve">and possession as a </w:t>
      </w:r>
      <w:r w:rsidRPr="00845BC6">
        <w:rPr>
          <w:rStyle w:val="Emphasis"/>
        </w:rPr>
        <w:t>basis</w:t>
      </w:r>
      <w:r w:rsidRPr="00845BC6">
        <w:rPr>
          <w:rStyle w:val="StyleUnderline"/>
        </w:rPr>
        <w:t xml:space="preserve"> for</w:t>
      </w:r>
      <w:r w:rsidRPr="00575FCE">
        <w:rPr>
          <w:sz w:val="16"/>
        </w:rPr>
        <w:t xml:space="preserve"> </w:t>
      </w:r>
      <w:r w:rsidRPr="00845BC6">
        <w:rPr>
          <w:rStyle w:val="Emphasis"/>
        </w:rPr>
        <w:t>acquiring</w:t>
      </w:r>
      <w:r w:rsidRPr="00575FCE">
        <w:rPr>
          <w:sz w:val="16"/>
        </w:rPr>
        <w:t xml:space="preserve"> and relinquishing </w:t>
      </w:r>
      <w:r w:rsidRPr="00575FCE">
        <w:rPr>
          <w:rStyle w:val="Emphasis"/>
        </w:rPr>
        <w:t>titles</w:t>
      </w:r>
      <w:r w:rsidRPr="00575FCE">
        <w:rPr>
          <w:sz w:val="16"/>
        </w:rPr>
        <w:t xml:space="preserve">, </w:t>
      </w:r>
      <w:r w:rsidRPr="00575FCE">
        <w:rPr>
          <w:rStyle w:val="StyleUnderline"/>
        </w:rPr>
        <w:t>as in adverse possession, first possession, and abandonment</w:t>
      </w:r>
      <w:r w:rsidRPr="00575FCE">
        <w:rPr>
          <w:sz w:val="16"/>
        </w:rPr>
        <w:t xml:space="preserve">. </w:t>
      </w:r>
      <w:r w:rsidRPr="00575FCE">
        <w:rPr>
          <w:rStyle w:val="Emphasis"/>
        </w:rPr>
        <w:t>Actual control</w:t>
      </w:r>
      <w:r w:rsidRPr="00575FCE">
        <w:rPr>
          <w:sz w:val="16"/>
        </w:rPr>
        <w:t xml:space="preserve"> </w:t>
      </w:r>
      <w:r w:rsidRPr="00575FCE">
        <w:rPr>
          <w:rStyle w:val="StyleUnderline"/>
        </w:rPr>
        <w:t>is the</w:t>
      </w:r>
      <w:r w:rsidRPr="00575FCE">
        <w:rPr>
          <w:sz w:val="16"/>
        </w:rPr>
        <w:t xml:space="preserve"> </w:t>
      </w:r>
      <w:r w:rsidRPr="00575FCE">
        <w:rPr>
          <w:rStyle w:val="Emphasis"/>
        </w:rPr>
        <w:t>least common denominator</w:t>
      </w:r>
      <w:r w:rsidRPr="00575FCE">
        <w:rPr>
          <w:sz w:val="16"/>
        </w:rPr>
        <w:t xml:space="preserve"> </w:t>
      </w:r>
      <w:r w:rsidRPr="00575FCE">
        <w:rPr>
          <w:rStyle w:val="StyleUnderline"/>
        </w:rPr>
        <w:t xml:space="preserve">in </w:t>
      </w:r>
      <w:r w:rsidRPr="00575FCE">
        <w:rPr>
          <w:rStyle w:val="Emphasis"/>
        </w:rPr>
        <w:t>all</w:t>
      </w:r>
      <w:r w:rsidRPr="00575FCE">
        <w:rPr>
          <w:rStyle w:val="StyleUnderline"/>
        </w:rPr>
        <w:t xml:space="preserve"> possession-related issues</w:t>
      </w:r>
      <w:r w:rsidRPr="00575FCE">
        <w:rPr>
          <w:sz w:val="16"/>
        </w:rPr>
        <w:t xml:space="preserve">; </w:t>
      </w:r>
      <w:r w:rsidRPr="00575FCE">
        <w:rPr>
          <w:rStyle w:val="StyleUnderline"/>
        </w:rPr>
        <w:t xml:space="preserve">thus, possession qua actual control is a </w:t>
      </w:r>
      <w:r w:rsidRPr="00575FCE">
        <w:rPr>
          <w:rStyle w:val="Emphasis"/>
        </w:rPr>
        <w:t>fact</w:t>
      </w:r>
      <w:r w:rsidRPr="00575FCE">
        <w:rPr>
          <w:sz w:val="16"/>
        </w:rPr>
        <w:t xml:space="preserve">. </w:t>
      </w:r>
      <w:r w:rsidRPr="00575FCE">
        <w:rPr>
          <w:rStyle w:val="StyleUnderline"/>
        </w:rPr>
        <w:t xml:space="preserve">The subsidiary possessory right is </w:t>
      </w:r>
      <w:r w:rsidRPr="00575FCE">
        <w:rPr>
          <w:rStyle w:val="Emphasis"/>
        </w:rPr>
        <w:t>implied</w:t>
      </w:r>
      <w:r w:rsidRPr="00575FCE">
        <w:rPr>
          <w:rStyle w:val="StyleUnderline"/>
        </w:rPr>
        <w:t xml:space="preserve"> in the property structure, but</w:t>
      </w:r>
      <w:r w:rsidRPr="00575FCE">
        <w:rPr>
          <w:sz w:val="16"/>
        </w:rPr>
        <w:t xml:space="preserve"> it is </w:t>
      </w:r>
      <w:r w:rsidRPr="00575FCE">
        <w:rPr>
          <w:rStyle w:val="Emphasis"/>
        </w:rPr>
        <w:t>never spelled out</w:t>
      </w:r>
      <w:r w:rsidRPr="00575FCE">
        <w:rPr>
          <w:sz w:val="16"/>
        </w:rPr>
        <w:t xml:space="preserve">. It can be transferred from owners to, for example, holders of usufruct. </w:t>
      </w:r>
      <w:r w:rsidRPr="00575FCE">
        <w:rPr>
          <w:rStyle w:val="StyleUnderline"/>
        </w:rPr>
        <w:t xml:space="preserve">Finally, </w:t>
      </w:r>
      <w:r w:rsidRPr="00575FCE">
        <w:rPr>
          <w:rStyle w:val="Emphasis"/>
        </w:rPr>
        <w:t>intents</w:t>
      </w:r>
      <w:r w:rsidRPr="00575FCE">
        <w:rPr>
          <w:sz w:val="16"/>
        </w:rPr>
        <w:t xml:space="preserve"> </w:t>
      </w:r>
      <w:r w:rsidRPr="00575FCE">
        <w:rPr>
          <w:rStyle w:val="StyleUnderline"/>
        </w:rPr>
        <w:t xml:space="preserve">only matter when possessors </w:t>
      </w:r>
      <w:r w:rsidRPr="00575FCE">
        <w:rPr>
          <w:rStyle w:val="Emphasis"/>
        </w:rPr>
        <w:t>gain or lose titles</w:t>
      </w:r>
      <w:r w:rsidRPr="00575FCE">
        <w:rPr>
          <w:sz w:val="16"/>
        </w:rPr>
        <w:t xml:space="preserve">, </w:t>
      </w:r>
      <w:r w:rsidRPr="00575FCE">
        <w:rPr>
          <w:rStyle w:val="StyleUnderline"/>
        </w:rPr>
        <w:t>and</w:t>
      </w:r>
      <w:r w:rsidRPr="00575FCE">
        <w:rPr>
          <w:sz w:val="16"/>
        </w:rPr>
        <w:t xml:space="preserve"> the </w:t>
      </w:r>
      <w:r w:rsidRPr="00575FCE">
        <w:rPr>
          <w:rStyle w:val="StyleUnderline"/>
        </w:rPr>
        <w:t>required intents</w:t>
      </w:r>
      <w:r w:rsidRPr="00575FCE">
        <w:rPr>
          <w:sz w:val="16"/>
        </w:rPr>
        <w:t xml:space="preserve"> </w:t>
      </w:r>
      <w:r w:rsidRPr="00575FCE">
        <w:rPr>
          <w:rStyle w:val="Emphasis"/>
        </w:rPr>
        <w:t>differ across contexts</w:t>
      </w:r>
      <w:r w:rsidRPr="00575FCE">
        <w:rPr>
          <w:sz w:val="16"/>
        </w:rPr>
        <w:t xml:space="preserve">; </w:t>
      </w:r>
      <w:r w:rsidRPr="00575FCE">
        <w:rPr>
          <w:rStyle w:val="StyleUnderline"/>
        </w:rPr>
        <w:t>thus,</w:t>
      </w:r>
      <w:r w:rsidRPr="00575FCE">
        <w:rPr>
          <w:sz w:val="16"/>
        </w:rPr>
        <w:t xml:space="preserve"> a specific </w:t>
      </w:r>
      <w:r w:rsidRPr="00290BAF">
        <w:rPr>
          <w:rStyle w:val="Emphasis"/>
        </w:rPr>
        <w:t>intent</w:t>
      </w:r>
      <w:r w:rsidRPr="00575FCE">
        <w:rPr>
          <w:rStyle w:val="StyleUnderline"/>
        </w:rPr>
        <w:t xml:space="preserve"> </w:t>
      </w:r>
      <w:r w:rsidRPr="00575FCE">
        <w:rPr>
          <w:rStyle w:val="Emphasis"/>
        </w:rPr>
        <w:t>should not be embedded</w:t>
      </w:r>
      <w:r w:rsidRPr="00575FCE">
        <w:rPr>
          <w:rStyle w:val="StyleUnderline"/>
        </w:rPr>
        <w:t xml:space="preserve"> in the </w:t>
      </w:r>
      <w:r w:rsidRPr="00575FCE">
        <w:rPr>
          <w:rStyle w:val="Emphasis"/>
        </w:rPr>
        <w:t>baseline definition</w:t>
      </w:r>
      <w:r w:rsidRPr="00575FCE">
        <w:rPr>
          <w:rStyle w:val="StyleUnderline"/>
        </w:rPr>
        <w:t xml:space="preserve"> of possession, but left to specific doctrines</w:t>
      </w:r>
      <w:r w:rsidRPr="00575FCE">
        <w:rPr>
          <w:sz w:val="16"/>
        </w:rPr>
        <w:t>.</w:t>
      </w:r>
    </w:p>
    <w:p w14:paraId="1B3CB698" w14:textId="77777777" w:rsidR="008003CA" w:rsidRDefault="008003CA" w:rsidP="008003CA">
      <w:pPr>
        <w:rPr>
          <w:sz w:val="16"/>
        </w:rPr>
      </w:pPr>
    </w:p>
    <w:p w14:paraId="03359C5F" w14:textId="77777777" w:rsidR="008003CA" w:rsidRDefault="008003CA" w:rsidP="008003CA">
      <w:pPr>
        <w:pStyle w:val="Heading4"/>
      </w:pPr>
      <w:r>
        <w:t xml:space="preserve">It's most </w:t>
      </w:r>
      <w:r w:rsidRPr="00471BFA">
        <w:rPr>
          <w:u w:val="single"/>
        </w:rPr>
        <w:t>intuitive</w:t>
      </w:r>
      <w:r>
        <w:t xml:space="preserve">. </w:t>
      </w:r>
    </w:p>
    <w:p w14:paraId="3ABC9000" w14:textId="77777777" w:rsidR="008003CA" w:rsidRPr="00C326BE" w:rsidRDefault="008003CA" w:rsidP="008003CA">
      <w:r w:rsidRPr="002A2B85">
        <w:rPr>
          <w:rStyle w:val="Style13ptBold"/>
        </w:rPr>
        <w:t>Chang 15</w:t>
      </w:r>
      <w:r>
        <w:t>. Yun-</w:t>
      </w:r>
      <w:proofErr w:type="spellStart"/>
      <w:r>
        <w:t>chien</w:t>
      </w:r>
      <w:proofErr w:type="spellEnd"/>
      <w:r>
        <w:t xml:space="preserve"> Chang, </w:t>
      </w:r>
      <w:r w:rsidRPr="00B71203">
        <w:t xml:space="preserve">Associate Research Professor &amp; Deputy Director of Center for Empirical Legal Studies, </w:t>
      </w:r>
      <w:proofErr w:type="spellStart"/>
      <w:r w:rsidRPr="00B71203">
        <w:t>Institutum</w:t>
      </w:r>
      <w:proofErr w:type="spellEnd"/>
      <w:r w:rsidRPr="00B71203">
        <w:t xml:space="preserve"> </w:t>
      </w:r>
      <w:proofErr w:type="spellStart"/>
      <w:r w:rsidRPr="00B71203">
        <w:t>Iurisprudentiae</w:t>
      </w:r>
      <w:proofErr w:type="spellEnd"/>
      <w:r w:rsidRPr="00B71203">
        <w:t>, Academia Sinica, Taiwan. J.S.D., New York University School of Law.</w:t>
      </w:r>
      <w:r>
        <w:t xml:space="preserve"> 2015. “</w:t>
      </w:r>
      <w:r w:rsidRPr="00B71203">
        <w:t>The Economy of Concept and Possession</w:t>
      </w:r>
      <w:r>
        <w:t xml:space="preserve">.” </w:t>
      </w:r>
      <w:r w:rsidRPr="002A2B85">
        <w:t xml:space="preserve">Cambridge University Press, </w:t>
      </w:r>
      <w:r>
        <w:t xml:space="preserve">p. </w:t>
      </w:r>
      <w:r w:rsidRPr="002A2B85">
        <w:t>103–125.</w:t>
      </w:r>
      <w:r>
        <w:t xml:space="preserve"> TDI</w:t>
      </w:r>
    </w:p>
    <w:p w14:paraId="6EED1F46" w14:textId="77777777" w:rsidR="008003CA" w:rsidRDefault="008003CA" w:rsidP="008003CA">
      <w:pPr>
        <w:rPr>
          <w:sz w:val="16"/>
        </w:rPr>
      </w:pPr>
      <w:r w:rsidRPr="00B71203">
        <w:rPr>
          <w:rStyle w:val="StyleUnderline"/>
        </w:rPr>
        <w:t>My analysis</w:t>
      </w:r>
      <w:r w:rsidRPr="00B71203">
        <w:rPr>
          <w:sz w:val="16"/>
        </w:rPr>
        <w:t xml:space="preserve"> may also </w:t>
      </w:r>
      <w:r w:rsidRPr="00B71203">
        <w:rPr>
          <w:rStyle w:val="StyleUnderline"/>
        </w:rPr>
        <w:t xml:space="preserve">explain why there is </w:t>
      </w:r>
      <w:r w:rsidRPr="002A2B85">
        <w:rPr>
          <w:rStyle w:val="Emphasis"/>
        </w:rPr>
        <w:t>hardly any discussion</w:t>
      </w:r>
      <w:r w:rsidRPr="00B71203">
        <w:rPr>
          <w:rStyle w:val="StyleUnderline"/>
        </w:rPr>
        <w:t xml:space="preserve"> of </w:t>
      </w:r>
      <w:r w:rsidRPr="002A2B85">
        <w:rPr>
          <w:rStyle w:val="StyleUnderline"/>
        </w:rPr>
        <w:t>possession as a general concept</w:t>
      </w:r>
      <w:r w:rsidRPr="00B71203">
        <w:rPr>
          <w:sz w:val="16"/>
        </w:rPr>
        <w:t xml:space="preserve"> in the common law—</w:t>
      </w:r>
      <w:r w:rsidRPr="00B71203">
        <w:rPr>
          <w:rStyle w:val="StyleUnderline"/>
        </w:rPr>
        <w:t xml:space="preserve">because it is </w:t>
      </w:r>
      <w:r w:rsidRPr="00B71203">
        <w:rPr>
          <w:rStyle w:val="Emphasis"/>
        </w:rPr>
        <w:t>unnecessary</w:t>
      </w:r>
      <w:r w:rsidRPr="00B71203">
        <w:rPr>
          <w:sz w:val="16"/>
        </w:rPr>
        <w:t xml:space="preserve">. </w:t>
      </w:r>
      <w:r w:rsidRPr="00B71203">
        <w:rPr>
          <w:rStyle w:val="StyleUnderline"/>
        </w:rPr>
        <w:t xml:space="preserve">Possession as </w:t>
      </w:r>
      <w:r w:rsidRPr="00B71203">
        <w:rPr>
          <w:rStyle w:val="Emphasis"/>
        </w:rPr>
        <w:t>actual control</w:t>
      </w:r>
      <w:r w:rsidRPr="00B71203">
        <w:rPr>
          <w:sz w:val="16"/>
        </w:rPr>
        <w:t xml:space="preserve"> </w:t>
      </w:r>
      <w:r w:rsidRPr="00B71203">
        <w:rPr>
          <w:rStyle w:val="StyleUnderline"/>
        </w:rPr>
        <w:t>is</w:t>
      </w:r>
      <w:r w:rsidRPr="00B71203">
        <w:rPr>
          <w:sz w:val="16"/>
        </w:rPr>
        <w:t xml:space="preserve"> </w:t>
      </w:r>
      <w:r w:rsidRPr="00B71203">
        <w:rPr>
          <w:rStyle w:val="Emphasis"/>
        </w:rPr>
        <w:t>intuitive</w:t>
      </w:r>
      <w:r w:rsidRPr="00B71203">
        <w:rPr>
          <w:sz w:val="16"/>
        </w:rPr>
        <w:t xml:space="preserve"> </w:t>
      </w:r>
      <w:r w:rsidRPr="00B71203">
        <w:rPr>
          <w:rStyle w:val="StyleUnderline"/>
        </w:rPr>
        <w:t xml:space="preserve">and does </w:t>
      </w:r>
      <w:r w:rsidRPr="00B71203">
        <w:rPr>
          <w:rStyle w:val="Emphasis"/>
        </w:rPr>
        <w:t>not need a statute</w:t>
      </w:r>
      <w:r w:rsidRPr="00B71203">
        <w:rPr>
          <w:rStyle w:val="StyleUnderline"/>
        </w:rPr>
        <w:t xml:space="preserve"> and a </w:t>
      </w:r>
      <w:r w:rsidRPr="00432A2F">
        <w:rPr>
          <w:rStyle w:val="Emphasis"/>
        </w:rPr>
        <w:t>series of cases</w:t>
      </w:r>
      <w:r w:rsidRPr="00432A2F">
        <w:rPr>
          <w:rStyle w:val="StyleUnderline"/>
        </w:rPr>
        <w:t xml:space="preserve"> to elaborate it</w:t>
      </w:r>
      <w:r w:rsidRPr="00432A2F">
        <w:rPr>
          <w:sz w:val="16"/>
        </w:rPr>
        <w:t xml:space="preserve">. </w:t>
      </w:r>
      <w:r w:rsidRPr="00432A2F">
        <w:rPr>
          <w:rStyle w:val="StyleUnderline"/>
        </w:rPr>
        <w:t xml:space="preserve">What the </w:t>
      </w:r>
      <w:r w:rsidRPr="00432A2F">
        <w:rPr>
          <w:rStyle w:val="Emphasis"/>
        </w:rPr>
        <w:t>American jurisprudence</w:t>
      </w:r>
      <w:r w:rsidRPr="00432A2F">
        <w:rPr>
          <w:rStyle w:val="StyleUnderline"/>
        </w:rPr>
        <w:t xml:space="preserve"> of possession informs</w:t>
      </w:r>
      <w:r w:rsidRPr="00432A2F">
        <w:rPr>
          <w:sz w:val="16"/>
        </w:rPr>
        <w:t xml:space="preserve"> civil </w:t>
      </w:r>
      <w:r w:rsidRPr="00432A2F">
        <w:rPr>
          <w:rStyle w:val="StyleUnderline"/>
        </w:rPr>
        <w:t>lawyers about is that the contents of</w:t>
      </w:r>
      <w:r w:rsidRPr="00432A2F">
        <w:rPr>
          <w:sz w:val="16"/>
        </w:rPr>
        <w:t xml:space="preserve"> the </w:t>
      </w:r>
      <w:r w:rsidRPr="00432A2F">
        <w:rPr>
          <w:rStyle w:val="Emphasis"/>
        </w:rPr>
        <w:t>specific possession doctrines</w:t>
      </w:r>
      <w:r w:rsidRPr="00432A2F">
        <w:rPr>
          <w:sz w:val="16"/>
        </w:rPr>
        <w:t xml:space="preserve">, such as adverse possession, first possession, and good-faith purchase, </w:t>
      </w:r>
      <w:r w:rsidRPr="00432A2F">
        <w:rPr>
          <w:rStyle w:val="StyleUnderline"/>
        </w:rPr>
        <w:t xml:space="preserve">are </w:t>
      </w:r>
      <w:r w:rsidRPr="00432A2F">
        <w:rPr>
          <w:rStyle w:val="Emphasis"/>
        </w:rPr>
        <w:t>more important</w:t>
      </w:r>
      <w:r w:rsidRPr="00432A2F">
        <w:rPr>
          <w:sz w:val="16"/>
        </w:rPr>
        <w:t>. Now that the conceptual bushes are trimmed, civil lawyers should turn their focus to these challenging issues.</w:t>
      </w:r>
    </w:p>
    <w:p w14:paraId="19D5B805" w14:textId="77777777" w:rsidR="008003CA" w:rsidRDefault="008003CA" w:rsidP="008003CA">
      <w:pPr>
        <w:rPr>
          <w:sz w:val="16"/>
        </w:rPr>
      </w:pPr>
    </w:p>
    <w:p w14:paraId="37014766" w14:textId="77777777" w:rsidR="008003CA" w:rsidRPr="00432A2F" w:rsidRDefault="008003CA" w:rsidP="008003CA">
      <w:pPr>
        <w:pStyle w:val="Heading4"/>
      </w:pPr>
      <w:r w:rsidRPr="00432A2F">
        <w:t>Plain meaning.</w:t>
      </w:r>
    </w:p>
    <w:p w14:paraId="471CD4A5" w14:textId="77777777" w:rsidR="008003CA" w:rsidRPr="00432A2F" w:rsidRDefault="008003CA" w:rsidP="008003CA">
      <w:r w:rsidRPr="00432A2F">
        <w:rPr>
          <w:rStyle w:val="Style13ptBold"/>
        </w:rPr>
        <w:t xml:space="preserve">Collins </w:t>
      </w:r>
      <w:proofErr w:type="spellStart"/>
      <w:r w:rsidRPr="00432A2F">
        <w:rPr>
          <w:rStyle w:val="Style13ptBold"/>
        </w:rPr>
        <w:t>nd</w:t>
      </w:r>
      <w:proofErr w:type="spellEnd"/>
      <w:r w:rsidRPr="00432A2F">
        <w:t xml:space="preserve">. Collins Dictionary. No date. “Possession.” </w:t>
      </w:r>
      <w:hyperlink r:id="rId11" w:history="1">
        <w:r w:rsidRPr="00317E37">
          <w:rPr>
            <w:rStyle w:val="Hyperlink"/>
          </w:rPr>
          <w:t>https://www.collinsdictionary.com/dictionary/english/possession</w:t>
        </w:r>
      </w:hyperlink>
      <w:r w:rsidRPr="00432A2F">
        <w:t>.</w:t>
      </w:r>
      <w:r>
        <w:t xml:space="preserve"> TDI</w:t>
      </w:r>
    </w:p>
    <w:p w14:paraId="38168772" w14:textId="77777777" w:rsidR="008003CA" w:rsidRPr="00C326BE" w:rsidRDefault="008003CA" w:rsidP="008003CA">
      <w:pPr>
        <w:rPr>
          <w:sz w:val="16"/>
        </w:rPr>
      </w:pPr>
      <w:r w:rsidRPr="00C326BE">
        <w:rPr>
          <w:rStyle w:val="StyleUnderline"/>
        </w:rPr>
        <w:t xml:space="preserve">Your possessions are the things that you </w:t>
      </w:r>
      <w:r w:rsidRPr="00C326BE">
        <w:rPr>
          <w:rStyle w:val="Emphasis"/>
        </w:rPr>
        <w:t>own</w:t>
      </w:r>
      <w:r w:rsidRPr="00C326BE">
        <w:rPr>
          <w:sz w:val="16"/>
        </w:rPr>
        <w:t xml:space="preserve"> or have with you </w:t>
      </w:r>
      <w:r w:rsidRPr="00C326BE">
        <w:rPr>
          <w:rStyle w:val="StyleUnderline"/>
        </w:rPr>
        <w:t xml:space="preserve">at a </w:t>
      </w:r>
      <w:r w:rsidRPr="00C326BE">
        <w:rPr>
          <w:rStyle w:val="Emphasis"/>
        </w:rPr>
        <w:t>particular time</w:t>
      </w:r>
      <w:r w:rsidRPr="00C326BE">
        <w:rPr>
          <w:sz w:val="16"/>
        </w:rPr>
        <w:t>.</w:t>
      </w:r>
    </w:p>
    <w:p w14:paraId="53570185" w14:textId="77777777" w:rsidR="008003CA" w:rsidRPr="00C326BE" w:rsidRDefault="008003CA" w:rsidP="008003CA">
      <w:pPr>
        <w:rPr>
          <w:sz w:val="16"/>
          <w:szCs w:val="16"/>
        </w:rPr>
      </w:pPr>
      <w:r w:rsidRPr="00C326BE">
        <w:rPr>
          <w:sz w:val="16"/>
          <w:szCs w:val="16"/>
        </w:rPr>
        <w:t>People had lost their homes and all their possessions. </w:t>
      </w:r>
    </w:p>
    <w:p w14:paraId="4BE234BD" w14:textId="77777777" w:rsidR="008003CA" w:rsidRDefault="008003CA" w:rsidP="008003CA">
      <w:pPr>
        <w:rPr>
          <w:sz w:val="16"/>
          <w:szCs w:val="16"/>
        </w:rPr>
      </w:pPr>
      <w:r w:rsidRPr="00C326BE">
        <w:rPr>
          <w:sz w:val="16"/>
          <w:szCs w:val="16"/>
        </w:rPr>
        <w:t>She had tidied away her possessions. </w:t>
      </w:r>
    </w:p>
    <w:p w14:paraId="400E264E" w14:textId="77777777" w:rsidR="008003CA" w:rsidRPr="00194F63" w:rsidRDefault="008003CA" w:rsidP="008003CA">
      <w:pPr>
        <w:rPr>
          <w:sz w:val="16"/>
          <w:szCs w:val="16"/>
        </w:rPr>
      </w:pPr>
    </w:p>
    <w:p w14:paraId="52AE77A3" w14:textId="099EDD9F" w:rsidR="008003CA" w:rsidRPr="009938A5" w:rsidRDefault="008003CA" w:rsidP="008003CA">
      <w:pPr>
        <w:pStyle w:val="Heading3"/>
      </w:pPr>
      <w:r>
        <w:t>Possession</w:t>
      </w:r>
      <w:r>
        <w:t>---</w:t>
      </w:r>
      <w:r>
        <w:t>Legal Authority</w:t>
      </w:r>
      <w:r>
        <w:t>---1AR</w:t>
      </w:r>
    </w:p>
    <w:p w14:paraId="0A309038" w14:textId="77777777" w:rsidR="008003CA" w:rsidRDefault="008003CA" w:rsidP="008003CA">
      <w:pPr>
        <w:pStyle w:val="Heading4"/>
      </w:pPr>
      <w:r>
        <w:t xml:space="preserve">Possession implies </w:t>
      </w:r>
      <w:r w:rsidRPr="00695941">
        <w:rPr>
          <w:u w:val="single"/>
        </w:rPr>
        <w:t>authority</w:t>
      </w:r>
      <w:r>
        <w:t xml:space="preserve"> over property. Their interpretation is</w:t>
      </w:r>
      <w:r w:rsidRPr="00695941">
        <w:t xml:space="preserve"> </w:t>
      </w:r>
      <w:r>
        <w:rPr>
          <w:u w:val="single"/>
        </w:rPr>
        <w:t>arbitrary</w:t>
      </w:r>
      <w:r>
        <w:t>.</w:t>
      </w:r>
    </w:p>
    <w:p w14:paraId="04196C52" w14:textId="77777777" w:rsidR="008003CA" w:rsidRPr="00695941" w:rsidRDefault="008003CA" w:rsidP="008003CA">
      <w:r w:rsidRPr="008F77FC">
        <w:rPr>
          <w:rStyle w:val="Style13ptBold"/>
        </w:rPr>
        <w:t>Flanders 19</w:t>
      </w:r>
      <w:r>
        <w:t xml:space="preserve">. Chad Flanders, M.A., Ph.D. in Philosophy, University of Chicago, and J.D., Yale Law. </w:t>
      </w:r>
      <w:r w:rsidRPr="008F77FC">
        <w:t>2019</w:t>
      </w:r>
      <w:r>
        <w:t xml:space="preserve">. </w:t>
      </w:r>
      <w:r w:rsidRPr="008F77FC">
        <w:t>“</w:t>
      </w:r>
      <w:r>
        <w:t>’</w:t>
      </w:r>
      <w:r w:rsidRPr="008F77FC">
        <w:t>Actual</w:t>
      </w:r>
      <w:r>
        <w:t>’</w:t>
      </w:r>
      <w:r w:rsidRPr="008F77FC">
        <w:t xml:space="preserve"> and </w:t>
      </w:r>
      <w:r>
        <w:t>‘</w:t>
      </w:r>
      <w:r w:rsidRPr="008F77FC">
        <w:t>Constructive</w:t>
      </w:r>
      <w:r>
        <w:t>’</w:t>
      </w:r>
      <w:r w:rsidRPr="008F77FC">
        <w:t xml:space="preserve"> Possession in Alaska: Clarifying the Doctrine</w:t>
      </w:r>
      <w:r>
        <w:t>.”</w:t>
      </w:r>
      <w:r w:rsidRPr="008F77FC">
        <w:t xml:space="preserve"> 36 </w:t>
      </w:r>
      <w:r w:rsidRPr="008F77FC">
        <w:rPr>
          <w:i/>
          <w:iCs/>
        </w:rPr>
        <w:t>Alaska Law Review</w:t>
      </w:r>
      <w:r w:rsidRPr="008F77FC">
        <w:t> </w:t>
      </w:r>
      <w:r>
        <w:t xml:space="preserve">p.1-22, </w:t>
      </w:r>
      <w:hyperlink r:id="rId12" w:history="1">
        <w:r w:rsidRPr="00317E37">
          <w:rPr>
            <w:rStyle w:val="Hyperlink"/>
          </w:rPr>
          <w:t>https://scholarship.law.duke.edu/alr/vol36/iss1/2</w:t>
        </w:r>
      </w:hyperlink>
      <w:r>
        <w:t>. TDI</w:t>
      </w:r>
    </w:p>
    <w:p w14:paraId="5E5D2D33" w14:textId="77777777" w:rsidR="008003CA" w:rsidRPr="00695941" w:rsidRDefault="008003CA" w:rsidP="008003CA">
      <w:pPr>
        <w:rPr>
          <w:sz w:val="16"/>
          <w:szCs w:val="16"/>
        </w:rPr>
      </w:pPr>
      <w:r w:rsidRPr="00695941">
        <w:rPr>
          <w:sz w:val="16"/>
          <w:szCs w:val="16"/>
        </w:rPr>
        <w:t xml:space="preserve">V. CONCLUSION </w:t>
      </w:r>
    </w:p>
    <w:p w14:paraId="379BEC33" w14:textId="77777777" w:rsidR="008003CA" w:rsidRPr="00695941" w:rsidRDefault="008003CA" w:rsidP="008003CA">
      <w:pPr>
        <w:rPr>
          <w:sz w:val="16"/>
        </w:rPr>
      </w:pPr>
      <w:r w:rsidRPr="00B82650">
        <w:rPr>
          <w:rStyle w:val="StyleUnderline"/>
        </w:rPr>
        <w:t xml:space="preserve">The </w:t>
      </w:r>
      <w:r w:rsidRPr="005F6D1B">
        <w:rPr>
          <w:rStyle w:val="StyleUnderline"/>
        </w:rPr>
        <w:t>current</w:t>
      </w:r>
      <w:r w:rsidRPr="005F6D1B">
        <w:rPr>
          <w:sz w:val="16"/>
        </w:rPr>
        <w:t xml:space="preserve"> Alaska </w:t>
      </w:r>
      <w:r w:rsidRPr="005F6D1B">
        <w:rPr>
          <w:rStyle w:val="StyleUnderline"/>
        </w:rPr>
        <w:t xml:space="preserve">instruction on </w:t>
      </w:r>
      <w:r w:rsidRPr="005F6D1B">
        <w:rPr>
          <w:rStyle w:val="Emphasis"/>
        </w:rPr>
        <w:t>possession</w:t>
      </w:r>
      <w:r w:rsidRPr="005F6D1B">
        <w:rPr>
          <w:rStyle w:val="StyleUnderline"/>
        </w:rPr>
        <w:t xml:space="preserve"> is </w:t>
      </w:r>
      <w:r w:rsidRPr="005F6D1B">
        <w:rPr>
          <w:rStyle w:val="Emphasis"/>
        </w:rPr>
        <w:t>problematic</w:t>
      </w:r>
      <w:r w:rsidRPr="005F6D1B">
        <w:rPr>
          <w:sz w:val="16"/>
        </w:rPr>
        <w:t xml:space="preserve">, if only </w:t>
      </w:r>
      <w:r w:rsidRPr="005F6D1B">
        <w:rPr>
          <w:rStyle w:val="StyleUnderline"/>
        </w:rPr>
        <w:t xml:space="preserve">because of the </w:t>
      </w:r>
      <w:r w:rsidRPr="005F6D1B">
        <w:rPr>
          <w:rStyle w:val="Emphasis"/>
        </w:rPr>
        <w:t>ambiguity</w:t>
      </w:r>
      <w:r w:rsidRPr="005F6D1B">
        <w:rPr>
          <w:rStyle w:val="StyleUnderline"/>
        </w:rPr>
        <w:t xml:space="preserve"> of</w:t>
      </w:r>
      <w:r w:rsidRPr="005F6D1B">
        <w:rPr>
          <w:sz w:val="16"/>
        </w:rPr>
        <w:t xml:space="preserve"> “power” and perhaps “</w:t>
      </w:r>
      <w:r w:rsidRPr="005F6D1B">
        <w:rPr>
          <w:rStyle w:val="Emphasis"/>
        </w:rPr>
        <w:t>direct control</w:t>
      </w:r>
      <w:r w:rsidRPr="005F6D1B">
        <w:rPr>
          <w:sz w:val="16"/>
        </w:rPr>
        <w:t xml:space="preserve">.” </w:t>
      </w:r>
      <w:r w:rsidRPr="005F6D1B">
        <w:rPr>
          <w:rStyle w:val="StyleUnderline"/>
        </w:rPr>
        <w:t>Courts must</w:t>
      </w:r>
      <w:r w:rsidRPr="005F6D1B">
        <w:rPr>
          <w:sz w:val="16"/>
        </w:rPr>
        <w:t xml:space="preserve"> be careful to </w:t>
      </w:r>
      <w:r w:rsidRPr="005F6D1B">
        <w:rPr>
          <w:rStyle w:val="StyleUnderline"/>
        </w:rPr>
        <w:t xml:space="preserve">read </w:t>
      </w:r>
      <w:r w:rsidRPr="005F6D1B">
        <w:rPr>
          <w:rStyle w:val="Emphasis"/>
        </w:rPr>
        <w:t>actual possession</w:t>
      </w:r>
      <w:r w:rsidRPr="005F6D1B">
        <w:rPr>
          <w:rStyle w:val="StyleUnderline"/>
        </w:rPr>
        <w:t xml:space="preserve"> as meaning</w:t>
      </w:r>
      <w:r w:rsidRPr="005F6D1B">
        <w:rPr>
          <w:sz w:val="16"/>
        </w:rPr>
        <w:t xml:space="preserve"> “direct control,” including </w:t>
      </w:r>
      <w:r w:rsidRPr="005F6D1B">
        <w:rPr>
          <w:rStyle w:val="Emphasis"/>
        </w:rPr>
        <w:t>past physical possession</w:t>
      </w:r>
      <w:r w:rsidRPr="005F6D1B">
        <w:rPr>
          <w:sz w:val="16"/>
        </w:rPr>
        <w:t>, which may be proven by inferences from circumstantial evidence. Cases of past physical possession are cases of actual possession, not of constructive</w:t>
      </w:r>
      <w:r w:rsidRPr="00695941">
        <w:rPr>
          <w:sz w:val="16"/>
        </w:rPr>
        <w:t xml:space="preserve"> possession. </w:t>
      </w:r>
      <w:r w:rsidRPr="00B82650">
        <w:rPr>
          <w:rStyle w:val="StyleUnderline"/>
        </w:rPr>
        <w:t xml:space="preserve">The instruction on </w:t>
      </w:r>
      <w:r w:rsidRPr="00B82650">
        <w:rPr>
          <w:rStyle w:val="Emphasis"/>
        </w:rPr>
        <w:t>constructive possession</w:t>
      </w:r>
      <w:r w:rsidRPr="00B82650">
        <w:rPr>
          <w:rStyle w:val="StyleUnderline"/>
        </w:rPr>
        <w:t xml:space="preserve"> is</w:t>
      </w:r>
      <w:r w:rsidRPr="00695941">
        <w:rPr>
          <w:sz w:val="16"/>
        </w:rPr>
        <w:t xml:space="preserve">, too, </w:t>
      </w:r>
      <w:r w:rsidRPr="00B82650">
        <w:rPr>
          <w:rStyle w:val="StyleUnderline"/>
        </w:rPr>
        <w:t xml:space="preserve">subject to </w:t>
      </w:r>
      <w:r w:rsidRPr="00B82650">
        <w:rPr>
          <w:rStyle w:val="Emphasis"/>
        </w:rPr>
        <w:t>ambiguities</w:t>
      </w:r>
      <w:r w:rsidRPr="00695941">
        <w:rPr>
          <w:sz w:val="16"/>
        </w:rPr>
        <w:t xml:space="preserve"> </w:t>
      </w:r>
      <w:r w:rsidRPr="00B82650">
        <w:rPr>
          <w:rStyle w:val="Emphasis"/>
        </w:rPr>
        <w:t>of interpretation</w:t>
      </w:r>
      <w:r w:rsidRPr="00695941">
        <w:rPr>
          <w:sz w:val="16"/>
        </w:rPr>
        <w:t xml:space="preserve">. </w:t>
      </w:r>
      <w:r w:rsidRPr="00695941">
        <w:rPr>
          <w:rStyle w:val="StyleUnderline"/>
          <w:highlight w:val="yellow"/>
        </w:rPr>
        <w:t>If courts read “</w:t>
      </w:r>
      <w:r w:rsidRPr="00695941">
        <w:rPr>
          <w:rStyle w:val="Emphasis"/>
          <w:highlight w:val="yellow"/>
        </w:rPr>
        <w:t>power</w:t>
      </w:r>
      <w:r w:rsidRPr="00695941">
        <w:rPr>
          <w:rStyle w:val="StyleUnderline"/>
          <w:highlight w:val="yellow"/>
        </w:rPr>
        <w:t xml:space="preserve">” </w:t>
      </w:r>
      <w:r w:rsidRPr="00695941">
        <w:rPr>
          <w:rStyle w:val="StyleUnderline"/>
        </w:rPr>
        <w:t>in “power to exercise</w:t>
      </w:r>
      <w:r w:rsidRPr="00695941">
        <w:rPr>
          <w:sz w:val="16"/>
        </w:rPr>
        <w:t xml:space="preserve"> dominion or </w:t>
      </w:r>
      <w:r w:rsidRPr="00695941">
        <w:rPr>
          <w:rStyle w:val="StyleUnderline"/>
        </w:rPr>
        <w:t>control</w:t>
      </w:r>
      <w:r w:rsidRPr="00B82650">
        <w:rPr>
          <w:rStyle w:val="StyleUnderline"/>
        </w:rPr>
        <w:t>”</w:t>
      </w:r>
      <w:r w:rsidRPr="00695941">
        <w:rPr>
          <w:sz w:val="16"/>
        </w:rPr>
        <w:t xml:space="preserve"> </w:t>
      </w:r>
      <w:r w:rsidRPr="00695941">
        <w:rPr>
          <w:rStyle w:val="StyleUnderline"/>
          <w:highlight w:val="yellow"/>
        </w:rPr>
        <w:t>as</w:t>
      </w:r>
      <w:r w:rsidRPr="00695941">
        <w:rPr>
          <w:sz w:val="16"/>
        </w:rPr>
        <w:t xml:space="preserve"> simply </w:t>
      </w:r>
      <w:r w:rsidRPr="005F6D1B">
        <w:rPr>
          <w:rStyle w:val="StyleUnderline"/>
        </w:rPr>
        <w:t xml:space="preserve">the </w:t>
      </w:r>
      <w:r w:rsidRPr="00695941">
        <w:rPr>
          <w:rStyle w:val="StyleUnderline"/>
          <w:highlight w:val="yellow"/>
        </w:rPr>
        <w:t xml:space="preserve">ability to </w:t>
      </w:r>
      <w:r w:rsidRPr="00695941">
        <w:rPr>
          <w:rStyle w:val="Emphasis"/>
          <w:highlight w:val="yellow"/>
        </w:rPr>
        <w:t>exercise</w:t>
      </w:r>
      <w:r w:rsidRPr="00695941">
        <w:rPr>
          <w:sz w:val="16"/>
          <w:highlight w:val="yellow"/>
        </w:rPr>
        <w:t xml:space="preserve"> </w:t>
      </w:r>
      <w:r w:rsidRPr="00695941">
        <w:rPr>
          <w:rStyle w:val="Emphasis"/>
          <w:highlight w:val="yellow"/>
        </w:rPr>
        <w:t>control</w:t>
      </w:r>
      <w:r w:rsidRPr="00695941">
        <w:rPr>
          <w:sz w:val="16"/>
        </w:rPr>
        <w:t xml:space="preserve">, </w:t>
      </w:r>
      <w:r w:rsidRPr="00B82650">
        <w:rPr>
          <w:rStyle w:val="StyleUnderline"/>
        </w:rPr>
        <w:t xml:space="preserve">then the </w:t>
      </w:r>
      <w:r w:rsidRPr="00695941">
        <w:rPr>
          <w:rStyle w:val="StyleUnderline"/>
          <w:highlight w:val="yellow"/>
        </w:rPr>
        <w:t xml:space="preserve">instruction makes </w:t>
      </w:r>
      <w:r w:rsidRPr="00695941">
        <w:rPr>
          <w:rStyle w:val="Emphasis"/>
          <w:highlight w:val="yellow"/>
        </w:rPr>
        <w:t>everything</w:t>
      </w:r>
      <w:r w:rsidRPr="00B82650">
        <w:rPr>
          <w:rStyle w:val="StyleUnderline"/>
        </w:rPr>
        <w:t xml:space="preserve"> </w:t>
      </w:r>
      <w:r w:rsidRPr="00695941">
        <w:rPr>
          <w:sz w:val="16"/>
        </w:rPr>
        <w:t xml:space="preserve">that </w:t>
      </w:r>
      <w:r w:rsidRPr="00695941">
        <w:rPr>
          <w:rStyle w:val="Emphasis"/>
          <w:highlight w:val="yellow"/>
        </w:rPr>
        <w:t>we know about</w:t>
      </w:r>
      <w:r w:rsidRPr="00B82650">
        <w:rPr>
          <w:rStyle w:val="StyleUnderline"/>
        </w:rPr>
        <w:t xml:space="preserve"> and are near to potentially </w:t>
      </w:r>
      <w:r w:rsidRPr="00695941">
        <w:rPr>
          <w:rStyle w:val="StyleUnderline"/>
          <w:highlight w:val="yellow"/>
        </w:rPr>
        <w:t>within our “</w:t>
      </w:r>
      <w:r w:rsidRPr="00695941">
        <w:rPr>
          <w:rStyle w:val="Emphasis"/>
          <w:highlight w:val="yellow"/>
        </w:rPr>
        <w:t>possession</w:t>
      </w:r>
      <w:r w:rsidRPr="00695941">
        <w:rPr>
          <w:rStyle w:val="StyleUnderline"/>
          <w:highlight w:val="yellow"/>
        </w:rPr>
        <w:t>,”</w:t>
      </w:r>
      <w:r w:rsidRPr="00695941">
        <w:rPr>
          <w:sz w:val="16"/>
        </w:rPr>
        <w:t xml:space="preserve"> </w:t>
      </w:r>
      <w:r w:rsidRPr="00B82650">
        <w:rPr>
          <w:rStyle w:val="StyleUnderline"/>
        </w:rPr>
        <w:t>so long as we have the ability to possess it</w:t>
      </w:r>
      <w:r w:rsidRPr="00695941">
        <w:rPr>
          <w:sz w:val="16"/>
        </w:rPr>
        <w:t xml:space="preserve">.96 </w:t>
      </w:r>
      <w:r w:rsidRPr="00695941">
        <w:rPr>
          <w:rStyle w:val="StyleUnderline"/>
          <w:highlight w:val="yellow"/>
        </w:rPr>
        <w:t>Nor is this</w:t>
      </w:r>
      <w:r w:rsidRPr="007D02C6">
        <w:rPr>
          <w:rStyle w:val="StyleUnderline"/>
        </w:rPr>
        <w:t xml:space="preserve"> issue </w:t>
      </w:r>
      <w:r w:rsidRPr="00695941">
        <w:rPr>
          <w:rStyle w:val="StyleUnderline"/>
          <w:highlight w:val="yellow"/>
        </w:rPr>
        <w:t>solved by requiring</w:t>
      </w:r>
      <w:r w:rsidRPr="007D02C6">
        <w:rPr>
          <w:rStyle w:val="StyleUnderline"/>
        </w:rPr>
        <w:t xml:space="preserve"> that </w:t>
      </w:r>
      <w:r w:rsidRPr="00695941">
        <w:rPr>
          <w:rStyle w:val="StyleUnderline"/>
          <w:highlight w:val="yellow"/>
        </w:rPr>
        <w:t xml:space="preserve">we have the </w:t>
      </w:r>
      <w:r w:rsidRPr="00695941">
        <w:rPr>
          <w:rStyle w:val="Emphasis"/>
          <w:highlight w:val="yellow"/>
        </w:rPr>
        <w:t>intention</w:t>
      </w:r>
      <w:r w:rsidRPr="00695941">
        <w:rPr>
          <w:rStyle w:val="StyleUnderline"/>
          <w:highlight w:val="yellow"/>
        </w:rPr>
        <w:t xml:space="preserve"> to possess</w:t>
      </w:r>
      <w:r w:rsidRPr="007D02C6">
        <w:rPr>
          <w:rStyle w:val="StyleUnderline"/>
        </w:rPr>
        <w:t xml:space="preserve"> the thing</w:t>
      </w:r>
      <w:r w:rsidRPr="00695941">
        <w:rPr>
          <w:sz w:val="16"/>
        </w:rPr>
        <w:t xml:space="preserve">. </w:t>
      </w:r>
      <w:r w:rsidRPr="007D02C6">
        <w:rPr>
          <w:rStyle w:val="StyleUnderline"/>
        </w:rPr>
        <w:t>This</w:t>
      </w:r>
      <w:r w:rsidRPr="00695941">
        <w:rPr>
          <w:sz w:val="16"/>
        </w:rPr>
        <w:t xml:space="preserve"> solution, again, </w:t>
      </w:r>
      <w:r w:rsidRPr="007D02C6">
        <w:rPr>
          <w:rStyle w:val="Emphasis"/>
        </w:rPr>
        <w:t>sweeps too broadly</w:t>
      </w:r>
      <w:r w:rsidRPr="00695941">
        <w:rPr>
          <w:sz w:val="16"/>
        </w:rPr>
        <w:t xml:space="preserve"> </w:t>
      </w:r>
      <w:r w:rsidRPr="007D02C6">
        <w:rPr>
          <w:rStyle w:val="StyleUnderline"/>
        </w:rPr>
        <w:t xml:space="preserve">and makes </w:t>
      </w:r>
      <w:r w:rsidRPr="007D02C6">
        <w:rPr>
          <w:rStyle w:val="Emphasis"/>
        </w:rPr>
        <w:t>anything</w:t>
      </w:r>
      <w:r w:rsidRPr="00695941">
        <w:rPr>
          <w:sz w:val="16"/>
        </w:rPr>
        <w:t xml:space="preserve"> that </w:t>
      </w:r>
      <w:r w:rsidRPr="007D02C6">
        <w:rPr>
          <w:rStyle w:val="Emphasis"/>
        </w:rPr>
        <w:t>we are near</w:t>
      </w:r>
      <w:r w:rsidRPr="00695941">
        <w:rPr>
          <w:sz w:val="16"/>
        </w:rPr>
        <w:t xml:space="preserve"> and want to possess </w:t>
      </w:r>
      <w:r w:rsidRPr="007D02C6">
        <w:rPr>
          <w:rStyle w:val="StyleUnderline"/>
        </w:rPr>
        <w:t>somehow “in our possession.”</w:t>
      </w:r>
      <w:r w:rsidRPr="00695941">
        <w:rPr>
          <w:sz w:val="16"/>
        </w:rPr>
        <w:t xml:space="preserve"> These are the dangers that Judge Mannheimer was rightly concerned about. </w:t>
      </w:r>
    </w:p>
    <w:p w14:paraId="73C11EDD" w14:textId="77777777" w:rsidR="008003CA" w:rsidRPr="00695941" w:rsidRDefault="008003CA" w:rsidP="008003CA">
      <w:pPr>
        <w:rPr>
          <w:sz w:val="16"/>
        </w:rPr>
      </w:pPr>
      <w:r w:rsidRPr="00695941">
        <w:rPr>
          <w:rStyle w:val="StyleUnderline"/>
          <w:highlight w:val="yellow"/>
        </w:rPr>
        <w:t>This is why</w:t>
      </w:r>
      <w:r w:rsidRPr="005F6D1B">
        <w:rPr>
          <w:rStyle w:val="StyleUnderline"/>
        </w:rPr>
        <w:t xml:space="preserve"> the paradigm case</w:t>
      </w:r>
      <w:r w:rsidRPr="007D02C6">
        <w:rPr>
          <w:rStyle w:val="StyleUnderline"/>
        </w:rPr>
        <w:t xml:space="preserve"> of </w:t>
      </w:r>
      <w:r w:rsidRPr="005F6D1B">
        <w:rPr>
          <w:rStyle w:val="StyleUnderline"/>
          <w:highlight w:val="yellow"/>
        </w:rPr>
        <w:t xml:space="preserve">constructive possession is having </w:t>
      </w:r>
      <w:r w:rsidRPr="00695941">
        <w:rPr>
          <w:rStyle w:val="StyleUnderline"/>
          <w:highlight w:val="yellow"/>
        </w:rPr>
        <w:t xml:space="preserve">a </w:t>
      </w:r>
      <w:r w:rsidRPr="00695941">
        <w:rPr>
          <w:rStyle w:val="Emphasis"/>
          <w:highlight w:val="yellow"/>
        </w:rPr>
        <w:t>legal right to something</w:t>
      </w:r>
      <w:r w:rsidRPr="00695941">
        <w:rPr>
          <w:sz w:val="16"/>
        </w:rPr>
        <w:t xml:space="preserve">. </w:t>
      </w:r>
      <w:r w:rsidRPr="007D02C6">
        <w:rPr>
          <w:rStyle w:val="StyleUnderline"/>
        </w:rPr>
        <w:t>If I legally own something, I possess it, even before I ever physically lay hold of it</w:t>
      </w:r>
      <w:r w:rsidRPr="00695941">
        <w:rPr>
          <w:sz w:val="16"/>
        </w:rPr>
        <w:t xml:space="preserve"> (</w:t>
      </w:r>
      <w:r w:rsidRPr="007D02C6">
        <w:rPr>
          <w:rStyle w:val="StyleUnderline"/>
        </w:rPr>
        <w:t xml:space="preserve">and indeed, </w:t>
      </w:r>
      <w:r w:rsidRPr="007D02C6">
        <w:rPr>
          <w:rStyle w:val="Emphasis"/>
        </w:rPr>
        <w:t>even if I never do</w:t>
      </w:r>
      <w:r w:rsidRPr="00695941">
        <w:rPr>
          <w:sz w:val="16"/>
        </w:rPr>
        <w:t xml:space="preserve">). </w:t>
      </w:r>
      <w:r w:rsidRPr="005F6D1B">
        <w:rPr>
          <w:rStyle w:val="StyleUnderline"/>
        </w:rPr>
        <w:t xml:space="preserve">Exercising </w:t>
      </w:r>
      <w:r w:rsidRPr="005F6D1B">
        <w:rPr>
          <w:rStyle w:val="Emphasis"/>
        </w:rPr>
        <w:t>dominion</w:t>
      </w:r>
      <w:r w:rsidRPr="005F6D1B">
        <w:rPr>
          <w:sz w:val="16"/>
        </w:rPr>
        <w:t xml:space="preserve"> </w:t>
      </w:r>
      <w:r w:rsidRPr="005F6D1B">
        <w:rPr>
          <w:rStyle w:val="StyleUnderline"/>
        </w:rPr>
        <w:t>comes close</w:t>
      </w:r>
      <w:r w:rsidRPr="005F6D1B">
        <w:rPr>
          <w:sz w:val="16"/>
        </w:rPr>
        <w:t xml:space="preserve"> to this idea, </w:t>
      </w:r>
      <w:r w:rsidRPr="005F6D1B">
        <w:rPr>
          <w:rStyle w:val="StyleUnderline"/>
        </w:rPr>
        <w:t>but</w:t>
      </w:r>
      <w:r w:rsidRPr="005F6D1B">
        <w:rPr>
          <w:sz w:val="16"/>
        </w:rPr>
        <w:t xml:space="preserve"> the phrasing </w:t>
      </w:r>
      <w:r w:rsidRPr="005F6D1B">
        <w:rPr>
          <w:rStyle w:val="StyleUnderline"/>
        </w:rPr>
        <w:t>is</w:t>
      </w:r>
      <w:r w:rsidRPr="005F6D1B">
        <w:rPr>
          <w:sz w:val="16"/>
        </w:rPr>
        <w:t xml:space="preserve"> </w:t>
      </w:r>
      <w:r w:rsidRPr="005F6D1B">
        <w:rPr>
          <w:rStyle w:val="Emphasis"/>
        </w:rPr>
        <w:t>archaic</w:t>
      </w:r>
      <w:r w:rsidRPr="005F6D1B">
        <w:rPr>
          <w:sz w:val="16"/>
        </w:rPr>
        <w:t xml:space="preserve">, </w:t>
      </w:r>
      <w:r w:rsidRPr="005F6D1B">
        <w:rPr>
          <w:rStyle w:val="StyleUnderline"/>
        </w:rPr>
        <w:t>and liable to</w:t>
      </w:r>
      <w:r w:rsidRPr="005F6D1B">
        <w:rPr>
          <w:sz w:val="16"/>
        </w:rPr>
        <w:t xml:space="preserve"> </w:t>
      </w:r>
      <w:r w:rsidRPr="005F6D1B">
        <w:rPr>
          <w:rStyle w:val="Emphasis"/>
        </w:rPr>
        <w:t>mislead</w:t>
      </w:r>
      <w:r w:rsidRPr="005F6D1B">
        <w:rPr>
          <w:sz w:val="16"/>
        </w:rPr>
        <w:t xml:space="preserve"> </w:t>
      </w:r>
      <w:r w:rsidRPr="005F6D1B">
        <w:rPr>
          <w:rStyle w:val="StyleUnderline"/>
        </w:rPr>
        <w:t>or</w:t>
      </w:r>
      <w:r w:rsidRPr="005F6D1B">
        <w:rPr>
          <w:sz w:val="16"/>
        </w:rPr>
        <w:t xml:space="preserve"> </w:t>
      </w:r>
      <w:r w:rsidRPr="005F6D1B">
        <w:rPr>
          <w:rStyle w:val="Emphasis"/>
        </w:rPr>
        <w:t>confuse</w:t>
      </w:r>
      <w:r w:rsidRPr="005F6D1B">
        <w:rPr>
          <w:sz w:val="16"/>
        </w:rPr>
        <w:t xml:space="preserve"> jurors, but the idea behind it is essential.97 </w:t>
      </w:r>
      <w:r w:rsidRPr="005F6D1B">
        <w:rPr>
          <w:rStyle w:val="StyleUnderline"/>
        </w:rPr>
        <w:t xml:space="preserve">In addition, there may be cases of constructive possession </w:t>
      </w:r>
      <w:r w:rsidRPr="005F6D1B">
        <w:rPr>
          <w:rStyle w:val="Emphasis"/>
        </w:rPr>
        <w:t>without</w:t>
      </w:r>
      <w:r w:rsidRPr="005F6D1B">
        <w:rPr>
          <w:rStyle w:val="StyleUnderline"/>
        </w:rPr>
        <w:t xml:space="preserve"> a legal right</w:t>
      </w:r>
      <w:r w:rsidRPr="005F6D1B">
        <w:rPr>
          <w:sz w:val="16"/>
        </w:rPr>
        <w:t>—I may have a sort of exclusive control over property or over a place where the property is, and this may suffice for constructive</w:t>
      </w:r>
      <w:r w:rsidRPr="00695941">
        <w:rPr>
          <w:sz w:val="16"/>
        </w:rPr>
        <w:t xml:space="preserve"> possession.98 </w:t>
      </w:r>
    </w:p>
    <w:p w14:paraId="52CA0948" w14:textId="77777777" w:rsidR="008003CA" w:rsidRPr="005634FE" w:rsidRDefault="008003CA" w:rsidP="008003CA">
      <w:pPr>
        <w:rPr>
          <w:sz w:val="16"/>
          <w:szCs w:val="16"/>
        </w:rPr>
      </w:pPr>
      <w:r w:rsidRPr="005634FE">
        <w:rPr>
          <w:sz w:val="16"/>
          <w:szCs w:val="16"/>
        </w:rPr>
        <w:t xml:space="preserve">The exact way to word constructive possession is thus elusive. We may want to use “power,” but even this has to be qualified, in such a way that having the power means the ability to maintain control and to reduce it to one’s possession. That is, we need to phrase “power over” something to be as close as possible to — and deliberately suggestive of — a legal right in an item, or a place where the item is, which “authority” comes closest to capturing. My suggestion, then, for a revised jury instruction would be something like the following: </w:t>
      </w:r>
    </w:p>
    <w:p w14:paraId="2BD2F8E2" w14:textId="77777777" w:rsidR="008003CA" w:rsidRPr="007D02C6" w:rsidRDefault="008003CA" w:rsidP="008003CA">
      <w:pPr>
        <w:rPr>
          <w:sz w:val="16"/>
        </w:rPr>
      </w:pPr>
      <w:r w:rsidRPr="007D02C6">
        <w:rPr>
          <w:rStyle w:val="StyleUnderline"/>
        </w:rPr>
        <w:t>The law recognizes</w:t>
      </w:r>
      <w:r w:rsidRPr="007D02C6">
        <w:rPr>
          <w:sz w:val="16"/>
        </w:rPr>
        <w:t xml:space="preserve"> two kinds of possession: </w:t>
      </w:r>
      <w:r w:rsidRPr="007D02C6">
        <w:rPr>
          <w:rStyle w:val="Emphasis"/>
        </w:rPr>
        <w:t>actual</w:t>
      </w:r>
      <w:r w:rsidRPr="007D02C6">
        <w:rPr>
          <w:sz w:val="16"/>
        </w:rPr>
        <w:t xml:space="preserve"> possession </w:t>
      </w:r>
      <w:r w:rsidRPr="007D02C6">
        <w:rPr>
          <w:rStyle w:val="StyleUnderline"/>
        </w:rPr>
        <w:t>and</w:t>
      </w:r>
      <w:r w:rsidRPr="007D02C6">
        <w:rPr>
          <w:sz w:val="16"/>
        </w:rPr>
        <w:t xml:space="preserve"> </w:t>
      </w:r>
      <w:r w:rsidRPr="007D02C6">
        <w:rPr>
          <w:rStyle w:val="Emphasis"/>
        </w:rPr>
        <w:t>constructive possession</w:t>
      </w:r>
      <w:r w:rsidRPr="007D02C6">
        <w:rPr>
          <w:sz w:val="16"/>
        </w:rPr>
        <w:t xml:space="preserve">. </w:t>
      </w:r>
      <w:r w:rsidRPr="007D02C6">
        <w:rPr>
          <w:rStyle w:val="StyleUnderline"/>
        </w:rPr>
        <w:t xml:space="preserve">Actual possession means to have direct </w:t>
      </w:r>
      <w:r w:rsidRPr="007D02C6">
        <w:rPr>
          <w:rStyle w:val="Emphasis"/>
        </w:rPr>
        <w:t>physical control</w:t>
      </w:r>
      <w:r w:rsidRPr="007D02C6">
        <w:rPr>
          <w:sz w:val="16"/>
        </w:rPr>
        <w:t xml:space="preserve">, care, or management </w:t>
      </w:r>
      <w:r w:rsidRPr="007D02C6">
        <w:rPr>
          <w:rStyle w:val="StyleUnderline"/>
        </w:rPr>
        <w:t>of a thing</w:t>
      </w:r>
      <w:r w:rsidRPr="007D02C6">
        <w:rPr>
          <w:sz w:val="16"/>
        </w:rPr>
        <w:t xml:space="preserve">. Actual possession does not have to be current possession; it is enough for actual possession to show that the defendant recently had physical control, care, or management over the item. </w:t>
      </w:r>
    </w:p>
    <w:p w14:paraId="57A2B4E4" w14:textId="77777777" w:rsidR="008003CA" w:rsidRPr="007D02C6" w:rsidRDefault="008003CA" w:rsidP="008003CA">
      <w:pPr>
        <w:rPr>
          <w:sz w:val="16"/>
        </w:rPr>
      </w:pPr>
      <w:r w:rsidRPr="007D02C6">
        <w:rPr>
          <w:sz w:val="16"/>
        </w:rPr>
        <w:t xml:space="preserve">A person not in actual possession may have constructive possession of an item. </w:t>
      </w:r>
      <w:r w:rsidRPr="00695941">
        <w:rPr>
          <w:rStyle w:val="StyleUnderline"/>
          <w:highlight w:val="yellow"/>
        </w:rPr>
        <w:t>Constructive possession means</w:t>
      </w:r>
      <w:r w:rsidRPr="007D02C6">
        <w:rPr>
          <w:rStyle w:val="StyleUnderline"/>
        </w:rPr>
        <w:t xml:space="preserve"> to have</w:t>
      </w:r>
      <w:r w:rsidRPr="007D02C6">
        <w:rPr>
          <w:sz w:val="16"/>
        </w:rPr>
        <w:t xml:space="preserve"> ownership of an item, or power and </w:t>
      </w:r>
      <w:r w:rsidRPr="00695941">
        <w:rPr>
          <w:rStyle w:val="Emphasis"/>
          <w:highlight w:val="yellow"/>
        </w:rPr>
        <w:t>authority</w:t>
      </w:r>
      <w:r w:rsidRPr="00695941">
        <w:rPr>
          <w:sz w:val="16"/>
          <w:highlight w:val="yellow"/>
        </w:rPr>
        <w:t xml:space="preserve"> </w:t>
      </w:r>
      <w:r w:rsidRPr="00695941">
        <w:rPr>
          <w:rStyle w:val="StyleUnderline"/>
          <w:highlight w:val="yellow"/>
        </w:rPr>
        <w:t xml:space="preserve">over that </w:t>
      </w:r>
      <w:r w:rsidRPr="00432A2F">
        <w:rPr>
          <w:rStyle w:val="StyleUnderline"/>
          <w:highlight w:val="yellow"/>
        </w:rPr>
        <w:t>item</w:t>
      </w:r>
      <w:r w:rsidRPr="00432A2F">
        <w:rPr>
          <w:rStyle w:val="StyleUnderline"/>
        </w:rPr>
        <w:t xml:space="preserve"> or over a </w:t>
      </w:r>
      <w:r w:rsidRPr="00432A2F">
        <w:rPr>
          <w:rStyle w:val="Emphasis"/>
        </w:rPr>
        <w:t>place</w:t>
      </w:r>
      <w:r w:rsidRPr="00432A2F">
        <w:rPr>
          <w:rStyle w:val="StyleUnderline"/>
        </w:rPr>
        <w:t xml:space="preserve"> where that </w:t>
      </w:r>
      <w:r w:rsidRPr="00432A2F">
        <w:rPr>
          <w:rStyle w:val="Emphasis"/>
        </w:rPr>
        <w:t>item is</w:t>
      </w:r>
      <w:r w:rsidRPr="007D02C6">
        <w:rPr>
          <w:rStyle w:val="StyleUnderline"/>
        </w:rPr>
        <w:t xml:space="preserve"> such that one can</w:t>
      </w:r>
      <w:r w:rsidRPr="007D02C6">
        <w:rPr>
          <w:sz w:val="16"/>
        </w:rPr>
        <w:t xml:space="preserve"> without difficulty or opposition </w:t>
      </w:r>
      <w:r w:rsidRPr="007D02C6">
        <w:rPr>
          <w:rStyle w:val="StyleUnderline"/>
        </w:rPr>
        <w:t xml:space="preserve">reduce it to one’s </w:t>
      </w:r>
      <w:r w:rsidRPr="007D02C6">
        <w:rPr>
          <w:rStyle w:val="Emphasis"/>
        </w:rPr>
        <w:t>direct physical control</w:t>
      </w:r>
      <w:r w:rsidRPr="007D02C6">
        <w:rPr>
          <w:sz w:val="16"/>
        </w:rPr>
        <w:t xml:space="preserve">.99 </w:t>
      </w:r>
    </w:p>
    <w:p w14:paraId="180270E9" w14:textId="77777777" w:rsidR="008003CA" w:rsidRDefault="008003CA" w:rsidP="008003CA">
      <w:pPr>
        <w:rPr>
          <w:sz w:val="16"/>
        </w:rPr>
      </w:pPr>
      <w:r w:rsidRPr="00695941">
        <w:rPr>
          <w:sz w:val="16"/>
        </w:rPr>
        <w:t xml:space="preserve">What </w:t>
      </w:r>
      <w:r w:rsidRPr="00432A2F">
        <w:rPr>
          <w:rStyle w:val="StyleUnderline"/>
          <w:highlight w:val="yellow"/>
        </w:rPr>
        <w:t>these</w:t>
      </w:r>
      <w:r w:rsidRPr="00695941">
        <w:rPr>
          <w:rStyle w:val="StyleUnderline"/>
        </w:rPr>
        <w:t xml:space="preserve"> instructions</w:t>
      </w:r>
      <w:r w:rsidRPr="00695941">
        <w:rPr>
          <w:sz w:val="16"/>
        </w:rPr>
        <w:t xml:space="preserve"> attempt to do is to </w:t>
      </w:r>
      <w:r w:rsidRPr="00432A2F">
        <w:rPr>
          <w:rStyle w:val="Emphasis"/>
          <w:highlight w:val="yellow"/>
        </w:rPr>
        <w:t>remove</w:t>
      </w:r>
      <w:r w:rsidRPr="00695941">
        <w:rPr>
          <w:sz w:val="16"/>
        </w:rPr>
        <w:t xml:space="preserve"> the </w:t>
      </w:r>
      <w:r w:rsidRPr="00432A2F">
        <w:rPr>
          <w:rStyle w:val="Emphasis"/>
          <w:highlight w:val="yellow"/>
        </w:rPr>
        <w:t>ambiguities</w:t>
      </w:r>
      <w:r w:rsidRPr="00695941">
        <w:rPr>
          <w:sz w:val="16"/>
        </w:rPr>
        <w:t xml:space="preserve"> from the current instruction </w:t>
      </w:r>
      <w:r w:rsidRPr="00432A2F">
        <w:rPr>
          <w:rStyle w:val="StyleUnderline"/>
          <w:highlight w:val="yellow"/>
        </w:rPr>
        <w:t>that</w:t>
      </w:r>
      <w:r w:rsidRPr="00695941">
        <w:rPr>
          <w:sz w:val="16"/>
        </w:rPr>
        <w:t xml:space="preserve"> might </w:t>
      </w:r>
      <w:r w:rsidRPr="005F6D1B">
        <w:rPr>
          <w:rStyle w:val="StyleUnderline"/>
        </w:rPr>
        <w:t xml:space="preserve">lead juries to </w:t>
      </w:r>
      <w:r w:rsidRPr="00432A2F">
        <w:rPr>
          <w:rStyle w:val="StyleUnderline"/>
          <w:highlight w:val="yellow"/>
        </w:rPr>
        <w:t>interpret “possession”</w:t>
      </w:r>
      <w:r w:rsidRPr="00695941">
        <w:rPr>
          <w:sz w:val="16"/>
        </w:rPr>
        <w:t xml:space="preserve"> either </w:t>
      </w:r>
      <w:r w:rsidRPr="00432A2F">
        <w:rPr>
          <w:rStyle w:val="Emphasis"/>
          <w:highlight w:val="yellow"/>
        </w:rPr>
        <w:t>more narrowly</w:t>
      </w:r>
      <w:r w:rsidRPr="00695941">
        <w:rPr>
          <w:sz w:val="16"/>
        </w:rPr>
        <w:t xml:space="preserve"> or more broadly </w:t>
      </w:r>
      <w:r w:rsidRPr="00432A2F">
        <w:rPr>
          <w:rStyle w:val="StyleUnderline"/>
          <w:highlight w:val="yellow"/>
        </w:rPr>
        <w:t>than</w:t>
      </w:r>
      <w:r w:rsidRPr="00695941">
        <w:rPr>
          <w:rStyle w:val="StyleUnderline"/>
        </w:rPr>
        <w:t xml:space="preserve"> the </w:t>
      </w:r>
      <w:r w:rsidRPr="00432A2F">
        <w:rPr>
          <w:rStyle w:val="StyleUnderline"/>
          <w:highlight w:val="yellow"/>
        </w:rPr>
        <w:t>law intends</w:t>
      </w:r>
      <w:r w:rsidRPr="00695941">
        <w:rPr>
          <w:sz w:val="16"/>
        </w:rPr>
        <w:t xml:space="preserve">. Actual possession need not only be present; it can also be past. </w:t>
      </w:r>
      <w:r w:rsidRPr="00432A2F">
        <w:rPr>
          <w:rStyle w:val="StyleUnderline"/>
          <w:highlight w:val="yellow"/>
        </w:rPr>
        <w:t xml:space="preserve">Constructive possession does </w:t>
      </w:r>
      <w:r w:rsidRPr="00432A2F">
        <w:rPr>
          <w:rStyle w:val="Emphasis"/>
          <w:highlight w:val="yellow"/>
        </w:rPr>
        <w:t>not merely mean</w:t>
      </w:r>
      <w:r w:rsidRPr="00695941">
        <w:rPr>
          <w:rStyle w:val="StyleUnderline"/>
        </w:rPr>
        <w:t xml:space="preserve"> having the </w:t>
      </w:r>
      <w:r w:rsidRPr="00695941">
        <w:rPr>
          <w:rStyle w:val="Emphasis"/>
        </w:rPr>
        <w:t xml:space="preserve">power </w:t>
      </w:r>
      <w:r w:rsidRPr="00432A2F">
        <w:rPr>
          <w:rStyle w:val="Emphasis"/>
          <w:highlight w:val="yellow"/>
        </w:rPr>
        <w:t>to</w:t>
      </w:r>
      <w:r w:rsidRPr="00695941">
        <w:rPr>
          <w:rStyle w:val="Emphasis"/>
        </w:rPr>
        <w:t xml:space="preserve"> potentially </w:t>
      </w:r>
      <w:r w:rsidRPr="00432A2F">
        <w:rPr>
          <w:rStyle w:val="Emphasis"/>
          <w:highlight w:val="yellow"/>
        </w:rPr>
        <w:t>physically possess</w:t>
      </w:r>
      <w:r w:rsidRPr="005F6D1B">
        <w:rPr>
          <w:sz w:val="16"/>
          <w:szCs w:val="16"/>
        </w:rPr>
        <w:t xml:space="preserve"> </w:t>
      </w:r>
      <w:r w:rsidRPr="005F6D1B">
        <w:rPr>
          <w:rStyle w:val="StyleUnderline"/>
        </w:rPr>
        <w:t>an item</w:t>
      </w:r>
      <w:r w:rsidRPr="005F6D1B">
        <w:rPr>
          <w:sz w:val="16"/>
          <w:szCs w:val="16"/>
        </w:rPr>
        <w:t>, but neither does it only mean having a legal right to a thing</w:t>
      </w:r>
      <w:r w:rsidRPr="00695941">
        <w:rPr>
          <w:sz w:val="16"/>
        </w:rPr>
        <w:t>. Undoubtedly, improvements to these instructions on possession can be made, but if courts and litigators are to take Dirks and Alex seriously, then it is desirable that some changes be made. Here I have only tried to flesh out Judge Mannheimer’s worries, add some of my own, and to suggest a way forward in addressing them.</w:t>
      </w:r>
    </w:p>
    <w:p w14:paraId="30B26B91" w14:textId="77777777" w:rsidR="008003CA" w:rsidRDefault="008003CA" w:rsidP="008003CA">
      <w:pPr>
        <w:rPr>
          <w:sz w:val="16"/>
        </w:rPr>
      </w:pPr>
    </w:p>
    <w:p w14:paraId="47D57A1C" w14:textId="77777777" w:rsidR="008003CA" w:rsidRDefault="008003CA" w:rsidP="008003CA">
      <w:pPr>
        <w:pStyle w:val="Heading4"/>
      </w:pPr>
      <w:r>
        <w:t xml:space="preserve">The actor must have </w:t>
      </w:r>
      <w:r w:rsidRPr="001A6E0D">
        <w:rPr>
          <w:u w:val="single"/>
        </w:rPr>
        <w:t>legal authority</w:t>
      </w:r>
      <w:r>
        <w:t xml:space="preserve"> to </w:t>
      </w:r>
      <w:r w:rsidRPr="005F6D1B">
        <w:t>physically possess</w:t>
      </w:r>
      <w:r>
        <w:t xml:space="preserve"> the object in the </w:t>
      </w:r>
      <w:r w:rsidRPr="001A6E0D">
        <w:rPr>
          <w:u w:val="single"/>
        </w:rPr>
        <w:t>future</w:t>
      </w:r>
      <w:r>
        <w:t>.</w:t>
      </w:r>
    </w:p>
    <w:p w14:paraId="63BA553E" w14:textId="77777777" w:rsidR="008003CA" w:rsidRPr="00432A2F" w:rsidRDefault="008003CA" w:rsidP="008003CA">
      <w:r w:rsidRPr="008F77FC">
        <w:rPr>
          <w:rStyle w:val="Style13ptBold"/>
        </w:rPr>
        <w:t>Flanders 19</w:t>
      </w:r>
      <w:r>
        <w:t xml:space="preserve">. Chad Flanders, M.A., Ph.D. in Philosophy, University of Chicago, and J.D., Yale Law. </w:t>
      </w:r>
      <w:r w:rsidRPr="008F77FC">
        <w:t>2019</w:t>
      </w:r>
      <w:r>
        <w:t xml:space="preserve">. </w:t>
      </w:r>
      <w:r w:rsidRPr="008F77FC">
        <w:t>“</w:t>
      </w:r>
      <w:r>
        <w:t>’</w:t>
      </w:r>
      <w:r w:rsidRPr="008F77FC">
        <w:t>Actual</w:t>
      </w:r>
      <w:r>
        <w:t>’</w:t>
      </w:r>
      <w:r w:rsidRPr="008F77FC">
        <w:t xml:space="preserve"> and </w:t>
      </w:r>
      <w:r>
        <w:t>‘</w:t>
      </w:r>
      <w:r w:rsidRPr="008F77FC">
        <w:t>Constructive</w:t>
      </w:r>
      <w:r>
        <w:t>’</w:t>
      </w:r>
      <w:r w:rsidRPr="008F77FC">
        <w:t xml:space="preserve"> Possession in Alaska: Clarifying the Doctrine</w:t>
      </w:r>
      <w:r>
        <w:t>.”</w:t>
      </w:r>
      <w:r w:rsidRPr="008F77FC">
        <w:t xml:space="preserve"> 36 </w:t>
      </w:r>
      <w:r w:rsidRPr="008F77FC">
        <w:rPr>
          <w:i/>
          <w:iCs/>
        </w:rPr>
        <w:t>Alaska Law Review</w:t>
      </w:r>
      <w:r w:rsidRPr="008F77FC">
        <w:t> </w:t>
      </w:r>
      <w:r>
        <w:t>p.1-22, a</w:t>
      </w:r>
      <w:r w:rsidRPr="008F77FC">
        <w:t xml:space="preserve">vailable at: </w:t>
      </w:r>
      <w:hyperlink r:id="rId13" w:history="1">
        <w:r w:rsidRPr="00317E37">
          <w:rPr>
            <w:rStyle w:val="Hyperlink"/>
          </w:rPr>
          <w:t>https://scholarship.law.duke.edu/alr/vol36/iss1/2</w:t>
        </w:r>
      </w:hyperlink>
      <w:r>
        <w:t>. TDI</w:t>
      </w:r>
    </w:p>
    <w:p w14:paraId="7E6519E4" w14:textId="77777777" w:rsidR="008003CA" w:rsidRPr="001A6E0D" w:rsidRDefault="008003CA" w:rsidP="008003CA">
      <w:pPr>
        <w:rPr>
          <w:sz w:val="16"/>
          <w:szCs w:val="16"/>
        </w:rPr>
      </w:pPr>
      <w:r w:rsidRPr="001A6E0D">
        <w:rPr>
          <w:sz w:val="16"/>
          <w:szCs w:val="16"/>
        </w:rPr>
        <w:t xml:space="preserve">IV. CONSTRUCTIVE POSSESSION </w:t>
      </w:r>
    </w:p>
    <w:p w14:paraId="079F2F07" w14:textId="77777777" w:rsidR="008003CA" w:rsidRPr="001A6E0D" w:rsidRDefault="008003CA" w:rsidP="008003CA">
      <w:pPr>
        <w:rPr>
          <w:sz w:val="16"/>
        </w:rPr>
      </w:pPr>
      <w:r w:rsidRPr="001A6E0D">
        <w:rPr>
          <w:rStyle w:val="StyleUnderline"/>
          <w:highlight w:val="yellow"/>
        </w:rPr>
        <w:t>If</w:t>
      </w:r>
      <w:r w:rsidRPr="00432A2F">
        <w:rPr>
          <w:rStyle w:val="StyleUnderline"/>
        </w:rPr>
        <w:t xml:space="preserve"> most possession cases involve </w:t>
      </w:r>
      <w:r w:rsidRPr="001A6E0D">
        <w:rPr>
          <w:rStyle w:val="StyleUnderline"/>
          <w:highlight w:val="yellow"/>
        </w:rPr>
        <w:t>actual possession</w:t>
      </w:r>
      <w:r w:rsidRPr="001A6E0D">
        <w:rPr>
          <w:sz w:val="16"/>
        </w:rPr>
        <w:t xml:space="preserve"> — either </w:t>
      </w:r>
      <w:r w:rsidRPr="00432A2F">
        <w:rPr>
          <w:rStyle w:val="StyleUnderline"/>
        </w:rPr>
        <w:t xml:space="preserve">because the person </w:t>
      </w:r>
      <w:r w:rsidRPr="001A6E0D">
        <w:rPr>
          <w:rStyle w:val="StyleUnderline"/>
          <w:highlight w:val="yellow"/>
        </w:rPr>
        <w:t>is</w:t>
      </w:r>
      <w:r w:rsidRPr="00432A2F">
        <w:rPr>
          <w:rStyle w:val="StyleUnderline"/>
        </w:rPr>
        <w:t xml:space="preserve"> in </w:t>
      </w:r>
      <w:r w:rsidRPr="001A6E0D">
        <w:rPr>
          <w:rStyle w:val="Emphasis"/>
          <w:highlight w:val="yellow"/>
        </w:rPr>
        <w:t>physical control</w:t>
      </w:r>
      <w:r w:rsidRPr="001A6E0D">
        <w:rPr>
          <w:sz w:val="16"/>
        </w:rPr>
        <w:t xml:space="preserve"> or because there is a reasonable inference that the person had physical control at one time — </w:t>
      </w:r>
      <w:r w:rsidRPr="00432A2F">
        <w:rPr>
          <w:rStyle w:val="StyleUnderline"/>
        </w:rPr>
        <w:t xml:space="preserve">then </w:t>
      </w:r>
      <w:r w:rsidRPr="001A6E0D">
        <w:rPr>
          <w:rStyle w:val="StyleUnderline"/>
        </w:rPr>
        <w:t>what constitutes constructive possession?</w:t>
      </w:r>
      <w:r w:rsidRPr="001A6E0D">
        <w:rPr>
          <w:sz w:val="16"/>
        </w:rPr>
        <w:t xml:space="preserve"> Here, we turn to the third example from Section I, which is a true case of constructive possession. </w:t>
      </w:r>
      <w:r w:rsidRPr="001A6E0D">
        <w:rPr>
          <w:rStyle w:val="StyleUnderline"/>
          <w:highlight w:val="yellow"/>
        </w:rPr>
        <w:t>A</w:t>
      </w:r>
      <w:r w:rsidRPr="00432A2F">
        <w:rPr>
          <w:rStyle w:val="StyleUnderline"/>
        </w:rPr>
        <w:t xml:space="preserve"> </w:t>
      </w:r>
      <w:r w:rsidRPr="001A6E0D">
        <w:rPr>
          <w:rStyle w:val="StyleUnderline"/>
          <w:highlight w:val="yellow"/>
        </w:rPr>
        <w:t>person</w:t>
      </w:r>
      <w:r w:rsidRPr="001A6E0D">
        <w:rPr>
          <w:sz w:val="16"/>
        </w:rPr>
        <w:t xml:space="preserve"> may </w:t>
      </w:r>
      <w:r w:rsidRPr="001A6E0D">
        <w:rPr>
          <w:rStyle w:val="StyleUnderline"/>
          <w:highlight w:val="yellow"/>
        </w:rPr>
        <w:t xml:space="preserve">have something </w:t>
      </w:r>
      <w:r w:rsidRPr="001A6E0D">
        <w:rPr>
          <w:rStyle w:val="Emphasis"/>
          <w:highlight w:val="yellow"/>
        </w:rPr>
        <w:t>akin</w:t>
      </w:r>
      <w:r w:rsidRPr="001A6E0D">
        <w:rPr>
          <w:rStyle w:val="StyleUnderline"/>
          <w:highlight w:val="yellow"/>
        </w:rPr>
        <w:t xml:space="preserve"> to a </w:t>
      </w:r>
      <w:r w:rsidRPr="001A6E0D">
        <w:rPr>
          <w:rStyle w:val="Emphasis"/>
          <w:highlight w:val="yellow"/>
        </w:rPr>
        <w:t>legal right</w:t>
      </w:r>
      <w:r w:rsidRPr="001A6E0D">
        <w:rPr>
          <w:sz w:val="16"/>
        </w:rPr>
        <w:t xml:space="preserve"> </w:t>
      </w:r>
      <w:r w:rsidRPr="001A6E0D">
        <w:rPr>
          <w:rStyle w:val="StyleUnderline"/>
          <w:highlight w:val="yellow"/>
        </w:rPr>
        <w:t>to the item</w:t>
      </w:r>
      <w:r w:rsidRPr="001A6E0D">
        <w:rPr>
          <w:sz w:val="16"/>
        </w:rPr>
        <w:t xml:space="preserve"> itself </w:t>
      </w:r>
      <w:r w:rsidRPr="00432A2F">
        <w:rPr>
          <w:rStyle w:val="StyleUnderline"/>
        </w:rPr>
        <w:t>or</w:t>
      </w:r>
      <w:r w:rsidRPr="001A6E0D">
        <w:rPr>
          <w:sz w:val="16"/>
        </w:rPr>
        <w:t xml:space="preserve"> have </w:t>
      </w:r>
      <w:r w:rsidRPr="00432A2F">
        <w:rPr>
          <w:rStyle w:val="StyleUnderline"/>
        </w:rPr>
        <w:t>a</w:t>
      </w:r>
      <w:r w:rsidRPr="001A6E0D">
        <w:rPr>
          <w:sz w:val="16"/>
        </w:rPr>
        <w:t xml:space="preserve"> </w:t>
      </w:r>
      <w:r w:rsidRPr="00432A2F">
        <w:rPr>
          <w:rStyle w:val="StyleUnderline"/>
        </w:rPr>
        <w:t xml:space="preserve">right to </w:t>
      </w:r>
      <w:r w:rsidRPr="00432A2F">
        <w:rPr>
          <w:rStyle w:val="Emphasis"/>
        </w:rPr>
        <w:t>access the place</w:t>
      </w:r>
      <w:r w:rsidRPr="00432A2F">
        <w:rPr>
          <w:rStyle w:val="StyleUnderline"/>
        </w:rPr>
        <w:t xml:space="preserve"> where the item is stored</w:t>
      </w:r>
      <w:r w:rsidRPr="001A6E0D">
        <w:rPr>
          <w:sz w:val="16"/>
        </w:rPr>
        <w:t xml:space="preserve">. </w:t>
      </w:r>
      <w:r w:rsidRPr="001A6E0D">
        <w:rPr>
          <w:rStyle w:val="StyleUnderline"/>
          <w:highlight w:val="yellow"/>
        </w:rPr>
        <w:t>That</w:t>
      </w:r>
      <w:r w:rsidRPr="00432A2F">
        <w:rPr>
          <w:rStyle w:val="StyleUnderline"/>
        </w:rPr>
        <w:t xml:space="preserve"> will </w:t>
      </w:r>
      <w:r w:rsidRPr="001A6E0D">
        <w:rPr>
          <w:rStyle w:val="Emphasis"/>
          <w:highlight w:val="yellow"/>
        </w:rPr>
        <w:t>amount to possession</w:t>
      </w:r>
      <w:r w:rsidRPr="001A6E0D">
        <w:rPr>
          <w:sz w:val="16"/>
        </w:rPr>
        <w:t xml:space="preserve"> of the item, </w:t>
      </w:r>
      <w:r w:rsidRPr="001A6E0D">
        <w:rPr>
          <w:rStyle w:val="StyleUnderline"/>
          <w:highlight w:val="yellow"/>
        </w:rPr>
        <w:t>even if the person</w:t>
      </w:r>
      <w:r w:rsidRPr="001A6E0D">
        <w:rPr>
          <w:rStyle w:val="StyleUnderline"/>
        </w:rPr>
        <w:t xml:space="preserve"> has </w:t>
      </w:r>
      <w:r w:rsidRPr="001A6E0D">
        <w:rPr>
          <w:rStyle w:val="StyleUnderline"/>
          <w:highlight w:val="yellow"/>
        </w:rPr>
        <w:t>never touched the item</w:t>
      </w:r>
      <w:r w:rsidRPr="001A6E0D">
        <w:rPr>
          <w:rStyle w:val="StyleUnderline"/>
        </w:rPr>
        <w:t xml:space="preserve"> in the past</w:t>
      </w:r>
      <w:r w:rsidRPr="001A6E0D">
        <w:t xml:space="preserve"> </w:t>
      </w:r>
      <w:r w:rsidRPr="005F6D1B">
        <w:rPr>
          <w:sz w:val="16"/>
          <w:szCs w:val="16"/>
        </w:rPr>
        <w:t>or may never be able to touch it in the future</w:t>
      </w:r>
      <w:r w:rsidRPr="005F6D1B">
        <w:rPr>
          <w:rStyle w:val="StyleUnderline"/>
          <w:sz w:val="16"/>
          <w:szCs w:val="16"/>
        </w:rPr>
        <w:t>,</w:t>
      </w:r>
      <w:r w:rsidRPr="001A6E0D">
        <w:rPr>
          <w:sz w:val="16"/>
        </w:rPr>
        <w:t xml:space="preserve"> e.g., because he is apprehended before he can access the item. Such possession in this case is “constructive,” in the sense that we are imputing possession in the absence of any physical contact with the item. </w:t>
      </w:r>
    </w:p>
    <w:p w14:paraId="00DBC1F0" w14:textId="77777777" w:rsidR="008003CA" w:rsidRPr="001A6E0D" w:rsidRDefault="008003CA" w:rsidP="008003CA">
      <w:pPr>
        <w:rPr>
          <w:sz w:val="16"/>
        </w:rPr>
      </w:pPr>
      <w:r w:rsidRPr="001A6E0D">
        <w:rPr>
          <w:rStyle w:val="StyleUnderline"/>
        </w:rPr>
        <w:t xml:space="preserve">When we look at constructive possession this way, we have something </w:t>
      </w:r>
      <w:r w:rsidRPr="001A6E0D">
        <w:rPr>
          <w:rStyle w:val="Emphasis"/>
        </w:rPr>
        <w:t>genuinely distinct from</w:t>
      </w:r>
      <w:r w:rsidRPr="001A6E0D">
        <w:rPr>
          <w:sz w:val="16"/>
        </w:rPr>
        <w:t xml:space="preserve"> either present </w:t>
      </w:r>
      <w:r w:rsidRPr="001A6E0D">
        <w:rPr>
          <w:rStyle w:val="Emphasis"/>
        </w:rPr>
        <w:t>physical possession</w:t>
      </w:r>
      <w:r w:rsidRPr="001A6E0D">
        <w:rPr>
          <w:sz w:val="16"/>
        </w:rPr>
        <w:t xml:space="preserve"> or past physical possession, </w:t>
      </w:r>
      <w:r w:rsidRPr="001A6E0D">
        <w:rPr>
          <w:rStyle w:val="StyleUnderline"/>
        </w:rPr>
        <w:t xml:space="preserve">so it would be </w:t>
      </w:r>
      <w:r w:rsidRPr="001A6E0D">
        <w:rPr>
          <w:rStyle w:val="Emphasis"/>
        </w:rPr>
        <w:t>wrong</w:t>
      </w:r>
      <w:r w:rsidRPr="001A6E0D">
        <w:rPr>
          <w:rStyle w:val="StyleUnderline"/>
        </w:rPr>
        <w:t xml:space="preserve"> to view constructive possession as </w:t>
      </w:r>
      <w:r w:rsidRPr="001A6E0D">
        <w:rPr>
          <w:rStyle w:val="Emphasis"/>
        </w:rPr>
        <w:t>on a continuum</w:t>
      </w:r>
      <w:r w:rsidRPr="001A6E0D">
        <w:rPr>
          <w:rStyle w:val="StyleUnderline"/>
        </w:rPr>
        <w:t xml:space="preserve"> with actual possession, as if the two concepts might shade into one another</w:t>
      </w:r>
      <w:r w:rsidRPr="001A6E0D">
        <w:rPr>
          <w:sz w:val="16"/>
        </w:rPr>
        <w:t xml:space="preserve">.73 </w:t>
      </w:r>
      <w:r w:rsidRPr="001A6E0D">
        <w:rPr>
          <w:rStyle w:val="Emphasis"/>
          <w:highlight w:val="yellow"/>
        </w:rPr>
        <w:t>Constructive possession is</w:t>
      </w:r>
      <w:r w:rsidRPr="001A6E0D">
        <w:rPr>
          <w:sz w:val="16"/>
        </w:rPr>
        <w:t xml:space="preserve"> a </w:t>
      </w:r>
      <w:r w:rsidRPr="001A6E0D">
        <w:rPr>
          <w:rStyle w:val="Emphasis"/>
          <w:highlight w:val="yellow"/>
        </w:rPr>
        <w:t>distinct</w:t>
      </w:r>
      <w:r w:rsidRPr="001A6E0D">
        <w:rPr>
          <w:sz w:val="16"/>
        </w:rPr>
        <w:t xml:space="preserve"> kind of possession. </w:t>
      </w:r>
      <w:r w:rsidRPr="001A6E0D">
        <w:rPr>
          <w:rStyle w:val="StyleUnderline"/>
          <w:highlight w:val="yellow"/>
        </w:rPr>
        <w:t>It points</w:t>
      </w:r>
      <w:r w:rsidRPr="001A6E0D">
        <w:rPr>
          <w:sz w:val="16"/>
        </w:rPr>
        <w:t xml:space="preserve">, at best, </w:t>
      </w:r>
      <w:r w:rsidRPr="001A6E0D">
        <w:rPr>
          <w:rStyle w:val="StyleUnderline"/>
          <w:highlight w:val="yellow"/>
        </w:rPr>
        <w:t>to</w:t>
      </w:r>
      <w:r w:rsidRPr="001A6E0D">
        <w:rPr>
          <w:rStyle w:val="StyleUnderline"/>
        </w:rPr>
        <w:t xml:space="preserve"> something </w:t>
      </w:r>
      <w:r w:rsidRPr="001A6E0D">
        <w:rPr>
          <w:rStyle w:val="Emphasis"/>
        </w:rPr>
        <w:t xml:space="preserve">more like </w:t>
      </w:r>
      <w:r w:rsidRPr="001A6E0D">
        <w:rPr>
          <w:rStyle w:val="Emphasis"/>
          <w:highlight w:val="yellow"/>
        </w:rPr>
        <w:t>future actual possession</w:t>
      </w:r>
      <w:r w:rsidRPr="001A6E0D">
        <w:rPr>
          <w:sz w:val="16"/>
        </w:rPr>
        <w:t xml:space="preserve">, </w:t>
      </w:r>
      <w:r w:rsidRPr="001A6E0D">
        <w:rPr>
          <w:rStyle w:val="StyleUnderline"/>
        </w:rPr>
        <w:t xml:space="preserve">although it is </w:t>
      </w:r>
      <w:r w:rsidRPr="001A6E0D">
        <w:rPr>
          <w:rStyle w:val="Emphasis"/>
        </w:rPr>
        <w:t>not necessary</w:t>
      </w:r>
      <w:r w:rsidRPr="001A6E0D">
        <w:rPr>
          <w:rStyle w:val="StyleUnderline"/>
        </w:rPr>
        <w:t xml:space="preserve"> that constructive possession in fact </w:t>
      </w:r>
      <w:r w:rsidRPr="001A6E0D">
        <w:rPr>
          <w:rStyle w:val="Emphasis"/>
        </w:rPr>
        <w:t>ever ripen into actual possession</w:t>
      </w:r>
      <w:r w:rsidRPr="001A6E0D">
        <w:rPr>
          <w:sz w:val="16"/>
        </w:rPr>
        <w:t>.74 A person who has paid someone to mail him drugs may have constructive possession of the drugs when they arrive in his mailbox, even if he hasn’t touched the package yet.75</w:t>
      </w:r>
    </w:p>
    <w:p w14:paraId="09ABD5FA" w14:textId="77777777" w:rsidR="008003CA" w:rsidRDefault="008003CA" w:rsidP="008003CA">
      <w:pPr>
        <w:rPr>
          <w:sz w:val="16"/>
        </w:rPr>
      </w:pPr>
      <w:r w:rsidRPr="001A6E0D">
        <w:rPr>
          <w:rStyle w:val="StyleUnderline"/>
        </w:rPr>
        <w:t xml:space="preserve">In this manner, </w:t>
      </w:r>
      <w:r w:rsidRPr="001A6E0D">
        <w:rPr>
          <w:rStyle w:val="StyleUnderline"/>
          <w:highlight w:val="yellow"/>
        </w:rPr>
        <w:t>constructive possession</w:t>
      </w:r>
      <w:r w:rsidRPr="001A6E0D">
        <w:rPr>
          <w:sz w:val="16"/>
        </w:rPr>
        <w:t xml:space="preserve"> can </w:t>
      </w:r>
      <w:r w:rsidRPr="001A6E0D">
        <w:rPr>
          <w:rStyle w:val="StyleUnderline"/>
          <w:highlight w:val="yellow"/>
        </w:rPr>
        <w:t>mean having</w:t>
      </w:r>
      <w:r w:rsidRPr="001A6E0D">
        <w:rPr>
          <w:rStyle w:val="StyleUnderline"/>
        </w:rPr>
        <w:t xml:space="preserve"> </w:t>
      </w:r>
      <w:r w:rsidRPr="001A6E0D">
        <w:rPr>
          <w:sz w:val="16"/>
        </w:rPr>
        <w:t xml:space="preserve">a sort of right or </w:t>
      </w:r>
      <w:r w:rsidRPr="001A6E0D">
        <w:rPr>
          <w:rStyle w:val="Emphasis"/>
          <w:highlight w:val="yellow"/>
        </w:rPr>
        <w:t>authority over the objects</w:t>
      </w:r>
      <w:r w:rsidRPr="001A6E0D">
        <w:rPr>
          <w:sz w:val="16"/>
        </w:rPr>
        <w:t xml:space="preserve">,76 </w:t>
      </w:r>
      <w:r w:rsidRPr="001A6E0D">
        <w:rPr>
          <w:rStyle w:val="StyleUnderline"/>
          <w:highlight w:val="yellow"/>
        </w:rPr>
        <w:t xml:space="preserve">rather than </w:t>
      </w:r>
      <w:r w:rsidRPr="001A6E0D">
        <w:rPr>
          <w:rStyle w:val="Emphasis"/>
          <w:highlight w:val="yellow"/>
        </w:rPr>
        <w:t>physical power</w:t>
      </w:r>
      <w:r w:rsidRPr="001A6E0D">
        <w:rPr>
          <w:rStyle w:val="StyleUnderline"/>
        </w:rPr>
        <w:t xml:space="preserve"> over them</w:t>
      </w:r>
      <w:r w:rsidRPr="001A6E0D">
        <w:rPr>
          <w:sz w:val="16"/>
        </w:rPr>
        <w:t xml:space="preserve">. Legal ownership of the object is certainly one way of establishing constructive possession, but it is not the only way. It cannot be, moreover, that only established legal rights create constructive possession. Many times, people may have no legal right in the object or in the place where the object is stored. Suppose I pay someone for a gun, and he puts it in “my” car (a car that I have recently stolen) to retrieve later. Suppose further that the gun I plan to retrieve is stolen as well. Here, I have no legal right in the place where the item is found (the car is stolen) nor in the gun that I have purchased (the gun is stolen). Still, it makes sense to say in this case, by paying for the gun and by virtue of the fact that the gun is deposited in the car I currently possess, that I have authority over the gun—i.e., people would recognize that the gun is “mine” in a conventional, if not a legal, sense. This would be enough, in my view, to establish constructive possession. I do not have a legal right to the gun in my example, or to the place (the stolen car) where I am able to access the gun—both are legally someone else’s property—but I do have a sort of authority over the gun: I have bought it, and I have privileged access to the gun.77 A focus on my “authority” over the object moves us towards a more normative conceptualization of constructive possession.78 </w:t>
      </w:r>
    </w:p>
    <w:p w14:paraId="203C9DBB" w14:textId="77777777" w:rsidR="008003CA" w:rsidRPr="001A6E0D" w:rsidRDefault="008003CA" w:rsidP="008003CA">
      <w:pPr>
        <w:rPr>
          <w:sz w:val="16"/>
        </w:rPr>
      </w:pPr>
    </w:p>
    <w:p w14:paraId="507BDFF8" w14:textId="55B6D182" w:rsidR="008003CA" w:rsidRDefault="008003CA" w:rsidP="008003CA">
      <w:pPr>
        <w:pStyle w:val="Heading3"/>
      </w:pPr>
      <w:r>
        <w:t>Possession</w:t>
      </w:r>
      <w:r>
        <w:t>---</w:t>
      </w:r>
      <w:r>
        <w:t>Legal Authority---Ext</w:t>
      </w:r>
    </w:p>
    <w:p w14:paraId="3B4C04CC" w14:textId="77777777" w:rsidR="008003CA" w:rsidRDefault="008003CA" w:rsidP="008003CA">
      <w:pPr>
        <w:pStyle w:val="Heading4"/>
      </w:pPr>
      <w:r>
        <w:t xml:space="preserve">‘Possession’ can be physical </w:t>
      </w:r>
      <w:r w:rsidRPr="00595690">
        <w:rPr>
          <w:u w:val="single"/>
        </w:rPr>
        <w:t>or</w:t>
      </w:r>
      <w:r>
        <w:t xml:space="preserve"> constructive.</w:t>
      </w:r>
    </w:p>
    <w:p w14:paraId="6E60E438" w14:textId="77777777" w:rsidR="008003CA" w:rsidRPr="00595690" w:rsidRDefault="008003CA" w:rsidP="008003CA">
      <w:r w:rsidRPr="00006DDB">
        <w:rPr>
          <w:rStyle w:val="Style13ptBold"/>
        </w:rPr>
        <w:t>California Court of Appeal 11</w:t>
      </w:r>
      <w:r>
        <w:t xml:space="preserve">. </w:t>
      </w:r>
      <w:r w:rsidRPr="00006DDB">
        <w:t>In</w:t>
      </w:r>
      <w:r w:rsidRPr="00006DDB">
        <w:rPr>
          <w:i/>
          <w:iCs/>
        </w:rPr>
        <w:t xml:space="preserve"> re Jorge P.</w:t>
      </w:r>
      <w:r w:rsidRPr="00006DDB">
        <w:t xml:space="preserve"> (2011) </w:t>
      </w:r>
      <w:r w:rsidRPr="00006DDB">
        <w:rPr>
          <w:i/>
          <w:iCs/>
        </w:rPr>
        <w:t>Court of Appeal of California, Fifth Appellate District</w:t>
      </w:r>
      <w:r w:rsidRPr="00006DDB">
        <w:t>, F060915, 29 September. Available at: https://law.justia.com/cases/california/court-of-appeal/2011/f060915/ (Accessed: 7 July 2025).</w:t>
      </w:r>
      <w:r>
        <w:t xml:space="preserve"> TDI</w:t>
      </w:r>
    </w:p>
    <w:p w14:paraId="16201795" w14:textId="77777777" w:rsidR="008003CA" w:rsidRPr="00595690" w:rsidRDefault="008003CA" w:rsidP="008003CA">
      <w:pPr>
        <w:rPr>
          <w:sz w:val="16"/>
          <w:szCs w:val="16"/>
        </w:rPr>
      </w:pPr>
      <w:r w:rsidRPr="00595690">
        <w:rPr>
          <w:sz w:val="16"/>
          <w:szCs w:val="16"/>
        </w:rPr>
        <w:t xml:space="preserve">B. Joint and Constructive Possession </w:t>
      </w:r>
    </w:p>
    <w:p w14:paraId="68355D82" w14:textId="77777777" w:rsidR="008003CA" w:rsidRDefault="008003CA" w:rsidP="008003CA">
      <w:pPr>
        <w:rPr>
          <w:sz w:val="16"/>
        </w:rPr>
      </w:pPr>
      <w:r w:rsidRPr="00595690">
        <w:rPr>
          <w:rStyle w:val="StyleUnderline"/>
          <w:highlight w:val="yellow"/>
        </w:rPr>
        <w:t xml:space="preserve">Possession may be physical </w:t>
      </w:r>
      <w:r w:rsidRPr="00595690">
        <w:rPr>
          <w:rStyle w:val="Emphasis"/>
          <w:highlight w:val="yellow"/>
        </w:rPr>
        <w:t>or</w:t>
      </w:r>
      <w:r w:rsidRPr="00595690">
        <w:rPr>
          <w:rStyle w:val="StyleUnderline"/>
          <w:highlight w:val="yellow"/>
        </w:rPr>
        <w:t xml:space="preserve"> constructive</w:t>
      </w:r>
      <w:r w:rsidRPr="00595690">
        <w:rPr>
          <w:sz w:val="16"/>
        </w:rPr>
        <w:t xml:space="preserve">, and more than one person may possess the same contraband. (In re Daniel G. (2004) 120 Cal.App.4th 824, 831; see In re Jorge M. (2000) 23 Cal.4th 866, 888.) “Constructive possession means the object is not in the </w:t>
      </w:r>
      <w:proofErr w:type="spellStart"/>
      <w:r w:rsidRPr="00595690">
        <w:rPr>
          <w:sz w:val="16"/>
        </w:rPr>
        <w:t>defendant‟s</w:t>
      </w:r>
      <w:proofErr w:type="spellEnd"/>
      <w:r w:rsidRPr="00595690">
        <w:rPr>
          <w:sz w:val="16"/>
        </w:rPr>
        <w:t xml:space="preserve"> physical possession, but the defendant knowingly exercises control or the right to control the object. [Citation.] Possession of a weapon may be proven circumstantially, and possession for even a limited time and purpose may be sufficient. [Citation.]” (Daniel G., supra, 120 Cal.App.4th at p. 831.) A defendant “has constructive possession when the weapon, while not in his actual possession, is nonetheless under his dominion and control, either directly or through others. [Citations.]” (People v. Pena (1999) 74 Cal.App.4th 1078, 1083-1084 (Pena).) “Dominion and control are essentials of possession, and they cannot be inferred from mere presence or access. Something more must be shown to support inferring of these elements. Of course, the necessary additional circumstances may, in some fact contexts, be rather slight. [Citations.] It is clear, however, that some additional fact is essential.” (People v. </w:t>
      </w:r>
      <w:proofErr w:type="spellStart"/>
      <w:r w:rsidRPr="00595690">
        <w:rPr>
          <w:sz w:val="16"/>
        </w:rPr>
        <w:t>Zyduck</w:t>
      </w:r>
      <w:proofErr w:type="spellEnd"/>
      <w:r w:rsidRPr="00595690">
        <w:rPr>
          <w:sz w:val="16"/>
        </w:rPr>
        <w:t xml:space="preserve"> (1969) 270 Cal.App.2d 334, 336.)</w:t>
      </w:r>
    </w:p>
    <w:p w14:paraId="62512EC6" w14:textId="77777777" w:rsidR="008003CA" w:rsidRDefault="008003CA" w:rsidP="008003CA"/>
    <w:p w14:paraId="5F7C4702" w14:textId="77777777" w:rsidR="008003CA" w:rsidRPr="001A6E0D" w:rsidRDefault="008003CA" w:rsidP="008003CA">
      <w:pPr>
        <w:pStyle w:val="Heading4"/>
      </w:pPr>
      <w:r>
        <w:t xml:space="preserve">There are </w:t>
      </w:r>
      <w:r w:rsidRPr="00290BAF">
        <w:rPr>
          <w:u w:val="single"/>
        </w:rPr>
        <w:t>few cases</w:t>
      </w:r>
      <w:r>
        <w:t>.</w:t>
      </w:r>
    </w:p>
    <w:p w14:paraId="3DBCF2D7" w14:textId="77777777" w:rsidR="008003CA" w:rsidRPr="008F77FC" w:rsidRDefault="008003CA" w:rsidP="008003CA">
      <w:r w:rsidRPr="008F77FC">
        <w:rPr>
          <w:rStyle w:val="Style13ptBold"/>
        </w:rPr>
        <w:t>Flanders 19</w:t>
      </w:r>
      <w:r>
        <w:t xml:space="preserve">. Chad Flanders, M.A., Ph.D. in Philosophy, University of Chicago, and J.D., Yale Law. </w:t>
      </w:r>
      <w:r w:rsidRPr="008F77FC">
        <w:t>2019</w:t>
      </w:r>
      <w:r>
        <w:t xml:space="preserve">. </w:t>
      </w:r>
      <w:r w:rsidRPr="008F77FC">
        <w:t>“</w:t>
      </w:r>
      <w:r>
        <w:t>’</w:t>
      </w:r>
      <w:r w:rsidRPr="008F77FC">
        <w:t>Actual</w:t>
      </w:r>
      <w:r>
        <w:t>’</w:t>
      </w:r>
      <w:r w:rsidRPr="008F77FC">
        <w:t xml:space="preserve"> and </w:t>
      </w:r>
      <w:r>
        <w:t>‘</w:t>
      </w:r>
      <w:r w:rsidRPr="008F77FC">
        <w:t>Constructive</w:t>
      </w:r>
      <w:r>
        <w:t>’</w:t>
      </w:r>
      <w:r w:rsidRPr="008F77FC">
        <w:t xml:space="preserve"> Possession in Alaska: Clarifying the Doctrine</w:t>
      </w:r>
      <w:r>
        <w:t>.”</w:t>
      </w:r>
      <w:r w:rsidRPr="008F77FC">
        <w:t xml:space="preserve"> 36 </w:t>
      </w:r>
      <w:r w:rsidRPr="008F77FC">
        <w:rPr>
          <w:i/>
          <w:iCs/>
        </w:rPr>
        <w:t>Alaska Law Review</w:t>
      </w:r>
      <w:r w:rsidRPr="008F77FC">
        <w:t> </w:t>
      </w:r>
      <w:r>
        <w:t>p.1-22, a</w:t>
      </w:r>
      <w:r w:rsidRPr="008F77FC">
        <w:t xml:space="preserve">vailable at: </w:t>
      </w:r>
      <w:hyperlink r:id="rId14" w:history="1">
        <w:r w:rsidRPr="00317E37">
          <w:rPr>
            <w:rStyle w:val="Hyperlink"/>
          </w:rPr>
          <w:t>https://scholarship.law.duke.edu/alr/vol36/iss1/2</w:t>
        </w:r>
      </w:hyperlink>
      <w:r>
        <w:t>. TDI</w:t>
      </w:r>
    </w:p>
    <w:p w14:paraId="14BCF727" w14:textId="77777777" w:rsidR="008003CA" w:rsidRDefault="008003CA" w:rsidP="008003CA">
      <w:pPr>
        <w:rPr>
          <w:sz w:val="16"/>
        </w:rPr>
      </w:pPr>
      <w:r w:rsidRPr="008F77FC">
        <w:rPr>
          <w:sz w:val="16"/>
        </w:rPr>
        <w:t xml:space="preserve">My short article takes Judge Mannheimer’s opinions in Alex v. State and Dirks v. State as the starting point for an investigation of Alaska’s possession doctrine. After summarizing the two opinions in Part II, Part III attempts to clarify the seemingly straightforward idea of “actual possession,” and finds that many courts wrongly treat many cases of actual possession as cases of constructive possession. Part IV tries to provide a solution to the problem—as presented by Judge Mannheimer—with Alaska’s instruction on constructive possession. It offers that </w:t>
      </w:r>
      <w:r w:rsidRPr="008F77FC">
        <w:rPr>
          <w:rStyle w:val="StyleUnderline"/>
        </w:rPr>
        <w:t xml:space="preserve">the key to </w:t>
      </w:r>
      <w:r w:rsidRPr="008F77FC">
        <w:rPr>
          <w:rStyle w:val="Emphasis"/>
          <w:highlight w:val="yellow"/>
        </w:rPr>
        <w:t>constructive possession</w:t>
      </w:r>
      <w:r w:rsidRPr="008F77FC">
        <w:rPr>
          <w:sz w:val="16"/>
        </w:rPr>
        <w:t xml:space="preserve"> </w:t>
      </w:r>
      <w:r w:rsidRPr="008F77FC">
        <w:rPr>
          <w:rStyle w:val="StyleUnderline"/>
          <w:highlight w:val="yellow"/>
        </w:rPr>
        <w:t xml:space="preserve">is </w:t>
      </w:r>
      <w:r w:rsidRPr="008F77FC">
        <w:rPr>
          <w:rStyle w:val="Emphasis"/>
        </w:rPr>
        <w:t>not</w:t>
      </w:r>
      <w:r w:rsidRPr="008F77FC">
        <w:rPr>
          <w:rStyle w:val="StyleUnderline"/>
        </w:rPr>
        <w:t xml:space="preserve"> the idea that one </w:t>
      </w:r>
      <w:r w:rsidRPr="008F77FC">
        <w:rPr>
          <w:rStyle w:val="Emphasis"/>
        </w:rPr>
        <w:t>intends to have control</w:t>
      </w:r>
      <w:r w:rsidRPr="008F77FC">
        <w:rPr>
          <w:rStyle w:val="StyleUnderline"/>
        </w:rPr>
        <w:t xml:space="preserve"> over an object</w:t>
      </w:r>
      <w:r w:rsidRPr="008F77FC">
        <w:rPr>
          <w:sz w:val="16"/>
        </w:rPr>
        <w:t xml:space="preserve">, </w:t>
      </w:r>
      <w:r w:rsidRPr="008F77FC">
        <w:rPr>
          <w:rStyle w:val="StyleUnderline"/>
        </w:rPr>
        <w:t xml:space="preserve">but </w:t>
      </w:r>
      <w:r w:rsidRPr="008F77FC">
        <w:rPr>
          <w:rStyle w:val="StyleUnderline"/>
          <w:highlight w:val="yellow"/>
        </w:rPr>
        <w:t xml:space="preserve">that one has a </w:t>
      </w:r>
      <w:r w:rsidRPr="008F77FC">
        <w:rPr>
          <w:rStyle w:val="Emphasis"/>
          <w:highlight w:val="yellow"/>
        </w:rPr>
        <w:t>legal right</w:t>
      </w:r>
      <w:r w:rsidRPr="008F77FC">
        <w:rPr>
          <w:sz w:val="16"/>
        </w:rPr>
        <w:t xml:space="preserve"> (</w:t>
      </w:r>
      <w:r w:rsidRPr="008F77FC">
        <w:rPr>
          <w:rStyle w:val="StyleUnderline"/>
          <w:highlight w:val="yellow"/>
        </w:rPr>
        <w:t>or</w:t>
      </w:r>
      <w:r w:rsidRPr="008F77FC">
        <w:rPr>
          <w:rStyle w:val="StyleUnderline"/>
        </w:rPr>
        <w:t xml:space="preserve"> the </w:t>
      </w:r>
      <w:r w:rsidRPr="008F77FC">
        <w:rPr>
          <w:rStyle w:val="Emphasis"/>
          <w:highlight w:val="yellow"/>
        </w:rPr>
        <w:t>functional equivalent</w:t>
      </w:r>
      <w:r w:rsidRPr="008F77FC">
        <w:rPr>
          <w:sz w:val="16"/>
        </w:rPr>
        <w:t xml:space="preserve"> of a legal right) </w:t>
      </w:r>
      <w:r w:rsidRPr="008F77FC">
        <w:rPr>
          <w:rStyle w:val="StyleUnderline"/>
          <w:highlight w:val="yellow"/>
        </w:rPr>
        <w:t>over the object</w:t>
      </w:r>
      <w:r w:rsidRPr="008F77FC">
        <w:rPr>
          <w:rStyle w:val="StyleUnderline"/>
        </w:rPr>
        <w:t>, or the space where the object is</w:t>
      </w:r>
      <w:r w:rsidRPr="008F77FC">
        <w:rPr>
          <w:sz w:val="16"/>
        </w:rPr>
        <w:t xml:space="preserve">. </w:t>
      </w:r>
      <w:r w:rsidRPr="008F77FC">
        <w:rPr>
          <w:rStyle w:val="StyleUnderline"/>
          <w:highlight w:val="yellow"/>
        </w:rPr>
        <w:t>If we understand</w:t>
      </w:r>
      <w:r w:rsidRPr="008F77FC">
        <w:rPr>
          <w:sz w:val="16"/>
        </w:rPr>
        <w:t xml:space="preserve"> this idea of “</w:t>
      </w:r>
      <w:r w:rsidRPr="008F77FC">
        <w:rPr>
          <w:rStyle w:val="Emphasis"/>
          <w:highlight w:val="yellow"/>
        </w:rPr>
        <w:t>authority</w:t>
      </w:r>
      <w:r w:rsidRPr="008F77FC">
        <w:rPr>
          <w:sz w:val="16"/>
        </w:rPr>
        <w:t xml:space="preserve">” </w:t>
      </w:r>
      <w:r w:rsidRPr="008F77FC">
        <w:rPr>
          <w:rStyle w:val="StyleUnderline"/>
          <w:highlight w:val="yellow"/>
        </w:rPr>
        <w:t>as essential</w:t>
      </w:r>
      <w:r w:rsidRPr="008F77FC">
        <w:rPr>
          <w:rStyle w:val="StyleUnderline"/>
        </w:rPr>
        <w:t xml:space="preserve"> to constructive possession</w:t>
      </w:r>
      <w:r w:rsidRPr="008F77FC">
        <w:rPr>
          <w:sz w:val="16"/>
        </w:rPr>
        <w:t xml:space="preserve">, </w:t>
      </w:r>
      <w:r w:rsidRPr="008F77FC">
        <w:rPr>
          <w:rStyle w:val="StyleUnderline"/>
        </w:rPr>
        <w:t>it turns out</w:t>
      </w:r>
      <w:r w:rsidRPr="008F77FC">
        <w:rPr>
          <w:sz w:val="16"/>
        </w:rPr>
        <w:t xml:space="preserve"> that pure </w:t>
      </w:r>
      <w:r w:rsidRPr="008F77FC">
        <w:rPr>
          <w:rStyle w:val="Emphasis"/>
          <w:highlight w:val="yellow"/>
        </w:rPr>
        <w:t>cases</w:t>
      </w:r>
      <w:r w:rsidRPr="008F77FC">
        <w:rPr>
          <w:rStyle w:val="StyleUnderline"/>
          <w:highlight w:val="yellow"/>
        </w:rPr>
        <w:t xml:space="preserve"> of constructive possession are</w:t>
      </w:r>
      <w:r w:rsidRPr="008F77FC">
        <w:rPr>
          <w:rStyle w:val="StyleUnderline"/>
        </w:rPr>
        <w:t xml:space="preserve"> actually </w:t>
      </w:r>
      <w:r w:rsidRPr="008F77FC">
        <w:rPr>
          <w:rStyle w:val="Emphasis"/>
          <w:highlight w:val="yellow"/>
        </w:rPr>
        <w:t>quite rare</w:t>
      </w:r>
      <w:r w:rsidRPr="008F77FC">
        <w:rPr>
          <w:sz w:val="16"/>
        </w:rPr>
        <w:t xml:space="preserve">, </w:t>
      </w:r>
      <w:r w:rsidRPr="008F77FC">
        <w:rPr>
          <w:rStyle w:val="StyleUnderline"/>
        </w:rPr>
        <w:t>and</w:t>
      </w:r>
      <w:r w:rsidRPr="008F77FC">
        <w:rPr>
          <w:sz w:val="16"/>
        </w:rPr>
        <w:t xml:space="preserve"> that </w:t>
      </w:r>
      <w:r w:rsidRPr="008F77FC">
        <w:rPr>
          <w:rStyle w:val="StyleUnderline"/>
        </w:rPr>
        <w:t>many supposed cases of constructive possession are really cases of past actual possession</w:t>
      </w:r>
      <w:r w:rsidRPr="008F77FC">
        <w:rPr>
          <w:sz w:val="16"/>
        </w:rPr>
        <w:t>. Part V proposes a new jury instruction on actual and constructive possession.</w:t>
      </w:r>
    </w:p>
    <w:p w14:paraId="30624CDD" w14:textId="77777777" w:rsidR="008003CA" w:rsidRPr="008F77FC" w:rsidRDefault="008003CA" w:rsidP="008003CA">
      <w:pPr>
        <w:rPr>
          <w:sz w:val="16"/>
        </w:rPr>
      </w:pPr>
    </w:p>
    <w:p w14:paraId="462B8EE1" w14:textId="77777777" w:rsidR="008003CA" w:rsidRDefault="008003CA" w:rsidP="008003CA">
      <w:pPr>
        <w:pStyle w:val="Heading4"/>
      </w:pPr>
      <w:r>
        <w:t xml:space="preserve">‘Possession’ is </w:t>
      </w:r>
      <w:r w:rsidRPr="00781D7F">
        <w:rPr>
          <w:u w:val="single"/>
        </w:rPr>
        <w:t>meaningless</w:t>
      </w:r>
      <w:r>
        <w:t xml:space="preserve">. Their </w:t>
      </w:r>
      <w:proofErr w:type="spellStart"/>
      <w:r>
        <w:t>interp</w:t>
      </w:r>
      <w:proofErr w:type="spellEnd"/>
      <w:r>
        <w:t xml:space="preserve"> is </w:t>
      </w:r>
      <w:r w:rsidRPr="00432A2F">
        <w:rPr>
          <w:u w:val="single"/>
        </w:rPr>
        <w:t>ambiguous</w:t>
      </w:r>
      <w:r>
        <w:t xml:space="preserve"> and </w:t>
      </w:r>
      <w:r w:rsidRPr="00432A2F">
        <w:rPr>
          <w:u w:val="single"/>
        </w:rPr>
        <w:t>out of context</w:t>
      </w:r>
      <w:r>
        <w:t>.</w:t>
      </w:r>
    </w:p>
    <w:p w14:paraId="10152A5A" w14:textId="77777777" w:rsidR="008003CA" w:rsidRPr="003B65F7" w:rsidRDefault="008003CA" w:rsidP="008003CA">
      <w:r w:rsidRPr="003B65F7">
        <w:rPr>
          <w:rStyle w:val="Style13ptBold"/>
        </w:rPr>
        <w:t>Tay 63</w:t>
      </w:r>
      <w:r>
        <w:t xml:space="preserve">. A.E.S. Tay, </w:t>
      </w:r>
      <w:r w:rsidRPr="003B65F7">
        <w:t>Barrister-at-law; advocate and solicitor, Supreme Court of the State of Singapore; research scholar in the Department of Law, Institute of Advanced Studies, Australian National University.</w:t>
      </w:r>
      <w:r>
        <w:t xml:space="preserve"> “</w:t>
      </w:r>
      <w:r w:rsidRPr="003B65F7">
        <w:t>THE CONCEPT OF POSSESSION IN THE COMMON LAW: FOUNDATIONS FOR A NEW APPROACH</w:t>
      </w:r>
      <w:r>
        <w:t>”</w:t>
      </w:r>
      <w:r w:rsidRPr="003B65F7">
        <w:rPr>
          <w:rFonts w:ascii="Arial" w:hAnsi="Arial" w:cs="Arial"/>
          <w:i/>
          <w:iCs/>
          <w:color w:val="222222"/>
          <w:sz w:val="20"/>
          <w:szCs w:val="20"/>
          <w:shd w:val="clear" w:color="auto" w:fill="FFFFFF"/>
        </w:rPr>
        <w:t xml:space="preserve"> </w:t>
      </w:r>
      <w:proofErr w:type="spellStart"/>
      <w:r w:rsidRPr="003B65F7">
        <w:t>Melb</w:t>
      </w:r>
      <w:proofErr w:type="spellEnd"/>
      <w:r w:rsidRPr="003B65F7">
        <w:t xml:space="preserve">. UL Rev. 4 (1963): </w:t>
      </w:r>
      <w:r>
        <w:t>p.</w:t>
      </w:r>
      <w:r w:rsidRPr="003B65F7">
        <w:t>476</w:t>
      </w:r>
      <w:r>
        <w:t>-497. TDI</w:t>
      </w:r>
    </w:p>
    <w:p w14:paraId="170685A8" w14:textId="77777777" w:rsidR="008003CA" w:rsidRPr="00471BFA" w:rsidRDefault="008003CA" w:rsidP="008003CA">
      <w:pPr>
        <w:rPr>
          <w:sz w:val="16"/>
        </w:rPr>
      </w:pPr>
      <w:r w:rsidRPr="003B65F7">
        <w:rPr>
          <w:rStyle w:val="StyleUnderline"/>
        </w:rPr>
        <w:t xml:space="preserve">The </w:t>
      </w:r>
      <w:r w:rsidRPr="005F6D1B">
        <w:rPr>
          <w:rStyle w:val="Emphasis"/>
          <w:highlight w:val="yellow"/>
        </w:rPr>
        <w:t>unsatisfactory state</w:t>
      </w:r>
      <w:r w:rsidRPr="003B65F7">
        <w:rPr>
          <w:sz w:val="16"/>
        </w:rPr>
        <w:t xml:space="preserve"> </w:t>
      </w:r>
      <w:r w:rsidRPr="005F6D1B">
        <w:rPr>
          <w:rStyle w:val="StyleUnderline"/>
          <w:highlight w:val="yellow"/>
        </w:rPr>
        <w:t>of</w:t>
      </w:r>
      <w:r w:rsidRPr="003B65F7">
        <w:rPr>
          <w:sz w:val="16"/>
        </w:rPr>
        <w:t xml:space="preserve"> conceptual analysis and </w:t>
      </w:r>
      <w:r w:rsidRPr="005F6D1B">
        <w:rPr>
          <w:rStyle w:val="Emphasis"/>
          <w:highlight w:val="yellow"/>
        </w:rPr>
        <w:t>juristic formulation</w:t>
      </w:r>
      <w:r w:rsidRPr="003B65F7">
        <w:rPr>
          <w:sz w:val="16"/>
        </w:rPr>
        <w:t xml:space="preserve"> </w:t>
      </w:r>
      <w:r w:rsidRPr="005F6D1B">
        <w:rPr>
          <w:rStyle w:val="StyleUnderline"/>
          <w:highlight w:val="yellow"/>
        </w:rPr>
        <w:t>in</w:t>
      </w:r>
      <w:r w:rsidRPr="003B65F7">
        <w:rPr>
          <w:rStyle w:val="StyleUnderline"/>
        </w:rPr>
        <w:t xml:space="preserve"> the field of </w:t>
      </w:r>
      <w:r w:rsidRPr="005F6D1B">
        <w:rPr>
          <w:rStyle w:val="Emphasis"/>
          <w:highlight w:val="yellow"/>
        </w:rPr>
        <w:t>possession</w:t>
      </w:r>
      <w:r w:rsidRPr="003B65F7">
        <w:rPr>
          <w:rStyle w:val="StyleUnderline"/>
        </w:rPr>
        <w:t xml:space="preserve"> </w:t>
      </w:r>
      <w:r w:rsidRPr="005F6D1B">
        <w:rPr>
          <w:rStyle w:val="StyleUnderline"/>
          <w:highlight w:val="yellow"/>
        </w:rPr>
        <w:t>is</w:t>
      </w:r>
      <w:r w:rsidRPr="003B65F7">
        <w:rPr>
          <w:sz w:val="16"/>
        </w:rPr>
        <w:t xml:space="preserve"> now </w:t>
      </w:r>
      <w:r w:rsidRPr="005F6D1B">
        <w:rPr>
          <w:rStyle w:val="Emphasis"/>
          <w:highlight w:val="yellow"/>
        </w:rPr>
        <w:t>widely recognized</w:t>
      </w:r>
      <w:r w:rsidRPr="003B65F7">
        <w:rPr>
          <w:sz w:val="16"/>
        </w:rPr>
        <w:t xml:space="preserve">. </w:t>
      </w:r>
      <w:r w:rsidRPr="003B65F7">
        <w:rPr>
          <w:rStyle w:val="StyleUnderline"/>
        </w:rPr>
        <w:t>Some ascribe it to</w:t>
      </w:r>
      <w:r w:rsidRPr="003B65F7">
        <w:rPr>
          <w:sz w:val="16"/>
        </w:rPr>
        <w:t xml:space="preserve"> the </w:t>
      </w:r>
      <w:r w:rsidRPr="003B65F7">
        <w:rPr>
          <w:rStyle w:val="StyleUnderline"/>
        </w:rPr>
        <w:t>difficulties</w:t>
      </w:r>
      <w:r w:rsidRPr="003B65F7">
        <w:rPr>
          <w:sz w:val="16"/>
        </w:rPr>
        <w:t xml:space="preserve"> </w:t>
      </w:r>
      <w:r w:rsidRPr="003B65F7">
        <w:rPr>
          <w:rStyle w:val="Emphasis"/>
        </w:rPr>
        <w:t>inherent</w:t>
      </w:r>
      <w:r w:rsidRPr="003B65F7">
        <w:rPr>
          <w:sz w:val="16"/>
        </w:rPr>
        <w:t xml:space="preserve"> </w:t>
      </w:r>
      <w:r w:rsidRPr="003B65F7">
        <w:rPr>
          <w:rStyle w:val="StyleUnderline"/>
        </w:rPr>
        <w:t>in</w:t>
      </w:r>
      <w:r w:rsidRPr="003B65F7">
        <w:rPr>
          <w:sz w:val="16"/>
        </w:rPr>
        <w:t xml:space="preserve"> whatever </w:t>
      </w:r>
      <w:r w:rsidRPr="003B65F7">
        <w:rPr>
          <w:rStyle w:val="StyleUnderline"/>
        </w:rPr>
        <w:t>basic concept of possession</w:t>
      </w:r>
      <w:r w:rsidRPr="003B65F7">
        <w:rPr>
          <w:sz w:val="16"/>
        </w:rPr>
        <w:t xml:space="preserve"> there may be; </w:t>
      </w:r>
      <w:r w:rsidRPr="003B65F7">
        <w:rPr>
          <w:rStyle w:val="StyleUnderline"/>
        </w:rPr>
        <w:t>others to</w:t>
      </w:r>
      <w:r w:rsidRPr="003B65F7">
        <w:rPr>
          <w:sz w:val="16"/>
        </w:rPr>
        <w:t xml:space="preserve"> </w:t>
      </w:r>
      <w:r w:rsidRPr="003B65F7">
        <w:rPr>
          <w:rStyle w:val="Emphasis"/>
        </w:rPr>
        <w:t>confusions of terminology</w:t>
      </w:r>
      <w:r w:rsidRPr="003B65F7">
        <w:rPr>
          <w:sz w:val="16"/>
        </w:rPr>
        <w:t xml:space="preserve">, a priori imposition of theory </w:t>
      </w:r>
      <w:r w:rsidRPr="003B65F7">
        <w:rPr>
          <w:rStyle w:val="StyleUnderline"/>
        </w:rPr>
        <w:t xml:space="preserve">and </w:t>
      </w:r>
      <w:r w:rsidRPr="005F6D1B">
        <w:rPr>
          <w:rStyle w:val="StyleUnderline"/>
          <w:highlight w:val="yellow"/>
        </w:rPr>
        <w:t xml:space="preserve">a </w:t>
      </w:r>
      <w:r w:rsidRPr="005F6D1B">
        <w:rPr>
          <w:rStyle w:val="Emphasis"/>
          <w:highlight w:val="yellow"/>
        </w:rPr>
        <w:t xml:space="preserve">misguided </w:t>
      </w:r>
      <w:proofErr w:type="spellStart"/>
      <w:r w:rsidRPr="005F6D1B">
        <w:rPr>
          <w:rStyle w:val="Emphasis"/>
          <w:highlight w:val="yellow"/>
        </w:rPr>
        <w:t>endeavour</w:t>
      </w:r>
      <w:proofErr w:type="spellEnd"/>
      <w:r w:rsidRPr="005F6D1B">
        <w:rPr>
          <w:rStyle w:val="StyleUnderline"/>
          <w:highlight w:val="yellow"/>
        </w:rPr>
        <w:t xml:space="preserve"> to reduce decisions</w:t>
      </w:r>
      <w:r w:rsidRPr="003B65F7">
        <w:rPr>
          <w:rStyle w:val="StyleUnderline"/>
        </w:rPr>
        <w:t xml:space="preserve"> that</w:t>
      </w:r>
      <w:r w:rsidRPr="003B65F7">
        <w:rPr>
          <w:sz w:val="16"/>
        </w:rPr>
        <w:t xml:space="preserve"> have </w:t>
      </w:r>
      <w:r w:rsidRPr="003B65F7">
        <w:rPr>
          <w:rStyle w:val="StyleUnderline"/>
        </w:rPr>
        <w:t xml:space="preserve">developed </w:t>
      </w:r>
      <w:r w:rsidRPr="005F6D1B">
        <w:rPr>
          <w:rStyle w:val="StyleUnderline"/>
          <w:highlight w:val="yellow"/>
        </w:rPr>
        <w:t xml:space="preserve">in the </w:t>
      </w:r>
      <w:r w:rsidRPr="005F6D1B">
        <w:rPr>
          <w:rStyle w:val="Emphasis"/>
          <w:highlight w:val="yellow"/>
        </w:rPr>
        <w:t>context</w:t>
      </w:r>
      <w:r w:rsidRPr="005F6D1B">
        <w:rPr>
          <w:rStyle w:val="StyleUnderline"/>
          <w:highlight w:val="yellow"/>
        </w:rPr>
        <w:t xml:space="preserve"> of </w:t>
      </w:r>
      <w:r w:rsidRPr="005F6D1B">
        <w:rPr>
          <w:rStyle w:val="Emphasis"/>
          <w:highlight w:val="yellow"/>
        </w:rPr>
        <w:t>specific branches</w:t>
      </w:r>
      <w:r w:rsidRPr="003B65F7">
        <w:rPr>
          <w:rStyle w:val="Emphasis"/>
        </w:rPr>
        <w:t xml:space="preserve"> of law</w:t>
      </w:r>
      <w:r w:rsidRPr="003B65F7">
        <w:rPr>
          <w:sz w:val="16"/>
        </w:rPr>
        <w:t xml:space="preserve"> and of separate remedies to smooth components of a coherent system. 'In the whole range of legal theory there is no conception more difficult than that of possession,' Sir John Salmond writes at the beginning </w:t>
      </w:r>
      <w:r w:rsidRPr="005F6D1B">
        <w:rPr>
          <w:sz w:val="16"/>
        </w:rPr>
        <w:t xml:space="preserve">of his discussion of possession.6 </w:t>
      </w:r>
      <w:r w:rsidRPr="005F6D1B">
        <w:rPr>
          <w:rStyle w:val="Emphasis"/>
        </w:rPr>
        <w:t>'Possession'</w:t>
      </w:r>
      <w:r w:rsidRPr="005F6D1B">
        <w:rPr>
          <w:sz w:val="16"/>
        </w:rPr>
        <w:t xml:space="preserve">, we read in the cases, </w:t>
      </w:r>
      <w:r w:rsidRPr="005F6D1B">
        <w:rPr>
          <w:rStyle w:val="StyleUnderline"/>
        </w:rPr>
        <w:t xml:space="preserve">'is a word of </w:t>
      </w:r>
      <w:r w:rsidRPr="005F6D1B">
        <w:rPr>
          <w:rStyle w:val="Emphasis"/>
        </w:rPr>
        <w:t>ambiguous meaning</w:t>
      </w:r>
      <w:r w:rsidRPr="005F6D1B">
        <w:rPr>
          <w:sz w:val="16"/>
        </w:rPr>
        <w:t>'7-'</w:t>
      </w:r>
      <w:r w:rsidRPr="005F6D1B">
        <w:rPr>
          <w:rStyle w:val="StyleUnderline"/>
          <w:highlight w:val="yellow"/>
        </w:rPr>
        <w:t>there is</w:t>
      </w:r>
      <w:r w:rsidRPr="003B65F7">
        <w:rPr>
          <w:sz w:val="16"/>
        </w:rPr>
        <w:t xml:space="preserve">, perhaps, </w:t>
      </w:r>
      <w:r w:rsidRPr="005F6D1B">
        <w:rPr>
          <w:rStyle w:val="Emphasis"/>
          <w:highlight w:val="yellow"/>
        </w:rPr>
        <w:t>no legal conception</w:t>
      </w:r>
      <w:r w:rsidRPr="005F6D1B">
        <w:rPr>
          <w:rStyle w:val="StyleUnderline"/>
          <w:highlight w:val="yellow"/>
        </w:rPr>
        <w:t xml:space="preserve"> </w:t>
      </w:r>
      <w:r w:rsidRPr="005F6D1B">
        <w:rPr>
          <w:rStyle w:val="Emphasis"/>
          <w:highlight w:val="yellow"/>
        </w:rPr>
        <w:t>more open</w:t>
      </w:r>
      <w:r w:rsidRPr="003B65F7">
        <w:rPr>
          <w:sz w:val="16"/>
        </w:rPr>
        <w:t xml:space="preserve"> </w:t>
      </w:r>
      <w:r w:rsidRPr="005F6D1B">
        <w:rPr>
          <w:rStyle w:val="StyleUnderline"/>
          <w:highlight w:val="yellow"/>
        </w:rPr>
        <w:t>to</w:t>
      </w:r>
      <w:r w:rsidRPr="003B65F7">
        <w:rPr>
          <w:rStyle w:val="StyleUnderline"/>
        </w:rPr>
        <w:t xml:space="preserve"> a</w:t>
      </w:r>
      <w:r w:rsidRPr="003B65F7">
        <w:rPr>
          <w:sz w:val="16"/>
        </w:rPr>
        <w:t xml:space="preserve"> </w:t>
      </w:r>
      <w:r w:rsidRPr="005F6D1B">
        <w:rPr>
          <w:rStyle w:val="Emphasis"/>
          <w:highlight w:val="yellow"/>
        </w:rPr>
        <w:t>variety of meanings</w:t>
      </w:r>
      <w:r w:rsidRPr="003B65F7">
        <w:rPr>
          <w:sz w:val="16"/>
        </w:rPr>
        <w:t xml:space="preserve"> </w:t>
      </w:r>
      <w:r w:rsidRPr="005F6D1B">
        <w:rPr>
          <w:rStyle w:val="StyleUnderline"/>
          <w:highlight w:val="yellow"/>
        </w:rPr>
        <w:t>than</w:t>
      </w:r>
      <w:r w:rsidRPr="003B65F7">
        <w:rPr>
          <w:sz w:val="16"/>
        </w:rPr>
        <w:t xml:space="preserve"> "</w:t>
      </w:r>
      <w:r w:rsidRPr="005F6D1B">
        <w:rPr>
          <w:rStyle w:val="Emphasis"/>
          <w:highlight w:val="yellow"/>
        </w:rPr>
        <w:t>possession</w:t>
      </w:r>
      <w:r w:rsidRPr="003B65F7">
        <w:rPr>
          <w:sz w:val="16"/>
        </w:rPr>
        <w:t xml:space="preserve">",'8 Winfield, characteristically optimistic, puts the main weight on confusions of terminology: 'Our law has a fairly good working scheme of possession although it has not indulged in much scientific dissection of the idea. Its weakest spot is its slovenly terminology.'9 Dias and Hughes, all too ready to resolve the problem into matters of convenience and policy, prefer to blame their less 'empirical' forerunners. 'If a topic has ever suffered from too much </w:t>
      </w:r>
      <w:proofErr w:type="spellStart"/>
      <w:r w:rsidRPr="003B65F7">
        <w:rPr>
          <w:sz w:val="16"/>
        </w:rPr>
        <w:t>theorising</w:t>
      </w:r>
      <w:proofErr w:type="spellEnd"/>
      <w:r w:rsidRPr="003B65F7">
        <w:rPr>
          <w:sz w:val="16"/>
        </w:rPr>
        <w:t>,' they write, 10 ~it is that of possession, and nowhere else is the danger of an a priori approach to jurisprudence better illustrated. The actual working of the law has not only been obscured by a fog of speculation, but, what is worse, decisions have been falsified so as to fit them into some preconceived theory.'</w:t>
      </w:r>
    </w:p>
    <w:p w14:paraId="1A6EBBC2" w14:textId="77777777" w:rsidR="008003CA" w:rsidRPr="008003CA" w:rsidRDefault="008003CA" w:rsidP="008003CA"/>
    <w:p w14:paraId="3D235FAD" w14:textId="27A7B683" w:rsidR="004D610C" w:rsidRPr="007E6781" w:rsidRDefault="004D610C" w:rsidP="004D610C">
      <w:pPr>
        <w:pStyle w:val="Heading3"/>
      </w:pPr>
      <w:r>
        <w:t>Possession---</w:t>
      </w:r>
      <w:r w:rsidR="008003CA">
        <w:t>Into</w:t>
      </w:r>
      <w:r w:rsidR="000D1C9B">
        <w:t xml:space="preserve"> Control</w:t>
      </w:r>
      <w:r>
        <w:t>---1AR</w:t>
      </w:r>
    </w:p>
    <w:p w14:paraId="111A4711" w14:textId="77777777" w:rsidR="004D610C" w:rsidRPr="007E6781" w:rsidRDefault="004D610C" w:rsidP="004D610C">
      <w:pPr>
        <w:pStyle w:val="Heading4"/>
        <w:rPr>
          <w:rFonts w:asciiTheme="majorHAnsi" w:hAnsiTheme="majorHAnsi" w:cstheme="majorHAnsi"/>
          <w:b w:val="0"/>
          <w:bCs/>
        </w:rPr>
      </w:pPr>
      <w:r w:rsidRPr="007E6781">
        <w:t xml:space="preserve">Possession is having or taking </w:t>
      </w:r>
      <w:r w:rsidRPr="007E6781">
        <w:rPr>
          <w:u w:val="single"/>
        </w:rPr>
        <w:t>into control</w:t>
      </w:r>
      <w:r w:rsidRPr="007E6781">
        <w:t xml:space="preserve">, </w:t>
      </w:r>
      <w:r w:rsidRPr="007E6781">
        <w:rPr>
          <w:rFonts w:asciiTheme="majorHAnsi" w:hAnsiTheme="majorHAnsi" w:cstheme="majorHAnsi"/>
          <w:b w:val="0"/>
          <w:bCs/>
        </w:rPr>
        <w:t>not exclusive continuous ownership.</w:t>
      </w:r>
    </w:p>
    <w:p w14:paraId="38251B23" w14:textId="77777777" w:rsidR="004D610C" w:rsidRPr="001A3702" w:rsidRDefault="004D610C" w:rsidP="004D610C">
      <w:r w:rsidRPr="00225079">
        <w:rPr>
          <w:rStyle w:val="Style13ptBold"/>
        </w:rPr>
        <w:t>Merriam-Webster</w:t>
      </w:r>
      <w:r>
        <w:rPr>
          <w:rStyle w:val="Style13ptBold"/>
        </w:rPr>
        <w:t>,</w:t>
      </w:r>
      <w:r w:rsidRPr="00225079">
        <w:rPr>
          <w:rStyle w:val="Style13ptBold"/>
        </w:rPr>
        <w:t xml:space="preserve"> ND</w:t>
      </w:r>
      <w:r w:rsidRPr="00BF7F99">
        <w:t xml:space="preserve"> ["Definition of POSSESSION," </w:t>
      </w:r>
      <w:r>
        <w:t>Merriam-Webster</w:t>
      </w:r>
      <w:r w:rsidRPr="00BF7F99">
        <w:t>, https://www.merriam-webster.com/dictionary/possession] TDI</w:t>
      </w:r>
    </w:p>
    <w:p w14:paraId="028EDDE4" w14:textId="77777777" w:rsidR="004D610C" w:rsidRPr="00225079" w:rsidRDefault="004D610C" w:rsidP="004D610C">
      <w:pPr>
        <w:rPr>
          <w:rStyle w:val="Emphasis"/>
        </w:rPr>
      </w:pPr>
      <w:r w:rsidRPr="00225079">
        <w:rPr>
          <w:rStyle w:val="Emphasis"/>
        </w:rPr>
        <w:t>possession</w:t>
      </w:r>
    </w:p>
    <w:p w14:paraId="3DE334F1" w14:textId="77777777" w:rsidR="004D610C" w:rsidRDefault="004D610C" w:rsidP="004D610C">
      <w:r w:rsidRPr="00225079">
        <w:t>noun</w:t>
      </w:r>
      <w:r>
        <w:t xml:space="preserve"> </w:t>
      </w:r>
    </w:p>
    <w:p w14:paraId="5072D579" w14:textId="77777777" w:rsidR="004D610C" w:rsidRPr="00225079" w:rsidRDefault="004D610C" w:rsidP="004D610C">
      <w:r w:rsidRPr="00225079">
        <w:t>pos·​</w:t>
      </w:r>
      <w:proofErr w:type="spellStart"/>
      <w:r w:rsidRPr="00225079">
        <w:t>ses</w:t>
      </w:r>
      <w:proofErr w:type="spellEnd"/>
      <w:r w:rsidRPr="00225079">
        <w:t>·​</w:t>
      </w:r>
      <w:proofErr w:type="spellStart"/>
      <w:r w:rsidRPr="00225079">
        <w:t>sion</w:t>
      </w:r>
      <w:proofErr w:type="spellEnd"/>
      <w:r w:rsidRPr="00225079">
        <w:t> </w:t>
      </w:r>
      <w:proofErr w:type="spellStart"/>
      <w:r w:rsidRPr="00225079">
        <w:t>pə</w:t>
      </w:r>
      <w:proofErr w:type="spellEnd"/>
      <w:r w:rsidRPr="00225079">
        <w:t>-ˈze-</w:t>
      </w:r>
      <w:proofErr w:type="spellStart"/>
      <w:r w:rsidRPr="00225079">
        <w:t>shən</w:t>
      </w:r>
      <w:proofErr w:type="spellEnd"/>
      <w:r w:rsidRPr="00225079">
        <w:t>  also  -ˈse-</w:t>
      </w:r>
    </w:p>
    <w:p w14:paraId="60745E38" w14:textId="77777777" w:rsidR="004D610C" w:rsidRPr="00225079" w:rsidRDefault="004D610C" w:rsidP="004D610C">
      <w:r w:rsidRPr="00225079">
        <w:t>Synonyms of possession</w:t>
      </w:r>
    </w:p>
    <w:p w14:paraId="6B4F6D52" w14:textId="77777777" w:rsidR="004D610C" w:rsidRPr="00225079" w:rsidRDefault="004D610C" w:rsidP="004D610C">
      <w:r w:rsidRPr="00225079">
        <w:t>1</w:t>
      </w:r>
    </w:p>
    <w:p w14:paraId="6121E0F7" w14:textId="77777777" w:rsidR="004D610C" w:rsidRPr="00225079" w:rsidRDefault="004D610C" w:rsidP="004D610C">
      <w:pPr>
        <w:rPr>
          <w:rStyle w:val="StyleUnderline"/>
        </w:rPr>
      </w:pPr>
      <w:r w:rsidRPr="00225079">
        <w:t xml:space="preserve">a: the act of </w:t>
      </w:r>
      <w:r w:rsidRPr="00225079">
        <w:rPr>
          <w:rStyle w:val="StyleUnderline"/>
        </w:rPr>
        <w:t xml:space="preserve">having or </w:t>
      </w:r>
      <w:r w:rsidRPr="00225079">
        <w:rPr>
          <w:rStyle w:val="Emphasis"/>
        </w:rPr>
        <w:t>taking into control</w:t>
      </w:r>
    </w:p>
    <w:p w14:paraId="6BC05F6F" w14:textId="77777777" w:rsidR="004D610C" w:rsidRPr="00225079" w:rsidRDefault="004D610C" w:rsidP="004D610C">
      <w:r w:rsidRPr="00225079">
        <w:t>b: </w:t>
      </w:r>
      <w:r w:rsidRPr="00225079">
        <w:rPr>
          <w:rStyle w:val="StyleUnderline"/>
        </w:rPr>
        <w:t>control or occupancy of property without regard to ownership</w:t>
      </w:r>
    </w:p>
    <w:p w14:paraId="4E1A2141" w14:textId="77777777" w:rsidR="004D610C" w:rsidRPr="00225079" w:rsidRDefault="004D610C" w:rsidP="004D610C">
      <w:r w:rsidRPr="00225079">
        <w:t>c: ownership</w:t>
      </w:r>
    </w:p>
    <w:p w14:paraId="5B7AA53C" w14:textId="77777777" w:rsidR="004D610C" w:rsidRPr="00225079" w:rsidRDefault="004D610C" w:rsidP="004D610C">
      <w:r w:rsidRPr="00225079">
        <w:t>d: control of the ball or puck</w:t>
      </w:r>
    </w:p>
    <w:p w14:paraId="0B21DAD9" w14:textId="77777777" w:rsidR="004D610C" w:rsidRPr="00225079" w:rsidRDefault="004D610C" w:rsidP="004D610C">
      <w:r w:rsidRPr="00225079">
        <w:t>also : an instance of having such control (as in football)</w:t>
      </w:r>
    </w:p>
    <w:p w14:paraId="2CD56776" w14:textId="77777777" w:rsidR="004D610C" w:rsidRPr="00225079" w:rsidRDefault="004D610C" w:rsidP="004D610C">
      <w:r w:rsidRPr="00225079">
        <w:t>scored on their first two possessions</w:t>
      </w:r>
    </w:p>
    <w:p w14:paraId="11EEEF4A" w14:textId="77777777" w:rsidR="004D610C" w:rsidRDefault="004D610C" w:rsidP="004D610C"/>
    <w:p w14:paraId="5B3A6A07" w14:textId="28565984" w:rsidR="000D1C9B" w:rsidRDefault="000D1C9B" w:rsidP="000D1C9B">
      <w:pPr>
        <w:pStyle w:val="Heading4"/>
      </w:pPr>
      <w:r>
        <w:rPr>
          <w:u w:val="single"/>
        </w:rPr>
        <w:t>Precedent</w:t>
      </w:r>
      <w:r w:rsidR="008003CA">
        <w:t>. T</w:t>
      </w:r>
      <w:r>
        <w:t xml:space="preserve">he </w:t>
      </w:r>
      <w:r w:rsidRPr="007440A5">
        <w:t>NPT</w:t>
      </w:r>
      <w:r w:rsidRPr="00F0283A">
        <w:t xml:space="preserve"> agrees that</w:t>
      </w:r>
      <w:r>
        <w:t xml:space="preserve"> prohibiting possession </w:t>
      </w:r>
      <w:r w:rsidRPr="007440A5">
        <w:rPr>
          <w:u w:val="single"/>
        </w:rPr>
        <w:t>prevents acquisition</w:t>
      </w:r>
      <w:r>
        <w:t>.</w:t>
      </w:r>
    </w:p>
    <w:p w14:paraId="6B0265C2" w14:textId="77777777" w:rsidR="000D1C9B" w:rsidRPr="00F0283A" w:rsidRDefault="000D1C9B" w:rsidP="000D1C9B">
      <w:r w:rsidRPr="00F0283A">
        <w:rPr>
          <w:rFonts w:eastAsiaTheme="majorEastAsia" w:cstheme="majorBidi"/>
          <w:b/>
          <w:iCs/>
          <w:sz w:val="26"/>
        </w:rPr>
        <w:t>Egeland and Nystuen, 16</w:t>
      </w:r>
      <w:r w:rsidRPr="00F0283A">
        <w:t xml:space="preserve"> [(</w:t>
      </w:r>
      <w:r>
        <w:t>Gro</w:t>
      </w:r>
      <w:r w:rsidRPr="00E434D2">
        <w:t>, d</w:t>
      </w:r>
      <w:r w:rsidRPr="00F0283A">
        <w:t>irector of the Center for International Humanitarian Law at the International Law and Policy Institute in Oslo</w:t>
      </w:r>
      <w:r>
        <w:t xml:space="preserve">. </w:t>
      </w:r>
      <w:proofErr w:type="spellStart"/>
      <w:r>
        <w:t>Kjolv</w:t>
      </w:r>
      <w:proofErr w:type="spellEnd"/>
      <w:r w:rsidRPr="00F0283A">
        <w:t>,</w:t>
      </w:r>
      <w:r>
        <w:t xml:space="preserve"> </w:t>
      </w:r>
      <w:r w:rsidRPr="00F0283A">
        <w:t>adviser at the center and a doctoral candidate in international relations at the University of Oxford, Wadham College</w:t>
      </w:r>
      <w:r>
        <w:t>.</w:t>
      </w:r>
      <w:r w:rsidRPr="00F0283A">
        <w:t xml:space="preserve">) "A ‘Legal Gap’? Nuclear Weapons Under International Law," </w:t>
      </w:r>
      <w:r>
        <w:t>Arms Control Association</w:t>
      </w:r>
      <w:r w:rsidRPr="00F0283A">
        <w:t xml:space="preserve">, </w:t>
      </w:r>
      <w:hyperlink r:id="rId15" w:history="1">
        <w:r w:rsidRPr="009D19F2">
          <w:rPr>
            <w:rStyle w:val="Hyperlink"/>
          </w:rPr>
          <w:t>https://www.armscontrol.org/act/2016-03/features/legal-gap-nuclear-weapons-under-international-law</w:t>
        </w:r>
      </w:hyperlink>
      <w:r w:rsidRPr="00F0283A">
        <w:t>,</w:t>
      </w:r>
      <w:r>
        <w:t xml:space="preserve"> March 2016</w:t>
      </w:r>
      <w:r w:rsidRPr="00F0283A">
        <w:t>] TDI</w:t>
      </w:r>
    </w:p>
    <w:p w14:paraId="5606ADCC" w14:textId="77777777" w:rsidR="000D1C9B" w:rsidRPr="00A5228D" w:rsidRDefault="000D1C9B" w:rsidP="000D1C9B">
      <w:pPr>
        <w:rPr>
          <w:sz w:val="16"/>
        </w:rPr>
      </w:pPr>
      <w:r w:rsidRPr="00A5228D">
        <w:rPr>
          <w:sz w:val="16"/>
        </w:rPr>
        <w:t xml:space="preserve">Often presented as a “grand bargain” between nuclear- and non-nuclear-weapon states, the </w:t>
      </w:r>
      <w:r w:rsidRPr="00F0283A">
        <w:rPr>
          <w:rStyle w:val="Emphasis"/>
        </w:rPr>
        <w:t>NPT</w:t>
      </w:r>
      <w:r w:rsidRPr="00F0283A">
        <w:rPr>
          <w:rStyle w:val="StyleUnderline"/>
        </w:rPr>
        <w:t xml:space="preserve"> </w:t>
      </w:r>
      <w:r w:rsidRPr="00F0283A">
        <w:rPr>
          <w:rStyle w:val="Emphasis"/>
        </w:rPr>
        <w:t>prohibits</w:t>
      </w:r>
      <w:r w:rsidRPr="00F0283A">
        <w:rPr>
          <w:rStyle w:val="StyleUnderline"/>
        </w:rPr>
        <w:t xml:space="preserve"> states from </w:t>
      </w:r>
      <w:r w:rsidRPr="00F0283A">
        <w:rPr>
          <w:rStyle w:val="Emphasis"/>
        </w:rPr>
        <w:t>possessing</w:t>
      </w:r>
      <w:r w:rsidRPr="00F0283A">
        <w:rPr>
          <w:rStyle w:val="StyleUnderline"/>
        </w:rPr>
        <w:t xml:space="preserve"> nuclear weapons, except for the five states that had them by January 1, 1967.</w:t>
      </w:r>
      <w:r w:rsidRPr="00A5228D">
        <w:rPr>
          <w:sz w:val="16"/>
        </w:rPr>
        <w:t xml:space="preserve"> In exchange for their special status, these five states, like every other state-party, agreed to “pursue negotiations in good faith on effective measures” for nuclear disarmament (Article VI) and to facilitate the development of nuclear energy for peaceful purposes in non-nuclear-weapon states (Article IV). Yet, in the negotiating history and the subsequent review process of the NPT, disarmament always has played second fiddle to nonproliferation. According to NATO official Michael </w:t>
      </w:r>
      <w:proofErr w:type="spellStart"/>
      <w:r w:rsidRPr="00A5228D">
        <w:rPr>
          <w:sz w:val="16"/>
        </w:rPr>
        <w:t>Rühle</w:t>
      </w:r>
      <w:proofErr w:type="spellEnd"/>
      <w:r w:rsidRPr="00A5228D">
        <w:rPr>
          <w:sz w:val="16"/>
        </w:rPr>
        <w:t xml:space="preserve">, “At the time of the treaty’s signing…, article VI seemed of little significance. </w:t>
      </w:r>
      <w:r w:rsidRPr="00F0283A">
        <w:rPr>
          <w:rStyle w:val="StyleUnderline"/>
        </w:rPr>
        <w:t xml:space="preserve">The treaty was widely understood as a </w:t>
      </w:r>
      <w:r w:rsidRPr="00F0283A">
        <w:rPr>
          <w:rStyle w:val="Emphasis"/>
        </w:rPr>
        <w:t>freeze on the number of existing</w:t>
      </w:r>
      <w:r w:rsidRPr="00F0283A">
        <w:rPr>
          <w:rStyle w:val="StyleUnderline"/>
        </w:rPr>
        <w:t xml:space="preserve"> [nuclear-weapon states</w:t>
      </w:r>
      <w:r w:rsidRPr="00A5228D">
        <w:rPr>
          <w:sz w:val="16"/>
        </w:rPr>
        <w:t>], not as a means of disarming them. To put it bluntly, the treaty was supposed to perpetuate nuclear inequality indefinitely (or at least until 1995), and article VI was a way of making this fact a little easier to bear.”20</w:t>
      </w:r>
    </w:p>
    <w:p w14:paraId="594661B8" w14:textId="77777777" w:rsidR="000D1C9B" w:rsidRPr="00A5228D" w:rsidRDefault="000D1C9B" w:rsidP="000D1C9B">
      <w:pPr>
        <w:rPr>
          <w:sz w:val="16"/>
        </w:rPr>
      </w:pPr>
    </w:p>
    <w:p w14:paraId="165EA00F" w14:textId="77777777" w:rsidR="004D610C" w:rsidRPr="00310335" w:rsidRDefault="004D610C" w:rsidP="004D610C">
      <w:pPr>
        <w:pStyle w:val="Heading4"/>
        <w:rPr>
          <w:rStyle w:val="Style13ptBold"/>
        </w:rPr>
      </w:pPr>
      <w:r>
        <w:t xml:space="preserve">Vessels </w:t>
      </w:r>
      <w:r w:rsidRPr="00310335">
        <w:rPr>
          <w:u w:val="single"/>
        </w:rPr>
        <w:t>transiting</w:t>
      </w:r>
      <w:r>
        <w:t xml:space="preserve"> the arctic have ‘possession.’ </w:t>
      </w:r>
    </w:p>
    <w:p w14:paraId="472F1F70" w14:textId="77777777" w:rsidR="004D610C" w:rsidRPr="004B4A5C" w:rsidRDefault="004D610C" w:rsidP="004D610C">
      <w:r w:rsidRPr="00491F34">
        <w:rPr>
          <w:rFonts w:eastAsiaTheme="majorEastAsia" w:cstheme="majorBidi"/>
          <w:b/>
          <w:iCs/>
          <w:sz w:val="26"/>
        </w:rPr>
        <w:t xml:space="preserve">Axworthy., </w:t>
      </w:r>
      <w:r>
        <w:rPr>
          <w:rFonts w:eastAsiaTheme="majorEastAsia" w:cstheme="majorBidi"/>
          <w:b/>
          <w:iCs/>
          <w:sz w:val="26"/>
        </w:rPr>
        <w:t>ND</w:t>
      </w:r>
      <w:r w:rsidRPr="004B4A5C">
        <w:t xml:space="preserve"> [(Thomas S., Distinguished Fellow</w:t>
      </w:r>
      <w:r>
        <w:t xml:space="preserve"> at the </w:t>
      </w:r>
      <w:r w:rsidRPr="004B4A5C">
        <w:t xml:space="preserve">Munk School of Global Affairs &amp; Public Policy, Former Professor at Harvard’s John F. Kennedy School of Government) "A Proposal for an Arctic Nuclear Weapon-Free Zone," </w:t>
      </w:r>
      <w:r>
        <w:t>International Council</w:t>
      </w:r>
      <w:r w:rsidRPr="004B4A5C">
        <w:t>, https://www.interactioncouncil.org/publications/proposal-arctic-nuclear-weapon-free-zone] TDI</w:t>
      </w:r>
    </w:p>
    <w:p w14:paraId="75D5EA2B" w14:textId="77777777" w:rsidR="004D610C" w:rsidRPr="004B4A5C" w:rsidRDefault="004D610C" w:rsidP="004D610C">
      <w:pPr>
        <w:rPr>
          <w:rStyle w:val="StyleUnderline"/>
        </w:rPr>
      </w:pPr>
      <w:r w:rsidRPr="00A5228D">
        <w:rPr>
          <w:sz w:val="16"/>
        </w:rPr>
        <w:t xml:space="preserve">First, under this section, coastal states (Canada, Denmark, Norway, Russia and the United States) have the right to make non-discriminatory regulations. As signatories to the ANWFZ, these coastal states would have the right to make common regulations. It is likely that a </w:t>
      </w:r>
      <w:r w:rsidRPr="004B4A5C">
        <w:rPr>
          <w:rStyle w:val="StyleUnderline"/>
        </w:rPr>
        <w:t xml:space="preserve">regulation stating that </w:t>
      </w:r>
      <w:r w:rsidRPr="004B4A5C">
        <w:rPr>
          <w:rStyle w:val="Emphasis"/>
        </w:rPr>
        <w:t>vessels transiting the Arctic must not be in possession of nuclear weapons</w:t>
      </w:r>
      <w:r w:rsidRPr="004B4A5C">
        <w:rPr>
          <w:rStyle w:val="StyleUnderline"/>
        </w:rPr>
        <w:t xml:space="preserve"> would be deemed acceptable under this provision.</w:t>
      </w:r>
    </w:p>
    <w:p w14:paraId="2A8575B3" w14:textId="77777777" w:rsidR="004D610C" w:rsidRPr="00A5228D" w:rsidRDefault="004D610C" w:rsidP="004D610C">
      <w:pPr>
        <w:rPr>
          <w:sz w:val="16"/>
        </w:rPr>
      </w:pPr>
    </w:p>
    <w:p w14:paraId="50C26417" w14:textId="77777777" w:rsidR="000D1C9B" w:rsidRDefault="000D1C9B" w:rsidP="000D1C9B">
      <w:pPr>
        <w:pStyle w:val="Heading4"/>
      </w:pPr>
      <w:r>
        <w:t xml:space="preserve">Non-possession must be for an </w:t>
      </w:r>
      <w:r w:rsidRPr="001B531C">
        <w:rPr>
          <w:u w:val="single"/>
        </w:rPr>
        <w:t>unlimited</w:t>
      </w:r>
      <w:r>
        <w:t xml:space="preserve"> duration. </w:t>
      </w:r>
    </w:p>
    <w:p w14:paraId="4C86A00B" w14:textId="77777777" w:rsidR="000D1C9B" w:rsidRPr="00725D6E" w:rsidRDefault="000D1C9B" w:rsidP="000D1C9B">
      <w:r w:rsidRPr="001B531C">
        <w:rPr>
          <w:rFonts w:eastAsiaTheme="majorEastAsia" w:cstheme="majorBidi"/>
          <w:b/>
          <w:iCs/>
          <w:sz w:val="26"/>
        </w:rPr>
        <w:t>Buckley</w:t>
      </w:r>
      <w:r>
        <w:rPr>
          <w:rFonts w:eastAsiaTheme="majorEastAsia" w:cstheme="majorBidi"/>
          <w:b/>
          <w:iCs/>
          <w:sz w:val="26"/>
        </w:rPr>
        <w:t>,</w:t>
      </w:r>
      <w:r w:rsidRPr="001B531C">
        <w:rPr>
          <w:rFonts w:eastAsiaTheme="majorEastAsia" w:cstheme="majorBidi"/>
          <w:b/>
          <w:iCs/>
          <w:sz w:val="26"/>
        </w:rPr>
        <w:t xml:space="preserve"> 12</w:t>
      </w:r>
      <w:r w:rsidRPr="00725D6E">
        <w:t xml:space="preserve"> [(</w:t>
      </w:r>
      <w:r>
        <w:t>Adele</w:t>
      </w:r>
      <w:r w:rsidRPr="00725D6E">
        <w:t>,</w:t>
      </w:r>
      <w:r>
        <w:t xml:space="preserve"> Physicist and environmental scientist, member of Canadian Leadership for Nuclear Disarmament</w:t>
      </w:r>
      <w:r w:rsidRPr="00725D6E">
        <w:t xml:space="preserve">) "Volume 1 Issue 5," </w:t>
      </w:r>
      <w:r>
        <w:t>Cadmus Journal Volume 1, Issue 5</w:t>
      </w:r>
      <w:r w:rsidRPr="00725D6E">
        <w:t xml:space="preserve">, https://www.cadmusjournal.org/volume1-issue5-october-2012, </w:t>
      </w:r>
      <w:r>
        <w:t>10-05-2025</w:t>
      </w:r>
      <w:r w:rsidRPr="00725D6E">
        <w:t>] TDI</w:t>
      </w:r>
    </w:p>
    <w:p w14:paraId="63B6B018" w14:textId="77777777" w:rsidR="000D1C9B" w:rsidRDefault="000D1C9B" w:rsidP="000D1C9B">
      <w:r w:rsidRPr="00725D6E">
        <w:t xml:space="preserve">Virtually all circumpolar governments have stated an Arctic policy of cooperation and diplomacy; one example is the 2011 Search and Rescue Agreement where there will be coordinated multilateral management.  Nevertheless, each nation is making significant additions to their military presence and has already built or plans to build new naval hardware. Logistics support from the armed forces is needed because there must be orderly enforcement of regulations, so military strategy in the Arctic is not the sole purpose of this build up. However, the presence of nuclear weapons on or under the sea, in the air, or in missile bases just does not fit this picture. The opportunity exists now to start </w:t>
      </w:r>
      <w:r w:rsidRPr="00725D6E">
        <w:rPr>
          <w:rStyle w:val="StyleUnderline"/>
        </w:rPr>
        <w:t xml:space="preserve">negotiations for the </w:t>
      </w:r>
      <w:r w:rsidRPr="00725D6E">
        <w:rPr>
          <w:rStyle w:val="Emphasis"/>
        </w:rPr>
        <w:t>Arctic</w:t>
      </w:r>
      <w:r w:rsidRPr="00725D6E">
        <w:rPr>
          <w:rStyle w:val="StyleUnderline"/>
        </w:rPr>
        <w:t xml:space="preserve"> to be a Nuclear-Weapon-Free Zone (</w:t>
      </w:r>
      <w:r w:rsidRPr="00725D6E">
        <w:rPr>
          <w:rStyle w:val="Emphasis"/>
        </w:rPr>
        <w:t>NWFZ</w:t>
      </w:r>
      <w:r w:rsidRPr="00725D6E">
        <w:rPr>
          <w:rStyle w:val="StyleUnderline"/>
        </w:rPr>
        <w:t>).</w:t>
      </w:r>
      <w:r w:rsidRPr="00725D6E">
        <w:t xml:space="preserve"> There are already </w:t>
      </w:r>
      <w:r w:rsidRPr="00725D6E">
        <w:rPr>
          <w:rStyle w:val="StyleUnderline"/>
        </w:rPr>
        <w:t>seven NWFZ treaties under the United Nations, covering the southern hemisphere</w:t>
      </w:r>
      <w:r w:rsidRPr="00725D6E">
        <w:t xml:space="preserve">—Antarctica was the first—and some north of the equator such as the Central Asian NWFZ. These treaties are flexible to accommodate the needs of each region, but </w:t>
      </w:r>
      <w:r w:rsidRPr="00725D6E">
        <w:rPr>
          <w:rStyle w:val="StyleUnderline"/>
        </w:rPr>
        <w:t xml:space="preserve">all require </w:t>
      </w:r>
      <w:r w:rsidRPr="00725D6E">
        <w:rPr>
          <w:rStyle w:val="Emphasis"/>
        </w:rPr>
        <w:t>non-possession</w:t>
      </w:r>
      <w:r w:rsidRPr="00725D6E">
        <w:rPr>
          <w:rStyle w:val="StyleUnderline"/>
        </w:rPr>
        <w:t xml:space="preserve">, non-deployment, non-manufacture, non-use, and these commitments must be verifiable and of </w:t>
      </w:r>
      <w:r w:rsidRPr="00725D6E">
        <w:rPr>
          <w:rStyle w:val="Emphasis"/>
        </w:rPr>
        <w:t>unlimited duration</w:t>
      </w:r>
      <w:r w:rsidRPr="00725D6E">
        <w:rPr>
          <w:rStyle w:val="StyleUnderline"/>
        </w:rPr>
        <w:t>.</w:t>
      </w:r>
      <w:r w:rsidRPr="00725D6E">
        <w:t xml:space="preserve"> After ratification, these treaties must go through the legislative machinery of the nuclear weapon states for recognition and assurance that the region will not be the target of a nuclear attack</w:t>
      </w:r>
    </w:p>
    <w:p w14:paraId="728E6A59" w14:textId="77777777" w:rsidR="000D1C9B" w:rsidRDefault="000D1C9B" w:rsidP="000D1C9B"/>
    <w:p w14:paraId="3FD2352E" w14:textId="2EEE138B" w:rsidR="00F136E8" w:rsidRDefault="00F136E8" w:rsidP="00F136E8">
      <w:pPr>
        <w:pStyle w:val="Heading3"/>
      </w:pPr>
      <w:r>
        <w:t>Possession---Excludes Subsets---1NC</w:t>
      </w:r>
    </w:p>
    <w:p w14:paraId="3AFC5916" w14:textId="77777777" w:rsidR="0002425C" w:rsidRDefault="0002425C" w:rsidP="0002425C">
      <w:pPr>
        <w:pStyle w:val="Heading4"/>
      </w:pPr>
      <w:r>
        <w:t xml:space="preserve">There are </w:t>
      </w:r>
      <w:r w:rsidRPr="00E434D2">
        <w:rPr>
          <w:u w:val="single"/>
        </w:rPr>
        <w:t>no exceptions</w:t>
      </w:r>
      <w:r>
        <w:t>.</w:t>
      </w:r>
    </w:p>
    <w:p w14:paraId="7DF26579" w14:textId="77777777" w:rsidR="0002425C" w:rsidRPr="00E434D2" w:rsidRDefault="0002425C" w:rsidP="0002425C">
      <w:proofErr w:type="spellStart"/>
      <w:r w:rsidRPr="000F3723">
        <w:rPr>
          <w:rFonts w:eastAsiaTheme="majorEastAsia" w:cstheme="majorBidi"/>
          <w:b/>
          <w:iCs/>
          <w:sz w:val="26"/>
        </w:rPr>
        <w:t>Borrie</w:t>
      </w:r>
      <w:proofErr w:type="spellEnd"/>
      <w:r w:rsidRPr="000F3723">
        <w:rPr>
          <w:rFonts w:eastAsiaTheme="majorEastAsia" w:cstheme="majorBidi"/>
          <w:b/>
          <w:iCs/>
          <w:sz w:val="26"/>
        </w:rPr>
        <w:t xml:space="preserve"> et al. 16</w:t>
      </w:r>
      <w:r w:rsidRPr="000F3723">
        <w:t xml:space="preserve"> [(John, research coordinator at the United Nations Institute for Disarmament Research and leads its </w:t>
      </w:r>
      <w:proofErr w:type="spellStart"/>
      <w:r w:rsidRPr="000F3723">
        <w:t>programme</w:t>
      </w:r>
      <w:proofErr w:type="spellEnd"/>
      <w:r w:rsidRPr="000F3723">
        <w:t xml:space="preserve"> on weapons of mass destruction and other strategic weapons., </w:t>
      </w:r>
      <w:r w:rsidRPr="000F3723">
        <w:rPr>
          <w:lang w:val="en"/>
        </w:rPr>
        <w:t xml:space="preserve">Tim </w:t>
      </w:r>
      <w:proofErr w:type="spellStart"/>
      <w:r w:rsidRPr="000F3723">
        <w:rPr>
          <w:lang w:val="en"/>
        </w:rPr>
        <w:t>Caughle</w:t>
      </w:r>
      <w:proofErr w:type="spellEnd"/>
      <w:r w:rsidRPr="000F3723">
        <w:t>y,</w:t>
      </w:r>
      <w:r w:rsidRPr="000F3723">
        <w:rPr>
          <w:lang w:val="en"/>
        </w:rPr>
        <w:t xml:space="preserve"> currently a Non-Resident Senior Fellow at UNIDIR, and also chairs New Zealand's Committee on International Humanitarian Law</w:t>
      </w:r>
      <w:r w:rsidRPr="000F3723">
        <w:t>., Torbjørn Graff Hugo, Advisor at the International Law and Policy Institute., Magnus Løvold, Policy Adviser in the Arms Unit in the Legal Division of the International Committee of the Red Cross (ICRC)., Gro Nystuen, Senior Partner at the International Law and Policy Institute (ILPI) and dr. juris Associate Professor of Public International Law., CAMILLA WASZINK, Executive Director of Partnerships and Policy at Norwegian Refugee Council.) "A Prohibition on Nuclear Weapons: A Guide to the Issues → UNIDIR," https://unidir.org/publication/a-prohibition-on-nuclear-weapons-a-guide-to-the-issues/, 2-16-2016] TDI</w:t>
      </w:r>
    </w:p>
    <w:p w14:paraId="572BD3E8" w14:textId="77777777" w:rsidR="0002425C" w:rsidRDefault="0002425C" w:rsidP="0002425C">
      <w:r w:rsidRPr="00E434D2">
        <w:t xml:space="preserve">Proponents of a </w:t>
      </w:r>
      <w:r w:rsidRPr="00E434D2">
        <w:rPr>
          <w:rStyle w:val="Emphasis"/>
        </w:rPr>
        <w:t>ban on nuclear weapons</w:t>
      </w:r>
      <w:r w:rsidRPr="00E434D2">
        <w:rPr>
          <w:rStyle w:val="StyleUnderline"/>
        </w:rPr>
        <w:t xml:space="preserve"> also view such a measure as offering states the means to formalize a ‘</w:t>
      </w:r>
      <w:r w:rsidRPr="00E434D2">
        <w:rPr>
          <w:rStyle w:val="Emphasis"/>
        </w:rPr>
        <w:t>categorical rejection’</w:t>
      </w:r>
      <w:r w:rsidRPr="00E434D2">
        <w:rPr>
          <w:rStyle w:val="StyleUnderline"/>
        </w:rPr>
        <w:t xml:space="preserve"> of their use or </w:t>
      </w:r>
      <w:r w:rsidRPr="00E434D2">
        <w:rPr>
          <w:rStyle w:val="Emphasis"/>
        </w:rPr>
        <w:t>possession</w:t>
      </w:r>
      <w:r w:rsidRPr="00E434D2">
        <w:rPr>
          <w:rStyle w:val="StyleUnderline"/>
        </w:rPr>
        <w:t xml:space="preserve"> by anyone under </w:t>
      </w:r>
      <w:r w:rsidRPr="00E434D2">
        <w:rPr>
          <w:rStyle w:val="Emphasis"/>
        </w:rPr>
        <w:t>any circumstances</w:t>
      </w:r>
      <w:r w:rsidRPr="00E434D2">
        <w:t xml:space="preserve">.61 To that end, ICAN supports the negotiation of a legally binding instrument that would prohibit its parties from engaging under any circumstances in any activity related to the use, development, production, stockpiling, transfer, acquisition, deployment, and financing of nuclear weapons, as well as assistance in these acts. An important principle for ICAN is that negotiations on such an instrument should be ‘open to all and </w:t>
      </w:r>
      <w:proofErr w:type="spellStart"/>
      <w:r w:rsidRPr="00E434D2">
        <w:t>blockable</w:t>
      </w:r>
      <w:proofErr w:type="spellEnd"/>
      <w:r w:rsidRPr="00E434D2">
        <w:t xml:space="preserve"> by none’,62 indicating their belief that </w:t>
      </w:r>
      <w:r>
        <w:t>negotia</w:t>
      </w:r>
      <w:r w:rsidRPr="00E434D2">
        <w:t xml:space="preserve">tions could take place even if the nuclear-armed states choose not to participate, and that in the absence of a consensus rule, no state—including the nuclear-armed states—would be in a position to veto the outcome. </w:t>
      </w:r>
    </w:p>
    <w:p w14:paraId="476D5C59" w14:textId="77777777" w:rsidR="0002425C" w:rsidRDefault="0002425C" w:rsidP="0002425C"/>
    <w:p w14:paraId="6B6731D4" w14:textId="77777777" w:rsidR="0002425C" w:rsidRDefault="0002425C" w:rsidP="0002425C">
      <w:pPr>
        <w:pStyle w:val="Heading4"/>
      </w:pPr>
      <w:r>
        <w:t xml:space="preserve">It applies to </w:t>
      </w:r>
      <w:r w:rsidRPr="00B946FF">
        <w:rPr>
          <w:u w:val="single"/>
        </w:rPr>
        <w:t>any</w:t>
      </w:r>
      <w:r>
        <w:t xml:space="preserve"> object owned by a person.</w:t>
      </w:r>
    </w:p>
    <w:p w14:paraId="70EF87E0" w14:textId="77777777" w:rsidR="0002425C" w:rsidRDefault="0002425C" w:rsidP="0002425C">
      <w:r w:rsidRPr="00B946FF">
        <w:rPr>
          <w:rFonts w:eastAsiaTheme="majorEastAsia" w:cstheme="majorBidi"/>
          <w:b/>
          <w:iCs/>
          <w:sz w:val="26"/>
        </w:rPr>
        <w:t>Legal Information Institute, ND</w:t>
      </w:r>
      <w:r w:rsidRPr="00B946FF">
        <w:t xml:space="preserve"> ["possession," </w:t>
      </w:r>
      <w:r>
        <w:t>Cornell Law School</w:t>
      </w:r>
      <w:r w:rsidRPr="00B946FF">
        <w:t xml:space="preserve"> LII / Legal Information Institute, https://www.law.cornell.edu/wex/possession,] TDI</w:t>
      </w:r>
    </w:p>
    <w:p w14:paraId="303C91F0" w14:textId="77777777" w:rsidR="0002425C" w:rsidRPr="00B946FF" w:rsidRDefault="0002425C" w:rsidP="0002425C">
      <w:r w:rsidRPr="00B946FF">
        <w:rPr>
          <w:rStyle w:val="StyleUnderline"/>
        </w:rPr>
        <w:t>Possession</w:t>
      </w:r>
      <w:r w:rsidRPr="00B946FF">
        <w:t xml:space="preserve"> means the </w:t>
      </w:r>
      <w:r w:rsidRPr="00B946FF">
        <w:rPr>
          <w:rStyle w:val="StyleUnderline"/>
        </w:rPr>
        <w:t>ownership, control, or occupancy</w:t>
      </w:r>
      <w:r w:rsidRPr="00B946FF">
        <w:rPr>
          <w:rStyle w:val="Emphasis"/>
        </w:rPr>
        <w:t> of any object</w:t>
      </w:r>
      <w:r w:rsidRPr="00B946FF">
        <w:rPr>
          <w:rStyle w:val="StyleUnderline"/>
        </w:rPr>
        <w:t>, asset, or property, by a person</w:t>
      </w:r>
      <w:r w:rsidRPr="00B946FF">
        <w:t>.</w:t>
      </w:r>
    </w:p>
    <w:p w14:paraId="1EB77DE1" w14:textId="77777777" w:rsidR="0002425C" w:rsidRPr="00B946FF" w:rsidRDefault="0002425C" w:rsidP="0002425C">
      <w:r w:rsidRPr="00B946FF">
        <w:t>Cases such as this one from Missouri, explain that “</w:t>
      </w:r>
      <w:r w:rsidRPr="00B946FF">
        <w:rPr>
          <w:rStyle w:val="StyleUnderline"/>
        </w:rPr>
        <w:t>possession is defined as the detention and control, or the manual or ideal custody, of anything which may be the subject of property, for one's use and enjoyment, either as owner or as the proprietor of a qualified right in it, and either held personally or by another who exercises it in one's place and name</w:t>
      </w:r>
      <w:r w:rsidRPr="00B946FF">
        <w:t>.”</w:t>
      </w:r>
    </w:p>
    <w:p w14:paraId="0064E47A" w14:textId="77777777" w:rsidR="0002425C" w:rsidRDefault="0002425C" w:rsidP="0002425C"/>
    <w:p w14:paraId="7E4EFE59" w14:textId="77777777" w:rsidR="00F136E8" w:rsidRDefault="00F136E8" w:rsidP="00F136E8">
      <w:pPr>
        <w:pStyle w:val="Heading4"/>
      </w:pPr>
      <w:r>
        <w:t>Prohibiting “</w:t>
      </w:r>
      <w:r w:rsidRPr="000F3723">
        <w:t>Possession of nuclear weapons</w:t>
      </w:r>
      <w:r>
        <w:t xml:space="preserve">” applies to </w:t>
      </w:r>
      <w:r w:rsidRPr="000F3723">
        <w:rPr>
          <w:u w:val="single"/>
        </w:rPr>
        <w:t>all</w:t>
      </w:r>
      <w:r>
        <w:t xml:space="preserve"> weapons; it doesn’t allow subsets. </w:t>
      </w:r>
    </w:p>
    <w:p w14:paraId="378097F7" w14:textId="77777777" w:rsidR="00F136E8" w:rsidRPr="000F3723" w:rsidRDefault="00F136E8" w:rsidP="00F136E8">
      <w:proofErr w:type="spellStart"/>
      <w:r w:rsidRPr="000F3723">
        <w:rPr>
          <w:rFonts w:eastAsiaTheme="majorEastAsia" w:cstheme="majorBidi"/>
          <w:b/>
          <w:iCs/>
          <w:sz w:val="26"/>
        </w:rPr>
        <w:t>Borrie</w:t>
      </w:r>
      <w:proofErr w:type="spellEnd"/>
      <w:r w:rsidRPr="000F3723">
        <w:rPr>
          <w:rFonts w:eastAsiaTheme="majorEastAsia" w:cstheme="majorBidi"/>
          <w:b/>
          <w:iCs/>
          <w:sz w:val="26"/>
        </w:rPr>
        <w:t xml:space="preserve"> et al. 16</w:t>
      </w:r>
      <w:r w:rsidRPr="000F3723">
        <w:t xml:space="preserve"> [(John, research coordinator at the United Nations Institute for Disarmament Research and leads its </w:t>
      </w:r>
      <w:proofErr w:type="spellStart"/>
      <w:r w:rsidRPr="000F3723">
        <w:t>programme</w:t>
      </w:r>
      <w:proofErr w:type="spellEnd"/>
      <w:r w:rsidRPr="000F3723">
        <w:t xml:space="preserve"> on weapons of mass destruction and other strategic weapons., </w:t>
      </w:r>
      <w:r w:rsidRPr="000F3723">
        <w:rPr>
          <w:lang w:val="en"/>
        </w:rPr>
        <w:t xml:space="preserve">Tim </w:t>
      </w:r>
      <w:proofErr w:type="spellStart"/>
      <w:r w:rsidRPr="000F3723">
        <w:rPr>
          <w:lang w:val="en"/>
        </w:rPr>
        <w:t>Caughle</w:t>
      </w:r>
      <w:proofErr w:type="spellEnd"/>
      <w:r w:rsidRPr="000F3723">
        <w:t>y,</w:t>
      </w:r>
      <w:r w:rsidRPr="000F3723">
        <w:rPr>
          <w:lang w:val="en"/>
        </w:rPr>
        <w:t xml:space="preserve"> currently a Non-Resident Senior Fellow at UNIDIR, and also chairs New Zealand's Committee on International Humanitarian Law</w:t>
      </w:r>
      <w:r w:rsidRPr="000F3723">
        <w:t>., Torbjørn Graff Hugo, Advisor at the International Law and Policy Institute., Magnus Løvold, Policy Adviser in the Arms Unit in the Legal Division of the International Committee of the Red Cross (ICRC)., Gro Nystuen, Senior Partner at the International Law and Policy Institute (ILPI) and dr. juris Associate Professor of Public International Law., CAMILLA WASZINK, Executive Director of Partnerships and Policy at Norwegian Refugee Council.) "A Prohibition on Nuclear Weapons: A Guide to the Issues → UNIDIR," https://unidir.org/publication/a-prohibition-on-nuclear-weapons-a-guide-to-the-issues/, 2-16-2016] TDI</w:t>
      </w:r>
    </w:p>
    <w:p w14:paraId="5B52AD7B" w14:textId="77777777" w:rsidR="00F136E8" w:rsidRPr="00E434D2" w:rsidRDefault="00F136E8" w:rsidP="00F136E8">
      <w:pPr>
        <w:rPr>
          <w:sz w:val="16"/>
        </w:rPr>
      </w:pPr>
      <w:r w:rsidRPr="00A553B1">
        <w:rPr>
          <w:rStyle w:val="StyleUnderline"/>
        </w:rPr>
        <w:t xml:space="preserve">Several international legal instruments already prohibit the </w:t>
      </w:r>
      <w:r w:rsidRPr="00A553B1">
        <w:rPr>
          <w:rStyle w:val="Emphasis"/>
        </w:rPr>
        <w:t>possession of nuclear weapons</w:t>
      </w:r>
      <w:r w:rsidRPr="00A553B1">
        <w:rPr>
          <w:rStyle w:val="StyleUnderline"/>
        </w:rPr>
        <w:t>.</w:t>
      </w:r>
      <w:r w:rsidRPr="00E434D2">
        <w:rPr>
          <w:sz w:val="16"/>
        </w:rPr>
        <w:t xml:space="preserve"> </w:t>
      </w:r>
      <w:r w:rsidRPr="00A553B1">
        <w:rPr>
          <w:rStyle w:val="StyleUnderline"/>
        </w:rPr>
        <w:t>All of the nuclear-weapon-free zone treaties prohibit the possession of nuclear weapons</w:t>
      </w:r>
      <w:r w:rsidRPr="00E434D2">
        <w:rPr>
          <w:sz w:val="16"/>
        </w:rPr>
        <w:t xml:space="preserve"> by their state parties.111 Two of them—the </w:t>
      </w:r>
      <w:proofErr w:type="spellStart"/>
      <w:r w:rsidRPr="00E434D2">
        <w:rPr>
          <w:sz w:val="16"/>
        </w:rPr>
        <w:t>Pelindaba</w:t>
      </w:r>
      <w:proofErr w:type="spellEnd"/>
      <w:r w:rsidRPr="00E434D2">
        <w:rPr>
          <w:sz w:val="16"/>
        </w:rPr>
        <w:t xml:space="preserve"> and Semipalatinsk treaties—also explicitly prohibit stockpiling. The </w:t>
      </w:r>
      <w:proofErr w:type="spellStart"/>
      <w:r w:rsidRPr="00E434D2">
        <w:rPr>
          <w:sz w:val="16"/>
        </w:rPr>
        <w:t>Pelindaba</w:t>
      </w:r>
      <w:proofErr w:type="spellEnd"/>
      <w:r w:rsidRPr="00E434D2">
        <w:rPr>
          <w:sz w:val="16"/>
        </w:rPr>
        <w:t xml:space="preserve"> NWFZ treaty contains an additional obligation to destroy and dismantle nuclear explosive devices.112 </w:t>
      </w:r>
      <w:r w:rsidRPr="00A553B1">
        <w:rPr>
          <w:rStyle w:val="StyleUnderline"/>
        </w:rPr>
        <w:t xml:space="preserve">Article II of the NPT also implicitly113 prohibits the possession or stockpiling of nuclear weapons by the treaty’s non-nuclear-weapon states through their </w:t>
      </w:r>
      <w:r w:rsidRPr="006C1EC9">
        <w:rPr>
          <w:rStyle w:val="Emphasis"/>
        </w:rPr>
        <w:t>obligations not to</w:t>
      </w:r>
      <w:r w:rsidRPr="00A553B1">
        <w:rPr>
          <w:rStyle w:val="StyleUnderline"/>
        </w:rPr>
        <w:t xml:space="preserve"> receive or manufacture or </w:t>
      </w:r>
      <w:r w:rsidRPr="006C1EC9">
        <w:rPr>
          <w:rStyle w:val="Emphasis"/>
        </w:rPr>
        <w:t>acquire</w:t>
      </w:r>
      <w:r w:rsidRPr="00A553B1">
        <w:rPr>
          <w:rStyle w:val="StyleUnderline"/>
        </w:rPr>
        <w:t xml:space="preserve"> nuclear weapons</w:t>
      </w:r>
      <w:r w:rsidRPr="00E434D2">
        <w:rPr>
          <w:sz w:val="16"/>
        </w:rPr>
        <w:t xml:space="preserve">.114 </w:t>
      </w:r>
      <w:r w:rsidRPr="006C1EC9">
        <w:rPr>
          <w:rStyle w:val="StyleUnderline"/>
        </w:rPr>
        <w:t xml:space="preserve">If this NPT legal obligation were adhered to by all, it would be difficult if not </w:t>
      </w:r>
      <w:r w:rsidRPr="006C1EC9">
        <w:rPr>
          <w:rStyle w:val="Emphasis"/>
        </w:rPr>
        <w:t>impossible</w:t>
      </w:r>
      <w:r w:rsidRPr="006C1EC9">
        <w:rPr>
          <w:rStyle w:val="StyleUnderline"/>
        </w:rPr>
        <w:t xml:space="preserve"> for a </w:t>
      </w:r>
      <w:r w:rsidRPr="006C1EC9">
        <w:rPr>
          <w:rStyle w:val="Emphasis"/>
        </w:rPr>
        <w:t>state to come to possess a nuclear weapon</w:t>
      </w:r>
      <w:r w:rsidRPr="006C1EC9">
        <w:rPr>
          <w:rStyle w:val="StyleUnderline"/>
        </w:rPr>
        <w:t>, let alone stockpile them.</w:t>
      </w:r>
      <w:r w:rsidRPr="00E434D2">
        <w:rPr>
          <w:sz w:val="16"/>
        </w:rPr>
        <w:t xml:space="preserve"> But Article II does not apply to the NPT’s five nuclear-weapon states (all of whom possess and stockpile nuclear weapons). Nor of course does Article II apply to the four other nuclear-armed states outside the regime.115</w:t>
      </w:r>
    </w:p>
    <w:p w14:paraId="0DD61DDB" w14:textId="77777777" w:rsidR="00F136E8" w:rsidRPr="00E434D2" w:rsidRDefault="00F136E8" w:rsidP="00F136E8">
      <w:pPr>
        <w:rPr>
          <w:sz w:val="16"/>
        </w:rPr>
      </w:pPr>
    </w:p>
    <w:p w14:paraId="6A4409B0" w14:textId="77777777" w:rsidR="00F136E8" w:rsidRDefault="00F136E8" w:rsidP="00F136E8">
      <w:pPr>
        <w:pStyle w:val="Heading4"/>
      </w:pPr>
      <w:r>
        <w:t xml:space="preserve">It requires disarmament in </w:t>
      </w:r>
      <w:r w:rsidRPr="000F3723">
        <w:rPr>
          <w:u w:val="single"/>
        </w:rPr>
        <w:t>all its aspects</w:t>
      </w:r>
      <w:r>
        <w:t xml:space="preserve">. </w:t>
      </w:r>
    </w:p>
    <w:p w14:paraId="4F348871" w14:textId="77777777" w:rsidR="00F136E8" w:rsidRPr="000F3723" w:rsidRDefault="00F136E8" w:rsidP="00F136E8">
      <w:r w:rsidRPr="000F3723">
        <w:rPr>
          <w:rFonts w:eastAsiaTheme="majorEastAsia" w:cstheme="majorBidi"/>
          <w:b/>
          <w:iCs/>
          <w:sz w:val="26"/>
        </w:rPr>
        <w:t xml:space="preserve">Lawyers Committee on Nuclear Policy, </w:t>
      </w:r>
      <w:r>
        <w:rPr>
          <w:rFonts w:eastAsiaTheme="majorEastAsia" w:cstheme="majorBidi"/>
          <w:b/>
          <w:iCs/>
          <w:sz w:val="26"/>
        </w:rPr>
        <w:t>20</w:t>
      </w:r>
      <w:r w:rsidRPr="000F3723">
        <w:rPr>
          <w:rFonts w:eastAsiaTheme="majorEastAsia" w:cstheme="majorBidi"/>
          <w:b/>
          <w:iCs/>
          <w:sz w:val="26"/>
        </w:rPr>
        <w:t>00</w:t>
      </w:r>
      <w:r w:rsidRPr="000F3723">
        <w:t xml:space="preserve"> [(Lawyers Committee on Nuclear Policy, non-profit educational association of lawyers and legal scholars that engage in research and advocacy in support of the global elimination of nuclear weapons and a more just and peaceful world through respect for domestic and international law. LCNP serves as the UN office of the International Association of Lawyers Against Nuclear Arms.) "The Nuclear Non-Proliferation Treaty and the Rule of Law — Lawyers Committee on Nuclear Policy," https://www.lcnp.org/the-nuclear-nonproliferation-treaty-and-the-rule-of-law, </w:t>
      </w:r>
      <w:r>
        <w:t>March, 2000</w:t>
      </w:r>
      <w:r w:rsidRPr="000F3723">
        <w:t>] TDI</w:t>
      </w:r>
    </w:p>
    <w:p w14:paraId="2D633949" w14:textId="77777777" w:rsidR="00F136E8" w:rsidRPr="000F3723" w:rsidRDefault="00F136E8" w:rsidP="00F136E8">
      <w:r w:rsidRPr="000F3723">
        <w:t xml:space="preserve">The </w:t>
      </w:r>
      <w:r w:rsidRPr="000F3723">
        <w:rPr>
          <w:rStyle w:val="StyleUnderline"/>
        </w:rPr>
        <w:t>possession of nuclear weapons for all but a handful of states is prohibited by the Nuclear Non-Proliferation Treaty (</w:t>
      </w:r>
      <w:r w:rsidRPr="000F3723">
        <w:rPr>
          <w:rStyle w:val="Emphasis"/>
        </w:rPr>
        <w:t>NPT</w:t>
      </w:r>
      <w:r w:rsidRPr="000F3723">
        <w:rPr>
          <w:rStyle w:val="StyleUnderline"/>
        </w:rPr>
        <w:t>)</w:t>
      </w:r>
      <w:r w:rsidRPr="000F3723">
        <w:t xml:space="preserve">. Those </w:t>
      </w:r>
      <w:r w:rsidRPr="000F3723">
        <w:rPr>
          <w:rStyle w:val="StyleUnderline"/>
        </w:rPr>
        <w:t xml:space="preserve">few states possessing nuclear weapons are under a </w:t>
      </w:r>
      <w:r w:rsidRPr="000F3723">
        <w:rPr>
          <w:rStyle w:val="Emphasis"/>
        </w:rPr>
        <w:t>legal obligation</w:t>
      </w:r>
      <w:r w:rsidRPr="000F3723">
        <w:t>, set forth in Article VI of the NPT, to "</w:t>
      </w:r>
      <w:r w:rsidRPr="000F3723">
        <w:rPr>
          <w:rStyle w:val="StyleUnderline"/>
        </w:rPr>
        <w:t xml:space="preserve">pursue negotiations in good faith on effective measures relating to </w:t>
      </w:r>
      <w:r w:rsidRPr="000F3723">
        <w:rPr>
          <w:rStyle w:val="Emphasis"/>
        </w:rPr>
        <w:t>cessation</w:t>
      </w:r>
      <w:r w:rsidRPr="000F3723">
        <w:rPr>
          <w:rStyle w:val="StyleUnderline"/>
        </w:rPr>
        <w:t xml:space="preserve"> of the nuclear arms race at an early date and to nuclear disarmament</w:t>
      </w:r>
      <w:r w:rsidRPr="000F3723">
        <w:t xml:space="preserve">". As authoritatively interpreted by the ICJ, </w:t>
      </w:r>
      <w:r w:rsidRPr="000F3723">
        <w:rPr>
          <w:rStyle w:val="StyleUnderline"/>
        </w:rPr>
        <w:t xml:space="preserve">this obligation requires states "to bring to a conclusion negotiations leading to nuclear </w:t>
      </w:r>
      <w:r w:rsidRPr="000F3723">
        <w:rPr>
          <w:rStyle w:val="Emphasis"/>
        </w:rPr>
        <w:t>disarmament in all its aspects</w:t>
      </w:r>
      <w:r w:rsidRPr="000F3723">
        <w:rPr>
          <w:rStyle w:val="StyleUnderline"/>
        </w:rPr>
        <w:t xml:space="preserve"> under strict and effective international control</w:t>
      </w:r>
      <w:r w:rsidRPr="000F3723">
        <w:t xml:space="preserve">." Also important </w:t>
      </w:r>
      <w:r w:rsidRPr="000F3723">
        <w:rPr>
          <w:rStyle w:val="StyleUnderline"/>
        </w:rPr>
        <w:t>is the sometimes overlooked phrase "</w:t>
      </w:r>
      <w:r w:rsidRPr="000F3723">
        <w:rPr>
          <w:rStyle w:val="Emphasis"/>
        </w:rPr>
        <w:t>cessation of the arms race at an early date</w:t>
      </w:r>
      <w:r w:rsidRPr="000F3723">
        <w:rPr>
          <w:rStyle w:val="StyleUnderline"/>
        </w:rPr>
        <w:t>", e.g. </w:t>
      </w:r>
      <w:r w:rsidRPr="000F3723">
        <w:rPr>
          <w:rStyle w:val="Emphasis"/>
        </w:rPr>
        <w:t>ending</w:t>
      </w:r>
      <w:r w:rsidRPr="000F3723">
        <w:rPr>
          <w:rStyle w:val="StyleUnderline"/>
        </w:rPr>
        <w:t xml:space="preserve"> the development of modified or </w:t>
      </w:r>
      <w:r w:rsidRPr="000F3723">
        <w:rPr>
          <w:rStyle w:val="Emphasis"/>
        </w:rPr>
        <w:t>new design nuclear weapons</w:t>
      </w:r>
      <w:r w:rsidRPr="000F3723">
        <w:t>.</w:t>
      </w:r>
    </w:p>
    <w:p w14:paraId="52995E04" w14:textId="77777777" w:rsidR="00F136E8" w:rsidRDefault="00F136E8" w:rsidP="00F136E8"/>
    <w:p w14:paraId="21C41FF6" w14:textId="77777777" w:rsidR="00F136E8" w:rsidRDefault="00F136E8" w:rsidP="00F136E8">
      <w:pPr>
        <w:pStyle w:val="Heading4"/>
      </w:pPr>
      <w:r>
        <w:t>It applies to all.</w:t>
      </w:r>
    </w:p>
    <w:p w14:paraId="7C0AF33C" w14:textId="77777777" w:rsidR="00F136E8" w:rsidRDefault="00F136E8" w:rsidP="00F136E8">
      <w:proofErr w:type="spellStart"/>
      <w:r w:rsidRPr="000F3723">
        <w:rPr>
          <w:rFonts w:eastAsiaTheme="majorEastAsia" w:cstheme="majorBidi"/>
          <w:b/>
          <w:iCs/>
          <w:sz w:val="26"/>
        </w:rPr>
        <w:t>Borrie</w:t>
      </w:r>
      <w:proofErr w:type="spellEnd"/>
      <w:r w:rsidRPr="000F3723">
        <w:rPr>
          <w:rFonts w:eastAsiaTheme="majorEastAsia" w:cstheme="majorBidi"/>
          <w:b/>
          <w:iCs/>
          <w:sz w:val="26"/>
        </w:rPr>
        <w:t xml:space="preserve"> et al. 16</w:t>
      </w:r>
      <w:r w:rsidRPr="000F3723">
        <w:t xml:space="preserve"> [(John, research coordinator at the United Nations Institute for Disarmament Research and leads its </w:t>
      </w:r>
      <w:proofErr w:type="spellStart"/>
      <w:r w:rsidRPr="000F3723">
        <w:t>programme</w:t>
      </w:r>
      <w:proofErr w:type="spellEnd"/>
      <w:r w:rsidRPr="000F3723">
        <w:t xml:space="preserve"> on weapons of mass destruction and other strategic weapons., </w:t>
      </w:r>
      <w:r w:rsidRPr="000F3723">
        <w:rPr>
          <w:lang w:val="en"/>
        </w:rPr>
        <w:t xml:space="preserve">Tim </w:t>
      </w:r>
      <w:proofErr w:type="spellStart"/>
      <w:r w:rsidRPr="000F3723">
        <w:rPr>
          <w:lang w:val="en"/>
        </w:rPr>
        <w:t>Caughle</w:t>
      </w:r>
      <w:proofErr w:type="spellEnd"/>
      <w:r w:rsidRPr="000F3723">
        <w:t>y,</w:t>
      </w:r>
      <w:r w:rsidRPr="000F3723">
        <w:rPr>
          <w:lang w:val="en"/>
        </w:rPr>
        <w:t xml:space="preserve"> currently a Non-Resident Senior Fellow at UNIDIR, and also chairs New Zealand's Committee on International Humanitarian Law</w:t>
      </w:r>
      <w:r w:rsidRPr="000F3723">
        <w:t>., Torbjørn Graff Hugo, Advisor at the International Law and Policy Institute., Magnus Løvold, Policy Adviser in the Arms Unit in the Legal Division of the International Committee of the Red Cross (ICRC)., Gro Nystuen, Senior Partner at the International Law and Policy Institute (ILPI) and dr. juris Associate Professor of Public International Law., CAMILLA WASZINK, Executive Director of Partnerships and Policy at Norwegian Refugee Council.) "A Prohibition on Nuclear Weapons: A Guide to the Issues → UNIDIR," https://unidir.org/publication/a-prohibition-on-nuclear-weapons-a-guide-to-the-issues/, 2-16-2016] TDI</w:t>
      </w:r>
    </w:p>
    <w:p w14:paraId="4B2240F4" w14:textId="77777777" w:rsidR="00F136E8" w:rsidRDefault="00F136E8" w:rsidP="00F136E8">
      <w:r w:rsidRPr="00E434D2">
        <w:t xml:space="preserve">Several international legal instruments already prohibit the possession of nuclear weapons. In light of the legal instruments mentioned above, critics of the notion of a nuclear weapons prohibition question the value of an additional prohibition on nuclear weapon possession or stockpiling, especially if it is does not involve current possessors when negotiated. They ask, in effect, what difference would it make? A common answer given by ban proponents is that such prohibitions would be in line with </w:t>
      </w:r>
      <w:r w:rsidRPr="00E434D2">
        <w:rPr>
          <w:rStyle w:val="StyleUnderline"/>
        </w:rPr>
        <w:t xml:space="preserve">a ban’s presumed normative objective—to consolidate the general understanding in world affairs that nuclear weapons are unacceptable </w:t>
      </w:r>
      <w:r w:rsidRPr="00E434D2">
        <w:rPr>
          <w:rStyle w:val="Emphasis"/>
        </w:rPr>
        <w:t>in any hands</w:t>
      </w:r>
      <w:r w:rsidRPr="00E434D2">
        <w:rPr>
          <w:rStyle w:val="StyleUnderline"/>
        </w:rPr>
        <w:t>, and cannot be used</w:t>
      </w:r>
      <w:r w:rsidRPr="00E434D2">
        <w:t xml:space="preserve">. Instilling that understanding is intended to affect policies and </w:t>
      </w:r>
      <w:proofErr w:type="spellStart"/>
      <w:r w:rsidRPr="00E434D2">
        <w:t>behaviour</w:t>
      </w:r>
      <w:proofErr w:type="spellEnd"/>
      <w:r w:rsidRPr="00E434D2">
        <w:t xml:space="preserve"> over time in ways that make it more difficult for possessors to resist nuclear disarmament and for proliferation of nuclear arms to occur. By virtue of the fact that a ‘(r)</w:t>
      </w:r>
      <w:proofErr w:type="spellStart"/>
      <w:r w:rsidRPr="00E434D2">
        <w:t>esort</w:t>
      </w:r>
      <w:proofErr w:type="spellEnd"/>
      <w:r w:rsidRPr="00E434D2">
        <w:t xml:space="preserve"> to nuclear weapons presupposes their production, testing, stockpiling, transportation and deployment before actual use in hostilities’,116 prohibitions on nuclear weapon possession and stockpiling could help to clarify the nuclear doctrines and policies of extended deterrence</w:t>
      </w:r>
    </w:p>
    <w:p w14:paraId="5FB5ECE7" w14:textId="77777777" w:rsidR="00B946FF" w:rsidRDefault="00B946FF" w:rsidP="00F136E8"/>
    <w:p w14:paraId="5D44F912" w14:textId="77777777" w:rsidR="00B946FF" w:rsidRDefault="00B946FF" w:rsidP="00F136E8"/>
    <w:p w14:paraId="7C22A9BA" w14:textId="016B154E" w:rsidR="00F136E8" w:rsidRDefault="004D610C" w:rsidP="004D610C">
      <w:pPr>
        <w:pStyle w:val="Heading3"/>
      </w:pPr>
      <w:r>
        <w:t>Possession---A2: Excludes Subsets---1AR</w:t>
      </w:r>
    </w:p>
    <w:p w14:paraId="5D20F872" w14:textId="77777777" w:rsidR="000A1356" w:rsidRDefault="000A1356" w:rsidP="000A1356">
      <w:pPr>
        <w:pStyle w:val="Heading4"/>
      </w:pPr>
      <w:r>
        <w:t>Prohibiting “possession of” allows exceptions.</w:t>
      </w:r>
    </w:p>
    <w:p w14:paraId="54E82021" w14:textId="23A3B970" w:rsidR="000A1356" w:rsidRPr="007900D7" w:rsidRDefault="0002425C" w:rsidP="000A1356">
      <w:r w:rsidRPr="0002425C">
        <w:rPr>
          <w:rFonts w:eastAsiaTheme="majorEastAsia" w:cstheme="majorBidi"/>
          <w:b/>
          <w:iCs/>
          <w:sz w:val="26"/>
        </w:rPr>
        <w:t>JI Law</w:t>
      </w:r>
      <w:r w:rsidR="000A1356" w:rsidRPr="0002425C">
        <w:rPr>
          <w:rFonts w:eastAsiaTheme="majorEastAsia" w:cstheme="majorBidi"/>
          <w:b/>
          <w:iCs/>
          <w:sz w:val="26"/>
        </w:rPr>
        <w:t xml:space="preserve">, </w:t>
      </w:r>
      <w:r w:rsidRPr="0002425C">
        <w:rPr>
          <w:rFonts w:eastAsiaTheme="majorEastAsia" w:cstheme="majorBidi"/>
          <w:b/>
          <w:iCs/>
          <w:sz w:val="26"/>
        </w:rPr>
        <w:t>ND</w:t>
      </w:r>
      <w:r w:rsidR="000A1356" w:rsidRPr="007900D7">
        <w:t xml:space="preserve"> [(</w:t>
      </w:r>
      <w:r>
        <w:t>Joe Ingram Law</w:t>
      </w:r>
      <w:r w:rsidR="000A1356" w:rsidRPr="007900D7">
        <w:t>) "Beyond Firearms: Federal Prohibitions on Biological and Chemical Weapons," https://joeingramlaw.com/articles/null/null/beyond-firearms-federal-prohibitions-on-biological-and-chemical-weapons,] TDI</w:t>
      </w:r>
    </w:p>
    <w:p w14:paraId="68256F59" w14:textId="77777777" w:rsidR="000A1356" w:rsidRPr="007900D7" w:rsidRDefault="000A1356" w:rsidP="000A1356">
      <w:r w:rsidRPr="007900D7">
        <w:t xml:space="preserve">Federal law also defines certain chemical weapons offenses. Such </w:t>
      </w:r>
      <w:r w:rsidRPr="0002425C">
        <w:rPr>
          <w:rStyle w:val="StyleUnderline"/>
        </w:rPr>
        <w:t>offenses are covered by 18 U.S.C. §229</w:t>
      </w:r>
      <w:r w:rsidRPr="007900D7">
        <w:t xml:space="preserve">. This section makes it </w:t>
      </w:r>
      <w:r w:rsidRPr="007900D7">
        <w:rPr>
          <w:rStyle w:val="StyleUnderline"/>
        </w:rPr>
        <w:t>unlawful for a person to knowingly develop, acquire, possess, use, or threaten to use any chemical weapon, or assist or induce anyone else or conspire to commit any such act</w:t>
      </w:r>
      <w:r w:rsidRPr="007900D7">
        <w:t xml:space="preserve">. The statute </w:t>
      </w:r>
      <w:r w:rsidRPr="007900D7">
        <w:rPr>
          <w:rStyle w:val="Emphasis"/>
        </w:rPr>
        <w:t>contains exceptions</w:t>
      </w:r>
      <w:r w:rsidRPr="007900D7">
        <w:t xml:space="preserve"> for departments and agencies within the United States government, and any person authorized by law or in appropriate United States Office to possess the chemical weapon. Additionally, when facing a chemical weapon emergency, a </w:t>
      </w:r>
      <w:r w:rsidRPr="007900D7">
        <w:rPr>
          <w:rStyle w:val="StyleUnderline"/>
        </w:rPr>
        <w:t xml:space="preserve">nonculpable person </w:t>
      </w:r>
      <w:r w:rsidRPr="007900D7">
        <w:rPr>
          <w:rStyle w:val="Emphasis"/>
        </w:rPr>
        <w:t>may possess</w:t>
      </w:r>
      <w:r w:rsidRPr="007900D7">
        <w:rPr>
          <w:rStyle w:val="StyleUnderline"/>
        </w:rPr>
        <w:t xml:space="preserve"> a chemical weapon</w:t>
      </w:r>
      <w:r w:rsidRPr="007900D7">
        <w:t xml:space="preserve"> in order to seize or destroy the weapon.</w:t>
      </w:r>
    </w:p>
    <w:p w14:paraId="65EFEC85" w14:textId="77777777" w:rsidR="004D610C" w:rsidRPr="004D610C" w:rsidRDefault="004D610C" w:rsidP="004D610C"/>
    <w:p w14:paraId="350C38A6" w14:textId="77777777" w:rsidR="0002425C" w:rsidRPr="00A01B2B" w:rsidRDefault="0002425C" w:rsidP="0002425C">
      <w:pPr>
        <w:pStyle w:val="Heading4"/>
      </w:pPr>
      <w:r>
        <w:t xml:space="preserve">Moral judgements are made through </w:t>
      </w:r>
      <w:r w:rsidRPr="00A01B2B">
        <w:rPr>
          <w:u w:val="single"/>
        </w:rPr>
        <w:t>specification</w:t>
      </w:r>
      <w:r>
        <w:t>.</w:t>
      </w:r>
    </w:p>
    <w:p w14:paraId="30E5F632" w14:textId="77777777" w:rsidR="0002425C" w:rsidRPr="00A01B2B" w:rsidRDefault="0002425C" w:rsidP="0002425C">
      <w:r w:rsidRPr="00A01B2B">
        <w:rPr>
          <w:rFonts w:eastAsiaTheme="majorEastAsia" w:cstheme="majorBidi"/>
          <w:b/>
          <w:iCs/>
          <w:sz w:val="26"/>
        </w:rPr>
        <w:t>Gomis-Pont et al., 19</w:t>
      </w:r>
      <w:r w:rsidRPr="00A01B2B">
        <w:t xml:space="preserve"> [(Sandra Gomis-Pont, Postdoctoral Researcher in neuroscience, Mari Carmen Navarro-Plaza, biomedical scientist and researcher, Joaquin </w:t>
      </w:r>
      <w:proofErr w:type="spellStart"/>
      <w:r w:rsidRPr="00A01B2B">
        <w:t>Navajas</w:t>
      </w:r>
      <w:proofErr w:type="spellEnd"/>
      <w:r w:rsidRPr="00A01B2B">
        <w:t>, associate professor and head of neuroscience lab at Universidad Torcuato Di Tella, Rodrigo Quian Quiroga, Neuroscientist and research chair at the university of Leicester, Salvador Sala, Head of the European Space for Citizenship Education Uni, and Luis M. Martinez, Senior Research Scientist and Head of Lab with the Spanish National Research Council at the Institute of Neuroscience in Alicante</w:t>
      </w:r>
      <w:r>
        <w:t>.</w:t>
      </w:r>
      <w:r w:rsidRPr="00A01B2B">
        <w:t>) "A new scaling rule for context-dependent moral judgments," Institute of Neuroscience, https://osf.io/rbhqd_v1, 11-3-2019] TDI</w:t>
      </w:r>
    </w:p>
    <w:p w14:paraId="0122B75B" w14:textId="77777777" w:rsidR="0002425C" w:rsidRPr="00A01B2B" w:rsidRDefault="0002425C" w:rsidP="0002425C">
      <w:pPr>
        <w:rPr>
          <w:rStyle w:val="StyleUnderline"/>
        </w:rPr>
      </w:pPr>
      <w:r w:rsidRPr="00A01B2B">
        <w:rPr>
          <w:rStyle w:val="Emphasis"/>
        </w:rPr>
        <w:t>Current models of moral judgment</w:t>
      </w:r>
      <w:r w:rsidRPr="00A01B2B">
        <w:rPr>
          <w:rStyle w:val="StyleUnderline"/>
        </w:rPr>
        <w:t xml:space="preserve"> have been very influential and useful</w:t>
      </w:r>
      <w:r w:rsidRPr="00A01B2B">
        <w:t xml:space="preserve">, but they 320 </w:t>
      </w:r>
      <w:r w:rsidRPr="00A01B2B">
        <w:rPr>
          <w:rStyle w:val="StyleUnderline"/>
        </w:rPr>
        <w:t xml:space="preserve">largely </w:t>
      </w:r>
      <w:r w:rsidRPr="00A01B2B">
        <w:rPr>
          <w:rStyle w:val="Emphasis"/>
        </w:rPr>
        <w:t>underestimate</w:t>
      </w:r>
      <w:r w:rsidRPr="00A01B2B">
        <w:rPr>
          <w:rStyle w:val="StyleUnderline"/>
        </w:rPr>
        <w:t xml:space="preserve"> the role that context plays in people’s behavior</w:t>
      </w:r>
      <w:r w:rsidRPr="00A01B2B">
        <w:t xml:space="preserve"> (12-20). Here we 321 show that </w:t>
      </w:r>
      <w:r w:rsidRPr="00A01B2B">
        <w:rPr>
          <w:rStyle w:val="StyleUnderline"/>
        </w:rPr>
        <w:t>when making a moral decision we do not simply judge the action and/or its 322 consequences, we judge the protagonist performing the action embedded in a given set 323 of circumstances</w:t>
      </w:r>
      <w:r w:rsidRPr="00A01B2B">
        <w:t xml:space="preserve"> and </w:t>
      </w:r>
      <w:r w:rsidRPr="00A01B2B">
        <w:rPr>
          <w:rStyle w:val="StyleUnderline"/>
        </w:rPr>
        <w:t>we normalize their behavior using the same gain control 324 mechanisms that operate in other sensory and motor domains</w:t>
      </w:r>
      <w:r w:rsidRPr="00A01B2B">
        <w:t xml:space="preserve"> (1-9). This </w:t>
      </w:r>
      <w:r w:rsidRPr="00A01B2B">
        <w:rPr>
          <w:rStyle w:val="StyleUnderline"/>
        </w:rPr>
        <w:t>operation 325 results in a subjective, and relative rather than absolute, representation of the PA 326 towards the protagonist of the dilemma</w:t>
      </w:r>
      <w:r w:rsidRPr="00A01B2B">
        <w:t xml:space="preserve">, which in turn </w:t>
      </w:r>
      <w:r w:rsidRPr="00A01B2B">
        <w:rPr>
          <w:rStyle w:val="StyleUnderline"/>
        </w:rPr>
        <w:t xml:space="preserve">accurately predicts both the latency 327 and ratio of </w:t>
      </w:r>
      <w:r w:rsidRPr="00A01B2B">
        <w:rPr>
          <w:rStyle w:val="Emphasis"/>
        </w:rPr>
        <w:t>deontological and contextual</w:t>
      </w:r>
      <w:r w:rsidRPr="00A01B2B">
        <w:rPr>
          <w:rStyle w:val="StyleUnderline"/>
        </w:rPr>
        <w:t xml:space="preserve"> responses.</w:t>
      </w:r>
    </w:p>
    <w:p w14:paraId="27D9A85D" w14:textId="3ACC97DB" w:rsidR="00F0283A" w:rsidRDefault="00F41D0B" w:rsidP="00F41D0B">
      <w:pPr>
        <w:pStyle w:val="Heading2"/>
      </w:pPr>
      <w:r>
        <w:t>Of</w:t>
      </w:r>
    </w:p>
    <w:p w14:paraId="223BC731" w14:textId="67FC560D" w:rsidR="00E66751" w:rsidRPr="00927104" w:rsidRDefault="00676102" w:rsidP="00E66751">
      <w:pPr>
        <w:pStyle w:val="Heading3"/>
      </w:pPr>
      <w:r>
        <w:t>Of---O</w:t>
      </w:r>
      <w:r w:rsidR="00E66751" w:rsidRPr="00927104">
        <w:t>bject</w:t>
      </w:r>
    </w:p>
    <w:p w14:paraId="6A555F6A" w14:textId="77777777" w:rsidR="00E66751" w:rsidRPr="00927104" w:rsidRDefault="00E66751" w:rsidP="00E66751">
      <w:pPr>
        <w:pStyle w:val="Heading4"/>
      </w:pPr>
      <w:r w:rsidRPr="00927104">
        <w:t xml:space="preserve">‘Of’ indicates the </w:t>
      </w:r>
      <w:r w:rsidRPr="00927104">
        <w:rPr>
          <w:u w:val="single"/>
        </w:rPr>
        <w:t>object</w:t>
      </w:r>
      <w:r w:rsidRPr="00927104">
        <w:t xml:space="preserve"> of the action. </w:t>
      </w:r>
    </w:p>
    <w:p w14:paraId="683A63AF" w14:textId="77777777" w:rsidR="00E66751" w:rsidRPr="00927104" w:rsidRDefault="00E66751" w:rsidP="00E66751">
      <w:r w:rsidRPr="00927104">
        <w:rPr>
          <w:rStyle w:val="Style13ptBold"/>
        </w:rPr>
        <w:t>Meriam Webster ’ND</w:t>
      </w:r>
      <w:r w:rsidRPr="00927104">
        <w:t xml:space="preserve"> [“of.” https://www.merriam-webster.com/dictionary/of] TDI</w:t>
      </w:r>
    </w:p>
    <w:p w14:paraId="230F2C48" w14:textId="77777777" w:rsidR="00E66751" w:rsidRPr="00927104" w:rsidRDefault="00E66751" w:rsidP="00E66751">
      <w:pPr>
        <w:rPr>
          <w:rStyle w:val="StyleUnderline"/>
        </w:rPr>
      </w:pPr>
      <w:r w:rsidRPr="00927104">
        <w:rPr>
          <w:rStyle w:val="StyleUnderline"/>
        </w:rPr>
        <w:t xml:space="preserve">used as </w:t>
      </w:r>
      <w:r w:rsidRPr="00C657D3">
        <w:rPr>
          <w:rStyle w:val="StyleUnderline"/>
          <w:highlight w:val="cyan"/>
        </w:rPr>
        <w:t xml:space="preserve">a </w:t>
      </w:r>
      <w:r w:rsidRPr="00C657D3">
        <w:rPr>
          <w:rStyle w:val="Emphasis"/>
          <w:highlight w:val="cyan"/>
        </w:rPr>
        <w:t>function word</w:t>
      </w:r>
      <w:r w:rsidRPr="00C657D3">
        <w:rPr>
          <w:rStyle w:val="StyleUnderline"/>
          <w:highlight w:val="cyan"/>
        </w:rPr>
        <w:t xml:space="preserve"> to indicate</w:t>
      </w:r>
      <w:r w:rsidRPr="00927104">
        <w:rPr>
          <w:rStyle w:val="StyleUnderline"/>
        </w:rPr>
        <w:t xml:space="preserve"> the </w:t>
      </w:r>
      <w:r w:rsidRPr="00C657D3">
        <w:rPr>
          <w:rStyle w:val="Emphasis"/>
          <w:highlight w:val="cyan"/>
        </w:rPr>
        <w:t>object of an action</w:t>
      </w:r>
      <w:r w:rsidRPr="00927104">
        <w:rPr>
          <w:sz w:val="16"/>
          <w:szCs w:val="16"/>
        </w:rPr>
        <w:t xml:space="preserve"> denoted or implied by the preceding noun</w:t>
      </w:r>
    </w:p>
    <w:p w14:paraId="70B671E1" w14:textId="77777777" w:rsidR="004E5408" w:rsidRPr="00F136E8" w:rsidRDefault="004E5408" w:rsidP="00F136E8"/>
    <w:p w14:paraId="1D645492" w14:textId="0D4C816F" w:rsidR="00F41D0B" w:rsidRDefault="00F41D0B" w:rsidP="00F41D0B">
      <w:pPr>
        <w:pStyle w:val="Heading2"/>
      </w:pPr>
      <w:r>
        <w:t>Nuclear Weapons</w:t>
      </w:r>
    </w:p>
    <w:p w14:paraId="5076EFA2" w14:textId="2E9F1B01" w:rsidR="004D610C" w:rsidRDefault="004D610C" w:rsidP="004D610C">
      <w:pPr>
        <w:pStyle w:val="Heading3"/>
      </w:pPr>
      <w:r>
        <w:t>Nuclear Weapons---</w:t>
      </w:r>
      <w:r w:rsidR="00945984">
        <w:t>Fission/Fusion</w:t>
      </w:r>
    </w:p>
    <w:p w14:paraId="499756DD" w14:textId="2FC23D1F" w:rsidR="004D610C" w:rsidRDefault="004D610C" w:rsidP="004D610C">
      <w:pPr>
        <w:pStyle w:val="Heading4"/>
      </w:pPr>
      <w:r>
        <w:t>Nuclear weapons</w:t>
      </w:r>
    </w:p>
    <w:p w14:paraId="736078A6" w14:textId="49A732CC" w:rsidR="004D610C" w:rsidRPr="004D610C" w:rsidRDefault="004D610C" w:rsidP="004D610C">
      <w:r w:rsidRPr="004D610C">
        <w:rPr>
          <w:rFonts w:eastAsiaTheme="majorEastAsia" w:cstheme="majorBidi"/>
          <w:b/>
          <w:iCs/>
          <w:sz w:val="26"/>
        </w:rPr>
        <w:t>NTI, ND</w:t>
      </w:r>
      <w:r w:rsidRPr="004D610C">
        <w:t xml:space="preserve"> ["Nuclear Weapons,"</w:t>
      </w:r>
      <w:r>
        <w:t xml:space="preserve"> Nuclear Threat Initiative,</w:t>
      </w:r>
      <w:r w:rsidRPr="004D610C">
        <w:t xml:space="preserve"> https://tutorials.nti.org/nuclear-101/nuclear-weapons/,] TDI</w:t>
      </w:r>
    </w:p>
    <w:p w14:paraId="04F64DDD" w14:textId="05BF38F5" w:rsidR="004D610C" w:rsidRDefault="004D610C" w:rsidP="004D610C">
      <w:r w:rsidRPr="004D610C">
        <w:t>A </w:t>
      </w:r>
      <w:r w:rsidRPr="004D610C">
        <w:rPr>
          <w:rStyle w:val="StyleUnderline"/>
        </w:rPr>
        <w:t xml:space="preserve">nuclear weapon is a weapon that derives its incredible destructive force from the sudden release of the energy created by a self-sustaining </w:t>
      </w:r>
      <w:r w:rsidRPr="004D610C">
        <w:rPr>
          <w:rStyle w:val="Emphasis"/>
        </w:rPr>
        <w:t>nuclear fission and/or fusion reaction</w:t>
      </w:r>
      <w:r w:rsidRPr="004D610C">
        <w:t>.</w:t>
      </w:r>
    </w:p>
    <w:p w14:paraId="004733AE" w14:textId="759942B3" w:rsidR="002C3EE3" w:rsidRDefault="002C3EE3" w:rsidP="00774414">
      <w:pPr>
        <w:pStyle w:val="Heading3"/>
      </w:pPr>
      <w:r>
        <w:t>Nuclear Weapons---Not</w:t>
      </w:r>
      <w:r w:rsidR="00A95598">
        <w:t xml:space="preserve"> Delivery System</w:t>
      </w:r>
      <w:r>
        <w:t>---1NC</w:t>
      </w:r>
    </w:p>
    <w:p w14:paraId="13F37B4B" w14:textId="77777777" w:rsidR="00BB1EBC" w:rsidRDefault="00BB1EBC" w:rsidP="00BB1EBC"/>
    <w:p w14:paraId="4D9581EC" w14:textId="77777777" w:rsidR="00BB1EBC" w:rsidRDefault="00BB1EBC" w:rsidP="00BB1EBC">
      <w:pPr>
        <w:pStyle w:val="Heading4"/>
      </w:pPr>
      <w:r>
        <w:t xml:space="preserve">Excludes anything </w:t>
      </w:r>
      <w:r w:rsidRPr="00BB1EBC">
        <w:rPr>
          <w:u w:val="single"/>
        </w:rPr>
        <w:t>separable</w:t>
      </w:r>
      <w:r>
        <w:t xml:space="preserve"> from the device.</w:t>
      </w:r>
    </w:p>
    <w:p w14:paraId="493837FB" w14:textId="7BA6202F" w:rsidR="00BB1EBC" w:rsidRPr="00BB1EBC" w:rsidRDefault="00BB1EBC" w:rsidP="00BB1EBC">
      <w:r w:rsidRPr="00BB1EBC">
        <w:rPr>
          <w:rFonts w:eastAsiaTheme="majorEastAsia" w:cstheme="majorBidi"/>
          <w:b/>
          <w:iCs/>
          <w:sz w:val="26"/>
        </w:rPr>
        <w:t>Rogers, 70</w:t>
      </w:r>
      <w:r w:rsidRPr="00BB1EBC">
        <w:t xml:space="preserve"> [(William, 55th United States Secretary of State.) "Transmission to the Senate for advice and consent to ratification of Additional Protocol II to the Latin American Nuclear Free Zone Treaty," Office of the Historian, https://history.state.gov/historicaldocuments/frus1969-76ve02/d357, 7-16-1970] TDI</w:t>
      </w:r>
    </w:p>
    <w:p w14:paraId="3E37A1E9" w14:textId="4423FD37" w:rsidR="00BB1EBC" w:rsidRPr="00945984" w:rsidRDefault="00BB1EBC" w:rsidP="00BB1EBC">
      <w:pPr>
        <w:rPr>
          <w:sz w:val="16"/>
        </w:rPr>
      </w:pPr>
      <w:r w:rsidRPr="00BB1EBC">
        <w:rPr>
          <w:rStyle w:val="StyleUnderline"/>
        </w:rPr>
        <w:t xml:space="preserve">Article 5 of the Treaty </w:t>
      </w:r>
      <w:r w:rsidRPr="00BB1EBC">
        <w:rPr>
          <w:rStyle w:val="Emphasis"/>
        </w:rPr>
        <w:t>defines nuclear weapons</w:t>
      </w:r>
      <w:r w:rsidRPr="00945984">
        <w:rPr>
          <w:sz w:val="16"/>
        </w:rPr>
        <w:t xml:space="preserve">. It </w:t>
      </w:r>
      <w:r w:rsidRPr="00BB1EBC">
        <w:rPr>
          <w:rStyle w:val="Emphasis"/>
        </w:rPr>
        <w:t>excludes</w:t>
      </w:r>
      <w:r w:rsidRPr="00BB1EBC">
        <w:rPr>
          <w:rStyle w:val="StyleUnderline"/>
        </w:rPr>
        <w:t xml:space="preserve"> an instrument that may be used for the transport or propulsion of a nuclear explosive device if it is </w:t>
      </w:r>
      <w:r w:rsidRPr="00BB1EBC">
        <w:rPr>
          <w:rStyle w:val="Emphasis"/>
        </w:rPr>
        <w:t>separable from the device</w:t>
      </w:r>
      <w:r w:rsidRPr="00BB1EBC">
        <w:rPr>
          <w:rStyle w:val="StyleUnderline"/>
        </w:rPr>
        <w:t xml:space="preserve"> itself and not an indivisible part thereof.</w:t>
      </w:r>
      <w:r w:rsidRPr="00945984">
        <w:rPr>
          <w:sz w:val="16"/>
        </w:rPr>
        <w:t xml:space="preserve"> But it </w:t>
      </w:r>
      <w:r w:rsidRPr="00BB1EBC">
        <w:rPr>
          <w:rStyle w:val="StyleUnderline"/>
        </w:rPr>
        <w:t>includes any device which is capable of releasing nuclear energy in an uncontrolled manner and which has a group of characteristics that are appropriate for use for warlike purposes</w:t>
      </w:r>
      <w:r w:rsidRPr="00945984">
        <w:rPr>
          <w:sz w:val="16"/>
        </w:rPr>
        <w:t>. This definition is particularly significant in connection with Article 18 of the Treaty, which deals with peaceful uses of nuclear explosions. Paragraph 1 of that article provides that the Contracting Parties may carry out explosions of nuclear devices for peaceful purposes, or collaborate with third parties for the same purpose, </w:t>
      </w:r>
      <w:r w:rsidRPr="00945984">
        <w:rPr>
          <w:i/>
          <w:iCs/>
          <w:sz w:val="16"/>
        </w:rPr>
        <w:t>provided</w:t>
      </w:r>
      <w:r w:rsidRPr="00945984">
        <w:rPr>
          <w:sz w:val="16"/>
        </w:rPr>
        <w:t> they do so in accordance with the provisions of Article 18 and the other articles of the Treaty, particularly Articles 1 and 5. Paragraph 4 of Article 18 specifically permits the Contracting Parties to accept the collaboration of third parties for such purposes.</w:t>
      </w:r>
    </w:p>
    <w:p w14:paraId="05BA586C" w14:textId="77777777" w:rsidR="00BB1EBC" w:rsidRPr="00945984" w:rsidRDefault="00BB1EBC" w:rsidP="00BB1EBC">
      <w:pPr>
        <w:rPr>
          <w:sz w:val="16"/>
        </w:rPr>
      </w:pPr>
    </w:p>
    <w:p w14:paraId="751F9B0D" w14:textId="50E4C6BA" w:rsidR="00BB1EBC" w:rsidRDefault="00BB1EBC" w:rsidP="00BB1EBC">
      <w:pPr>
        <w:pStyle w:val="Heading4"/>
      </w:pPr>
      <w:r>
        <w:t xml:space="preserve">It is distinct from </w:t>
      </w:r>
      <w:r w:rsidRPr="00BB1EBC">
        <w:rPr>
          <w:u w:val="single"/>
        </w:rPr>
        <w:t>infrastructure</w:t>
      </w:r>
      <w:r>
        <w:t>.</w:t>
      </w:r>
    </w:p>
    <w:p w14:paraId="4F0012F9" w14:textId="77777777" w:rsidR="00BB1EBC" w:rsidRPr="000F3723" w:rsidRDefault="00BB1EBC" w:rsidP="00BB1EBC">
      <w:proofErr w:type="spellStart"/>
      <w:r w:rsidRPr="000F3723">
        <w:rPr>
          <w:rFonts w:eastAsiaTheme="majorEastAsia" w:cstheme="majorBidi"/>
          <w:b/>
          <w:iCs/>
          <w:sz w:val="26"/>
        </w:rPr>
        <w:t>Borrie</w:t>
      </w:r>
      <w:proofErr w:type="spellEnd"/>
      <w:r w:rsidRPr="000F3723">
        <w:rPr>
          <w:rFonts w:eastAsiaTheme="majorEastAsia" w:cstheme="majorBidi"/>
          <w:b/>
          <w:iCs/>
          <w:sz w:val="26"/>
        </w:rPr>
        <w:t xml:space="preserve"> et al. 16</w:t>
      </w:r>
      <w:r w:rsidRPr="000F3723">
        <w:t xml:space="preserve"> [(John, research coordinator at the United Nations Institute for Disarmament Research and leads its </w:t>
      </w:r>
      <w:proofErr w:type="spellStart"/>
      <w:r w:rsidRPr="000F3723">
        <w:t>programme</w:t>
      </w:r>
      <w:proofErr w:type="spellEnd"/>
      <w:r w:rsidRPr="000F3723">
        <w:t xml:space="preserve"> on weapons of mass destruction and other strategic weapons., </w:t>
      </w:r>
      <w:r w:rsidRPr="000F3723">
        <w:rPr>
          <w:lang w:val="en"/>
        </w:rPr>
        <w:t xml:space="preserve">Tim </w:t>
      </w:r>
      <w:proofErr w:type="spellStart"/>
      <w:r w:rsidRPr="000F3723">
        <w:rPr>
          <w:lang w:val="en"/>
        </w:rPr>
        <w:t>Caughle</w:t>
      </w:r>
      <w:proofErr w:type="spellEnd"/>
      <w:r w:rsidRPr="000F3723">
        <w:t>y,</w:t>
      </w:r>
      <w:r w:rsidRPr="000F3723">
        <w:rPr>
          <w:lang w:val="en"/>
        </w:rPr>
        <w:t xml:space="preserve"> currently a Non-Resident Senior Fellow at UNIDIR, and also chairs New Zealand's Committee on International Humanitarian Law</w:t>
      </w:r>
      <w:r w:rsidRPr="000F3723">
        <w:t>., Torbjørn Graff Hugo, Advisor at the International Law and Policy Institute., Magnus Løvold, Policy Adviser in the Arms Unit in the Legal Division of the International Committee of the Red Cross (ICRC)., Gro Nystuen, Senior Partner at the International Law and Policy Institute (ILPI) and dr. juris Associate Professor of Public International Law., CAMILLA WASZINK, Executive Director of Partnerships and Policy at Norwegian Refugee Council.) "A Prohibition on Nuclear Weapons: A Guide to the Issues → UNIDIR," https://unidir.org/publication/a-prohibition-on-nuclear-weapons-a-guide-to-the-issues/, 2-16-2016] TDI</w:t>
      </w:r>
    </w:p>
    <w:p w14:paraId="7ABB0FCB" w14:textId="759DED18" w:rsidR="00BB1EBC" w:rsidRPr="00945984" w:rsidRDefault="00BB1EBC" w:rsidP="00BB1EBC">
      <w:pPr>
        <w:rPr>
          <w:sz w:val="16"/>
        </w:rPr>
      </w:pPr>
      <w:r w:rsidRPr="00945984">
        <w:rPr>
          <w:sz w:val="16"/>
        </w:rPr>
        <w:t xml:space="preserve">A specific challenge the </w:t>
      </w:r>
      <w:r w:rsidRPr="00BB1EBC">
        <w:rPr>
          <w:rStyle w:val="StyleUnderline"/>
        </w:rPr>
        <w:t xml:space="preserve">drafters of the NWFZ treaties encountered was to </w:t>
      </w:r>
      <w:r w:rsidRPr="00BB1EBC">
        <w:rPr>
          <w:rStyle w:val="Emphasis"/>
        </w:rPr>
        <w:t>separate nuclear weapons from their means of transport or delivery</w:t>
      </w:r>
      <w:r w:rsidRPr="00945984">
        <w:rPr>
          <w:sz w:val="16"/>
        </w:rPr>
        <w:t xml:space="preserve">. In the </w:t>
      </w:r>
      <w:r w:rsidRPr="00BB1EBC">
        <w:rPr>
          <w:rStyle w:val="StyleUnderline"/>
        </w:rPr>
        <w:t>NWFZ treaties, this is resolved by explicitly excluding from the definition ‘the means of transport or delivery of such a weapon or device if separable from and not an indivisible part of it’</w:t>
      </w:r>
      <w:r w:rsidRPr="00945984">
        <w:rPr>
          <w:sz w:val="16"/>
        </w:rPr>
        <w:t xml:space="preserve">.92 The CWC provides an </w:t>
      </w:r>
      <w:r w:rsidRPr="00BB1EBC">
        <w:rPr>
          <w:rStyle w:val="StyleUnderline"/>
        </w:rPr>
        <w:t>alternative model</w:t>
      </w:r>
      <w:r w:rsidRPr="00945984">
        <w:rPr>
          <w:sz w:val="16"/>
        </w:rPr>
        <w:t xml:space="preserve">, and </w:t>
      </w:r>
      <w:r w:rsidRPr="00BB1EBC">
        <w:rPr>
          <w:rStyle w:val="Emphasis"/>
        </w:rPr>
        <w:t>separates</w:t>
      </w:r>
      <w:r w:rsidRPr="00BB1EBC">
        <w:rPr>
          <w:rStyle w:val="StyleUnderline"/>
        </w:rPr>
        <w:t xml:space="preserve"> chemical weapons from </w:t>
      </w:r>
      <w:r w:rsidRPr="00BB1EBC">
        <w:rPr>
          <w:rStyle w:val="Emphasis"/>
        </w:rPr>
        <w:t>adjacent infrastructure</w:t>
      </w:r>
      <w:r w:rsidRPr="00BB1EBC">
        <w:rPr>
          <w:rStyle w:val="StyleUnderline"/>
        </w:rPr>
        <w:t xml:space="preserve"> by including ‘any equipment specifically designed for use directly in connection with the employment of munitions and devices’</w:t>
      </w:r>
      <w:r w:rsidRPr="00945984">
        <w:rPr>
          <w:sz w:val="16"/>
        </w:rPr>
        <w:t xml:space="preserve"> in the </w:t>
      </w:r>
      <w:r w:rsidRPr="00BB1EBC">
        <w:rPr>
          <w:rStyle w:val="StyleUnderline"/>
        </w:rPr>
        <w:t>legal definition of the weapon</w:t>
      </w:r>
      <w:r w:rsidRPr="00945984">
        <w:rPr>
          <w:sz w:val="16"/>
        </w:rPr>
        <w:t>.</w:t>
      </w:r>
    </w:p>
    <w:p w14:paraId="44C53815" w14:textId="77777777" w:rsidR="00945984" w:rsidRPr="00945984" w:rsidRDefault="00945984" w:rsidP="00BB1EBC">
      <w:pPr>
        <w:rPr>
          <w:sz w:val="16"/>
        </w:rPr>
      </w:pPr>
    </w:p>
    <w:p w14:paraId="241FE4BB" w14:textId="49B8F32A" w:rsidR="00945984" w:rsidRDefault="00945984" w:rsidP="00945984">
      <w:pPr>
        <w:pStyle w:val="Heading4"/>
      </w:pPr>
      <w:r>
        <w:t>Nuclear weapons are used to refer to the weapon itself, “</w:t>
      </w:r>
      <w:r w:rsidRPr="00945984">
        <w:rPr>
          <w:u w:val="single"/>
        </w:rPr>
        <w:t>weapon system</w:t>
      </w:r>
      <w:r>
        <w:t>” refers to the associated equipment.</w:t>
      </w:r>
    </w:p>
    <w:p w14:paraId="4C70B78C" w14:textId="67EEC1A7" w:rsidR="00945984" w:rsidRPr="00945984" w:rsidRDefault="00945984" w:rsidP="00945984">
      <w:r w:rsidRPr="00945984">
        <w:rPr>
          <w:rFonts w:eastAsiaTheme="majorEastAsia" w:cstheme="majorBidi"/>
          <w:b/>
          <w:iCs/>
          <w:sz w:val="26"/>
        </w:rPr>
        <w:t>Air Force, 22</w:t>
      </w:r>
      <w:r>
        <w:t xml:space="preserve"> [(Secretary of the Air Force.) “</w:t>
      </w:r>
      <w:r w:rsidRPr="00945984">
        <w:t>SAFETY RULES FOR LONG TERM STORAGE AND MAINTENANCE OPERATIONS FOR NUCLEAR WEAPONS</w:t>
      </w:r>
      <w:r>
        <w:t xml:space="preserve">,” Department of the Air Force, </w:t>
      </w:r>
      <w:hyperlink r:id="rId16" w:anchor=":~:text=Nuclear%20Weapon%20System%E2%80%94A%20nuclear%20weapon,any%20vehicles%20peculiar%20to%20the" w:history="1">
        <w:r w:rsidRPr="00F2107A">
          <w:rPr>
            <w:rStyle w:val="Hyperlink"/>
          </w:rPr>
          <w:t>https://irp.fas.org/doddir/usaf/afi91-116.pdf#:~:text=Nuclear%20Weapon%20System%E2%80%94A%20nuclear%20weapon,any%20vehicles%20peculiar%20to%20the</w:t>
        </w:r>
      </w:hyperlink>
      <w:r>
        <w:t>, 8-9-2022]</w:t>
      </w:r>
      <w:r w:rsidR="00D901FF">
        <w:t xml:space="preserve"> TDI</w:t>
      </w:r>
    </w:p>
    <w:p w14:paraId="143BC13B" w14:textId="77777777" w:rsidR="00945984" w:rsidRPr="00945984" w:rsidRDefault="00945984" w:rsidP="00BB1EBC">
      <w:pPr>
        <w:rPr>
          <w:rStyle w:val="StyleUnderline"/>
        </w:rPr>
      </w:pPr>
      <w:r w:rsidRPr="00945984">
        <w:rPr>
          <w:rStyle w:val="Emphasis"/>
        </w:rPr>
        <w:t>Nuclear Weapon</w:t>
      </w:r>
      <w:r w:rsidRPr="00945984">
        <w:rPr>
          <w:sz w:val="16"/>
        </w:rPr>
        <w:t xml:space="preserve">—A </w:t>
      </w:r>
      <w:r w:rsidRPr="00945984">
        <w:rPr>
          <w:rStyle w:val="StyleUnderline"/>
        </w:rPr>
        <w:t xml:space="preserve">complete assembly (i.e., implosion type, gun type, or thermonuclear type), in its intended ultimate configuration which, upon completion of the prescribed arming, fusing, and firing sequence, is capable of producing the intended nuclear reaction and release of energy. </w:t>
      </w:r>
    </w:p>
    <w:p w14:paraId="31B71FBB" w14:textId="26C9512C" w:rsidR="00945984" w:rsidRPr="00945984" w:rsidRDefault="00945984" w:rsidP="00BB1EBC">
      <w:pPr>
        <w:rPr>
          <w:sz w:val="16"/>
        </w:rPr>
      </w:pPr>
      <w:r w:rsidRPr="00945984">
        <w:rPr>
          <w:rStyle w:val="Emphasis"/>
        </w:rPr>
        <w:t>Nuclear Weapon System</w:t>
      </w:r>
      <w:r w:rsidRPr="00945984">
        <w:rPr>
          <w:sz w:val="16"/>
        </w:rPr>
        <w:t xml:space="preserve">—A </w:t>
      </w:r>
      <w:r w:rsidRPr="00945984">
        <w:rPr>
          <w:rStyle w:val="StyleUnderline"/>
        </w:rPr>
        <w:t>nuclear weapon and a means of delivering it</w:t>
      </w:r>
      <w:r w:rsidRPr="00945984">
        <w:rPr>
          <w:sz w:val="16"/>
        </w:rPr>
        <w:t xml:space="preserve"> to the target, with </w:t>
      </w:r>
      <w:r w:rsidRPr="00945984">
        <w:rPr>
          <w:rStyle w:val="StyleUnderline"/>
        </w:rPr>
        <w:t>associated support equipment</w:t>
      </w:r>
      <w:r w:rsidRPr="00945984">
        <w:rPr>
          <w:sz w:val="16"/>
        </w:rPr>
        <w:t xml:space="preserve">, </w:t>
      </w:r>
      <w:r w:rsidRPr="00945984">
        <w:rPr>
          <w:rStyle w:val="StyleUnderline"/>
        </w:rPr>
        <w:t>facilities, procedures, personnel, and any vehicles</w:t>
      </w:r>
      <w:r w:rsidRPr="00945984">
        <w:rPr>
          <w:sz w:val="16"/>
        </w:rPr>
        <w:t xml:space="preserve"> peculiar to the system used for weapon transport.</w:t>
      </w:r>
    </w:p>
    <w:p w14:paraId="53E1A33B" w14:textId="770E7994" w:rsidR="002C3EE3" w:rsidRDefault="002C3EE3" w:rsidP="002C3EE3">
      <w:pPr>
        <w:pStyle w:val="Heading3"/>
      </w:pPr>
      <w:r>
        <w:t>Nuclear Weapons---</w:t>
      </w:r>
      <w:r w:rsidR="00A95598">
        <w:t>A2: Not Delivery System</w:t>
      </w:r>
      <w:r>
        <w:t>---1AR</w:t>
      </w:r>
    </w:p>
    <w:p w14:paraId="25BC45D7" w14:textId="0A578F7B" w:rsidR="00D901FF" w:rsidRPr="00D901FF" w:rsidRDefault="00D901FF" w:rsidP="00D901FF">
      <w:pPr>
        <w:pStyle w:val="Heading4"/>
      </w:pPr>
      <w:r>
        <w:t xml:space="preserve">It </w:t>
      </w:r>
      <w:r w:rsidRPr="00D901FF">
        <w:rPr>
          <w:u w:val="single"/>
        </w:rPr>
        <w:t>includes</w:t>
      </w:r>
      <w:r>
        <w:t xml:space="preserve"> the </w:t>
      </w:r>
      <w:r w:rsidRPr="00D901FF">
        <w:t>delivery</w:t>
      </w:r>
      <w:r>
        <w:t xml:space="preserve"> system.</w:t>
      </w:r>
    </w:p>
    <w:p w14:paraId="749FBB26" w14:textId="082049CF" w:rsidR="00D901FF" w:rsidRPr="00D901FF" w:rsidRDefault="00D901FF" w:rsidP="00D901FF">
      <w:r w:rsidRPr="00D901FF">
        <w:rPr>
          <w:rFonts w:eastAsiaTheme="majorEastAsia" w:cstheme="majorBidi"/>
          <w:b/>
          <w:iCs/>
          <w:sz w:val="26"/>
        </w:rPr>
        <w:t>Webber, 23</w:t>
      </w:r>
      <w:r w:rsidRPr="00D901FF">
        <w:t xml:space="preserve"> [(</w:t>
      </w:r>
      <w:r>
        <w:t>Phillip</w:t>
      </w:r>
      <w:r w:rsidRPr="00D901FF">
        <w:t>,</w:t>
      </w:r>
      <w:r>
        <w:t xml:space="preserve"> </w:t>
      </w:r>
      <w:r w:rsidRPr="00D901FF">
        <w:t xml:space="preserve">research physicist at Imperial College, and has a PhD in surface science. </w:t>
      </w:r>
      <w:r>
        <w:t>An expert witness</w:t>
      </w:r>
      <w:r w:rsidRPr="00D901FF">
        <w:t xml:space="preserve"> on the impacts of nuclear weapons for the </w:t>
      </w:r>
      <w:proofErr w:type="spellStart"/>
      <w:r w:rsidRPr="00D901FF">
        <w:t>conference</w:t>
      </w:r>
      <w:r>
        <w:t>s</w:t>
      </w:r>
      <w:proofErr w:type="spellEnd"/>
      <w:r>
        <w:t xml:space="preserve"> </w:t>
      </w:r>
      <w:r w:rsidRPr="00D901FF">
        <w:t>leading up to the UN nuclear ban treaty.) "Nuclear weapons: a beginner’s guide to the threats," Scientists for Global Responsibility</w:t>
      </w:r>
      <w:r>
        <w:t xml:space="preserve">, </w:t>
      </w:r>
      <w:r w:rsidRPr="00D901FF">
        <w:t>https://www.sgr.org.uk/resources/nuclear-weapons-beginner-s-guide-threats, 7-20-2023] TDI</w:t>
      </w:r>
    </w:p>
    <w:p w14:paraId="7739C4FA" w14:textId="008031C3" w:rsidR="00A95598" w:rsidRPr="00A95598" w:rsidRDefault="00D901FF" w:rsidP="00A95598">
      <w:r w:rsidRPr="00D901FF">
        <w:t xml:space="preserve">A </w:t>
      </w:r>
      <w:r w:rsidRPr="00D901FF">
        <w:rPr>
          <w:rStyle w:val="Emphasis"/>
        </w:rPr>
        <w:t>nuclear weapon</w:t>
      </w:r>
      <w:r w:rsidRPr="00D901FF">
        <w:rPr>
          <w:rStyle w:val="StyleUnderline"/>
        </w:rPr>
        <w:t xml:space="preserve"> has two key parts</w:t>
      </w:r>
      <w:r w:rsidRPr="00D901FF">
        <w:t xml:space="preserve">: an </w:t>
      </w:r>
      <w:r w:rsidRPr="00D901FF">
        <w:rPr>
          <w:rStyle w:val="StyleUnderline"/>
        </w:rPr>
        <w:t xml:space="preserve">extremely </w:t>
      </w:r>
      <w:r w:rsidRPr="00D901FF">
        <w:rPr>
          <w:rStyle w:val="Emphasis"/>
        </w:rPr>
        <w:t>powerful warhead</w:t>
      </w:r>
      <w:r w:rsidRPr="00D901FF">
        <w:rPr>
          <w:rStyle w:val="StyleUnderline"/>
        </w:rPr>
        <w:t xml:space="preserve"> which explodes over its target; and a 'delivery system'</w:t>
      </w:r>
      <w:r w:rsidRPr="00D901FF">
        <w:t>, usually a missile. Nuclear-armed missiles can be launched from an underground 'silo', a ground-based mobile launcher (basically a large truck), a submarine or by a bomber flying at high altitude. Nowadays, nuclear bombs which simply drop on to a target are very rare because of the high likelihood of destroying the bomber as well as the target.</w:t>
      </w:r>
      <w:bookmarkStart w:id="0" w:name="_ednref1"/>
      <w:r w:rsidRPr="00D901FF">
        <w:fldChar w:fldCharType="begin"/>
      </w:r>
      <w:r w:rsidRPr="00D901FF">
        <w:instrText>HYPERLINK "https://www.sgr.org.uk/resources/nuclear-weapons-beginner-s-guide-threats" \l "_edn1" \o ""</w:instrText>
      </w:r>
      <w:r w:rsidRPr="00D901FF">
        <w:fldChar w:fldCharType="separate"/>
      </w:r>
      <w:r w:rsidRPr="00D901FF">
        <w:rPr>
          <w:rStyle w:val="Hyperlink"/>
        </w:rPr>
        <w:t> [1]</w:t>
      </w:r>
      <w:r w:rsidRPr="00D901FF">
        <w:fldChar w:fldCharType="end"/>
      </w:r>
      <w:bookmarkEnd w:id="0"/>
      <w:r w:rsidRPr="00D901FF">
        <w:t> Some nuclear warheads can also be fired from heavy artillery or multiple rocket launchers or placed in the ground as a nuclear landmine.  </w:t>
      </w:r>
    </w:p>
    <w:p w14:paraId="78CC1A12" w14:textId="5127D5F0" w:rsidR="00774414" w:rsidRDefault="00774414" w:rsidP="00774414">
      <w:pPr>
        <w:pStyle w:val="Heading3"/>
      </w:pPr>
      <w:r>
        <w:t>Nuclear Weapons---Generic Bare Plural---1NC</w:t>
      </w:r>
    </w:p>
    <w:p w14:paraId="495FBC61" w14:textId="77777777" w:rsidR="000A1356" w:rsidRPr="009A2C40" w:rsidRDefault="000A1356" w:rsidP="000A1356">
      <w:pPr>
        <w:pStyle w:val="Heading4"/>
        <w:rPr>
          <w:rFonts w:cs="Arial"/>
        </w:rPr>
      </w:pPr>
      <w:r>
        <w:rPr>
          <w:rFonts w:cs="Arial"/>
        </w:rPr>
        <w:t>Nuclear weapons</w:t>
      </w:r>
      <w:r w:rsidRPr="009A2C40">
        <w:rPr>
          <w:rFonts w:cs="Arial"/>
        </w:rPr>
        <w:t xml:space="preserve"> is a generic bare plural. The </w:t>
      </w:r>
      <w:proofErr w:type="spellStart"/>
      <w:r w:rsidRPr="009A2C40">
        <w:rPr>
          <w:rFonts w:cs="Arial"/>
        </w:rPr>
        <w:t>aff</w:t>
      </w:r>
      <w:proofErr w:type="spellEnd"/>
      <w:r w:rsidRPr="009A2C40">
        <w:rPr>
          <w:rFonts w:cs="Arial"/>
        </w:rPr>
        <w:t xml:space="preserve"> may not defend a subset of </w:t>
      </w:r>
      <w:r>
        <w:rPr>
          <w:rFonts w:cs="Arial"/>
        </w:rPr>
        <w:t>nuclear weapons</w:t>
      </w:r>
      <w:r w:rsidRPr="009A2C40">
        <w:rPr>
          <w:rFonts w:cs="Arial"/>
        </w:rPr>
        <w:t>.</w:t>
      </w:r>
    </w:p>
    <w:p w14:paraId="78CAA40F" w14:textId="558EAE36" w:rsidR="000A1356" w:rsidRPr="009A2C40" w:rsidRDefault="000A1356" w:rsidP="000A1356">
      <w:r w:rsidRPr="009A2C40">
        <w:rPr>
          <w:rStyle w:val="Style13ptBold"/>
        </w:rPr>
        <w:t xml:space="preserve">Leslie 16 </w:t>
      </w:r>
      <w:r w:rsidRPr="009A2C40">
        <w:t xml:space="preserve">Leslie, Sarah-Jane [Sarah-Jane Leslie (Ph.D., Princeton, 2007) is the dean of the Graduate School and Class of 1943 Professor of Philosophy. She has previously served as the vice dean for faculty development in the Office of the Dean of the Faculty, director of the Program in Linguistics, and founding director of the Program in Cognitive Science at Princeton University. She is also affiliated faculty in the Department of Psychology, the University Center for Human Values, the Program in Gender and Sexuality Studies, and the Kahneman-Treisman Center for Behavioral Science and Public Policy], 4-24-2016, "Generic Generalizations (Stanford Encyclopedia of Philosophy)," </w:t>
      </w:r>
      <w:hyperlink r:id="rId17" w:history="1">
        <w:r w:rsidRPr="009A2C40">
          <w:rPr>
            <w:rStyle w:val="Hyperlink"/>
          </w:rPr>
          <w:t>https://plato.stanford.edu/entries/generics/</w:t>
        </w:r>
      </w:hyperlink>
      <w:r>
        <w:t xml:space="preserve"> </w:t>
      </w:r>
      <w:r w:rsidR="00A95598">
        <w:t>TDI</w:t>
      </w:r>
    </w:p>
    <w:p w14:paraId="1104D6F4" w14:textId="77777777" w:rsidR="000A1356" w:rsidRPr="009A2C40" w:rsidRDefault="000A1356" w:rsidP="000A1356">
      <w:r w:rsidRPr="009A2C40">
        <w:rPr>
          <w:rStyle w:val="StyleUnderline"/>
        </w:rPr>
        <w:t>In English, generics can be expressed using a variety of syntactic forms: bare plurals (e.g., “tigers are striped”), indefinite singulars (e.g., “a tiger is striped”), and definite singulars (“the tiger is striped”).</w:t>
      </w:r>
      <w:r w:rsidRPr="009A2C40">
        <w:t xml:space="preserve">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01B6F9BB" w14:textId="77777777" w:rsidR="000A1356" w:rsidRPr="009A2C40" w:rsidRDefault="000A1356" w:rsidP="000A1356">
      <w:pPr>
        <w:rPr>
          <w:rStyle w:val="StyleUnderline"/>
        </w:rPr>
      </w:pPr>
      <w:r w:rsidRPr="009A2C40">
        <w:rPr>
          <w:rStyle w:val="StyleUnderline"/>
        </w:rPr>
        <w:t xml:space="preserve">Isolating the Generic Interpretation Consider the following pairs of sentences: </w:t>
      </w:r>
    </w:p>
    <w:p w14:paraId="6397190E" w14:textId="77777777" w:rsidR="000A1356" w:rsidRPr="009A2C40" w:rsidRDefault="000A1356" w:rsidP="000A1356">
      <w:pPr>
        <w:rPr>
          <w:rStyle w:val="StyleUnderline"/>
        </w:rPr>
      </w:pPr>
      <w:r w:rsidRPr="009A2C40">
        <w:rPr>
          <w:rStyle w:val="StyleUnderline"/>
        </w:rPr>
        <w:t xml:space="preserve">(1) a. Tigers are striped. </w:t>
      </w:r>
    </w:p>
    <w:p w14:paraId="36A908AD" w14:textId="77777777" w:rsidR="000A1356" w:rsidRPr="009A2C40" w:rsidRDefault="000A1356" w:rsidP="000A1356">
      <w:pPr>
        <w:rPr>
          <w:rStyle w:val="StyleUnderline"/>
        </w:rPr>
      </w:pPr>
      <w:r w:rsidRPr="009A2C40">
        <w:rPr>
          <w:rStyle w:val="StyleUnderline"/>
        </w:rPr>
        <w:t xml:space="preserve">b. Tigers are on the front lawn. </w:t>
      </w:r>
    </w:p>
    <w:p w14:paraId="0DBEB67C" w14:textId="77777777" w:rsidR="000A1356" w:rsidRPr="009A2C40" w:rsidRDefault="000A1356" w:rsidP="000A1356">
      <w:r w:rsidRPr="009A2C40">
        <w:t xml:space="preserve">(2) a. A tiger is striped. </w:t>
      </w:r>
    </w:p>
    <w:p w14:paraId="686B5A28" w14:textId="77777777" w:rsidR="000A1356" w:rsidRPr="009A2C40" w:rsidRDefault="000A1356" w:rsidP="000A1356">
      <w:r w:rsidRPr="009A2C40">
        <w:t xml:space="preserve">b. A tiger is on the front lawn. </w:t>
      </w:r>
    </w:p>
    <w:p w14:paraId="796EA9B0" w14:textId="77777777" w:rsidR="000A1356" w:rsidRPr="009A2C40" w:rsidRDefault="000A1356" w:rsidP="000A1356">
      <w:r w:rsidRPr="009A2C40">
        <w:t xml:space="preserve">(3) a. The tiger is striped. </w:t>
      </w:r>
    </w:p>
    <w:p w14:paraId="2570BA21" w14:textId="77777777" w:rsidR="000A1356" w:rsidRPr="009A2C40" w:rsidRDefault="000A1356" w:rsidP="000A1356">
      <w:r w:rsidRPr="009A2C40">
        <w:t xml:space="preserve">b. The tiger is on the front lawn. </w:t>
      </w:r>
    </w:p>
    <w:p w14:paraId="70A13AC2" w14:textId="77777777" w:rsidR="000A1356" w:rsidRPr="009A2C40" w:rsidRDefault="000A1356" w:rsidP="000A1356">
      <w:pPr>
        <w:rPr>
          <w:rStyle w:val="StyleUnderline"/>
        </w:rPr>
      </w:pPr>
      <w:r w:rsidRPr="009A2C40">
        <w:rPr>
          <w:rStyle w:val="StyleUnderline"/>
        </w:rPr>
        <w:t>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w:t>
      </w:r>
      <w:r w:rsidRPr="009A2C40">
        <w:t xml:space="preserve">: a group of tigers in (1b), some individual tiger in (2b), and some unique salient or familiar tiger in (3b)—a beloved pet, perhaps. </w:t>
      </w:r>
      <w:r w:rsidRPr="009A2C40">
        <w:rPr>
          <w:rStyle w:val="StyleUnderline"/>
        </w:rPr>
        <w:t xml:space="preserve">In the first sentences, however, we are saying something general. There is/are no particular tiger or tigers that we are talking about. </w:t>
      </w:r>
    </w:p>
    <w:p w14:paraId="74581C36" w14:textId="77777777" w:rsidR="000A1356" w:rsidRPr="009A2C40" w:rsidRDefault="000A1356" w:rsidP="000A1356">
      <w:r w:rsidRPr="009A2C40">
        <w:rPr>
          <w:rStyle w:val="StyleUnderline"/>
        </w:rPr>
        <w:t>The second sentences of the pairs receive what is called an existential interpretation</w:t>
      </w:r>
      <w:r w:rsidRPr="009A2C40">
        <w:t xml:space="preserve">. The hallmark of the existential interpretation of a sentence containing a bare plural or an indefinite singular is that it may be paraphrased with “some” with little or no change in meaning;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 </w:t>
      </w:r>
    </w:p>
    <w:p w14:paraId="733F27A5" w14:textId="77777777" w:rsidR="000A1356" w:rsidRPr="009A2C40" w:rsidRDefault="000A1356" w:rsidP="000A1356">
      <w:r w:rsidRPr="009A2C40">
        <w:rPr>
          <w:rStyle w:val="StyleUnderline"/>
        </w:rPr>
        <w:t>There are some tests that are helpful in distinguishing these two readings. For example, the existential interpretation is upward entailing, meaning that the statement will always remain true if we replace the subject term with a more inclusive term.</w:t>
      </w:r>
      <w:r w:rsidRPr="009A2C40">
        <w:t xml:space="preserve"> Consider our examples above. In (1b), we can replace “tiger” with “animal” </w:t>
      </w:r>
      <w:proofErr w:type="spellStart"/>
      <w:r w:rsidRPr="009A2C40">
        <w:t>salva</w:t>
      </w:r>
      <w:proofErr w:type="spellEnd"/>
      <w:r w:rsidRPr="009A2C40">
        <w:t xml:space="preserve"> </w:t>
      </w:r>
      <w:proofErr w:type="spellStart"/>
      <w:r w:rsidRPr="009A2C40">
        <w:t>veritate</w:t>
      </w:r>
      <w:proofErr w:type="spellEnd"/>
      <w:r w:rsidRPr="009A2C40">
        <w:t xml:space="preserve">, but in (1a) we cannot. If “tigers are on the lawn” is true, then “animals are on the lawn” must be true. However, “tigers are striped” is true, yet “animals are striped” is false. (1a) does not entail that animals are striped, but (1b) entails that animals are on the front lawn (Lawler 1973; Laca 1990; </w:t>
      </w:r>
      <w:proofErr w:type="spellStart"/>
      <w:r w:rsidRPr="009A2C40">
        <w:t>Krifka</w:t>
      </w:r>
      <w:proofErr w:type="spellEnd"/>
      <w:r w:rsidRPr="009A2C40">
        <w:t xml:space="preserve"> et al. 1995). </w:t>
      </w:r>
    </w:p>
    <w:p w14:paraId="58E0D1A9" w14:textId="77777777" w:rsidR="000A1356" w:rsidRPr="009A2C40" w:rsidRDefault="000A1356" w:rsidP="000A1356">
      <w:r w:rsidRPr="009A2C40">
        <w:rPr>
          <w:rStyle w:val="StyleUnderline"/>
        </w:rPr>
        <w:t>Another test concerns whether we can insert an adverb of quantification with minimal change of meaning (</w:t>
      </w:r>
      <w:proofErr w:type="spellStart"/>
      <w:r w:rsidRPr="009A2C40">
        <w:rPr>
          <w:rStyle w:val="StyleUnderline"/>
        </w:rPr>
        <w:t>Krifka</w:t>
      </w:r>
      <w:proofErr w:type="spellEnd"/>
      <w:r w:rsidRPr="009A2C40">
        <w:rPr>
          <w:rStyle w:val="StyleUnderline"/>
        </w:rPr>
        <w:t xml:space="preserve"> et al. 1995). For example, inserting “usually” in the sentences in (1a) (e.g., “tigers are usually striped”) produces only a small change in meaning, while inserting “usually” in (1b) dramatically alters the meaning of the sentence (e.g., “tigers are usually on the front lawn”).</w:t>
      </w:r>
      <w:r w:rsidRPr="009A2C40">
        <w:t xml:space="preserve"> (For generics such as “mosquitoes carry malaria”, the adverb “sometimes” is perhaps better used than “usually” to mark off the generic reading.) </w:t>
      </w:r>
    </w:p>
    <w:p w14:paraId="43D82FD0" w14:textId="77777777" w:rsidR="000A1356" w:rsidRPr="009A2C40" w:rsidRDefault="000A1356" w:rsidP="000A1356">
      <w:r w:rsidRPr="009A2C40">
        <w:t xml:space="preserve">1.2 Stage Level and Individual Level Predicates </w:t>
      </w:r>
    </w:p>
    <w:p w14:paraId="57AF1C39" w14:textId="77777777" w:rsidR="000A1356" w:rsidRPr="009A2C40" w:rsidRDefault="000A1356" w:rsidP="000A1356">
      <w:r w:rsidRPr="009A2C40">
        <w:t xml:space="preserve">Having distinguished two quite different meanings of these seemingly similar sentence pairs, the question arises: what is the basis of these two interpretations? This is of course a matter of debate, but </w:t>
      </w:r>
      <w:r w:rsidRPr="009A2C40">
        <w:rPr>
          <w:rStyle w:val="StyleUnderline"/>
        </w:rPr>
        <w:t>one important thesis is that it is the predicate that determines which of the two readings the subject will receive, particularly in the case of bare plural generics</w:t>
      </w:r>
      <w:r w:rsidRPr="009A2C40">
        <w:t xml:space="preserve">. In his 1977 dissertation, Greg Carlson argued that </w:t>
      </w:r>
      <w:r w:rsidRPr="009A2C40">
        <w:rPr>
          <w:rStyle w:val="StyleUnderline"/>
        </w:rPr>
        <w:t xml:space="preserve">the distinction between “stage level” and “individual level” predicates is key here, and proposed that stage level predications give rise to existential readings of bare plurals </w:t>
      </w:r>
      <w:r w:rsidRPr="009A2C40">
        <w:t xml:space="preserve">and indefinite singulars, </w:t>
      </w:r>
      <w:r w:rsidRPr="009A2C40">
        <w:rPr>
          <w:rStyle w:val="StyleUnderline"/>
        </w:rPr>
        <w:t>while individual level ones give rise to generic readings. The distinction between the two types of predicates can be drawn intuitively, and also on the basis of linguistic patterns</w:t>
      </w:r>
      <w:r w:rsidRPr="009A2C40">
        <w:t xml:space="preserve"> (</w:t>
      </w:r>
      <w:proofErr w:type="spellStart"/>
      <w:r w:rsidRPr="009A2C40">
        <w:t>Milsark</w:t>
      </w:r>
      <w:proofErr w:type="spellEnd"/>
      <w:r w:rsidRPr="009A2C40">
        <w:t xml:space="preserve"> 1974; Carlson 1977; Stump 1985). Semantically, </w:t>
      </w:r>
      <w:r w:rsidRPr="009A2C40">
        <w:rPr>
          <w:rStyle w:val="StyleUnderline"/>
        </w:rPr>
        <w:t>individual level predicates express properties that normally are had by items for quite extended periods, often comprising the items’ whole existence. Stage-level predicates, on the other hand, express properties normally had by items for relatively short time intervals</w:t>
      </w:r>
      <w:r w:rsidRPr="009A2C40">
        <w:t xml:space="preserve">. Some examples of both types are as follows: </w:t>
      </w:r>
    </w:p>
    <w:p w14:paraId="73DA927E" w14:textId="77777777" w:rsidR="000A1356" w:rsidRPr="009A2C40" w:rsidRDefault="000A1356" w:rsidP="000A1356">
      <w:r w:rsidRPr="009A2C40">
        <w:t xml:space="preserve">Individual level predicates “is tall”; “is intelligent”; “knows French”; “is a mammal”; “is female”; “is a singer”; “loves Bob”; “hates Bob” </w:t>
      </w:r>
    </w:p>
    <w:p w14:paraId="2332D92C" w14:textId="77777777" w:rsidR="000A1356" w:rsidRPr="009A2C40" w:rsidRDefault="000A1356" w:rsidP="000A1356">
      <w:r w:rsidRPr="009A2C40">
        <w:t xml:space="preserve">Stage level predicates “is drunk”; “is barking”; “is speaking French”; “is taking an exam”; “is sober”; “is sick”, “is sitting”; “is on the lawn”, “is in the room”. </w:t>
      </w:r>
    </w:p>
    <w:p w14:paraId="70C227F3" w14:textId="77777777" w:rsidR="000A1356" w:rsidRPr="008C2831" w:rsidRDefault="000A1356" w:rsidP="000A1356">
      <w:r w:rsidRPr="009A2C40">
        <w:t>Clearly the semantic distinction is not hard and fast: a teetotaler may be sober for the entire course of his existence, and the chronically ill may be sick for the entire course of theirs, and Alice in Wonderland is tall at some times but short at others. In the normal course of affairs, individual level predicates express more stable and less temporally intermittent properties than stage level ones do.</w:t>
      </w:r>
    </w:p>
    <w:p w14:paraId="6196A393" w14:textId="46C87969" w:rsidR="00774414" w:rsidRPr="00774414" w:rsidRDefault="00C53725" w:rsidP="00C53725">
      <w:pPr>
        <w:pStyle w:val="Heading3"/>
      </w:pPr>
      <w:r>
        <w:t>Nuclear Weapons---A2: Generic Bare Plural---1AR</w:t>
      </w:r>
    </w:p>
    <w:p w14:paraId="77327E2B" w14:textId="66959836" w:rsidR="00A95598" w:rsidRPr="002F1817" w:rsidRDefault="00A95598" w:rsidP="00A95598">
      <w:pPr>
        <w:pStyle w:val="Heading4"/>
      </w:pPr>
      <w:r>
        <w:t>Specific instances prove generics.</w:t>
      </w:r>
    </w:p>
    <w:p w14:paraId="671F1C9F" w14:textId="77777777" w:rsidR="00A95598" w:rsidRPr="000349A8" w:rsidRDefault="00A95598" w:rsidP="00A95598">
      <w:pPr>
        <w:rPr>
          <w:rStyle w:val="Style13ptBold"/>
        </w:rPr>
      </w:pPr>
      <w:proofErr w:type="spellStart"/>
      <w:r w:rsidRPr="000349A8">
        <w:rPr>
          <w:rStyle w:val="Style13ptBold"/>
        </w:rPr>
        <w:t>Cimpian</w:t>
      </w:r>
      <w:proofErr w:type="spellEnd"/>
      <w:r w:rsidRPr="000349A8">
        <w:rPr>
          <w:rStyle w:val="Style13ptBold"/>
        </w:rPr>
        <w:t xml:space="preserve"> et al, PhDs, 10</w:t>
      </w:r>
    </w:p>
    <w:p w14:paraId="2F99FA45" w14:textId="77777777" w:rsidR="00A95598" w:rsidRPr="000349A8" w:rsidRDefault="00A95598" w:rsidP="00A95598">
      <w:pPr>
        <w:rPr>
          <w:szCs w:val="16"/>
        </w:rPr>
      </w:pPr>
      <w:r w:rsidRPr="000349A8">
        <w:rPr>
          <w:szCs w:val="16"/>
        </w:rPr>
        <w:t xml:space="preserve">(Andrei, Amanda C. </w:t>
      </w:r>
      <w:proofErr w:type="spellStart"/>
      <w:r w:rsidRPr="000349A8">
        <w:rPr>
          <w:szCs w:val="16"/>
        </w:rPr>
        <w:t>Brandone</w:t>
      </w:r>
      <w:proofErr w:type="spellEnd"/>
      <w:r w:rsidRPr="000349A8">
        <w:rPr>
          <w:szCs w:val="16"/>
        </w:rPr>
        <w:t>, Susan A. Gelman, Generic statements require little evidence for acceptance but have powerful implications</w:t>
      </w:r>
      <w:r>
        <w:rPr>
          <w:szCs w:val="16"/>
        </w:rPr>
        <w:t xml:space="preserve">, </w:t>
      </w:r>
      <w:proofErr w:type="spellStart"/>
      <w:r w:rsidRPr="000349A8">
        <w:rPr>
          <w:szCs w:val="16"/>
        </w:rPr>
        <w:t>Cogn</w:t>
      </w:r>
      <w:proofErr w:type="spellEnd"/>
      <w:r w:rsidRPr="000349A8">
        <w:rPr>
          <w:szCs w:val="16"/>
        </w:rPr>
        <w:t xml:space="preserve"> Sci. 2010 Nov 1; 34(8): 1452–1482)</w:t>
      </w:r>
    </w:p>
    <w:p w14:paraId="4123023B" w14:textId="77777777" w:rsidR="00A95598" w:rsidRPr="0006642E" w:rsidRDefault="00A95598" w:rsidP="00A95598">
      <w:pPr>
        <w:rPr>
          <w:sz w:val="16"/>
        </w:rPr>
      </w:pPr>
      <w:r w:rsidRPr="00F31AAA">
        <w:rPr>
          <w:rStyle w:val="StyleUnderline"/>
        </w:rPr>
        <w:t>Generic statements</w:t>
      </w:r>
      <w:r w:rsidRPr="0006642E">
        <w:rPr>
          <w:sz w:val="16"/>
        </w:rPr>
        <w:t xml:space="preserve"> (e.g., “Birds lay eggs”) express generalizations about categories. In this paper, we hypothesized that there is a paradoxical asymmetry at the core of generic meaning, such that these sentences have extremely strong implications but </w:t>
      </w:r>
      <w:r w:rsidRPr="00F31AAA">
        <w:rPr>
          <w:rStyle w:val="Emphasis"/>
        </w:rPr>
        <w:t>require little evidence to be judged true</w:t>
      </w:r>
      <w:r w:rsidRPr="0006642E">
        <w:rPr>
          <w:sz w:val="16"/>
        </w:rPr>
        <w:t xml:space="preserve">. Four experiments confirmed the hypothesized asymmetry: </w:t>
      </w:r>
      <w:r w:rsidRPr="002F1817">
        <w:rPr>
          <w:rStyle w:val="StyleUnderline"/>
        </w:rPr>
        <w:t>Participants interpreted novel generics such as “</w:t>
      </w:r>
      <w:proofErr w:type="spellStart"/>
      <w:r w:rsidRPr="00700262">
        <w:rPr>
          <w:rStyle w:val="StyleUnderline"/>
          <w:highlight w:val="green"/>
        </w:rPr>
        <w:t>Lorches</w:t>
      </w:r>
      <w:proofErr w:type="spellEnd"/>
      <w:r w:rsidRPr="00700262">
        <w:rPr>
          <w:rStyle w:val="StyleUnderline"/>
          <w:highlight w:val="green"/>
        </w:rPr>
        <w:t xml:space="preserve"> have purple feathers</w:t>
      </w:r>
      <w:r w:rsidRPr="002F1817">
        <w:rPr>
          <w:rStyle w:val="StyleUnderline"/>
        </w:rPr>
        <w:t>”</w:t>
      </w:r>
      <w:r w:rsidRPr="0006642E">
        <w:rPr>
          <w:sz w:val="16"/>
        </w:rPr>
        <w:t xml:space="preserve"> as referring to nearly all </w:t>
      </w:r>
      <w:proofErr w:type="spellStart"/>
      <w:r w:rsidRPr="0006642E">
        <w:rPr>
          <w:sz w:val="16"/>
        </w:rPr>
        <w:t>lorches</w:t>
      </w:r>
      <w:proofErr w:type="spellEnd"/>
      <w:r w:rsidRPr="0006642E">
        <w:rPr>
          <w:sz w:val="16"/>
        </w:rPr>
        <w:t xml:space="preserve">, but they judged the same novel generics </w:t>
      </w:r>
      <w:r w:rsidRPr="002F1817">
        <w:rPr>
          <w:rStyle w:val="StyleUnderline"/>
        </w:rPr>
        <w:t xml:space="preserve">to be </w:t>
      </w:r>
      <w:r w:rsidRPr="00700262">
        <w:rPr>
          <w:rStyle w:val="StyleUnderline"/>
          <w:highlight w:val="green"/>
        </w:rPr>
        <w:t xml:space="preserve">true </w:t>
      </w:r>
      <w:r w:rsidRPr="0006642E">
        <w:rPr>
          <w:sz w:val="16"/>
        </w:rPr>
        <w:t xml:space="preserve">given a wide range of prevalence levels (e.g., </w:t>
      </w:r>
      <w:r w:rsidRPr="00700262">
        <w:rPr>
          <w:rStyle w:val="StyleUnderline"/>
          <w:highlight w:val="green"/>
        </w:rPr>
        <w:t xml:space="preserve">even when </w:t>
      </w:r>
      <w:r w:rsidRPr="00700262">
        <w:rPr>
          <w:rStyle w:val="Emphasis"/>
          <w:highlight w:val="green"/>
        </w:rPr>
        <w:t xml:space="preserve">only 10% </w:t>
      </w:r>
      <w:r w:rsidRPr="002F1817">
        <w:rPr>
          <w:rStyle w:val="Emphasis"/>
        </w:rPr>
        <w:t>or 30%</w:t>
      </w:r>
      <w:r w:rsidRPr="002F1817">
        <w:rPr>
          <w:rStyle w:val="StyleUnderline"/>
        </w:rPr>
        <w:t xml:space="preserve"> of </w:t>
      </w:r>
      <w:proofErr w:type="spellStart"/>
      <w:r w:rsidRPr="00696956">
        <w:rPr>
          <w:rStyle w:val="StyleUnderline"/>
        </w:rPr>
        <w:t>lorches</w:t>
      </w:r>
      <w:proofErr w:type="spellEnd"/>
      <w:r w:rsidRPr="00696956">
        <w:rPr>
          <w:rStyle w:val="StyleUnderline"/>
        </w:rPr>
        <w:t xml:space="preserve"> had purple feathers</w:t>
      </w:r>
      <w:r w:rsidRPr="0006642E">
        <w:rPr>
          <w:sz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8034BB">
        <w:rPr>
          <w:rStyle w:val="StyleUnderline"/>
        </w:rPr>
        <w:t>A statement is generic if it expresses a generalization about the members of a kind, as in “Mosquitoes carry the West Nile virus” or “Birds lay eggs”</w:t>
      </w:r>
      <w:r w:rsidRPr="0006642E">
        <w:rPr>
          <w:sz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w:t>
      </w:r>
      <w:proofErr w:type="spellStart"/>
      <w:r w:rsidRPr="0006642E">
        <w:rPr>
          <w:sz w:val="16"/>
        </w:rPr>
        <w:t>Cimpian</w:t>
      </w:r>
      <w:proofErr w:type="spellEnd"/>
      <w:r w:rsidRPr="0006642E">
        <w:rPr>
          <w:sz w:val="16"/>
        </w:rPr>
        <w:t xml:space="preserve">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2F1817">
        <w:rPr>
          <w:rStyle w:val="StyleUnderline"/>
        </w:rPr>
        <w:t xml:space="preserve">Generic sentences are often judged true despite weak </w:t>
      </w:r>
      <w:r w:rsidRPr="00696956">
        <w:rPr>
          <w:rStyle w:val="StyleUnderline"/>
        </w:rPr>
        <w:t>statistical evidence</w:t>
      </w:r>
      <w:r w:rsidRPr="0006642E">
        <w:rPr>
          <w:sz w:val="16"/>
        </w:rPr>
        <w:t xml:space="preserve">. </w:t>
      </w:r>
      <w:r w:rsidRPr="00696956">
        <w:rPr>
          <w:rStyle w:val="StyleUnderline"/>
        </w:rPr>
        <w:t xml:space="preserve">Few people would dispute the truth of </w:t>
      </w:r>
      <w:r w:rsidRPr="00700262">
        <w:rPr>
          <w:rStyle w:val="StyleUnderline"/>
          <w:highlight w:val="green"/>
        </w:rPr>
        <w:t xml:space="preserve">“Mosquitoes carry the West Nile virus”, yet </w:t>
      </w:r>
      <w:r w:rsidRPr="00700262">
        <w:rPr>
          <w:rStyle w:val="Emphasis"/>
          <w:highlight w:val="green"/>
        </w:rPr>
        <w:t>only about 1%</w:t>
      </w:r>
      <w:r w:rsidRPr="002F1817">
        <w:rPr>
          <w:rStyle w:val="StyleUnderline"/>
        </w:rPr>
        <w:t xml:space="preserve"> of mosquitoes </w:t>
      </w:r>
      <w:r w:rsidRPr="00700262">
        <w:rPr>
          <w:rStyle w:val="StyleUnderline"/>
          <w:highlight w:val="green"/>
        </w:rPr>
        <w:t xml:space="preserve">are </w:t>
      </w:r>
      <w:r w:rsidRPr="002F1817">
        <w:rPr>
          <w:rStyle w:val="StyleUnderline"/>
        </w:rPr>
        <w:t xml:space="preserve">actually </w:t>
      </w:r>
      <w:r w:rsidRPr="00700262">
        <w:rPr>
          <w:rStyle w:val="StyleUnderline"/>
          <w:highlight w:val="green"/>
        </w:rPr>
        <w:t>carriers</w:t>
      </w:r>
      <w:r w:rsidRPr="0006642E">
        <w:rPr>
          <w:sz w:val="16"/>
        </w:rPr>
        <w:t xml:space="preserve"> (Cox, 2004). Similarly, </w:t>
      </w:r>
      <w:r w:rsidRPr="00696956">
        <w:rPr>
          <w:rStyle w:val="StyleUnderline"/>
        </w:rPr>
        <w:t>only a minority of birds lays eggs</w:t>
      </w:r>
      <w:r w:rsidRPr="0006642E">
        <w:rPr>
          <w:sz w:val="16"/>
        </w:rPr>
        <w:t xml:space="preserve"> (the healthy, mature females), </w:t>
      </w:r>
      <w:r w:rsidRPr="00696956">
        <w:rPr>
          <w:rStyle w:val="StyleUnderline"/>
        </w:rPr>
        <w:t xml:space="preserve">but “Birds lay eggs” is </w:t>
      </w:r>
      <w:r w:rsidRPr="00696956">
        <w:rPr>
          <w:rStyle w:val="Emphasis"/>
        </w:rPr>
        <w:t>uncontroversial</w:t>
      </w:r>
      <w:r w:rsidRPr="0006642E">
        <w:rPr>
          <w:sz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2F1817">
        <w:rPr>
          <w:rStyle w:val="StyleUnderline"/>
        </w:rPr>
        <w:t>We will</w:t>
      </w:r>
      <w:r w:rsidRPr="0006642E">
        <w:rPr>
          <w:sz w:val="16"/>
        </w:rPr>
        <w:t xml:space="preserve"> attempt to </w:t>
      </w:r>
      <w:r w:rsidRPr="002F1817">
        <w:rPr>
          <w:rStyle w:val="StyleUnderline"/>
        </w:rPr>
        <w:t xml:space="preserve">demonstrate </w:t>
      </w:r>
      <w:r w:rsidRPr="00700262">
        <w:rPr>
          <w:rStyle w:val="StyleUnderline"/>
          <w:highlight w:val="green"/>
        </w:rPr>
        <w:t xml:space="preserve">empirically </w:t>
      </w:r>
      <w:r w:rsidRPr="002F1817">
        <w:rPr>
          <w:rStyle w:val="StyleUnderline"/>
        </w:rPr>
        <w:t xml:space="preserve">that </w:t>
      </w:r>
      <w:r w:rsidRPr="00700262">
        <w:rPr>
          <w:rStyle w:val="StyleUnderline"/>
          <w:highlight w:val="green"/>
        </w:rPr>
        <w:t xml:space="preserve">the prevalence level </w:t>
      </w:r>
      <w:r w:rsidRPr="002F1817">
        <w:rPr>
          <w:rStyle w:val="StyleUnderline"/>
        </w:rPr>
        <w:t xml:space="preserve">that is </w:t>
      </w:r>
      <w:r w:rsidRPr="00700262">
        <w:rPr>
          <w:rStyle w:val="StyleUnderline"/>
          <w:highlight w:val="green"/>
        </w:rPr>
        <w:t xml:space="preserve">sufficient to judge a generic sentence </w:t>
      </w:r>
      <w:r w:rsidRPr="002F1817">
        <w:rPr>
          <w:rStyle w:val="StyleUnderline"/>
        </w:rPr>
        <w:t xml:space="preserve">as </w:t>
      </w:r>
      <w:r w:rsidRPr="00700262">
        <w:rPr>
          <w:rStyle w:val="StyleUnderline"/>
          <w:highlight w:val="green"/>
        </w:rPr>
        <w:t xml:space="preserve">true is </w:t>
      </w:r>
      <w:r w:rsidRPr="002F1817">
        <w:rPr>
          <w:rStyle w:val="StyleUnderline"/>
        </w:rPr>
        <w:t xml:space="preserve">indeed </w:t>
      </w:r>
      <w:r w:rsidRPr="00696956">
        <w:rPr>
          <w:rStyle w:val="Emphasis"/>
        </w:rPr>
        <w:t xml:space="preserve">significantly </w:t>
      </w:r>
      <w:r w:rsidRPr="00700262">
        <w:rPr>
          <w:rStyle w:val="Emphasis"/>
          <w:highlight w:val="green"/>
        </w:rPr>
        <w:t>low</w:t>
      </w:r>
      <w:r w:rsidRPr="00696956">
        <w:rPr>
          <w:rStyle w:val="Emphasis"/>
        </w:rPr>
        <w:t>er</w:t>
      </w:r>
      <w:r w:rsidRPr="00696956">
        <w:rPr>
          <w:rStyle w:val="StyleUnderline"/>
        </w:rPr>
        <w:t xml:space="preserve"> </w:t>
      </w:r>
      <w:r w:rsidRPr="002F1817">
        <w:rPr>
          <w:rStyle w:val="StyleUnderline"/>
        </w:rPr>
        <w:t>than the prevalence level implied by that very same sentence</w:t>
      </w:r>
      <w:r w:rsidRPr="0006642E">
        <w:rPr>
          <w:sz w:val="16"/>
        </w:rPr>
        <w:t>. If told that, say, “</w:t>
      </w:r>
      <w:proofErr w:type="spellStart"/>
      <w:r w:rsidRPr="0006642E">
        <w:rPr>
          <w:sz w:val="16"/>
        </w:rPr>
        <w:t>Lorches</w:t>
      </w:r>
      <w:proofErr w:type="spellEnd"/>
      <w:r w:rsidRPr="0006642E">
        <w:rPr>
          <w:sz w:val="16"/>
        </w:rPr>
        <w:t xml:space="preserve"> have purple feathers,” people might expect almost all </w:t>
      </w:r>
      <w:proofErr w:type="spellStart"/>
      <w:r w:rsidRPr="0006642E">
        <w:rPr>
          <w:sz w:val="16"/>
        </w:rPr>
        <w:t>lorches</w:t>
      </w:r>
      <w:proofErr w:type="spellEnd"/>
      <w:r w:rsidRPr="0006642E">
        <w:rPr>
          <w:sz w:val="16"/>
        </w:rPr>
        <w:t xml:space="preserve"> to have these feathers (illustrating generics’ high implied prevalence), but they may still agree that the sentence is true even if the actual prevalence of purple feathers among </w:t>
      </w:r>
      <w:proofErr w:type="spellStart"/>
      <w:r w:rsidRPr="0006642E">
        <w:rPr>
          <w:sz w:val="16"/>
        </w:rPr>
        <w:t>lorches</w:t>
      </w:r>
      <w:proofErr w:type="spellEnd"/>
      <w:r w:rsidRPr="0006642E">
        <w:rPr>
          <w:sz w:val="16"/>
        </w:rPr>
        <w:t xml:space="preserve">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w:t>
      </w:r>
      <w:proofErr w:type="spellStart"/>
      <w:r w:rsidRPr="0006642E">
        <w:rPr>
          <w:sz w:val="16"/>
        </w:rPr>
        <w:t>lorches</w:t>
      </w:r>
      <w:proofErr w:type="spellEnd"/>
      <w:r w:rsidRPr="0006642E">
        <w:rPr>
          <w:sz w:val="16"/>
        </w:rPr>
        <w:t xml:space="preserve">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2F1817">
        <w:rPr>
          <w:rStyle w:val="StyleUnderline"/>
        </w:rPr>
        <w:t>Altogether there are three kinds of tribes—Southern, Northern, Central. Southern tribes</w:t>
      </w:r>
      <w:r>
        <w:rPr>
          <w:rStyle w:val="StyleUnderline"/>
        </w:rPr>
        <w:t xml:space="preserve"> </w:t>
      </w:r>
      <w:r w:rsidRPr="002F1817">
        <w:rPr>
          <w:rStyle w:val="StyleUnderline"/>
        </w:rPr>
        <w:t>have</w:t>
      </w:r>
      <w:r>
        <w:rPr>
          <w:rStyle w:val="StyleUnderline"/>
        </w:rPr>
        <w:t xml:space="preserve"> </w:t>
      </w:r>
      <w:r w:rsidRPr="002F1817">
        <w:rPr>
          <w:rStyle w:val="StyleUnderline"/>
        </w:rPr>
        <w:t>sports magazines. Northern tribes</w:t>
      </w:r>
      <w:r>
        <w:rPr>
          <w:rStyle w:val="StyleUnderline"/>
        </w:rPr>
        <w:t xml:space="preserve"> </w:t>
      </w:r>
      <w:r w:rsidRPr="002F1817">
        <w:rPr>
          <w:rStyle w:val="StyleUnderline"/>
        </w:rPr>
        <w:t>do not</w:t>
      </w:r>
      <w:r w:rsidRPr="0006642E">
        <w:rPr>
          <w:sz w:val="16"/>
        </w:rPr>
        <w:t xml:space="preserve"> have sports magazines. </w:t>
      </w:r>
      <w:r w:rsidRPr="002F1817">
        <w:rPr>
          <w:rStyle w:val="StyleUnderline"/>
        </w:rPr>
        <w:t>Central tribes</w:t>
      </w:r>
      <w:r>
        <w:rPr>
          <w:rStyle w:val="StyleUnderline"/>
        </w:rPr>
        <w:t xml:space="preserve"> </w:t>
      </w:r>
      <w:r w:rsidRPr="002F1817">
        <w:rPr>
          <w:rStyle w:val="StyleUnderline"/>
        </w:rPr>
        <w:t>do not</w:t>
      </w:r>
      <w:r w:rsidRPr="0006642E">
        <w:rPr>
          <w:sz w:val="16"/>
        </w:rPr>
        <w:t xml:space="preserve"> have sports magazines. </w:t>
      </w:r>
      <w:r w:rsidRPr="002F1817">
        <w:rPr>
          <w:rStyle w:val="StyleUnderline"/>
        </w:rPr>
        <w:t>Do tribes have sports magazines?</w:t>
      </w:r>
      <w:r>
        <w:rPr>
          <w:rStyle w:val="StyleUnderline"/>
        </w:rPr>
        <w:t xml:space="preserve"> </w:t>
      </w:r>
      <w:r w:rsidRPr="0006642E">
        <w:rPr>
          <w:sz w:val="16"/>
        </w:rPr>
        <w:t xml:space="preserve">All items had the same critical feature: only one third of the target category possessed the relevant property. Despite the low prevalence, </w:t>
      </w:r>
      <w:r w:rsidRPr="002F1817">
        <w:rPr>
          <w:rStyle w:val="StyleUnderline"/>
        </w:rPr>
        <w:t>participants answered “yes” approximately 70% of the time</w:t>
      </w:r>
      <w:r w:rsidRPr="0006642E">
        <w:rPr>
          <w:sz w:val="16"/>
        </w:rPr>
        <w:t xml:space="preserve"> to “Do tribes have sports magazines?” and other generic questions similar to it. Thus, </w:t>
      </w:r>
      <w:r w:rsidRPr="002F1817">
        <w:rPr>
          <w:rStyle w:val="StyleUnderline"/>
        </w:rPr>
        <w:t>people’s acceptance of the generics did not seem contingent on strong statistical evidence,</w:t>
      </w:r>
      <w:r w:rsidRPr="0006642E">
        <w:rPr>
          <w:sz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2F1817">
        <w:rPr>
          <w:rStyle w:val="StyleUnderline"/>
        </w:rPr>
        <w:t>there are many cases where […] less than half of the individuals under consideration have some certain property, yet we still can truly predicate that property of the appropriate bare plural</w:t>
      </w:r>
      <w:r w:rsidRPr="0006642E">
        <w:rPr>
          <w:sz w:val="16"/>
        </w:rPr>
        <w:t xml:space="preserve">” (p. 67), </w:t>
      </w:r>
      <w:r w:rsidRPr="002F1817">
        <w:rPr>
          <w:rStyle w:val="StyleUnderline"/>
        </w:rPr>
        <w:t>as is the case with “Birds lay eggs” and “Mosquitoes carry the West Nile virus” but also with “Lions have manes</w:t>
      </w:r>
      <w:r w:rsidRPr="0006642E">
        <w:rPr>
          <w:sz w:val="16"/>
        </w:rPr>
        <w:t xml:space="preserve">”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w:t>
      </w:r>
    </w:p>
    <w:p w14:paraId="70E6F259" w14:textId="77777777" w:rsidR="00774414" w:rsidRPr="00774414" w:rsidRDefault="00774414" w:rsidP="00774414"/>
    <w:p w14:paraId="74CE2CEC" w14:textId="0F033828" w:rsidR="00C53725" w:rsidRPr="00C53725" w:rsidRDefault="00F41D0B" w:rsidP="00EC2B88">
      <w:pPr>
        <w:pStyle w:val="Heading2"/>
      </w:pPr>
      <w:r>
        <w:t>Is</w:t>
      </w:r>
    </w:p>
    <w:p w14:paraId="6768DB50" w14:textId="0EB59CD0" w:rsidR="00B946FF" w:rsidRDefault="00774414" w:rsidP="00B946FF">
      <w:pPr>
        <w:pStyle w:val="Heading3"/>
      </w:pPr>
      <w:r>
        <w:t>Is---Excludes Obligation---1NC</w:t>
      </w:r>
    </w:p>
    <w:p w14:paraId="40BAB1F4" w14:textId="3584F465" w:rsidR="00B946FF" w:rsidRPr="00B946FF" w:rsidRDefault="00B946FF" w:rsidP="00B946FF">
      <w:pPr>
        <w:pStyle w:val="Heading4"/>
      </w:pPr>
      <w:r w:rsidRPr="00B946FF">
        <w:t>Is = BE</w:t>
      </w:r>
    </w:p>
    <w:p w14:paraId="07EE3CE9" w14:textId="21CCF889" w:rsidR="00B946FF" w:rsidRPr="00B946FF" w:rsidRDefault="00B946FF" w:rsidP="00B946FF">
      <w:r w:rsidRPr="00B946FF">
        <w:rPr>
          <w:rFonts w:eastAsiaTheme="majorEastAsia" w:cstheme="majorBidi"/>
          <w:b/>
          <w:iCs/>
          <w:sz w:val="26"/>
        </w:rPr>
        <w:t>Merriam-Webster, ND</w:t>
      </w:r>
      <w:r w:rsidRPr="00B946FF">
        <w:t xml:space="preserve"> ["Definition of IS," </w:t>
      </w:r>
      <w:r>
        <w:t>Merriam-Webster</w:t>
      </w:r>
      <w:r w:rsidRPr="00B946FF">
        <w:t>, https://www.merriam-webster.com/dictionary/is, xx-xx-</w:t>
      </w:r>
      <w:proofErr w:type="spellStart"/>
      <w:r w:rsidRPr="00B946FF">
        <w:t>xxxx</w:t>
      </w:r>
      <w:proofErr w:type="spellEnd"/>
      <w:r w:rsidRPr="00B946FF">
        <w:t>] TDI</w:t>
      </w:r>
    </w:p>
    <w:p w14:paraId="0BD8BC80" w14:textId="5549B694" w:rsidR="00B946FF" w:rsidRPr="00B946FF" w:rsidRDefault="00B946FF" w:rsidP="00B946FF">
      <w:pPr>
        <w:rPr>
          <w:rStyle w:val="Emphasis"/>
        </w:rPr>
      </w:pPr>
      <w:r w:rsidRPr="00B946FF">
        <w:rPr>
          <w:rStyle w:val="Emphasis"/>
        </w:rPr>
        <w:t>is</w:t>
      </w:r>
    </w:p>
    <w:p w14:paraId="14C4364C" w14:textId="77777777" w:rsidR="00B946FF" w:rsidRPr="00B946FF" w:rsidRDefault="00B946FF" w:rsidP="00B946FF">
      <w:r w:rsidRPr="00B946FF">
        <w:t>1 of 4</w:t>
      </w:r>
    </w:p>
    <w:p w14:paraId="4663B323" w14:textId="77777777" w:rsidR="00B946FF" w:rsidRPr="00B946FF" w:rsidRDefault="00B946FF" w:rsidP="00B946FF">
      <w:hyperlink r:id="rId18" w:history="1">
        <w:r w:rsidRPr="00B946FF">
          <w:rPr>
            <w:rStyle w:val="Hyperlink"/>
          </w:rPr>
          <w:t>Synonyms of is</w:t>
        </w:r>
      </w:hyperlink>
    </w:p>
    <w:p w14:paraId="79DC2206" w14:textId="77777777" w:rsidR="00B946FF" w:rsidRPr="00B946FF" w:rsidRDefault="00B946FF" w:rsidP="00B946FF">
      <w:pPr>
        <w:rPr>
          <w:rStyle w:val="StyleUnderline"/>
        </w:rPr>
      </w:pPr>
      <w:r w:rsidRPr="00B946FF">
        <w:rPr>
          <w:rStyle w:val="StyleUnderline"/>
        </w:rPr>
        <w:t xml:space="preserve">present tense third-person </w:t>
      </w:r>
      <w:r w:rsidRPr="00B946FF">
        <w:rPr>
          <w:rStyle w:val="Emphasis"/>
        </w:rPr>
        <w:t>singular of </w:t>
      </w:r>
      <w:hyperlink r:id="rId19" w:history="1">
        <w:r w:rsidRPr="00B946FF">
          <w:rPr>
            <w:rStyle w:val="Emphasis"/>
          </w:rPr>
          <w:t>be</w:t>
        </w:r>
      </w:hyperlink>
    </w:p>
    <w:p w14:paraId="0D1237FE" w14:textId="2099FB80" w:rsidR="00B946FF" w:rsidRPr="00B946FF" w:rsidRDefault="00B946FF" w:rsidP="00B946FF">
      <w:r w:rsidRPr="00B946FF">
        <w:t>dialectal present tense first-person and third-person singular of be</w:t>
      </w:r>
    </w:p>
    <w:p w14:paraId="0EFACFD6" w14:textId="569B2F60" w:rsidR="00B946FF" w:rsidRPr="00B946FF" w:rsidRDefault="00B946FF" w:rsidP="00B946FF">
      <w:r w:rsidRPr="00B946FF">
        <w:t xml:space="preserve">dialectal </w:t>
      </w:r>
      <w:r w:rsidRPr="00B946FF">
        <w:rPr>
          <w:rStyle w:val="StyleUnderline"/>
        </w:rPr>
        <w:t>present tense plural of be</w:t>
      </w:r>
    </w:p>
    <w:p w14:paraId="31A3B31D" w14:textId="77777777" w:rsidR="00B946FF" w:rsidRDefault="00B946FF" w:rsidP="00B946FF"/>
    <w:p w14:paraId="61614CEF" w14:textId="3FD87518" w:rsidR="00774414" w:rsidRDefault="00774414" w:rsidP="00774414">
      <w:pPr>
        <w:pStyle w:val="Heading4"/>
      </w:pPr>
      <w:r w:rsidRPr="00774414">
        <w:t>BE is a linking verb</w:t>
      </w:r>
    </w:p>
    <w:p w14:paraId="17950F12" w14:textId="2FD5BC59" w:rsidR="00774414" w:rsidRPr="00774414" w:rsidRDefault="00774414" w:rsidP="00774414">
      <w:pPr>
        <w:rPr>
          <w:rStyle w:val="Emphasis"/>
        </w:rPr>
      </w:pPr>
      <w:r w:rsidRPr="00774414">
        <w:rPr>
          <w:rFonts w:eastAsiaTheme="majorEastAsia" w:cstheme="majorBidi"/>
          <w:b/>
          <w:iCs/>
          <w:sz w:val="26"/>
        </w:rPr>
        <w:t>Cambridge Dictionary, ND</w:t>
      </w:r>
      <w:r w:rsidRPr="00774414">
        <w:t xml:space="preserve"> ["linking verb," </w:t>
      </w:r>
      <w:r>
        <w:t>Cambridge Dictionary</w:t>
      </w:r>
      <w:r w:rsidRPr="00774414">
        <w:t>, https://dictionary.cambridge.org/us/dictionary/english-portuguese/linking-verb, ] TDI</w:t>
      </w:r>
      <w:r>
        <w:br/>
      </w:r>
      <w:r w:rsidRPr="00774414">
        <w:rPr>
          <w:rStyle w:val="Emphasis"/>
        </w:rPr>
        <w:t>linking verb</w:t>
      </w:r>
    </w:p>
    <w:p w14:paraId="7A9D37D8" w14:textId="7135953F" w:rsidR="00774414" w:rsidRPr="00774414" w:rsidRDefault="00774414" w:rsidP="00774414">
      <w:r w:rsidRPr="00774414">
        <w:t>noun</w:t>
      </w:r>
    </w:p>
    <w:p w14:paraId="7C745E03" w14:textId="77777777" w:rsidR="00774414" w:rsidRPr="00774414" w:rsidRDefault="00774414" w:rsidP="00774414">
      <w:r w:rsidRPr="00774414">
        <w:t>linguistics</w:t>
      </w:r>
    </w:p>
    <w:p w14:paraId="1747A5BC" w14:textId="5DAB0A94" w:rsidR="00774414" w:rsidRPr="00774414" w:rsidRDefault="00774414" w:rsidP="00774414">
      <w:r w:rsidRPr="00774414">
        <w:t>a</w:t>
      </w:r>
      <w:r w:rsidRPr="00774414">
        <w:rPr>
          <w:rStyle w:val="StyleUnderline"/>
        </w:rPr>
        <w:t> verb such as ‘</w:t>
      </w:r>
      <w:r w:rsidRPr="00774414">
        <w:rPr>
          <w:rStyle w:val="Emphasis"/>
        </w:rPr>
        <w:t>be’</w:t>
      </w:r>
      <w:r w:rsidRPr="00774414">
        <w:rPr>
          <w:rStyle w:val="StyleUnderline"/>
        </w:rPr>
        <w:t>, ‘become’, or ‘seem’ that connects the subject of a sentence with its complement</w:t>
      </w:r>
      <w:r w:rsidRPr="00774414">
        <w:t> (= the adjective or noun that describes it); copula</w:t>
      </w:r>
    </w:p>
    <w:p w14:paraId="32ADCE87" w14:textId="43572A82" w:rsidR="00774414" w:rsidRPr="00774414" w:rsidRDefault="00774414" w:rsidP="00774414">
      <w:r w:rsidRPr="00774414">
        <w:rPr>
          <w:lang w:val="pt-PT"/>
        </w:rPr>
        <w:t>verbo de ligação</w:t>
      </w:r>
    </w:p>
    <w:p w14:paraId="50D8D17B" w14:textId="6933C57F" w:rsidR="00774414" w:rsidRPr="00774414" w:rsidRDefault="00774414" w:rsidP="00774414">
      <w:r w:rsidRPr="00774414">
        <w:t>In the sentence ‘He seems happy’, the linking verb is ‘seems’.</w:t>
      </w:r>
    </w:p>
    <w:p w14:paraId="09E7E471" w14:textId="77777777" w:rsidR="00774414" w:rsidRDefault="00774414" w:rsidP="00774414"/>
    <w:p w14:paraId="6264F8E4" w14:textId="608A6E02" w:rsidR="00774414" w:rsidRDefault="00774414" w:rsidP="00774414">
      <w:pPr>
        <w:pStyle w:val="Heading4"/>
      </w:pPr>
      <w:r>
        <w:t xml:space="preserve">It’s used to </w:t>
      </w:r>
      <w:r w:rsidRPr="00774414">
        <w:rPr>
          <w:u w:val="single"/>
        </w:rPr>
        <w:t>say something</w:t>
      </w:r>
      <w:r>
        <w:t>, not prescribe an action.</w:t>
      </w:r>
    </w:p>
    <w:p w14:paraId="76182A9F" w14:textId="08207517" w:rsidR="00774414" w:rsidRPr="00774414" w:rsidRDefault="00774414" w:rsidP="00774414">
      <w:r w:rsidRPr="00774414">
        <w:rPr>
          <w:rFonts w:eastAsiaTheme="majorEastAsia" w:cstheme="majorBidi"/>
          <w:b/>
          <w:iCs/>
          <w:sz w:val="26"/>
        </w:rPr>
        <w:t>Cambridge Dictionary, ND</w:t>
      </w:r>
      <w:r w:rsidRPr="00774414">
        <w:t xml:space="preserve"> </w:t>
      </w:r>
      <w:r>
        <w:t>[</w:t>
      </w:r>
      <w:r w:rsidRPr="00774414">
        <w:t xml:space="preserve">"be," </w:t>
      </w:r>
      <w:r>
        <w:t>Cambridge Dictionary</w:t>
      </w:r>
      <w:r w:rsidRPr="00774414">
        <w:t>, https://dictionary.cambridge.org/us/dictionary/english/be, xx-xx-</w:t>
      </w:r>
      <w:proofErr w:type="spellStart"/>
      <w:r w:rsidRPr="00774414">
        <w:t>xxxx</w:t>
      </w:r>
      <w:proofErr w:type="spellEnd"/>
      <w:r w:rsidRPr="00774414">
        <w:t>] TDI</w:t>
      </w:r>
    </w:p>
    <w:p w14:paraId="3D76CA7E" w14:textId="77777777" w:rsidR="00774414" w:rsidRPr="00774414" w:rsidRDefault="00774414" w:rsidP="00774414">
      <w:pPr>
        <w:rPr>
          <w:rStyle w:val="Emphasis"/>
        </w:rPr>
      </w:pPr>
      <w:r w:rsidRPr="00774414">
        <w:rPr>
          <w:rStyle w:val="Emphasis"/>
        </w:rPr>
        <w:t>be</w:t>
      </w:r>
    </w:p>
    <w:p w14:paraId="11432662" w14:textId="77777777" w:rsidR="00774414" w:rsidRPr="00774414" w:rsidRDefault="00774414" w:rsidP="00774414">
      <w:pPr>
        <w:rPr>
          <w:sz w:val="16"/>
        </w:rPr>
      </w:pPr>
      <w:r w:rsidRPr="00774414">
        <w:rPr>
          <w:sz w:val="16"/>
        </w:rPr>
        <w:t>verb</w:t>
      </w:r>
    </w:p>
    <w:p w14:paraId="58243293" w14:textId="77777777" w:rsidR="00774414" w:rsidRPr="00774414" w:rsidRDefault="00774414" w:rsidP="00774414">
      <w:pPr>
        <w:rPr>
          <w:sz w:val="16"/>
        </w:rPr>
      </w:pPr>
      <w:r w:rsidRPr="00774414">
        <w:rPr>
          <w:sz w:val="16"/>
        </w:rPr>
        <w:t>us </w:t>
      </w:r>
    </w:p>
    <w:p w14:paraId="7FB51B59" w14:textId="77777777" w:rsidR="00774414" w:rsidRPr="00774414" w:rsidRDefault="00774414" w:rsidP="00774414">
      <w:pPr>
        <w:rPr>
          <w:sz w:val="16"/>
        </w:rPr>
      </w:pPr>
      <w:r w:rsidRPr="00774414">
        <w:rPr>
          <w:sz w:val="16"/>
        </w:rPr>
        <w:t> strong /biː/ weak /bi/ weak /</w:t>
      </w:r>
      <w:proofErr w:type="spellStart"/>
      <w:r w:rsidRPr="00774414">
        <w:rPr>
          <w:sz w:val="16"/>
        </w:rPr>
        <w:t>bɪ</w:t>
      </w:r>
      <w:proofErr w:type="spellEnd"/>
      <w:r w:rsidRPr="00774414">
        <w:rPr>
          <w:sz w:val="16"/>
        </w:rPr>
        <w:t>/ </w:t>
      </w:r>
      <w:proofErr w:type="spellStart"/>
      <w:r w:rsidRPr="00774414">
        <w:rPr>
          <w:sz w:val="16"/>
        </w:rPr>
        <w:t>uk</w:t>
      </w:r>
      <w:proofErr w:type="spellEnd"/>
      <w:r w:rsidRPr="00774414">
        <w:rPr>
          <w:sz w:val="16"/>
        </w:rPr>
        <w:t> </w:t>
      </w:r>
    </w:p>
    <w:p w14:paraId="61E71F63" w14:textId="77777777" w:rsidR="00774414" w:rsidRPr="00774414" w:rsidRDefault="00774414" w:rsidP="00774414">
      <w:pPr>
        <w:rPr>
          <w:sz w:val="16"/>
        </w:rPr>
      </w:pPr>
      <w:r w:rsidRPr="00774414">
        <w:rPr>
          <w:sz w:val="16"/>
        </w:rPr>
        <w:t> strong /biː/ weak /bi/ weak /</w:t>
      </w:r>
      <w:proofErr w:type="spellStart"/>
      <w:r w:rsidRPr="00774414">
        <w:rPr>
          <w:sz w:val="16"/>
        </w:rPr>
        <w:t>bɪ</w:t>
      </w:r>
      <w:proofErr w:type="spellEnd"/>
      <w:r w:rsidRPr="00774414">
        <w:rPr>
          <w:sz w:val="16"/>
        </w:rPr>
        <w:t>/</w:t>
      </w:r>
    </w:p>
    <w:p w14:paraId="7AAC151E" w14:textId="77777777" w:rsidR="00774414" w:rsidRPr="00774414" w:rsidRDefault="00774414" w:rsidP="00774414">
      <w:pPr>
        <w:rPr>
          <w:sz w:val="16"/>
        </w:rPr>
      </w:pPr>
      <w:r w:rsidRPr="00774414">
        <w:rPr>
          <w:sz w:val="16"/>
        </w:rPr>
        <w:t>being | was | were | been</w:t>
      </w:r>
    </w:p>
    <w:p w14:paraId="36B31F47" w14:textId="77777777" w:rsidR="00774414" w:rsidRPr="00774414" w:rsidRDefault="00774414" w:rsidP="00774414">
      <w:pPr>
        <w:rPr>
          <w:rStyle w:val="StyleUnderline"/>
        </w:rPr>
      </w:pPr>
      <w:r w:rsidRPr="00774414">
        <w:rPr>
          <w:rStyle w:val="StyleUnderline"/>
        </w:rPr>
        <w:t>be verb (DESCRIPTION)</w:t>
      </w:r>
    </w:p>
    <w:p w14:paraId="10C3B88B" w14:textId="77777777" w:rsidR="00774414" w:rsidRPr="00774414" w:rsidRDefault="00774414" w:rsidP="00774414">
      <w:pPr>
        <w:rPr>
          <w:sz w:val="16"/>
        </w:rPr>
      </w:pPr>
      <w:r w:rsidRPr="00774414">
        <w:rPr>
          <w:sz w:val="16"/>
        </w:rPr>
        <w:t>Add to word list </w:t>
      </w:r>
    </w:p>
    <w:p w14:paraId="3F8B667E" w14:textId="7DF6748B" w:rsidR="00774414" w:rsidRPr="00774414" w:rsidRDefault="00774414" w:rsidP="00774414">
      <w:pPr>
        <w:rPr>
          <w:sz w:val="16"/>
        </w:rPr>
      </w:pPr>
      <w:r w:rsidRPr="00774414">
        <w:rPr>
          <w:sz w:val="16"/>
        </w:rPr>
        <w:t>A1 [ L ]</w:t>
      </w:r>
    </w:p>
    <w:p w14:paraId="61E7B9E0" w14:textId="15024ABE" w:rsidR="00774414" w:rsidRPr="00774414" w:rsidRDefault="00774414" w:rsidP="00774414">
      <w:pPr>
        <w:rPr>
          <w:sz w:val="16"/>
        </w:rPr>
      </w:pPr>
      <w:r w:rsidRPr="00774414">
        <w:rPr>
          <w:rStyle w:val="StyleUnderline"/>
        </w:rPr>
        <w:t xml:space="preserve">used </w:t>
      </w:r>
      <w:r w:rsidRPr="00774414">
        <w:rPr>
          <w:rStyle w:val="Emphasis"/>
        </w:rPr>
        <w:t>to say something</w:t>
      </w:r>
      <w:r w:rsidRPr="00774414">
        <w:rPr>
          <w:rStyle w:val="StyleUnderline"/>
        </w:rPr>
        <w:t xml:space="preserve"> about a person, thing, or state</w:t>
      </w:r>
      <w:r w:rsidRPr="00774414">
        <w:rPr>
          <w:sz w:val="16"/>
        </w:rPr>
        <w:t>, to show a permanent or temporary quality, state, job, etc.:</w:t>
      </w:r>
    </w:p>
    <w:p w14:paraId="7114E68A" w14:textId="535A8114" w:rsidR="00774414" w:rsidRDefault="00B96127" w:rsidP="00B96127">
      <w:pPr>
        <w:pStyle w:val="Heading3"/>
      </w:pPr>
      <w:r>
        <w:t>Is---A2: Excludes Obligation---1AR</w:t>
      </w:r>
    </w:p>
    <w:p w14:paraId="72BE7456" w14:textId="3D493CB6" w:rsidR="00722929" w:rsidRDefault="00722929" w:rsidP="00722929">
      <w:pPr>
        <w:pStyle w:val="Heading4"/>
      </w:pPr>
      <w:r>
        <w:t>“Is” embodies a quality</w:t>
      </w:r>
    </w:p>
    <w:p w14:paraId="08B54590" w14:textId="63C4F390" w:rsidR="00722929" w:rsidRDefault="00722929" w:rsidP="00722929">
      <w:r w:rsidRPr="00722929">
        <w:rPr>
          <w:rFonts w:eastAsiaTheme="majorEastAsia" w:cstheme="majorBidi"/>
          <w:b/>
          <w:iCs/>
          <w:sz w:val="26"/>
        </w:rPr>
        <w:t>English Language &amp; Usage Stack Exchange, 17</w:t>
      </w:r>
      <w:r w:rsidRPr="00722929">
        <w:t xml:space="preserve"> [(English Language &amp; Usage Stack Exchange, ) "The meaning of "is"," https://english.stackexchange.com/questions/345936/the-meaning-of-is, </w:t>
      </w:r>
      <w:r>
        <w:t>2017</w:t>
      </w:r>
      <w:r w:rsidRPr="00722929">
        <w:t>] TDI</w:t>
      </w:r>
    </w:p>
    <w:p w14:paraId="02CB27EA" w14:textId="77777777" w:rsidR="00722929" w:rsidRPr="00722929" w:rsidRDefault="00722929" w:rsidP="00722929">
      <w:r w:rsidRPr="00722929">
        <w:t>As of now, I have two theories as to what "is" means.</w:t>
      </w:r>
    </w:p>
    <w:p w14:paraId="46C6DB1A" w14:textId="77777777" w:rsidR="00722929" w:rsidRPr="00722929" w:rsidRDefault="00722929" w:rsidP="00722929">
      <w:r w:rsidRPr="00722929">
        <w:t xml:space="preserve">The first is that sometimes "is" can be equated to "equals" (e.g. January 15th is today.) It would be strange to say that January 15th equals today -and that </w:t>
      </w:r>
      <w:proofErr w:type="spellStart"/>
      <w:r w:rsidRPr="00722929">
        <w:t>statment</w:t>
      </w:r>
      <w:proofErr w:type="spellEnd"/>
      <w:r w:rsidRPr="00722929">
        <w:t xml:space="preserve"> would only be true one day of the year-, but technically, I think, that would be a correct logical </w:t>
      </w:r>
      <w:proofErr w:type="spellStart"/>
      <w:r w:rsidRPr="00722929">
        <w:t>statment</w:t>
      </w:r>
      <w:proofErr w:type="spellEnd"/>
      <w:r w:rsidRPr="00722929">
        <w:t>.</w:t>
      </w:r>
    </w:p>
    <w:p w14:paraId="55D05CE6" w14:textId="77777777" w:rsidR="00722929" w:rsidRPr="00722929" w:rsidRDefault="00722929" w:rsidP="00722929">
      <w:r w:rsidRPr="00722929">
        <w:t>The second is that "</w:t>
      </w:r>
      <w:r w:rsidRPr="00722929">
        <w:rPr>
          <w:rStyle w:val="Emphasis"/>
        </w:rPr>
        <w:t>is</w:t>
      </w:r>
      <w:r w:rsidRPr="00722929">
        <w:rPr>
          <w:rStyle w:val="StyleUnderline"/>
        </w:rPr>
        <w:t xml:space="preserve">" can also mean "the subject of this sentence currently manifests/embodies the abstract concept about to be </w:t>
      </w:r>
      <w:r w:rsidRPr="00722929">
        <w:rPr>
          <w:rStyle w:val="Emphasis"/>
        </w:rPr>
        <w:t>listed</w:t>
      </w:r>
      <w:r w:rsidRPr="00722929">
        <w:t>" (e.g. He is sad." would follow this definition.)</w:t>
      </w:r>
    </w:p>
    <w:p w14:paraId="3588B5FA" w14:textId="77777777" w:rsidR="00722929" w:rsidRPr="00722929" w:rsidRDefault="00722929" w:rsidP="00722929">
      <w:r w:rsidRPr="00722929">
        <w:t>What I am wanting to know is whether -and I assume that this list isn't complete- there are other definitions or stipulations concerning what "is" means.</w:t>
      </w:r>
    </w:p>
    <w:p w14:paraId="526634F2" w14:textId="77777777" w:rsidR="00722929" w:rsidRPr="00722929" w:rsidRDefault="00722929" w:rsidP="00722929"/>
    <w:p w14:paraId="10C0BCE4" w14:textId="77777777" w:rsidR="00B96127" w:rsidRDefault="00B96127" w:rsidP="00B96127">
      <w:pPr>
        <w:pStyle w:val="Heading4"/>
      </w:pPr>
      <w:r>
        <w:t>Is means</w:t>
      </w:r>
    </w:p>
    <w:p w14:paraId="0E2B5870" w14:textId="77777777" w:rsidR="00E75818" w:rsidRPr="00B946FF" w:rsidRDefault="00E75818" w:rsidP="00E75818">
      <w:r w:rsidRPr="00B946FF">
        <w:rPr>
          <w:rFonts w:eastAsiaTheme="majorEastAsia" w:cstheme="majorBidi"/>
          <w:b/>
          <w:iCs/>
          <w:sz w:val="26"/>
        </w:rPr>
        <w:t>Merriam-Webster, ND</w:t>
      </w:r>
      <w:r w:rsidRPr="00B946FF">
        <w:t xml:space="preserve"> ["Definition of IS," </w:t>
      </w:r>
      <w:r>
        <w:t>Merriam-Webster</w:t>
      </w:r>
      <w:r w:rsidRPr="00B946FF">
        <w:t>, https://www.merriam-webster.com/dictionary/is, xx-xx-</w:t>
      </w:r>
      <w:proofErr w:type="spellStart"/>
      <w:r w:rsidRPr="00B946FF">
        <w:t>xxxx</w:t>
      </w:r>
      <w:proofErr w:type="spellEnd"/>
      <w:r w:rsidRPr="00B946FF">
        <w:t>] TDI</w:t>
      </w:r>
    </w:p>
    <w:p w14:paraId="2594AB1F" w14:textId="77777777" w:rsidR="00B96127" w:rsidRPr="001C762B" w:rsidRDefault="00B96127" w:rsidP="00B96127">
      <w:r w:rsidRPr="001C762B">
        <w:t>is-</w:t>
      </w:r>
    </w:p>
    <w:p w14:paraId="53759A21" w14:textId="77777777" w:rsidR="00B96127" w:rsidRPr="001C762B" w:rsidRDefault="00B96127" w:rsidP="00B96127">
      <w:r w:rsidRPr="001C762B">
        <w:t> </w:t>
      </w:r>
      <w:hyperlink r:id="rId20" w:history="1">
        <w:r w:rsidRPr="001C762B">
          <w:rPr>
            <w:rStyle w:val="Hyperlink"/>
          </w:rPr>
          <w:t>combining form</w:t>
        </w:r>
      </w:hyperlink>
    </w:p>
    <w:p w14:paraId="61A6C3F8" w14:textId="77777777" w:rsidR="00B96127" w:rsidRPr="001C762B" w:rsidRDefault="00B96127" w:rsidP="00B96127">
      <w:r w:rsidRPr="001C762B">
        <w:t>variants: or iso-</w:t>
      </w:r>
    </w:p>
    <w:p w14:paraId="55B8F515" w14:textId="77777777" w:rsidR="00B96127" w:rsidRPr="001C762B" w:rsidRDefault="00B96127" w:rsidP="00B96127">
      <w:r w:rsidRPr="001C762B">
        <w:t>Definition of is- (Entry 4 of 4)</w:t>
      </w:r>
    </w:p>
    <w:p w14:paraId="339F075D" w14:textId="77777777" w:rsidR="00B96127" w:rsidRPr="001C762B" w:rsidRDefault="00B96127" w:rsidP="00B96127">
      <w:r w:rsidRPr="001C762B">
        <w:t>1: </w:t>
      </w:r>
      <w:r w:rsidRPr="001C762B">
        <w:rPr>
          <w:highlight w:val="cyan"/>
        </w:rPr>
        <w:t>equal : homogeneous</w:t>
      </w:r>
      <w:r w:rsidRPr="001C762B">
        <w:t> : </w:t>
      </w:r>
      <w:proofErr w:type="spellStart"/>
      <w:r w:rsidRPr="001C762B">
        <w:t>uniformisentropic</w:t>
      </w:r>
      <w:proofErr w:type="spellEnd"/>
    </w:p>
    <w:p w14:paraId="76EA415D" w14:textId="77777777" w:rsidR="00B96127" w:rsidRPr="001C762B" w:rsidRDefault="00B96127" w:rsidP="00B96127">
      <w:r w:rsidRPr="001C762B">
        <w:t>2: </w:t>
      </w:r>
      <w:proofErr w:type="spellStart"/>
      <w:r w:rsidRPr="001C762B">
        <w:t>isomericisocyanate</w:t>
      </w:r>
      <w:proofErr w:type="spellEnd"/>
    </w:p>
    <w:p w14:paraId="13DA9109" w14:textId="77777777" w:rsidR="00B96127" w:rsidRPr="001C762B" w:rsidRDefault="00B96127" w:rsidP="00B96127">
      <w:r w:rsidRPr="001C762B">
        <w:t xml:space="preserve">3: for or from different individuals of the same </w:t>
      </w:r>
      <w:proofErr w:type="spellStart"/>
      <w:r w:rsidRPr="001C762B">
        <w:t>speciesisoagglutinin</w:t>
      </w:r>
      <w:proofErr w:type="spellEnd"/>
    </w:p>
    <w:p w14:paraId="4C8E78E5" w14:textId="77777777" w:rsidR="00B96127" w:rsidRPr="00B96127" w:rsidRDefault="00B96127" w:rsidP="00B96127"/>
    <w:p w14:paraId="278FF482" w14:textId="2F4A6114" w:rsidR="00F41D0B" w:rsidRDefault="00F41D0B" w:rsidP="00F41D0B">
      <w:pPr>
        <w:pStyle w:val="Heading2"/>
      </w:pPr>
      <w:r>
        <w:t>Immoral</w:t>
      </w:r>
    </w:p>
    <w:p w14:paraId="7BF5A37D" w14:textId="2F9176C0" w:rsidR="00F41D0B" w:rsidRDefault="00F41D0B" w:rsidP="00F41D0B">
      <w:pPr>
        <w:pStyle w:val="Heading3"/>
      </w:pPr>
      <w:r>
        <w:t>Immoral---</w:t>
      </w:r>
      <w:r w:rsidR="00324746">
        <w:t>No obligation</w:t>
      </w:r>
      <w:r>
        <w:t>---1NC</w:t>
      </w:r>
    </w:p>
    <w:p w14:paraId="18620423" w14:textId="77777777" w:rsidR="004C7156" w:rsidRDefault="004C7156" w:rsidP="004C7156"/>
    <w:p w14:paraId="19514D42" w14:textId="77777777" w:rsidR="004C7156" w:rsidRDefault="004C7156" w:rsidP="004C7156"/>
    <w:p w14:paraId="294E5995" w14:textId="77777777" w:rsidR="004C7156" w:rsidRPr="004C7156" w:rsidRDefault="004C7156" w:rsidP="004C7156"/>
    <w:p w14:paraId="6B7B4129" w14:textId="74024D7B" w:rsidR="002C3994" w:rsidRDefault="00A5228D" w:rsidP="00A5228D">
      <w:pPr>
        <w:pStyle w:val="Heading4"/>
      </w:pPr>
      <w:r>
        <w:t>It recognizes</w:t>
      </w:r>
      <w:r w:rsidR="002C3994">
        <w:t xml:space="preserve"> something as </w:t>
      </w:r>
      <w:r w:rsidR="004C7156" w:rsidRPr="002C3994">
        <w:rPr>
          <w:u w:val="single"/>
        </w:rPr>
        <w:t>wrong</w:t>
      </w:r>
      <w:r w:rsidR="004C7156">
        <w:t>;</w:t>
      </w:r>
      <w:r w:rsidR="002C3994">
        <w:t xml:space="preserve"> it doesn’t imply an obligation. </w:t>
      </w:r>
    </w:p>
    <w:p w14:paraId="6C124F9B" w14:textId="2E949494" w:rsidR="00A5228D" w:rsidRPr="00A5228D" w:rsidRDefault="00A5228D" w:rsidP="00A5228D">
      <w:r w:rsidRPr="00A5228D">
        <w:rPr>
          <w:rFonts w:eastAsiaTheme="majorEastAsia" w:cstheme="majorBidi"/>
          <w:b/>
          <w:iCs/>
          <w:sz w:val="26"/>
        </w:rPr>
        <w:t>Britannica, ND</w:t>
      </w:r>
      <w:r w:rsidRPr="00A5228D">
        <w:t xml:space="preserve"> ["Immoral Definition &amp; Meaning," </w:t>
      </w:r>
      <w:r>
        <w:t>Britannica</w:t>
      </w:r>
      <w:r w:rsidRPr="00A5228D">
        <w:t>, https://www.britannica.com/dictionary/immoral,] TDI</w:t>
      </w:r>
    </w:p>
    <w:p w14:paraId="295C79C6" w14:textId="6B63B748" w:rsidR="002C3994" w:rsidRPr="00A5228D" w:rsidRDefault="002C3994" w:rsidP="002C3994">
      <w:pPr>
        <w:rPr>
          <w:sz w:val="16"/>
        </w:rPr>
      </w:pPr>
      <w:r w:rsidRPr="002C3994">
        <w:rPr>
          <w:sz w:val="16"/>
        </w:rPr>
        <w:t xml:space="preserve">Britannica Dictionary definition of </w:t>
      </w:r>
      <w:r w:rsidRPr="002C3994">
        <w:rPr>
          <w:rStyle w:val="Emphasis"/>
        </w:rPr>
        <w:t>IMMORAL</w:t>
      </w:r>
    </w:p>
    <w:p w14:paraId="48A54E77" w14:textId="0E81EC8C" w:rsidR="002C3994" w:rsidRPr="002C3994" w:rsidRDefault="002C3994" w:rsidP="002C3994">
      <w:pPr>
        <w:rPr>
          <w:sz w:val="16"/>
        </w:rPr>
      </w:pPr>
      <w:r w:rsidRPr="002C3994">
        <w:rPr>
          <w:sz w:val="16"/>
        </w:rPr>
        <w:t>[more immoral; most immoral]</w:t>
      </w:r>
    </w:p>
    <w:p w14:paraId="08C0146F" w14:textId="77777777" w:rsidR="002C3994" w:rsidRPr="002C3994" w:rsidRDefault="002C3994" w:rsidP="002C3994">
      <w:pPr>
        <w:rPr>
          <w:sz w:val="16"/>
        </w:rPr>
      </w:pPr>
      <w:r w:rsidRPr="002C3994">
        <w:rPr>
          <w:sz w:val="16"/>
        </w:rPr>
        <w:t>: </w:t>
      </w:r>
      <w:r w:rsidRPr="002C3994">
        <w:rPr>
          <w:rStyle w:val="StyleUnderline"/>
        </w:rPr>
        <w:t>not morally good or right : morally evil or wrong</w:t>
      </w:r>
    </w:p>
    <w:p w14:paraId="4BDC9AB3" w14:textId="77777777" w:rsidR="002C3994" w:rsidRPr="002C3994" w:rsidRDefault="002C3994" w:rsidP="002C3994">
      <w:pPr>
        <w:rPr>
          <w:sz w:val="16"/>
        </w:rPr>
      </w:pPr>
      <w:r w:rsidRPr="002C3994">
        <w:rPr>
          <w:sz w:val="16"/>
        </w:rPr>
        <w:t>Don't condemn her: there was nothing immoral about what she did.</w:t>
      </w:r>
    </w:p>
    <w:p w14:paraId="69279D97" w14:textId="77777777" w:rsidR="002C3994" w:rsidRPr="002C3994" w:rsidRDefault="002C3994" w:rsidP="002C3994">
      <w:pPr>
        <w:rPr>
          <w:sz w:val="16"/>
        </w:rPr>
      </w:pPr>
      <w:r w:rsidRPr="002C3994">
        <w:rPr>
          <w:sz w:val="16"/>
        </w:rPr>
        <w:t>It was immoral of her to tell lies like that.</w:t>
      </w:r>
    </w:p>
    <w:p w14:paraId="2FD59E85" w14:textId="77777777" w:rsidR="002C3994" w:rsidRPr="002C3994" w:rsidRDefault="002C3994" w:rsidP="002C3994">
      <w:pPr>
        <w:rPr>
          <w:sz w:val="16"/>
        </w:rPr>
      </w:pPr>
      <w:r w:rsidRPr="002C3994">
        <w:rPr>
          <w:sz w:val="16"/>
        </w:rPr>
        <w:t>immoral behavior/acts</w:t>
      </w:r>
    </w:p>
    <w:p w14:paraId="664EC3DF" w14:textId="77777777" w:rsidR="002C3994" w:rsidRPr="00A5228D" w:rsidRDefault="002C3994" w:rsidP="002C3994">
      <w:pPr>
        <w:rPr>
          <w:sz w:val="16"/>
        </w:rPr>
      </w:pPr>
    </w:p>
    <w:p w14:paraId="769194CD" w14:textId="68E498BD" w:rsidR="00F41D0B" w:rsidRDefault="00F41D0B" w:rsidP="00F41D0B">
      <w:pPr>
        <w:pStyle w:val="Heading3"/>
      </w:pPr>
      <w:r>
        <w:t xml:space="preserve">Immoral---A2: </w:t>
      </w:r>
      <w:r w:rsidR="00324746">
        <w:t>No obligation</w:t>
      </w:r>
      <w:r>
        <w:t>---1AR</w:t>
      </w:r>
    </w:p>
    <w:p w14:paraId="6CF8E597" w14:textId="5C225AD0" w:rsidR="00324746" w:rsidRDefault="00324746" w:rsidP="00324746">
      <w:pPr>
        <w:pStyle w:val="Heading4"/>
      </w:pPr>
      <w:r>
        <w:t xml:space="preserve">Moral judgements carry a </w:t>
      </w:r>
      <w:r w:rsidRPr="00324746">
        <w:rPr>
          <w:u w:val="single"/>
        </w:rPr>
        <w:t>legal</w:t>
      </w:r>
      <w:r>
        <w:t xml:space="preserve"> obligation.</w:t>
      </w:r>
    </w:p>
    <w:p w14:paraId="5E50C46C" w14:textId="0D23A609" w:rsidR="00324746" w:rsidRPr="00324746" w:rsidRDefault="00324746" w:rsidP="00324746">
      <w:r w:rsidRPr="00324746">
        <w:rPr>
          <w:rFonts w:eastAsiaTheme="majorEastAsia" w:cstheme="majorBidi"/>
          <w:b/>
          <w:iCs/>
          <w:sz w:val="26"/>
        </w:rPr>
        <w:t>Swan, 17</w:t>
      </w:r>
      <w:r w:rsidRPr="00324746">
        <w:t xml:space="preserve"> [(Kyle,</w:t>
      </w:r>
      <w:r>
        <w:t xml:space="preserve"> Professor of philosophy at California State University Sacramento and Director of the Center for Practical and Professional Ethics.</w:t>
      </w:r>
      <w:r w:rsidRPr="00324746">
        <w:t xml:space="preserve">) "Kyle Swan, Legal punishment of immorality: once more into the breach," No Publication, https://philpapers.org/rec/SWALPO, </w:t>
      </w:r>
      <w:r>
        <w:t>2017</w:t>
      </w:r>
      <w:r w:rsidRPr="00324746">
        <w:t>] TDI</w:t>
      </w:r>
    </w:p>
    <w:p w14:paraId="32D0F8CD" w14:textId="19517975" w:rsidR="00F41D0B" w:rsidRPr="00324746" w:rsidRDefault="00324746" w:rsidP="00F41D0B">
      <w:pPr>
        <w:rPr>
          <w:sz w:val="16"/>
        </w:rPr>
      </w:pPr>
      <w:r w:rsidRPr="00324746">
        <w:rPr>
          <w:sz w:val="16"/>
        </w:rPr>
        <w:t xml:space="preserve">Yet Dworkin presents a further argument that aims to show that no liberal argument – not Mill’s or Feinberg’s or anyone else’s – is likely to succeed in establishing a principled line. This argument “depends upon a plausible idea of what making moral judgments involves” and is derived from Mill, of all people, “the patron saint of liberalism” (Dworkin 1999, pp. 942, 943). I quote Mill more fully than Dworkin does: We do not call anything wrong, unless we mean to imply that a person ought to be punished in some way or other for doing it; if not by law, by the opinion of his fellow-creatures; if not by opinion, by the reproaches of his own conscience…. It is a part of the notion of duty in every one of its forms, that a person may rightfully be compelled to fulfill it. Duty is a thing which may be exacted from a person, as one exacts a debt. Unless we think that it may be exacted from him, we do not call it his duty. Reasons of prudence, or the interest of other people, may militate against actually exacting it; but the person himself, it is clearly understood, would not be entitled to complain (Mill [1861] 1979, pp. 47-48). This passage presents an understanding of two moral concepts that ties them to two appropriateness judgments. First, Mill asserts that moral wrongness is conceptually tied to the appropriateness of punishment (or blame or guilt). Second, he asserts that moral duty or obligation is tied to the appropriateness of making a kind of demand (requiring someone to do something). Dworkin endorses these claims and takes the lesson of the passage to be that “if an action is wrong, that provides a reason – perhaps conclusive, perhaps not – for not doing it. It also provides a reason – perhaps conclusive, perhaps not – for discouraging the performance of such actions” (1999, p. 943). This is a pretty straightforward argument, then: 1. </w:t>
      </w:r>
      <w:r w:rsidRPr="00324746">
        <w:rPr>
          <w:rStyle w:val="StyleUnderline"/>
        </w:rPr>
        <w:t xml:space="preserve">Making a </w:t>
      </w:r>
      <w:r w:rsidRPr="00324746">
        <w:rPr>
          <w:rStyle w:val="Emphasis"/>
        </w:rPr>
        <w:t>moral judgment</w:t>
      </w:r>
      <w:r w:rsidRPr="00324746">
        <w:rPr>
          <w:rStyle w:val="StyleUnderline"/>
        </w:rPr>
        <w:t xml:space="preserve"> that something is wrong involves the idea that it not be done, that there are reasons for people not to do it and that people who do it are criticizable and </w:t>
      </w:r>
      <w:r w:rsidRPr="00324746">
        <w:rPr>
          <w:rStyle w:val="Emphasis"/>
        </w:rPr>
        <w:t>punishable</w:t>
      </w:r>
      <w:r w:rsidRPr="00324746">
        <w:rPr>
          <w:sz w:val="16"/>
        </w:rPr>
        <w:t xml:space="preserve"> (“if not by law, by the opinion of his </w:t>
      </w:r>
      <w:proofErr w:type="spellStart"/>
      <w:r w:rsidRPr="00324746">
        <w:rPr>
          <w:sz w:val="16"/>
        </w:rPr>
        <w:t>fellowcreatures</w:t>
      </w:r>
      <w:proofErr w:type="spellEnd"/>
      <w:r w:rsidRPr="00324746">
        <w:rPr>
          <w:sz w:val="16"/>
        </w:rPr>
        <w:t xml:space="preserve">; if not by opinion, by the reproaches of his own conscience”). 2. </w:t>
      </w:r>
      <w:r w:rsidRPr="00324746">
        <w:rPr>
          <w:rStyle w:val="StyleUnderline"/>
        </w:rPr>
        <w:t xml:space="preserve">Therefore, the mere fact that an action is </w:t>
      </w:r>
      <w:r w:rsidRPr="00324746">
        <w:rPr>
          <w:rStyle w:val="Emphasis"/>
        </w:rPr>
        <w:t>immoral</w:t>
      </w:r>
      <w:r w:rsidRPr="00324746">
        <w:rPr>
          <w:rStyle w:val="StyleUnderline"/>
        </w:rPr>
        <w:t xml:space="preserve"> can bring it within the legitimate sphere of the </w:t>
      </w:r>
      <w:r w:rsidRPr="00324746">
        <w:rPr>
          <w:rStyle w:val="Emphasis"/>
        </w:rPr>
        <w:t>criminal law</w:t>
      </w:r>
      <w:r w:rsidRPr="00324746">
        <w:rPr>
          <w:rStyle w:val="StyleUnderline"/>
        </w:rPr>
        <w:t>.</w:t>
      </w:r>
      <w:r w:rsidRPr="00324746">
        <w:rPr>
          <w:sz w:val="16"/>
        </w:rPr>
        <w:t xml:space="preserve"> “Wrong” just means that a demand is, in some way or other, “legitimately enforceable.” I agree that this idea in 1 is, as Dworkin claims, a plausible idea. I accept it. The question, though, is whether we should understand it as support for legal moralism, despite Mill’s explicit rejection of the legitimacy of legislation grounded in claims about the inherent wrongness an action in On Liberty where a person’s “own good, either physical or moral, is not a sufficient warrant” for interfering with or punishing the actor. 12 If we should, it would not be the first time someone has worried about possible inconsistencies between On Liberty and Utilitarianism, but I do not think we should understand Mill’s claims about the semantics of moral terms as support for legal moralism.</w:t>
      </w:r>
    </w:p>
    <w:p w14:paraId="2646D15B" w14:textId="20FE5906" w:rsidR="00126328" w:rsidRDefault="00126328" w:rsidP="00126328">
      <w:pPr>
        <w:pStyle w:val="Heading4"/>
        <w:rPr>
          <w:rStyle w:val="Style13ptBold"/>
        </w:rPr>
      </w:pPr>
      <w:r>
        <w:t>Moral statements assume an obligation</w:t>
      </w:r>
      <w:r w:rsidR="00492898">
        <w:t xml:space="preserve">. </w:t>
      </w:r>
    </w:p>
    <w:p w14:paraId="6387536A" w14:textId="1718E65A" w:rsidR="00126328" w:rsidRPr="00A5228D" w:rsidRDefault="00492898" w:rsidP="00A5228D">
      <w:r w:rsidRPr="00A5228D">
        <w:rPr>
          <w:rFonts w:eastAsiaTheme="majorEastAsia" w:cstheme="majorBidi"/>
          <w:b/>
          <w:iCs/>
          <w:sz w:val="26"/>
        </w:rPr>
        <w:t>Alexander</w:t>
      </w:r>
      <w:r w:rsidR="00126328" w:rsidRPr="00A5228D">
        <w:rPr>
          <w:rFonts w:eastAsiaTheme="majorEastAsia" w:cstheme="majorBidi"/>
          <w:b/>
          <w:iCs/>
          <w:sz w:val="26"/>
        </w:rPr>
        <w:t xml:space="preserve">, </w:t>
      </w:r>
      <w:r w:rsidRPr="00A5228D">
        <w:rPr>
          <w:rFonts w:eastAsiaTheme="majorEastAsia" w:cstheme="majorBidi"/>
          <w:b/>
          <w:iCs/>
          <w:sz w:val="26"/>
        </w:rPr>
        <w:t>1852</w:t>
      </w:r>
      <w:r w:rsidRPr="00A5228D">
        <w:t xml:space="preserve"> </w:t>
      </w:r>
      <w:r w:rsidR="00126328" w:rsidRPr="00A5228D">
        <w:t>[(</w:t>
      </w:r>
      <w:r w:rsidRPr="00A5228D">
        <w:t>Archibald</w:t>
      </w:r>
      <w:r w:rsidR="00126328" w:rsidRPr="00A5228D">
        <w:t xml:space="preserve">, </w:t>
      </w:r>
      <w:r w:rsidRPr="00A5228D">
        <w:t>Theologian and Professor</w:t>
      </w:r>
      <w:r w:rsidR="00126328" w:rsidRPr="00A5228D">
        <w:t>) "Archibald Alexander: Outlines of Moral Science.,"] TDI</w:t>
      </w:r>
    </w:p>
    <w:p w14:paraId="46FAF3AF" w14:textId="356A7D3F" w:rsidR="00F41D0B" w:rsidRDefault="00126328" w:rsidP="00F41D0B">
      <w:pPr>
        <w:rPr>
          <w:sz w:val="16"/>
        </w:rPr>
      </w:pPr>
      <w:r w:rsidRPr="00126328">
        <w:rPr>
          <w:rStyle w:val="StyleUnderline"/>
        </w:rPr>
        <w:t xml:space="preserve">Every idea of morality includes in it that of </w:t>
      </w:r>
      <w:r w:rsidRPr="00126328">
        <w:rPr>
          <w:rStyle w:val="Emphasis"/>
        </w:rPr>
        <w:t>moral obligation</w:t>
      </w:r>
      <w:r w:rsidRPr="00126328">
        <w:rPr>
          <w:rStyle w:val="StyleUnderline"/>
        </w:rPr>
        <w:t xml:space="preserve">. A moral act is one which ought to be performed; an </w:t>
      </w:r>
      <w:r w:rsidRPr="00126328">
        <w:rPr>
          <w:rStyle w:val="Emphasis"/>
        </w:rPr>
        <w:t>immoral act</w:t>
      </w:r>
      <w:r w:rsidRPr="00126328">
        <w:rPr>
          <w:rStyle w:val="StyleUnderline"/>
        </w:rPr>
        <w:t xml:space="preserve">, is one which </w:t>
      </w:r>
      <w:r w:rsidRPr="00126328">
        <w:rPr>
          <w:rStyle w:val="Emphasis"/>
        </w:rPr>
        <w:t xml:space="preserve">ought not to be </w:t>
      </w:r>
      <w:r w:rsidRPr="00126328">
        <w:rPr>
          <w:rStyle w:val="StyleUnderline"/>
        </w:rPr>
        <w:t>performed</w:t>
      </w:r>
      <w:r w:rsidRPr="00A5228D">
        <w:rPr>
          <w:sz w:val="16"/>
        </w:rPr>
        <w:t xml:space="preserve">. As soon as we get the conception of a moral act, we receive with it the idea of moral obligation. It would be a </w:t>
      </w:r>
      <w:r w:rsidRPr="00126328">
        <w:rPr>
          <w:rStyle w:val="Emphasis"/>
        </w:rPr>
        <w:t>contradiction</w:t>
      </w:r>
      <w:r w:rsidRPr="00126328">
        <w:rPr>
          <w:rStyle w:val="StyleUnderline"/>
        </w:rPr>
        <w:t xml:space="preserve"> to say that any act was moral, and yet that there was no obligation to perform it</w:t>
      </w:r>
      <w:r w:rsidRPr="00A5228D">
        <w:rPr>
          <w:sz w:val="16"/>
        </w:rPr>
        <w:t xml:space="preserve">. What a moral act is. One of the </w:t>
      </w:r>
      <w:r w:rsidRPr="00126328">
        <w:rPr>
          <w:rStyle w:val="StyleUnderline"/>
        </w:rPr>
        <w:t>best definitions which can be given</w:t>
      </w:r>
      <w:r w:rsidRPr="00A5228D">
        <w:rPr>
          <w:sz w:val="16"/>
        </w:rPr>
        <w:t xml:space="preserve"> of a </w:t>
      </w:r>
      <w:r w:rsidRPr="00126328">
        <w:rPr>
          <w:rStyle w:val="Emphasis"/>
        </w:rPr>
        <w:t>moral act</w:t>
      </w:r>
      <w:r w:rsidRPr="00A5228D">
        <w:rPr>
          <w:sz w:val="16"/>
        </w:rPr>
        <w:t xml:space="preserve">, is that it is </w:t>
      </w:r>
      <w:r w:rsidRPr="00126328">
        <w:rPr>
          <w:rStyle w:val="StyleUnderline"/>
        </w:rPr>
        <w:t xml:space="preserve">an act which we are </w:t>
      </w:r>
      <w:r w:rsidRPr="00126328">
        <w:rPr>
          <w:rStyle w:val="Emphasis"/>
        </w:rPr>
        <w:t>bound to perform</w:t>
      </w:r>
      <w:r w:rsidRPr="00126328">
        <w:rPr>
          <w:rStyle w:val="StyleUnderline"/>
        </w:rPr>
        <w:t>, and of an immoral act, that it is one which ought not to be done.</w:t>
      </w:r>
      <w:r w:rsidRPr="00A5228D">
        <w:rPr>
          <w:sz w:val="16"/>
        </w:rPr>
        <w:t xml:space="preserve"> The more clearly we see </w:t>
      </w:r>
      <w:proofErr w:type="spellStart"/>
      <w:r w:rsidRPr="00A5228D">
        <w:rPr>
          <w:sz w:val="16"/>
        </w:rPr>
        <w:t>any thing</w:t>
      </w:r>
      <w:proofErr w:type="spellEnd"/>
      <w:r w:rsidRPr="00A5228D">
        <w:rPr>
          <w:sz w:val="16"/>
        </w:rPr>
        <w:t xml:space="preserve"> to be moral, the more sensibly we feel ourselves under a moral obligation to perform it. This </w:t>
      </w:r>
      <w:r w:rsidRPr="00126328">
        <w:rPr>
          <w:rStyle w:val="StyleUnderline"/>
        </w:rPr>
        <w:t>being a matter of common intuition</w:t>
      </w:r>
      <w:r w:rsidRPr="00A5228D">
        <w:rPr>
          <w:sz w:val="16"/>
        </w:rPr>
        <w:t xml:space="preserve">, and </w:t>
      </w:r>
      <w:r w:rsidRPr="00126328">
        <w:rPr>
          <w:rStyle w:val="StyleUnderline"/>
        </w:rPr>
        <w:t>universal experience</w:t>
      </w:r>
      <w:r w:rsidRPr="00A5228D">
        <w:rPr>
          <w:sz w:val="16"/>
        </w:rPr>
        <w:t xml:space="preserve">, </w:t>
      </w:r>
      <w:r w:rsidRPr="00126328">
        <w:rPr>
          <w:rStyle w:val="StyleUnderline"/>
        </w:rPr>
        <w:t>all that is necessary to convince us of its truth, is to bring it distinctly before our minds</w:t>
      </w:r>
      <w:r w:rsidRPr="00A5228D">
        <w:rPr>
          <w:sz w:val="16"/>
        </w:rPr>
        <w:t xml:space="preserve">. There is therefore no need to look any further for the grounds and reasons of moral obligation, than to the morality of the act itself, as </w:t>
      </w:r>
      <w:r w:rsidRPr="00126328">
        <w:rPr>
          <w:rStyle w:val="StyleUnderline"/>
        </w:rPr>
        <w:t xml:space="preserve">this idea is involved in </w:t>
      </w:r>
      <w:r w:rsidRPr="00126328">
        <w:rPr>
          <w:rStyle w:val="Emphasis"/>
        </w:rPr>
        <w:t>every conception</w:t>
      </w:r>
      <w:r w:rsidRPr="00126328">
        <w:rPr>
          <w:rStyle w:val="StyleUnderline"/>
        </w:rPr>
        <w:t xml:space="preserve"> of morality</w:t>
      </w:r>
      <w:r w:rsidRPr="00A5228D">
        <w:rPr>
          <w:sz w:val="16"/>
        </w:rPr>
        <w:t>.</w:t>
      </w:r>
    </w:p>
    <w:p w14:paraId="35149E17" w14:textId="71E44FC6" w:rsidR="00E66751" w:rsidRDefault="00E66751" w:rsidP="00E66751">
      <w:pPr>
        <w:pStyle w:val="Heading2"/>
      </w:pPr>
      <w:r>
        <w:t>Predictability</w:t>
      </w:r>
    </w:p>
    <w:p w14:paraId="3A986E22" w14:textId="24007DB5" w:rsidR="00E66751" w:rsidRDefault="00E66751" w:rsidP="00E66751">
      <w:pPr>
        <w:pStyle w:val="Heading3"/>
      </w:pPr>
      <w:r>
        <w:t>Plain Meaning</w:t>
      </w:r>
    </w:p>
    <w:p w14:paraId="025AFF04" w14:textId="77777777" w:rsidR="00E66751" w:rsidRPr="00927104" w:rsidRDefault="00E66751" w:rsidP="00E66751">
      <w:pPr>
        <w:pStyle w:val="Heading4"/>
        <w:rPr>
          <w:rFonts w:cs="Arial"/>
        </w:rPr>
      </w:pPr>
      <w:r w:rsidRPr="00927104">
        <w:rPr>
          <w:rFonts w:cs="Arial"/>
        </w:rPr>
        <w:t>Prefer plain meaning.</w:t>
      </w:r>
    </w:p>
    <w:p w14:paraId="77F5F638" w14:textId="77777777" w:rsidR="00E66751" w:rsidRPr="00927104" w:rsidRDefault="00E66751" w:rsidP="00E66751">
      <w:r w:rsidRPr="00927104">
        <w:rPr>
          <w:rStyle w:val="Style13ptBold"/>
        </w:rPr>
        <w:t xml:space="preserve">Scalia &amp; Garner </w:t>
      </w:r>
      <w:r>
        <w:rPr>
          <w:rStyle w:val="Style13ptBold"/>
        </w:rPr>
        <w:t>’</w:t>
      </w:r>
      <w:r w:rsidRPr="00927104">
        <w:rPr>
          <w:rStyle w:val="Style13ptBold"/>
        </w:rPr>
        <w:t>12</w:t>
      </w:r>
      <w:r w:rsidRPr="00927104">
        <w:t xml:space="preserve"> </w:t>
      </w:r>
      <w:r>
        <w:t xml:space="preserve">[Antonin; </w:t>
      </w:r>
      <w:r w:rsidRPr="00927104">
        <w:t xml:space="preserve">Justice on the Supreme Court of the United States. </w:t>
      </w:r>
      <w:r>
        <w:t xml:space="preserve">Bryan; </w:t>
      </w:r>
      <w:r w:rsidRPr="00927104">
        <w:t>American lawyer, lexicographer, and teacher. “Ordinary-Meaning Canon.” Reading Law: The Interpretation of Legal Texts, Chapter 6.</w:t>
      </w:r>
      <w:r>
        <w:t>] TDI</w:t>
      </w:r>
    </w:p>
    <w:p w14:paraId="31F3C446" w14:textId="77777777" w:rsidR="00E66751" w:rsidRPr="00927104" w:rsidRDefault="00E66751" w:rsidP="00E66751">
      <w:pPr>
        <w:rPr>
          <w:sz w:val="16"/>
        </w:rPr>
      </w:pPr>
      <w:r w:rsidRPr="00E5328A">
        <w:rPr>
          <w:rStyle w:val="StyleUnderline"/>
          <w:highlight w:val="cyan"/>
        </w:rPr>
        <w:t xml:space="preserve">Words are to be understood in </w:t>
      </w:r>
      <w:r w:rsidRPr="00E5328A">
        <w:rPr>
          <w:rStyle w:val="Emphasis"/>
          <w:highlight w:val="cyan"/>
        </w:rPr>
        <w:t>their ordinary</w:t>
      </w:r>
      <w:r w:rsidRPr="00927104">
        <w:rPr>
          <w:rStyle w:val="Emphasis"/>
        </w:rPr>
        <w:t xml:space="preserve">, everyday </w:t>
      </w:r>
      <w:r w:rsidRPr="00E5328A">
        <w:rPr>
          <w:rStyle w:val="Emphasis"/>
          <w:highlight w:val="cyan"/>
        </w:rPr>
        <w:t>meanings</w:t>
      </w:r>
      <w:r w:rsidRPr="00927104">
        <w:rPr>
          <w:rStyle w:val="StyleUnderline"/>
        </w:rPr>
        <w:t>—</w:t>
      </w:r>
      <w:r w:rsidRPr="00927104">
        <w:rPr>
          <w:rStyle w:val="Emphasis"/>
        </w:rPr>
        <w:t>unless</w:t>
      </w:r>
      <w:r w:rsidRPr="00927104">
        <w:rPr>
          <w:rStyle w:val="StyleUnderline"/>
        </w:rPr>
        <w:t xml:space="preserve"> the context </w:t>
      </w:r>
      <w:r w:rsidRPr="00927104">
        <w:rPr>
          <w:rStyle w:val="Emphasis"/>
        </w:rPr>
        <w:t>indicates</w:t>
      </w:r>
      <w:r w:rsidRPr="00927104">
        <w:rPr>
          <w:sz w:val="16"/>
        </w:rPr>
        <w:t xml:space="preserve"> that </w:t>
      </w:r>
      <w:r w:rsidRPr="00927104">
        <w:rPr>
          <w:rStyle w:val="StyleUnderline"/>
        </w:rPr>
        <w:t xml:space="preserve">they bear a </w:t>
      </w:r>
      <w:r w:rsidRPr="00927104">
        <w:rPr>
          <w:rStyle w:val="Emphasis"/>
        </w:rPr>
        <w:t>technical sense</w:t>
      </w:r>
      <w:r w:rsidRPr="00927104">
        <w:rPr>
          <w:sz w:val="16"/>
        </w:rPr>
        <w:t>.</w:t>
      </w:r>
    </w:p>
    <w:p w14:paraId="6FBD7AA2" w14:textId="77777777" w:rsidR="00E66751" w:rsidRPr="00927104" w:rsidRDefault="00E66751" w:rsidP="00E66751">
      <w:pPr>
        <w:ind w:left="720"/>
        <w:rPr>
          <w:sz w:val="16"/>
        </w:rPr>
      </w:pPr>
      <w:r w:rsidRPr="00927104">
        <w:rPr>
          <w:sz w:val="16"/>
        </w:rPr>
        <w:t>“The enlightened patriots who framed our constitution, and the people who adopted it, must be understood to have employed words in their natural sense, and to have intended what they have said.”</w:t>
      </w:r>
    </w:p>
    <w:p w14:paraId="53168473" w14:textId="77777777" w:rsidR="00E66751" w:rsidRPr="00927104" w:rsidRDefault="00E66751" w:rsidP="00E66751">
      <w:pPr>
        <w:ind w:left="720" w:firstLine="720"/>
        <w:rPr>
          <w:sz w:val="16"/>
        </w:rPr>
      </w:pPr>
      <w:r w:rsidRPr="00927104">
        <w:rPr>
          <w:sz w:val="16"/>
        </w:rPr>
        <w:t>Chief Justice John Marshall,</w:t>
      </w:r>
    </w:p>
    <w:p w14:paraId="21E40353" w14:textId="77777777" w:rsidR="00E66751" w:rsidRPr="00927104" w:rsidRDefault="00E66751" w:rsidP="00E66751">
      <w:pPr>
        <w:ind w:left="720" w:firstLine="720"/>
        <w:rPr>
          <w:sz w:val="16"/>
        </w:rPr>
      </w:pPr>
      <w:r w:rsidRPr="00927104">
        <w:rPr>
          <w:sz w:val="16"/>
        </w:rPr>
        <w:t>Gibbons v. Ogden, 22 U.S. (9 Wheat.) 1, 71 (1824).</w:t>
      </w:r>
    </w:p>
    <w:p w14:paraId="43604EEF" w14:textId="77777777" w:rsidR="00E66751" w:rsidRPr="00927104" w:rsidRDefault="00E66751" w:rsidP="00E66751">
      <w:pPr>
        <w:rPr>
          <w:rStyle w:val="StyleUnderline"/>
        </w:rPr>
      </w:pPr>
      <w:r w:rsidRPr="00927104">
        <w:rPr>
          <w:rStyle w:val="StyleUnderline"/>
        </w:rPr>
        <w:t xml:space="preserve">The </w:t>
      </w:r>
      <w:r w:rsidRPr="00927104">
        <w:rPr>
          <w:rStyle w:val="Emphasis"/>
        </w:rPr>
        <w:t>ordinary-meaning rule</w:t>
      </w:r>
      <w:r w:rsidRPr="00927104">
        <w:rPr>
          <w:rStyle w:val="StyleUnderline"/>
        </w:rPr>
        <w:t xml:space="preserve"> </w:t>
      </w:r>
      <w:r w:rsidRPr="00E5328A">
        <w:rPr>
          <w:rStyle w:val="StyleUnderline"/>
          <w:highlight w:val="cyan"/>
        </w:rPr>
        <w:t xml:space="preserve">is the </w:t>
      </w:r>
      <w:r w:rsidRPr="00E5328A">
        <w:rPr>
          <w:rStyle w:val="Emphasis"/>
          <w:highlight w:val="cyan"/>
        </w:rPr>
        <w:t>most fundamental semantic rule</w:t>
      </w:r>
      <w:r w:rsidRPr="00927104">
        <w:rPr>
          <w:rStyle w:val="StyleUnderline"/>
        </w:rPr>
        <w:t xml:space="preserve"> of interpretation</w:t>
      </w:r>
      <w:r w:rsidRPr="00927104">
        <w:rPr>
          <w:sz w:val="16"/>
        </w:rPr>
        <w:t xml:space="preserve">.1 </w:t>
      </w:r>
      <w:r w:rsidRPr="00927104">
        <w:rPr>
          <w:rStyle w:val="StyleUnderline"/>
        </w:rPr>
        <w:t xml:space="preserve">It governs constitutions, statutes, rules, </w:t>
      </w:r>
      <w:r w:rsidRPr="00927104">
        <w:rPr>
          <w:rStyle w:val="Emphasis"/>
        </w:rPr>
        <w:t>and</w:t>
      </w:r>
      <w:r w:rsidRPr="00927104">
        <w:rPr>
          <w:rStyle w:val="StyleUnderline"/>
        </w:rPr>
        <w:t xml:space="preserve"> private instruments. </w:t>
      </w:r>
      <w:r w:rsidRPr="00E5328A">
        <w:rPr>
          <w:rStyle w:val="StyleUnderline"/>
          <w:highlight w:val="cyan"/>
        </w:rPr>
        <w:t xml:space="preserve">Interpreters should </w:t>
      </w:r>
      <w:r w:rsidRPr="00E5328A">
        <w:rPr>
          <w:rStyle w:val="Emphasis"/>
          <w:highlight w:val="cyan"/>
        </w:rPr>
        <w:t>not</w:t>
      </w:r>
      <w:r w:rsidRPr="00E5328A">
        <w:rPr>
          <w:rStyle w:val="StyleUnderline"/>
          <w:highlight w:val="cyan"/>
        </w:rPr>
        <w:t xml:space="preserve"> be required to divine</w:t>
      </w:r>
      <w:r w:rsidRPr="00927104">
        <w:rPr>
          <w:rStyle w:val="StyleUnderline"/>
        </w:rPr>
        <w:t xml:space="preserve"> </w:t>
      </w:r>
      <w:r w:rsidRPr="00927104">
        <w:rPr>
          <w:rStyle w:val="Emphasis"/>
        </w:rPr>
        <w:t>arcane nuances</w:t>
      </w:r>
      <w:r w:rsidRPr="00927104">
        <w:rPr>
          <w:rStyle w:val="StyleUnderline"/>
        </w:rPr>
        <w:t xml:space="preserve"> or</w:t>
      </w:r>
      <w:r w:rsidRPr="00927104">
        <w:rPr>
          <w:sz w:val="16"/>
        </w:rPr>
        <w:t xml:space="preserve"> to </w:t>
      </w:r>
      <w:r w:rsidRPr="00927104">
        <w:rPr>
          <w:rStyle w:val="StyleUnderline"/>
        </w:rPr>
        <w:t xml:space="preserve">discover </w:t>
      </w:r>
      <w:r w:rsidRPr="00E5328A">
        <w:rPr>
          <w:rStyle w:val="Emphasis"/>
          <w:highlight w:val="cyan"/>
        </w:rPr>
        <w:t>hidden meanings</w:t>
      </w:r>
      <w:r w:rsidRPr="00927104">
        <w:rPr>
          <w:sz w:val="16"/>
        </w:rPr>
        <w:t xml:space="preserve">. Justice Joseph Story’s words are as true today as they were when written in the middle of the 19th century, and they are </w:t>
      </w:r>
      <w:r w:rsidRPr="00927104">
        <w:rPr>
          <w:rStyle w:val="StyleUnderline"/>
        </w:rPr>
        <w:t>true</w:t>
      </w:r>
      <w:r w:rsidRPr="00927104">
        <w:rPr>
          <w:sz w:val="16"/>
        </w:rPr>
        <w:t xml:space="preserve"> not just of constitutions but </w:t>
      </w:r>
      <w:r w:rsidRPr="00927104">
        <w:rPr>
          <w:rStyle w:val="StyleUnderline"/>
        </w:rPr>
        <w:t xml:space="preserve">of </w:t>
      </w:r>
      <w:r w:rsidRPr="00927104">
        <w:rPr>
          <w:rStyle w:val="Emphasis"/>
        </w:rPr>
        <w:t>all</w:t>
      </w:r>
      <w:r w:rsidRPr="00927104">
        <w:rPr>
          <w:sz w:val="16"/>
        </w:rPr>
        <w:t xml:space="preserve"> other </w:t>
      </w:r>
      <w:r w:rsidRPr="00E5328A">
        <w:rPr>
          <w:rStyle w:val="Emphasis"/>
          <w:highlight w:val="cyan"/>
        </w:rPr>
        <w:t>legal instruments</w:t>
      </w:r>
      <w:r w:rsidRPr="00E5328A">
        <w:rPr>
          <w:rStyle w:val="StyleUnderline"/>
          <w:highlight w:val="cyan"/>
        </w:rPr>
        <w:t>:</w:t>
      </w:r>
    </w:p>
    <w:p w14:paraId="60C1011C" w14:textId="77777777" w:rsidR="00E66751" w:rsidRPr="00B63E1D" w:rsidRDefault="00E66751" w:rsidP="00E66751">
      <w:pPr>
        <w:ind w:left="720"/>
        <w:rPr>
          <w:sz w:val="16"/>
        </w:rPr>
      </w:pPr>
      <w:r w:rsidRPr="00927104">
        <w:rPr>
          <w:rStyle w:val="Emphasis"/>
        </w:rPr>
        <w:t>[E]very word</w:t>
      </w:r>
      <w:r w:rsidRPr="00927104">
        <w:rPr>
          <w:sz w:val="16"/>
        </w:rPr>
        <w:t xml:space="preserve"> employed in the constitution </w:t>
      </w:r>
      <w:r w:rsidRPr="00E5328A">
        <w:rPr>
          <w:rStyle w:val="StyleUnderline"/>
          <w:highlight w:val="cyan"/>
        </w:rPr>
        <w:t>is</w:t>
      </w:r>
      <w:r w:rsidRPr="00927104">
        <w:rPr>
          <w:rStyle w:val="StyleUnderline"/>
        </w:rPr>
        <w:t xml:space="preserve"> to be expounded in </w:t>
      </w:r>
      <w:r w:rsidRPr="00927104">
        <w:rPr>
          <w:rStyle w:val="Emphasis"/>
        </w:rPr>
        <w:t xml:space="preserve">its </w:t>
      </w:r>
      <w:r w:rsidRPr="00E5328A">
        <w:rPr>
          <w:rStyle w:val="Emphasis"/>
          <w:highlight w:val="cyan"/>
        </w:rPr>
        <w:t>plain, obvious, and common sense</w:t>
      </w:r>
      <w:r w:rsidRPr="00927104">
        <w:rPr>
          <w:rStyle w:val="StyleUnderline"/>
        </w:rPr>
        <w:t>, unless the context</w:t>
      </w:r>
      <w:r w:rsidRPr="00927104">
        <w:rPr>
          <w:sz w:val="16"/>
        </w:rPr>
        <w:t xml:space="preserve"> furnishes some ground to </w:t>
      </w:r>
      <w:r w:rsidRPr="00927104">
        <w:rPr>
          <w:rStyle w:val="StyleUnderline"/>
        </w:rPr>
        <w:t>control</w:t>
      </w:r>
      <w:r w:rsidRPr="00927104">
        <w:rPr>
          <w:sz w:val="16"/>
        </w:rPr>
        <w:t xml:space="preserve">, qualify, or enlarge </w:t>
      </w:r>
      <w:r w:rsidRPr="00927104">
        <w:rPr>
          <w:rStyle w:val="StyleUnderline"/>
        </w:rPr>
        <w:t>it</w:t>
      </w:r>
      <w:r w:rsidRPr="00927104">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458D54FA" w14:textId="77777777" w:rsidR="00E66751" w:rsidRPr="00E66751" w:rsidRDefault="00E66751" w:rsidP="00E66751"/>
    <w:sectPr w:rsidR="00E66751" w:rsidRPr="00E667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EB6AB" w14:textId="77777777" w:rsidR="00DE77B3" w:rsidRDefault="00DE77B3" w:rsidP="00066D2C">
      <w:pPr>
        <w:spacing w:after="0" w:line="240" w:lineRule="auto"/>
      </w:pPr>
      <w:r>
        <w:separator/>
      </w:r>
    </w:p>
  </w:endnote>
  <w:endnote w:type="continuationSeparator" w:id="0">
    <w:p w14:paraId="3C8A1C25" w14:textId="77777777" w:rsidR="00DE77B3" w:rsidRDefault="00DE77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2291A" w14:textId="77777777" w:rsidR="00DE77B3" w:rsidRDefault="00DE77B3" w:rsidP="00066D2C">
      <w:pPr>
        <w:spacing w:after="0" w:line="240" w:lineRule="auto"/>
      </w:pPr>
      <w:r>
        <w:separator/>
      </w:r>
    </w:p>
  </w:footnote>
  <w:footnote w:type="continuationSeparator" w:id="0">
    <w:p w14:paraId="1E882EE1" w14:textId="77777777" w:rsidR="00DE77B3" w:rsidRDefault="00DE77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952E8"/>
    <w:multiLevelType w:val="multilevel"/>
    <w:tmpl w:val="ABA2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B50EB7"/>
    <w:multiLevelType w:val="multilevel"/>
    <w:tmpl w:val="485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F0B96"/>
    <w:multiLevelType w:val="multilevel"/>
    <w:tmpl w:val="576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353251"/>
    <w:multiLevelType w:val="hybridMultilevel"/>
    <w:tmpl w:val="0B064C86"/>
    <w:lvl w:ilvl="0" w:tplc="3006B2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D7069C"/>
    <w:multiLevelType w:val="multilevel"/>
    <w:tmpl w:val="96B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14946"/>
    <w:multiLevelType w:val="hybridMultilevel"/>
    <w:tmpl w:val="EAE4ACC0"/>
    <w:lvl w:ilvl="0" w:tplc="A120C09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877A0C"/>
    <w:multiLevelType w:val="multilevel"/>
    <w:tmpl w:val="DB3878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3771C"/>
    <w:multiLevelType w:val="multilevel"/>
    <w:tmpl w:val="839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28407517">
    <w:abstractNumId w:val="20"/>
  </w:num>
  <w:num w:numId="46" w16cid:durableId="669212836">
    <w:abstractNumId w:val="19"/>
  </w:num>
  <w:num w:numId="47" w16cid:durableId="137116195">
    <w:abstractNumId w:val="17"/>
  </w:num>
  <w:num w:numId="48" w16cid:durableId="1038892225">
    <w:abstractNumId w:val="14"/>
  </w:num>
  <w:num w:numId="49" w16cid:durableId="1250967340">
    <w:abstractNumId w:val="21"/>
  </w:num>
  <w:num w:numId="50" w16cid:durableId="908883932">
    <w:abstractNumId w:val="15"/>
  </w:num>
  <w:num w:numId="51" w16cid:durableId="531459507">
    <w:abstractNumId w:val="10"/>
  </w:num>
  <w:num w:numId="52" w16cid:durableId="16990413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1984228752"/>
    <w:docVar w:name="VerbatimVersion" w:val="6.0.0"/>
    <w:docVar w:name="WordVersion" w:val="16.0"/>
  </w:docVars>
  <w:rsids>
    <w:rsidRoot w:val="00F473DD"/>
    <w:rsid w:val="00001C7E"/>
    <w:rsid w:val="0000487C"/>
    <w:rsid w:val="00011FEF"/>
    <w:rsid w:val="00013C8B"/>
    <w:rsid w:val="00023AEF"/>
    <w:rsid w:val="0002425C"/>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6"/>
    <w:rsid w:val="000912B1"/>
    <w:rsid w:val="00093AB9"/>
    <w:rsid w:val="00094DF4"/>
    <w:rsid w:val="000961CD"/>
    <w:rsid w:val="000A0198"/>
    <w:rsid w:val="000A0585"/>
    <w:rsid w:val="000A1356"/>
    <w:rsid w:val="000A218A"/>
    <w:rsid w:val="000A239C"/>
    <w:rsid w:val="000A4AE6"/>
    <w:rsid w:val="000A5EE1"/>
    <w:rsid w:val="000B189B"/>
    <w:rsid w:val="000B3425"/>
    <w:rsid w:val="000B5FBB"/>
    <w:rsid w:val="000B6974"/>
    <w:rsid w:val="000B6B3E"/>
    <w:rsid w:val="000C137E"/>
    <w:rsid w:val="000D0D08"/>
    <w:rsid w:val="000D1C9B"/>
    <w:rsid w:val="000D739E"/>
    <w:rsid w:val="000D7A2C"/>
    <w:rsid w:val="000E0913"/>
    <w:rsid w:val="000E13F7"/>
    <w:rsid w:val="000E2525"/>
    <w:rsid w:val="000F372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328"/>
    <w:rsid w:val="00127061"/>
    <w:rsid w:val="00131B53"/>
    <w:rsid w:val="001327C1"/>
    <w:rsid w:val="001329A3"/>
    <w:rsid w:val="00134120"/>
    <w:rsid w:val="001356C8"/>
    <w:rsid w:val="001378C8"/>
    <w:rsid w:val="00140A6B"/>
    <w:rsid w:val="001428E9"/>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702"/>
    <w:rsid w:val="001A4D9A"/>
    <w:rsid w:val="001A6960"/>
    <w:rsid w:val="001B1595"/>
    <w:rsid w:val="001B1762"/>
    <w:rsid w:val="001B18CF"/>
    <w:rsid w:val="001B2C27"/>
    <w:rsid w:val="001B531C"/>
    <w:rsid w:val="001C0A69"/>
    <w:rsid w:val="001C48D7"/>
    <w:rsid w:val="001D1994"/>
    <w:rsid w:val="001D2218"/>
    <w:rsid w:val="001D6D5C"/>
    <w:rsid w:val="001D7A6D"/>
    <w:rsid w:val="001E4A64"/>
    <w:rsid w:val="001E61F5"/>
    <w:rsid w:val="001F0C01"/>
    <w:rsid w:val="001F1F4D"/>
    <w:rsid w:val="001F4546"/>
    <w:rsid w:val="002005AF"/>
    <w:rsid w:val="00200C1A"/>
    <w:rsid w:val="002052E3"/>
    <w:rsid w:val="00210DC2"/>
    <w:rsid w:val="002110D6"/>
    <w:rsid w:val="002152F9"/>
    <w:rsid w:val="0021530A"/>
    <w:rsid w:val="002212A9"/>
    <w:rsid w:val="002234FB"/>
    <w:rsid w:val="00225079"/>
    <w:rsid w:val="00225437"/>
    <w:rsid w:val="002263A1"/>
    <w:rsid w:val="00232746"/>
    <w:rsid w:val="00236707"/>
    <w:rsid w:val="00241116"/>
    <w:rsid w:val="0024328E"/>
    <w:rsid w:val="002508CB"/>
    <w:rsid w:val="002514A7"/>
    <w:rsid w:val="00253733"/>
    <w:rsid w:val="00256AC0"/>
    <w:rsid w:val="002573AF"/>
    <w:rsid w:val="00263CC5"/>
    <w:rsid w:val="00271866"/>
    <w:rsid w:val="002748BB"/>
    <w:rsid w:val="00276E12"/>
    <w:rsid w:val="00277BB1"/>
    <w:rsid w:val="00281B05"/>
    <w:rsid w:val="00282932"/>
    <w:rsid w:val="00282D99"/>
    <w:rsid w:val="00282FFC"/>
    <w:rsid w:val="002878D0"/>
    <w:rsid w:val="00290F1B"/>
    <w:rsid w:val="00291C09"/>
    <w:rsid w:val="002A3018"/>
    <w:rsid w:val="002A4DA5"/>
    <w:rsid w:val="002A57B1"/>
    <w:rsid w:val="002B2116"/>
    <w:rsid w:val="002B3050"/>
    <w:rsid w:val="002B5F0C"/>
    <w:rsid w:val="002C0731"/>
    <w:rsid w:val="002C0B33"/>
    <w:rsid w:val="002C30D9"/>
    <w:rsid w:val="002C3994"/>
    <w:rsid w:val="002C3EE3"/>
    <w:rsid w:val="002C6C7D"/>
    <w:rsid w:val="002C769C"/>
    <w:rsid w:val="002D2594"/>
    <w:rsid w:val="002D3647"/>
    <w:rsid w:val="002D418C"/>
    <w:rsid w:val="002E663F"/>
    <w:rsid w:val="002F0384"/>
    <w:rsid w:val="002F276B"/>
    <w:rsid w:val="002F28CE"/>
    <w:rsid w:val="002F2CFC"/>
    <w:rsid w:val="002F37D1"/>
    <w:rsid w:val="002F3BB1"/>
    <w:rsid w:val="002F5207"/>
    <w:rsid w:val="002F5A47"/>
    <w:rsid w:val="002F636E"/>
    <w:rsid w:val="00300F2F"/>
    <w:rsid w:val="00304257"/>
    <w:rsid w:val="00304A78"/>
    <w:rsid w:val="00306FDE"/>
    <w:rsid w:val="00307FBA"/>
    <w:rsid w:val="00310335"/>
    <w:rsid w:val="003106D9"/>
    <w:rsid w:val="00311112"/>
    <w:rsid w:val="00311C1F"/>
    <w:rsid w:val="0031266A"/>
    <w:rsid w:val="003161FC"/>
    <w:rsid w:val="0031761F"/>
    <w:rsid w:val="00323E50"/>
    <w:rsid w:val="00324746"/>
    <w:rsid w:val="003264E7"/>
    <w:rsid w:val="00333A69"/>
    <w:rsid w:val="003352D6"/>
    <w:rsid w:val="00345BF2"/>
    <w:rsid w:val="00347131"/>
    <w:rsid w:val="003479B5"/>
    <w:rsid w:val="003500B6"/>
    <w:rsid w:val="00352622"/>
    <w:rsid w:val="00354EC6"/>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7A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1F34"/>
    <w:rsid w:val="00492898"/>
    <w:rsid w:val="0049341D"/>
    <w:rsid w:val="00493AA8"/>
    <w:rsid w:val="00493F28"/>
    <w:rsid w:val="004A2B4E"/>
    <w:rsid w:val="004A40AB"/>
    <w:rsid w:val="004A539A"/>
    <w:rsid w:val="004A74B8"/>
    <w:rsid w:val="004B3C97"/>
    <w:rsid w:val="004B4A5C"/>
    <w:rsid w:val="004B4D3B"/>
    <w:rsid w:val="004B5436"/>
    <w:rsid w:val="004B69EC"/>
    <w:rsid w:val="004C2990"/>
    <w:rsid w:val="004C5E96"/>
    <w:rsid w:val="004C7156"/>
    <w:rsid w:val="004C7B42"/>
    <w:rsid w:val="004D05AA"/>
    <w:rsid w:val="004D14C3"/>
    <w:rsid w:val="004D2C8F"/>
    <w:rsid w:val="004D43AE"/>
    <w:rsid w:val="004D52C0"/>
    <w:rsid w:val="004D5EAC"/>
    <w:rsid w:val="004D610C"/>
    <w:rsid w:val="004D6EEE"/>
    <w:rsid w:val="004D73E6"/>
    <w:rsid w:val="004D7907"/>
    <w:rsid w:val="004E4FB2"/>
    <w:rsid w:val="004E540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3E4"/>
    <w:rsid w:val="005C1630"/>
    <w:rsid w:val="005C2365"/>
    <w:rsid w:val="005C2AEB"/>
    <w:rsid w:val="005C5B70"/>
    <w:rsid w:val="005D027B"/>
    <w:rsid w:val="005D291A"/>
    <w:rsid w:val="005D3400"/>
    <w:rsid w:val="005D3778"/>
    <w:rsid w:val="005D388F"/>
    <w:rsid w:val="005D45F4"/>
    <w:rsid w:val="005D700C"/>
    <w:rsid w:val="005E0F22"/>
    <w:rsid w:val="005E43F7"/>
    <w:rsid w:val="005E5941"/>
    <w:rsid w:val="005E78A2"/>
    <w:rsid w:val="005F5E14"/>
    <w:rsid w:val="00603285"/>
    <w:rsid w:val="00622773"/>
    <w:rsid w:val="00622C58"/>
    <w:rsid w:val="0062614B"/>
    <w:rsid w:val="006266E2"/>
    <w:rsid w:val="0063037B"/>
    <w:rsid w:val="00632C54"/>
    <w:rsid w:val="00635616"/>
    <w:rsid w:val="00641E99"/>
    <w:rsid w:val="006463F8"/>
    <w:rsid w:val="00650C88"/>
    <w:rsid w:val="0065258E"/>
    <w:rsid w:val="00654332"/>
    <w:rsid w:val="00655035"/>
    <w:rsid w:val="00656814"/>
    <w:rsid w:val="00657A00"/>
    <w:rsid w:val="006633F4"/>
    <w:rsid w:val="0066638E"/>
    <w:rsid w:val="00666CC0"/>
    <w:rsid w:val="00673C22"/>
    <w:rsid w:val="0067482D"/>
    <w:rsid w:val="00676102"/>
    <w:rsid w:val="0067732F"/>
    <w:rsid w:val="00681007"/>
    <w:rsid w:val="0068122B"/>
    <w:rsid w:val="00681DD9"/>
    <w:rsid w:val="00682252"/>
    <w:rsid w:val="00682F5C"/>
    <w:rsid w:val="0068368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EC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339"/>
    <w:rsid w:val="007072CC"/>
    <w:rsid w:val="00711A18"/>
    <w:rsid w:val="0071254A"/>
    <w:rsid w:val="007131D2"/>
    <w:rsid w:val="00713917"/>
    <w:rsid w:val="00717AF8"/>
    <w:rsid w:val="00720F86"/>
    <w:rsid w:val="00722929"/>
    <w:rsid w:val="00722E77"/>
    <w:rsid w:val="007245F1"/>
    <w:rsid w:val="007247B8"/>
    <w:rsid w:val="00725D6E"/>
    <w:rsid w:val="0072731C"/>
    <w:rsid w:val="0073056C"/>
    <w:rsid w:val="00735B1F"/>
    <w:rsid w:val="00737502"/>
    <w:rsid w:val="00740B3A"/>
    <w:rsid w:val="00740C8B"/>
    <w:rsid w:val="00743263"/>
    <w:rsid w:val="007440A5"/>
    <w:rsid w:val="007454B6"/>
    <w:rsid w:val="0074789B"/>
    <w:rsid w:val="00754ABD"/>
    <w:rsid w:val="00754D3B"/>
    <w:rsid w:val="00760B72"/>
    <w:rsid w:val="00760D6A"/>
    <w:rsid w:val="0076343C"/>
    <w:rsid w:val="00764C12"/>
    <w:rsid w:val="0077441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781"/>
    <w:rsid w:val="007F1998"/>
    <w:rsid w:val="007F2034"/>
    <w:rsid w:val="007F4683"/>
    <w:rsid w:val="007F55A4"/>
    <w:rsid w:val="007F7C5E"/>
    <w:rsid w:val="008003CA"/>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D49"/>
    <w:rsid w:val="00920B9A"/>
    <w:rsid w:val="009249C5"/>
    <w:rsid w:val="00925558"/>
    <w:rsid w:val="00925B25"/>
    <w:rsid w:val="009263C9"/>
    <w:rsid w:val="00930B2A"/>
    <w:rsid w:val="00936F03"/>
    <w:rsid w:val="0094018B"/>
    <w:rsid w:val="009418E3"/>
    <w:rsid w:val="009435BB"/>
    <w:rsid w:val="00943B02"/>
    <w:rsid w:val="00945984"/>
    <w:rsid w:val="00947846"/>
    <w:rsid w:val="00953429"/>
    <w:rsid w:val="009539A4"/>
    <w:rsid w:val="009569E3"/>
    <w:rsid w:val="00956C0E"/>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2F9"/>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B2B"/>
    <w:rsid w:val="00A035A3"/>
    <w:rsid w:val="00A04828"/>
    <w:rsid w:val="00A1128F"/>
    <w:rsid w:val="00A16440"/>
    <w:rsid w:val="00A169AC"/>
    <w:rsid w:val="00A2231D"/>
    <w:rsid w:val="00A2334F"/>
    <w:rsid w:val="00A250AA"/>
    <w:rsid w:val="00A27446"/>
    <w:rsid w:val="00A277E6"/>
    <w:rsid w:val="00A30A8F"/>
    <w:rsid w:val="00A3174A"/>
    <w:rsid w:val="00A35A28"/>
    <w:rsid w:val="00A368EF"/>
    <w:rsid w:val="00A41505"/>
    <w:rsid w:val="00A4414C"/>
    <w:rsid w:val="00A47EF1"/>
    <w:rsid w:val="00A51D29"/>
    <w:rsid w:val="00A5228D"/>
    <w:rsid w:val="00A54D46"/>
    <w:rsid w:val="00A553B1"/>
    <w:rsid w:val="00A56998"/>
    <w:rsid w:val="00A56D51"/>
    <w:rsid w:val="00A60D18"/>
    <w:rsid w:val="00A61207"/>
    <w:rsid w:val="00A61700"/>
    <w:rsid w:val="00A6285C"/>
    <w:rsid w:val="00A663F3"/>
    <w:rsid w:val="00A669F1"/>
    <w:rsid w:val="00A67489"/>
    <w:rsid w:val="00A70836"/>
    <w:rsid w:val="00A7268C"/>
    <w:rsid w:val="00A74365"/>
    <w:rsid w:val="00A745BF"/>
    <w:rsid w:val="00A74A79"/>
    <w:rsid w:val="00A74E46"/>
    <w:rsid w:val="00A81524"/>
    <w:rsid w:val="00A81D60"/>
    <w:rsid w:val="00A90163"/>
    <w:rsid w:val="00A95598"/>
    <w:rsid w:val="00AA1AC0"/>
    <w:rsid w:val="00AA3B66"/>
    <w:rsid w:val="00AA5803"/>
    <w:rsid w:val="00AA584F"/>
    <w:rsid w:val="00AB2843"/>
    <w:rsid w:val="00AB3118"/>
    <w:rsid w:val="00AB6F32"/>
    <w:rsid w:val="00AC46C7"/>
    <w:rsid w:val="00AC5B71"/>
    <w:rsid w:val="00AC5F18"/>
    <w:rsid w:val="00AC6843"/>
    <w:rsid w:val="00AC6ED5"/>
    <w:rsid w:val="00AE00AE"/>
    <w:rsid w:val="00AE56E1"/>
    <w:rsid w:val="00AE6C9A"/>
    <w:rsid w:val="00AF2207"/>
    <w:rsid w:val="00AF2612"/>
    <w:rsid w:val="00AF2A61"/>
    <w:rsid w:val="00AF2A80"/>
    <w:rsid w:val="00AF30D9"/>
    <w:rsid w:val="00AF63BF"/>
    <w:rsid w:val="00AF6B3B"/>
    <w:rsid w:val="00AF79DD"/>
    <w:rsid w:val="00AF7F2C"/>
    <w:rsid w:val="00AF7F46"/>
    <w:rsid w:val="00B0178C"/>
    <w:rsid w:val="00B019F0"/>
    <w:rsid w:val="00B02885"/>
    <w:rsid w:val="00B04EC7"/>
    <w:rsid w:val="00B06440"/>
    <w:rsid w:val="00B1231F"/>
    <w:rsid w:val="00B12F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69"/>
    <w:rsid w:val="00B946FF"/>
    <w:rsid w:val="00B96127"/>
    <w:rsid w:val="00B97264"/>
    <w:rsid w:val="00BA0143"/>
    <w:rsid w:val="00BA227A"/>
    <w:rsid w:val="00BA4C69"/>
    <w:rsid w:val="00BA61AF"/>
    <w:rsid w:val="00BB1630"/>
    <w:rsid w:val="00BB1EBC"/>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BF7F99"/>
    <w:rsid w:val="00C00D8A"/>
    <w:rsid w:val="00C01C49"/>
    <w:rsid w:val="00C066E6"/>
    <w:rsid w:val="00C110C0"/>
    <w:rsid w:val="00C12370"/>
    <w:rsid w:val="00C1278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725"/>
    <w:rsid w:val="00C56008"/>
    <w:rsid w:val="00C568FE"/>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E5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83B"/>
    <w:rsid w:val="00D14990"/>
    <w:rsid w:val="00D2371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475"/>
    <w:rsid w:val="00D70E15"/>
    <w:rsid w:val="00D714E5"/>
    <w:rsid w:val="00D7546D"/>
    <w:rsid w:val="00D75C54"/>
    <w:rsid w:val="00D839C5"/>
    <w:rsid w:val="00D84043"/>
    <w:rsid w:val="00D901FF"/>
    <w:rsid w:val="00D91348"/>
    <w:rsid w:val="00D9566D"/>
    <w:rsid w:val="00DA0EF7"/>
    <w:rsid w:val="00DA4B3F"/>
    <w:rsid w:val="00DA4EB6"/>
    <w:rsid w:val="00DA5F0C"/>
    <w:rsid w:val="00DA6C67"/>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B3"/>
    <w:rsid w:val="00DF139C"/>
    <w:rsid w:val="00DF7D53"/>
    <w:rsid w:val="00E073D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2"/>
    <w:rsid w:val="00E50C30"/>
    <w:rsid w:val="00E51410"/>
    <w:rsid w:val="00E515E7"/>
    <w:rsid w:val="00E5580D"/>
    <w:rsid w:val="00E56402"/>
    <w:rsid w:val="00E56CB5"/>
    <w:rsid w:val="00E61828"/>
    <w:rsid w:val="00E65E56"/>
    <w:rsid w:val="00E664D0"/>
    <w:rsid w:val="00E66751"/>
    <w:rsid w:val="00E66F94"/>
    <w:rsid w:val="00E670E5"/>
    <w:rsid w:val="00E6767D"/>
    <w:rsid w:val="00E717C1"/>
    <w:rsid w:val="00E71E63"/>
    <w:rsid w:val="00E75818"/>
    <w:rsid w:val="00E76D4C"/>
    <w:rsid w:val="00E81786"/>
    <w:rsid w:val="00E85DE5"/>
    <w:rsid w:val="00E90EC0"/>
    <w:rsid w:val="00E944C1"/>
    <w:rsid w:val="00E97D8B"/>
    <w:rsid w:val="00EA5878"/>
    <w:rsid w:val="00EA7F55"/>
    <w:rsid w:val="00EB1CE6"/>
    <w:rsid w:val="00EB1F19"/>
    <w:rsid w:val="00EB7375"/>
    <w:rsid w:val="00EC06EA"/>
    <w:rsid w:val="00EC2660"/>
    <w:rsid w:val="00EC2B88"/>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00A"/>
    <w:rsid w:val="00EF2CAF"/>
    <w:rsid w:val="00F00A14"/>
    <w:rsid w:val="00F0283A"/>
    <w:rsid w:val="00F0685D"/>
    <w:rsid w:val="00F06A5D"/>
    <w:rsid w:val="00F0700E"/>
    <w:rsid w:val="00F136E8"/>
    <w:rsid w:val="00F14A61"/>
    <w:rsid w:val="00F17B58"/>
    <w:rsid w:val="00F22F94"/>
    <w:rsid w:val="00F24B23"/>
    <w:rsid w:val="00F25A3F"/>
    <w:rsid w:val="00F27353"/>
    <w:rsid w:val="00F31B7D"/>
    <w:rsid w:val="00F32A17"/>
    <w:rsid w:val="00F349CE"/>
    <w:rsid w:val="00F34BAA"/>
    <w:rsid w:val="00F35345"/>
    <w:rsid w:val="00F355CA"/>
    <w:rsid w:val="00F355FB"/>
    <w:rsid w:val="00F40C6B"/>
    <w:rsid w:val="00F41113"/>
    <w:rsid w:val="00F41D0B"/>
    <w:rsid w:val="00F44385"/>
    <w:rsid w:val="00F45C61"/>
    <w:rsid w:val="00F473DD"/>
    <w:rsid w:val="00F51138"/>
    <w:rsid w:val="00F5306F"/>
    <w:rsid w:val="00F532A6"/>
    <w:rsid w:val="00F569D6"/>
    <w:rsid w:val="00F57FCC"/>
    <w:rsid w:val="00F60A9F"/>
    <w:rsid w:val="00F61907"/>
    <w:rsid w:val="00F61AB2"/>
    <w:rsid w:val="00F65464"/>
    <w:rsid w:val="00F70E1C"/>
    <w:rsid w:val="00F72575"/>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84A"/>
    <w:rsid w:val="00FC1707"/>
    <w:rsid w:val="00FC1C82"/>
    <w:rsid w:val="00FC1D2F"/>
    <w:rsid w:val="00FC45AC"/>
    <w:rsid w:val="00FC4CFF"/>
    <w:rsid w:val="00FC5DE9"/>
    <w:rsid w:val="00FD01F2"/>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4BA9A"/>
  <w15:chartTrackingRefBased/>
  <w15:docId w15:val="{27C25D4D-A84B-493E-8324-E4DE500F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003CA"/>
  </w:style>
  <w:style w:type="paragraph" w:styleId="Heading1">
    <w:name w:val="heading 1"/>
    <w:aliases w:val="Pocket"/>
    <w:basedOn w:val="Normal"/>
    <w:next w:val="Normal"/>
    <w:link w:val="Heading1Char"/>
    <w:autoRedefine/>
    <w:qFormat/>
    <w:rsid w:val="008003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autoRedefine/>
    <w:uiPriority w:val="1"/>
    <w:unhideWhenUsed/>
    <w:qFormat/>
    <w:rsid w:val="008003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autoRedefine/>
    <w:uiPriority w:val="2"/>
    <w:unhideWhenUsed/>
    <w:qFormat/>
    <w:rsid w:val="008003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small space,nonunderlined,tag"/>
    <w:basedOn w:val="Normal"/>
    <w:next w:val="Normal"/>
    <w:link w:val="Heading4Char"/>
    <w:autoRedefine/>
    <w:uiPriority w:val="3"/>
    <w:unhideWhenUsed/>
    <w:qFormat/>
    <w:rsid w:val="008003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69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03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3C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8003CA"/>
    <w:rPr>
      <w:b/>
      <w:i w:val="0"/>
      <w:iCs/>
      <w:u w:val="single"/>
    </w:rPr>
  </w:style>
  <w:style w:type="character" w:styleId="FollowedHyperlink">
    <w:name w:val="FollowedHyperlink"/>
    <w:basedOn w:val="DefaultParagraphFont"/>
    <w:uiPriority w:val="99"/>
    <w:semiHidden/>
    <w:unhideWhenUsed/>
    <w:rsid w:val="008003CA"/>
    <w:rPr>
      <w:color w:val="auto"/>
      <w:u w:val="none"/>
    </w:rPr>
  </w:style>
  <w:style w:type="character" w:customStyle="1" w:styleId="Heading1Char">
    <w:name w:val="Heading 1 Char"/>
    <w:aliases w:val="Pocket Char"/>
    <w:basedOn w:val="DefaultParagraphFont"/>
    <w:link w:val="Heading1"/>
    <w:rsid w:val="008003CA"/>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003C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003CA"/>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t Char"/>
    <w:basedOn w:val="DefaultParagraphFont"/>
    <w:link w:val="Heading4"/>
    <w:uiPriority w:val="3"/>
    <w:rsid w:val="008003C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003CA"/>
    <w:rPr>
      <w:b/>
      <w:bCs/>
      <w:sz w:val="26"/>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8.5,8,cit"/>
    <w:basedOn w:val="DefaultParagraphFont"/>
    <w:uiPriority w:val="6"/>
    <w:qFormat/>
    <w:rsid w:val="008003CA"/>
    <w:rPr>
      <w:u w:val="single"/>
    </w:rPr>
  </w:style>
  <w:style w:type="character" w:styleId="Strong">
    <w:name w:val="Strong"/>
    <w:basedOn w:val="DefaultParagraphFont"/>
    <w:uiPriority w:val="22"/>
    <w:semiHidden/>
    <w:qFormat/>
    <w:rsid w:val="004B69EC"/>
    <w:rPr>
      <w:b/>
      <w:bCs/>
    </w:rPr>
  </w:style>
  <w:style w:type="character" w:styleId="BookTitle">
    <w:name w:val="Book Title"/>
    <w:basedOn w:val="DefaultParagraphFont"/>
    <w:uiPriority w:val="33"/>
    <w:semiHidden/>
    <w:qFormat/>
    <w:rsid w:val="004B69EC"/>
    <w:rPr>
      <w:b/>
      <w:bCs/>
      <w:i/>
      <w:iCs/>
      <w:spacing w:val="5"/>
    </w:rPr>
  </w:style>
  <w:style w:type="character" w:customStyle="1" w:styleId="Heading5Char">
    <w:name w:val="Heading 5 Char"/>
    <w:basedOn w:val="DefaultParagraphFont"/>
    <w:link w:val="Heading5"/>
    <w:uiPriority w:val="9"/>
    <w:semiHidden/>
    <w:rsid w:val="004B69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69EC"/>
  </w:style>
  <w:style w:type="paragraph" w:styleId="Header">
    <w:name w:val="header"/>
    <w:basedOn w:val="Normal"/>
    <w:link w:val="HeaderChar"/>
    <w:uiPriority w:val="99"/>
    <w:semiHidden/>
    <w:rsid w:val="004B69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69EC"/>
    <w:rPr>
      <w:rFonts w:ascii="Calibri" w:hAnsi="Calibri" w:cs="Calibri"/>
    </w:rPr>
  </w:style>
  <w:style w:type="paragraph" w:styleId="Footer">
    <w:name w:val="footer"/>
    <w:basedOn w:val="Normal"/>
    <w:link w:val="FooterChar"/>
    <w:uiPriority w:val="99"/>
    <w:semiHidden/>
    <w:rsid w:val="004B69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69EC"/>
    <w:rPr>
      <w:rFonts w:ascii="Calibri" w:hAnsi="Calibri" w:cs="Calibri"/>
    </w:rPr>
  </w:style>
  <w:style w:type="paragraph" w:styleId="BodyText">
    <w:name w:val="Body Text"/>
    <w:basedOn w:val="Normal"/>
    <w:link w:val="BodyTextChar"/>
    <w:uiPriority w:val="99"/>
    <w:semiHidden/>
    <w:unhideWhenUsed/>
    <w:rsid w:val="004B69EC"/>
    <w:pPr>
      <w:spacing w:after="120"/>
    </w:pPr>
  </w:style>
  <w:style w:type="character" w:customStyle="1" w:styleId="BodyTextChar">
    <w:name w:val="Body Text Char"/>
    <w:basedOn w:val="DefaultParagraphFont"/>
    <w:link w:val="BodyText"/>
    <w:uiPriority w:val="99"/>
    <w:semiHidden/>
    <w:rsid w:val="004B69EC"/>
    <w:rPr>
      <w:rFonts w:ascii="Calibri" w:hAnsi="Calibri" w:cs="Calibri"/>
    </w:rPr>
  </w:style>
  <w:style w:type="paragraph" w:styleId="NoSpacing">
    <w:name w:val="No Spacing"/>
    <w:link w:val="NoSpacingChar"/>
    <w:uiPriority w:val="99"/>
    <w:semiHidden/>
    <w:unhideWhenUsed/>
    <w:qFormat/>
    <w:rsid w:val="004B69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69EC"/>
    <w:rPr>
      <w:rFonts w:ascii="Calibri" w:hAnsi="Calibri" w:cs="Calibri"/>
    </w:rPr>
  </w:style>
  <w:style w:type="character" w:styleId="Hyperlink">
    <w:name w:val="Hyperlink"/>
    <w:basedOn w:val="DefaultParagraphFont"/>
    <w:uiPriority w:val="99"/>
    <w:unhideWhenUsed/>
    <w:rsid w:val="008003CA"/>
    <w:rPr>
      <w:color w:val="auto"/>
      <w:u w:val="none"/>
    </w:rPr>
  </w:style>
  <w:style w:type="character" w:styleId="UnresolvedMention">
    <w:name w:val="Unresolved Mention"/>
    <w:basedOn w:val="DefaultParagraphFont"/>
    <w:uiPriority w:val="99"/>
    <w:semiHidden/>
    <w:unhideWhenUsed/>
    <w:rsid w:val="004B69EC"/>
    <w:rPr>
      <w:color w:val="605E5C"/>
      <w:shd w:val="clear" w:color="auto" w:fill="E1DFDD"/>
    </w:rPr>
  </w:style>
  <w:style w:type="paragraph" w:customStyle="1" w:styleId="Emphasis1">
    <w:name w:val="Emphasis1"/>
    <w:basedOn w:val="Heading1"/>
    <w:next w:val="Normal"/>
    <w:link w:val="Emphasis"/>
    <w:autoRedefine/>
    <w:uiPriority w:val="7"/>
    <w:qFormat/>
    <w:rsid w:val="00F41D0B"/>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heme="minorBidi"/>
      <w:iCs/>
      <w:sz w:val="22"/>
      <w:szCs w:val="22"/>
      <w:u w:val="single"/>
    </w:rPr>
  </w:style>
  <w:style w:type="paragraph" w:styleId="NormalWeb">
    <w:name w:val="Normal (Web)"/>
    <w:basedOn w:val="Normal"/>
    <w:uiPriority w:val="99"/>
    <w:semiHidden/>
    <w:unhideWhenUsed/>
    <w:rsid w:val="006C1EC9"/>
    <w:rPr>
      <w:rFonts w:ascii="Times New Roman" w:hAnsi="Times New Roman" w:cs="Times New Roman"/>
      <w:sz w:val="24"/>
      <w:szCs w:val="24"/>
    </w:rPr>
  </w:style>
  <w:style w:type="paragraph" w:styleId="ListParagraph">
    <w:name w:val="List Paragraph"/>
    <w:basedOn w:val="Normal"/>
    <w:uiPriority w:val="34"/>
    <w:unhideWhenUsed/>
    <w:qFormat/>
    <w:rsid w:val="000F3723"/>
    <w:pPr>
      <w:ind w:left="720"/>
      <w:contextualSpacing/>
    </w:pPr>
  </w:style>
  <w:style w:type="paragraph" w:customStyle="1" w:styleId="textbold">
    <w:name w:val="text bold"/>
    <w:basedOn w:val="Normal"/>
    <w:uiPriority w:val="8"/>
    <w:qFormat/>
    <w:rsid w:val="00E434D2"/>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6107016">
      <w:bodyDiv w:val="1"/>
      <w:marLeft w:val="0"/>
      <w:marRight w:val="0"/>
      <w:marTop w:val="0"/>
      <w:marBottom w:val="0"/>
      <w:divBdr>
        <w:top w:val="none" w:sz="0" w:space="0" w:color="auto"/>
        <w:left w:val="none" w:sz="0" w:space="0" w:color="auto"/>
        <w:bottom w:val="none" w:sz="0" w:space="0" w:color="auto"/>
        <w:right w:val="none" w:sz="0" w:space="0" w:color="auto"/>
      </w:divBdr>
    </w:div>
    <w:div w:id="387150418">
      <w:bodyDiv w:val="1"/>
      <w:marLeft w:val="0"/>
      <w:marRight w:val="0"/>
      <w:marTop w:val="0"/>
      <w:marBottom w:val="0"/>
      <w:divBdr>
        <w:top w:val="none" w:sz="0" w:space="0" w:color="auto"/>
        <w:left w:val="none" w:sz="0" w:space="0" w:color="auto"/>
        <w:bottom w:val="none" w:sz="0" w:space="0" w:color="auto"/>
        <w:right w:val="none" w:sz="0" w:space="0" w:color="auto"/>
      </w:divBdr>
    </w:div>
    <w:div w:id="622424641">
      <w:bodyDiv w:val="1"/>
      <w:marLeft w:val="0"/>
      <w:marRight w:val="0"/>
      <w:marTop w:val="0"/>
      <w:marBottom w:val="0"/>
      <w:divBdr>
        <w:top w:val="none" w:sz="0" w:space="0" w:color="auto"/>
        <w:left w:val="none" w:sz="0" w:space="0" w:color="auto"/>
        <w:bottom w:val="none" w:sz="0" w:space="0" w:color="auto"/>
        <w:right w:val="none" w:sz="0" w:space="0" w:color="auto"/>
      </w:divBdr>
    </w:div>
    <w:div w:id="622730674">
      <w:bodyDiv w:val="1"/>
      <w:marLeft w:val="0"/>
      <w:marRight w:val="0"/>
      <w:marTop w:val="0"/>
      <w:marBottom w:val="0"/>
      <w:divBdr>
        <w:top w:val="none" w:sz="0" w:space="0" w:color="auto"/>
        <w:left w:val="none" w:sz="0" w:space="0" w:color="auto"/>
        <w:bottom w:val="none" w:sz="0" w:space="0" w:color="auto"/>
        <w:right w:val="none" w:sz="0" w:space="0" w:color="auto"/>
      </w:divBdr>
      <w:divsChild>
        <w:div w:id="505943966">
          <w:marLeft w:val="150"/>
          <w:marRight w:val="0"/>
          <w:marTop w:val="0"/>
          <w:marBottom w:val="0"/>
          <w:divBdr>
            <w:top w:val="none" w:sz="0" w:space="0" w:color="auto"/>
            <w:left w:val="none" w:sz="0" w:space="0" w:color="auto"/>
            <w:bottom w:val="none" w:sz="0" w:space="0" w:color="auto"/>
            <w:right w:val="none" w:sz="0" w:space="0" w:color="auto"/>
          </w:divBdr>
          <w:divsChild>
            <w:div w:id="1277909900">
              <w:marLeft w:val="0"/>
              <w:marRight w:val="0"/>
              <w:marTop w:val="0"/>
              <w:marBottom w:val="120"/>
              <w:divBdr>
                <w:top w:val="none" w:sz="0" w:space="0" w:color="auto"/>
                <w:left w:val="none" w:sz="0" w:space="0" w:color="auto"/>
                <w:bottom w:val="none" w:sz="0" w:space="0" w:color="auto"/>
                <w:right w:val="none" w:sz="0" w:space="0" w:color="auto"/>
              </w:divBdr>
              <w:divsChild>
                <w:div w:id="515732383">
                  <w:marLeft w:val="0"/>
                  <w:marRight w:val="0"/>
                  <w:marTop w:val="0"/>
                  <w:marBottom w:val="0"/>
                  <w:divBdr>
                    <w:top w:val="none" w:sz="0" w:space="0" w:color="auto"/>
                    <w:left w:val="none" w:sz="0" w:space="0" w:color="auto"/>
                    <w:bottom w:val="none" w:sz="0" w:space="0" w:color="auto"/>
                    <w:right w:val="none" w:sz="0" w:space="0" w:color="auto"/>
                  </w:divBdr>
                  <w:divsChild>
                    <w:div w:id="17459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3407">
              <w:marLeft w:val="0"/>
              <w:marRight w:val="0"/>
              <w:marTop w:val="0"/>
              <w:marBottom w:val="120"/>
              <w:divBdr>
                <w:top w:val="none" w:sz="0" w:space="0" w:color="auto"/>
                <w:left w:val="none" w:sz="0" w:space="0" w:color="auto"/>
                <w:bottom w:val="none" w:sz="0" w:space="0" w:color="auto"/>
                <w:right w:val="none" w:sz="0" w:space="0" w:color="auto"/>
              </w:divBdr>
              <w:divsChild>
                <w:div w:id="822743441">
                  <w:marLeft w:val="0"/>
                  <w:marRight w:val="0"/>
                  <w:marTop w:val="0"/>
                  <w:marBottom w:val="0"/>
                  <w:divBdr>
                    <w:top w:val="none" w:sz="0" w:space="0" w:color="auto"/>
                    <w:left w:val="none" w:sz="0" w:space="0" w:color="auto"/>
                    <w:bottom w:val="none" w:sz="0" w:space="0" w:color="auto"/>
                    <w:right w:val="none" w:sz="0" w:space="0" w:color="auto"/>
                  </w:divBdr>
                  <w:divsChild>
                    <w:div w:id="14927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4038">
              <w:marLeft w:val="0"/>
              <w:marRight w:val="0"/>
              <w:marTop w:val="0"/>
              <w:marBottom w:val="120"/>
              <w:divBdr>
                <w:top w:val="none" w:sz="0" w:space="0" w:color="auto"/>
                <w:left w:val="none" w:sz="0" w:space="0" w:color="auto"/>
                <w:bottom w:val="none" w:sz="0" w:space="0" w:color="auto"/>
                <w:right w:val="none" w:sz="0" w:space="0" w:color="auto"/>
              </w:divBdr>
              <w:divsChild>
                <w:div w:id="600727688">
                  <w:marLeft w:val="0"/>
                  <w:marRight w:val="0"/>
                  <w:marTop w:val="0"/>
                  <w:marBottom w:val="0"/>
                  <w:divBdr>
                    <w:top w:val="none" w:sz="0" w:space="0" w:color="auto"/>
                    <w:left w:val="none" w:sz="0" w:space="0" w:color="auto"/>
                    <w:bottom w:val="none" w:sz="0" w:space="0" w:color="auto"/>
                    <w:right w:val="none" w:sz="0" w:space="0" w:color="auto"/>
                  </w:divBdr>
                  <w:divsChild>
                    <w:div w:id="18555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6362">
              <w:marLeft w:val="0"/>
              <w:marRight w:val="0"/>
              <w:marTop w:val="0"/>
              <w:marBottom w:val="120"/>
              <w:divBdr>
                <w:top w:val="none" w:sz="0" w:space="0" w:color="auto"/>
                <w:left w:val="none" w:sz="0" w:space="0" w:color="auto"/>
                <w:bottom w:val="none" w:sz="0" w:space="0" w:color="auto"/>
                <w:right w:val="none" w:sz="0" w:space="0" w:color="auto"/>
              </w:divBdr>
              <w:divsChild>
                <w:div w:id="17590709">
                  <w:marLeft w:val="0"/>
                  <w:marRight w:val="0"/>
                  <w:marTop w:val="0"/>
                  <w:marBottom w:val="0"/>
                  <w:divBdr>
                    <w:top w:val="none" w:sz="0" w:space="0" w:color="auto"/>
                    <w:left w:val="none" w:sz="0" w:space="0" w:color="auto"/>
                    <w:bottom w:val="none" w:sz="0" w:space="0" w:color="auto"/>
                    <w:right w:val="none" w:sz="0" w:space="0" w:color="auto"/>
                  </w:divBdr>
                  <w:divsChild>
                    <w:div w:id="1487480571">
                      <w:marLeft w:val="0"/>
                      <w:marRight w:val="0"/>
                      <w:marTop w:val="0"/>
                      <w:marBottom w:val="0"/>
                      <w:divBdr>
                        <w:top w:val="none" w:sz="0" w:space="0" w:color="auto"/>
                        <w:left w:val="none" w:sz="0" w:space="0" w:color="auto"/>
                        <w:bottom w:val="none" w:sz="0" w:space="0" w:color="auto"/>
                        <w:right w:val="none" w:sz="0" w:space="0" w:color="auto"/>
                      </w:divBdr>
                      <w:divsChild>
                        <w:div w:id="159515033">
                          <w:marLeft w:val="0"/>
                          <w:marRight w:val="0"/>
                          <w:marTop w:val="0"/>
                          <w:marBottom w:val="0"/>
                          <w:divBdr>
                            <w:top w:val="none" w:sz="0" w:space="0" w:color="auto"/>
                            <w:left w:val="none" w:sz="0" w:space="0" w:color="auto"/>
                            <w:bottom w:val="none" w:sz="0" w:space="0" w:color="auto"/>
                            <w:right w:val="none" w:sz="0" w:space="0" w:color="auto"/>
                          </w:divBdr>
                          <w:divsChild>
                            <w:div w:id="589041899">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786607">
      <w:bodyDiv w:val="1"/>
      <w:marLeft w:val="0"/>
      <w:marRight w:val="0"/>
      <w:marTop w:val="0"/>
      <w:marBottom w:val="0"/>
      <w:divBdr>
        <w:top w:val="none" w:sz="0" w:space="0" w:color="auto"/>
        <w:left w:val="none" w:sz="0" w:space="0" w:color="auto"/>
        <w:bottom w:val="none" w:sz="0" w:space="0" w:color="auto"/>
        <w:right w:val="none" w:sz="0" w:space="0" w:color="auto"/>
      </w:divBdr>
    </w:div>
    <w:div w:id="986975743">
      <w:bodyDiv w:val="1"/>
      <w:marLeft w:val="0"/>
      <w:marRight w:val="0"/>
      <w:marTop w:val="0"/>
      <w:marBottom w:val="0"/>
      <w:divBdr>
        <w:top w:val="none" w:sz="0" w:space="0" w:color="auto"/>
        <w:left w:val="none" w:sz="0" w:space="0" w:color="auto"/>
        <w:bottom w:val="none" w:sz="0" w:space="0" w:color="auto"/>
        <w:right w:val="none" w:sz="0" w:space="0" w:color="auto"/>
      </w:divBdr>
      <w:divsChild>
        <w:div w:id="2111848811">
          <w:marLeft w:val="0"/>
          <w:marRight w:val="0"/>
          <w:marTop w:val="0"/>
          <w:marBottom w:val="0"/>
          <w:divBdr>
            <w:top w:val="none" w:sz="0" w:space="0" w:color="auto"/>
            <w:left w:val="none" w:sz="0" w:space="0" w:color="auto"/>
            <w:bottom w:val="none" w:sz="0" w:space="0" w:color="auto"/>
            <w:right w:val="none" w:sz="0" w:space="0" w:color="auto"/>
          </w:divBdr>
          <w:divsChild>
            <w:div w:id="946541302">
              <w:marLeft w:val="0"/>
              <w:marRight w:val="0"/>
              <w:marTop w:val="0"/>
              <w:marBottom w:val="0"/>
              <w:divBdr>
                <w:top w:val="none" w:sz="0" w:space="0" w:color="auto"/>
                <w:left w:val="none" w:sz="0" w:space="0" w:color="auto"/>
                <w:bottom w:val="none" w:sz="0" w:space="0" w:color="auto"/>
                <w:right w:val="none" w:sz="0" w:space="0" w:color="auto"/>
              </w:divBdr>
              <w:divsChild>
                <w:div w:id="7749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26075">
      <w:bodyDiv w:val="1"/>
      <w:marLeft w:val="0"/>
      <w:marRight w:val="0"/>
      <w:marTop w:val="0"/>
      <w:marBottom w:val="0"/>
      <w:divBdr>
        <w:top w:val="none" w:sz="0" w:space="0" w:color="auto"/>
        <w:left w:val="none" w:sz="0" w:space="0" w:color="auto"/>
        <w:bottom w:val="none" w:sz="0" w:space="0" w:color="auto"/>
        <w:right w:val="none" w:sz="0" w:space="0" w:color="auto"/>
      </w:divBdr>
    </w:div>
    <w:div w:id="1767380712">
      <w:bodyDiv w:val="1"/>
      <w:marLeft w:val="0"/>
      <w:marRight w:val="0"/>
      <w:marTop w:val="0"/>
      <w:marBottom w:val="0"/>
      <w:divBdr>
        <w:top w:val="none" w:sz="0" w:space="0" w:color="auto"/>
        <w:left w:val="none" w:sz="0" w:space="0" w:color="auto"/>
        <w:bottom w:val="none" w:sz="0" w:space="0" w:color="auto"/>
        <w:right w:val="none" w:sz="0" w:space="0" w:color="auto"/>
      </w:divBdr>
    </w:div>
    <w:div w:id="1778058957">
      <w:bodyDiv w:val="1"/>
      <w:marLeft w:val="0"/>
      <w:marRight w:val="0"/>
      <w:marTop w:val="0"/>
      <w:marBottom w:val="0"/>
      <w:divBdr>
        <w:top w:val="none" w:sz="0" w:space="0" w:color="auto"/>
        <w:left w:val="none" w:sz="0" w:space="0" w:color="auto"/>
        <w:bottom w:val="none" w:sz="0" w:space="0" w:color="auto"/>
        <w:right w:val="none" w:sz="0" w:space="0" w:color="auto"/>
      </w:divBdr>
      <w:divsChild>
        <w:div w:id="433213221">
          <w:marLeft w:val="150"/>
          <w:marRight w:val="0"/>
          <w:marTop w:val="0"/>
          <w:marBottom w:val="0"/>
          <w:divBdr>
            <w:top w:val="none" w:sz="0" w:space="0" w:color="auto"/>
            <w:left w:val="none" w:sz="0" w:space="0" w:color="auto"/>
            <w:bottom w:val="none" w:sz="0" w:space="0" w:color="auto"/>
            <w:right w:val="none" w:sz="0" w:space="0" w:color="auto"/>
          </w:divBdr>
          <w:divsChild>
            <w:div w:id="39984162">
              <w:marLeft w:val="0"/>
              <w:marRight w:val="0"/>
              <w:marTop w:val="0"/>
              <w:marBottom w:val="120"/>
              <w:divBdr>
                <w:top w:val="none" w:sz="0" w:space="0" w:color="auto"/>
                <w:left w:val="none" w:sz="0" w:space="0" w:color="auto"/>
                <w:bottom w:val="none" w:sz="0" w:space="0" w:color="auto"/>
                <w:right w:val="none" w:sz="0" w:space="0" w:color="auto"/>
              </w:divBdr>
              <w:divsChild>
                <w:div w:id="523441190">
                  <w:marLeft w:val="0"/>
                  <w:marRight w:val="0"/>
                  <w:marTop w:val="0"/>
                  <w:marBottom w:val="0"/>
                  <w:divBdr>
                    <w:top w:val="none" w:sz="0" w:space="0" w:color="auto"/>
                    <w:left w:val="none" w:sz="0" w:space="0" w:color="auto"/>
                    <w:bottom w:val="none" w:sz="0" w:space="0" w:color="auto"/>
                    <w:right w:val="none" w:sz="0" w:space="0" w:color="auto"/>
                  </w:divBdr>
                  <w:divsChild>
                    <w:div w:id="19126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0702">
              <w:marLeft w:val="0"/>
              <w:marRight w:val="0"/>
              <w:marTop w:val="0"/>
              <w:marBottom w:val="120"/>
              <w:divBdr>
                <w:top w:val="none" w:sz="0" w:space="0" w:color="auto"/>
                <w:left w:val="none" w:sz="0" w:space="0" w:color="auto"/>
                <w:bottom w:val="none" w:sz="0" w:space="0" w:color="auto"/>
                <w:right w:val="none" w:sz="0" w:space="0" w:color="auto"/>
              </w:divBdr>
              <w:divsChild>
                <w:div w:id="997684579">
                  <w:marLeft w:val="0"/>
                  <w:marRight w:val="0"/>
                  <w:marTop w:val="0"/>
                  <w:marBottom w:val="0"/>
                  <w:divBdr>
                    <w:top w:val="none" w:sz="0" w:space="0" w:color="auto"/>
                    <w:left w:val="none" w:sz="0" w:space="0" w:color="auto"/>
                    <w:bottom w:val="none" w:sz="0" w:space="0" w:color="auto"/>
                    <w:right w:val="none" w:sz="0" w:space="0" w:color="auto"/>
                  </w:divBdr>
                  <w:divsChild>
                    <w:div w:id="1813206404">
                      <w:marLeft w:val="0"/>
                      <w:marRight w:val="0"/>
                      <w:marTop w:val="0"/>
                      <w:marBottom w:val="0"/>
                      <w:divBdr>
                        <w:top w:val="none" w:sz="0" w:space="0" w:color="auto"/>
                        <w:left w:val="none" w:sz="0" w:space="0" w:color="auto"/>
                        <w:bottom w:val="none" w:sz="0" w:space="0" w:color="auto"/>
                        <w:right w:val="none" w:sz="0" w:space="0" w:color="auto"/>
                      </w:divBdr>
                      <w:divsChild>
                        <w:div w:id="450130571">
                          <w:marLeft w:val="0"/>
                          <w:marRight w:val="0"/>
                          <w:marTop w:val="0"/>
                          <w:marBottom w:val="0"/>
                          <w:divBdr>
                            <w:top w:val="none" w:sz="0" w:space="0" w:color="auto"/>
                            <w:left w:val="none" w:sz="0" w:space="0" w:color="auto"/>
                            <w:bottom w:val="none" w:sz="0" w:space="0" w:color="auto"/>
                            <w:right w:val="none" w:sz="0" w:space="0" w:color="auto"/>
                          </w:divBdr>
                          <w:divsChild>
                            <w:div w:id="987441195">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 w:id="833497943">
              <w:marLeft w:val="0"/>
              <w:marRight w:val="0"/>
              <w:marTop w:val="0"/>
              <w:marBottom w:val="120"/>
              <w:divBdr>
                <w:top w:val="none" w:sz="0" w:space="0" w:color="auto"/>
                <w:left w:val="none" w:sz="0" w:space="0" w:color="auto"/>
                <w:bottom w:val="none" w:sz="0" w:space="0" w:color="auto"/>
                <w:right w:val="none" w:sz="0" w:space="0" w:color="auto"/>
              </w:divBdr>
              <w:divsChild>
                <w:div w:id="2086799792">
                  <w:marLeft w:val="0"/>
                  <w:marRight w:val="0"/>
                  <w:marTop w:val="0"/>
                  <w:marBottom w:val="0"/>
                  <w:divBdr>
                    <w:top w:val="none" w:sz="0" w:space="0" w:color="auto"/>
                    <w:left w:val="none" w:sz="0" w:space="0" w:color="auto"/>
                    <w:bottom w:val="none" w:sz="0" w:space="0" w:color="auto"/>
                    <w:right w:val="none" w:sz="0" w:space="0" w:color="auto"/>
                  </w:divBdr>
                  <w:divsChild>
                    <w:div w:id="1983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1643">
              <w:marLeft w:val="0"/>
              <w:marRight w:val="0"/>
              <w:marTop w:val="0"/>
              <w:marBottom w:val="120"/>
              <w:divBdr>
                <w:top w:val="none" w:sz="0" w:space="0" w:color="auto"/>
                <w:left w:val="none" w:sz="0" w:space="0" w:color="auto"/>
                <w:bottom w:val="none" w:sz="0" w:space="0" w:color="auto"/>
                <w:right w:val="none" w:sz="0" w:space="0" w:color="auto"/>
              </w:divBdr>
              <w:divsChild>
                <w:div w:id="1472135735">
                  <w:marLeft w:val="0"/>
                  <w:marRight w:val="0"/>
                  <w:marTop w:val="0"/>
                  <w:marBottom w:val="0"/>
                  <w:divBdr>
                    <w:top w:val="none" w:sz="0" w:space="0" w:color="auto"/>
                    <w:left w:val="none" w:sz="0" w:space="0" w:color="auto"/>
                    <w:bottom w:val="none" w:sz="0" w:space="0" w:color="auto"/>
                    <w:right w:val="none" w:sz="0" w:space="0" w:color="auto"/>
                  </w:divBdr>
                  <w:divsChild>
                    <w:div w:id="11945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446650">
      <w:bodyDiv w:val="1"/>
      <w:marLeft w:val="0"/>
      <w:marRight w:val="0"/>
      <w:marTop w:val="0"/>
      <w:marBottom w:val="0"/>
      <w:divBdr>
        <w:top w:val="none" w:sz="0" w:space="0" w:color="auto"/>
        <w:left w:val="none" w:sz="0" w:space="0" w:color="auto"/>
        <w:bottom w:val="none" w:sz="0" w:space="0" w:color="auto"/>
        <w:right w:val="none" w:sz="0" w:space="0" w:color="auto"/>
      </w:divBdr>
      <w:divsChild>
        <w:div w:id="733814766">
          <w:marLeft w:val="0"/>
          <w:marRight w:val="0"/>
          <w:marTop w:val="0"/>
          <w:marBottom w:val="0"/>
          <w:divBdr>
            <w:top w:val="none" w:sz="0" w:space="0" w:color="auto"/>
            <w:left w:val="none" w:sz="0" w:space="0" w:color="auto"/>
            <w:bottom w:val="none" w:sz="0" w:space="0" w:color="auto"/>
            <w:right w:val="none" w:sz="0" w:space="0" w:color="auto"/>
          </w:divBdr>
          <w:divsChild>
            <w:div w:id="1031104560">
              <w:marLeft w:val="0"/>
              <w:marRight w:val="0"/>
              <w:marTop w:val="0"/>
              <w:marBottom w:val="0"/>
              <w:divBdr>
                <w:top w:val="none" w:sz="0" w:space="0" w:color="auto"/>
                <w:left w:val="none" w:sz="0" w:space="0" w:color="auto"/>
                <w:bottom w:val="none" w:sz="0" w:space="0" w:color="auto"/>
                <w:right w:val="none" w:sz="0" w:space="0" w:color="auto"/>
              </w:divBdr>
              <w:divsChild>
                <w:div w:id="8219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8150">
      <w:bodyDiv w:val="1"/>
      <w:marLeft w:val="0"/>
      <w:marRight w:val="0"/>
      <w:marTop w:val="0"/>
      <w:marBottom w:val="0"/>
      <w:divBdr>
        <w:top w:val="none" w:sz="0" w:space="0" w:color="auto"/>
        <w:left w:val="none" w:sz="0" w:space="0" w:color="auto"/>
        <w:bottom w:val="none" w:sz="0" w:space="0" w:color="auto"/>
        <w:right w:val="none" w:sz="0" w:space="0" w:color="auto"/>
      </w:divBdr>
      <w:divsChild>
        <w:div w:id="139927175">
          <w:marLeft w:val="0"/>
          <w:marRight w:val="0"/>
          <w:marTop w:val="0"/>
          <w:marBottom w:val="120"/>
          <w:divBdr>
            <w:top w:val="none" w:sz="0" w:space="0" w:color="auto"/>
            <w:left w:val="none" w:sz="0" w:space="0" w:color="auto"/>
            <w:bottom w:val="none" w:sz="0" w:space="0" w:color="auto"/>
            <w:right w:val="none" w:sz="0" w:space="0" w:color="auto"/>
          </w:divBdr>
        </w:div>
        <w:div w:id="1363558391">
          <w:marLeft w:val="-180"/>
          <w:marRight w:val="-180"/>
          <w:marTop w:val="75"/>
          <w:marBottom w:val="0"/>
          <w:divBdr>
            <w:top w:val="none" w:sz="0" w:space="0" w:color="auto"/>
            <w:left w:val="none" w:sz="0" w:space="0" w:color="auto"/>
            <w:bottom w:val="none" w:sz="0" w:space="0" w:color="auto"/>
            <w:right w:val="none" w:sz="0" w:space="0" w:color="auto"/>
          </w:divBdr>
          <w:divsChild>
            <w:div w:id="835070627">
              <w:marLeft w:val="0"/>
              <w:marRight w:val="0"/>
              <w:marTop w:val="0"/>
              <w:marBottom w:val="0"/>
              <w:divBdr>
                <w:top w:val="none" w:sz="0" w:space="0" w:color="auto"/>
                <w:left w:val="none" w:sz="0" w:space="0" w:color="auto"/>
                <w:bottom w:val="none" w:sz="0" w:space="0" w:color="auto"/>
                <w:right w:val="none" w:sz="0" w:space="0" w:color="auto"/>
              </w:divBdr>
              <w:divsChild>
                <w:div w:id="1337806308">
                  <w:marLeft w:val="-180"/>
                  <w:marRight w:val="-180"/>
                  <w:marTop w:val="60"/>
                  <w:marBottom w:val="120"/>
                  <w:divBdr>
                    <w:top w:val="none" w:sz="0" w:space="0" w:color="auto"/>
                    <w:left w:val="none" w:sz="0" w:space="0" w:color="auto"/>
                    <w:bottom w:val="none" w:sz="0" w:space="0" w:color="auto"/>
                    <w:right w:val="none" w:sz="0" w:space="0" w:color="auto"/>
                  </w:divBdr>
                  <w:divsChild>
                    <w:div w:id="84808784">
                      <w:marLeft w:val="0"/>
                      <w:marRight w:val="150"/>
                      <w:marTop w:val="0"/>
                      <w:marBottom w:val="0"/>
                      <w:divBdr>
                        <w:top w:val="none" w:sz="0" w:space="0" w:color="auto"/>
                        <w:left w:val="none" w:sz="0" w:space="0" w:color="auto"/>
                        <w:bottom w:val="none" w:sz="0" w:space="0" w:color="auto"/>
                        <w:right w:val="none" w:sz="0" w:space="0" w:color="auto"/>
                      </w:divBdr>
                      <w:divsChild>
                        <w:div w:id="92519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443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991640864">
          <w:marLeft w:val="0"/>
          <w:marRight w:val="0"/>
          <w:marTop w:val="0"/>
          <w:marBottom w:val="0"/>
          <w:divBdr>
            <w:top w:val="none" w:sz="0" w:space="0" w:color="auto"/>
            <w:left w:val="none" w:sz="0" w:space="0" w:color="auto"/>
            <w:bottom w:val="none" w:sz="0" w:space="0" w:color="auto"/>
            <w:right w:val="none" w:sz="0" w:space="0" w:color="auto"/>
          </w:divBdr>
          <w:divsChild>
            <w:div w:id="751202655">
              <w:marLeft w:val="0"/>
              <w:marRight w:val="0"/>
              <w:marTop w:val="0"/>
              <w:marBottom w:val="0"/>
              <w:divBdr>
                <w:top w:val="none" w:sz="0" w:space="0" w:color="auto"/>
                <w:left w:val="none" w:sz="0" w:space="0" w:color="auto"/>
                <w:bottom w:val="none" w:sz="0" w:space="0" w:color="auto"/>
                <w:right w:val="none" w:sz="0" w:space="0" w:color="auto"/>
              </w:divBdr>
              <w:divsChild>
                <w:div w:id="704410970">
                  <w:marLeft w:val="150"/>
                  <w:marRight w:val="0"/>
                  <w:marTop w:val="0"/>
                  <w:marBottom w:val="0"/>
                  <w:divBdr>
                    <w:top w:val="none" w:sz="0" w:space="0" w:color="auto"/>
                    <w:left w:val="none" w:sz="0" w:space="0" w:color="auto"/>
                    <w:bottom w:val="none" w:sz="0" w:space="0" w:color="auto"/>
                    <w:right w:val="none" w:sz="0" w:space="0" w:color="auto"/>
                  </w:divBdr>
                  <w:divsChild>
                    <w:div w:id="131288818">
                      <w:marLeft w:val="0"/>
                      <w:marRight w:val="0"/>
                      <w:marTop w:val="0"/>
                      <w:marBottom w:val="120"/>
                      <w:divBdr>
                        <w:top w:val="none" w:sz="0" w:space="0" w:color="auto"/>
                        <w:left w:val="none" w:sz="0" w:space="0" w:color="auto"/>
                        <w:bottom w:val="none" w:sz="0" w:space="0" w:color="auto"/>
                        <w:right w:val="none" w:sz="0" w:space="0" w:color="auto"/>
                      </w:divBdr>
                      <w:divsChild>
                        <w:div w:id="745497003">
                          <w:marLeft w:val="0"/>
                          <w:marRight w:val="0"/>
                          <w:marTop w:val="0"/>
                          <w:marBottom w:val="0"/>
                          <w:divBdr>
                            <w:top w:val="none" w:sz="0" w:space="0" w:color="auto"/>
                            <w:left w:val="none" w:sz="0" w:space="0" w:color="auto"/>
                            <w:bottom w:val="none" w:sz="0" w:space="0" w:color="auto"/>
                            <w:right w:val="none" w:sz="0" w:space="0" w:color="auto"/>
                          </w:divBdr>
                          <w:divsChild>
                            <w:div w:id="2050915114">
                              <w:marLeft w:val="0"/>
                              <w:marRight w:val="0"/>
                              <w:marTop w:val="0"/>
                              <w:marBottom w:val="0"/>
                              <w:divBdr>
                                <w:top w:val="none" w:sz="0" w:space="0" w:color="auto"/>
                                <w:left w:val="none" w:sz="0" w:space="0" w:color="auto"/>
                                <w:bottom w:val="none" w:sz="0" w:space="0" w:color="auto"/>
                                <w:right w:val="none" w:sz="0" w:space="0" w:color="auto"/>
                              </w:divBdr>
                              <w:divsChild>
                                <w:div w:id="346103096">
                                  <w:marLeft w:val="0"/>
                                  <w:marRight w:val="0"/>
                                  <w:marTop w:val="0"/>
                                  <w:marBottom w:val="0"/>
                                  <w:divBdr>
                                    <w:top w:val="none" w:sz="0" w:space="0" w:color="auto"/>
                                    <w:left w:val="none" w:sz="0" w:space="0" w:color="auto"/>
                                    <w:bottom w:val="none" w:sz="0" w:space="0" w:color="auto"/>
                                    <w:right w:val="none" w:sz="0" w:space="0" w:color="auto"/>
                                  </w:divBdr>
                                  <w:divsChild>
                                    <w:div w:id="87335019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 w:id="952905565">
                      <w:marLeft w:val="0"/>
                      <w:marRight w:val="0"/>
                      <w:marTop w:val="0"/>
                      <w:marBottom w:val="120"/>
                      <w:divBdr>
                        <w:top w:val="none" w:sz="0" w:space="0" w:color="auto"/>
                        <w:left w:val="none" w:sz="0" w:space="0" w:color="auto"/>
                        <w:bottom w:val="none" w:sz="0" w:space="0" w:color="auto"/>
                        <w:right w:val="none" w:sz="0" w:space="0" w:color="auto"/>
                      </w:divBdr>
                      <w:divsChild>
                        <w:div w:id="1948350397">
                          <w:marLeft w:val="0"/>
                          <w:marRight w:val="0"/>
                          <w:marTop w:val="0"/>
                          <w:marBottom w:val="0"/>
                          <w:divBdr>
                            <w:top w:val="none" w:sz="0" w:space="0" w:color="auto"/>
                            <w:left w:val="none" w:sz="0" w:space="0" w:color="auto"/>
                            <w:bottom w:val="none" w:sz="0" w:space="0" w:color="auto"/>
                            <w:right w:val="none" w:sz="0" w:space="0" w:color="auto"/>
                          </w:divBdr>
                          <w:divsChild>
                            <w:div w:id="11611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9669">
                      <w:marLeft w:val="0"/>
                      <w:marRight w:val="0"/>
                      <w:marTop w:val="0"/>
                      <w:marBottom w:val="120"/>
                      <w:divBdr>
                        <w:top w:val="none" w:sz="0" w:space="0" w:color="auto"/>
                        <w:left w:val="none" w:sz="0" w:space="0" w:color="auto"/>
                        <w:bottom w:val="none" w:sz="0" w:space="0" w:color="auto"/>
                        <w:right w:val="none" w:sz="0" w:space="0" w:color="auto"/>
                      </w:divBdr>
                      <w:divsChild>
                        <w:div w:id="9525226">
                          <w:marLeft w:val="0"/>
                          <w:marRight w:val="0"/>
                          <w:marTop w:val="0"/>
                          <w:marBottom w:val="0"/>
                          <w:divBdr>
                            <w:top w:val="none" w:sz="0" w:space="0" w:color="auto"/>
                            <w:left w:val="none" w:sz="0" w:space="0" w:color="auto"/>
                            <w:bottom w:val="none" w:sz="0" w:space="0" w:color="auto"/>
                            <w:right w:val="none" w:sz="0" w:space="0" w:color="auto"/>
                          </w:divBdr>
                          <w:divsChild>
                            <w:div w:id="58657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9071">
                      <w:marLeft w:val="0"/>
                      <w:marRight w:val="0"/>
                      <w:marTop w:val="0"/>
                      <w:marBottom w:val="120"/>
                      <w:divBdr>
                        <w:top w:val="none" w:sz="0" w:space="0" w:color="auto"/>
                        <w:left w:val="none" w:sz="0" w:space="0" w:color="auto"/>
                        <w:bottom w:val="none" w:sz="0" w:space="0" w:color="auto"/>
                        <w:right w:val="none" w:sz="0" w:space="0" w:color="auto"/>
                      </w:divBdr>
                      <w:divsChild>
                        <w:div w:id="1241676908">
                          <w:marLeft w:val="0"/>
                          <w:marRight w:val="0"/>
                          <w:marTop w:val="0"/>
                          <w:marBottom w:val="0"/>
                          <w:divBdr>
                            <w:top w:val="none" w:sz="0" w:space="0" w:color="auto"/>
                            <w:left w:val="none" w:sz="0" w:space="0" w:color="auto"/>
                            <w:bottom w:val="none" w:sz="0" w:space="0" w:color="auto"/>
                            <w:right w:val="none" w:sz="0" w:space="0" w:color="auto"/>
                          </w:divBdr>
                          <w:divsChild>
                            <w:div w:id="2210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918326">
      <w:bodyDiv w:val="1"/>
      <w:marLeft w:val="0"/>
      <w:marRight w:val="0"/>
      <w:marTop w:val="0"/>
      <w:marBottom w:val="0"/>
      <w:divBdr>
        <w:top w:val="none" w:sz="0" w:space="0" w:color="auto"/>
        <w:left w:val="none" w:sz="0" w:space="0" w:color="auto"/>
        <w:bottom w:val="none" w:sz="0" w:space="0" w:color="auto"/>
        <w:right w:val="none" w:sz="0" w:space="0" w:color="auto"/>
      </w:divBdr>
      <w:divsChild>
        <w:div w:id="259535409">
          <w:marLeft w:val="-180"/>
          <w:marRight w:val="-180"/>
          <w:marTop w:val="75"/>
          <w:marBottom w:val="0"/>
          <w:divBdr>
            <w:top w:val="none" w:sz="0" w:space="0" w:color="auto"/>
            <w:left w:val="none" w:sz="0" w:space="0" w:color="auto"/>
            <w:bottom w:val="none" w:sz="0" w:space="0" w:color="auto"/>
            <w:right w:val="none" w:sz="0" w:space="0" w:color="auto"/>
          </w:divBdr>
          <w:divsChild>
            <w:div w:id="990862426">
              <w:marLeft w:val="0"/>
              <w:marRight w:val="0"/>
              <w:marTop w:val="0"/>
              <w:marBottom w:val="0"/>
              <w:divBdr>
                <w:top w:val="none" w:sz="0" w:space="0" w:color="auto"/>
                <w:left w:val="none" w:sz="0" w:space="0" w:color="auto"/>
                <w:bottom w:val="none" w:sz="0" w:space="0" w:color="auto"/>
                <w:right w:val="none" w:sz="0" w:space="0" w:color="auto"/>
              </w:divBdr>
              <w:divsChild>
                <w:div w:id="483085953">
                  <w:marLeft w:val="-180"/>
                  <w:marRight w:val="-180"/>
                  <w:marTop w:val="60"/>
                  <w:marBottom w:val="120"/>
                  <w:divBdr>
                    <w:top w:val="none" w:sz="0" w:space="0" w:color="auto"/>
                    <w:left w:val="none" w:sz="0" w:space="0" w:color="auto"/>
                    <w:bottom w:val="none" w:sz="0" w:space="0" w:color="auto"/>
                    <w:right w:val="none" w:sz="0" w:space="0" w:color="auto"/>
                  </w:divBdr>
                  <w:divsChild>
                    <w:div w:id="1953246826">
                      <w:marLeft w:val="0"/>
                      <w:marRight w:val="150"/>
                      <w:marTop w:val="0"/>
                      <w:marBottom w:val="0"/>
                      <w:divBdr>
                        <w:top w:val="none" w:sz="0" w:space="0" w:color="auto"/>
                        <w:left w:val="none" w:sz="0" w:space="0" w:color="auto"/>
                        <w:bottom w:val="none" w:sz="0" w:space="0" w:color="auto"/>
                        <w:right w:val="none" w:sz="0" w:space="0" w:color="auto"/>
                      </w:divBdr>
                      <w:divsChild>
                        <w:div w:id="696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4004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372536683">
          <w:marLeft w:val="0"/>
          <w:marRight w:val="0"/>
          <w:marTop w:val="0"/>
          <w:marBottom w:val="120"/>
          <w:divBdr>
            <w:top w:val="none" w:sz="0" w:space="0" w:color="auto"/>
            <w:left w:val="none" w:sz="0" w:space="0" w:color="auto"/>
            <w:bottom w:val="none" w:sz="0" w:space="0" w:color="auto"/>
            <w:right w:val="none" w:sz="0" w:space="0" w:color="auto"/>
          </w:divBdr>
        </w:div>
        <w:div w:id="1213346459">
          <w:marLeft w:val="0"/>
          <w:marRight w:val="0"/>
          <w:marTop w:val="0"/>
          <w:marBottom w:val="0"/>
          <w:divBdr>
            <w:top w:val="none" w:sz="0" w:space="0" w:color="auto"/>
            <w:left w:val="none" w:sz="0" w:space="0" w:color="auto"/>
            <w:bottom w:val="none" w:sz="0" w:space="0" w:color="auto"/>
            <w:right w:val="none" w:sz="0" w:space="0" w:color="auto"/>
          </w:divBdr>
          <w:divsChild>
            <w:div w:id="1093165218">
              <w:marLeft w:val="0"/>
              <w:marRight w:val="0"/>
              <w:marTop w:val="0"/>
              <w:marBottom w:val="0"/>
              <w:divBdr>
                <w:top w:val="none" w:sz="0" w:space="0" w:color="auto"/>
                <w:left w:val="none" w:sz="0" w:space="0" w:color="auto"/>
                <w:bottom w:val="none" w:sz="0" w:space="0" w:color="auto"/>
                <w:right w:val="none" w:sz="0" w:space="0" w:color="auto"/>
              </w:divBdr>
              <w:divsChild>
                <w:div w:id="1771317613">
                  <w:marLeft w:val="150"/>
                  <w:marRight w:val="0"/>
                  <w:marTop w:val="0"/>
                  <w:marBottom w:val="0"/>
                  <w:divBdr>
                    <w:top w:val="none" w:sz="0" w:space="0" w:color="auto"/>
                    <w:left w:val="none" w:sz="0" w:space="0" w:color="auto"/>
                    <w:bottom w:val="none" w:sz="0" w:space="0" w:color="auto"/>
                    <w:right w:val="none" w:sz="0" w:space="0" w:color="auto"/>
                  </w:divBdr>
                  <w:divsChild>
                    <w:div w:id="95567048">
                      <w:marLeft w:val="0"/>
                      <w:marRight w:val="0"/>
                      <w:marTop w:val="0"/>
                      <w:marBottom w:val="120"/>
                      <w:divBdr>
                        <w:top w:val="none" w:sz="0" w:space="0" w:color="auto"/>
                        <w:left w:val="none" w:sz="0" w:space="0" w:color="auto"/>
                        <w:bottom w:val="none" w:sz="0" w:space="0" w:color="auto"/>
                        <w:right w:val="none" w:sz="0" w:space="0" w:color="auto"/>
                      </w:divBdr>
                      <w:divsChild>
                        <w:div w:id="212158489">
                          <w:marLeft w:val="0"/>
                          <w:marRight w:val="0"/>
                          <w:marTop w:val="0"/>
                          <w:marBottom w:val="0"/>
                          <w:divBdr>
                            <w:top w:val="none" w:sz="0" w:space="0" w:color="auto"/>
                            <w:left w:val="none" w:sz="0" w:space="0" w:color="auto"/>
                            <w:bottom w:val="none" w:sz="0" w:space="0" w:color="auto"/>
                            <w:right w:val="none" w:sz="0" w:space="0" w:color="auto"/>
                          </w:divBdr>
                          <w:divsChild>
                            <w:div w:id="1838576678">
                              <w:marLeft w:val="0"/>
                              <w:marRight w:val="0"/>
                              <w:marTop w:val="0"/>
                              <w:marBottom w:val="0"/>
                              <w:divBdr>
                                <w:top w:val="none" w:sz="0" w:space="0" w:color="auto"/>
                                <w:left w:val="none" w:sz="0" w:space="0" w:color="auto"/>
                                <w:bottom w:val="none" w:sz="0" w:space="0" w:color="auto"/>
                                <w:right w:val="none" w:sz="0" w:space="0" w:color="auto"/>
                              </w:divBdr>
                              <w:divsChild>
                                <w:div w:id="1544174269">
                                  <w:marLeft w:val="0"/>
                                  <w:marRight w:val="0"/>
                                  <w:marTop w:val="0"/>
                                  <w:marBottom w:val="0"/>
                                  <w:divBdr>
                                    <w:top w:val="none" w:sz="0" w:space="0" w:color="auto"/>
                                    <w:left w:val="none" w:sz="0" w:space="0" w:color="auto"/>
                                    <w:bottom w:val="none" w:sz="0" w:space="0" w:color="auto"/>
                                    <w:right w:val="none" w:sz="0" w:space="0" w:color="auto"/>
                                  </w:divBdr>
                                  <w:divsChild>
                                    <w:div w:id="10665636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 w:id="981470880">
                      <w:marLeft w:val="0"/>
                      <w:marRight w:val="0"/>
                      <w:marTop w:val="0"/>
                      <w:marBottom w:val="120"/>
                      <w:divBdr>
                        <w:top w:val="none" w:sz="0" w:space="0" w:color="auto"/>
                        <w:left w:val="none" w:sz="0" w:space="0" w:color="auto"/>
                        <w:bottom w:val="none" w:sz="0" w:space="0" w:color="auto"/>
                        <w:right w:val="none" w:sz="0" w:space="0" w:color="auto"/>
                      </w:divBdr>
                      <w:divsChild>
                        <w:div w:id="1820460367">
                          <w:marLeft w:val="0"/>
                          <w:marRight w:val="0"/>
                          <w:marTop w:val="0"/>
                          <w:marBottom w:val="0"/>
                          <w:divBdr>
                            <w:top w:val="none" w:sz="0" w:space="0" w:color="auto"/>
                            <w:left w:val="none" w:sz="0" w:space="0" w:color="auto"/>
                            <w:bottom w:val="none" w:sz="0" w:space="0" w:color="auto"/>
                            <w:right w:val="none" w:sz="0" w:space="0" w:color="auto"/>
                          </w:divBdr>
                          <w:divsChild>
                            <w:div w:id="15863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763">
                      <w:marLeft w:val="0"/>
                      <w:marRight w:val="0"/>
                      <w:marTop w:val="0"/>
                      <w:marBottom w:val="120"/>
                      <w:divBdr>
                        <w:top w:val="none" w:sz="0" w:space="0" w:color="auto"/>
                        <w:left w:val="none" w:sz="0" w:space="0" w:color="auto"/>
                        <w:bottom w:val="none" w:sz="0" w:space="0" w:color="auto"/>
                        <w:right w:val="none" w:sz="0" w:space="0" w:color="auto"/>
                      </w:divBdr>
                      <w:divsChild>
                        <w:div w:id="1051346297">
                          <w:marLeft w:val="0"/>
                          <w:marRight w:val="0"/>
                          <w:marTop w:val="0"/>
                          <w:marBottom w:val="0"/>
                          <w:divBdr>
                            <w:top w:val="none" w:sz="0" w:space="0" w:color="auto"/>
                            <w:left w:val="none" w:sz="0" w:space="0" w:color="auto"/>
                            <w:bottom w:val="none" w:sz="0" w:space="0" w:color="auto"/>
                            <w:right w:val="none" w:sz="0" w:space="0" w:color="auto"/>
                          </w:divBdr>
                          <w:divsChild>
                            <w:div w:id="6005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8408">
                      <w:marLeft w:val="0"/>
                      <w:marRight w:val="0"/>
                      <w:marTop w:val="0"/>
                      <w:marBottom w:val="120"/>
                      <w:divBdr>
                        <w:top w:val="none" w:sz="0" w:space="0" w:color="auto"/>
                        <w:left w:val="none" w:sz="0" w:space="0" w:color="auto"/>
                        <w:bottom w:val="none" w:sz="0" w:space="0" w:color="auto"/>
                        <w:right w:val="none" w:sz="0" w:space="0" w:color="auto"/>
                      </w:divBdr>
                      <w:divsChild>
                        <w:div w:id="1645544594">
                          <w:marLeft w:val="0"/>
                          <w:marRight w:val="0"/>
                          <w:marTop w:val="0"/>
                          <w:marBottom w:val="0"/>
                          <w:divBdr>
                            <w:top w:val="none" w:sz="0" w:space="0" w:color="auto"/>
                            <w:left w:val="none" w:sz="0" w:space="0" w:color="auto"/>
                            <w:bottom w:val="none" w:sz="0" w:space="0" w:color="auto"/>
                            <w:right w:val="none" w:sz="0" w:space="0" w:color="auto"/>
                          </w:divBdr>
                          <w:divsChild>
                            <w:div w:id="6388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741255">
      <w:bodyDiv w:val="1"/>
      <w:marLeft w:val="0"/>
      <w:marRight w:val="0"/>
      <w:marTop w:val="0"/>
      <w:marBottom w:val="0"/>
      <w:divBdr>
        <w:top w:val="none" w:sz="0" w:space="0" w:color="auto"/>
        <w:left w:val="none" w:sz="0" w:space="0" w:color="auto"/>
        <w:bottom w:val="none" w:sz="0" w:space="0" w:color="auto"/>
        <w:right w:val="none" w:sz="0" w:space="0" w:color="auto"/>
      </w:divBdr>
      <w:divsChild>
        <w:div w:id="1645812774">
          <w:marLeft w:val="0"/>
          <w:marRight w:val="0"/>
          <w:marTop w:val="0"/>
          <w:marBottom w:val="0"/>
          <w:divBdr>
            <w:top w:val="none" w:sz="0" w:space="0" w:color="auto"/>
            <w:left w:val="none" w:sz="0" w:space="0" w:color="auto"/>
            <w:bottom w:val="none" w:sz="0" w:space="0" w:color="auto"/>
            <w:right w:val="none" w:sz="0" w:space="0" w:color="auto"/>
          </w:divBdr>
          <w:divsChild>
            <w:div w:id="1632780749">
              <w:marLeft w:val="0"/>
              <w:marRight w:val="0"/>
              <w:marTop w:val="0"/>
              <w:marBottom w:val="0"/>
              <w:divBdr>
                <w:top w:val="none" w:sz="0" w:space="0" w:color="auto"/>
                <w:left w:val="none" w:sz="0" w:space="0" w:color="auto"/>
                <w:bottom w:val="none" w:sz="0" w:space="0" w:color="auto"/>
                <w:right w:val="none" w:sz="0" w:space="0" w:color="auto"/>
              </w:divBdr>
              <w:divsChild>
                <w:div w:id="929508033">
                  <w:marLeft w:val="0"/>
                  <w:marRight w:val="0"/>
                  <w:marTop w:val="225"/>
                  <w:marBottom w:val="300"/>
                  <w:divBdr>
                    <w:top w:val="none" w:sz="0" w:space="0" w:color="auto"/>
                    <w:left w:val="none" w:sz="0" w:space="0" w:color="auto"/>
                    <w:bottom w:val="none" w:sz="0" w:space="0" w:color="auto"/>
                    <w:right w:val="none" w:sz="0" w:space="0" w:color="auto"/>
                  </w:divBdr>
                  <w:divsChild>
                    <w:div w:id="1831023564">
                      <w:marLeft w:val="0"/>
                      <w:marRight w:val="0"/>
                      <w:marTop w:val="150"/>
                      <w:marBottom w:val="0"/>
                      <w:divBdr>
                        <w:top w:val="none" w:sz="0" w:space="0" w:color="auto"/>
                        <w:left w:val="none" w:sz="0" w:space="0" w:color="auto"/>
                        <w:bottom w:val="none" w:sz="0" w:space="0" w:color="auto"/>
                        <w:right w:val="none" w:sz="0" w:space="0" w:color="auto"/>
                      </w:divBdr>
                    </w:div>
                  </w:divsChild>
                </w:div>
                <w:div w:id="1009721516">
                  <w:marLeft w:val="0"/>
                  <w:marRight w:val="0"/>
                  <w:marTop w:val="30"/>
                  <w:marBottom w:val="0"/>
                  <w:divBdr>
                    <w:top w:val="single" w:sz="6" w:space="0" w:color="FEC400"/>
                    <w:left w:val="none" w:sz="0" w:space="0" w:color="auto"/>
                    <w:bottom w:val="none" w:sz="0" w:space="0" w:color="auto"/>
                    <w:right w:val="none" w:sz="0" w:space="0" w:color="auto"/>
                  </w:divBdr>
                </w:div>
                <w:div w:id="2008822496">
                  <w:marLeft w:val="0"/>
                  <w:marRight w:val="0"/>
                  <w:marTop w:val="0"/>
                  <w:marBottom w:val="300"/>
                  <w:divBdr>
                    <w:top w:val="none" w:sz="0" w:space="0" w:color="auto"/>
                    <w:left w:val="none" w:sz="0" w:space="0" w:color="auto"/>
                    <w:bottom w:val="none" w:sz="0" w:space="0" w:color="auto"/>
                    <w:right w:val="none" w:sz="0" w:space="0" w:color="auto"/>
                  </w:divBdr>
                  <w:divsChild>
                    <w:div w:id="815145241">
                      <w:marLeft w:val="0"/>
                      <w:marRight w:val="330"/>
                      <w:marTop w:val="0"/>
                      <w:marBottom w:val="150"/>
                      <w:divBdr>
                        <w:top w:val="none" w:sz="0" w:space="0" w:color="auto"/>
                        <w:left w:val="none" w:sz="0" w:space="0" w:color="auto"/>
                        <w:bottom w:val="none" w:sz="0" w:space="0" w:color="auto"/>
                        <w:right w:val="none" w:sz="0" w:space="0" w:color="auto"/>
                      </w:divBdr>
                    </w:div>
                    <w:div w:id="1516924822">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50495131">
      <w:bodyDiv w:val="1"/>
      <w:marLeft w:val="0"/>
      <w:marRight w:val="0"/>
      <w:marTop w:val="0"/>
      <w:marBottom w:val="0"/>
      <w:divBdr>
        <w:top w:val="none" w:sz="0" w:space="0" w:color="auto"/>
        <w:left w:val="none" w:sz="0" w:space="0" w:color="auto"/>
        <w:bottom w:val="none" w:sz="0" w:space="0" w:color="auto"/>
        <w:right w:val="none" w:sz="0" w:space="0" w:color="auto"/>
      </w:divBdr>
      <w:divsChild>
        <w:div w:id="363754881">
          <w:marLeft w:val="0"/>
          <w:marRight w:val="0"/>
          <w:marTop w:val="0"/>
          <w:marBottom w:val="0"/>
          <w:divBdr>
            <w:top w:val="none" w:sz="0" w:space="0" w:color="auto"/>
            <w:left w:val="none" w:sz="0" w:space="0" w:color="auto"/>
            <w:bottom w:val="none" w:sz="0" w:space="0" w:color="auto"/>
            <w:right w:val="none" w:sz="0" w:space="0" w:color="auto"/>
          </w:divBdr>
          <w:divsChild>
            <w:div w:id="179124495">
              <w:marLeft w:val="0"/>
              <w:marRight w:val="0"/>
              <w:marTop w:val="0"/>
              <w:marBottom w:val="0"/>
              <w:divBdr>
                <w:top w:val="none" w:sz="0" w:space="0" w:color="auto"/>
                <w:left w:val="none" w:sz="0" w:space="0" w:color="auto"/>
                <w:bottom w:val="none" w:sz="0" w:space="0" w:color="auto"/>
                <w:right w:val="none" w:sz="0" w:space="0" w:color="auto"/>
              </w:divBdr>
              <w:divsChild>
                <w:div w:id="692733846">
                  <w:marLeft w:val="0"/>
                  <w:marRight w:val="0"/>
                  <w:marTop w:val="225"/>
                  <w:marBottom w:val="300"/>
                  <w:divBdr>
                    <w:top w:val="none" w:sz="0" w:space="0" w:color="auto"/>
                    <w:left w:val="none" w:sz="0" w:space="0" w:color="auto"/>
                    <w:bottom w:val="none" w:sz="0" w:space="0" w:color="auto"/>
                    <w:right w:val="none" w:sz="0" w:space="0" w:color="auto"/>
                  </w:divBdr>
                  <w:divsChild>
                    <w:div w:id="1321735984">
                      <w:marLeft w:val="0"/>
                      <w:marRight w:val="0"/>
                      <w:marTop w:val="150"/>
                      <w:marBottom w:val="0"/>
                      <w:divBdr>
                        <w:top w:val="none" w:sz="0" w:space="0" w:color="auto"/>
                        <w:left w:val="none" w:sz="0" w:space="0" w:color="auto"/>
                        <w:bottom w:val="none" w:sz="0" w:space="0" w:color="auto"/>
                        <w:right w:val="none" w:sz="0" w:space="0" w:color="auto"/>
                      </w:divBdr>
                    </w:div>
                  </w:divsChild>
                </w:div>
                <w:div w:id="1666398869">
                  <w:marLeft w:val="0"/>
                  <w:marRight w:val="0"/>
                  <w:marTop w:val="0"/>
                  <w:marBottom w:val="300"/>
                  <w:divBdr>
                    <w:top w:val="none" w:sz="0" w:space="0" w:color="auto"/>
                    <w:left w:val="none" w:sz="0" w:space="0" w:color="auto"/>
                    <w:bottom w:val="none" w:sz="0" w:space="0" w:color="auto"/>
                    <w:right w:val="none" w:sz="0" w:space="0" w:color="auto"/>
                  </w:divBdr>
                  <w:divsChild>
                    <w:div w:id="597522790">
                      <w:marLeft w:val="0"/>
                      <w:marRight w:val="330"/>
                      <w:marTop w:val="0"/>
                      <w:marBottom w:val="150"/>
                      <w:divBdr>
                        <w:top w:val="none" w:sz="0" w:space="0" w:color="auto"/>
                        <w:left w:val="none" w:sz="0" w:space="0" w:color="auto"/>
                        <w:bottom w:val="none" w:sz="0" w:space="0" w:color="auto"/>
                        <w:right w:val="none" w:sz="0" w:space="0" w:color="auto"/>
                      </w:divBdr>
                    </w:div>
                    <w:div w:id="1532911567">
                      <w:marLeft w:val="0"/>
                      <w:marRight w:val="330"/>
                      <w:marTop w:val="0"/>
                      <w:marBottom w:val="150"/>
                      <w:divBdr>
                        <w:top w:val="none" w:sz="0" w:space="0" w:color="auto"/>
                        <w:left w:val="none" w:sz="0" w:space="0" w:color="auto"/>
                        <w:bottom w:val="none" w:sz="0" w:space="0" w:color="auto"/>
                        <w:right w:val="none" w:sz="0" w:space="0" w:color="auto"/>
                      </w:divBdr>
                    </w:div>
                  </w:divsChild>
                </w:div>
                <w:div w:id="1790779690">
                  <w:marLeft w:val="0"/>
                  <w:marRight w:val="0"/>
                  <w:marTop w:val="30"/>
                  <w:marBottom w:val="0"/>
                  <w:divBdr>
                    <w:top w:val="single" w:sz="6" w:space="0" w:color="FEC400"/>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gov/legis/Glossary.aspx" TargetMode="External"/><Relationship Id="rId13" Type="http://schemas.openxmlformats.org/officeDocument/2006/relationships/hyperlink" Target="https://scholarship.law.duke.edu/alr/vol36/iss1/2" TargetMode="External"/><Relationship Id="rId18" Type="http://schemas.openxmlformats.org/officeDocument/2006/relationships/hyperlink" Target="https://www.merriam-webster.com/thesaurus/i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holarship.law.duke.edu/alr/vol36/iss1/2" TargetMode="External"/><Relationship Id="rId17" Type="http://schemas.openxmlformats.org/officeDocument/2006/relationships/hyperlink" Target="https://plato.stanford.edu/entries/generics/" TargetMode="External"/><Relationship Id="rId2" Type="http://schemas.openxmlformats.org/officeDocument/2006/relationships/numbering" Target="numbering.xml"/><Relationship Id="rId16" Type="http://schemas.openxmlformats.org/officeDocument/2006/relationships/hyperlink" Target="https://irp.fas.org/doddir/usaf/afi91-116.pdf" TargetMode="External"/><Relationship Id="rId20" Type="http://schemas.openxmlformats.org/officeDocument/2006/relationships/hyperlink" Target="https://www.merriam-webster.com/dictionary/combining%20fo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llinsdictionary.com/dictionary/english/possession" TargetMode="External"/><Relationship Id="rId5" Type="http://schemas.openxmlformats.org/officeDocument/2006/relationships/webSettings" Target="webSettings.xml"/><Relationship Id="rId15" Type="http://schemas.openxmlformats.org/officeDocument/2006/relationships/hyperlink" Target="https://www.armscontrol.org/act/2016-03/features/legal-gap-nuclear-weapons-under-international-law" TargetMode="External"/><Relationship Id="rId10" Type="http://schemas.openxmlformats.org/officeDocument/2006/relationships/hyperlink" Target="https://www.law.com/newyorklawjournal/2019/08/01/legal-possession-what-does-it-mean" TargetMode="External"/><Relationship Id="rId19" Type="http://schemas.openxmlformats.org/officeDocument/2006/relationships/hyperlink" Target="https://www.merriam-webster.com/dictionary/be" TargetMode="External"/><Relationship Id="rId4" Type="http://schemas.openxmlformats.org/officeDocument/2006/relationships/settings" Target="settings.xml"/><Relationship Id="rId9" Type="http://schemas.openxmlformats.org/officeDocument/2006/relationships/hyperlink" Target="https://www.merriam-webster.com/dictionary/the" TargetMode="External"/><Relationship Id="rId14" Type="http://schemas.openxmlformats.org/officeDocument/2006/relationships/hyperlink" Target="https://scholarship.law.duke.edu/alr/vol36/iss1/2"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r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4141</TotalTime>
  <Pages>1</Pages>
  <Words>11528</Words>
  <Characters>65714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Mimou</dc:creator>
  <cp:keywords>6.0.0</cp:keywords>
  <dc:description/>
  <cp:lastModifiedBy>Gordon Krauss</cp:lastModifiedBy>
  <cp:revision>9</cp:revision>
  <dcterms:created xsi:type="dcterms:W3CDTF">2025-06-30T23:34:00Z</dcterms:created>
  <dcterms:modified xsi:type="dcterms:W3CDTF">2025-07-23T04:19:00Z</dcterms:modified>
</cp:coreProperties>
</file>