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AI Good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Productivity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after="80" w:before="280" w:line="301.09090909090907" w:lineRule="auto"/>
        <w:rPr/>
      </w:pPr>
      <w:bookmarkStart w:colFirst="0" w:colLast="0" w:name="_heading=h.7fmexmle794k" w:id="0"/>
      <w:bookmarkEnd w:id="0"/>
      <w:r w:rsidDel="00000000" w:rsidR="00000000" w:rsidRPr="00000000">
        <w:rPr>
          <w:rtl w:val="0"/>
        </w:rPr>
        <w:t xml:space="preserve">Generative AI will raise global productivity by up to $4.4 trillion per year, adding 15-40 percent to AI’s total economic impact.</w:t>
      </w:r>
    </w:p>
    <w:p w:rsidR="00000000" w:rsidDel="00000000" w:rsidP="00000000" w:rsidRDefault="00000000" w:rsidRPr="00000000" w14:paraId="00000006">
      <w:pPr>
        <w:spacing w:after="240" w:before="240" w:line="276.0005454545455" w:lineRule="auto"/>
        <w:rPr>
          <w:sz w:val="16"/>
          <w:szCs w:val="16"/>
        </w:rPr>
      </w:pPr>
      <w:r w:rsidDel="00000000" w:rsidR="00000000" w:rsidRPr="00000000">
        <w:rPr>
          <w:b w:val="1"/>
          <w:sz w:val="24"/>
          <w:szCs w:val="24"/>
          <w:u w:val="single"/>
          <w:rtl w:val="0"/>
        </w:rPr>
        <w:t xml:space="preserve">Chui et al. 23</w:t>
      </w:r>
      <w:r w:rsidDel="00000000" w:rsidR="00000000" w:rsidRPr="00000000">
        <w:rPr>
          <w:sz w:val="16"/>
          <w:szCs w:val="16"/>
          <w:rtl w:val="0"/>
        </w:rPr>
        <w:t xml:space="preserve"> [Michael Chui (Ph.D., Partner, McKinsey &amp; Company), Lareina Yee (Senior Partner, McKinsey &amp; Company), Todd W. Schmidt, et al., </w:t>
      </w:r>
      <w:r w:rsidDel="00000000" w:rsidR="00000000" w:rsidRPr="00000000">
        <w:rPr>
          <w:i w:val="1"/>
          <w:sz w:val="16"/>
          <w:szCs w:val="16"/>
          <w:rtl w:val="0"/>
        </w:rPr>
        <w:t xml:space="preserve">“The Economic Potential of Generative AI: The Next Productivity Frontier,”</w:t>
      </w:r>
      <w:r w:rsidDel="00000000" w:rsidR="00000000" w:rsidRPr="00000000">
        <w:rPr>
          <w:sz w:val="16"/>
          <w:szCs w:val="16"/>
          <w:rtl w:val="0"/>
        </w:rPr>
        <w:t xml:space="preserve"> McKinsey Global Institute report, 14 June 2023, pp. 1-13. Accessed 24 June 2025. https://www.mckinsey.com/capabilities/mckinsey-digital/our-insights/the-economic-potential-of-generative-ai-the-next-productivity-frontier] // Isegora</w:t>
      </w:r>
    </w:p>
    <w:p w:rsidR="00000000" w:rsidDel="00000000" w:rsidP="00000000" w:rsidRDefault="00000000" w:rsidRPr="00000000" w14:paraId="00000007">
      <w:pPr>
        <w:spacing w:after="240" w:before="240" w:line="276.0005454545455" w:lineRule="auto"/>
        <w:rPr>
          <w:sz w:val="24"/>
          <w:szCs w:val="24"/>
          <w:highlight w:val="cyan"/>
          <w:u w:val="single"/>
        </w:rPr>
      </w:pPr>
      <w:r w:rsidDel="00000000" w:rsidR="00000000" w:rsidRPr="00000000">
        <w:rPr>
          <w:b w:val="1"/>
          <w:sz w:val="24"/>
          <w:szCs w:val="24"/>
          <w:highlight w:val="cyan"/>
          <w:u w:val="single"/>
          <w:rtl w:val="0"/>
        </w:rPr>
        <w:t xml:space="preserve">Generative AI’s impact on productivity</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could add</w:t>
      </w:r>
      <w:r w:rsidDel="00000000" w:rsidR="00000000" w:rsidRPr="00000000">
        <w:rPr>
          <w:sz w:val="24"/>
          <w:szCs w:val="24"/>
          <w:u w:val="single"/>
          <w:rtl w:val="0"/>
        </w:rPr>
        <w:t xml:space="preserve"> </w:t>
      </w:r>
      <w:r w:rsidDel="00000000" w:rsidR="00000000" w:rsidRPr="00000000">
        <w:rPr>
          <w:sz w:val="16"/>
          <w:szCs w:val="16"/>
          <w:u w:val="single"/>
          <w:rtl w:val="0"/>
        </w:rPr>
        <w:t xml:space="preserve">the equivalent of</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$2.6 trillion to $4.4 trillion</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annually across the 63 use cases we analyzed</w:t>
      </w:r>
      <w:r w:rsidDel="00000000" w:rsidR="00000000" w:rsidRPr="00000000">
        <w:rPr>
          <w:sz w:val="24"/>
          <w:szCs w:val="24"/>
          <w:u w:val="single"/>
          <w:rtl w:val="0"/>
        </w:rPr>
        <w:t xml:space="preserve">—by comparison, the United Kingdom’s entire GDP in 2021 was $3.1 trillion. This would increase the impact of all artificial intelligence by 15 to 40 percent. </w:t>
      </w:r>
      <w:r w:rsidDel="00000000" w:rsidR="00000000" w:rsidRPr="00000000">
        <w:rPr>
          <w:sz w:val="24"/>
          <w:szCs w:val="24"/>
          <w:highlight w:val="cyan"/>
          <w:u w:val="single"/>
          <w:rtl w:val="0"/>
        </w:rPr>
        <w:t xml:space="preserve">This estimate would roughly double if we include the impact of embedding generative AI into software that is currently used for other tasks beyond those use cases.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heading=h.ep3ieoilmez" w:id="1"/>
      <w:bookmarkEnd w:id="1"/>
      <w:r w:rsidDel="00000000" w:rsidR="00000000" w:rsidRPr="00000000">
        <w:rPr>
          <w:rtl w:val="0"/>
        </w:rPr>
        <w:t xml:space="preserve">Medicine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4"/>
        <w:rPr/>
      </w:pPr>
      <w:bookmarkStart w:colFirst="0" w:colLast="0" w:name="_heading=h.fc1f2b3t103" w:id="2"/>
      <w:bookmarkEnd w:id="2"/>
      <w:r w:rsidDel="00000000" w:rsidR="00000000" w:rsidRPr="00000000">
        <w:rPr>
          <w:rtl w:val="0"/>
        </w:rPr>
        <w:t xml:space="preserve">AI diagnostic software already beats physicians by a factor of four in clinical-case accuracy.</w:t>
      </w:r>
    </w:p>
    <w:p w:rsidR="00000000" w:rsidDel="00000000" w:rsidP="00000000" w:rsidRDefault="00000000" w:rsidRPr="00000000" w14:paraId="0000000C">
      <w:pPr>
        <w:spacing w:after="0" w:before="0" w:line="276.0005454545455" w:lineRule="auto"/>
        <w:rPr>
          <w:sz w:val="16"/>
          <w:szCs w:val="16"/>
        </w:rPr>
      </w:pPr>
      <w:r w:rsidDel="00000000" w:rsidR="00000000" w:rsidRPr="00000000">
        <w:rPr>
          <w:b w:val="1"/>
          <w:sz w:val="24"/>
          <w:szCs w:val="24"/>
          <w:u w:val="single"/>
          <w:rtl w:val="0"/>
        </w:rPr>
        <w:t xml:space="preserve">Park 25</w:t>
      </w:r>
      <w:r w:rsidDel="00000000" w:rsidR="00000000" w:rsidRPr="00000000">
        <w:rPr>
          <w:sz w:val="24"/>
          <w:szCs w:val="24"/>
          <w:rtl w:val="0"/>
        </w:rPr>
        <w:t xml:space="preserve"> </w:t>
      </w:r>
      <w:r w:rsidDel="00000000" w:rsidR="00000000" w:rsidRPr="00000000">
        <w:rPr>
          <w:sz w:val="16"/>
          <w:szCs w:val="16"/>
          <w:rtl w:val="0"/>
        </w:rPr>
        <w:t xml:space="preserve">[Alice Park, Senior Health Correspondent, </w:t>
      </w:r>
      <w:r w:rsidDel="00000000" w:rsidR="00000000" w:rsidRPr="00000000">
        <w:rPr>
          <w:i w:val="1"/>
          <w:sz w:val="16"/>
          <w:szCs w:val="16"/>
          <w:rtl w:val="0"/>
        </w:rPr>
        <w:t xml:space="preserve">“Microsoft’s AI Is Better Than Doctors at Diagnosing Disease,”</w:t>
      </w:r>
      <w:r w:rsidDel="00000000" w:rsidR="00000000" w:rsidRPr="00000000">
        <w:rPr>
          <w:sz w:val="16"/>
          <w:szCs w:val="16"/>
          <w:rtl w:val="0"/>
        </w:rPr>
        <w:t xml:space="preserve"> </w:t>
      </w:r>
      <w:r w:rsidDel="00000000" w:rsidR="00000000" w:rsidRPr="00000000">
        <w:rPr>
          <w:i w:val="1"/>
          <w:sz w:val="16"/>
          <w:szCs w:val="16"/>
          <w:rtl w:val="0"/>
        </w:rPr>
        <w:t xml:space="preserve">TIME</w:t>
      </w:r>
      <w:r w:rsidDel="00000000" w:rsidR="00000000" w:rsidRPr="00000000">
        <w:rPr>
          <w:sz w:val="16"/>
          <w:szCs w:val="16"/>
          <w:rtl w:val="0"/>
        </w:rPr>
        <w:t xml:space="preserve"> online, 3 July 2025. Accessed 24 June 2025. https://time.com/7299314/microsoft-ai-better-than-doctors-diagnosis/] // Isegora</w:t>
      </w:r>
    </w:p>
    <w:p w:rsidR="00000000" w:rsidDel="00000000" w:rsidP="00000000" w:rsidRDefault="00000000" w:rsidRPr="00000000" w14:paraId="0000000D">
      <w:pPr>
        <w:spacing w:line="276.0005454545455" w:lineRule="auto"/>
        <w:rPr>
          <w:sz w:val="24"/>
          <w:szCs w:val="24"/>
          <w:u w:val="single"/>
        </w:rPr>
      </w:pPr>
      <w:r w:rsidDel="00000000" w:rsidR="00000000" w:rsidRPr="00000000">
        <w:rPr>
          <w:sz w:val="16"/>
          <w:szCs w:val="16"/>
          <w:u w:val="single"/>
          <w:rtl w:val="0"/>
        </w:rPr>
        <w:t xml:space="preserve">The company reports in a study published on the preprint site arXiv that its AI-based medical program, the Microsoft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AI </w:t>
      </w:r>
      <w:r w:rsidDel="00000000" w:rsidR="00000000" w:rsidRPr="00000000">
        <w:rPr>
          <w:sz w:val="24"/>
          <w:szCs w:val="24"/>
          <w:u w:val="single"/>
          <w:rtl w:val="0"/>
        </w:rPr>
        <w:t xml:space="preserve">D</w:t>
      </w:r>
      <w:r w:rsidDel="00000000" w:rsidR="00000000" w:rsidRPr="00000000">
        <w:rPr>
          <w:sz w:val="16"/>
          <w:szCs w:val="16"/>
          <w:u w:val="single"/>
          <w:rtl w:val="0"/>
        </w:rPr>
        <w:t xml:space="preserve">iagnostic Orchestrator (MAI-DxO),</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correctly </w:t>
      </w:r>
      <w:r w:rsidDel="00000000" w:rsidR="00000000" w:rsidRPr="00000000">
        <w:rPr>
          <w:b w:val="1"/>
          <w:sz w:val="24"/>
          <w:szCs w:val="24"/>
          <w:highlight w:val="cyan"/>
          <w:u w:val="single"/>
          <w:rtl w:val="0"/>
        </w:rPr>
        <w:t xml:space="preserve">diagnosed 85% of cases</w:t>
      </w:r>
      <w:r w:rsidDel="00000000" w:rsidR="00000000" w:rsidRPr="00000000">
        <w:rPr>
          <w:sz w:val="24"/>
          <w:szCs w:val="24"/>
          <w:u w:val="single"/>
          <w:rtl w:val="0"/>
        </w:rPr>
        <w:t xml:space="preserve"> described </w:t>
      </w:r>
      <w:r w:rsidDel="00000000" w:rsidR="00000000" w:rsidRPr="00000000">
        <w:rPr>
          <w:sz w:val="24"/>
          <w:szCs w:val="24"/>
          <w:highlight w:val="cyan"/>
          <w:u w:val="single"/>
          <w:rtl w:val="0"/>
        </w:rPr>
        <w:t xml:space="preserve">in the New England Journal of Medicine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That’s f</w:t>
      </w:r>
      <w:r w:rsidDel="00000000" w:rsidR="00000000" w:rsidRPr="00000000">
        <w:rPr>
          <w:b w:val="1"/>
          <w:sz w:val="24"/>
          <w:szCs w:val="24"/>
          <w:highlight w:val="cyan"/>
          <w:u w:val="single"/>
          <w:rtl w:val="0"/>
        </w:rPr>
        <w:t xml:space="preserve">our times higher</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than </w:t>
      </w:r>
      <w:r w:rsidDel="00000000" w:rsidR="00000000" w:rsidRPr="00000000">
        <w:rPr>
          <w:sz w:val="16"/>
          <w:szCs w:val="16"/>
          <w:u w:val="single"/>
          <w:rtl w:val="0"/>
        </w:rPr>
        <w:t xml:space="preserve">the accuracy rate of</w:t>
      </w:r>
      <w:r w:rsidDel="00000000" w:rsidR="00000000" w:rsidRPr="00000000">
        <w:rPr>
          <w:sz w:val="24"/>
          <w:szCs w:val="24"/>
          <w:highlight w:val="cyan"/>
          <w:u w:val="single"/>
          <w:rtl w:val="0"/>
        </w:rPr>
        <w:t xml:space="preserve"> </w:t>
      </w:r>
      <w:r w:rsidDel="00000000" w:rsidR="00000000" w:rsidRPr="00000000">
        <w:rPr>
          <w:b w:val="1"/>
          <w:sz w:val="24"/>
          <w:szCs w:val="24"/>
          <w:highlight w:val="cyan"/>
          <w:u w:val="single"/>
          <w:rtl w:val="0"/>
        </w:rPr>
        <w:t xml:space="preserve">human doctors</w:t>
      </w:r>
      <w:r w:rsidDel="00000000" w:rsidR="00000000" w:rsidRPr="00000000">
        <w:rPr>
          <w:sz w:val="24"/>
          <w:szCs w:val="24"/>
          <w:u w:val="single"/>
          <w:rtl w:val="0"/>
        </w:rPr>
        <w:t xml:space="preserve">, who came up with the right diagnoses about 20% of the time.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heading=h.d0js7vvh54hc" w:id="3"/>
      <w:bookmarkEnd w:id="3"/>
      <w:r w:rsidDel="00000000" w:rsidR="00000000" w:rsidRPr="00000000">
        <w:rPr>
          <w:rtl w:val="0"/>
        </w:rPr>
        <w:t xml:space="preserve">Climate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4"/>
        <w:keepNext w:val="0"/>
        <w:keepLines w:val="0"/>
        <w:spacing w:after="80" w:before="280" w:line="301.09090909090907" w:lineRule="auto"/>
        <w:rPr/>
      </w:pPr>
      <w:bookmarkStart w:colFirst="0" w:colLast="0" w:name="_heading=h.lxmpfjtaxkby" w:id="4"/>
      <w:bookmarkEnd w:id="4"/>
      <w:r w:rsidDel="00000000" w:rsidR="00000000" w:rsidRPr="00000000">
        <w:rPr>
          <w:rtl w:val="0"/>
        </w:rPr>
        <w:t xml:space="preserve">Artificial intelligence can curb 3.2–5.4 gigatonnes of CO₂-equivalent per year across power, food, and mobility, far exceeding its energy footprint.</w:t>
      </w:r>
    </w:p>
    <w:p w:rsidR="00000000" w:rsidDel="00000000" w:rsidP="00000000" w:rsidRDefault="00000000" w:rsidRPr="00000000" w14:paraId="00000014">
      <w:pPr>
        <w:spacing w:after="240" w:before="240" w:line="276.0005454545455" w:lineRule="auto"/>
        <w:rPr>
          <w:sz w:val="16"/>
          <w:szCs w:val="16"/>
        </w:rPr>
      </w:pPr>
      <w:r w:rsidDel="00000000" w:rsidR="00000000" w:rsidRPr="00000000">
        <w:rPr>
          <w:b w:val="1"/>
          <w:sz w:val="24"/>
          <w:szCs w:val="24"/>
          <w:u w:val="single"/>
          <w:rtl w:val="0"/>
        </w:rPr>
        <w:t xml:space="preserve">Stern et al. 25</w:t>
      </w:r>
      <w:r w:rsidDel="00000000" w:rsidR="00000000" w:rsidRPr="00000000">
        <w:rPr>
          <w:sz w:val="24"/>
          <w:szCs w:val="24"/>
          <w:rtl w:val="0"/>
        </w:rPr>
        <w:t xml:space="preserve"> </w:t>
      </w:r>
      <w:r w:rsidDel="00000000" w:rsidR="00000000" w:rsidRPr="00000000">
        <w:rPr>
          <w:sz w:val="16"/>
          <w:szCs w:val="16"/>
          <w:rtl w:val="0"/>
        </w:rPr>
        <w:t xml:space="preserve">[Nicholas Stern (IG Patel Professor of Economics &amp; Government, LSE; former Chief Economist, World Bank), Cameron Hepburn, Jan C. Minx, et al., </w:t>
      </w:r>
      <w:r w:rsidDel="00000000" w:rsidR="00000000" w:rsidRPr="00000000">
        <w:rPr>
          <w:i w:val="1"/>
          <w:sz w:val="16"/>
          <w:szCs w:val="16"/>
          <w:rtl w:val="0"/>
        </w:rPr>
        <w:t xml:space="preserve">“Green and Intelligent: The Role of AI in the Climate Transition,”</w:t>
      </w:r>
      <w:r w:rsidDel="00000000" w:rsidR="00000000" w:rsidRPr="00000000">
        <w:rPr>
          <w:sz w:val="16"/>
          <w:szCs w:val="16"/>
          <w:rtl w:val="0"/>
        </w:rPr>
        <w:t xml:space="preserve"> </w:t>
      </w:r>
      <w:r w:rsidDel="00000000" w:rsidR="00000000" w:rsidRPr="00000000">
        <w:rPr>
          <w:i w:val="1"/>
          <w:sz w:val="16"/>
          <w:szCs w:val="16"/>
          <w:rtl w:val="0"/>
        </w:rPr>
        <w:t xml:space="preserve">npj Climate Action</w:t>
      </w:r>
      <w:r w:rsidDel="00000000" w:rsidR="00000000" w:rsidRPr="00000000">
        <w:rPr>
          <w:sz w:val="16"/>
          <w:szCs w:val="16"/>
          <w:rtl w:val="0"/>
        </w:rPr>
        <w:t xml:space="preserve"> 4, Article 56, 23 June 2025, pp. 1-18. Accessed 24 June 2025. https://www.nature.com/articles/s44168-025-00252-3] // Isegora</w:t>
      </w:r>
    </w:p>
    <w:p w:rsidR="00000000" w:rsidDel="00000000" w:rsidP="00000000" w:rsidRDefault="00000000" w:rsidRPr="00000000" w14:paraId="00000015">
      <w:pPr>
        <w:spacing w:after="240" w:before="240" w:line="276.0005454545455" w:lineRule="auto"/>
        <w:rPr>
          <w:sz w:val="16"/>
          <w:szCs w:val="16"/>
        </w:rPr>
      </w:pPr>
      <w:r w:rsidDel="00000000" w:rsidR="00000000" w:rsidRPr="00000000">
        <w:rPr>
          <w:sz w:val="24"/>
          <w:szCs w:val="24"/>
          <w:u w:val="single"/>
          <w:rtl w:val="0"/>
        </w:rPr>
        <w:t xml:space="preserve">The potential for AI to contribute to emissions reductions is substantial.</w:t>
      </w:r>
      <w:r w:rsidDel="00000000" w:rsidR="00000000" w:rsidRPr="00000000">
        <w:rPr>
          <w:sz w:val="24"/>
          <w:szCs w:val="24"/>
          <w:rtl w:val="0"/>
        </w:rPr>
        <w:t xml:space="preserve"> </w:t>
      </w:r>
      <w:r w:rsidDel="00000000" w:rsidR="00000000" w:rsidRPr="00000000">
        <w:rPr>
          <w:sz w:val="16"/>
          <w:szCs w:val="16"/>
          <w:rtl w:val="0"/>
        </w:rPr>
        <w:t xml:space="preserve">Our analysis estimates that </w:t>
      </w:r>
      <w:r w:rsidDel="00000000" w:rsidR="00000000" w:rsidRPr="00000000">
        <w:rPr>
          <w:sz w:val="24"/>
          <w:szCs w:val="24"/>
          <w:highlight w:val="cyan"/>
          <w:rtl w:val="0"/>
        </w:rPr>
        <w:t xml:space="preserve">from these three sectors alone, </w:t>
      </w:r>
      <w:r w:rsidDel="00000000" w:rsidR="00000000" w:rsidRPr="00000000">
        <w:rPr>
          <w:b w:val="1"/>
          <w:sz w:val="24"/>
          <w:szCs w:val="24"/>
          <w:highlight w:val="cyan"/>
          <w:rtl w:val="0"/>
        </w:rPr>
        <w:t xml:space="preserve">AI could reduce global BAU emissions by</w:t>
      </w:r>
      <w:r w:rsidDel="00000000" w:rsidR="00000000" w:rsidRPr="00000000">
        <w:rPr>
          <w:sz w:val="24"/>
          <w:szCs w:val="24"/>
          <w:highlight w:val="cyan"/>
          <w:rtl w:val="0"/>
        </w:rPr>
        <w:t xml:space="preserve"> </w:t>
      </w:r>
      <w:r w:rsidDel="00000000" w:rsidR="00000000" w:rsidRPr="00000000">
        <w:rPr>
          <w:b w:val="1"/>
          <w:sz w:val="24"/>
          <w:szCs w:val="24"/>
          <w:highlight w:val="cyan"/>
          <w:rtl w:val="0"/>
        </w:rPr>
        <w:t xml:space="preserve">3.2–5.4 GtCO₂e</w:t>
      </w:r>
      <w:r w:rsidDel="00000000" w:rsidR="00000000" w:rsidRPr="00000000">
        <w:rPr>
          <w:sz w:val="24"/>
          <w:szCs w:val="24"/>
          <w:highlight w:val="cyan"/>
          <w:rtl w:val="0"/>
        </w:rPr>
        <w:t xml:space="preserve"> annually by 2035</w:t>
      </w:r>
      <w:r w:rsidDel="00000000" w:rsidR="00000000" w:rsidRPr="00000000">
        <w:rPr>
          <w:sz w:val="24"/>
          <w:szCs w:val="24"/>
          <w:rtl w:val="0"/>
        </w:rPr>
        <w:t xml:space="preserve"> (Fig. 1). </w:t>
      </w:r>
      <w:r w:rsidDel="00000000" w:rsidR="00000000" w:rsidRPr="00000000">
        <w:rPr>
          <w:sz w:val="16"/>
          <w:szCs w:val="16"/>
          <w:rtl w:val="0"/>
        </w:rPr>
        <w:t xml:space="preserve">In the Power sector,</w:t>
      </w:r>
      <w:r w:rsidDel="00000000" w:rsidR="00000000" w:rsidRPr="00000000">
        <w:rPr>
          <w:sz w:val="16"/>
          <w:szCs w:val="16"/>
          <w:u w:val="single"/>
          <w:rtl w:val="0"/>
        </w:rPr>
        <w:t xml:space="preserve"> </w:t>
      </w:r>
      <w:r w:rsidDel="00000000" w:rsidR="00000000" w:rsidRPr="00000000">
        <w:rPr>
          <w:sz w:val="24"/>
          <w:szCs w:val="24"/>
          <w:u w:val="single"/>
          <w:rtl w:val="0"/>
        </w:rPr>
        <w:t xml:space="preserve">AI can improve the efficiency of renewable energy systems by optimising grid management and increasing the load factor of solar PV and wind</w:t>
      </w:r>
      <w:r w:rsidDel="00000000" w:rsidR="00000000" w:rsidRPr="00000000">
        <w:rPr>
          <w:sz w:val="24"/>
          <w:szCs w:val="24"/>
          <w:rtl w:val="0"/>
        </w:rPr>
        <w:t xml:space="preserve"> </w:t>
      </w:r>
      <w:r w:rsidDel="00000000" w:rsidR="00000000" w:rsidRPr="00000000">
        <w:rPr>
          <w:sz w:val="16"/>
          <w:szCs w:val="16"/>
          <w:rtl w:val="0"/>
        </w:rPr>
        <w:t xml:space="preserve">by up to 20%. By doing so, </w:t>
      </w:r>
      <w:r w:rsidDel="00000000" w:rsidR="00000000" w:rsidRPr="00000000">
        <w:rPr>
          <w:sz w:val="24"/>
          <w:szCs w:val="24"/>
          <w:u w:val="single"/>
          <w:rtl w:val="0"/>
        </w:rPr>
        <w:t xml:space="preserve">it could reduce emissions by 1.8 GtCO₂e per year by 2035</w:t>
      </w:r>
      <w:r w:rsidDel="00000000" w:rsidR="00000000" w:rsidRPr="00000000">
        <w:rPr>
          <w:sz w:val="24"/>
          <w:szCs w:val="24"/>
          <w:rtl w:val="0"/>
        </w:rPr>
        <w:t xml:space="preserve">. </w:t>
      </w:r>
      <w:r w:rsidDel="00000000" w:rsidR="00000000" w:rsidRPr="00000000">
        <w:rPr>
          <w:sz w:val="16"/>
          <w:szCs w:val="16"/>
          <w:rtl w:val="0"/>
        </w:rPr>
        <w:t xml:space="preserve">AI’s impact on adoption rates of solar PV and wind is expected to be minimal given how strong their affordability and attractiveness already 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keepNext w:val="0"/>
        <w:keepLines w:val="0"/>
        <w:spacing w:after="80" w:before="280" w:line="301.09090909090907" w:lineRule="auto"/>
        <w:rPr>
          <w:sz w:val="24"/>
          <w:szCs w:val="24"/>
        </w:rPr>
      </w:pPr>
      <w:bookmarkStart w:colFirst="0" w:colLast="0" w:name="_heading=h.otj8orj2cdun" w:id="5"/>
      <w:bookmarkEnd w:id="5"/>
      <w:r w:rsidDel="00000000" w:rsidR="00000000" w:rsidRPr="00000000">
        <w:rPr>
          <w:sz w:val="28"/>
          <w:szCs w:val="28"/>
          <w:rtl w:val="0"/>
        </w:rPr>
        <w:t xml:space="preserve">AI checks climate change.</w:t>
      </w:r>
      <w:r w:rsidDel="00000000" w:rsidR="00000000" w:rsidRPr="00000000">
        <w:rPr>
          <w:rtl w:val="0"/>
        </w:rPr>
      </w:r>
    </w:p>
    <w:p w:rsidR="00000000" w:rsidDel="00000000" w:rsidP="00000000" w:rsidRDefault="00000000" w:rsidRPr="00000000" w14:paraId="00000018">
      <w:pPr>
        <w:spacing w:line="276" w:lineRule="auto"/>
        <w:rPr>
          <w:sz w:val="18"/>
          <w:szCs w:val="18"/>
        </w:rPr>
      </w:pPr>
      <w:r w:rsidDel="00000000" w:rsidR="00000000" w:rsidRPr="00000000">
        <w:rPr>
          <w:b w:val="1"/>
          <w:sz w:val="26"/>
          <w:szCs w:val="26"/>
          <w:u w:val="single"/>
          <w:rtl w:val="0"/>
        </w:rPr>
        <w:t xml:space="preserve">PhD Cowls et al. ‘21</w:t>
      </w:r>
      <w:r w:rsidDel="00000000" w:rsidR="00000000" w:rsidRPr="00000000">
        <w:rPr>
          <w:b w:val="1"/>
          <w:sz w:val="24"/>
          <w:szCs w:val="24"/>
          <w:rtl w:val="0"/>
        </w:rPr>
        <w:t xml:space="preserve"> </w:t>
      </w:r>
      <w:r w:rsidDel="00000000" w:rsidR="00000000" w:rsidRPr="00000000">
        <w:rPr>
          <w:sz w:val="18"/>
          <w:szCs w:val="18"/>
          <w:rtl w:val="0"/>
        </w:rPr>
        <w:t xml:space="preserve">[Josh Cowls PhD of the Oxford Internet Institute, University of Oxford, et al. ‘21, “The AI gambit: leveraging artificial intelligence to combat climate change—opportunities, challenges, and recommendations,” October 18, 2021,</w:t>
      </w:r>
      <w:hyperlink r:id="rId7">
        <w:r w:rsidDel="00000000" w:rsidR="00000000" w:rsidRPr="00000000">
          <w:rPr>
            <w:sz w:val="18"/>
            <w:szCs w:val="18"/>
            <w:rtl w:val="0"/>
          </w:rPr>
          <w:t xml:space="preserve"> </w:t>
        </w:r>
      </w:hyperlink>
      <w:hyperlink r:id="rId8">
        <w:r w:rsidDel="00000000" w:rsidR="00000000" w:rsidRPr="00000000">
          <w:rPr>
            <w:color w:val="1155cc"/>
            <w:sz w:val="18"/>
            <w:szCs w:val="18"/>
            <w:u w:val="single"/>
            <w:rtl w:val="0"/>
          </w:rPr>
          <w:t xml:space="preserve">https://pmc.ncbi.nlm.nih.gov/articles/PMC8522259/#Abs1</w:t>
        </w:r>
      </w:hyperlink>
      <w:r w:rsidDel="00000000" w:rsidR="00000000" w:rsidRPr="00000000">
        <w:rPr>
          <w:sz w:val="18"/>
          <w:szCs w:val="18"/>
          <w:rtl w:val="0"/>
        </w:rPr>
        <w:t xml:space="preserve">]; Accessed 5 July 2025 // Isegora</w:t>
      </w:r>
    </w:p>
    <w:p w:rsidR="00000000" w:rsidDel="00000000" w:rsidP="00000000" w:rsidRDefault="00000000" w:rsidRPr="00000000" w14:paraId="00000019">
      <w:pPr>
        <w:spacing w:line="301.09090909090907" w:lineRule="auto"/>
        <w:rPr>
          <w:sz w:val="24"/>
          <w:szCs w:val="24"/>
          <w:highlight w:val="cyan"/>
          <w:u w:val="single"/>
        </w:rPr>
      </w:pPr>
      <w:r w:rsidDel="00000000" w:rsidR="00000000" w:rsidRPr="00000000">
        <w:rPr>
          <w:sz w:val="24"/>
          <w:szCs w:val="24"/>
          <w:highlight w:val="cyan"/>
          <w:u w:val="single"/>
          <w:rtl w:val="0"/>
        </w:rPr>
        <w:t xml:space="preserve"> </w:t>
      </w:r>
    </w:p>
    <w:p w:rsidR="00000000" w:rsidDel="00000000" w:rsidP="00000000" w:rsidRDefault="00000000" w:rsidRPr="00000000" w14:paraId="0000001A">
      <w:pPr>
        <w:spacing w:line="301.09090909090907" w:lineRule="auto"/>
        <w:rPr>
          <w:sz w:val="24"/>
          <w:szCs w:val="24"/>
          <w:u w:val="single"/>
        </w:rPr>
      </w:pPr>
      <w:r w:rsidDel="00000000" w:rsidR="00000000" w:rsidRPr="00000000">
        <w:rPr>
          <w:sz w:val="16"/>
          <w:szCs w:val="16"/>
          <w:rtl w:val="0"/>
        </w:rPr>
        <w:t xml:space="preserve">In this article, we have analysed the beneficial impact that AI can have in the fight against climate change, the ethical challenges encountered in this process, and the computational intensity that the development of AI requires, which introduces different challenges relating to energy consumption and GHG emissions. Benefits and risks are distinct yet intertwined. This is why we agree with Floridi and Nobre (2020) and see </w:t>
      </w:r>
      <w:r w:rsidDel="00000000" w:rsidR="00000000" w:rsidRPr="00000000">
        <w:rPr>
          <w:sz w:val="24"/>
          <w:szCs w:val="24"/>
          <w:u w:val="single"/>
          <w:rtl w:val="0"/>
        </w:rPr>
        <w:t xml:space="preserve">the use of AI to fight climate change as a leading example of</w:t>
      </w:r>
    </w:p>
    <w:p w:rsidR="00000000" w:rsidDel="00000000" w:rsidP="00000000" w:rsidRDefault="00000000" w:rsidRPr="00000000" w14:paraId="0000001B">
      <w:pPr>
        <w:spacing w:line="301.09090909090907" w:lineRule="auto"/>
        <w:rPr>
          <w:sz w:val="24"/>
          <w:szCs w:val="24"/>
          <w:u w:val="single"/>
        </w:rPr>
      </w:pPr>
      <w:r w:rsidDel="00000000" w:rsidR="00000000" w:rsidRPr="00000000">
        <w:rPr>
          <w:sz w:val="24"/>
          <w:szCs w:val="24"/>
          <w:u w:val="single"/>
          <w:rtl w:val="0"/>
        </w:rPr>
        <w:t xml:space="preserve"> </w:t>
      </w:r>
    </w:p>
    <w:p w:rsidR="00000000" w:rsidDel="00000000" w:rsidP="00000000" w:rsidRDefault="00000000" w:rsidRPr="00000000" w14:paraId="0000001C">
      <w:pPr>
        <w:spacing w:line="301.09090909090907" w:lineRule="auto"/>
        <w:rPr>
          <w:sz w:val="16"/>
          <w:szCs w:val="16"/>
        </w:rPr>
      </w:pPr>
      <w:r w:rsidDel="00000000" w:rsidR="00000000" w:rsidRPr="00000000">
        <w:rPr>
          <w:sz w:val="24"/>
          <w:szCs w:val="24"/>
          <w:u w:val="single"/>
          <w:rtl w:val="0"/>
        </w:rPr>
        <w:t xml:space="preserve">“a new marriage between the Green of our habitats</w:t>
      </w:r>
      <w:r w:rsidDel="00000000" w:rsidR="00000000" w:rsidRPr="00000000">
        <w:rPr>
          <w:sz w:val="16"/>
          <w:szCs w:val="16"/>
          <w:rtl w:val="0"/>
        </w:rPr>
        <w:t xml:space="preserve">—natural, synthetic and artificial, from the biosphere to the infosphere, from urban environments to economic, social, and political circumstances—</w:t>
      </w:r>
      <w:r w:rsidDel="00000000" w:rsidR="00000000" w:rsidRPr="00000000">
        <w:rPr>
          <w:sz w:val="24"/>
          <w:szCs w:val="24"/>
          <w:u w:val="single"/>
          <w:rtl w:val="0"/>
        </w:rPr>
        <w:t xml:space="preserve">and the Blue of our digital technologies</w:t>
      </w:r>
      <w:r w:rsidDel="00000000" w:rsidR="00000000" w:rsidRPr="00000000">
        <w:rPr>
          <w:sz w:val="16"/>
          <w:szCs w:val="16"/>
          <w:rtl w:val="0"/>
        </w:rPr>
        <w:t xml:space="preserve">, from mobile phones to social platforms, from the Internet of Things to Big Data, from AI to future quantum computing”.</w:t>
      </w:r>
    </w:p>
    <w:p w:rsidR="00000000" w:rsidDel="00000000" w:rsidP="00000000" w:rsidRDefault="00000000" w:rsidRPr="00000000" w14:paraId="0000001D">
      <w:pPr>
        <w:spacing w:line="301.09090909090907" w:lineRule="auto"/>
        <w:rPr>
          <w:sz w:val="24"/>
          <w:szCs w:val="24"/>
          <w:highlight w:val="cyan"/>
          <w:u w:val="single"/>
        </w:rPr>
      </w:pPr>
      <w:r w:rsidDel="00000000" w:rsidR="00000000" w:rsidRPr="00000000">
        <w:rPr>
          <w:sz w:val="24"/>
          <w:szCs w:val="24"/>
          <w:highlight w:val="cyan"/>
          <w:u w:val="single"/>
          <w:rtl w:val="0"/>
        </w:rPr>
        <w:t xml:space="preserve"> </w:t>
      </w:r>
    </w:p>
    <w:p w:rsidR="00000000" w:rsidDel="00000000" w:rsidP="00000000" w:rsidRDefault="00000000" w:rsidRPr="00000000" w14:paraId="0000001E">
      <w:pPr>
        <w:spacing w:line="301.09090909090907" w:lineRule="auto"/>
        <w:rPr>
          <w:sz w:val="16"/>
          <w:szCs w:val="16"/>
        </w:rPr>
      </w:pPr>
      <w:r w:rsidDel="00000000" w:rsidR="00000000" w:rsidRPr="00000000">
        <w:rPr>
          <w:sz w:val="16"/>
          <w:szCs w:val="16"/>
          <w:rtl w:val="0"/>
        </w:rPr>
        <w:t xml:space="preserve">In this marriage, </w:t>
      </w:r>
      <w:r w:rsidDel="00000000" w:rsidR="00000000" w:rsidRPr="00000000">
        <w:rPr>
          <w:sz w:val="24"/>
          <w:szCs w:val="24"/>
          <w:u w:val="single"/>
          <w:rtl w:val="0"/>
        </w:rPr>
        <w:t xml:space="preserve">some risks, such as AI’s carbon footprint, are not entirely avoidable, but they can certainly be minimised, to deliver the best strategies against climate change. </w:t>
      </w:r>
      <w:r w:rsidDel="00000000" w:rsidR="00000000" w:rsidRPr="00000000">
        <w:rPr>
          <w:sz w:val="16"/>
          <w:szCs w:val="16"/>
          <w:rtl w:val="0"/>
        </w:rPr>
        <w:t xml:space="preserve">This is why the right policies are key to harness the opportunities while ensuring that the risks are adequately assessed and minimised, as much as possible.</w:t>
      </w:r>
    </w:p>
    <w:p w:rsidR="00000000" w:rsidDel="00000000" w:rsidP="00000000" w:rsidRDefault="00000000" w:rsidRPr="00000000" w14:paraId="0000001F">
      <w:pPr>
        <w:spacing w:line="301.09090909090907" w:lineRule="auto"/>
        <w:rPr>
          <w:sz w:val="24"/>
          <w:szCs w:val="24"/>
          <w:highlight w:val="cyan"/>
          <w:u w:val="single"/>
        </w:rPr>
      </w:pPr>
      <w:r w:rsidDel="00000000" w:rsidR="00000000" w:rsidRPr="00000000">
        <w:rPr>
          <w:sz w:val="24"/>
          <w:szCs w:val="24"/>
          <w:highlight w:val="cyan"/>
          <w:u w:val="single"/>
          <w:rtl w:val="0"/>
        </w:rPr>
        <w:t xml:space="preserve"> </w:t>
      </w:r>
    </w:p>
    <w:p w:rsidR="00000000" w:rsidDel="00000000" w:rsidP="00000000" w:rsidRDefault="00000000" w:rsidRPr="00000000" w14:paraId="00000020">
      <w:pPr>
        <w:spacing w:line="301.09090909090907" w:lineRule="auto"/>
        <w:rPr>
          <w:sz w:val="24"/>
          <w:szCs w:val="24"/>
          <w:highlight w:val="cyan"/>
          <w:u w:val="single"/>
        </w:rPr>
      </w:pPr>
      <w:r w:rsidDel="00000000" w:rsidR="00000000" w:rsidRPr="00000000">
        <w:rPr>
          <w:sz w:val="24"/>
          <w:szCs w:val="24"/>
          <w:highlight w:val="cyan"/>
          <w:u w:val="single"/>
          <w:rtl w:val="0"/>
        </w:rPr>
        <w:t xml:space="preserve">Harnessing the positive and mitigating the negative impact of AI on the environment is achievable</w:t>
      </w:r>
      <w:r w:rsidDel="00000000" w:rsidR="00000000" w:rsidRPr="00000000">
        <w:rPr>
          <w:sz w:val="16"/>
          <w:szCs w:val="16"/>
          <w:rtl w:val="0"/>
        </w:rPr>
        <w:t xml:space="preserve"> with the support of robust policymaking and of key stakeholders. The formula of “Green &amp; Blue” has never been more central to the European policymaking agenda, and the Recommendations outlined in this article can serve as a “Green &amp; Blue-print” for a more sustainable society and a healthier biosphere. By shedding light on </w:t>
      </w:r>
      <w:r w:rsidDel="00000000" w:rsidR="00000000" w:rsidRPr="00000000">
        <w:rPr>
          <w:sz w:val="24"/>
          <w:szCs w:val="24"/>
          <w:highlight w:val="cyan"/>
          <w:u w:val="single"/>
          <w:rtl w:val="0"/>
        </w:rPr>
        <w:t xml:space="preserve">the use of AI to counter climate change</w:t>
      </w:r>
      <w:r w:rsidDel="00000000" w:rsidR="00000000" w:rsidRPr="00000000">
        <w:rPr>
          <w:sz w:val="16"/>
          <w:szCs w:val="16"/>
          <w:rtl w:val="0"/>
        </w:rPr>
        <w:t xml:space="preserve"> and offering recommendations to make this use of AI ethically sound and sustainable, this article aims to inform EU policy strategy for the ‘twin transitions’ and help ensure that the marriage between the Green and the Blue is a success that </w:t>
      </w:r>
      <w:r w:rsidDel="00000000" w:rsidR="00000000" w:rsidRPr="00000000">
        <w:rPr>
          <w:sz w:val="24"/>
          <w:szCs w:val="24"/>
          <w:highlight w:val="cyan"/>
          <w:u w:val="single"/>
          <w:rtl w:val="0"/>
        </w:rPr>
        <w:t xml:space="preserve">leads to a better society and a healthier planet.</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mc.ncbi.nlm.nih.gov/articles/PMC8522259/#Abs1" TargetMode="External"/><Relationship Id="rId8" Type="http://schemas.openxmlformats.org/officeDocument/2006/relationships/hyperlink" Target="https://pmc.ncbi.nlm.nih.gov/articles/PMC8522259/#Ab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7f5xLf+DwEig5Mhco0JNyHGt6g==">CgMxLjAyDmguN2ZtZXhtbGU3OTRrMg1oLmVwM2llb2lsbWV6Mg1oLmZjMWYyYjN0MTAzMg5oLmQwanM3dnZoNTRoYzIOaC5seG1wZmp0YXhrYnkyDmgub3RqOG9yajJjZHVuOAByITFLQlY2ZVdjTEZZbTQxcDQxV09CV0QyZjJzT1JhQ2t6cA==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