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92E77" w14:textId="7A662D2E" w:rsidR="005D388F" w:rsidRDefault="00CB5A70" w:rsidP="00CB5A70">
      <w:pPr>
        <w:pStyle w:val="Heading1"/>
      </w:pPr>
      <w:r>
        <w:t>AT Government spending Crowds out Investment</w:t>
      </w:r>
    </w:p>
    <w:p w14:paraId="6AB87088" w14:textId="77777777" w:rsidR="005A76D8" w:rsidRDefault="005A76D8" w:rsidP="005A76D8"/>
    <w:p w14:paraId="40C2016D" w14:textId="5CAF5C7F" w:rsidR="005A76D8" w:rsidRDefault="00CB5A70" w:rsidP="005A76D8">
      <w:pPr>
        <w:pStyle w:val="Heading2"/>
      </w:pPr>
      <w:r>
        <w:t>Efficiency</w:t>
      </w:r>
    </w:p>
    <w:p w14:paraId="6DBD7B47" w14:textId="77777777" w:rsidR="005A76D8" w:rsidRDefault="005A76D8" w:rsidP="005A76D8"/>
    <w:p w14:paraId="192F33FA" w14:textId="635D4A93" w:rsidR="005A76D8" w:rsidRDefault="00CB5A70" w:rsidP="005A76D8">
      <w:pPr>
        <w:pStyle w:val="Heading3"/>
      </w:pPr>
      <w:r>
        <w:t>Absorbs Risks</w:t>
      </w:r>
    </w:p>
    <w:p w14:paraId="400B7C0C" w14:textId="77777777" w:rsidR="00CB5A70" w:rsidRDefault="00CB5A70" w:rsidP="00CB5A70"/>
    <w:p w14:paraId="36835D6A" w14:textId="77777777" w:rsidR="00CB5A70" w:rsidRPr="00CB5A70" w:rsidRDefault="00CB5A70" w:rsidP="00CB5A70">
      <w:pPr>
        <w:pStyle w:val="Heading4"/>
        <w:rPr>
          <w:rFonts w:eastAsia="Calibri"/>
        </w:rPr>
      </w:pPr>
      <w:r w:rsidRPr="00CB5A70">
        <w:rPr>
          <w:rFonts w:eastAsia="Calibri"/>
        </w:rPr>
        <w:t>Government spending can absorb risk the private sector usually could not, thus facilitating private innovation.</w:t>
      </w:r>
    </w:p>
    <w:p w14:paraId="647EB628" w14:textId="5E96C0CC" w:rsidR="00CB5A70" w:rsidRDefault="00CB5A70" w:rsidP="00CB5A70">
      <w:pPr>
        <w:rPr>
          <w:rFonts w:eastAsia="Calibri"/>
          <w:sz w:val="16"/>
          <w:szCs w:val="16"/>
        </w:rPr>
      </w:pPr>
      <w:r>
        <w:rPr>
          <w:rFonts w:eastAsia="Calibri"/>
          <w:b/>
          <w:sz w:val="24"/>
          <w:szCs w:val="24"/>
          <w:u w:val="single"/>
        </w:rPr>
        <w:t xml:space="preserve">Hajj 24 </w:t>
      </w:r>
      <w:r>
        <w:rPr>
          <w:rFonts w:eastAsia="Calibri"/>
          <w:sz w:val="16"/>
          <w:szCs w:val="16"/>
        </w:rPr>
        <w:t>[</w:t>
      </w:r>
      <w:r>
        <w:rPr>
          <w:rFonts w:eastAsia="Calibri"/>
          <w:sz w:val="16"/>
          <w:szCs w:val="16"/>
          <w:shd w:val="clear" w:color="auto" w:fill="F8F9FA"/>
        </w:rPr>
        <w:t xml:space="preserve">Hajj, Sireen, </w:t>
      </w:r>
      <w:r>
        <w:rPr>
          <w:sz w:val="16"/>
          <w:szCs w:val="16"/>
          <w:highlight w:val="white"/>
        </w:rPr>
        <w:t>MBA from Fordham University and BA in Sociology and Anthropology from the American University of Beirut</w:t>
      </w:r>
      <w:r>
        <w:rPr>
          <w:rFonts w:eastAsia="Calibri"/>
          <w:sz w:val="16"/>
          <w:szCs w:val="16"/>
          <w:shd w:val="clear" w:color="auto" w:fill="F8F9FA"/>
        </w:rPr>
        <w:t xml:space="preserve">. “The Power of Public Policy: Catalyzing Private Investment in the Green Energy Transition.” 19 9 2024, https://www.ussif.org/news/insights/the-power-of-public-policy-catalyzing-private-investment-in-the-green-energy. Accessed 25 7 2025. // </w:t>
      </w:r>
      <w:proofErr w:type="spellStart"/>
      <w:r>
        <w:rPr>
          <w:rFonts w:eastAsia="Calibri"/>
          <w:sz w:val="16"/>
          <w:szCs w:val="16"/>
          <w:shd w:val="clear" w:color="auto" w:fill="F8F9FA"/>
        </w:rPr>
        <w:t>Isegora</w:t>
      </w:r>
      <w:proofErr w:type="spellEnd"/>
      <w:r>
        <w:rPr>
          <w:rFonts w:eastAsia="Calibri"/>
          <w:sz w:val="16"/>
          <w:szCs w:val="16"/>
          <w:shd w:val="clear" w:color="auto" w:fill="F8F9FA"/>
        </w:rPr>
        <w:t>]</w:t>
      </w:r>
    </w:p>
    <w:p w14:paraId="739DC926" w14:textId="5D96004F" w:rsidR="00CB5A70" w:rsidRDefault="00CB5A70" w:rsidP="00CB5A70">
      <w:pPr>
        <w:pBdr>
          <w:top w:val="none" w:sz="0" w:space="0" w:color="000000"/>
          <w:left w:val="none" w:sz="0" w:space="0" w:color="000000"/>
          <w:bottom w:val="none" w:sz="0" w:space="0" w:color="000000"/>
          <w:right w:val="none" w:sz="0" w:space="0" w:color="000000"/>
          <w:between w:val="none" w:sz="0" w:space="0" w:color="000000"/>
        </w:pBdr>
        <w:shd w:val="clear" w:color="auto" w:fill="FFFFFF"/>
        <w:rPr>
          <w:rFonts w:eastAsia="Calibri"/>
          <w:sz w:val="24"/>
          <w:szCs w:val="24"/>
          <w:u w:val="single"/>
        </w:rPr>
      </w:pPr>
      <w:bookmarkStart w:id="0" w:name="_x0nio9lt52e1" w:colFirst="0" w:colLast="0"/>
      <w:bookmarkEnd w:id="0"/>
      <w:r>
        <w:rPr>
          <w:color w:val="000000"/>
          <w:sz w:val="24"/>
          <w:szCs w:val="24"/>
          <w:highlight w:val="cyan"/>
          <w:u w:val="single"/>
        </w:rPr>
        <w:t>Public spending can</w:t>
      </w:r>
      <w:r>
        <w:rPr>
          <w:color w:val="000000"/>
          <w:sz w:val="24"/>
          <w:szCs w:val="24"/>
        </w:rPr>
        <w:t xml:space="preserve"> </w:t>
      </w:r>
      <w:r>
        <w:rPr>
          <w:color w:val="000000"/>
          <w:sz w:val="16"/>
          <w:szCs w:val="16"/>
        </w:rPr>
        <w:t>create economies of scale and</w:t>
      </w:r>
      <w:r>
        <w:rPr>
          <w:color w:val="000000"/>
          <w:sz w:val="24"/>
          <w:szCs w:val="24"/>
        </w:rPr>
        <w:t xml:space="preserve"> </w:t>
      </w:r>
      <w:r>
        <w:rPr>
          <w:color w:val="000000"/>
          <w:sz w:val="24"/>
          <w:szCs w:val="24"/>
          <w:highlight w:val="cyan"/>
          <w:u w:val="single"/>
        </w:rPr>
        <w:t>fill financing gaps.</w:t>
      </w:r>
      <w:r>
        <w:rPr>
          <w:b/>
          <w:color w:val="000000"/>
          <w:sz w:val="24"/>
          <w:szCs w:val="24"/>
          <w:highlight w:val="cyan"/>
          <w:u w:val="single"/>
        </w:rPr>
        <w:t xml:space="preserve"> </w:t>
      </w:r>
      <w:r>
        <w:rPr>
          <w:rFonts w:eastAsia="Calibri"/>
          <w:sz w:val="24"/>
          <w:szCs w:val="24"/>
          <w:highlight w:val="cyan"/>
          <w:u w:val="single"/>
        </w:rPr>
        <w:t>Spending on new technologies is a challenge for private investment, since private investors have a goal of being profitable in the early stages.</w:t>
      </w:r>
      <w:r>
        <w:rPr>
          <w:rFonts w:eastAsia="Calibri"/>
          <w:sz w:val="24"/>
          <w:szCs w:val="24"/>
        </w:rPr>
        <w:t xml:space="preserve"> </w:t>
      </w:r>
      <w:r>
        <w:rPr>
          <w:rFonts w:eastAsia="Calibri"/>
          <w:sz w:val="16"/>
          <w:szCs w:val="16"/>
        </w:rPr>
        <w:t>The</w:t>
      </w:r>
      <w:r>
        <w:rPr>
          <w:rFonts w:eastAsia="Calibri"/>
          <w:sz w:val="24"/>
          <w:szCs w:val="24"/>
        </w:rPr>
        <w:t xml:space="preserve"> </w:t>
      </w:r>
      <w:r>
        <w:rPr>
          <w:rFonts w:eastAsia="Calibri"/>
          <w:sz w:val="24"/>
          <w:szCs w:val="24"/>
          <w:highlight w:val="cyan"/>
          <w:u w:val="single"/>
        </w:rPr>
        <w:t>long lead times</w:t>
      </w:r>
      <w:r>
        <w:rPr>
          <w:rFonts w:eastAsia="Calibri"/>
          <w:sz w:val="24"/>
          <w:szCs w:val="24"/>
        </w:rPr>
        <w:t xml:space="preserve"> </w:t>
      </w:r>
      <w:r>
        <w:rPr>
          <w:rFonts w:eastAsia="Calibri"/>
          <w:sz w:val="16"/>
          <w:szCs w:val="16"/>
        </w:rPr>
        <w:t>associated with scaling new technologies</w:t>
      </w:r>
      <w:r>
        <w:rPr>
          <w:rFonts w:eastAsia="Calibri"/>
          <w:sz w:val="24"/>
          <w:szCs w:val="24"/>
        </w:rPr>
        <w:t xml:space="preserve"> </w:t>
      </w:r>
      <w:r>
        <w:rPr>
          <w:rFonts w:eastAsia="Calibri"/>
          <w:sz w:val="24"/>
          <w:szCs w:val="24"/>
          <w:highlight w:val="cyan"/>
          <w:u w:val="single"/>
        </w:rPr>
        <w:t>are often a better fit</w:t>
      </w:r>
      <w:r>
        <w:rPr>
          <w:rFonts w:eastAsia="Calibri"/>
          <w:sz w:val="24"/>
          <w:szCs w:val="24"/>
          <w:highlight w:val="cyan"/>
          <w:u w:val="single"/>
        </w:rPr>
        <w:t xml:space="preserve"> </w:t>
      </w:r>
      <w:r>
        <w:rPr>
          <w:rFonts w:eastAsia="Calibri"/>
          <w:sz w:val="24"/>
          <w:szCs w:val="24"/>
          <w:highlight w:val="cyan"/>
          <w:u w:val="single"/>
        </w:rPr>
        <w:t>for government programs that take a long view on delivering return for public benefit.</w:t>
      </w:r>
      <w:r>
        <w:rPr>
          <w:rFonts w:eastAsia="Calibri"/>
          <w:sz w:val="24"/>
          <w:szCs w:val="24"/>
        </w:rPr>
        <w:t xml:space="preserve"> </w:t>
      </w:r>
      <w:r>
        <w:rPr>
          <w:rFonts w:eastAsia="Calibri"/>
          <w:sz w:val="16"/>
          <w:szCs w:val="16"/>
        </w:rPr>
        <w:t xml:space="preserve">The Department of Energy’s Loan Program Office is a great example of how government funds can support the development of first-of-its-kind projects. One of the categories of the </w:t>
      </w:r>
      <w:hyperlink r:id="rId8">
        <w:r>
          <w:rPr>
            <w:rFonts w:eastAsia="Calibri"/>
            <w:color w:val="1155CC"/>
            <w:sz w:val="16"/>
            <w:szCs w:val="16"/>
            <w:u w:val="single"/>
          </w:rPr>
          <w:t>Title 17 Clean Energy program</w:t>
        </w:r>
      </w:hyperlink>
      <w:r>
        <w:rPr>
          <w:rFonts w:eastAsia="Calibri"/>
          <w:sz w:val="16"/>
          <w:szCs w:val="16"/>
        </w:rPr>
        <w:t xml:space="preserve"> is financing for projects that are “technically proven but not yet widely commercialized in the United States”. To date, Title 17 has funded 34 projects across the US with a total of $36.5M. </w:t>
      </w:r>
      <w:hyperlink r:id="rId9">
        <w:r>
          <w:rPr>
            <w:rFonts w:eastAsia="Calibri"/>
            <w:color w:val="1155CC"/>
            <w:sz w:val="16"/>
            <w:szCs w:val="16"/>
            <w:u w:val="single"/>
          </w:rPr>
          <w:t>The projects</w:t>
        </w:r>
      </w:hyperlink>
      <w:r>
        <w:rPr>
          <w:rFonts w:eastAsia="Calibri"/>
          <w:sz w:val="16"/>
          <w:szCs w:val="16"/>
        </w:rPr>
        <w:t xml:space="preserve"> include biofuels, clean energy, virtual power plans and several others.</w:t>
      </w:r>
      <w:r>
        <w:rPr>
          <w:rFonts w:eastAsia="Calibri"/>
          <w:sz w:val="16"/>
          <w:szCs w:val="16"/>
        </w:rPr>
        <w:t xml:space="preserve"> </w:t>
      </w:r>
      <w:bookmarkStart w:id="1" w:name="_jwz80c66d3f2" w:colFirst="0" w:colLast="0"/>
      <w:bookmarkEnd w:id="1"/>
      <w:r>
        <w:rPr>
          <w:color w:val="000000"/>
          <w:sz w:val="24"/>
          <w:szCs w:val="24"/>
          <w:highlight w:val="cyan"/>
          <w:u w:val="single"/>
        </w:rPr>
        <w:t>Public funds can incentivize private investment by reducing</w:t>
      </w:r>
      <w:r>
        <w:rPr>
          <w:color w:val="000000"/>
          <w:sz w:val="24"/>
          <w:szCs w:val="24"/>
        </w:rPr>
        <w:t xml:space="preserve"> </w:t>
      </w:r>
      <w:r>
        <w:rPr>
          <w:color w:val="000000"/>
          <w:sz w:val="16"/>
          <w:szCs w:val="16"/>
        </w:rPr>
        <w:t>some of the</w:t>
      </w:r>
      <w:r>
        <w:rPr>
          <w:color w:val="000000"/>
          <w:sz w:val="24"/>
          <w:szCs w:val="24"/>
        </w:rPr>
        <w:t xml:space="preserve"> </w:t>
      </w:r>
      <w:r>
        <w:rPr>
          <w:color w:val="000000"/>
          <w:sz w:val="24"/>
          <w:szCs w:val="24"/>
          <w:highlight w:val="cyan"/>
          <w:u w:val="single"/>
        </w:rPr>
        <w:t>risk around an innovative product or a new market.</w:t>
      </w:r>
      <w:r>
        <w:rPr>
          <w:b/>
          <w:color w:val="000000"/>
          <w:sz w:val="24"/>
          <w:szCs w:val="24"/>
          <w:highlight w:val="cyan"/>
          <w:u w:val="single"/>
        </w:rPr>
        <w:t xml:space="preserve"> </w:t>
      </w:r>
      <w:r>
        <w:rPr>
          <w:rFonts w:eastAsia="Calibri"/>
          <w:sz w:val="16"/>
          <w:szCs w:val="16"/>
        </w:rPr>
        <w:t>The</w:t>
      </w:r>
      <w:r>
        <w:rPr>
          <w:rFonts w:eastAsia="Calibri"/>
          <w:sz w:val="24"/>
          <w:szCs w:val="24"/>
        </w:rPr>
        <w:t xml:space="preserve"> </w:t>
      </w:r>
      <w:r>
        <w:rPr>
          <w:rFonts w:eastAsia="Calibri"/>
          <w:sz w:val="24"/>
          <w:szCs w:val="24"/>
          <w:highlight w:val="cyan"/>
          <w:u w:val="single"/>
        </w:rPr>
        <w:t>Korea</w:t>
      </w:r>
      <w:r>
        <w:rPr>
          <w:rFonts w:eastAsia="Calibri"/>
          <w:sz w:val="16"/>
          <w:szCs w:val="16"/>
        </w:rPr>
        <w:t>n government</w:t>
      </w:r>
      <w:r>
        <w:rPr>
          <w:rFonts w:eastAsia="Calibri"/>
          <w:sz w:val="24"/>
          <w:szCs w:val="24"/>
        </w:rPr>
        <w:t xml:space="preserve"> </w:t>
      </w:r>
      <w:r>
        <w:rPr>
          <w:rFonts w:eastAsia="Calibri"/>
          <w:sz w:val="24"/>
          <w:szCs w:val="24"/>
          <w:highlight w:val="cyan"/>
          <w:u w:val="single"/>
        </w:rPr>
        <w:t>wanted to incentivize its</w:t>
      </w:r>
      <w:r>
        <w:rPr>
          <w:rFonts w:eastAsia="Calibri"/>
          <w:sz w:val="24"/>
          <w:szCs w:val="24"/>
          <w:u w:val="single"/>
        </w:rPr>
        <w:t xml:space="preserve"> </w:t>
      </w:r>
      <w:r>
        <w:rPr>
          <w:rFonts w:eastAsia="Calibri"/>
          <w:sz w:val="16"/>
          <w:szCs w:val="16"/>
          <w:u w:val="single"/>
        </w:rPr>
        <w:t>local</w:t>
      </w:r>
      <w:r>
        <w:rPr>
          <w:rFonts w:eastAsia="Calibri"/>
          <w:sz w:val="24"/>
          <w:szCs w:val="24"/>
          <w:u w:val="single"/>
        </w:rPr>
        <w:t xml:space="preserve"> </w:t>
      </w:r>
      <w:r>
        <w:rPr>
          <w:rFonts w:eastAsia="Calibri"/>
          <w:sz w:val="24"/>
          <w:szCs w:val="24"/>
          <w:highlight w:val="cyan"/>
          <w:u w:val="single"/>
        </w:rPr>
        <w:t>companies to utilize clean ammonia (as opposed to ammonia produced by coal).</w:t>
      </w:r>
      <w:r>
        <w:rPr>
          <w:rFonts w:eastAsia="Calibri"/>
          <w:sz w:val="24"/>
          <w:szCs w:val="24"/>
        </w:rPr>
        <w:t xml:space="preserve"> </w:t>
      </w:r>
      <w:r>
        <w:rPr>
          <w:rFonts w:eastAsia="Calibri"/>
          <w:sz w:val="16"/>
          <w:szCs w:val="16"/>
        </w:rPr>
        <w:t xml:space="preserve">To achieve that, the government set out to guarantee to pay the difference between the cost to buy coal produced ammonia and the cost of clean ammonia. </w:t>
      </w:r>
      <w:r>
        <w:rPr>
          <w:rFonts w:eastAsia="Calibri"/>
          <w:sz w:val="24"/>
          <w:szCs w:val="24"/>
          <w:highlight w:val="cyan"/>
          <w:u w:val="single"/>
        </w:rPr>
        <w:t>The Korean government is doing so by contracting</w:t>
      </w:r>
      <w:r>
        <w:rPr>
          <w:rFonts w:eastAsia="Calibri"/>
          <w:sz w:val="24"/>
          <w:szCs w:val="24"/>
        </w:rPr>
        <w:t xml:space="preserve"> </w:t>
      </w:r>
      <w:r>
        <w:rPr>
          <w:rFonts w:eastAsia="Calibri"/>
          <w:sz w:val="16"/>
          <w:szCs w:val="16"/>
        </w:rPr>
        <w:t>with north</w:t>
      </w:r>
      <w:r>
        <w:rPr>
          <w:rFonts w:eastAsia="Calibri"/>
          <w:sz w:val="24"/>
          <w:szCs w:val="24"/>
        </w:rPr>
        <w:t xml:space="preserve"> </w:t>
      </w:r>
      <w:r>
        <w:rPr>
          <w:rFonts w:eastAsia="Calibri"/>
          <w:sz w:val="24"/>
          <w:szCs w:val="24"/>
          <w:highlight w:val="cyan"/>
          <w:u w:val="single"/>
        </w:rPr>
        <w:t>American companies to provide it</w:t>
      </w:r>
      <w:r>
        <w:rPr>
          <w:rFonts w:eastAsia="Calibri"/>
          <w:sz w:val="16"/>
          <w:szCs w:val="16"/>
        </w:rPr>
        <w:t>s Korean entities</w:t>
      </w:r>
      <w:r>
        <w:rPr>
          <w:rFonts w:eastAsia="Calibri"/>
          <w:sz w:val="24"/>
          <w:szCs w:val="24"/>
        </w:rPr>
        <w:t xml:space="preserve"> </w:t>
      </w:r>
      <w:r>
        <w:rPr>
          <w:rFonts w:eastAsia="Calibri"/>
          <w:sz w:val="24"/>
          <w:szCs w:val="24"/>
          <w:highlight w:val="cyan"/>
          <w:u w:val="single"/>
        </w:rPr>
        <w:t>with clean ammonia, spurring investments</w:t>
      </w:r>
      <w:r>
        <w:rPr>
          <w:rFonts w:eastAsia="Calibri"/>
          <w:sz w:val="24"/>
          <w:szCs w:val="24"/>
        </w:rPr>
        <w:t xml:space="preserve"> </w:t>
      </w:r>
      <w:r>
        <w:rPr>
          <w:rFonts w:eastAsia="Calibri"/>
          <w:sz w:val="16"/>
          <w:szCs w:val="16"/>
        </w:rPr>
        <w:t>in plants</w:t>
      </w:r>
      <w:r>
        <w:rPr>
          <w:rFonts w:eastAsia="Calibri"/>
          <w:sz w:val="24"/>
          <w:szCs w:val="24"/>
        </w:rPr>
        <w:t xml:space="preserve"> </w:t>
      </w:r>
      <w:r>
        <w:rPr>
          <w:rFonts w:eastAsia="Calibri"/>
          <w:sz w:val="24"/>
          <w:szCs w:val="24"/>
          <w:highlight w:val="cyan"/>
          <w:u w:val="single"/>
        </w:rPr>
        <w:t>here in the US.</w:t>
      </w:r>
      <w:r>
        <w:rPr>
          <w:rFonts w:eastAsia="Calibri"/>
          <w:sz w:val="24"/>
          <w:szCs w:val="24"/>
        </w:rPr>
        <w:t xml:space="preserve"> </w:t>
      </w:r>
      <w:r>
        <w:rPr>
          <w:rFonts w:eastAsia="Calibri"/>
          <w:sz w:val="16"/>
          <w:szCs w:val="16"/>
        </w:rPr>
        <w:t>Moreover</w:t>
      </w:r>
      <w:r>
        <w:rPr>
          <w:rFonts w:eastAsia="Calibri"/>
          <w:sz w:val="24"/>
          <w:szCs w:val="24"/>
        </w:rPr>
        <w:t xml:space="preserve">, </w:t>
      </w:r>
      <w:r>
        <w:rPr>
          <w:rFonts w:eastAsia="Calibri"/>
          <w:sz w:val="24"/>
          <w:szCs w:val="24"/>
          <w:highlight w:val="cyan"/>
          <w:u w:val="single"/>
        </w:rPr>
        <w:t>when the government steps in it makes it easier to get loans and reduces the financing burden.</w:t>
      </w:r>
      <w:r>
        <w:rPr>
          <w:rFonts w:eastAsia="Calibri"/>
          <w:sz w:val="24"/>
          <w:szCs w:val="24"/>
          <w:highlight w:val="cyan"/>
          <w:u w:val="single"/>
        </w:rPr>
        <w:t xml:space="preserve"> </w:t>
      </w:r>
      <w:bookmarkStart w:id="2" w:name="_irvj4njkef0y" w:colFirst="0" w:colLast="0"/>
      <w:bookmarkEnd w:id="2"/>
      <w:r>
        <w:rPr>
          <w:color w:val="000000"/>
          <w:sz w:val="16"/>
          <w:szCs w:val="16"/>
        </w:rPr>
        <w:t xml:space="preserve">Innovation in sustainable investment projects requires long lead times and </w:t>
      </w:r>
      <w:proofErr w:type="gramStart"/>
      <w:r>
        <w:rPr>
          <w:color w:val="000000"/>
          <w:sz w:val="16"/>
          <w:szCs w:val="16"/>
        </w:rPr>
        <w:t>large scale</w:t>
      </w:r>
      <w:proofErr w:type="gramEnd"/>
      <w:r>
        <w:rPr>
          <w:color w:val="000000"/>
          <w:sz w:val="16"/>
          <w:szCs w:val="16"/>
        </w:rPr>
        <w:t xml:space="preserve"> investments that public funding is better positioned to provide.</w:t>
      </w:r>
      <w:r>
        <w:rPr>
          <w:b/>
          <w:color w:val="000000"/>
          <w:sz w:val="16"/>
          <w:szCs w:val="16"/>
        </w:rPr>
        <w:t xml:space="preserve"> </w:t>
      </w:r>
      <w:r>
        <w:rPr>
          <w:rFonts w:eastAsia="Calibri"/>
          <w:sz w:val="16"/>
          <w:szCs w:val="16"/>
        </w:rPr>
        <w:t>Take hydrogen hubs for example.</w:t>
      </w:r>
      <w:r>
        <w:rPr>
          <w:rFonts w:eastAsia="Calibri"/>
          <w:sz w:val="16"/>
          <w:szCs w:val="16"/>
        </w:rPr>
        <w:t xml:space="preserve"> </w:t>
      </w:r>
      <w:r>
        <w:rPr>
          <w:rFonts w:eastAsia="Calibri"/>
          <w:sz w:val="16"/>
          <w:szCs w:val="16"/>
        </w:rPr>
        <w:t xml:space="preserve">The way they work is that a consortium is made up of private companies and municipalities that create an ecosystem that produces renewable power plants and manages the logistics of transporting green hydrogen. The consortium comes up with a viable proposal and applies to funding from the DOE. In the US today we have </w:t>
      </w:r>
      <w:hyperlink r:id="rId10" w:anchor=":~:text=The%20Regional%20Clean%20Hydrogen%20Hubs%20will%20create%20networks,can%20deliver%20or%20store%20tremendous%20amounts%20of%20energy.">
        <w:r>
          <w:rPr>
            <w:rFonts w:eastAsia="Calibri"/>
            <w:color w:val="1155CC"/>
            <w:sz w:val="16"/>
            <w:szCs w:val="16"/>
            <w:u w:val="single"/>
          </w:rPr>
          <w:t>seven regional clean hydrogen hubs</w:t>
        </w:r>
      </w:hyperlink>
      <w:r>
        <w:rPr>
          <w:rFonts w:eastAsia="Calibri"/>
          <w:sz w:val="16"/>
          <w:szCs w:val="16"/>
        </w:rPr>
        <w:t xml:space="preserve"> that the DoE has committed to help fund through another BIL initiative, H2Hubs.</w:t>
      </w:r>
      <w:r>
        <w:rPr>
          <w:rFonts w:eastAsia="Calibri"/>
          <w:sz w:val="16"/>
          <w:szCs w:val="16"/>
        </w:rPr>
        <w:t xml:space="preserve"> </w:t>
      </w:r>
      <w:r>
        <w:rPr>
          <w:rFonts w:eastAsia="Calibri"/>
          <w:sz w:val="16"/>
          <w:szCs w:val="16"/>
        </w:rPr>
        <w:t xml:space="preserve">Legislation such as the IRA and BIL stand as a testament to the powerful role public policy can play in driving sustainable economic growth. By investing significantly in clean energy initiatives, </w:t>
      </w:r>
      <w:r>
        <w:rPr>
          <w:rFonts w:eastAsia="Calibri"/>
          <w:sz w:val="24"/>
          <w:szCs w:val="24"/>
          <w:highlight w:val="cyan"/>
          <w:u w:val="single"/>
        </w:rPr>
        <w:t>these policies have not only stimulated job creation but also demonstrated the potential for public funding to catalyze private investment</w:t>
      </w:r>
      <w:r>
        <w:rPr>
          <w:rFonts w:eastAsia="Calibri"/>
          <w:sz w:val="16"/>
          <w:szCs w:val="16"/>
        </w:rPr>
        <w:t xml:space="preserve"> in emerging technologies.</w:t>
      </w:r>
      <w:r>
        <w:rPr>
          <w:rFonts w:eastAsia="Calibri"/>
          <w:sz w:val="24"/>
          <w:szCs w:val="24"/>
        </w:rPr>
        <w:t xml:space="preserve"> </w:t>
      </w:r>
      <w:r>
        <w:rPr>
          <w:rFonts w:eastAsia="Calibri"/>
          <w:sz w:val="24"/>
          <w:szCs w:val="24"/>
          <w:highlight w:val="cyan"/>
          <w:u w:val="single"/>
        </w:rPr>
        <w:t>By</w:t>
      </w:r>
      <w:r>
        <w:rPr>
          <w:rFonts w:eastAsia="Calibri"/>
          <w:sz w:val="24"/>
          <w:szCs w:val="24"/>
        </w:rPr>
        <w:t xml:space="preserve"> </w:t>
      </w:r>
      <w:r>
        <w:rPr>
          <w:rFonts w:eastAsia="Calibri"/>
          <w:sz w:val="16"/>
          <w:szCs w:val="16"/>
        </w:rPr>
        <w:t>reducing the financial burden and</w:t>
      </w:r>
      <w:r>
        <w:rPr>
          <w:rFonts w:eastAsia="Calibri"/>
          <w:sz w:val="24"/>
          <w:szCs w:val="24"/>
        </w:rPr>
        <w:t xml:space="preserve"> </w:t>
      </w:r>
      <w:r>
        <w:rPr>
          <w:rFonts w:eastAsia="Calibri"/>
          <w:sz w:val="24"/>
          <w:szCs w:val="24"/>
          <w:highlight w:val="cyan"/>
          <w:u w:val="single"/>
        </w:rPr>
        <w:t>mitigating risks associated with innovative ventures, public policy can foster a more conducive environment for sustainable investment.</w:t>
      </w:r>
      <w:r>
        <w:rPr>
          <w:rFonts w:eastAsia="Calibri"/>
          <w:sz w:val="24"/>
          <w:szCs w:val="24"/>
        </w:rPr>
        <w:t xml:space="preserve"> </w:t>
      </w:r>
      <w:r>
        <w:rPr>
          <w:rFonts w:eastAsia="Calibri"/>
          <w:sz w:val="24"/>
          <w:szCs w:val="24"/>
          <w:u w:val="single"/>
        </w:rPr>
        <w:t>To maintain the strength and innovation of the U.S.</w:t>
      </w:r>
      <w:r>
        <w:rPr>
          <w:rFonts w:eastAsia="Calibri"/>
          <w:sz w:val="24"/>
          <w:szCs w:val="24"/>
        </w:rPr>
        <w:t xml:space="preserve"> </w:t>
      </w:r>
      <w:r>
        <w:rPr>
          <w:rFonts w:eastAsia="Calibri"/>
          <w:sz w:val="16"/>
          <w:szCs w:val="16"/>
        </w:rPr>
        <w:t>capital markets,</w:t>
      </w:r>
      <w:r>
        <w:rPr>
          <w:rFonts w:eastAsia="Calibri"/>
          <w:sz w:val="24"/>
          <w:szCs w:val="24"/>
        </w:rPr>
        <w:t xml:space="preserve"> </w:t>
      </w:r>
      <w:r>
        <w:rPr>
          <w:rFonts w:eastAsia="Calibri"/>
          <w:sz w:val="24"/>
          <w:szCs w:val="24"/>
          <w:u w:val="single"/>
        </w:rPr>
        <w:t>policymakers should continue to</w:t>
      </w:r>
      <w:r>
        <w:rPr>
          <w:rFonts w:eastAsia="Calibri"/>
          <w:sz w:val="24"/>
          <w:szCs w:val="24"/>
        </w:rPr>
        <w:t xml:space="preserve"> </w:t>
      </w:r>
      <w:r>
        <w:rPr>
          <w:rFonts w:eastAsia="Calibri"/>
          <w:sz w:val="16"/>
          <w:szCs w:val="16"/>
        </w:rPr>
        <w:t xml:space="preserve">create an environment that </w:t>
      </w:r>
      <w:r>
        <w:rPr>
          <w:rFonts w:eastAsia="Calibri"/>
          <w:sz w:val="24"/>
          <w:szCs w:val="24"/>
          <w:u w:val="single"/>
        </w:rPr>
        <w:t>support</w:t>
      </w:r>
      <w:r>
        <w:rPr>
          <w:rFonts w:eastAsia="Calibri"/>
          <w:sz w:val="16"/>
          <w:szCs w:val="16"/>
        </w:rPr>
        <w:t>s the transition to</w:t>
      </w:r>
      <w:r>
        <w:rPr>
          <w:rFonts w:eastAsia="Calibri"/>
          <w:sz w:val="24"/>
          <w:szCs w:val="24"/>
        </w:rPr>
        <w:t xml:space="preserve"> </w:t>
      </w:r>
      <w:r>
        <w:rPr>
          <w:rFonts w:eastAsia="Calibri"/>
          <w:sz w:val="24"/>
          <w:szCs w:val="24"/>
          <w:u w:val="single"/>
        </w:rPr>
        <w:t>a resilient and sustainable economy.</w:t>
      </w:r>
    </w:p>
    <w:p w14:paraId="3D20CD80" w14:textId="77C3AE75" w:rsidR="00CB5A70" w:rsidRDefault="00CB5A70" w:rsidP="00CB5A70">
      <w:pPr>
        <w:pStyle w:val="Heading3"/>
        <w:rPr>
          <w:rFonts w:eastAsia="Calibri"/>
        </w:rPr>
      </w:pPr>
      <w:r>
        <w:rPr>
          <w:rFonts w:eastAsia="Calibri"/>
        </w:rPr>
        <w:t>Higher outputs</w:t>
      </w:r>
    </w:p>
    <w:p w14:paraId="186867F1" w14:textId="77777777" w:rsidR="00CB5A70" w:rsidRDefault="00CB5A70" w:rsidP="00CB5A70"/>
    <w:p w14:paraId="67197678" w14:textId="77777777" w:rsidR="00CB5A70" w:rsidRPr="005A6D1D" w:rsidRDefault="00CB5A70" w:rsidP="00CB5A70">
      <w:pPr>
        <w:rPr>
          <w:rFonts w:eastAsia="Calibri"/>
          <w:b/>
          <w:sz w:val="26"/>
          <w:szCs w:val="26"/>
        </w:rPr>
      </w:pPr>
      <w:r w:rsidRPr="005A6D1D">
        <w:rPr>
          <w:rFonts w:eastAsia="Calibri"/>
          <w:b/>
          <w:sz w:val="26"/>
          <w:szCs w:val="26"/>
        </w:rPr>
        <w:t>Public investment crowds in private investment by raising output</w:t>
      </w:r>
    </w:p>
    <w:p w14:paraId="56E2C557" w14:textId="77777777" w:rsidR="00CB5A70" w:rsidRDefault="00CB5A70" w:rsidP="00CB5A70">
      <w:pPr>
        <w:rPr>
          <w:rFonts w:eastAsia="Calibri"/>
          <w:sz w:val="16"/>
          <w:szCs w:val="16"/>
        </w:rPr>
      </w:pPr>
      <w:r>
        <w:rPr>
          <w:rFonts w:eastAsia="Calibri"/>
          <w:b/>
          <w:sz w:val="24"/>
          <w:szCs w:val="24"/>
          <w:u w:val="single"/>
        </w:rPr>
        <w:t xml:space="preserve">Abiad 15 </w:t>
      </w:r>
      <w:r>
        <w:rPr>
          <w:rFonts w:eastAsia="Calibri"/>
          <w:sz w:val="16"/>
          <w:szCs w:val="16"/>
        </w:rPr>
        <w:t xml:space="preserve">[Abiad, Abdul, et al. “The Macroeconomic Effects of Public Investment: Evidence from Advanced Economies; by Abdul Abiad, Davide </w:t>
      </w:r>
      <w:proofErr w:type="spellStart"/>
      <w:r>
        <w:rPr>
          <w:rFonts w:eastAsia="Calibri"/>
          <w:sz w:val="16"/>
          <w:szCs w:val="16"/>
        </w:rPr>
        <w:t>Furceri</w:t>
      </w:r>
      <w:proofErr w:type="spellEnd"/>
      <w:r>
        <w:rPr>
          <w:rFonts w:eastAsia="Calibri"/>
          <w:sz w:val="16"/>
          <w:szCs w:val="16"/>
        </w:rPr>
        <w:t xml:space="preserve"> and Petia Topal.” </w:t>
      </w:r>
      <w:r>
        <w:rPr>
          <w:rFonts w:eastAsia="Calibri"/>
          <w:i/>
          <w:sz w:val="16"/>
          <w:szCs w:val="16"/>
        </w:rPr>
        <w:t>IMF Infrastructure Governance</w:t>
      </w:r>
      <w:r>
        <w:rPr>
          <w:rFonts w:eastAsia="Calibri"/>
          <w:sz w:val="16"/>
          <w:szCs w:val="16"/>
        </w:rPr>
        <w:t xml:space="preserve">, 5 2015, https://infrastructuregovern.imf.org/content/dam/PIMA/Knowledge-Hub/Publications/pubdocuments/The%20Macroeconomic%20Effects%20of%20Public%20Investment%20Evidence%20from%20Advanced%20Economies.pdf?utm_source=chatgpt.com. Accessed 30 July 2025. // </w:t>
      </w:r>
      <w:proofErr w:type="spellStart"/>
      <w:r>
        <w:rPr>
          <w:rFonts w:eastAsia="Calibri"/>
          <w:sz w:val="16"/>
          <w:szCs w:val="16"/>
        </w:rPr>
        <w:t>Isegora</w:t>
      </w:r>
      <w:proofErr w:type="spellEnd"/>
      <w:r>
        <w:rPr>
          <w:rFonts w:eastAsia="Calibri"/>
          <w:sz w:val="16"/>
          <w:szCs w:val="16"/>
        </w:rPr>
        <w:t>]</w:t>
      </w:r>
    </w:p>
    <w:p w14:paraId="54B97C16" w14:textId="77777777" w:rsidR="00CB5A70" w:rsidRDefault="00CB5A70" w:rsidP="00CB5A70">
      <w:pPr>
        <w:rPr>
          <w:rFonts w:eastAsia="Calibri"/>
          <w:sz w:val="16"/>
          <w:szCs w:val="16"/>
        </w:rPr>
      </w:pPr>
      <w:r>
        <w:rPr>
          <w:rFonts w:eastAsia="Calibri"/>
          <w:sz w:val="24"/>
          <w:szCs w:val="24"/>
          <w:highlight w:val="cyan"/>
          <w:u w:val="single"/>
        </w:rPr>
        <w:t>We examine the macroeconomic impact of</w:t>
      </w:r>
      <w:r>
        <w:rPr>
          <w:rFonts w:eastAsia="Calibri"/>
          <w:sz w:val="24"/>
          <w:szCs w:val="24"/>
        </w:rPr>
        <w:t xml:space="preserve"> </w:t>
      </w:r>
      <w:r>
        <w:rPr>
          <w:rFonts w:eastAsia="Calibri"/>
          <w:sz w:val="16"/>
          <w:szCs w:val="16"/>
        </w:rPr>
        <w:t>increased</w:t>
      </w:r>
      <w:r>
        <w:rPr>
          <w:rFonts w:eastAsia="Calibri"/>
          <w:sz w:val="24"/>
          <w:szCs w:val="24"/>
        </w:rPr>
        <w:t xml:space="preserve"> </w:t>
      </w:r>
      <w:r>
        <w:rPr>
          <w:rFonts w:eastAsia="Calibri"/>
          <w:sz w:val="24"/>
          <w:szCs w:val="24"/>
          <w:highlight w:val="cyan"/>
          <w:u w:val="single"/>
        </w:rPr>
        <w:t xml:space="preserve">public </w:t>
      </w:r>
      <w:proofErr w:type="gramStart"/>
      <w:r>
        <w:rPr>
          <w:rFonts w:eastAsia="Calibri"/>
          <w:sz w:val="24"/>
          <w:szCs w:val="24"/>
          <w:highlight w:val="cyan"/>
          <w:u w:val="single"/>
        </w:rPr>
        <w:t>investment,</w:t>
      </w:r>
      <w:r>
        <w:rPr>
          <w:rFonts w:eastAsia="Calibri"/>
          <w:sz w:val="24"/>
          <w:szCs w:val="24"/>
        </w:rPr>
        <w:t xml:space="preserve"> </w:t>
      </w:r>
      <w:r>
        <w:rPr>
          <w:rFonts w:eastAsia="Calibri"/>
          <w:sz w:val="24"/>
          <w:szCs w:val="24"/>
          <w:highlight w:val="cyan"/>
          <w:u w:val="single"/>
        </w:rPr>
        <w:t>and</w:t>
      </w:r>
      <w:proofErr w:type="gramEnd"/>
      <w:r>
        <w:rPr>
          <w:rFonts w:eastAsia="Calibri"/>
          <w:sz w:val="24"/>
          <w:szCs w:val="24"/>
          <w:highlight w:val="cyan"/>
          <w:u w:val="single"/>
        </w:rPr>
        <w:t xml:space="preserve"> find that such investment raises output in both the short and long term, crowds in private investment, and reduces unemployment,</w:t>
      </w:r>
      <w:r>
        <w:rPr>
          <w:rFonts w:eastAsia="Calibri"/>
          <w:sz w:val="24"/>
          <w:szCs w:val="24"/>
        </w:rPr>
        <w:t xml:space="preserve"> </w:t>
      </w:r>
      <w:r>
        <w:rPr>
          <w:rFonts w:eastAsia="Calibri"/>
          <w:sz w:val="16"/>
          <w:szCs w:val="16"/>
        </w:rPr>
        <w:t xml:space="preserve">with limited effect on the public debt ratio. We also find that these effects vary with </w:t>
      </w:r>
      <w:proofErr w:type="gramStart"/>
      <w:r>
        <w:rPr>
          <w:rFonts w:eastAsia="Calibri"/>
          <w:sz w:val="16"/>
          <w:szCs w:val="16"/>
        </w:rPr>
        <w:t>a number of</w:t>
      </w:r>
      <w:proofErr w:type="gramEnd"/>
      <w:r>
        <w:rPr>
          <w:rFonts w:eastAsia="Calibri"/>
          <w:sz w:val="16"/>
          <w:szCs w:val="16"/>
        </w:rPr>
        <w:t xml:space="preserve"> mediating factors.</w:t>
      </w:r>
      <w:r>
        <w:rPr>
          <w:rFonts w:eastAsia="Calibri"/>
          <w:sz w:val="24"/>
          <w:szCs w:val="24"/>
        </w:rPr>
        <w:t xml:space="preserve"> </w:t>
      </w:r>
      <w:r>
        <w:rPr>
          <w:rFonts w:eastAsia="Calibri"/>
          <w:sz w:val="24"/>
          <w:szCs w:val="24"/>
          <w:u w:val="single"/>
        </w:rPr>
        <w:t>The effects of public investment are particularly strong when there is slack in the economy</w:t>
      </w:r>
      <w:r>
        <w:rPr>
          <w:rFonts w:eastAsia="Calibri"/>
          <w:sz w:val="24"/>
          <w:szCs w:val="24"/>
        </w:rPr>
        <w:t xml:space="preserve"> </w:t>
      </w:r>
      <w:r>
        <w:rPr>
          <w:rFonts w:eastAsia="Calibri"/>
          <w:sz w:val="16"/>
          <w:szCs w:val="16"/>
        </w:rPr>
        <w:t>and monetary accommodation. In such cases, the boost to output from higher government investment may exceed the debt issued to finance the investment.</w:t>
      </w:r>
      <w:r>
        <w:rPr>
          <w:rFonts w:eastAsia="Calibri"/>
          <w:sz w:val="24"/>
          <w:szCs w:val="24"/>
        </w:rPr>
        <w:t xml:space="preserve"> </w:t>
      </w:r>
      <w:r>
        <w:rPr>
          <w:rFonts w:eastAsia="Calibri"/>
          <w:sz w:val="24"/>
          <w:szCs w:val="24"/>
          <w:u w:val="single"/>
        </w:rPr>
        <w:t>Government projects are more effective in boosting output in countries with higher efficiency of public investment.</w:t>
      </w:r>
      <w:r>
        <w:rPr>
          <w:rFonts w:eastAsia="Calibri"/>
          <w:sz w:val="24"/>
          <w:szCs w:val="24"/>
        </w:rPr>
        <w:t xml:space="preserve"> </w:t>
      </w:r>
      <w:r>
        <w:rPr>
          <w:rFonts w:eastAsia="Calibri"/>
          <w:sz w:val="16"/>
          <w:szCs w:val="16"/>
        </w:rPr>
        <w:t xml:space="preserve">Finally, the mode of financing investment matters. </w:t>
      </w:r>
      <w:r>
        <w:rPr>
          <w:rFonts w:eastAsia="Calibri"/>
          <w:sz w:val="24"/>
          <w:szCs w:val="24"/>
          <w:u w:val="single"/>
        </w:rPr>
        <w:t>We find suggestive evidence that debt-financed projects have larger expansionary effects than budget-neutral investments</w:t>
      </w:r>
      <w:r>
        <w:rPr>
          <w:rFonts w:eastAsia="Calibri"/>
          <w:sz w:val="24"/>
          <w:szCs w:val="24"/>
        </w:rPr>
        <w:t xml:space="preserve"> </w:t>
      </w:r>
      <w:r>
        <w:rPr>
          <w:rFonts w:eastAsia="Calibri"/>
          <w:sz w:val="16"/>
          <w:szCs w:val="16"/>
        </w:rPr>
        <w:t>financed by raising taxes or cutting other government spending. Our findings suggest that for economies with clearly identified infrastructure needs and efficient public investment processes and where there is economic slack and monetary accommodation, there is a strong case for increasing public infrastructure investment. Moreover, evidence suggests that increasing</w:t>
      </w:r>
      <w:r>
        <w:rPr>
          <w:rFonts w:eastAsia="Calibri"/>
          <w:sz w:val="24"/>
          <w:szCs w:val="24"/>
        </w:rPr>
        <w:t xml:space="preserve"> </w:t>
      </w:r>
      <w:r>
        <w:rPr>
          <w:rFonts w:eastAsia="Calibri"/>
          <w:sz w:val="24"/>
          <w:szCs w:val="24"/>
          <w:highlight w:val="cyan"/>
          <w:u w:val="single"/>
        </w:rPr>
        <w:t xml:space="preserve">public infrastructure investment will be particularly effective in </w:t>
      </w:r>
      <w:r>
        <w:rPr>
          <w:rFonts w:eastAsia="Calibri"/>
          <w:sz w:val="16"/>
          <w:szCs w:val="16"/>
        </w:rPr>
        <w:t>providing a fillip to aggregate demand and</w:t>
      </w:r>
      <w:r>
        <w:rPr>
          <w:rFonts w:eastAsia="Calibri"/>
          <w:sz w:val="24"/>
          <w:szCs w:val="24"/>
        </w:rPr>
        <w:t xml:space="preserve"> </w:t>
      </w:r>
      <w:r>
        <w:rPr>
          <w:rFonts w:eastAsia="Calibri"/>
          <w:sz w:val="24"/>
          <w:szCs w:val="24"/>
          <w:highlight w:val="cyan"/>
          <w:u w:val="single"/>
        </w:rPr>
        <w:t>expanding productive capacity in the long run,</w:t>
      </w:r>
      <w:r>
        <w:rPr>
          <w:rFonts w:eastAsia="Calibri"/>
          <w:sz w:val="24"/>
          <w:szCs w:val="24"/>
        </w:rPr>
        <w:t xml:space="preserve"> </w:t>
      </w:r>
      <w:r>
        <w:rPr>
          <w:rFonts w:eastAsia="Calibri"/>
          <w:sz w:val="16"/>
          <w:szCs w:val="16"/>
        </w:rPr>
        <w:t xml:space="preserve">without raising the debt-to-GDP ratio, if it is debt financed. Finally, our results show how critical increasing investment efficiency is to </w:t>
      </w:r>
      <w:proofErr w:type="gramStart"/>
      <w:r>
        <w:rPr>
          <w:rFonts w:eastAsia="Calibri"/>
          <w:sz w:val="16"/>
          <w:szCs w:val="16"/>
        </w:rPr>
        <w:t>mitigating</w:t>
      </w:r>
      <w:proofErr w:type="gramEnd"/>
      <w:r>
        <w:rPr>
          <w:rFonts w:eastAsia="Calibri"/>
          <w:sz w:val="16"/>
          <w:szCs w:val="16"/>
        </w:rPr>
        <w:t xml:space="preserve"> the possible trade-off between higher output and higher public-debt-to-GDP ratios. </w:t>
      </w:r>
      <w:proofErr w:type="gramStart"/>
      <w:r>
        <w:rPr>
          <w:rFonts w:eastAsia="Calibri"/>
          <w:sz w:val="16"/>
          <w:szCs w:val="16"/>
        </w:rPr>
        <w:t>Thus</w:t>
      </w:r>
      <w:proofErr w:type="gramEnd"/>
      <w:r>
        <w:rPr>
          <w:rFonts w:eastAsia="Calibri"/>
          <w:sz w:val="16"/>
          <w:szCs w:val="16"/>
        </w:rPr>
        <w:t xml:space="preserve"> a key priority in many economies, particularly in those with relatively low efficiency of public investment, should be to raise the quality of infrastructure investment by improving the public investment process. </w:t>
      </w:r>
    </w:p>
    <w:p w14:paraId="54CD67F1" w14:textId="77777777" w:rsidR="00CB5A70" w:rsidRDefault="00CB5A70" w:rsidP="00CB5A70"/>
    <w:p w14:paraId="4CA0E1AF" w14:textId="1422F9BD" w:rsidR="00CB5A70" w:rsidRDefault="00CB5A70" w:rsidP="00CB5A70">
      <w:pPr>
        <w:pStyle w:val="Heading3"/>
      </w:pPr>
      <w:r>
        <w:t>More productive</w:t>
      </w:r>
    </w:p>
    <w:p w14:paraId="7C2CD116" w14:textId="77777777" w:rsidR="00CB5A70" w:rsidRDefault="00CB5A70" w:rsidP="00CB5A70"/>
    <w:p w14:paraId="4256F93E" w14:textId="77777777" w:rsidR="00CB5A70" w:rsidRPr="005A6D1D" w:rsidRDefault="00CB5A70" w:rsidP="00CB5A70">
      <w:pPr>
        <w:rPr>
          <w:rFonts w:eastAsia="Calibri"/>
          <w:b/>
          <w:sz w:val="26"/>
          <w:szCs w:val="26"/>
        </w:rPr>
      </w:pPr>
      <w:r w:rsidRPr="005A6D1D">
        <w:rPr>
          <w:rFonts w:eastAsia="Calibri"/>
          <w:b/>
          <w:sz w:val="26"/>
          <w:szCs w:val="26"/>
        </w:rPr>
        <w:t xml:space="preserve">Public investment crowds in private investment by raising its </w:t>
      </w:r>
      <w:proofErr w:type="gramStart"/>
      <w:r w:rsidRPr="005A6D1D">
        <w:rPr>
          <w:rFonts w:eastAsia="Calibri"/>
          <w:b/>
          <w:sz w:val="26"/>
          <w:szCs w:val="26"/>
        </w:rPr>
        <w:t>productivity, and</w:t>
      </w:r>
      <w:proofErr w:type="gramEnd"/>
      <w:r w:rsidRPr="005A6D1D">
        <w:rPr>
          <w:rFonts w:eastAsia="Calibri"/>
          <w:b/>
          <w:sz w:val="26"/>
          <w:szCs w:val="26"/>
        </w:rPr>
        <w:t xml:space="preserve"> can </w:t>
      </w:r>
      <w:proofErr w:type="gramStart"/>
      <w:r w:rsidRPr="005A6D1D">
        <w:rPr>
          <w:rFonts w:eastAsia="Calibri"/>
          <w:b/>
          <w:sz w:val="26"/>
          <w:szCs w:val="26"/>
        </w:rPr>
        <w:t>actually be</w:t>
      </w:r>
      <w:proofErr w:type="gramEnd"/>
      <w:r w:rsidRPr="005A6D1D">
        <w:rPr>
          <w:rFonts w:eastAsia="Calibri"/>
          <w:b/>
          <w:sz w:val="26"/>
          <w:szCs w:val="26"/>
        </w:rPr>
        <w:t xml:space="preserve"> used to incentivize private investment.</w:t>
      </w:r>
    </w:p>
    <w:p w14:paraId="1DA4A2CE" w14:textId="77777777" w:rsidR="00CB5A70" w:rsidRDefault="00CB5A70" w:rsidP="00CB5A70">
      <w:pPr>
        <w:rPr>
          <w:rFonts w:eastAsia="Calibri"/>
          <w:sz w:val="16"/>
          <w:szCs w:val="16"/>
        </w:rPr>
      </w:pPr>
      <w:r>
        <w:rPr>
          <w:rFonts w:eastAsia="Calibri"/>
          <w:b/>
          <w:sz w:val="24"/>
          <w:szCs w:val="24"/>
          <w:u w:val="single"/>
        </w:rPr>
        <w:t xml:space="preserve">Francois 25 </w:t>
      </w:r>
      <w:r>
        <w:rPr>
          <w:rFonts w:eastAsia="Calibri"/>
          <w:sz w:val="16"/>
          <w:szCs w:val="16"/>
        </w:rPr>
        <w:t>[</w:t>
      </w:r>
      <w:r>
        <w:rPr>
          <w:rFonts w:eastAsia="Calibri"/>
          <w:sz w:val="16"/>
          <w:szCs w:val="16"/>
          <w:shd w:val="clear" w:color="auto" w:fill="F8F9FA"/>
        </w:rPr>
        <w:t xml:space="preserve">Francois, John Nana, et. al. ““Crowding in” Effect of Public Investment on Private Investment Revisited*.” World Bank, 25 6 2025, https://documents1.worldbank.org/curated/en/099062724151518130/pdf/P1778861041b060f8187de1874ebfef996d.pdf. Accessed 28 7 2025. // </w:t>
      </w:r>
      <w:proofErr w:type="spellStart"/>
      <w:r>
        <w:rPr>
          <w:rFonts w:eastAsia="Calibri"/>
          <w:sz w:val="16"/>
          <w:szCs w:val="16"/>
          <w:shd w:val="clear" w:color="auto" w:fill="F8F9FA"/>
        </w:rPr>
        <w:t>Isegora</w:t>
      </w:r>
      <w:proofErr w:type="spellEnd"/>
      <w:r>
        <w:rPr>
          <w:rFonts w:eastAsia="Calibri"/>
          <w:sz w:val="16"/>
          <w:szCs w:val="16"/>
          <w:shd w:val="clear" w:color="auto" w:fill="F8F9FA"/>
        </w:rPr>
        <w:t>]</w:t>
      </w:r>
    </w:p>
    <w:p w14:paraId="50068629" w14:textId="77777777" w:rsidR="00CB5A70" w:rsidRDefault="00CB5A70" w:rsidP="00CB5A70">
      <w:pPr>
        <w:rPr>
          <w:rFonts w:eastAsia="Calibri"/>
          <w:sz w:val="16"/>
          <w:szCs w:val="16"/>
        </w:rPr>
      </w:pPr>
      <w:r>
        <w:rPr>
          <w:rFonts w:eastAsia="Calibri"/>
          <w:sz w:val="16"/>
          <w:szCs w:val="16"/>
        </w:rPr>
        <w:t>We document the following result: First, we find that</w:t>
      </w:r>
      <w:r>
        <w:rPr>
          <w:rFonts w:eastAsia="Calibri"/>
          <w:sz w:val="24"/>
          <w:szCs w:val="24"/>
        </w:rPr>
        <w:t xml:space="preserve"> </w:t>
      </w:r>
      <w:r>
        <w:rPr>
          <w:rFonts w:eastAsia="Calibri"/>
          <w:sz w:val="24"/>
          <w:szCs w:val="24"/>
          <w:highlight w:val="cyan"/>
          <w:u w:val="single"/>
        </w:rPr>
        <w:t>public investment is a</w:t>
      </w:r>
      <w:r>
        <w:rPr>
          <w:rFonts w:eastAsia="Calibri"/>
          <w:sz w:val="16"/>
          <w:szCs w:val="16"/>
        </w:rPr>
        <w:t xml:space="preserve">n Edgeworth </w:t>
      </w:r>
      <w:r>
        <w:rPr>
          <w:rFonts w:eastAsia="Calibri"/>
          <w:sz w:val="24"/>
          <w:szCs w:val="24"/>
          <w:highlight w:val="cyan"/>
          <w:u w:val="single"/>
        </w:rPr>
        <w:t>complement to private investment in that an increase in the former raises the marginal productivity of private investment.</w:t>
      </w:r>
      <w:r>
        <w:rPr>
          <w:rFonts w:eastAsia="Calibri"/>
          <w:sz w:val="24"/>
          <w:szCs w:val="24"/>
        </w:rPr>
        <w:t xml:space="preserve"> </w:t>
      </w:r>
      <w:r>
        <w:rPr>
          <w:rFonts w:eastAsia="Calibri"/>
          <w:sz w:val="16"/>
          <w:szCs w:val="16"/>
        </w:rPr>
        <w:t>Second</w:t>
      </w:r>
      <w:r>
        <w:rPr>
          <w:rFonts w:eastAsia="Calibri"/>
          <w:sz w:val="24"/>
          <w:szCs w:val="24"/>
        </w:rPr>
        <w:t xml:space="preserve">, </w:t>
      </w:r>
      <w:r>
        <w:rPr>
          <w:rFonts w:eastAsia="Calibri"/>
          <w:sz w:val="24"/>
          <w:szCs w:val="24"/>
          <w:highlight w:val="cyan"/>
          <w:u w:val="single"/>
        </w:rPr>
        <w:t>the complementarity implies crowding-in of private investment by public investment such that an extra dollar of public investment raises private investment by 1.6 dollars</w:t>
      </w:r>
      <w:r>
        <w:rPr>
          <w:rFonts w:eastAsia="Calibri"/>
          <w:sz w:val="16"/>
          <w:szCs w:val="16"/>
        </w:rPr>
        <w:t xml:space="preserve">. Over time, the cumulative multiplier rises to a peak of 2.4 dollars. </w:t>
      </w:r>
      <w:r>
        <w:rPr>
          <w:rFonts w:eastAsia="Calibri"/>
          <w:sz w:val="24"/>
          <w:szCs w:val="24"/>
          <w:u w:val="single"/>
        </w:rPr>
        <w:t>This crowding-in effect holds true for low-income countries</w:t>
      </w:r>
      <w:r>
        <w:rPr>
          <w:rFonts w:eastAsia="Calibri"/>
          <w:sz w:val="24"/>
          <w:szCs w:val="24"/>
        </w:rPr>
        <w:t xml:space="preserve"> </w:t>
      </w:r>
      <w:r>
        <w:rPr>
          <w:rFonts w:eastAsia="Calibri"/>
          <w:sz w:val="16"/>
          <w:szCs w:val="16"/>
        </w:rPr>
        <w:t>and Sub-Saharan Africa—economies where investment needs are largest. We find that the cumulative effect of crowding-in is larger in these subgroups over time than for all EMDEs. Moreover, we find evidence that</w:t>
      </w:r>
      <w:r>
        <w:rPr>
          <w:rFonts w:eastAsia="Calibri"/>
          <w:sz w:val="24"/>
          <w:szCs w:val="24"/>
        </w:rPr>
        <w:t xml:space="preserve"> </w:t>
      </w:r>
      <w:r>
        <w:rPr>
          <w:rFonts w:eastAsia="Calibri"/>
          <w:sz w:val="24"/>
          <w:szCs w:val="24"/>
          <w:u w:val="single"/>
        </w:rPr>
        <w:t xml:space="preserve">public investment is more effective in crowding-in private investment in countries where corruption control is strong. </w:t>
      </w:r>
      <w:r>
        <w:rPr>
          <w:rFonts w:eastAsia="Calibri"/>
          <w:sz w:val="16"/>
          <w:szCs w:val="16"/>
        </w:rPr>
        <w:t>Third, when we embed our empirical results into a model with capital market distortions, we demonstrate that public investment should be allowed a lower rate of return than under perfect capital markets. From a policy perspective,</w:t>
      </w:r>
      <w:r>
        <w:rPr>
          <w:rFonts w:eastAsia="Calibri"/>
          <w:sz w:val="24"/>
          <w:szCs w:val="24"/>
        </w:rPr>
        <w:t xml:space="preserve"> </w:t>
      </w:r>
      <w:r>
        <w:rPr>
          <w:rFonts w:eastAsia="Calibri"/>
          <w:sz w:val="24"/>
          <w:szCs w:val="24"/>
          <w:highlight w:val="cyan"/>
          <w:u w:val="single"/>
        </w:rPr>
        <w:t>our results suggest that public investment,</w:t>
      </w:r>
      <w:r>
        <w:rPr>
          <w:rFonts w:eastAsia="Calibri"/>
          <w:sz w:val="24"/>
          <w:szCs w:val="24"/>
          <w:u w:val="single"/>
        </w:rPr>
        <w:t xml:space="preserve"> in conjunction with policy efforts and regulations</w:t>
      </w:r>
      <w:r>
        <w:rPr>
          <w:rFonts w:eastAsia="Calibri"/>
          <w:sz w:val="16"/>
          <w:szCs w:val="16"/>
        </w:rPr>
        <w:t xml:space="preserve"> to correct capital market distortions, </w:t>
      </w:r>
      <w:r>
        <w:rPr>
          <w:rFonts w:eastAsia="Calibri"/>
          <w:sz w:val="24"/>
          <w:szCs w:val="24"/>
          <w:highlight w:val="cyan"/>
          <w:u w:val="single"/>
        </w:rPr>
        <w:t>can be used to address underinvestment</w:t>
      </w:r>
      <w:r>
        <w:rPr>
          <w:rFonts w:eastAsia="Calibri"/>
          <w:sz w:val="24"/>
          <w:szCs w:val="24"/>
        </w:rPr>
        <w:t xml:space="preserve"> </w:t>
      </w:r>
      <w:r>
        <w:rPr>
          <w:rFonts w:eastAsia="Calibri"/>
          <w:sz w:val="16"/>
          <w:szCs w:val="16"/>
        </w:rPr>
        <w:t>induced by imperfect capital markets. Nonetheless, any scale-up in investment would be more effective in an environment where corruption is well-controlled</w:t>
      </w:r>
    </w:p>
    <w:p w14:paraId="5D1323F3" w14:textId="77777777" w:rsidR="00CB5A70" w:rsidRPr="00CB5A70" w:rsidRDefault="00CB5A70" w:rsidP="00CB5A70"/>
    <w:p w14:paraId="17A0865D" w14:textId="77777777" w:rsidR="00CB5A70" w:rsidRDefault="00CB5A70" w:rsidP="00CB5A70"/>
    <w:p w14:paraId="717D2E0D" w14:textId="408CD8EB" w:rsidR="00CB5A70" w:rsidRPr="00CB5A70" w:rsidRDefault="00CB5A70" w:rsidP="00CB5A70">
      <w:pPr>
        <w:pStyle w:val="Heading2"/>
      </w:pPr>
      <w:r>
        <w:t>Opportunity</w:t>
      </w:r>
    </w:p>
    <w:p w14:paraId="42E9C7ED" w14:textId="77777777" w:rsidR="005A76D8" w:rsidRDefault="005A76D8" w:rsidP="005A76D8"/>
    <w:p w14:paraId="3B7E16F9" w14:textId="464356DF" w:rsidR="005A6D1D" w:rsidRDefault="005A6D1D" w:rsidP="005A6D1D">
      <w:pPr>
        <w:pStyle w:val="Heading3"/>
      </w:pPr>
      <w:r>
        <w:t>Creates Opportunities</w:t>
      </w:r>
    </w:p>
    <w:p w14:paraId="6611841D" w14:textId="77777777" w:rsidR="005A6D1D" w:rsidRDefault="005A6D1D" w:rsidP="005A6D1D"/>
    <w:p w14:paraId="1BA6D52E" w14:textId="77777777" w:rsidR="005A6D1D" w:rsidRDefault="005A6D1D" w:rsidP="005A6D1D">
      <w:pPr>
        <w:pStyle w:val="Heading4"/>
        <w:rPr>
          <w:rFonts w:eastAsia="Calibri"/>
        </w:rPr>
      </w:pPr>
      <w:r>
        <w:rPr>
          <w:rFonts w:eastAsia="Calibri"/>
        </w:rPr>
        <w:t>Government spending creates opportunities for projects that can be funded by private investors.</w:t>
      </w:r>
    </w:p>
    <w:p w14:paraId="6A4D1642" w14:textId="77777777" w:rsidR="005A6D1D" w:rsidRDefault="005A6D1D" w:rsidP="005A6D1D">
      <w:pPr>
        <w:rPr>
          <w:rFonts w:eastAsia="Calibri"/>
          <w:sz w:val="16"/>
          <w:szCs w:val="16"/>
        </w:rPr>
      </w:pPr>
      <w:r>
        <w:rPr>
          <w:rFonts w:eastAsia="Calibri"/>
          <w:b/>
          <w:sz w:val="24"/>
          <w:szCs w:val="24"/>
          <w:u w:val="single"/>
        </w:rPr>
        <w:t xml:space="preserve">Hajj 24 </w:t>
      </w:r>
      <w:r>
        <w:rPr>
          <w:rFonts w:eastAsia="Calibri"/>
          <w:sz w:val="16"/>
          <w:szCs w:val="16"/>
        </w:rPr>
        <w:t>[</w:t>
      </w:r>
      <w:r>
        <w:rPr>
          <w:rFonts w:eastAsia="Calibri"/>
          <w:sz w:val="16"/>
          <w:szCs w:val="16"/>
          <w:shd w:val="clear" w:color="auto" w:fill="F8F9FA"/>
        </w:rPr>
        <w:t xml:space="preserve">Hajj, Sireen, </w:t>
      </w:r>
      <w:r>
        <w:rPr>
          <w:sz w:val="16"/>
          <w:szCs w:val="16"/>
          <w:highlight w:val="white"/>
        </w:rPr>
        <w:t>MBA from Fordham University and BA in Sociology and Anthropology from the American University of Beirut</w:t>
      </w:r>
      <w:r>
        <w:rPr>
          <w:rFonts w:eastAsia="Calibri"/>
          <w:sz w:val="16"/>
          <w:szCs w:val="16"/>
          <w:shd w:val="clear" w:color="auto" w:fill="F8F9FA"/>
        </w:rPr>
        <w:t xml:space="preserve">. “The Power of Public Policy: Catalyzing Private Investment in the Green Energy Transition.” 19 9 2024, https://www.ussif.org/news/insights/the-power-of-public-policy-catalyzing-private-investment-in-the-green-energy. Accessed 25 7 2025. // </w:t>
      </w:r>
      <w:proofErr w:type="spellStart"/>
      <w:r>
        <w:rPr>
          <w:rFonts w:eastAsia="Calibri"/>
          <w:sz w:val="16"/>
          <w:szCs w:val="16"/>
          <w:shd w:val="clear" w:color="auto" w:fill="F8F9FA"/>
        </w:rPr>
        <w:t>Isegora</w:t>
      </w:r>
      <w:proofErr w:type="spellEnd"/>
      <w:r>
        <w:rPr>
          <w:rFonts w:eastAsia="Calibri"/>
          <w:sz w:val="16"/>
          <w:szCs w:val="16"/>
          <w:shd w:val="clear" w:color="auto" w:fill="F8F9FA"/>
        </w:rPr>
        <w:t>]</w:t>
      </w:r>
    </w:p>
    <w:p w14:paraId="0E598743" w14:textId="5839E375" w:rsidR="005A6D1D" w:rsidRDefault="005A6D1D" w:rsidP="005A6D1D">
      <w:pPr>
        <w:rPr>
          <w:rFonts w:eastAsia="Calibri"/>
          <w:sz w:val="24"/>
          <w:szCs w:val="24"/>
          <w:u w:val="single"/>
        </w:rPr>
      </w:pPr>
      <w:r>
        <w:rPr>
          <w:rFonts w:eastAsia="Calibri"/>
          <w:sz w:val="16"/>
          <w:szCs w:val="16"/>
        </w:rPr>
        <w:t>This week, thousands will gather in New York City for Climate Week, one of the largest climate summits in the world, with the goal of understanding how to advance climate action. This summit is occurring amidst one of the most favorable legislative environments in a generation to support climate solutions and we are watching, in real time, as</w:t>
      </w:r>
      <w:r>
        <w:rPr>
          <w:rFonts w:eastAsia="Calibri"/>
          <w:sz w:val="24"/>
          <w:szCs w:val="24"/>
        </w:rPr>
        <w:t xml:space="preserve"> </w:t>
      </w:r>
      <w:r>
        <w:rPr>
          <w:rFonts w:eastAsia="Calibri"/>
          <w:sz w:val="24"/>
          <w:szCs w:val="24"/>
          <w:highlight w:val="cyan"/>
          <w:u w:val="single"/>
        </w:rPr>
        <w:t>public policy spurs new private investments</w:t>
      </w:r>
      <w:r>
        <w:rPr>
          <w:rFonts w:eastAsia="Calibri"/>
          <w:sz w:val="24"/>
          <w:szCs w:val="24"/>
        </w:rPr>
        <w:t xml:space="preserve"> </w:t>
      </w:r>
      <w:r>
        <w:rPr>
          <w:rFonts w:eastAsia="Calibri"/>
          <w:sz w:val="16"/>
          <w:szCs w:val="16"/>
        </w:rPr>
        <w:t>into burgeoning fields and technologies.</w:t>
      </w:r>
      <w:r>
        <w:rPr>
          <w:rFonts w:eastAsia="Calibri"/>
          <w:sz w:val="16"/>
          <w:szCs w:val="16"/>
        </w:rPr>
        <w:t xml:space="preserve"> </w:t>
      </w:r>
      <w:r>
        <w:rPr>
          <w:rFonts w:eastAsia="Calibri"/>
          <w:sz w:val="16"/>
          <w:szCs w:val="16"/>
        </w:rPr>
        <w:t xml:space="preserve">We are two and a half years into the bipartisan Infrastructure Investments and Jobs Act (often called the Bipartisan Infrastructure Law, or BIL) and the Inflation Reduction Act (IRA), both of which have either invested or catalyzed billions into solving the climate crisis. The RMI predicts public funding related to the IRA alone will hit </w:t>
      </w:r>
      <w:hyperlink r:id="rId11">
        <w:r>
          <w:rPr>
            <w:rFonts w:eastAsia="Calibri"/>
            <w:color w:val="1155CC"/>
            <w:sz w:val="16"/>
            <w:szCs w:val="16"/>
            <w:u w:val="single"/>
          </w:rPr>
          <w:t>$1 trillion by 2030</w:t>
        </w:r>
      </w:hyperlink>
      <w:r>
        <w:rPr>
          <w:rFonts w:eastAsia="Calibri"/>
          <w:sz w:val="16"/>
          <w:szCs w:val="16"/>
        </w:rPr>
        <w:t xml:space="preserve">, and a recent </w:t>
      </w:r>
      <w:hyperlink r:id="rId12">
        <w:r>
          <w:rPr>
            <w:rFonts w:eastAsia="Calibri"/>
            <w:color w:val="1155CC"/>
            <w:sz w:val="16"/>
            <w:szCs w:val="16"/>
            <w:u w:val="single"/>
          </w:rPr>
          <w:t>report</w:t>
        </w:r>
      </w:hyperlink>
      <w:r>
        <w:rPr>
          <w:rFonts w:eastAsia="Calibri"/>
          <w:sz w:val="16"/>
          <w:szCs w:val="16"/>
        </w:rPr>
        <w:t xml:space="preserve"> by MIT and the Rhodium group estimated businesses and consumers have funneled $493 billion into clean technologies and infrastructure since the launch of the IRA.</w:t>
      </w:r>
      <w:r>
        <w:rPr>
          <w:rFonts w:eastAsia="Calibri"/>
          <w:sz w:val="16"/>
          <w:szCs w:val="16"/>
        </w:rPr>
        <w:t xml:space="preserve"> </w:t>
      </w:r>
      <w:bookmarkStart w:id="3" w:name="_9qzihgxdthsk" w:colFirst="0" w:colLast="0"/>
      <w:bookmarkEnd w:id="3"/>
      <w:proofErr w:type="gramStart"/>
      <w:r>
        <w:rPr>
          <w:rFonts w:eastAsia="Calibri"/>
          <w:sz w:val="16"/>
          <w:szCs w:val="16"/>
        </w:rPr>
        <w:t>So</w:t>
      </w:r>
      <w:proofErr w:type="gramEnd"/>
      <w:r>
        <w:rPr>
          <w:rFonts w:eastAsia="Calibri"/>
          <w:sz w:val="16"/>
          <w:szCs w:val="16"/>
        </w:rPr>
        <w:t xml:space="preserve"> what have we learned about how public policy impacts private investments?</w:t>
      </w:r>
      <w:r>
        <w:rPr>
          <w:rFonts w:eastAsia="Calibri"/>
          <w:sz w:val="16"/>
          <w:szCs w:val="16"/>
        </w:rPr>
        <w:t xml:space="preserve"> </w:t>
      </w:r>
      <w:bookmarkStart w:id="4" w:name="_latb4sjp8r45" w:colFirst="0" w:colLast="0"/>
      <w:bookmarkEnd w:id="4"/>
      <w:r>
        <w:rPr>
          <w:color w:val="000000"/>
          <w:sz w:val="24"/>
          <w:szCs w:val="24"/>
          <w:highlight w:val="cyan"/>
          <w:u w:val="single"/>
        </w:rPr>
        <w:t>Public and private financing can work together to be more impactful.</w:t>
      </w:r>
      <w:r>
        <w:rPr>
          <w:b/>
          <w:color w:val="000000"/>
          <w:sz w:val="24"/>
          <w:szCs w:val="24"/>
          <w:highlight w:val="cyan"/>
          <w:u w:val="single"/>
        </w:rPr>
        <w:t xml:space="preserve"> </w:t>
      </w:r>
      <w:r>
        <w:rPr>
          <w:rFonts w:eastAsia="Calibri"/>
          <w:sz w:val="16"/>
          <w:szCs w:val="16"/>
        </w:rPr>
        <w:t>Both are needed to move solutions forward.</w:t>
      </w:r>
      <w:r>
        <w:rPr>
          <w:rFonts w:eastAsia="Calibri"/>
          <w:sz w:val="24"/>
          <w:szCs w:val="24"/>
        </w:rPr>
        <w:t xml:space="preserve"> </w:t>
      </w:r>
      <w:r>
        <w:rPr>
          <w:rFonts w:eastAsia="Calibri"/>
          <w:sz w:val="24"/>
          <w:szCs w:val="24"/>
          <w:highlight w:val="cyan"/>
          <w:u w:val="single"/>
        </w:rPr>
        <w:t>Take for example</w:t>
      </w:r>
      <w:r>
        <w:rPr>
          <w:rFonts w:eastAsia="Calibri"/>
          <w:sz w:val="24"/>
          <w:szCs w:val="24"/>
        </w:rPr>
        <w:t xml:space="preserve"> </w:t>
      </w:r>
      <w:r>
        <w:rPr>
          <w:rFonts w:eastAsia="Calibri"/>
          <w:sz w:val="16"/>
          <w:szCs w:val="16"/>
        </w:rPr>
        <w:t xml:space="preserve">the </w:t>
      </w:r>
      <w:hyperlink r:id="rId13">
        <w:r>
          <w:rPr>
            <w:rFonts w:eastAsia="Calibri"/>
            <w:color w:val="1155CC"/>
            <w:sz w:val="16"/>
            <w:szCs w:val="16"/>
            <w:u w:val="single"/>
          </w:rPr>
          <w:t>Grid Resilience and Innovation Partnerships program (GRIP)</w:t>
        </w:r>
      </w:hyperlink>
      <w:r>
        <w:rPr>
          <w:rFonts w:eastAsia="Calibri"/>
          <w:sz w:val="16"/>
          <w:szCs w:val="16"/>
        </w:rPr>
        <w:t>,</w:t>
      </w:r>
      <w:r>
        <w:rPr>
          <w:rFonts w:eastAsia="Calibri"/>
          <w:sz w:val="24"/>
          <w:szCs w:val="24"/>
        </w:rPr>
        <w:t xml:space="preserve"> </w:t>
      </w:r>
      <w:r>
        <w:rPr>
          <w:rFonts w:eastAsia="Calibri"/>
          <w:sz w:val="24"/>
          <w:szCs w:val="24"/>
          <w:highlight w:val="cyan"/>
          <w:u w:val="single"/>
        </w:rPr>
        <w:t>a $10 billion bipartisan measure</w:t>
      </w:r>
      <w:r>
        <w:rPr>
          <w:rFonts w:eastAsia="Calibri"/>
          <w:sz w:val="24"/>
          <w:szCs w:val="24"/>
        </w:rPr>
        <w:t xml:space="preserve"> </w:t>
      </w:r>
      <w:r>
        <w:rPr>
          <w:rFonts w:eastAsia="Calibri"/>
          <w:sz w:val="16"/>
          <w:szCs w:val="16"/>
        </w:rPr>
        <w:t xml:space="preserve">funded by the BIL that </w:t>
      </w:r>
      <w:r>
        <w:rPr>
          <w:rFonts w:eastAsia="Calibri"/>
          <w:sz w:val="24"/>
          <w:szCs w:val="24"/>
          <w:highlight w:val="cyan"/>
          <w:u w:val="single"/>
        </w:rPr>
        <w:t xml:space="preserve">aims to deliver projects that improve the power grid, </w:t>
      </w:r>
      <w:r>
        <w:rPr>
          <w:rFonts w:eastAsia="Calibri"/>
          <w:sz w:val="24"/>
          <w:szCs w:val="24"/>
          <w:u w:val="single"/>
        </w:rPr>
        <w:t>and make it more resilient and adaptable to clean energy technology.</w:t>
      </w:r>
      <w:r>
        <w:rPr>
          <w:rFonts w:eastAsia="Calibri"/>
          <w:sz w:val="24"/>
          <w:szCs w:val="24"/>
        </w:rPr>
        <w:t xml:space="preserve"> </w:t>
      </w:r>
      <w:r>
        <w:rPr>
          <w:rFonts w:eastAsia="Calibri"/>
          <w:sz w:val="16"/>
          <w:szCs w:val="16"/>
        </w:rPr>
        <w:t xml:space="preserve">By focusing on improving aging infrastructure, </w:t>
      </w:r>
      <w:r>
        <w:rPr>
          <w:rFonts w:eastAsia="Calibri"/>
          <w:sz w:val="24"/>
          <w:szCs w:val="24"/>
          <w:highlight w:val="cyan"/>
          <w:u w:val="single"/>
        </w:rPr>
        <w:t>the program creates opportunities for projects</w:t>
      </w:r>
      <w:r>
        <w:rPr>
          <w:rFonts w:eastAsia="Calibri"/>
          <w:sz w:val="24"/>
          <w:szCs w:val="24"/>
          <w:u w:val="single"/>
        </w:rPr>
        <w:t xml:space="preserve"> such as wind farms and solar to</w:t>
      </w:r>
      <w:r>
        <w:rPr>
          <w:rFonts w:eastAsia="Calibri"/>
          <w:sz w:val="24"/>
          <w:szCs w:val="24"/>
        </w:rPr>
        <w:t xml:space="preserve"> </w:t>
      </w:r>
      <w:r>
        <w:rPr>
          <w:rFonts w:eastAsia="Calibri"/>
          <w:sz w:val="16"/>
          <w:szCs w:val="16"/>
        </w:rPr>
        <w:t>plug into the power grid and</w:t>
      </w:r>
      <w:r>
        <w:rPr>
          <w:rFonts w:eastAsia="Calibri"/>
          <w:sz w:val="24"/>
          <w:szCs w:val="24"/>
        </w:rPr>
        <w:t xml:space="preserve"> </w:t>
      </w:r>
      <w:r>
        <w:rPr>
          <w:rFonts w:eastAsia="Calibri"/>
          <w:sz w:val="24"/>
          <w:szCs w:val="24"/>
          <w:u w:val="single"/>
        </w:rPr>
        <w:t>deliver</w:t>
      </w:r>
      <w:r>
        <w:rPr>
          <w:rFonts w:eastAsia="Calibri"/>
          <w:sz w:val="24"/>
          <w:szCs w:val="24"/>
        </w:rPr>
        <w:t xml:space="preserve"> </w:t>
      </w:r>
      <w:r>
        <w:rPr>
          <w:rFonts w:eastAsia="Calibri"/>
          <w:sz w:val="16"/>
          <w:szCs w:val="16"/>
        </w:rPr>
        <w:t xml:space="preserve">the </w:t>
      </w:r>
      <w:r>
        <w:rPr>
          <w:rFonts w:eastAsia="Calibri"/>
          <w:sz w:val="24"/>
          <w:szCs w:val="24"/>
          <w:u w:val="single"/>
        </w:rPr>
        <w:t xml:space="preserve">clean energy </w:t>
      </w:r>
      <w:r>
        <w:rPr>
          <w:rFonts w:eastAsia="Calibri"/>
          <w:sz w:val="16"/>
          <w:szCs w:val="16"/>
        </w:rPr>
        <w:t xml:space="preserve">they produce </w:t>
      </w:r>
      <w:r>
        <w:rPr>
          <w:rFonts w:eastAsia="Calibri"/>
          <w:sz w:val="24"/>
          <w:szCs w:val="24"/>
          <w:u w:val="single"/>
        </w:rPr>
        <w:t>to American homes.</w:t>
      </w:r>
      <w:r>
        <w:rPr>
          <w:rFonts w:eastAsia="Calibri"/>
          <w:sz w:val="24"/>
          <w:szCs w:val="24"/>
        </w:rPr>
        <w:t xml:space="preserve"> </w:t>
      </w:r>
      <w:r>
        <w:rPr>
          <w:rFonts w:eastAsia="Calibri"/>
          <w:sz w:val="24"/>
          <w:szCs w:val="24"/>
          <w:highlight w:val="cyan"/>
          <w:u w:val="single"/>
        </w:rPr>
        <w:t>Investors are now realizing the</w:t>
      </w:r>
      <w:r>
        <w:rPr>
          <w:rFonts w:eastAsia="Calibri"/>
          <w:sz w:val="24"/>
          <w:szCs w:val="24"/>
        </w:rPr>
        <w:t xml:space="preserve"> </w:t>
      </w:r>
      <w:r>
        <w:rPr>
          <w:rFonts w:eastAsia="Calibri"/>
          <w:sz w:val="16"/>
          <w:szCs w:val="16"/>
        </w:rPr>
        <w:t>importance of investing in the grid, and the</w:t>
      </w:r>
      <w:r>
        <w:rPr>
          <w:rFonts w:eastAsia="Calibri"/>
          <w:sz w:val="24"/>
          <w:szCs w:val="24"/>
        </w:rPr>
        <w:t xml:space="preserve"> </w:t>
      </w:r>
      <w:r>
        <w:rPr>
          <w:rFonts w:eastAsia="Calibri"/>
          <w:sz w:val="24"/>
          <w:szCs w:val="24"/>
          <w:highlight w:val="cyan"/>
          <w:u w:val="single"/>
        </w:rPr>
        <w:t>opportunities this unlocks</w:t>
      </w:r>
      <w:r>
        <w:rPr>
          <w:rFonts w:eastAsia="Calibri"/>
          <w:sz w:val="16"/>
          <w:szCs w:val="16"/>
        </w:rPr>
        <w:t xml:space="preserve"> for new technologies</w:t>
      </w:r>
      <w:r>
        <w:rPr>
          <w:rFonts w:eastAsia="Calibri"/>
          <w:sz w:val="24"/>
          <w:szCs w:val="24"/>
        </w:rPr>
        <w:t>.</w:t>
      </w:r>
      <w:r>
        <w:rPr>
          <w:rFonts w:eastAsia="Calibri"/>
          <w:sz w:val="24"/>
          <w:szCs w:val="24"/>
          <w:highlight w:val="cyan"/>
          <w:u w:val="single"/>
        </w:rPr>
        <w:t xml:space="preserve"> Private funding can carry the torch forward.</w:t>
      </w:r>
      <w:r>
        <w:rPr>
          <w:rFonts w:eastAsia="Calibri"/>
          <w:sz w:val="24"/>
          <w:szCs w:val="24"/>
          <w:highlight w:val="cyan"/>
          <w:u w:val="single"/>
        </w:rPr>
        <w:t xml:space="preserve"> </w:t>
      </w:r>
    </w:p>
    <w:p w14:paraId="58D07E96" w14:textId="77777777" w:rsidR="005A6D1D" w:rsidRDefault="005A6D1D" w:rsidP="005A6D1D">
      <w:pPr>
        <w:rPr>
          <w:rFonts w:eastAsia="Calibri"/>
          <w:sz w:val="24"/>
          <w:szCs w:val="24"/>
          <w:u w:val="single"/>
        </w:rPr>
      </w:pPr>
    </w:p>
    <w:p w14:paraId="630FDD91" w14:textId="6250F224" w:rsidR="005A6D1D" w:rsidRDefault="005A6D1D" w:rsidP="005A6D1D">
      <w:pPr>
        <w:pStyle w:val="Heading3"/>
        <w:rPr>
          <w:rFonts w:eastAsia="Calibri"/>
        </w:rPr>
      </w:pPr>
      <w:r>
        <w:rPr>
          <w:rFonts w:eastAsia="Calibri"/>
        </w:rPr>
        <w:t>Value of early private investment</w:t>
      </w:r>
    </w:p>
    <w:p w14:paraId="29142758" w14:textId="77777777" w:rsidR="005A6D1D" w:rsidRDefault="005A6D1D" w:rsidP="005A6D1D"/>
    <w:p w14:paraId="50315C3A" w14:textId="77777777" w:rsidR="005A6D1D" w:rsidRPr="005A6D1D" w:rsidRDefault="005A6D1D" w:rsidP="005A6D1D">
      <w:pPr>
        <w:rPr>
          <w:rFonts w:eastAsia="Calibri"/>
          <w:b/>
          <w:sz w:val="26"/>
          <w:szCs w:val="26"/>
        </w:rPr>
      </w:pPr>
      <w:r w:rsidRPr="005A6D1D">
        <w:rPr>
          <w:rFonts w:eastAsia="Calibri"/>
          <w:b/>
          <w:sz w:val="26"/>
          <w:szCs w:val="26"/>
        </w:rPr>
        <w:t>By providing non-dilutive capital public investment enhances the value of early private investment and allow for co-investment.</w:t>
      </w:r>
    </w:p>
    <w:p w14:paraId="10AC048D" w14:textId="77777777" w:rsidR="005A6D1D" w:rsidRDefault="005A6D1D" w:rsidP="005A6D1D">
      <w:pPr>
        <w:rPr>
          <w:rFonts w:eastAsia="Calibri"/>
          <w:sz w:val="16"/>
          <w:szCs w:val="16"/>
        </w:rPr>
      </w:pPr>
      <w:r>
        <w:rPr>
          <w:rFonts w:eastAsia="Calibri"/>
          <w:b/>
          <w:sz w:val="24"/>
          <w:szCs w:val="24"/>
          <w:u w:val="single"/>
        </w:rPr>
        <w:t xml:space="preserve">Bill 25 </w:t>
      </w:r>
      <w:r>
        <w:rPr>
          <w:rFonts w:eastAsia="Calibri"/>
          <w:sz w:val="16"/>
          <w:szCs w:val="16"/>
          <w:u w:val="single"/>
        </w:rPr>
        <w:t xml:space="preserve">[Clark, Bill. “How Government Grants and Incentives Impact Private Investing.” </w:t>
      </w:r>
      <w:proofErr w:type="spellStart"/>
      <w:r>
        <w:rPr>
          <w:rFonts w:eastAsia="Calibri"/>
          <w:i/>
          <w:sz w:val="16"/>
          <w:szCs w:val="16"/>
          <w:u w:val="single"/>
        </w:rPr>
        <w:t>MicroVentures</w:t>
      </w:r>
      <w:proofErr w:type="spellEnd"/>
      <w:r>
        <w:rPr>
          <w:rFonts w:eastAsia="Calibri"/>
          <w:sz w:val="16"/>
          <w:szCs w:val="16"/>
          <w:u w:val="single"/>
        </w:rPr>
        <w:t xml:space="preserve">, 24 June 2025, https://microventures.com/how-government-grants-and-incentives-impact-private-investing. Accessed 30 July 2025. // </w:t>
      </w:r>
      <w:proofErr w:type="spellStart"/>
      <w:r>
        <w:rPr>
          <w:rFonts w:eastAsia="Calibri"/>
          <w:sz w:val="16"/>
          <w:szCs w:val="16"/>
          <w:u w:val="single"/>
        </w:rPr>
        <w:t>Isegora</w:t>
      </w:r>
      <w:proofErr w:type="spellEnd"/>
      <w:r>
        <w:rPr>
          <w:rFonts w:eastAsia="Calibri"/>
          <w:sz w:val="16"/>
          <w:szCs w:val="16"/>
          <w:u w:val="single"/>
        </w:rPr>
        <w:t>]</w:t>
      </w:r>
    </w:p>
    <w:p w14:paraId="4A94BECC" w14:textId="17CEA8DD" w:rsidR="005A6D1D" w:rsidRDefault="005A6D1D" w:rsidP="005A6D1D">
      <w:pPr>
        <w:shd w:val="clear" w:color="auto" w:fill="FFFFFF"/>
        <w:spacing w:before="360" w:after="360"/>
        <w:rPr>
          <w:rFonts w:eastAsia="Calibri"/>
          <w:sz w:val="24"/>
          <w:szCs w:val="24"/>
          <w:u w:val="single"/>
        </w:rPr>
      </w:pPr>
      <w:bookmarkStart w:id="5" w:name="_wq34vtbpac4g" w:colFirst="0" w:colLast="0"/>
      <w:bookmarkEnd w:id="5"/>
      <w:r>
        <w:rPr>
          <w:rFonts w:eastAsia="Calibri"/>
          <w:sz w:val="16"/>
          <w:szCs w:val="16"/>
        </w:rPr>
        <w:t>Incentives in Private Investing</w:t>
      </w:r>
      <w:r>
        <w:rPr>
          <w:rFonts w:eastAsia="Calibri"/>
          <w:sz w:val="16"/>
          <w:szCs w:val="16"/>
        </w:rPr>
        <w:t xml:space="preserve"> </w:t>
      </w:r>
      <w:bookmarkStart w:id="6" w:name="_xoqk1l887xk" w:colFirst="0" w:colLast="0"/>
      <w:bookmarkEnd w:id="6"/>
      <w:r>
        <w:rPr>
          <w:rFonts w:eastAsia="Calibri"/>
          <w:sz w:val="16"/>
          <w:szCs w:val="16"/>
        </w:rPr>
        <w:t>What are Startup Grants and Incentives?</w:t>
      </w:r>
      <w:r>
        <w:rPr>
          <w:rFonts w:eastAsia="Calibri"/>
          <w:sz w:val="16"/>
          <w:szCs w:val="16"/>
        </w:rPr>
        <w:t xml:space="preserve"> </w:t>
      </w:r>
      <w:r>
        <w:rPr>
          <w:rFonts w:eastAsia="Calibri"/>
          <w:sz w:val="24"/>
          <w:szCs w:val="24"/>
          <w:highlight w:val="cyan"/>
          <w:u w:val="single"/>
        </w:rPr>
        <w:t>Government grants and incentives for startups</w:t>
      </w:r>
      <w:r>
        <w:rPr>
          <w:rFonts w:eastAsia="Calibri"/>
          <w:sz w:val="16"/>
          <w:szCs w:val="16"/>
        </w:rPr>
        <w:t xml:space="preserve"> are typically funded by governments, nonprofits, or international organizations. These programs</w:t>
      </w:r>
      <w:r>
        <w:rPr>
          <w:rFonts w:eastAsia="Calibri"/>
          <w:sz w:val="24"/>
          <w:szCs w:val="24"/>
        </w:rPr>
        <w:t xml:space="preserve"> </w:t>
      </w:r>
      <w:r>
        <w:rPr>
          <w:rFonts w:eastAsia="Calibri"/>
          <w:sz w:val="24"/>
          <w:szCs w:val="24"/>
          <w:highlight w:val="cyan"/>
          <w:u w:val="single"/>
        </w:rPr>
        <w:t>offer non-dilutive capital,</w:t>
      </w:r>
      <w:r>
        <w:rPr>
          <w:rFonts w:eastAsia="Calibri"/>
          <w:sz w:val="24"/>
          <w:szCs w:val="24"/>
        </w:rPr>
        <w:t xml:space="preserve"> </w:t>
      </w:r>
      <w:r>
        <w:rPr>
          <w:rFonts w:eastAsia="Calibri"/>
          <w:sz w:val="24"/>
          <w:szCs w:val="24"/>
          <w:u w:val="single"/>
        </w:rPr>
        <w:t>meaning the startup doesn’t have to give up equity in exchange</w:t>
      </w:r>
      <w:r>
        <w:rPr>
          <w:rFonts w:eastAsia="Calibri"/>
          <w:sz w:val="16"/>
          <w:szCs w:val="16"/>
        </w:rPr>
        <w:t xml:space="preserve"> for funding.</w:t>
      </w:r>
      <w:r>
        <w:rPr>
          <w:rFonts w:eastAsia="Calibri"/>
          <w:sz w:val="16"/>
          <w:szCs w:val="16"/>
        </w:rPr>
        <w:t xml:space="preserve"> </w:t>
      </w:r>
      <w:r>
        <w:rPr>
          <w:rFonts w:eastAsia="Calibri"/>
          <w:sz w:val="16"/>
          <w:szCs w:val="16"/>
        </w:rPr>
        <w:t>Here are a few types of startup funding incentives:</w:t>
      </w:r>
      <w:r>
        <w:rPr>
          <w:rFonts w:eastAsia="Calibri"/>
          <w:sz w:val="16"/>
          <w:szCs w:val="16"/>
        </w:rPr>
        <w:t xml:space="preserve"> </w:t>
      </w:r>
      <w:r>
        <w:rPr>
          <w:rFonts w:eastAsia="Calibri"/>
          <w:sz w:val="16"/>
          <w:szCs w:val="16"/>
        </w:rPr>
        <w:t>Government Grants: Programs like the Small Business Innovation Research (SBIR) and Small Business Technology Transfer (STTR) in the U.S. offer funding for startups engaged in federal research and development with commercialization potential.</w:t>
      </w:r>
      <w:hyperlink r:id="rId14" w:anchor="_ftn1">
        <w:r>
          <w:rPr>
            <w:rFonts w:eastAsia="Calibri"/>
            <w:sz w:val="16"/>
            <w:szCs w:val="16"/>
          </w:rPr>
          <w:t>[1]</w:t>
        </w:r>
      </w:hyperlink>
      <w:r>
        <w:rPr>
          <w:rFonts w:eastAsia="Calibri"/>
          <w:sz w:val="16"/>
          <w:szCs w:val="16"/>
        </w:rPr>
        <w:t xml:space="preserve"> </w:t>
      </w:r>
      <w:r>
        <w:rPr>
          <w:rFonts w:eastAsia="Calibri"/>
          <w:sz w:val="16"/>
          <w:szCs w:val="16"/>
        </w:rPr>
        <w:t>Tax Credits: The Research &amp; Development (R&amp;D) Tax Credit allows startups to offset payroll tax liabilities, providing immediate cash flow benefits.</w:t>
      </w:r>
      <w:hyperlink r:id="rId15" w:anchor="_ftn2">
        <w:r>
          <w:rPr>
            <w:rFonts w:eastAsia="Calibri"/>
            <w:sz w:val="16"/>
            <w:szCs w:val="16"/>
          </w:rPr>
          <w:t>[2]</w:t>
        </w:r>
      </w:hyperlink>
      <w:r>
        <w:rPr>
          <w:rFonts w:eastAsia="Calibri"/>
          <w:sz w:val="16"/>
          <w:szCs w:val="16"/>
        </w:rPr>
        <w:t xml:space="preserve"> </w:t>
      </w:r>
      <w:r>
        <w:rPr>
          <w:rFonts w:eastAsia="Calibri"/>
          <w:sz w:val="16"/>
          <w:szCs w:val="16"/>
        </w:rPr>
        <w:t>Regional Incentives: State and local governments offer various incentives, such as tax abatements and infrastructure support, to attract and retain businesses. For example, Texas provides economic development incentives to promote job creation and capital investment.</w:t>
      </w:r>
      <w:hyperlink r:id="rId16" w:anchor="_ftn3">
        <w:r>
          <w:rPr>
            <w:rFonts w:eastAsia="Calibri"/>
            <w:sz w:val="16"/>
            <w:szCs w:val="16"/>
          </w:rPr>
          <w:t>[3]</w:t>
        </w:r>
      </w:hyperlink>
      <w:r>
        <w:rPr>
          <w:rFonts w:eastAsia="Calibri"/>
          <w:sz w:val="16"/>
          <w:szCs w:val="16"/>
        </w:rPr>
        <w:t xml:space="preserve"> </w:t>
      </w:r>
      <w:r>
        <w:rPr>
          <w:rFonts w:eastAsia="Calibri"/>
          <w:sz w:val="16"/>
          <w:szCs w:val="16"/>
        </w:rPr>
        <w:t>Export Assistance: Agencies like the U.S. Export-Import Bank provide resources to help startups expand into international markets. The State Trade Expansion Program (STEP), funded by the U.S. Small Business Administration, offers grants to help small businesses expand into international markets.</w:t>
      </w:r>
      <w:hyperlink r:id="rId17" w:anchor="_ftn4">
        <w:r>
          <w:rPr>
            <w:rFonts w:eastAsia="Calibri"/>
            <w:sz w:val="16"/>
            <w:szCs w:val="16"/>
          </w:rPr>
          <w:t>[4]</w:t>
        </w:r>
      </w:hyperlink>
      <w:r>
        <w:rPr>
          <w:rFonts w:eastAsia="Calibri"/>
          <w:sz w:val="16"/>
          <w:szCs w:val="16"/>
        </w:rPr>
        <w:t xml:space="preserve"> </w:t>
      </w:r>
      <w:r>
        <w:rPr>
          <w:rFonts w:eastAsia="Calibri"/>
          <w:sz w:val="16"/>
          <w:szCs w:val="16"/>
        </w:rPr>
        <w:t>These programs are designed to lower the barriers to innovation, but they also could present opportunities for private investors.</w:t>
      </w:r>
      <w:r>
        <w:rPr>
          <w:rFonts w:eastAsia="Calibri"/>
          <w:sz w:val="16"/>
          <w:szCs w:val="16"/>
        </w:rPr>
        <w:t xml:space="preserve"> </w:t>
      </w:r>
      <w:bookmarkStart w:id="7" w:name="_eq6uqxk1vlbw" w:colFirst="0" w:colLast="0"/>
      <w:bookmarkEnd w:id="7"/>
      <w:r>
        <w:rPr>
          <w:rFonts w:eastAsia="Calibri"/>
          <w:sz w:val="16"/>
          <w:szCs w:val="16"/>
        </w:rPr>
        <w:t>Why Should Investors Pay Attention?</w:t>
      </w:r>
      <w:r>
        <w:rPr>
          <w:rFonts w:eastAsia="Calibri"/>
          <w:sz w:val="16"/>
          <w:szCs w:val="16"/>
        </w:rPr>
        <w:t xml:space="preserve"> </w:t>
      </w:r>
      <w:r>
        <w:rPr>
          <w:rFonts w:eastAsia="Calibri"/>
          <w:sz w:val="16"/>
          <w:szCs w:val="16"/>
          <w:u w:val="single"/>
        </w:rPr>
        <w:t>From reducing capital risk to signaling credibility,</w:t>
      </w:r>
      <w:r>
        <w:rPr>
          <w:rFonts w:eastAsia="Calibri"/>
          <w:sz w:val="24"/>
          <w:szCs w:val="24"/>
          <w:highlight w:val="cyan"/>
          <w:u w:val="single"/>
        </w:rPr>
        <w:t xml:space="preserve"> startup grants can</w:t>
      </w:r>
      <w:r>
        <w:rPr>
          <w:rFonts w:eastAsia="Calibri"/>
          <w:sz w:val="24"/>
          <w:szCs w:val="24"/>
        </w:rPr>
        <w:t xml:space="preserve"> </w:t>
      </w:r>
      <w:r>
        <w:rPr>
          <w:rFonts w:eastAsia="Calibri"/>
          <w:sz w:val="16"/>
          <w:szCs w:val="16"/>
        </w:rPr>
        <w:t xml:space="preserve">create a ripple effect that </w:t>
      </w:r>
      <w:r>
        <w:rPr>
          <w:rFonts w:eastAsia="Calibri"/>
          <w:sz w:val="24"/>
          <w:szCs w:val="24"/>
          <w:highlight w:val="cyan"/>
          <w:u w:val="single"/>
        </w:rPr>
        <w:t>benefit</w:t>
      </w:r>
      <w:r>
        <w:rPr>
          <w:rFonts w:eastAsia="Calibri"/>
          <w:sz w:val="16"/>
          <w:szCs w:val="16"/>
          <w:highlight w:val="cyan"/>
          <w:u w:val="single"/>
        </w:rPr>
        <w:t xml:space="preserve">s </w:t>
      </w:r>
      <w:r>
        <w:rPr>
          <w:rFonts w:eastAsia="Calibri"/>
          <w:sz w:val="24"/>
          <w:szCs w:val="24"/>
          <w:highlight w:val="cyan"/>
          <w:u w:val="single"/>
        </w:rPr>
        <w:t>investors in several ways.</w:t>
      </w:r>
      <w:r>
        <w:rPr>
          <w:rFonts w:eastAsia="Calibri"/>
          <w:sz w:val="24"/>
          <w:szCs w:val="24"/>
          <w:highlight w:val="cyan"/>
          <w:u w:val="single"/>
        </w:rPr>
        <w:t xml:space="preserve"> </w:t>
      </w:r>
      <w:bookmarkStart w:id="8" w:name="_jmupc33h1cpv" w:colFirst="0" w:colLast="0"/>
      <w:bookmarkEnd w:id="8"/>
      <w:r>
        <w:rPr>
          <w:rFonts w:eastAsia="Calibri"/>
          <w:sz w:val="16"/>
          <w:szCs w:val="16"/>
        </w:rPr>
        <w:t>Less Equity Dilution</w:t>
      </w:r>
      <w:r>
        <w:rPr>
          <w:rFonts w:eastAsia="Calibri"/>
          <w:sz w:val="16"/>
          <w:szCs w:val="16"/>
        </w:rPr>
        <w:t xml:space="preserve"> </w:t>
      </w:r>
      <w:r>
        <w:rPr>
          <w:rFonts w:eastAsia="Calibri"/>
          <w:sz w:val="16"/>
          <w:szCs w:val="16"/>
        </w:rPr>
        <w:t>One of these advantages is a smaller amount of equity dilution.</w:t>
      </w:r>
      <w:r>
        <w:rPr>
          <w:rFonts w:eastAsia="Calibri"/>
          <w:sz w:val="24"/>
          <w:szCs w:val="24"/>
        </w:rPr>
        <w:t xml:space="preserve"> </w:t>
      </w:r>
      <w:r>
        <w:rPr>
          <w:rFonts w:eastAsia="Calibri"/>
          <w:sz w:val="24"/>
          <w:szCs w:val="24"/>
          <w:highlight w:val="cyan"/>
          <w:u w:val="single"/>
        </w:rPr>
        <w:t>Since grants are non-dilutive, startups can extend their runway without needing to tap into additional equity rounds. This may help preserve the value of early-stage investors’ ownership.</w:t>
      </w:r>
      <w:r>
        <w:rPr>
          <w:rFonts w:eastAsia="Calibri"/>
          <w:sz w:val="24"/>
          <w:szCs w:val="24"/>
          <w:highlight w:val="cyan"/>
          <w:u w:val="single"/>
        </w:rPr>
        <w:t xml:space="preserve"> </w:t>
      </w:r>
      <w:bookmarkStart w:id="9" w:name="_fbcd3ii6p8wt" w:colFirst="0" w:colLast="0"/>
      <w:bookmarkEnd w:id="9"/>
      <w:r>
        <w:rPr>
          <w:rFonts w:eastAsia="Calibri"/>
          <w:sz w:val="16"/>
          <w:szCs w:val="16"/>
        </w:rPr>
        <w:t>Third-Party Validation</w:t>
      </w:r>
      <w:r>
        <w:rPr>
          <w:rFonts w:eastAsia="Calibri"/>
          <w:sz w:val="16"/>
          <w:szCs w:val="16"/>
        </w:rPr>
        <w:t xml:space="preserve"> </w:t>
      </w:r>
      <w:r>
        <w:rPr>
          <w:rFonts w:eastAsia="Calibri"/>
          <w:sz w:val="16"/>
          <w:szCs w:val="16"/>
        </w:rPr>
        <w:t>Securing a competitive grant often requires rigorous vetting. For investors, this can act as an external stamp of approval, validating the startup’s technology, business model, and growth potential.</w:t>
      </w:r>
      <w:r>
        <w:rPr>
          <w:rFonts w:eastAsia="Calibri"/>
          <w:sz w:val="16"/>
          <w:szCs w:val="16"/>
        </w:rPr>
        <w:t xml:space="preserve"> </w:t>
      </w:r>
      <w:bookmarkStart w:id="10" w:name="_waib3l1vbhsc" w:colFirst="0" w:colLast="0"/>
      <w:bookmarkEnd w:id="10"/>
      <w:r>
        <w:rPr>
          <w:rFonts w:eastAsia="Calibri"/>
          <w:sz w:val="16"/>
          <w:szCs w:val="16"/>
        </w:rPr>
        <w:t>Capital Leverage</w:t>
      </w:r>
      <w:r>
        <w:rPr>
          <w:rFonts w:eastAsia="Calibri"/>
          <w:sz w:val="16"/>
          <w:szCs w:val="16"/>
        </w:rPr>
        <w:t xml:space="preserve"> </w:t>
      </w:r>
      <w:r>
        <w:rPr>
          <w:rFonts w:eastAsia="Calibri"/>
          <w:sz w:val="24"/>
          <w:szCs w:val="24"/>
          <w:highlight w:val="cyan"/>
          <w:u w:val="single"/>
        </w:rPr>
        <w:t xml:space="preserve">Some grant programs are structured to match private capital. Investors </w:t>
      </w:r>
      <w:r>
        <w:rPr>
          <w:rFonts w:eastAsia="Calibri"/>
          <w:sz w:val="16"/>
          <w:szCs w:val="16"/>
        </w:rPr>
        <w:t>who participate in these rounds</w:t>
      </w:r>
      <w:r>
        <w:rPr>
          <w:rFonts w:eastAsia="Calibri"/>
          <w:sz w:val="24"/>
          <w:szCs w:val="24"/>
        </w:rPr>
        <w:t xml:space="preserve"> </w:t>
      </w:r>
      <w:r>
        <w:rPr>
          <w:rFonts w:eastAsia="Calibri"/>
          <w:sz w:val="24"/>
          <w:szCs w:val="24"/>
          <w:highlight w:val="cyan"/>
          <w:u w:val="single"/>
        </w:rPr>
        <w:t>may</w:t>
      </w:r>
      <w:r>
        <w:rPr>
          <w:rFonts w:eastAsia="Calibri"/>
          <w:sz w:val="24"/>
          <w:szCs w:val="24"/>
        </w:rPr>
        <w:t xml:space="preserve"> </w:t>
      </w:r>
      <w:r>
        <w:rPr>
          <w:rFonts w:eastAsia="Calibri"/>
          <w:sz w:val="16"/>
          <w:szCs w:val="16"/>
        </w:rPr>
        <w:t>effectively</w:t>
      </w:r>
      <w:r>
        <w:rPr>
          <w:rFonts w:eastAsia="Calibri"/>
          <w:sz w:val="24"/>
          <w:szCs w:val="24"/>
        </w:rPr>
        <w:t xml:space="preserve"> </w:t>
      </w:r>
      <w:r>
        <w:rPr>
          <w:rFonts w:eastAsia="Calibri"/>
          <w:sz w:val="24"/>
          <w:szCs w:val="24"/>
          <w:highlight w:val="cyan"/>
          <w:u w:val="single"/>
        </w:rPr>
        <w:t>co-invest alongside government funding, amplifying the impact of their capital.</w:t>
      </w:r>
    </w:p>
    <w:p w14:paraId="65C1BD41" w14:textId="28ED8CB7" w:rsidR="005A6D1D" w:rsidRDefault="005A6D1D" w:rsidP="005A6D1D">
      <w:pPr>
        <w:pStyle w:val="Heading3"/>
        <w:rPr>
          <w:rFonts w:eastAsia="Calibri"/>
        </w:rPr>
      </w:pPr>
      <w:r>
        <w:rPr>
          <w:rFonts w:eastAsia="Calibri"/>
        </w:rPr>
        <w:t>Funds risky technology</w:t>
      </w:r>
    </w:p>
    <w:p w14:paraId="258C6B07" w14:textId="77777777" w:rsidR="005A6D1D" w:rsidRDefault="005A6D1D" w:rsidP="005A6D1D"/>
    <w:p w14:paraId="1D270995" w14:textId="77777777" w:rsidR="005A6D1D" w:rsidRPr="005A6D1D" w:rsidRDefault="005A6D1D" w:rsidP="005A6D1D">
      <w:pPr>
        <w:rPr>
          <w:rFonts w:eastAsia="Calibri"/>
          <w:b/>
          <w:sz w:val="26"/>
          <w:szCs w:val="26"/>
        </w:rPr>
      </w:pPr>
      <w:r w:rsidRPr="005A6D1D">
        <w:rPr>
          <w:rFonts w:eastAsia="Calibri"/>
          <w:b/>
          <w:sz w:val="26"/>
          <w:szCs w:val="26"/>
        </w:rPr>
        <w:t xml:space="preserve">Government investment </w:t>
      </w:r>
      <w:proofErr w:type="gramStart"/>
      <w:r w:rsidRPr="005A6D1D">
        <w:rPr>
          <w:rFonts w:eastAsia="Calibri"/>
          <w:b/>
          <w:sz w:val="26"/>
          <w:szCs w:val="26"/>
        </w:rPr>
        <w:t>actually facilitates</w:t>
      </w:r>
      <w:proofErr w:type="gramEnd"/>
      <w:r w:rsidRPr="005A6D1D">
        <w:rPr>
          <w:rFonts w:eastAsia="Calibri"/>
          <w:b/>
          <w:sz w:val="26"/>
          <w:szCs w:val="26"/>
        </w:rPr>
        <w:t xml:space="preserve"> private investment by funding risky new technologies.</w:t>
      </w:r>
    </w:p>
    <w:p w14:paraId="7DA75B23" w14:textId="77777777" w:rsidR="005A6D1D" w:rsidRDefault="005A6D1D" w:rsidP="005A6D1D">
      <w:pPr>
        <w:rPr>
          <w:rFonts w:eastAsia="Calibri"/>
          <w:sz w:val="16"/>
          <w:szCs w:val="16"/>
        </w:rPr>
      </w:pPr>
      <w:r>
        <w:rPr>
          <w:rFonts w:eastAsia="Calibri"/>
          <w:b/>
          <w:sz w:val="24"/>
          <w:szCs w:val="24"/>
          <w:u w:val="single"/>
        </w:rPr>
        <w:t>Boushey 23</w:t>
      </w:r>
      <w:r>
        <w:rPr>
          <w:rFonts w:eastAsia="Calibri"/>
          <w:sz w:val="24"/>
          <w:szCs w:val="24"/>
        </w:rPr>
        <w:t xml:space="preserve"> </w:t>
      </w:r>
      <w:r>
        <w:rPr>
          <w:rFonts w:eastAsia="Calibri"/>
          <w:sz w:val="16"/>
          <w:szCs w:val="16"/>
        </w:rPr>
        <w:t xml:space="preserve">[Boushey, Heather, </w:t>
      </w:r>
      <w:r>
        <w:rPr>
          <w:rFonts w:eastAsia="Calibri"/>
          <w:color w:val="202122"/>
          <w:sz w:val="16"/>
          <w:szCs w:val="16"/>
          <w:highlight w:val="white"/>
        </w:rPr>
        <w:t xml:space="preserve">Ph.D. in economics from The New School for Social </w:t>
      </w:r>
      <w:proofErr w:type="gramStart"/>
      <w:r>
        <w:rPr>
          <w:rFonts w:eastAsia="Calibri"/>
          <w:color w:val="202122"/>
          <w:sz w:val="16"/>
          <w:szCs w:val="16"/>
          <w:highlight w:val="white"/>
        </w:rPr>
        <w:t>Research.</w:t>
      </w:r>
      <w:r>
        <w:rPr>
          <w:rFonts w:eastAsia="Calibri"/>
          <w:sz w:val="16"/>
          <w:szCs w:val="16"/>
        </w:rPr>
        <w:t>.</w:t>
      </w:r>
      <w:proofErr w:type="gramEnd"/>
      <w:r>
        <w:rPr>
          <w:rFonts w:eastAsia="Calibri"/>
          <w:sz w:val="16"/>
          <w:szCs w:val="16"/>
        </w:rPr>
        <w:t xml:space="preserve"> “The Economics of Public Investment Crowding in Private Investment.” </w:t>
      </w:r>
      <w:r>
        <w:rPr>
          <w:rFonts w:eastAsia="Calibri"/>
          <w:i/>
          <w:sz w:val="16"/>
          <w:szCs w:val="16"/>
        </w:rPr>
        <w:t>bidenwhitehouse.archive.gov</w:t>
      </w:r>
      <w:r>
        <w:rPr>
          <w:rFonts w:eastAsia="Calibri"/>
          <w:sz w:val="16"/>
          <w:szCs w:val="16"/>
        </w:rPr>
        <w:t xml:space="preserve">, The White House Archive, 16 8 2023, https://bidenwhitehouse.archives.gov/briefing-room/blog/2023/08/16/the-economics-of-public-investment-crowding-in-private-investment/. Accessed 28 7 2025. // </w:t>
      </w:r>
      <w:proofErr w:type="spellStart"/>
      <w:r>
        <w:rPr>
          <w:rFonts w:eastAsia="Calibri"/>
          <w:sz w:val="16"/>
          <w:szCs w:val="16"/>
        </w:rPr>
        <w:t>Isegora</w:t>
      </w:r>
      <w:proofErr w:type="spellEnd"/>
      <w:r>
        <w:rPr>
          <w:rFonts w:eastAsia="Calibri"/>
          <w:sz w:val="16"/>
          <w:szCs w:val="16"/>
        </w:rPr>
        <w:t>]</w:t>
      </w:r>
    </w:p>
    <w:p w14:paraId="75A81158" w14:textId="1F9DD5D3" w:rsidR="005A6D1D" w:rsidRDefault="005A6D1D" w:rsidP="005A6D1D">
      <w:pPr>
        <w:shd w:val="clear" w:color="auto" w:fill="FFFFFF"/>
        <w:spacing w:after="380" w:line="422" w:lineRule="auto"/>
        <w:rPr>
          <w:rFonts w:eastAsia="Calibri"/>
          <w:sz w:val="24"/>
          <w:szCs w:val="24"/>
          <w:highlight w:val="cyan"/>
          <w:u w:val="single"/>
        </w:rPr>
      </w:pPr>
      <w:bookmarkStart w:id="11" w:name="_kaw0jolcl6t9" w:colFirst="0" w:colLast="0"/>
      <w:bookmarkEnd w:id="11"/>
      <w:r>
        <w:rPr>
          <w:rFonts w:eastAsia="Calibri"/>
          <w:sz w:val="24"/>
          <w:szCs w:val="24"/>
        </w:rPr>
        <w:t>Unlocking private capital</w:t>
      </w:r>
      <w:r>
        <w:rPr>
          <w:rFonts w:eastAsia="Calibri"/>
          <w:sz w:val="24"/>
        </w:rPr>
        <w:t xml:space="preserve"> </w:t>
      </w:r>
      <w:r>
        <w:rPr>
          <w:rFonts w:eastAsia="Calibri"/>
          <w:sz w:val="16"/>
          <w:szCs w:val="16"/>
        </w:rPr>
        <w:t>Because of how nascent they are,</w:t>
      </w:r>
      <w:r>
        <w:rPr>
          <w:rFonts w:eastAsia="Calibri"/>
          <w:sz w:val="24"/>
          <w:szCs w:val="24"/>
        </w:rPr>
        <w:t xml:space="preserve"> </w:t>
      </w:r>
      <w:r>
        <w:rPr>
          <w:rFonts w:eastAsia="Calibri"/>
          <w:sz w:val="24"/>
          <w:szCs w:val="24"/>
          <w:highlight w:val="cyan"/>
          <w:u w:val="single"/>
        </w:rPr>
        <w:t>frontier technologies</w:t>
      </w:r>
      <w:r>
        <w:rPr>
          <w:rFonts w:eastAsia="Calibri"/>
          <w:sz w:val="24"/>
          <w:szCs w:val="24"/>
        </w:rPr>
        <w:t xml:space="preserve"> </w:t>
      </w:r>
      <w:r>
        <w:rPr>
          <w:rFonts w:eastAsia="Calibri"/>
          <w:sz w:val="16"/>
          <w:szCs w:val="16"/>
        </w:rPr>
        <w:t>often</w:t>
      </w:r>
      <w:r>
        <w:rPr>
          <w:rFonts w:eastAsia="Calibri"/>
          <w:sz w:val="24"/>
          <w:szCs w:val="24"/>
        </w:rPr>
        <w:t xml:space="preserve"> </w:t>
      </w:r>
      <w:r>
        <w:rPr>
          <w:rFonts w:eastAsia="Calibri"/>
          <w:sz w:val="24"/>
          <w:szCs w:val="24"/>
          <w:highlight w:val="cyan"/>
          <w:u w:val="single"/>
        </w:rPr>
        <w:t xml:space="preserve">find it challenging to </w:t>
      </w:r>
      <w:hyperlink r:id="rId18">
        <w:r>
          <w:rPr>
            <w:rFonts w:eastAsia="Calibri"/>
            <w:sz w:val="24"/>
            <w:szCs w:val="24"/>
            <w:highlight w:val="cyan"/>
            <w:u w:val="single"/>
          </w:rPr>
          <w:t>access</w:t>
        </w:r>
      </w:hyperlink>
      <w:r>
        <w:rPr>
          <w:rFonts w:eastAsia="Calibri"/>
          <w:sz w:val="24"/>
          <w:szCs w:val="24"/>
          <w:highlight w:val="cyan"/>
          <w:u w:val="single"/>
        </w:rPr>
        <w:t xml:space="preserve"> traditional (lower-cost) capital markets, like</w:t>
      </w:r>
      <w:r>
        <w:rPr>
          <w:rFonts w:eastAsia="Calibri"/>
          <w:sz w:val="24"/>
          <w:szCs w:val="24"/>
        </w:rPr>
        <w:t xml:space="preserve"> </w:t>
      </w:r>
      <w:r>
        <w:rPr>
          <w:rFonts w:eastAsia="Calibri"/>
          <w:sz w:val="16"/>
          <w:szCs w:val="16"/>
        </w:rPr>
        <w:t>project</w:t>
      </w:r>
      <w:r>
        <w:rPr>
          <w:rFonts w:eastAsia="Calibri"/>
          <w:sz w:val="24"/>
          <w:szCs w:val="24"/>
        </w:rPr>
        <w:t xml:space="preserve"> </w:t>
      </w:r>
      <w:r>
        <w:rPr>
          <w:rFonts w:eastAsia="Calibri"/>
          <w:sz w:val="24"/>
          <w:szCs w:val="24"/>
          <w:highlight w:val="cyan"/>
          <w:u w:val="single"/>
        </w:rPr>
        <w:t>debt from banks or project equity from other investors.</w:t>
      </w:r>
      <w:r>
        <w:rPr>
          <w:rFonts w:eastAsia="Calibri"/>
          <w:sz w:val="24"/>
          <w:szCs w:val="24"/>
        </w:rPr>
        <w:t xml:space="preserve"> </w:t>
      </w:r>
      <w:r>
        <w:rPr>
          <w:rFonts w:eastAsia="Calibri"/>
          <w:sz w:val="16"/>
          <w:szCs w:val="16"/>
        </w:rPr>
        <w:t>This means</w:t>
      </w:r>
      <w:r>
        <w:rPr>
          <w:rFonts w:eastAsia="Calibri"/>
          <w:sz w:val="24"/>
          <w:szCs w:val="24"/>
        </w:rPr>
        <w:t xml:space="preserve"> </w:t>
      </w:r>
      <w:proofErr w:type="gramStart"/>
      <w:r>
        <w:rPr>
          <w:rFonts w:eastAsia="Calibri"/>
          <w:sz w:val="24"/>
          <w:szCs w:val="24"/>
          <w:highlight w:val="cyan"/>
          <w:u w:val="single"/>
        </w:rPr>
        <w:t>these technology</w:t>
      </w:r>
      <w:proofErr w:type="gramEnd"/>
      <w:r>
        <w:rPr>
          <w:rFonts w:eastAsia="Calibri"/>
          <w:sz w:val="24"/>
          <w:szCs w:val="24"/>
          <w:highlight w:val="cyan"/>
          <w:u w:val="single"/>
        </w:rPr>
        <w:t xml:space="preserve"> projects have less access to capital,</w:t>
      </w:r>
      <w:r>
        <w:rPr>
          <w:rFonts w:eastAsia="Calibri"/>
          <w:sz w:val="24"/>
          <w:szCs w:val="24"/>
        </w:rPr>
        <w:t xml:space="preserve"> </w:t>
      </w:r>
      <w:r>
        <w:rPr>
          <w:rFonts w:eastAsia="Calibri"/>
          <w:sz w:val="16"/>
          <w:szCs w:val="16"/>
        </w:rPr>
        <w:t>which would be leveraged to boost returns (and make them more attractive to investors), accelerate the infrastructure and ecosystem buildout, and deliver the socioeconomic benefits promised by the technology.</w:t>
      </w:r>
      <w:r>
        <w:rPr>
          <w:rFonts w:eastAsia="Calibri"/>
          <w:sz w:val="16"/>
          <w:szCs w:val="16"/>
        </w:rPr>
        <w:t xml:space="preserve"> </w:t>
      </w:r>
      <w:r>
        <w:rPr>
          <w:rFonts w:eastAsia="Calibri"/>
          <w:sz w:val="16"/>
          <w:szCs w:val="16"/>
        </w:rPr>
        <w:t>While this, in part, can be due to issues like the lack of existing workforce and infrastructure discussed above,</w:t>
      </w:r>
      <w:r>
        <w:rPr>
          <w:rFonts w:eastAsia="Calibri"/>
          <w:sz w:val="24"/>
          <w:szCs w:val="24"/>
        </w:rPr>
        <w:t xml:space="preserve"> </w:t>
      </w:r>
      <w:r>
        <w:rPr>
          <w:rFonts w:eastAsia="Calibri"/>
          <w:sz w:val="24"/>
          <w:szCs w:val="24"/>
          <w:highlight w:val="cyan"/>
          <w:u w:val="single"/>
        </w:rPr>
        <w:t xml:space="preserve">these technologies are also perceived as having </w:t>
      </w:r>
      <w:hyperlink r:id="rId19">
        <w:r>
          <w:rPr>
            <w:rFonts w:eastAsia="Calibri"/>
            <w:sz w:val="24"/>
            <w:szCs w:val="24"/>
            <w:highlight w:val="cyan"/>
            <w:u w:val="single"/>
          </w:rPr>
          <w:t>greater</w:t>
        </w:r>
      </w:hyperlink>
      <w:r>
        <w:rPr>
          <w:rFonts w:eastAsia="Calibri"/>
          <w:sz w:val="24"/>
          <w:szCs w:val="24"/>
          <w:highlight w:val="cyan"/>
          <w:u w:val="single"/>
        </w:rPr>
        <w:t xml:space="preserve"> </w:t>
      </w:r>
      <w:hyperlink r:id="rId20">
        <w:r>
          <w:rPr>
            <w:rFonts w:eastAsia="Calibri"/>
            <w:sz w:val="24"/>
            <w:szCs w:val="24"/>
            <w:highlight w:val="cyan"/>
            <w:u w:val="single"/>
          </w:rPr>
          <w:t>credit</w:t>
        </w:r>
      </w:hyperlink>
      <w:r>
        <w:rPr>
          <w:rFonts w:eastAsia="Calibri"/>
          <w:sz w:val="24"/>
          <w:szCs w:val="24"/>
          <w:highlight w:val="cyan"/>
          <w:u w:val="single"/>
        </w:rPr>
        <w:t xml:space="preserve"> </w:t>
      </w:r>
      <w:hyperlink r:id="rId21">
        <w:r>
          <w:rPr>
            <w:rFonts w:eastAsia="Calibri"/>
            <w:sz w:val="24"/>
            <w:szCs w:val="24"/>
            <w:highlight w:val="cyan"/>
            <w:u w:val="single"/>
          </w:rPr>
          <w:t>risk</w:t>
        </w:r>
      </w:hyperlink>
      <w:r>
        <w:rPr>
          <w:rFonts w:eastAsia="Calibri"/>
          <w:sz w:val="24"/>
          <w:szCs w:val="24"/>
          <w:highlight w:val="cyan"/>
          <w:u w:val="single"/>
        </w:rPr>
        <w:t>.</w:t>
      </w:r>
      <w:r>
        <w:rPr>
          <w:rFonts w:eastAsia="Calibri"/>
          <w:sz w:val="24"/>
          <w:szCs w:val="24"/>
        </w:rPr>
        <w:t xml:space="preserve"> </w:t>
      </w:r>
      <w:r>
        <w:rPr>
          <w:rFonts w:eastAsia="Calibri"/>
          <w:sz w:val="16"/>
          <w:szCs w:val="16"/>
        </w:rPr>
        <w:t>The challenges are twofold.</w:t>
      </w:r>
      <w:r>
        <w:rPr>
          <w:rFonts w:eastAsia="Calibri"/>
          <w:sz w:val="24"/>
          <w:szCs w:val="24"/>
        </w:rPr>
        <w:t xml:space="preserve"> </w:t>
      </w:r>
      <w:r>
        <w:rPr>
          <w:rFonts w:eastAsia="Calibri"/>
          <w:sz w:val="24"/>
          <w:szCs w:val="24"/>
          <w:highlight w:val="cyan"/>
          <w:u w:val="single"/>
        </w:rPr>
        <w:t>First-of-a-kind projects are</w:t>
      </w:r>
      <w:r>
        <w:rPr>
          <w:rFonts w:eastAsia="Calibri"/>
          <w:sz w:val="24"/>
          <w:szCs w:val="24"/>
        </w:rPr>
        <w:t xml:space="preserve"> </w:t>
      </w:r>
      <w:r>
        <w:rPr>
          <w:rFonts w:eastAsia="Calibri"/>
          <w:sz w:val="16"/>
          <w:szCs w:val="16"/>
        </w:rPr>
        <w:t>sometimes</w:t>
      </w:r>
      <w:r>
        <w:rPr>
          <w:rFonts w:eastAsia="Calibri"/>
          <w:sz w:val="24"/>
          <w:szCs w:val="24"/>
        </w:rPr>
        <w:t xml:space="preserve"> </w:t>
      </w:r>
      <w:r>
        <w:rPr>
          <w:rFonts w:eastAsia="Calibri"/>
          <w:sz w:val="24"/>
          <w:szCs w:val="24"/>
          <w:highlight w:val="cyan"/>
          <w:u w:val="single"/>
        </w:rPr>
        <w:t>more likely to experience large uncertainties in actual</w:t>
      </w:r>
      <w:r>
        <w:rPr>
          <w:rFonts w:eastAsia="Calibri"/>
          <w:sz w:val="24"/>
          <w:szCs w:val="24"/>
        </w:rPr>
        <w:t xml:space="preserve"> </w:t>
      </w:r>
      <w:r>
        <w:rPr>
          <w:rFonts w:eastAsia="Calibri"/>
          <w:sz w:val="16"/>
          <w:szCs w:val="16"/>
        </w:rPr>
        <w:t>equipment manufacturing</w:t>
      </w:r>
      <w:r>
        <w:rPr>
          <w:rFonts w:eastAsia="Calibri"/>
          <w:sz w:val="24"/>
          <w:szCs w:val="24"/>
        </w:rPr>
        <w:t xml:space="preserve"> </w:t>
      </w:r>
      <w:r>
        <w:rPr>
          <w:rFonts w:eastAsia="Calibri"/>
          <w:sz w:val="24"/>
          <w:szCs w:val="24"/>
          <w:highlight w:val="cyan"/>
          <w:u w:val="single"/>
        </w:rPr>
        <w:t>costs</w:t>
      </w:r>
      <w:r>
        <w:rPr>
          <w:rFonts w:eastAsia="Calibri"/>
          <w:sz w:val="24"/>
          <w:szCs w:val="24"/>
        </w:rPr>
        <w:t xml:space="preserve">, </w:t>
      </w:r>
      <w:r>
        <w:rPr>
          <w:rFonts w:eastAsia="Calibri"/>
          <w:sz w:val="16"/>
          <w:szCs w:val="16"/>
        </w:rPr>
        <w:t>construction timing and costs,</w:t>
      </w:r>
      <w:r>
        <w:rPr>
          <w:rFonts w:eastAsia="Calibri"/>
          <w:sz w:val="24"/>
          <w:szCs w:val="24"/>
        </w:rPr>
        <w:t xml:space="preserve"> </w:t>
      </w:r>
      <w:r>
        <w:rPr>
          <w:rFonts w:eastAsia="Calibri"/>
          <w:sz w:val="24"/>
          <w:szCs w:val="24"/>
          <w:highlight w:val="cyan"/>
          <w:u w:val="single"/>
        </w:rPr>
        <w:t>revenue streams</w:t>
      </w:r>
      <w:r>
        <w:rPr>
          <w:rFonts w:eastAsia="Calibri"/>
          <w:sz w:val="24"/>
          <w:szCs w:val="24"/>
        </w:rPr>
        <w:t xml:space="preserve"> </w:t>
      </w:r>
      <w:r>
        <w:rPr>
          <w:rFonts w:eastAsia="Calibri"/>
          <w:sz w:val="16"/>
          <w:szCs w:val="16"/>
        </w:rPr>
        <w:t xml:space="preserve">(especially if they involve new business models and use cases), or ongoing operating </w:t>
      </w:r>
      <w:r>
        <w:rPr>
          <w:rFonts w:eastAsia="Calibri"/>
          <w:sz w:val="24"/>
          <w:szCs w:val="24"/>
          <w:highlight w:val="cyan"/>
          <w:u w:val="single"/>
        </w:rPr>
        <w:t>and maintenance expenses</w:t>
      </w:r>
      <w:r>
        <w:rPr>
          <w:rFonts w:eastAsia="Calibri"/>
          <w:sz w:val="24"/>
          <w:szCs w:val="24"/>
        </w:rPr>
        <w:t xml:space="preserve">. </w:t>
      </w:r>
      <w:r>
        <w:rPr>
          <w:rFonts w:eastAsia="Calibri"/>
          <w:sz w:val="24"/>
          <w:szCs w:val="24"/>
          <w:highlight w:val="cyan"/>
          <w:u w:val="single"/>
        </w:rPr>
        <w:t>Second, the novelty of frontier technologies can</w:t>
      </w:r>
      <w:r>
        <w:rPr>
          <w:rFonts w:eastAsia="Calibri"/>
          <w:sz w:val="24"/>
          <w:szCs w:val="24"/>
        </w:rPr>
        <w:t xml:space="preserve"> </w:t>
      </w:r>
      <w:r>
        <w:rPr>
          <w:rFonts w:eastAsia="Calibri"/>
          <w:sz w:val="16"/>
          <w:szCs w:val="16"/>
        </w:rPr>
        <w:t>limit institutional investments in their own</w:t>
      </w:r>
      <w:r>
        <w:rPr>
          <w:rFonts w:eastAsia="Calibri"/>
          <w:sz w:val="24"/>
          <w:szCs w:val="24"/>
        </w:rPr>
        <w:t xml:space="preserve"> </w:t>
      </w:r>
      <w:r>
        <w:rPr>
          <w:rFonts w:eastAsia="Calibri"/>
          <w:sz w:val="24"/>
          <w:szCs w:val="24"/>
          <w:highlight w:val="cyan"/>
          <w:u w:val="single"/>
        </w:rPr>
        <w:t xml:space="preserve">capacities to understand, assess, and underwrite investments or loans </w:t>
      </w:r>
      <w:r>
        <w:rPr>
          <w:rFonts w:eastAsia="Calibri"/>
          <w:sz w:val="16"/>
          <w:szCs w:val="16"/>
        </w:rPr>
        <w:t>in the space.</w:t>
      </w:r>
      <w:r>
        <w:rPr>
          <w:rFonts w:eastAsia="Calibri"/>
          <w:sz w:val="24"/>
          <w:szCs w:val="24"/>
        </w:rPr>
        <w:t xml:space="preserve"> </w:t>
      </w:r>
      <w:r>
        <w:rPr>
          <w:rFonts w:eastAsia="Calibri"/>
          <w:sz w:val="24"/>
          <w:szCs w:val="24"/>
          <w:highlight w:val="cyan"/>
          <w:u w:val="single"/>
        </w:rPr>
        <w:t>Because of this, traditional financing institutions may be hesitant</w:t>
      </w:r>
      <w:r>
        <w:rPr>
          <w:rFonts w:eastAsia="Calibri"/>
          <w:sz w:val="24"/>
          <w:szCs w:val="24"/>
        </w:rPr>
        <w:t xml:space="preserve"> </w:t>
      </w:r>
      <w:r>
        <w:rPr>
          <w:rFonts w:eastAsia="Calibri"/>
          <w:sz w:val="16"/>
          <w:szCs w:val="16"/>
        </w:rPr>
        <w:t xml:space="preserve">to underwrite </w:t>
      </w:r>
      <w:hyperlink r:id="rId22">
        <w:r>
          <w:rPr>
            <w:rFonts w:eastAsia="Calibri"/>
            <w:sz w:val="16"/>
            <w:szCs w:val="16"/>
          </w:rPr>
          <w:t>clean energy technology</w:t>
        </w:r>
      </w:hyperlink>
      <w:r>
        <w:rPr>
          <w:rFonts w:eastAsia="Calibri"/>
          <w:sz w:val="16"/>
          <w:szCs w:val="16"/>
        </w:rPr>
        <w:t xml:space="preserve"> projects that do not yet have a more extensive track record at scale.</w:t>
      </w:r>
      <w:r>
        <w:rPr>
          <w:rFonts w:eastAsia="Calibri"/>
          <w:sz w:val="16"/>
          <w:szCs w:val="16"/>
        </w:rPr>
        <w:t xml:space="preserve"> </w:t>
      </w:r>
      <w:r>
        <w:rPr>
          <w:rFonts w:eastAsia="Calibri"/>
          <w:sz w:val="16"/>
          <w:szCs w:val="16"/>
        </w:rPr>
        <w:t xml:space="preserve">At the same time, more generally, manufacturing competes with other sectors—like software—that offer higher returns with fewer upfront capital investments. Manufacturing investments can take longer to pay off and may need sizeable upfront capital investments beyond the scope of certain investors like venture capital groups. Therefore, the industry tends to have </w:t>
      </w:r>
      <w:hyperlink r:id="rId23">
        <w:r>
          <w:rPr>
            <w:rFonts w:eastAsia="Calibri"/>
            <w:sz w:val="16"/>
            <w:szCs w:val="16"/>
          </w:rPr>
          <w:t>less</w:t>
        </w:r>
      </w:hyperlink>
      <w:r>
        <w:rPr>
          <w:rFonts w:eastAsia="Calibri"/>
          <w:sz w:val="16"/>
          <w:szCs w:val="16"/>
        </w:rPr>
        <w:t xml:space="preserve"> </w:t>
      </w:r>
      <w:hyperlink r:id="rId24">
        <w:r>
          <w:rPr>
            <w:rFonts w:eastAsia="Calibri"/>
            <w:sz w:val="16"/>
            <w:szCs w:val="16"/>
          </w:rPr>
          <w:t>access</w:t>
        </w:r>
      </w:hyperlink>
      <w:r>
        <w:rPr>
          <w:rFonts w:eastAsia="Calibri"/>
          <w:sz w:val="16"/>
          <w:szCs w:val="16"/>
        </w:rPr>
        <w:t xml:space="preserve"> to capital from investors.</w:t>
      </w:r>
      <w:r>
        <w:rPr>
          <w:rFonts w:eastAsia="Calibri"/>
          <w:sz w:val="16"/>
          <w:szCs w:val="16"/>
        </w:rPr>
        <w:t xml:space="preserve"> </w:t>
      </w:r>
      <w:r>
        <w:rPr>
          <w:rFonts w:eastAsia="Calibri"/>
          <w:sz w:val="24"/>
          <w:szCs w:val="24"/>
          <w:highlight w:val="cyan"/>
          <w:u w:val="single"/>
        </w:rPr>
        <w:t>Government investments</w:t>
      </w:r>
      <w:r>
        <w:rPr>
          <w:rFonts w:eastAsia="Calibri"/>
          <w:sz w:val="24"/>
          <w:szCs w:val="24"/>
        </w:rPr>
        <w:t xml:space="preserve"> </w:t>
      </w:r>
      <w:r>
        <w:rPr>
          <w:rFonts w:eastAsia="Calibri"/>
          <w:sz w:val="16"/>
          <w:szCs w:val="16"/>
        </w:rPr>
        <w:t>in the Investing in America agenda</w:t>
      </w:r>
      <w:r>
        <w:rPr>
          <w:rFonts w:eastAsia="Calibri"/>
          <w:sz w:val="24"/>
          <w:szCs w:val="24"/>
        </w:rPr>
        <w:t xml:space="preserve"> </w:t>
      </w:r>
      <w:r>
        <w:rPr>
          <w:rFonts w:eastAsia="Calibri"/>
          <w:sz w:val="24"/>
          <w:szCs w:val="24"/>
          <w:highlight w:val="cyan"/>
          <w:u w:val="single"/>
        </w:rPr>
        <w:t>help reduce these credit risks and enable private capital to flow</w:t>
      </w:r>
      <w:r>
        <w:rPr>
          <w:rFonts w:eastAsia="Calibri"/>
          <w:sz w:val="24"/>
          <w:szCs w:val="24"/>
        </w:rPr>
        <w:t xml:space="preserve"> </w:t>
      </w:r>
      <w:r>
        <w:rPr>
          <w:rFonts w:eastAsia="Calibri"/>
          <w:sz w:val="16"/>
          <w:szCs w:val="16"/>
        </w:rPr>
        <w:t xml:space="preserve">into clean energy and manufacturing markets. Currently, this is being implemented through offices like the Department of Energy </w:t>
      </w:r>
      <w:hyperlink r:id="rId25">
        <w:r>
          <w:rPr>
            <w:rFonts w:eastAsia="Calibri"/>
            <w:sz w:val="16"/>
            <w:szCs w:val="16"/>
          </w:rPr>
          <w:t>Loan Programs Office</w:t>
        </w:r>
      </w:hyperlink>
      <w:r>
        <w:rPr>
          <w:rFonts w:eastAsia="Calibri"/>
          <w:sz w:val="16"/>
          <w:szCs w:val="16"/>
        </w:rPr>
        <w:t xml:space="preserve"> and </w:t>
      </w:r>
      <w:hyperlink r:id="rId26">
        <w:r>
          <w:rPr>
            <w:rFonts w:eastAsia="Calibri"/>
            <w:sz w:val="16"/>
            <w:szCs w:val="16"/>
          </w:rPr>
          <w:t>Office of Clean Energy Demonstrations</w:t>
        </w:r>
      </w:hyperlink>
      <w:r>
        <w:rPr>
          <w:rFonts w:eastAsia="Calibri"/>
          <w:sz w:val="16"/>
          <w:szCs w:val="16"/>
        </w:rPr>
        <w:t xml:space="preserve">—along with investments in domestic manufacturing of semiconductors, requirements for domestic manufacturing of certain infrastructure inputs, and more. The Office of Clean Energy Demonstrations can provide financial assistance for first-of-a-kind commercial scale demonstrations that </w:t>
      </w:r>
      <w:hyperlink r:id="rId27">
        <w:r>
          <w:rPr>
            <w:rFonts w:eastAsia="Calibri"/>
            <w:sz w:val="16"/>
            <w:szCs w:val="16"/>
          </w:rPr>
          <w:t>prove</w:t>
        </w:r>
      </w:hyperlink>
      <w:r>
        <w:rPr>
          <w:rFonts w:eastAsia="Calibri"/>
          <w:sz w:val="16"/>
          <w:szCs w:val="16"/>
        </w:rPr>
        <w:t xml:space="preserve"> the technology works in real-world conditions and at scale. Similarly, the Loan Programs Office fills a key gap in the commercialization pathway by providing loans and loan guarantees to emerging clean energy projects that private lenders like banks are challenged in lending to.</w:t>
      </w:r>
      <w:r>
        <w:rPr>
          <w:rFonts w:eastAsia="Calibri"/>
          <w:sz w:val="24"/>
          <w:szCs w:val="24"/>
        </w:rPr>
        <w:t xml:space="preserve"> </w:t>
      </w:r>
      <w:r>
        <w:rPr>
          <w:rFonts w:eastAsia="Calibri"/>
          <w:sz w:val="24"/>
          <w:szCs w:val="24"/>
          <w:highlight w:val="cyan"/>
          <w:u w:val="single"/>
        </w:rPr>
        <w:t xml:space="preserve">By supporting nascent yet promising technologies at a time when private financing institutions do not, the government carves a </w:t>
      </w:r>
      <w:hyperlink r:id="rId28">
        <w:r>
          <w:rPr>
            <w:rFonts w:eastAsia="Calibri"/>
            <w:sz w:val="24"/>
            <w:szCs w:val="24"/>
            <w:highlight w:val="cyan"/>
            <w:u w:val="single"/>
          </w:rPr>
          <w:t>path</w:t>
        </w:r>
      </w:hyperlink>
      <w:r>
        <w:rPr>
          <w:rFonts w:eastAsia="Calibri"/>
          <w:sz w:val="24"/>
          <w:szCs w:val="24"/>
          <w:highlight w:val="cyan"/>
          <w:u w:val="single"/>
        </w:rPr>
        <w:t xml:space="preserve"> for</w:t>
      </w:r>
      <w:r>
        <w:rPr>
          <w:rFonts w:eastAsia="Calibri"/>
          <w:sz w:val="24"/>
          <w:szCs w:val="24"/>
        </w:rPr>
        <w:t xml:space="preserve"> </w:t>
      </w:r>
      <w:r>
        <w:rPr>
          <w:rFonts w:eastAsia="Calibri"/>
          <w:sz w:val="16"/>
          <w:szCs w:val="16"/>
        </w:rPr>
        <w:t>clean energy</w:t>
      </w:r>
      <w:r>
        <w:rPr>
          <w:rFonts w:eastAsia="Calibri"/>
          <w:sz w:val="24"/>
          <w:szCs w:val="24"/>
        </w:rPr>
        <w:t xml:space="preserve"> </w:t>
      </w:r>
      <w:r>
        <w:rPr>
          <w:rFonts w:eastAsia="Calibri"/>
          <w:sz w:val="24"/>
          <w:szCs w:val="24"/>
          <w:highlight w:val="cyan"/>
          <w:u w:val="single"/>
        </w:rPr>
        <w:t>projects to scale, demonstrate viability, and eventually unlock private capital—spurring greater private investment.</w:t>
      </w:r>
    </w:p>
    <w:p w14:paraId="790703BB" w14:textId="77777777" w:rsidR="005A6D1D" w:rsidRPr="005A6D1D" w:rsidRDefault="005A6D1D" w:rsidP="005A6D1D"/>
    <w:p w14:paraId="0B301F67" w14:textId="77777777" w:rsidR="005A6D1D" w:rsidRPr="005A6D1D" w:rsidRDefault="005A6D1D" w:rsidP="005A6D1D"/>
    <w:p w14:paraId="602B8008" w14:textId="77777777" w:rsidR="005A6D1D" w:rsidRPr="005A6D1D" w:rsidRDefault="005A6D1D" w:rsidP="005A6D1D"/>
    <w:p w14:paraId="1DA79B3A" w14:textId="77777777" w:rsidR="005A76D8" w:rsidRPr="005A76D8" w:rsidRDefault="005A76D8" w:rsidP="005A76D8"/>
    <w:sectPr w:rsidR="005A76D8" w:rsidRPr="005A76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8314B" w14:textId="77777777" w:rsidR="00133588" w:rsidRDefault="00133588" w:rsidP="00066D2C">
      <w:r>
        <w:separator/>
      </w:r>
    </w:p>
  </w:endnote>
  <w:endnote w:type="continuationSeparator" w:id="0">
    <w:p w14:paraId="5F370120" w14:textId="77777777" w:rsidR="00133588" w:rsidRDefault="0013358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E2859" w14:textId="77777777" w:rsidR="00133588" w:rsidRDefault="00133588" w:rsidP="00066D2C">
      <w:r>
        <w:separator/>
      </w:r>
    </w:p>
  </w:footnote>
  <w:footnote w:type="continuationSeparator" w:id="0">
    <w:p w14:paraId="7BBE43B9" w14:textId="77777777" w:rsidR="00133588" w:rsidRDefault="0013358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5B72F50"/>
    <w:multiLevelType w:val="multilevel"/>
    <w:tmpl w:val="78FE2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974598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903046688"/>
    <w:docVar w:name="VerbatimVersion" w:val="6.0.0"/>
    <w:docVar w:name="WordVersion" w:val="16.0"/>
  </w:docVars>
  <w:rsids>
    <w:rsidRoot w:val="005A76D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434"/>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588"/>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635"/>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06A"/>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F56"/>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4BCD"/>
    <w:rsid w:val="00585F11"/>
    <w:rsid w:val="005906F9"/>
    <w:rsid w:val="005932B4"/>
    <w:rsid w:val="005A3550"/>
    <w:rsid w:val="005A4DE4"/>
    <w:rsid w:val="005A6204"/>
    <w:rsid w:val="005A6D1D"/>
    <w:rsid w:val="005A6D5A"/>
    <w:rsid w:val="005A76D8"/>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EB7"/>
    <w:rsid w:val="005E5941"/>
    <w:rsid w:val="005E78A2"/>
    <w:rsid w:val="005F5E14"/>
    <w:rsid w:val="00622773"/>
    <w:rsid w:val="00622C58"/>
    <w:rsid w:val="0062614B"/>
    <w:rsid w:val="006266E2"/>
    <w:rsid w:val="0063037B"/>
    <w:rsid w:val="00632C54"/>
    <w:rsid w:val="00635616"/>
    <w:rsid w:val="00640890"/>
    <w:rsid w:val="00641E99"/>
    <w:rsid w:val="006463F8"/>
    <w:rsid w:val="00650C88"/>
    <w:rsid w:val="0065258E"/>
    <w:rsid w:val="00655035"/>
    <w:rsid w:val="00656814"/>
    <w:rsid w:val="00657A00"/>
    <w:rsid w:val="006633F4"/>
    <w:rsid w:val="00664BA2"/>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654"/>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1EF"/>
    <w:rsid w:val="00901E9C"/>
    <w:rsid w:val="0090407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EEB"/>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A96"/>
    <w:rsid w:val="00A41505"/>
    <w:rsid w:val="00A4414C"/>
    <w:rsid w:val="00A47EF1"/>
    <w:rsid w:val="00A51D29"/>
    <w:rsid w:val="00A54D46"/>
    <w:rsid w:val="00A56998"/>
    <w:rsid w:val="00A56D51"/>
    <w:rsid w:val="00A60D18"/>
    <w:rsid w:val="00A61207"/>
    <w:rsid w:val="00A61700"/>
    <w:rsid w:val="00A6285C"/>
    <w:rsid w:val="00A63F8F"/>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9F4"/>
    <w:rsid w:val="00B2410E"/>
    <w:rsid w:val="00B2727D"/>
    <w:rsid w:val="00B301A2"/>
    <w:rsid w:val="00B31350"/>
    <w:rsid w:val="00B315A8"/>
    <w:rsid w:val="00B32C3E"/>
    <w:rsid w:val="00B41D37"/>
    <w:rsid w:val="00B45128"/>
    <w:rsid w:val="00B53DB3"/>
    <w:rsid w:val="00B66AF2"/>
    <w:rsid w:val="00B72848"/>
    <w:rsid w:val="00B74544"/>
    <w:rsid w:val="00B77754"/>
    <w:rsid w:val="00B801AD"/>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AD4"/>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A70"/>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03B"/>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805F2D"/>
  <w15:chartTrackingRefBased/>
  <w15:docId w15:val="{2EE4105C-9BFB-B74B-B700-BAE0BB9F2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5A70"/>
    <w:rPr>
      <w:rFonts w:ascii="Calibri" w:hAnsi="Calibri" w:cs="Calibri"/>
    </w:rPr>
  </w:style>
  <w:style w:type="paragraph" w:styleId="Heading1">
    <w:name w:val="heading 1"/>
    <w:aliases w:val="Pocket"/>
    <w:basedOn w:val="Normal"/>
    <w:next w:val="Normal"/>
    <w:link w:val="Heading1Char"/>
    <w:qFormat/>
    <w:rsid w:val="00CB5A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B5A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B5A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CB5A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5A7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B5A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5A70"/>
  </w:style>
  <w:style w:type="character" w:styleId="Emphasis">
    <w:name w:val="Emphasis"/>
    <w:basedOn w:val="DefaultParagraphFont"/>
    <w:uiPriority w:val="8"/>
    <w:qFormat/>
    <w:rsid w:val="00CB5A7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B5A70"/>
    <w:rPr>
      <w:color w:val="auto"/>
      <w:u w:val="none"/>
    </w:rPr>
  </w:style>
  <w:style w:type="character" w:customStyle="1" w:styleId="Heading1Char">
    <w:name w:val="Heading 1 Char"/>
    <w:aliases w:val="Pocket Char"/>
    <w:basedOn w:val="DefaultParagraphFont"/>
    <w:link w:val="Heading1"/>
    <w:rsid w:val="00CB5A7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B5A7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B5A7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B5A70"/>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CB5A70"/>
    <w:rPr>
      <w:b/>
      <w:bCs/>
      <w:sz w:val="26"/>
      <w:u w:val="single"/>
    </w:rPr>
  </w:style>
  <w:style w:type="character" w:customStyle="1" w:styleId="StyleUnderline">
    <w:name w:val="Style Underline"/>
    <w:aliases w:val="Underline"/>
    <w:basedOn w:val="DefaultParagraphFont"/>
    <w:uiPriority w:val="7"/>
    <w:qFormat/>
    <w:rsid w:val="00CB5A70"/>
    <w:rPr>
      <w:b w:val="0"/>
      <w:sz w:val="22"/>
      <w:u w:val="single"/>
    </w:rPr>
  </w:style>
  <w:style w:type="character" w:styleId="Strong">
    <w:name w:val="Strong"/>
    <w:basedOn w:val="DefaultParagraphFont"/>
    <w:uiPriority w:val="22"/>
    <w:semiHidden/>
    <w:qFormat/>
    <w:rsid w:val="00CB5A70"/>
    <w:rPr>
      <w:b/>
      <w:bCs/>
    </w:rPr>
  </w:style>
  <w:style w:type="character" w:styleId="BookTitle">
    <w:name w:val="Book Title"/>
    <w:basedOn w:val="DefaultParagraphFont"/>
    <w:uiPriority w:val="33"/>
    <w:semiHidden/>
    <w:qFormat/>
    <w:rsid w:val="00CB5A70"/>
    <w:rPr>
      <w:b/>
      <w:bCs/>
      <w:i/>
      <w:iCs/>
      <w:spacing w:val="5"/>
    </w:rPr>
  </w:style>
  <w:style w:type="character" w:customStyle="1" w:styleId="Heading5Char">
    <w:name w:val="Heading 5 Char"/>
    <w:basedOn w:val="DefaultParagraphFont"/>
    <w:link w:val="Heading5"/>
    <w:uiPriority w:val="9"/>
    <w:semiHidden/>
    <w:rsid w:val="00CB5A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5A70"/>
  </w:style>
  <w:style w:type="paragraph" w:styleId="Header">
    <w:name w:val="header"/>
    <w:basedOn w:val="Normal"/>
    <w:link w:val="HeaderChar"/>
    <w:uiPriority w:val="99"/>
    <w:semiHidden/>
    <w:rsid w:val="00CB5A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B5A70"/>
    <w:rPr>
      <w:rFonts w:ascii="Calibri" w:hAnsi="Calibri" w:cs="Calibri"/>
    </w:rPr>
  </w:style>
  <w:style w:type="paragraph" w:styleId="Footer">
    <w:name w:val="footer"/>
    <w:basedOn w:val="Normal"/>
    <w:link w:val="FooterChar"/>
    <w:uiPriority w:val="99"/>
    <w:semiHidden/>
    <w:rsid w:val="00CB5A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B5A70"/>
    <w:rPr>
      <w:rFonts w:ascii="Calibri" w:hAnsi="Calibri" w:cs="Calibri"/>
    </w:rPr>
  </w:style>
  <w:style w:type="paragraph" w:styleId="BodyText">
    <w:name w:val="Body Text"/>
    <w:basedOn w:val="Normal"/>
    <w:link w:val="BodyTextChar"/>
    <w:uiPriority w:val="99"/>
    <w:semiHidden/>
    <w:unhideWhenUsed/>
    <w:rsid w:val="00CB5A70"/>
    <w:pPr>
      <w:spacing w:after="120"/>
    </w:pPr>
  </w:style>
  <w:style w:type="character" w:customStyle="1" w:styleId="BodyTextChar">
    <w:name w:val="Body Text Char"/>
    <w:basedOn w:val="DefaultParagraphFont"/>
    <w:link w:val="BodyText"/>
    <w:uiPriority w:val="99"/>
    <w:semiHidden/>
    <w:rsid w:val="00CB5A70"/>
    <w:rPr>
      <w:rFonts w:ascii="Calibri" w:hAnsi="Calibri" w:cs="Calibri"/>
    </w:rPr>
  </w:style>
  <w:style w:type="paragraph" w:styleId="NoSpacing">
    <w:name w:val="No Spacing"/>
    <w:link w:val="NoSpacingChar"/>
    <w:uiPriority w:val="99"/>
    <w:semiHidden/>
    <w:unhideWhenUsed/>
    <w:qFormat/>
    <w:rsid w:val="00CB5A7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B5A70"/>
    <w:rPr>
      <w:rFonts w:ascii="Calibri" w:hAnsi="Calibri" w:cs="Calibri"/>
    </w:rPr>
  </w:style>
  <w:style w:type="character" w:styleId="Hyperlink">
    <w:name w:val="Hyperlink"/>
    <w:basedOn w:val="DefaultParagraphFont"/>
    <w:uiPriority w:val="99"/>
    <w:unhideWhenUsed/>
    <w:rsid w:val="00CB5A70"/>
    <w:rPr>
      <w:color w:val="0563C1" w:themeColor="hyperlink"/>
      <w:u w:val="single"/>
    </w:rPr>
  </w:style>
  <w:style w:type="character" w:styleId="UnresolvedMention">
    <w:name w:val="Unresolved Mention"/>
    <w:basedOn w:val="DefaultParagraphFont"/>
    <w:uiPriority w:val="99"/>
    <w:semiHidden/>
    <w:unhideWhenUsed/>
    <w:rsid w:val="00CB5A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ergy.gov/lpo/title-17-clean-energy-financing" TargetMode="External"/><Relationship Id="rId13" Type="http://schemas.openxmlformats.org/officeDocument/2006/relationships/hyperlink" Target="https://www.energy.gov/gdo/grid-resilience-and-innovation-partnerships-grip-program" TargetMode="External"/><Relationship Id="rId18" Type="http://schemas.openxmlformats.org/officeDocument/2006/relationships/hyperlink" Target="https://conference.nber.org/conf_papers/f176376.pdf" TargetMode="External"/><Relationship Id="rId26" Type="http://schemas.openxmlformats.org/officeDocument/2006/relationships/hyperlink" Target="https://www.energy.gov/oced/office-clean-energy-demonstrations" TargetMode="External"/><Relationship Id="rId3" Type="http://schemas.openxmlformats.org/officeDocument/2006/relationships/styles" Target="styles.xml"/><Relationship Id="rId21" Type="http://schemas.openxmlformats.org/officeDocument/2006/relationships/hyperlink" Target="https://www.iea.org/articles/the-cost-of-capital-in-clean-energy-transitions" TargetMode="External"/><Relationship Id="rId7" Type="http://schemas.openxmlformats.org/officeDocument/2006/relationships/endnotes" Target="endnotes.xml"/><Relationship Id="rId12" Type="http://schemas.openxmlformats.org/officeDocument/2006/relationships/hyperlink" Target="https://rhg.com/wp-content/uploads/2024/08/Clean-Investment-Monitor_Tallying-the-Two-Year-Impact-of-the-Inflation-Reduction-Act-1.pdf" TargetMode="External"/><Relationship Id="rId17" Type="http://schemas.openxmlformats.org/officeDocument/2006/relationships/hyperlink" Target="https://microventures.com/how-government-grants-and-incentives-impact-private-investing" TargetMode="External"/><Relationship Id="rId25" Type="http://schemas.openxmlformats.org/officeDocument/2006/relationships/hyperlink" Target="https://www.energy.gov/lpo/loan-programs-office" TargetMode="External"/><Relationship Id="rId2" Type="http://schemas.openxmlformats.org/officeDocument/2006/relationships/numbering" Target="numbering.xml"/><Relationship Id="rId16" Type="http://schemas.openxmlformats.org/officeDocument/2006/relationships/hyperlink" Target="https://microventures.com/how-government-grants-and-incentives-impact-private-investing" TargetMode="External"/><Relationship Id="rId20" Type="http://schemas.openxmlformats.org/officeDocument/2006/relationships/hyperlink" Target="https://www.moodysanalytics.com/-/media/article/2018/Credit-Risk-Management-for-Renewables-Energy-Project-Finance.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mi.org/on-the-climate-bills-second-birthday-surging-successes-but-a-split-reality/" TargetMode="External"/><Relationship Id="rId24" Type="http://schemas.openxmlformats.org/officeDocument/2006/relationships/hyperlink" Target="https://www.researchgate.net/publication/315988451_Advanced_Manufacturing_A_New_Policy_Challenge?enrichId=rgreq-c2533925cfd446813a5f47e7e801daaf-XXX&amp;enrichSource=Y292ZXJQYWdlOzMxNTk4ODQ1MTtBUzo2MzIxMjIxMjE0MDQ0MTZAMTUyNzcyMTA2NjAyMA%3D%3D&amp;el=1_x_3&amp;_esc=publicationCoverPdf" TargetMode="External"/><Relationship Id="rId5" Type="http://schemas.openxmlformats.org/officeDocument/2006/relationships/webSettings" Target="webSettings.xml"/><Relationship Id="rId15" Type="http://schemas.openxmlformats.org/officeDocument/2006/relationships/hyperlink" Target="https://microventures.com/how-government-grants-and-incentives-impact-private-investing" TargetMode="External"/><Relationship Id="rId23" Type="http://schemas.openxmlformats.org/officeDocument/2006/relationships/hyperlink" Target="https://www.nist.gov/system/files/documents/ineap/MEP_Capital_Needs_Assessment_Final.pdf" TargetMode="External"/><Relationship Id="rId28" Type="http://schemas.openxmlformats.org/officeDocument/2006/relationships/hyperlink" Target="https://www.aeaweb.org/articles?id=10.1257/aer.20150808" TargetMode="External"/><Relationship Id="rId10" Type="http://schemas.openxmlformats.org/officeDocument/2006/relationships/hyperlink" Target="https://www.energy.gov/oced/regional-clean-hydrogen-hubs-0" TargetMode="External"/><Relationship Id="rId19" Type="http://schemas.openxmlformats.org/officeDocument/2006/relationships/hyperlink" Target="https://www.nrel.gov/docs/fy06osti/38723.pdf" TargetMode="External"/><Relationship Id="rId4" Type="http://schemas.openxmlformats.org/officeDocument/2006/relationships/settings" Target="settings.xml"/><Relationship Id="rId9" Type="http://schemas.openxmlformats.org/officeDocument/2006/relationships/hyperlink" Target="https://www.energy.gov/lpo/portfolio-projects" TargetMode="External"/><Relationship Id="rId14" Type="http://schemas.openxmlformats.org/officeDocument/2006/relationships/hyperlink" Target="https://microventures.com/how-government-grants-and-incentives-impact-private-investing" TargetMode="External"/><Relationship Id="rId22" Type="http://schemas.openxmlformats.org/officeDocument/2006/relationships/hyperlink" Target="https://crsreports.congress.gov/product/pdf/R/R42152" TargetMode="External"/><Relationship Id="rId27" Type="http://schemas.openxmlformats.org/officeDocument/2006/relationships/hyperlink" Target="https://bidenwhitehouse.archives.gov/cea/written-materials/2022/08/09/the-economics-behind-the-presidents-economic-agenda/"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ieranfinneg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2771</Words>
  <Characters>15795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Brendan Finnegan</dc:creator>
  <cp:keywords>6.0.0</cp:keywords>
  <dc:description/>
  <cp:lastModifiedBy>Kieran Finnegan</cp:lastModifiedBy>
  <cp:revision>2</cp:revision>
  <dcterms:created xsi:type="dcterms:W3CDTF">2025-08-25T18:41:00Z</dcterms:created>
  <dcterms:modified xsi:type="dcterms:W3CDTF">2025-08-25T18:41:00Z</dcterms:modified>
</cp:coreProperties>
</file>