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Deterrence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AT Reputation 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51a5ob2wgib9" w:id="0"/>
      <w:bookmarkEnd w:id="0"/>
      <w:r w:rsidDel="00000000" w:rsidR="00000000" w:rsidRPr="00000000">
        <w:rPr>
          <w:rtl w:val="0"/>
        </w:rPr>
        <w:t xml:space="preserve">Alt Causes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spacing w:before="0" w:line="276" w:lineRule="auto"/>
        <w:rPr/>
      </w:pPr>
      <w:bookmarkStart w:colFirst="0" w:colLast="0" w:name="_heading=h.71b01lhqpjyn" w:id="1"/>
      <w:bookmarkEnd w:id="1"/>
      <w:r w:rsidDel="00000000" w:rsidR="00000000" w:rsidRPr="00000000">
        <w:rPr>
          <w:rtl w:val="0"/>
        </w:rPr>
        <w:t xml:space="preserve">Alt cause. Material Power like a stronger military is way more important. An unhindered flexible military is critical to power projection and deterring adversaries.</w:t>
      </w:r>
    </w:p>
    <w:p w:rsidR="00000000" w:rsidDel="00000000" w:rsidP="00000000" w:rsidRDefault="00000000" w:rsidRPr="00000000" w14:paraId="00000009">
      <w:pPr>
        <w:spacing w:line="276" w:lineRule="auto"/>
        <w:rPr>
          <w:sz w:val="16"/>
          <w:szCs w:val="16"/>
        </w:rPr>
      </w:pPr>
      <w:r w:rsidDel="00000000" w:rsidR="00000000" w:rsidRPr="00000000">
        <w:rPr>
          <w:b w:val="1"/>
          <w:sz w:val="24"/>
          <w:szCs w:val="24"/>
          <w:u w:val="single"/>
          <w:rtl w:val="0"/>
        </w:rPr>
        <w:t xml:space="preserve">Hunter 19</w:t>
      </w:r>
      <w:r w:rsidDel="00000000" w:rsidR="00000000" w:rsidRPr="00000000">
        <w:rPr>
          <w:sz w:val="16"/>
          <w:szCs w:val="16"/>
          <w:rtl w:val="0"/>
        </w:rPr>
        <w:t xml:space="preserve">  [Hunter, Kaci. “Operations to Shape and Operations to Prevent.” Army University Press, 10 May 2019, www.armyupress.army.mil/journals/nco-journal/archives/2019/may/operations-to-shape/.]//Isegora</w:t>
      </w:r>
    </w:p>
    <w:p w:rsidR="00000000" w:rsidDel="00000000" w:rsidP="00000000" w:rsidRDefault="00000000" w:rsidRPr="00000000" w14:paraId="0000000A">
      <w:pPr>
        <w:spacing w:line="276" w:lineRule="auto"/>
        <w:rPr>
          <w:sz w:val="26"/>
          <w:szCs w:val="26"/>
        </w:rPr>
      </w:pPr>
      <w:r w:rsidDel="00000000" w:rsidR="00000000" w:rsidRPr="00000000">
        <w:rPr>
          <w:rtl w:val="0"/>
        </w:rPr>
      </w:r>
    </w:p>
    <w:p w:rsidR="00000000" w:rsidDel="00000000" w:rsidP="00000000" w:rsidRDefault="00000000" w:rsidRPr="00000000" w14:paraId="0000000B">
      <w:pPr>
        <w:spacing w:line="276" w:lineRule="auto"/>
        <w:rPr>
          <w:sz w:val="26"/>
          <w:szCs w:val="26"/>
        </w:rPr>
      </w:pPr>
      <w:r w:rsidDel="00000000" w:rsidR="00000000" w:rsidRPr="00000000">
        <w:rPr>
          <w:sz w:val="24"/>
          <w:szCs w:val="24"/>
          <w:highlight w:val="cyan"/>
          <w:u w:val="single"/>
          <w:rtl w:val="0"/>
        </w:rPr>
        <w:t xml:space="preserve">Flexible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deterrent options facilitate early</w:t>
      </w:r>
      <w:r w:rsidDel="00000000" w:rsidR="00000000" w:rsidRPr="00000000">
        <w:rPr>
          <w:sz w:val="16"/>
          <w:szCs w:val="16"/>
          <w:rtl w:val="0"/>
        </w:rPr>
        <w:t xml:space="preserve"> strategic </w:t>
      </w:r>
      <w:r w:rsidDel="00000000" w:rsidR="00000000" w:rsidRPr="00000000">
        <w:rPr>
          <w:sz w:val="24"/>
          <w:szCs w:val="24"/>
          <w:highlight w:val="cyan"/>
          <w:u w:val="single"/>
          <w:rtl w:val="0"/>
        </w:rPr>
        <w:t xml:space="preserve">decision making, rapid de-escalation, and crisis resolution by</w:t>
      </w:r>
      <w:r w:rsidDel="00000000" w:rsidR="00000000" w:rsidRPr="00000000">
        <w:rPr>
          <w:sz w:val="24"/>
          <w:szCs w:val="24"/>
          <w:rtl w:val="0"/>
        </w:rPr>
        <w:t xml:space="preserve"> laying out a wide range of interrelated response paths</w:t>
      </w:r>
      <w:r w:rsidDel="00000000" w:rsidR="00000000" w:rsidRPr="00000000">
        <w:rPr>
          <w:sz w:val="16"/>
          <w:szCs w:val="16"/>
          <w:rtl w:val="0"/>
        </w:rPr>
        <w:t xml:space="preserve">. They are established to deter actions before or during a crisis (Joint Chiefs of Staff, 2017). The basic purpose of flexible response options is to </w:t>
      </w:r>
      <w:r w:rsidDel="00000000" w:rsidR="00000000" w:rsidRPr="00000000">
        <w:rPr>
          <w:sz w:val="24"/>
          <w:szCs w:val="24"/>
          <w:highlight w:val="cyan"/>
          <w:u w:val="single"/>
          <w:rtl w:val="0"/>
        </w:rPr>
        <w:t xml:space="preserve">preempt and/or respond to attacks against the U.S. and its interests</w:t>
      </w:r>
      <w:r w:rsidDel="00000000" w:rsidR="00000000" w:rsidRPr="00000000">
        <w:rPr>
          <w:sz w:val="16"/>
          <w:szCs w:val="16"/>
          <w:rtl w:val="0"/>
        </w:rPr>
        <w:t xml:space="preserve">. According to Joint Publication 3-0: Joint Operations:</w:t>
      </w:r>
      <w:r w:rsidDel="00000000" w:rsidR="00000000" w:rsidRPr="00000000">
        <w:rPr>
          <w:sz w:val="24"/>
          <w:szCs w:val="24"/>
          <w:rtl w:val="0"/>
        </w:rPr>
        <w:t xml:space="preserve"> </w:t>
      </w:r>
      <w:r w:rsidDel="00000000" w:rsidR="00000000" w:rsidRPr="00000000">
        <w:rPr>
          <w:sz w:val="16"/>
          <w:szCs w:val="16"/>
          <w:rtl w:val="0"/>
        </w:rPr>
        <w:t xml:space="preserve">FROs are intended to </w:t>
      </w:r>
      <w:r w:rsidDel="00000000" w:rsidR="00000000" w:rsidRPr="00000000">
        <w:rPr>
          <w:sz w:val="24"/>
          <w:szCs w:val="24"/>
          <w:rtl w:val="0"/>
        </w:rPr>
        <w:t xml:space="preserve">facilitate early decision making by developing a wide range of prospective actions carefully tailored to produce desired effects</w:t>
      </w:r>
      <w:r w:rsidDel="00000000" w:rsidR="00000000" w:rsidRPr="00000000">
        <w:rPr>
          <w:sz w:val="16"/>
          <w:szCs w:val="16"/>
          <w:rtl w:val="0"/>
        </w:rPr>
        <w:t xml:space="preserve">, congruent with national security policy objectives. While FDOs are primarily intended to prevent a crisis from worsening and allow for de-escalation, FROs are generally punitive in nature (Joint Chiefs of Staff, 2017, p. VIII-9).</w:t>
      </w:r>
      <w:r w:rsidDel="00000000" w:rsidR="00000000" w:rsidRPr="00000000">
        <w:rPr>
          <w:sz w:val="24"/>
          <w:szCs w:val="24"/>
          <w:rtl w:val="0"/>
        </w:rPr>
        <w:t xml:space="preserve"> </w:t>
      </w:r>
      <w:r w:rsidDel="00000000" w:rsidR="00000000" w:rsidRPr="00000000">
        <w:rPr>
          <w:sz w:val="16"/>
          <w:szCs w:val="16"/>
          <w:rtl w:val="0"/>
        </w:rPr>
        <w:t xml:space="preserve">Set the theater "serves as an umbrella term encompassing the activities associated with establishing the conditions for executing operations" (Gaines and Snell, 2015, para. 5). It is the broad range of </w:t>
      </w:r>
      <w:r w:rsidDel="00000000" w:rsidR="00000000" w:rsidRPr="00000000">
        <w:rPr>
          <w:sz w:val="24"/>
          <w:szCs w:val="24"/>
          <w:highlight w:val="cyan"/>
          <w:u w:val="single"/>
          <w:rtl w:val="0"/>
        </w:rPr>
        <w:t xml:space="preserve">actions conducted to establish</w:t>
      </w:r>
      <w:r w:rsidDel="00000000" w:rsidR="00000000" w:rsidRPr="00000000">
        <w:rPr>
          <w:sz w:val="24"/>
          <w:szCs w:val="24"/>
          <w:rtl w:val="0"/>
        </w:rPr>
        <w:t xml:space="preserve"> the </w:t>
      </w:r>
      <w:r w:rsidDel="00000000" w:rsidR="00000000" w:rsidRPr="00000000">
        <w:rPr>
          <w:sz w:val="24"/>
          <w:szCs w:val="24"/>
          <w:highlight w:val="cyan"/>
          <w:u w:val="single"/>
          <w:rtl w:val="0"/>
        </w:rPr>
        <w:t xml:space="preserve">conditions in</w:t>
      </w:r>
      <w:r w:rsidDel="00000000" w:rsidR="00000000" w:rsidRPr="00000000">
        <w:rPr>
          <w:sz w:val="24"/>
          <w:szCs w:val="24"/>
          <w:rtl w:val="0"/>
        </w:rPr>
        <w:t xml:space="preserve"> an </w:t>
      </w:r>
      <w:r w:rsidDel="00000000" w:rsidR="00000000" w:rsidRPr="00000000">
        <w:rPr>
          <w:sz w:val="24"/>
          <w:szCs w:val="24"/>
          <w:highlight w:val="cyan"/>
          <w:u w:val="single"/>
          <w:rtl w:val="0"/>
        </w:rPr>
        <w:t xml:space="preserve">operational area for</w:t>
      </w:r>
      <w:r w:rsidDel="00000000" w:rsidR="00000000" w:rsidRPr="00000000">
        <w:rPr>
          <w:sz w:val="24"/>
          <w:szCs w:val="24"/>
          <w:rtl w:val="0"/>
        </w:rPr>
        <w:t xml:space="preserve"> the execution of </w:t>
      </w:r>
      <w:r w:rsidDel="00000000" w:rsidR="00000000" w:rsidRPr="00000000">
        <w:rPr>
          <w:sz w:val="24"/>
          <w:szCs w:val="24"/>
          <w:highlight w:val="cyan"/>
          <w:u w:val="single"/>
          <w:rtl w:val="0"/>
        </w:rPr>
        <w:t xml:space="preserve">strategic plans</w:t>
      </w:r>
      <w:r w:rsidDel="00000000" w:rsidR="00000000" w:rsidRPr="00000000">
        <w:rPr>
          <w:sz w:val="16"/>
          <w:szCs w:val="16"/>
          <w:rtl w:val="0"/>
        </w:rPr>
        <w:t xml:space="preserve">. Setting the theater in order to achieve U.S. interests requires collaboration and involves a whole-government approach among the departments and agencies.</w:t>
      </w:r>
      <w:r w:rsidDel="00000000" w:rsidR="00000000" w:rsidRPr="00000000">
        <w:rPr>
          <w:sz w:val="24"/>
          <w:szCs w:val="24"/>
          <w:rtl w:val="0"/>
        </w:rPr>
        <w:t xml:space="preserve"> </w:t>
      </w:r>
      <w:r w:rsidDel="00000000" w:rsidR="00000000" w:rsidRPr="00000000">
        <w:rPr>
          <w:sz w:val="16"/>
          <w:szCs w:val="16"/>
          <w:rtl w:val="0"/>
        </w:rPr>
        <w:t xml:space="preserve">"Force tailoring is the process of determining the right mix of forces and the sequence of their deployment in support of a joint force commander" (Department of the Army, 2017a, p. 5-7). Tailoring the force is a complicated and intensively managed Army-wide process, and the theater army plays a critical role in it.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Force projection</w:t>
      </w:r>
      <w:r w:rsidDel="00000000" w:rsidR="00000000" w:rsidRPr="00000000">
        <w:rPr>
          <w:sz w:val="24"/>
          <w:szCs w:val="24"/>
          <w:rtl w:val="0"/>
        </w:rPr>
        <w:t xml:space="preserve"> is "</w:t>
      </w:r>
      <w:r w:rsidDel="00000000" w:rsidR="00000000" w:rsidRPr="00000000">
        <w:rPr>
          <w:sz w:val="24"/>
          <w:szCs w:val="24"/>
          <w:highlight w:val="cyan"/>
          <w:u w:val="single"/>
          <w:rtl w:val="0"/>
        </w:rPr>
        <w:t xml:space="preserve">the ability to project</w:t>
      </w:r>
      <w:r w:rsidDel="00000000" w:rsidR="00000000" w:rsidRPr="00000000">
        <w:rPr>
          <w:sz w:val="24"/>
          <w:szCs w:val="24"/>
          <w:rtl w:val="0"/>
        </w:rPr>
        <w:t xml:space="preserve"> the military instrument of </w:t>
      </w:r>
      <w:r w:rsidDel="00000000" w:rsidR="00000000" w:rsidRPr="00000000">
        <w:rPr>
          <w:sz w:val="24"/>
          <w:szCs w:val="24"/>
          <w:highlight w:val="cyan"/>
          <w:u w:val="single"/>
          <w:rtl w:val="0"/>
        </w:rPr>
        <w:t xml:space="preserve">national power</w:t>
      </w:r>
      <w:r w:rsidDel="00000000" w:rsidR="00000000" w:rsidRPr="00000000">
        <w:rPr>
          <w:sz w:val="24"/>
          <w:szCs w:val="24"/>
          <w:rtl w:val="0"/>
        </w:rPr>
        <w:t xml:space="preserve"> from the United States or another theater, in response to requirements for military operations</w:t>
      </w:r>
      <w:r w:rsidDel="00000000" w:rsidR="00000000" w:rsidRPr="00000000">
        <w:rPr>
          <w:sz w:val="16"/>
          <w:szCs w:val="16"/>
          <w:rtl w:val="0"/>
        </w:rPr>
        <w:t xml:space="preserve">" (Joint Chiefs of Staff, 2018, p. GL-9). Force projection encompasses mobilization, deployment, employment, sustainment, and redeployment. "</w:t>
      </w:r>
      <w:r w:rsidDel="00000000" w:rsidR="00000000" w:rsidRPr="00000000">
        <w:rPr>
          <w:sz w:val="24"/>
          <w:szCs w:val="24"/>
          <w:rtl w:val="0"/>
        </w:rPr>
        <w:t xml:space="preserve">Force projection is </w:t>
      </w:r>
      <w:r w:rsidDel="00000000" w:rsidR="00000000" w:rsidRPr="00000000">
        <w:rPr>
          <w:sz w:val="24"/>
          <w:szCs w:val="24"/>
          <w:highlight w:val="cyan"/>
          <w:u w:val="single"/>
          <w:rtl w:val="0"/>
        </w:rPr>
        <w:t xml:space="preserve">a race between friendly forces and the enemy</w:t>
      </w:r>
      <w:r w:rsidDel="00000000" w:rsidR="00000000" w:rsidRPr="00000000">
        <w:rPr>
          <w:sz w:val="24"/>
          <w:szCs w:val="24"/>
          <w:rtl w:val="0"/>
        </w:rPr>
        <w:t xml:space="preserve"> or adversary forces</w:t>
      </w:r>
      <w:r w:rsidDel="00000000" w:rsidR="00000000" w:rsidRPr="00000000">
        <w:rPr>
          <w:sz w:val="16"/>
          <w:szCs w:val="16"/>
          <w:rtl w:val="0"/>
        </w:rPr>
        <w:t xml:space="preserve">" (Department of the Army, 2017b, p. 1-25). The </w:t>
      </w:r>
      <w:r w:rsidDel="00000000" w:rsidR="00000000" w:rsidRPr="00000000">
        <w:rPr>
          <w:sz w:val="24"/>
          <w:szCs w:val="24"/>
          <w:rtl w:val="0"/>
        </w:rPr>
        <w:t xml:space="preserve">side that achieves an operational capability first</w:t>
      </w:r>
      <w:r w:rsidDel="00000000" w:rsidR="00000000" w:rsidRPr="00000000">
        <w:rPr>
          <w:sz w:val="16"/>
          <w:szCs w:val="16"/>
          <w:rtl w:val="0"/>
        </w:rPr>
        <w:t xml:space="preserve"> (a position of relative advantage) </w:t>
      </w:r>
      <w:r w:rsidDel="00000000" w:rsidR="00000000" w:rsidRPr="00000000">
        <w:rPr>
          <w:sz w:val="24"/>
          <w:szCs w:val="24"/>
          <w:rtl w:val="0"/>
        </w:rPr>
        <w:t xml:space="preserve">can seize the initiative. Operations to prevent create the conditions required to quickly transition, if necessary, into largescale ground combat. The </w:t>
      </w:r>
      <w:r w:rsidDel="00000000" w:rsidR="00000000" w:rsidRPr="00000000">
        <w:rPr>
          <w:sz w:val="24"/>
          <w:szCs w:val="24"/>
          <w:highlight w:val="cyan"/>
          <w:u w:val="single"/>
          <w:rtl w:val="0"/>
        </w:rPr>
        <w:t xml:space="preserve">ability of an Army force to prevent stems from</w:t>
      </w:r>
      <w:r w:rsidDel="00000000" w:rsidR="00000000" w:rsidRPr="00000000">
        <w:rPr>
          <w:sz w:val="24"/>
          <w:szCs w:val="24"/>
          <w:rtl w:val="0"/>
        </w:rPr>
        <w:t xml:space="preserve"> an </w:t>
      </w:r>
      <w:r w:rsidDel="00000000" w:rsidR="00000000" w:rsidRPr="00000000">
        <w:rPr>
          <w:sz w:val="24"/>
          <w:szCs w:val="24"/>
          <w:highlight w:val="cyan"/>
          <w:u w:val="single"/>
          <w:rtl w:val="0"/>
        </w:rPr>
        <w:t xml:space="preserve">adversary’s realization that</w:t>
      </w:r>
      <w:r w:rsidDel="00000000" w:rsidR="00000000" w:rsidRPr="00000000">
        <w:rPr>
          <w:sz w:val="24"/>
          <w:szCs w:val="24"/>
          <w:rtl w:val="0"/>
        </w:rPr>
        <w:t xml:space="preserve"> further </w:t>
      </w:r>
      <w:r w:rsidDel="00000000" w:rsidR="00000000" w:rsidRPr="00000000">
        <w:rPr>
          <w:sz w:val="24"/>
          <w:szCs w:val="24"/>
          <w:highlight w:val="cyan"/>
          <w:u w:val="single"/>
          <w:rtl w:val="0"/>
        </w:rPr>
        <w:t xml:space="preserve">escalation would result in</w:t>
      </w:r>
      <w:r w:rsidDel="00000000" w:rsidR="00000000" w:rsidRPr="00000000">
        <w:rPr>
          <w:sz w:val="24"/>
          <w:szCs w:val="24"/>
          <w:rtl w:val="0"/>
        </w:rPr>
        <w:t xml:space="preserve"> military </w:t>
      </w:r>
      <w:r w:rsidDel="00000000" w:rsidR="00000000" w:rsidRPr="00000000">
        <w:rPr>
          <w:sz w:val="24"/>
          <w:szCs w:val="24"/>
          <w:highlight w:val="cyan"/>
          <w:u w:val="single"/>
          <w:rtl w:val="0"/>
        </w:rPr>
        <w:t xml:space="preserve">defeat</w:t>
      </w:r>
      <w:r w:rsidDel="00000000" w:rsidR="00000000" w:rsidRPr="00000000">
        <w:rPr>
          <w:sz w:val="16"/>
          <w:szCs w:val="16"/>
          <w:rtl w:val="0"/>
        </w:rPr>
        <w:t xml:space="preserve"> (Department of the Army, 2017a).</w:t>
      </w:r>
      <w:r w:rsidDel="00000000" w:rsidR="00000000" w:rsidRPr="00000000">
        <w:rPr>
          <w:sz w:val="26"/>
          <w:szCs w:val="26"/>
          <w:rtl w:val="0"/>
        </w:rPr>
        <w:t xml:space="preserve"> </w:t>
      </w:r>
    </w:p>
    <w:p w:rsidR="00000000" w:rsidDel="00000000" w:rsidP="00000000" w:rsidRDefault="00000000" w:rsidRPr="00000000" w14:paraId="0000000C">
      <w:pPr>
        <w:spacing w:line="276" w:lineRule="auto"/>
        <w:rPr>
          <w:sz w:val="26"/>
          <w:szCs w:val="26"/>
        </w:rPr>
      </w:pPr>
      <w:r w:rsidDel="00000000" w:rsidR="00000000" w:rsidRPr="00000000">
        <w:rPr>
          <w:rtl w:val="0"/>
        </w:rPr>
      </w:r>
    </w:p>
    <w:p w:rsidR="00000000" w:rsidDel="00000000" w:rsidP="00000000" w:rsidRDefault="00000000" w:rsidRPr="00000000" w14:paraId="0000000D">
      <w:pPr>
        <w:pStyle w:val="Heading3"/>
        <w:rPr/>
      </w:pPr>
      <w:bookmarkStart w:colFirst="0" w:colLast="0" w:name="_heading=h.gv71n78cg5ut" w:id="2"/>
      <w:bookmarkEnd w:id="2"/>
      <w:r w:rsidDel="00000000" w:rsidR="00000000" w:rsidRPr="00000000">
        <w:rPr>
          <w:rtl w:val="0"/>
        </w:rPr>
        <w:t xml:space="preserve">Military Presence Key</w:t>
      </w:r>
    </w:p>
    <w:p w:rsidR="00000000" w:rsidDel="00000000" w:rsidP="00000000" w:rsidRDefault="00000000" w:rsidRPr="00000000" w14:paraId="0000000E">
      <w:pPr>
        <w:spacing w:line="276" w:lineRule="auto"/>
        <w:rPr>
          <w:sz w:val="26"/>
          <w:szCs w:val="26"/>
        </w:rPr>
      </w:pPr>
      <w:r w:rsidDel="00000000" w:rsidR="00000000" w:rsidRPr="00000000">
        <w:rPr>
          <w:rtl w:val="0"/>
        </w:rPr>
      </w:r>
    </w:p>
    <w:p w:rsidR="00000000" w:rsidDel="00000000" w:rsidP="00000000" w:rsidRDefault="00000000" w:rsidRPr="00000000" w14:paraId="0000000F">
      <w:pPr>
        <w:pStyle w:val="Heading4"/>
        <w:spacing w:before="0" w:line="276" w:lineRule="auto"/>
        <w:rPr/>
      </w:pPr>
      <w:bookmarkStart w:colFirst="0" w:colLast="0" w:name="_heading=h.goys93ufy9fd" w:id="3"/>
      <w:bookmarkEnd w:id="3"/>
      <w:r w:rsidDel="00000000" w:rsidR="00000000" w:rsidRPr="00000000">
        <w:rPr>
          <w:rtl w:val="0"/>
        </w:rPr>
        <w:t xml:space="preserve">Military presence of the U.S, for example, deters war.</w:t>
      </w:r>
    </w:p>
    <w:p w:rsidR="00000000" w:rsidDel="00000000" w:rsidP="00000000" w:rsidRDefault="00000000" w:rsidRPr="00000000" w14:paraId="00000010">
      <w:pPr>
        <w:spacing w:line="276" w:lineRule="auto"/>
        <w:rPr>
          <w:sz w:val="16"/>
          <w:szCs w:val="16"/>
        </w:rPr>
      </w:pPr>
      <w:r w:rsidDel="00000000" w:rsidR="00000000" w:rsidRPr="00000000">
        <w:rPr>
          <w:b w:val="1"/>
          <w:sz w:val="24"/>
          <w:szCs w:val="24"/>
          <w:u w:val="single"/>
          <w:rtl w:val="0"/>
        </w:rPr>
        <w:t xml:space="preserve">O’Mahony, Angela, et al. 18</w:t>
      </w:r>
      <w:r w:rsidDel="00000000" w:rsidR="00000000" w:rsidRPr="00000000">
        <w:rPr>
          <w:sz w:val="16"/>
          <w:szCs w:val="16"/>
          <w:rtl w:val="0"/>
        </w:rPr>
        <w:t xml:space="preserve">  [O’Mahony, Angela, et al“U.S. Presence and the Incidence of Conflict.” Www.rand.org, Feb. 2018, www.rand.org/pubs/research_reports/RR1906.html.]//Isegora</w:t>
      </w:r>
    </w:p>
    <w:p w:rsidR="00000000" w:rsidDel="00000000" w:rsidP="00000000" w:rsidRDefault="00000000" w:rsidRPr="00000000" w14:paraId="00000011">
      <w:pPr>
        <w:spacing w:line="276" w:lineRule="auto"/>
        <w:rPr/>
      </w:pPr>
      <w:r w:rsidDel="00000000" w:rsidR="00000000" w:rsidRPr="00000000">
        <w:rPr>
          <w:rtl w:val="0"/>
        </w:rPr>
        <w:t xml:space="preserve">There is an ongoing debate about the effects of U.S. military presence on conflict around the globe. In one view</w:t>
      </w:r>
      <w:r w:rsidDel="00000000" w:rsidR="00000000" w:rsidRPr="00000000">
        <w:rPr>
          <w:sz w:val="24"/>
          <w:szCs w:val="24"/>
          <w:highlight w:val="cyan"/>
          <w:u w:val="single"/>
          <w:rtl w:val="0"/>
        </w:rPr>
        <w:t xml:space="preserve">, U.S. military presence helps to deter adversaries, restrain U.S. partners from adopting provocative policies, and make it easier for the United States to achieve its aims without the use of force</w:t>
      </w:r>
      <w:r w:rsidDel="00000000" w:rsidR="00000000" w:rsidRPr="00000000">
        <w:rPr>
          <w:rtl w:val="0"/>
        </w:rPr>
        <w:t xml:space="preserve">. In another view, U.S. military presence tends to provoke adversaries and encourage allies to adopt more reckless policies, and it increases the likelihood that the United States will be involved in combat.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authors of this report analyze historical data</w:t>
      </w:r>
      <w:r w:rsidDel="00000000" w:rsidR="00000000" w:rsidRPr="00000000">
        <w:rPr>
          <w:sz w:val="24"/>
          <w:szCs w:val="24"/>
          <w:rtl w:val="0"/>
        </w:rPr>
        <w:t xml:space="preserve"> </w:t>
      </w:r>
      <w:r w:rsidDel="00000000" w:rsidR="00000000" w:rsidRPr="00000000">
        <w:rPr>
          <w:rtl w:val="0"/>
        </w:rPr>
        <w:t xml:space="preserve">to assess how U.S. military presence — in particular, U.S. troop presence and military assistance — is associated with the interstate and intrastate conflict behavior of states and nonstate actors. Troop presence and military assistance have different effects</w:t>
      </w:r>
      <w:r w:rsidDel="00000000" w:rsidR="00000000" w:rsidRPr="00000000">
        <w:rPr>
          <w:sz w:val="24"/>
          <w:szCs w:val="24"/>
          <w:highlight w:val="cyan"/>
          <w:u w:val="single"/>
          <w:rtl w:val="0"/>
        </w:rPr>
        <w:t xml:space="preserve">. Stationing U.S. troops abroad</w:t>
      </w:r>
      <w:r w:rsidDel="00000000" w:rsidR="00000000" w:rsidRPr="00000000">
        <w:rPr>
          <w:sz w:val="24"/>
          <w:szCs w:val="24"/>
          <w:rtl w:val="0"/>
        </w:rPr>
        <w:t xml:space="preserve"> </w:t>
      </w:r>
      <w:r w:rsidDel="00000000" w:rsidR="00000000" w:rsidRPr="00000000">
        <w:rPr>
          <w:rtl w:val="0"/>
        </w:rPr>
        <w:t xml:space="preserve">may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help deter interstate war</w:t>
      </w:r>
      <w:r w:rsidDel="00000000" w:rsidR="00000000" w:rsidRPr="00000000">
        <w:rPr>
          <w:rtl w:val="0"/>
        </w:rPr>
        <w:t xml:space="preserve">. A large U.S. regional troop presence may reduce the likelihood of interstate conflict in two ways: by deterring potential U.S. adversaries from initiating interstate wars or by restraining U.S. allies from initiating militarized behavior. However, U.S. military presence may increase interstate militarized activities short of war. U.S. adversaries may be more likely to initiate militarized disputes against states with a larger U.S. in-country troop presence. U.S. troop presence does not appear to reduce the risk of intrastate conflict or affect the level of state repression. U.S. military assistance is not associated with changes in interstate conflict behavior. However, provision of U.S. military assistance may be associated with increased state repression and incidence of civil war. These findings have implications for near-term decision-making on U.S. forward troop presence in Europe and Asia.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heading=h.or16omk9i1te" w:id="4"/>
      <w:bookmarkEnd w:id="4"/>
      <w:r w:rsidDel="00000000" w:rsidR="00000000" w:rsidRPr="00000000">
        <w:rPr>
          <w:rtl w:val="0"/>
        </w:rPr>
        <w:t xml:space="preserve">War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pStyle w:val="Heading4"/>
        <w:spacing w:before="0" w:line="276" w:lineRule="auto"/>
        <w:rPr/>
      </w:pPr>
      <w:bookmarkStart w:colFirst="0" w:colLast="0" w:name="_heading=h.gav7xvt5v0yo" w:id="5"/>
      <w:bookmarkEnd w:id="5"/>
      <w:r w:rsidDel="00000000" w:rsidR="00000000" w:rsidRPr="00000000">
        <w:rPr>
          <w:rtl w:val="0"/>
        </w:rPr>
        <w:t xml:space="preserve">Turn: Reputation causes war</w:t>
      </w:r>
    </w:p>
    <w:p w:rsidR="00000000" w:rsidDel="00000000" w:rsidP="00000000" w:rsidRDefault="00000000" w:rsidRPr="00000000" w14:paraId="00000017">
      <w:pPr>
        <w:spacing w:line="276" w:lineRule="auto"/>
        <w:rPr>
          <w:sz w:val="16"/>
          <w:szCs w:val="16"/>
        </w:rPr>
      </w:pPr>
      <w:r w:rsidDel="00000000" w:rsidR="00000000" w:rsidRPr="00000000">
        <w:rPr>
          <w:b w:val="1"/>
          <w:sz w:val="24"/>
          <w:szCs w:val="24"/>
          <w:u w:val="single"/>
          <w:rtl w:val="0"/>
        </w:rPr>
        <w:t xml:space="preserve">Crescenzi et.al 17</w:t>
      </w:r>
      <w:r w:rsidDel="00000000" w:rsidR="00000000" w:rsidRPr="00000000">
        <w:rPr>
          <w:sz w:val="16"/>
          <w:szCs w:val="16"/>
          <w:rtl w:val="0"/>
        </w:rPr>
        <w:t xml:space="preserve"> [Crescenzi, Mark J. C., and Bailee Donahue. "Rediscovering Reputation Through Theory and Evidence." Oxford Research Encyclopedia of Politics.  June 28, 2017. Oxford University Press. Date of access 28 Jul. 2025, &lt;https://oxfordre.com/politics/view/10.1093/acrefore/9780190228637.001.0001/acrefore-9780190228637-e-282&gt;] // Isegora</w:t>
      </w:r>
    </w:p>
    <w:p w:rsidR="00000000" w:rsidDel="00000000" w:rsidP="00000000" w:rsidRDefault="00000000" w:rsidRPr="00000000" w14:paraId="00000018">
      <w:pPr>
        <w:spacing w:line="276" w:lineRule="auto"/>
        <w:rPr>
          <w:b w:val="1"/>
          <w:sz w:val="24"/>
          <w:szCs w:val="24"/>
          <w:highlight w:val="cyan"/>
          <w:u w:val="single"/>
        </w:rPr>
      </w:pPr>
      <w:r w:rsidDel="00000000" w:rsidR="00000000" w:rsidRPr="00000000">
        <w:rPr>
          <w:sz w:val="16"/>
          <w:szCs w:val="16"/>
          <w:rtl w:val="0"/>
        </w:rPr>
        <w:t xml:space="preserve">Reputation as it applies to the arena of international relations is information adhering to a state or its leaders about behavioral or intentional characteristics relating to cooperation or conflict. The study of reputation in world politics has waxed and waned in recent decades, but is enjoying a renaissance both in terms of theoretical and empirical analysis. We review the origins of the study of reputation in world politics, as well as the post-Cold War context that contributed to reputation’s apparent demise. We then focus on the recent rediscovery of reputation through the development of new theoretical and empirical analyses. These works have overcome earlier challenges to the conceptualization and measurement of reputation to improve our understanding of how this phenomenon affects coordination, cooperation, and conflict among and between states in the international arena. </w:t>
      </w:r>
      <w:r w:rsidDel="00000000" w:rsidR="00000000" w:rsidRPr="00000000">
        <w:rPr>
          <w:sz w:val="24"/>
          <w:szCs w:val="24"/>
          <w:highlight w:val="cyan"/>
          <w:u w:val="single"/>
          <w:rtl w:val="0"/>
        </w:rPr>
        <w:t xml:space="preserve">States can </w:t>
      </w:r>
      <w:r w:rsidDel="00000000" w:rsidR="00000000" w:rsidRPr="00000000">
        <w:rPr>
          <w:sz w:val="16"/>
          <w:szCs w:val="16"/>
          <w:rtl w:val="0"/>
        </w:rPr>
        <w:t xml:space="preserve">also</w:t>
      </w:r>
      <w:r w:rsidDel="00000000" w:rsidR="00000000" w:rsidRPr="00000000">
        <w:rPr>
          <w:sz w:val="24"/>
          <w:szCs w:val="24"/>
          <w:highlight w:val="cyan"/>
          <w:u w:val="single"/>
          <w:rtl w:val="0"/>
        </w:rPr>
        <w:t xml:space="preserve"> develop reputations for being aggressive </w:t>
      </w:r>
      <w:r w:rsidDel="00000000" w:rsidR="00000000" w:rsidRPr="00000000">
        <w:rPr>
          <w:sz w:val="16"/>
          <w:szCs w:val="16"/>
          <w:rtl w:val="0"/>
        </w:rPr>
        <w:t xml:space="preserve">or untrustworthy,</w:t>
      </w:r>
      <w:r w:rsidDel="00000000" w:rsidR="00000000" w:rsidRPr="00000000">
        <w:rPr>
          <w:sz w:val="24"/>
          <w:szCs w:val="24"/>
          <w:highlight w:val="cyan"/>
          <w:u w:val="single"/>
          <w:rtl w:val="0"/>
        </w:rPr>
        <w:t xml:space="preserve"> which can </w:t>
      </w:r>
      <w:r w:rsidDel="00000000" w:rsidR="00000000" w:rsidRPr="00000000">
        <w:rPr>
          <w:b w:val="1"/>
          <w:sz w:val="24"/>
          <w:szCs w:val="24"/>
          <w:highlight w:val="cyan"/>
          <w:u w:val="single"/>
          <w:rtl w:val="0"/>
        </w:rPr>
        <w:t xml:space="preserve">exacerbate</w:t>
      </w:r>
      <w:r w:rsidDel="00000000" w:rsidR="00000000" w:rsidRPr="00000000">
        <w:rPr>
          <w:sz w:val="24"/>
          <w:szCs w:val="24"/>
          <w:highlight w:val="cyan"/>
          <w:u w:val="single"/>
          <w:rtl w:val="0"/>
        </w:rPr>
        <w:t xml:space="preserve"> </w:t>
      </w:r>
      <w:r w:rsidDel="00000000" w:rsidR="00000000" w:rsidRPr="00000000">
        <w:rPr>
          <w:sz w:val="16"/>
          <w:szCs w:val="16"/>
          <w:rtl w:val="0"/>
        </w:rPr>
        <w:t xml:space="preserve">international</w:t>
      </w:r>
      <w:r w:rsidDel="00000000" w:rsidR="00000000" w:rsidRPr="00000000">
        <w:rPr>
          <w:sz w:val="24"/>
          <w:szCs w:val="24"/>
          <w:highlight w:val="cyan"/>
          <w:u w:val="single"/>
          <w:rtl w:val="0"/>
        </w:rPr>
        <w:t xml:space="preserve"> crises and </w:t>
      </w:r>
      <w:r w:rsidDel="00000000" w:rsidR="00000000" w:rsidRPr="00000000">
        <w:rPr>
          <w:b w:val="1"/>
          <w:sz w:val="24"/>
          <w:szCs w:val="24"/>
          <w:highlight w:val="cyan"/>
          <w:u w:val="single"/>
          <w:rtl w:val="0"/>
        </w:rPr>
        <w:t xml:space="preserve">increase </w:t>
      </w:r>
      <w:r w:rsidDel="00000000" w:rsidR="00000000" w:rsidRPr="00000000">
        <w:rPr>
          <w:sz w:val="16"/>
          <w:szCs w:val="16"/>
          <w:rtl w:val="0"/>
        </w:rPr>
        <w:t xml:space="preserve">the chance of</w:t>
      </w:r>
      <w:r w:rsidDel="00000000" w:rsidR="00000000" w:rsidRPr="00000000">
        <w:rPr>
          <w:b w:val="1"/>
          <w:sz w:val="24"/>
          <w:szCs w:val="24"/>
          <w:highlight w:val="cyan"/>
          <w:u w:val="single"/>
          <w:rtl w:val="0"/>
        </w:rPr>
        <w:t xml:space="preserve"> war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dVFAQ3m2AZw8TO313enL/ZjCw==">CgMxLjAyDmguNTFhNW9iMndnaWI5Mg5oLjcxYjAxbGhxcGp5bjIOaC5ndjcxbjc4Y2c1dXQyDmguZ295czkzdWZ5OWZkMg5oLm9yMTZvbWs5aTF0ZTIOaC5nYXY3eHZ0NXYweW84AHIhMXhfamdTblo3WTFRd0tqN0xXVmZfYmxsY090SXZINThO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