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Dollar Hegemony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Temporary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qr1g9xebvc8m" w:id="0"/>
      <w:bookmarkEnd w:id="0"/>
      <w:r w:rsidDel="00000000" w:rsidR="00000000" w:rsidRPr="00000000">
        <w:rPr>
          <w:rtl w:val="0"/>
        </w:rPr>
        <w:t xml:space="preserve">Dollar Hegemony could end… Just not for a very long while</w:t>
      </w:r>
    </w:p>
    <w:p w:rsidR="00000000" w:rsidDel="00000000" w:rsidP="00000000" w:rsidRDefault="00000000" w:rsidRPr="00000000" w14:paraId="00000006">
      <w:pPr>
        <w:spacing w:after="160" w:line="256.7994545454545" w:lineRule="auto"/>
        <w:rPr>
          <w:sz w:val="16"/>
          <w:szCs w:val="16"/>
        </w:rPr>
      </w:pPr>
      <w:r w:rsidDel="00000000" w:rsidR="00000000" w:rsidRPr="00000000">
        <w:rPr>
          <w:sz w:val="16"/>
          <w:szCs w:val="16"/>
          <w:rtl w:val="0"/>
        </w:rPr>
        <w:t xml:space="preserve">H. </w:t>
      </w:r>
      <w:r w:rsidDel="00000000" w:rsidR="00000000" w:rsidRPr="00000000">
        <w:rPr>
          <w:b w:val="1"/>
          <w:sz w:val="26"/>
          <w:szCs w:val="26"/>
          <w:u w:val="single"/>
          <w:rtl w:val="0"/>
        </w:rPr>
        <w:t xml:space="preserve">Wade</w:t>
      </w:r>
      <w:r w:rsidDel="00000000" w:rsidR="00000000" w:rsidRPr="00000000">
        <w:rPr>
          <w:b w:val="1"/>
          <w:sz w:val="16"/>
          <w:szCs w:val="16"/>
          <w:rtl w:val="0"/>
        </w:rPr>
        <w:t xml:space="preserve"> </w:t>
      </w:r>
      <w:r w:rsidDel="00000000" w:rsidR="00000000" w:rsidRPr="00000000">
        <w:rPr>
          <w:sz w:val="16"/>
          <w:szCs w:val="16"/>
          <w:rtl w:val="0"/>
        </w:rPr>
        <w:t xml:space="preserve">, Robert . “Is US Dollar Hegemony Ending?” </w:t>
      </w:r>
      <w:r w:rsidDel="00000000" w:rsidR="00000000" w:rsidRPr="00000000">
        <w:rPr>
          <w:i w:val="1"/>
          <w:sz w:val="16"/>
          <w:szCs w:val="16"/>
          <w:rtl w:val="0"/>
        </w:rPr>
        <w:t xml:space="preserve">Global Policy Journal</w:t>
      </w:r>
      <w:r w:rsidDel="00000000" w:rsidR="00000000" w:rsidRPr="00000000">
        <w:rPr>
          <w:sz w:val="16"/>
          <w:szCs w:val="16"/>
          <w:rtl w:val="0"/>
        </w:rPr>
        <w:t xml:space="preserve">, 28 Feb. 20</w:t>
      </w:r>
      <w:r w:rsidDel="00000000" w:rsidR="00000000" w:rsidRPr="00000000">
        <w:rPr>
          <w:b w:val="1"/>
          <w:sz w:val="26"/>
          <w:szCs w:val="26"/>
          <w:u w:val="single"/>
          <w:rtl w:val="0"/>
        </w:rPr>
        <w:t xml:space="preserve">24</w:t>
      </w:r>
      <w:r w:rsidDel="00000000" w:rsidR="00000000" w:rsidRPr="00000000">
        <w:rPr>
          <w:sz w:val="16"/>
          <w:szCs w:val="16"/>
          <w:rtl w:val="0"/>
        </w:rPr>
        <w:t xml:space="preserve">, www.globalpolicyjournal.com/blog/28/02/2024/us-dollar-hegemony-ending. // Isegora</w:t>
      </w:r>
    </w:p>
    <w:p w:rsidR="00000000" w:rsidDel="00000000" w:rsidP="00000000" w:rsidRDefault="00000000" w:rsidRPr="00000000" w14:paraId="00000007">
      <w:pPr>
        <w:spacing w:after="160" w:line="256.7994545454545" w:lineRule="auto"/>
        <w:rPr>
          <w:sz w:val="22"/>
          <w:szCs w:val="22"/>
        </w:rPr>
      </w:pPr>
      <w:r w:rsidDel="00000000" w:rsidR="00000000" w:rsidRPr="00000000">
        <w:rPr>
          <w:sz w:val="22"/>
          <w:szCs w:val="22"/>
          <w:rtl w:val="0"/>
        </w:rPr>
        <w:t xml:space="preserve">But </w:t>
      </w:r>
      <w:r w:rsidDel="00000000" w:rsidR="00000000" w:rsidRPr="00000000">
        <w:rPr>
          <w:sz w:val="22"/>
          <w:szCs w:val="22"/>
          <w:highlight w:val="cyan"/>
          <w:u w:val="single"/>
          <w:rtl w:val="0"/>
        </w:rPr>
        <w:t xml:space="preserve">people</w:t>
      </w:r>
      <w:r w:rsidDel="00000000" w:rsidR="00000000" w:rsidRPr="00000000">
        <w:rPr>
          <w:sz w:val="22"/>
          <w:szCs w:val="22"/>
          <w:u w:val="single"/>
          <w:rtl w:val="0"/>
        </w:rPr>
        <w:t xml:space="preserve"> have been </w:t>
      </w:r>
      <w:r w:rsidDel="00000000" w:rsidR="00000000" w:rsidRPr="00000000">
        <w:rPr>
          <w:sz w:val="22"/>
          <w:szCs w:val="22"/>
          <w:highlight w:val="cyan"/>
          <w:u w:val="single"/>
          <w:rtl w:val="0"/>
        </w:rPr>
        <w:t xml:space="preserve">forecasting</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end of dollar hegemony for half a century and more</w:t>
      </w:r>
      <w:r w:rsidDel="00000000" w:rsidR="00000000" w:rsidRPr="00000000">
        <w:rPr>
          <w:sz w:val="22"/>
          <w:szCs w:val="22"/>
          <w:rtl w:val="0"/>
        </w:rPr>
        <w:t xml:space="preserve">, for reasons to do with the inherent difficulties for the US central bank to balance supplying enough dollars for global transactions and few enough dollars to sustain confidence in the value of the dollar. This issue led economist Robert Triffin in 1960 to warn of an “imminent threat to the once-mighty US dollar” (his argument came to be known as “the Triffin Dilemma”). Charles Kindleberger declared in 1976 that “the dollar is finished as international money”. When French president Nicolas Sarkozy chaired the G20 in 2010 he took the opportunity to decry the model that left “part of the world dependent on US monetary policy”.</w:t>
      </w:r>
      <w:r w:rsidDel="00000000" w:rsidR="00000000" w:rsidRPr="00000000">
        <w:rPr>
          <w:sz w:val="22"/>
          <w:szCs w:val="22"/>
          <w:u w:val="single"/>
          <w:rtl w:val="0"/>
        </w:rPr>
        <w:t xml:space="preserve"> This essay argues that </w:t>
      </w:r>
      <w:r w:rsidDel="00000000" w:rsidR="00000000" w:rsidRPr="00000000">
        <w:rPr>
          <w:sz w:val="22"/>
          <w:szCs w:val="22"/>
          <w:highlight w:val="cyan"/>
          <w:u w:val="single"/>
          <w:rtl w:val="0"/>
        </w:rPr>
        <w:t xml:space="preserve">dollar hegemony will surely end – but not in the foreseeable future.</w:t>
      </w:r>
      <w:r w:rsidDel="00000000" w:rsidR="00000000" w:rsidRPr="00000000">
        <w:rPr>
          <w:sz w:val="22"/>
          <w:szCs w:val="22"/>
          <w:u w:val="single"/>
          <w:rtl w:val="0"/>
        </w:rPr>
        <w:t xml:space="preserve"> Most of the world has </w:t>
      </w:r>
      <w:r w:rsidDel="00000000" w:rsidR="00000000" w:rsidRPr="00000000">
        <w:rPr>
          <w:sz w:val="22"/>
          <w:szCs w:val="22"/>
          <w:highlight w:val="cyan"/>
          <w:u w:val="single"/>
          <w:rtl w:val="0"/>
        </w:rPr>
        <w:t xml:space="preserve">no prospect of</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 alternative</w:t>
      </w:r>
      <w:r w:rsidDel="00000000" w:rsidR="00000000" w:rsidRPr="00000000">
        <w:rPr>
          <w:sz w:val="22"/>
          <w:szCs w:val="22"/>
          <w:u w:val="single"/>
          <w:rtl w:val="0"/>
        </w:rPr>
        <w:t xml:space="preserve"> to the international dollar </w:t>
      </w:r>
      <w:r w:rsidDel="00000000" w:rsidR="00000000" w:rsidRPr="00000000">
        <w:rPr>
          <w:sz w:val="22"/>
          <w:szCs w:val="22"/>
          <w:highlight w:val="cyan"/>
          <w:u w:val="single"/>
          <w:rtl w:val="0"/>
        </w:rPr>
        <w:t xml:space="preserve">to be used at scale in the next two decades </w:t>
      </w:r>
      <w:r w:rsidDel="00000000" w:rsidR="00000000" w:rsidRPr="00000000">
        <w:rPr>
          <w:sz w:val="22"/>
          <w:szCs w:val="22"/>
          <w:u w:val="single"/>
          <w:rtl w:val="0"/>
        </w:rPr>
        <w:t xml:space="preserve">or so</w:t>
      </w:r>
      <w:r w:rsidDel="00000000" w:rsidR="00000000" w:rsidRPr="00000000">
        <w:rPr>
          <w:sz w:val="22"/>
          <w:szCs w:val="22"/>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B/f7GVYUSzFO+lbA0kk5OkZleg==">CgMxLjAyDmgucXIxZzl4ZWJ2YzhtOAByITFpN25leFJmSk1wbGxJWXM2UVAyNVVPeXlSRzE3NjBWMA==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