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Inequality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AT Collapse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upaedpn58g7k" w:id="0"/>
      <w:bookmarkEnd w:id="0"/>
      <w:r w:rsidDel="00000000" w:rsidR="00000000" w:rsidRPr="00000000">
        <w:rPr>
          <w:rtl w:val="0"/>
        </w:rPr>
        <w:t xml:space="preserve">No Econ Degrowth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80" w:before="280" w:line="301.09090909090907" w:lineRule="auto"/>
        <w:rPr/>
      </w:pPr>
      <w:bookmarkStart w:colFirst="0" w:colLast="0" w:name="_heading=h.afzt0j35uovw" w:id="1"/>
      <w:bookmarkEnd w:id="1"/>
      <w:r w:rsidDel="00000000" w:rsidR="00000000" w:rsidRPr="00000000">
        <w:rPr>
          <w:rtl w:val="0"/>
        </w:rPr>
        <w:t xml:space="preserve">Long-run OECD evidence shows higher inequality leaves economic growth unchanged, disproving claims of inevitable collapse.</w:t>
      </w:r>
    </w:p>
    <w:p w:rsidR="00000000" w:rsidDel="00000000" w:rsidP="00000000" w:rsidRDefault="00000000" w:rsidRPr="00000000" w14:paraId="00000008">
      <w:pPr>
        <w:spacing w:after="240" w:before="240" w:line="276.0005454545455" w:lineRule="auto"/>
        <w:rPr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Polacko 21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[Matthew Polacko, Post-doctoral Research Fellow in Comparative Politics, University of Toronto, “</w:t>
      </w:r>
      <w:r w:rsidDel="00000000" w:rsidR="00000000" w:rsidRPr="00000000">
        <w:rPr>
          <w:i w:val="1"/>
          <w:sz w:val="16"/>
          <w:szCs w:val="16"/>
          <w:rtl w:val="0"/>
        </w:rPr>
        <w:t xml:space="preserve">Causes and Consequences of Income Inequality – An Overview</w:t>
      </w:r>
      <w:r w:rsidDel="00000000" w:rsidR="00000000" w:rsidRPr="00000000">
        <w:rPr>
          <w:sz w:val="16"/>
          <w:szCs w:val="16"/>
          <w:rtl w:val="0"/>
        </w:rPr>
        <w:t xml:space="preserve">,” </w:t>
      </w:r>
      <w:r w:rsidDel="00000000" w:rsidR="00000000" w:rsidRPr="00000000">
        <w:rPr>
          <w:i w:val="1"/>
          <w:sz w:val="16"/>
          <w:szCs w:val="16"/>
          <w:rtl w:val="0"/>
        </w:rPr>
        <w:t xml:space="preserve">Statistics, Politics and Policy</w:t>
      </w:r>
      <w:r w:rsidDel="00000000" w:rsidR="00000000" w:rsidRPr="00000000">
        <w:rPr>
          <w:sz w:val="16"/>
          <w:szCs w:val="16"/>
          <w:rtl w:val="0"/>
        </w:rPr>
        <w:t xml:space="preserve">, vol. 12, no. 2, 20 October 2021, pp. 341-357. Accessed 26 June 2025. https://doi.org/10.1515/spp-2021-0017] // Isegora</w:t>
      </w:r>
    </w:p>
    <w:p w:rsidR="00000000" w:rsidDel="00000000" w:rsidP="00000000" w:rsidRDefault="00000000" w:rsidRPr="00000000" w14:paraId="00000009">
      <w:pPr>
        <w:spacing w:line="276.0005454545455" w:lineRule="auto"/>
        <w:rPr>
          <w:b w:val="1"/>
          <w:sz w:val="24"/>
          <w:szCs w:val="24"/>
          <w:highlight w:val="cyan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Recent International Monetary Fund (IMF) 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research found that between 1985 and 1995, redistribution through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the 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tax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system had 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offset 60% of the increase in market inequality but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has since </w:t>
      </w:r>
      <w:r w:rsidDel="00000000" w:rsidR="00000000" w:rsidRPr="00000000">
        <w:rPr>
          <w:b w:val="1"/>
          <w:sz w:val="24"/>
          <w:szCs w:val="24"/>
          <w:highlight w:val="cyan"/>
          <w:u w:val="single"/>
          <w:rtl w:val="0"/>
        </w:rPr>
        <w:t xml:space="preserve">failed to respond to the continuing increase in inequality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(IMF 2017). Moreover, in a sample of 18 OECD countries encompassing 50 years, Hope and Limberg (2020) found that 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tax reforms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even significantly 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increased pre-tax income inequality, while </w:t>
      </w:r>
      <w:r w:rsidDel="00000000" w:rsidR="00000000" w:rsidRPr="00000000">
        <w:rPr>
          <w:b w:val="1"/>
          <w:sz w:val="24"/>
          <w:szCs w:val="24"/>
          <w:highlight w:val="cyan"/>
          <w:u w:val="single"/>
          <w:rtl w:val="0"/>
        </w:rPr>
        <w:t xml:space="preserve">having no significant effect on economic growth.</w:t>
      </w:r>
    </w:p>
    <w:p w:rsidR="00000000" w:rsidDel="00000000" w:rsidP="00000000" w:rsidRDefault="00000000" w:rsidRPr="00000000" w14:paraId="0000000A">
      <w:pPr>
        <w:spacing w:line="276.0005454545455" w:lineRule="auto"/>
        <w:rPr>
          <w:b w:val="1"/>
          <w:sz w:val="24"/>
          <w:szCs w:val="24"/>
          <w:highlight w:val="cy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eading=h.mcn7g9c5cuto" w:id="2"/>
      <w:bookmarkEnd w:id="2"/>
      <w:r w:rsidDel="00000000" w:rsidR="00000000" w:rsidRPr="00000000">
        <w:rPr>
          <w:rtl w:val="0"/>
        </w:rPr>
        <w:t xml:space="preserve">No Democratic Backsliding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80" w:before="280" w:line="301.09090909090907" w:lineRule="auto"/>
        <w:rPr/>
      </w:pPr>
      <w:bookmarkStart w:colFirst="0" w:colLast="0" w:name="_heading=h.xe0h47hf2rbg" w:id="3"/>
      <w:bookmarkEnd w:id="3"/>
      <w:r w:rsidDel="00000000" w:rsidR="00000000" w:rsidRPr="00000000">
        <w:rPr>
          <w:rtl w:val="0"/>
        </w:rPr>
        <w:t xml:space="preserve">A twelve-country study finds inequality levels neither predicted nor worsened recent episodes of democratic backsliding.</w:t>
      </w:r>
    </w:p>
    <w:p w:rsidR="00000000" w:rsidDel="00000000" w:rsidP="00000000" w:rsidRDefault="00000000" w:rsidRPr="00000000" w14:paraId="0000000E">
      <w:pPr>
        <w:spacing w:after="240" w:before="240" w:line="276.0005454545455" w:lineRule="auto"/>
        <w:rPr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Carothers &amp; Hartnett 24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[Thomas Carothers (Harvey V. Fineberg Chair, Carnegie Endowment) &amp; Brendan Hartnett, “</w:t>
      </w:r>
      <w:r w:rsidDel="00000000" w:rsidR="00000000" w:rsidRPr="00000000">
        <w:rPr>
          <w:i w:val="1"/>
          <w:sz w:val="16"/>
          <w:szCs w:val="16"/>
          <w:rtl w:val="0"/>
        </w:rPr>
        <w:t xml:space="preserve">Misunderstanding Democratic Backsliding</w:t>
      </w:r>
      <w:r w:rsidDel="00000000" w:rsidR="00000000" w:rsidRPr="00000000">
        <w:rPr>
          <w:sz w:val="16"/>
          <w:szCs w:val="16"/>
          <w:rtl w:val="0"/>
        </w:rPr>
        <w:t xml:space="preserve">,” </w:t>
      </w:r>
      <w:r w:rsidDel="00000000" w:rsidR="00000000" w:rsidRPr="00000000">
        <w:rPr>
          <w:i w:val="1"/>
          <w:sz w:val="16"/>
          <w:szCs w:val="16"/>
          <w:rtl w:val="0"/>
        </w:rPr>
        <w:t xml:space="preserve">Journal of Democracy</w:t>
      </w:r>
      <w:r w:rsidDel="00000000" w:rsidR="00000000" w:rsidRPr="00000000">
        <w:rPr>
          <w:sz w:val="16"/>
          <w:szCs w:val="16"/>
          <w:rtl w:val="0"/>
        </w:rPr>
        <w:t xml:space="preserve">, vol. 35, no. 3, July 2024, pp. 24-37. Accessed 5 July 2025. https://www.journalofdemocracy.org/articles/misunderstanding-democratic-backsliding/] // Isegora</w:t>
      </w:r>
    </w:p>
    <w:p w:rsidR="00000000" w:rsidDel="00000000" w:rsidP="00000000" w:rsidRDefault="00000000" w:rsidRPr="00000000" w14:paraId="0000000F">
      <w:pPr>
        <w:shd w:fill="ffffff" w:val="clear"/>
        <w:spacing w:after="440" w:before="440" w:line="276.0005454545455" w:lineRule="auto"/>
        <w:rPr>
          <w:b w:val="1"/>
          <w:color w:val="111111"/>
          <w:sz w:val="24"/>
          <w:szCs w:val="24"/>
          <w:highlight w:val="cyan"/>
          <w:u w:val="single"/>
        </w:rPr>
      </w:pPr>
      <w:r w:rsidDel="00000000" w:rsidR="00000000" w:rsidRPr="00000000">
        <w:rPr>
          <w:color w:val="111111"/>
          <w:sz w:val="16"/>
          <w:szCs w:val="16"/>
          <w:rtl w:val="0"/>
        </w:rPr>
        <w:t xml:space="preserve">To examine whether poor socioeconomic performance precedes the election of leaders who engage in backsliding, we looked at three core economic indicators — inequality, poverty, and growth — in the five years prior to each of the pivotal elections in question.</w:t>
      </w:r>
      <w:r w:rsidDel="00000000" w:rsidR="00000000" w:rsidRPr="00000000">
        <w:rPr>
          <w:b w:val="1"/>
          <w:color w:val="111111"/>
          <w:sz w:val="16"/>
          <w:szCs w:val="16"/>
          <w:vertAlign w:val="superscript"/>
          <w:rtl w:val="0"/>
        </w:rPr>
        <w:t xml:space="preserve">4</w:t>
      </w:r>
      <w:r w:rsidDel="00000000" w:rsidR="00000000" w:rsidRPr="00000000">
        <w:rPr>
          <w:color w:val="111111"/>
          <w:sz w:val="16"/>
          <w:szCs w:val="16"/>
          <w:rtl w:val="0"/>
        </w:rPr>
        <w:t xml:space="preserve"> The idea that anger over rising inequality drives citizens to embrace illiberal politicians is perhaps the most common form of the democracy-not-delivering thesis. Indeed, some prominent Western observers concerned about rising inequality around the world point to it as a major cause of democracy’s global travails</w:t>
      </w:r>
      <w:r w:rsidDel="00000000" w:rsidR="00000000" w:rsidRPr="00000000">
        <w:rPr>
          <w:sz w:val="16"/>
          <w:szCs w:val="16"/>
          <w:rtl w:val="0"/>
        </w:rPr>
        <w:t xml:space="preserve">.</w:t>
      </w:r>
      <w:r w:rsidDel="00000000" w:rsidR="00000000" w:rsidRPr="00000000">
        <w:rPr>
          <w:sz w:val="16"/>
          <w:szCs w:val="16"/>
          <w:vertAlign w:val="superscript"/>
          <w:rtl w:val="0"/>
        </w:rPr>
        <w:t xml:space="preserve">5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color w:val="111111"/>
          <w:sz w:val="24"/>
          <w:szCs w:val="24"/>
          <w:highlight w:val="cyan"/>
          <w:u w:val="single"/>
          <w:rtl w:val="0"/>
        </w:rPr>
        <w:t xml:space="preserve">Yet, although rising levels of domestic inequality undoubtedly pose 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many </w:t>
      </w:r>
      <w:r w:rsidDel="00000000" w:rsidR="00000000" w:rsidRPr="00000000">
        <w:rPr>
          <w:color w:val="111111"/>
          <w:sz w:val="24"/>
          <w:szCs w:val="24"/>
          <w:highlight w:val="cyan"/>
          <w:u w:val="single"/>
          <w:rtl w:val="0"/>
        </w:rPr>
        <w:t xml:space="preserve">problems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 for democracies (and other types of political systems), </w:t>
      </w:r>
      <w:r w:rsidDel="00000000" w:rsidR="00000000" w:rsidRPr="00000000">
        <w:rPr>
          <w:b w:val="1"/>
          <w:color w:val="111111"/>
          <w:sz w:val="24"/>
          <w:szCs w:val="24"/>
          <w:highlight w:val="cyan"/>
          <w:u w:val="single"/>
          <w:rtl w:val="0"/>
        </w:rPr>
        <w:t xml:space="preserve">the link to backsliding is not apparent.</w:t>
      </w:r>
    </w:p>
    <w:p w:rsidR="00000000" w:rsidDel="00000000" w:rsidP="00000000" w:rsidRDefault="00000000" w:rsidRPr="00000000" w14:paraId="00000010">
      <w:pPr>
        <w:shd w:fill="ffffff" w:val="clear"/>
        <w:spacing w:after="440" w:before="440" w:line="276.0005454545455" w:lineRule="auto"/>
        <w:rPr>
          <w:color w:val="111111"/>
          <w:sz w:val="16"/>
          <w:szCs w:val="16"/>
        </w:rPr>
      </w:pPr>
      <w:r w:rsidDel="00000000" w:rsidR="00000000" w:rsidRPr="00000000">
        <w:rPr>
          <w:color w:val="111111"/>
          <w:sz w:val="24"/>
          <w:szCs w:val="24"/>
          <w:highlight w:val="cyan"/>
          <w:u w:val="single"/>
          <w:rtl w:val="0"/>
        </w:rPr>
        <w:t xml:space="preserve">In eight of the twelve cases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 under study, </w:t>
      </w:r>
      <w:r w:rsidDel="00000000" w:rsidR="00000000" w:rsidRPr="00000000">
        <w:rPr>
          <w:b w:val="1"/>
          <w:color w:val="111111"/>
          <w:sz w:val="24"/>
          <w:szCs w:val="24"/>
          <w:highlight w:val="cyan"/>
          <w:u w:val="single"/>
          <w:rtl w:val="0"/>
        </w:rPr>
        <w:t xml:space="preserve">inequality </w:t>
      </w:r>
      <w:r w:rsidDel="00000000" w:rsidR="00000000" w:rsidRPr="00000000">
        <w:rPr>
          <w:b w:val="1"/>
          <w:i w:val="1"/>
          <w:color w:val="111111"/>
          <w:sz w:val="24"/>
          <w:szCs w:val="24"/>
          <w:highlight w:val="cyan"/>
          <w:u w:val="single"/>
          <w:rtl w:val="0"/>
        </w:rPr>
        <w:t xml:space="preserve">was </w:t>
      </w:r>
      <w:r w:rsidDel="00000000" w:rsidR="00000000" w:rsidRPr="00000000">
        <w:rPr>
          <w:b w:val="1"/>
          <w:color w:val="111111"/>
          <w:sz w:val="24"/>
          <w:szCs w:val="24"/>
          <w:highlight w:val="cyan"/>
          <w:u w:val="single"/>
          <w:rtl w:val="0"/>
        </w:rPr>
        <w:t xml:space="preserve">trending downward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 in the five years </w:t>
      </w:r>
      <w:r w:rsidDel="00000000" w:rsidR="00000000" w:rsidRPr="00000000">
        <w:rPr>
          <w:b w:val="1"/>
          <w:color w:val="111111"/>
          <w:sz w:val="24"/>
          <w:szCs w:val="24"/>
          <w:highlight w:val="cyan"/>
          <w:u w:val="single"/>
          <w:rtl w:val="0"/>
        </w:rPr>
        <w:t xml:space="preserve">before the elections</w:t>
      </w:r>
      <w:r w:rsidDel="00000000" w:rsidR="00000000" w:rsidRPr="00000000">
        <w:rPr>
          <w:color w:val="111111"/>
          <w:sz w:val="24"/>
          <w:szCs w:val="24"/>
          <w:highlight w:val="cyan"/>
          <w:u w:val="single"/>
          <w:rtl w:val="0"/>
        </w:rPr>
        <w:t xml:space="preserve"> that brought to power leaders who ended up moving against democracy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, averaging an almost 7 percent drop in the country’s Gini coefficient. In the four countries where that was not the case — Brazil, India, Tunisia, and the United States — inequality was roughly stable in the relevant period. A fallback argument for the democracy-not-delivering thesis might be that what is crucial is not the direction of inequality but the overall level. But here, too, the hypothesis falls short: 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In most cases,</w:t>
      </w:r>
      <w:r w:rsidDel="00000000" w:rsidR="00000000" w:rsidRPr="00000000">
        <w:rPr>
          <w:color w:val="111111"/>
          <w:sz w:val="24"/>
          <w:szCs w:val="24"/>
          <w:highlight w:val="cyan"/>
          <w:u w:val="single"/>
          <w:rtl w:val="0"/>
        </w:rPr>
        <w:t xml:space="preserve"> </w:t>
      </w:r>
      <w:r w:rsidDel="00000000" w:rsidR="00000000" w:rsidRPr="00000000">
        <w:rPr>
          <w:b w:val="1"/>
          <w:color w:val="111111"/>
          <w:sz w:val="24"/>
          <w:szCs w:val="24"/>
          <w:highlight w:val="cyan"/>
          <w:u w:val="single"/>
          <w:rtl w:val="0"/>
        </w:rPr>
        <w:t xml:space="preserve">inequality in the backsliding countries was not higher than average when compared with their regional peers</w:t>
      </w:r>
      <w:r w:rsidDel="00000000" w:rsidR="00000000" w:rsidRPr="00000000">
        <w:rPr>
          <w:color w:val="111111"/>
          <w:sz w:val="24"/>
          <w:szCs w:val="24"/>
          <w:highlight w:val="cyan"/>
          <w:u w:val="single"/>
          <w:rtl w:val="0"/>
        </w:rPr>
        <w:t xml:space="preserve">.</w:t>
      </w:r>
      <w:r w:rsidDel="00000000" w:rsidR="00000000" w:rsidRPr="00000000">
        <w:rPr>
          <w:color w:val="11111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color w:val="111111"/>
          <w:sz w:val="16"/>
          <w:szCs w:val="16"/>
          <w:rtl w:val="0"/>
        </w:rPr>
        <w:t xml:space="preserve">With respect to poverty rates, the picture is similar: In five years before backsliding began, poverty levels </w:t>
      </w:r>
      <w:r w:rsidDel="00000000" w:rsidR="00000000" w:rsidRPr="00000000">
        <w:rPr>
          <w:i w:val="1"/>
          <w:color w:val="111111"/>
          <w:sz w:val="16"/>
          <w:szCs w:val="16"/>
          <w:rtl w:val="0"/>
        </w:rPr>
        <w:t xml:space="preserve">decreased </w:t>
      </w:r>
      <w:r w:rsidDel="00000000" w:rsidR="00000000" w:rsidRPr="00000000">
        <w:rPr>
          <w:color w:val="111111"/>
          <w:sz w:val="16"/>
          <w:szCs w:val="16"/>
          <w:rtl w:val="0"/>
        </w:rPr>
        <w:t xml:space="preserve">in nine of the twelve countries — substantially in some cases, such as India and Poland.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heading=h.jim524nhsadv" w:id="4"/>
      <w:bookmarkEnd w:id="4"/>
      <w:r w:rsidDel="00000000" w:rsidR="00000000" w:rsidRPr="00000000">
        <w:rPr>
          <w:rtl w:val="0"/>
        </w:rPr>
        <w:t xml:space="preserve">AT Polarization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80" w:before="280" w:line="301.09090909090907" w:lineRule="auto"/>
        <w:rPr/>
      </w:pPr>
      <w:bookmarkStart w:colFirst="0" w:colLast="0" w:name="_heading=h.l1rwj3an3g6" w:id="5"/>
      <w:bookmarkEnd w:id="5"/>
      <w:r w:rsidDel="00000000" w:rsidR="00000000" w:rsidRPr="00000000">
        <w:rPr>
          <w:rtl w:val="0"/>
        </w:rPr>
        <w:t xml:space="preserve">Cross-national research shows inequality’s effect on political polarization disappears once educational gaps are taken into account.</w:t>
      </w:r>
    </w:p>
    <w:p w:rsidR="00000000" w:rsidDel="00000000" w:rsidP="00000000" w:rsidRDefault="00000000" w:rsidRPr="00000000" w14:paraId="00000014">
      <w:pPr>
        <w:spacing w:after="240" w:before="240" w:line="276.0005454545455" w:lineRule="auto"/>
        <w:rPr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Gu &amp; Wang 22</w:t>
      </w:r>
      <w:r w:rsidDel="00000000" w:rsidR="00000000" w:rsidRPr="00000000">
        <w:rPr>
          <w:sz w:val="16"/>
          <w:szCs w:val="16"/>
          <w:rtl w:val="0"/>
        </w:rPr>
        <w:t xml:space="preserve"> [Yanfeng Gu &amp; Zhongyuan Wang, Fudan Institute for Advanced Study in Social Sciences, “</w:t>
      </w:r>
      <w:r w:rsidDel="00000000" w:rsidR="00000000" w:rsidRPr="00000000">
        <w:rPr>
          <w:i w:val="1"/>
          <w:sz w:val="16"/>
          <w:szCs w:val="16"/>
          <w:rtl w:val="0"/>
        </w:rPr>
        <w:t xml:space="preserve">Income Inequality and Global Political Polarization: The Economic Origin of Political Polarization in the World</w:t>
      </w:r>
      <w:r w:rsidDel="00000000" w:rsidR="00000000" w:rsidRPr="00000000">
        <w:rPr>
          <w:sz w:val="16"/>
          <w:szCs w:val="16"/>
          <w:rtl w:val="0"/>
        </w:rPr>
        <w:t xml:space="preserve">,” </w:t>
      </w:r>
      <w:r w:rsidDel="00000000" w:rsidR="00000000" w:rsidRPr="00000000">
        <w:rPr>
          <w:i w:val="1"/>
          <w:sz w:val="16"/>
          <w:szCs w:val="16"/>
          <w:rtl w:val="0"/>
        </w:rPr>
        <w:t xml:space="preserve">Journal of Chinese Political Science</w:t>
      </w:r>
      <w:r w:rsidDel="00000000" w:rsidR="00000000" w:rsidRPr="00000000">
        <w:rPr>
          <w:sz w:val="16"/>
          <w:szCs w:val="16"/>
          <w:rtl w:val="0"/>
        </w:rPr>
        <w:t xml:space="preserve">, vol. 27, no. 2, 23 November 2021, pp. 375-398. Accessed 5 July 2025. https://pmc.ncbi.nlm.nih.gov/articles/PMC8608558/] // Isegora</w:t>
      </w:r>
    </w:p>
    <w:p w:rsidR="00000000" w:rsidDel="00000000" w:rsidP="00000000" w:rsidRDefault="00000000" w:rsidRPr="00000000" w14:paraId="00000015">
      <w:pPr>
        <w:spacing w:line="276.0005454545455" w:lineRule="auto"/>
        <w:rPr>
          <w:sz w:val="16"/>
          <w:szCs w:val="16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For instance, Dettrey and Campbell [16], by examining individual-level data from 1972 to 2008, argued that the </w:t>
      </w:r>
      <w:r w:rsidDel="00000000" w:rsidR="00000000" w:rsidRPr="00000000">
        <w:rPr>
          <w:b w:val="1"/>
          <w:sz w:val="24"/>
          <w:szCs w:val="24"/>
          <w:highlight w:val="cyan"/>
          <w:u w:val="single"/>
          <w:rtl w:val="0"/>
        </w:rPr>
        <w:t xml:space="preserve">increased ideological polarization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 in the U.S. was mainly driven by </w:t>
      </w:r>
      <w:r w:rsidDel="00000000" w:rsidR="00000000" w:rsidRPr="00000000">
        <w:rPr>
          <w:b w:val="1"/>
          <w:sz w:val="24"/>
          <w:szCs w:val="24"/>
          <w:highlight w:val="cyan"/>
          <w:u w:val="single"/>
          <w:rtl w:val="0"/>
        </w:rPr>
        <w:t xml:space="preserve">political partisanship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 rather than the result of growing income inequality. Bosancianu [12] tested this theory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by using European data 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and also found </w:t>
      </w:r>
      <w:r w:rsidDel="00000000" w:rsidR="00000000" w:rsidRPr="00000000">
        <w:rPr>
          <w:b w:val="1"/>
          <w:sz w:val="24"/>
          <w:szCs w:val="24"/>
          <w:highlight w:val="cyan"/>
          <w:u w:val="single"/>
          <w:rtl w:val="0"/>
        </w:rPr>
        <w:t xml:space="preserve">no significant effect of income inequality on attitude polarization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 if educational inequality is controlled for.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Similarly, in his recent book The Great Alignment, Abramowitz [2] highlighted that 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today’s political polarization is unique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in modern U.S. history and </w:t>
      </w:r>
      <w:r w:rsidDel="00000000" w:rsidR="00000000" w:rsidRPr="00000000">
        <w:rPr>
          <w:b w:val="1"/>
          <w:sz w:val="24"/>
          <w:szCs w:val="24"/>
          <w:highlight w:val="cyan"/>
          <w:u w:val="single"/>
          <w:rtl w:val="0"/>
        </w:rPr>
        <w:t xml:space="preserve">mainly arose out of “negative partisanship” </w:t>
      </w:r>
      <w:r w:rsidDel="00000000" w:rsidR="00000000" w:rsidRPr="00000000">
        <w:rPr>
          <w:sz w:val="24"/>
          <w:szCs w:val="24"/>
          <w:highlight w:val="cyan"/>
          <w:u w:val="single"/>
          <w:rtl w:val="0"/>
        </w:rPr>
        <w:t xml:space="preserve">rather than any other factors such as economic discontent.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Similarly, Mutz [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u w:val="single"/>
          <w:rtl w:val="0"/>
        </w:rPr>
        <w:t xml:space="preserve">9] analyzed panel data from 2012 to 2015 and found that individual economic hardship had little impact on candidate preference</w:t>
      </w:r>
      <w:r w:rsidDel="00000000" w:rsidR="00000000" w:rsidRPr="00000000">
        <w:rPr>
          <w:sz w:val="16"/>
          <w:szCs w:val="16"/>
          <w:rtl w:val="0"/>
        </w:rPr>
        <w:t xml:space="preserve"> and Donald J. Trump’s victory in the 2016 election was mainly attributed to group status concerns.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2"/>
        <w:szCs w:val="1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pBdr>
        <w:top w:color="000000" w:space="1" w:sz="24" w:val="single"/>
        <w:left w:color="000000" w:space="4" w:sz="24" w:val="single"/>
        <w:bottom w:color="000000" w:space="1" w:sz="24" w:val="single"/>
        <w:right w:color="000000" w:space="4" w:sz="24" w:val="single"/>
      </w:pBdr>
      <w:spacing w:before="480" w:lineRule="auto"/>
      <w:jc w:val="center"/>
    </w:pPr>
    <w:rPr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1"/>
      <w:spacing w:before="480" w:lineRule="auto"/>
      <w:jc w:val="center"/>
    </w:pPr>
    <w:rPr>
      <w:b w:val="1"/>
      <w:sz w:val="44"/>
      <w:szCs w:val="4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1"/>
      <w:spacing w:before="200" w:lineRule="auto"/>
      <w:jc w:val="center"/>
    </w:pPr>
    <w:rPr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rsid w:val="005A76D8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  <w:rsid w:val="005A76D8"/>
  </w:style>
  <w:style w:type="character" w:styleId="Emphasis">
    <w:name w:val="Emphasis"/>
    <w:basedOn w:val="DefaultParagraphFont"/>
    <w:uiPriority w:val="8"/>
    <w:qFormat w:val="1"/>
    <w:rsid w:val="005A76D8"/>
    <w:rPr>
      <w:rFonts w:ascii="Calibri" w:cs="Calibri" w:hAnsi="Calibri"/>
      <w:b w:val="1"/>
      <w:i w:val="0"/>
      <w:iCs w:val="1"/>
      <w:sz w:val="22"/>
      <w:u w:val="single"/>
      <w:bdr w:color="auto" w:space="0" w:sz="0" w:val="non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A76D8"/>
    <w:rPr>
      <w:color w:val="auto"/>
      <w:u w:val="none"/>
    </w:rPr>
  </w:style>
  <w:style w:type="character" w:styleId="Heading1Char" w:customStyle="1">
    <w:name w:val="Heading 1 Char"/>
    <w:aliases w:val="Pocket Char"/>
    <w:basedOn w:val="DefaultParagraphFont"/>
    <w:link w:val="Heading1"/>
    <w:rsid w:val="005A76D8"/>
    <w:rPr>
      <w:rFonts w:ascii="Calibri" w:hAnsi="Calibri" w:cstheme="majorBidi" w:eastAsiaTheme="majorEastAsia"/>
      <w:b w:val="1"/>
      <w:sz w:val="52"/>
      <w:szCs w:val="32"/>
    </w:rPr>
  </w:style>
  <w:style w:type="character" w:styleId="Heading2Char" w:customStyle="1">
    <w:name w:val="Heading 2 Char"/>
    <w:aliases w:val="Hat Char"/>
    <w:basedOn w:val="DefaultParagraphFont"/>
    <w:link w:val="Heading2"/>
    <w:uiPriority w:val="1"/>
    <w:rsid w:val="005A76D8"/>
    <w:rPr>
      <w:rFonts w:ascii="Calibri" w:hAnsi="Calibri" w:cstheme="majorBidi" w:eastAsiaTheme="majorEastAsia"/>
      <w:b w:val="1"/>
      <w:sz w:val="44"/>
      <w:szCs w:val="26"/>
      <w:u w:val="double"/>
    </w:rPr>
  </w:style>
  <w:style w:type="character" w:styleId="Heading3Char" w:customStyle="1">
    <w:name w:val="Heading 3 Char"/>
    <w:aliases w:val="Block Char"/>
    <w:basedOn w:val="DefaultParagraphFont"/>
    <w:link w:val="Heading3"/>
    <w:uiPriority w:val="2"/>
    <w:rsid w:val="005A76D8"/>
    <w:rPr>
      <w:rFonts w:ascii="Calibri" w:hAnsi="Calibri" w:cstheme="majorBidi" w:eastAsiaTheme="majorEastAsia"/>
      <w:b w:val="1"/>
      <w:sz w:val="32"/>
      <w:szCs w:val="24"/>
      <w:u w:val="single"/>
    </w:rPr>
  </w:style>
  <w:style w:type="character" w:styleId="Heading4Char" w:customStyle="1">
    <w:name w:val="Heading 4 Char"/>
    <w:aliases w:val="Tag Char"/>
    <w:basedOn w:val="DefaultParagraphFont"/>
    <w:link w:val="Heading4"/>
    <w:uiPriority w:val="3"/>
    <w:rsid w:val="005A76D8"/>
    <w:rPr>
      <w:rFonts w:ascii="Calibri" w:hAnsi="Calibri" w:cstheme="majorBidi" w:eastAsiaTheme="majorEastAsia"/>
      <w:b w:val="1"/>
      <w:iCs w:val="1"/>
      <w:sz w:val="26"/>
    </w:rPr>
  </w:style>
  <w:style w:type="character" w:styleId="Style13ptBold" w:customStyle="1">
    <w:name w:val="Style 13 pt Bold"/>
    <w:aliases w:val="Cite"/>
    <w:basedOn w:val="DefaultParagraphFont"/>
    <w:uiPriority w:val="6"/>
    <w:qFormat w:val="1"/>
    <w:rsid w:val="005A76D8"/>
    <w:rPr>
      <w:b w:val="1"/>
      <w:bCs w:val="1"/>
      <w:sz w:val="26"/>
      <w:u w:val="none"/>
    </w:rPr>
  </w:style>
  <w:style w:type="character" w:styleId="StyleUnderline" w:customStyle="1">
    <w:name w:val="Style Underline"/>
    <w:aliases w:val="Underline"/>
    <w:basedOn w:val="DefaultParagraphFont"/>
    <w:uiPriority w:val="7"/>
    <w:qFormat w:val="1"/>
    <w:rsid w:val="005A76D8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 w:val="1"/>
    <w:qFormat w:val="1"/>
    <w:rsid w:val="005A76D8"/>
    <w:rPr>
      <w:b w:val="1"/>
      <w:bCs w:val="1"/>
    </w:rPr>
  </w:style>
  <w:style w:type="character" w:styleId="BookTitle">
    <w:name w:val="Book Title"/>
    <w:basedOn w:val="DefaultParagraphFont"/>
    <w:uiPriority w:val="33"/>
    <w:semiHidden w:val="1"/>
    <w:qFormat w:val="1"/>
    <w:rsid w:val="005A76D8"/>
    <w:rPr>
      <w:b w:val="1"/>
      <w:bCs w:val="1"/>
      <w:i w:val="1"/>
      <w:iCs w:val="1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76D8"/>
    <w:rPr>
      <w:rFonts w:asciiTheme="majorHAnsi" w:cstheme="majorBidi" w:eastAsiaTheme="majorEastAsia" w:hAnsiTheme="majorHAnsi"/>
      <w:color w:val="2f5496" w:themeColor="accent1" w:themeShade="0000BF"/>
      <w:sz w:val="12"/>
    </w:rPr>
  </w:style>
  <w:style w:type="numbering" w:styleId="111111">
    <w:name w:val="Outline List 2"/>
    <w:basedOn w:val="NoList"/>
    <w:uiPriority w:val="99"/>
    <w:semiHidden w:val="1"/>
    <w:unhideWhenUsed w:val="1"/>
    <w:rsid w:val="005A76D8"/>
  </w:style>
  <w:style w:type="paragraph" w:styleId="Header">
    <w:name w:val="header"/>
    <w:basedOn w:val="Normal"/>
    <w:link w:val="HeaderChar"/>
    <w:uiPriority w:val="99"/>
    <w:semiHidden w:val="1"/>
    <w:rsid w:val="005A76D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5A76D8"/>
    <w:rPr>
      <w:rFonts w:ascii="Calibri" w:cs="Calibri" w:hAnsi="Calibri"/>
      <w:sz w:val="12"/>
    </w:rPr>
  </w:style>
  <w:style w:type="paragraph" w:styleId="Footer">
    <w:name w:val="footer"/>
    <w:basedOn w:val="Normal"/>
    <w:link w:val="FooterChar"/>
    <w:uiPriority w:val="99"/>
    <w:semiHidden w:val="1"/>
    <w:rsid w:val="005A76D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5A76D8"/>
    <w:rPr>
      <w:rFonts w:ascii="Calibri" w:cs="Calibri" w:hAnsi="Calibri"/>
      <w:sz w:val="12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5A76D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5A76D8"/>
    <w:rPr>
      <w:rFonts w:ascii="Calibri" w:cs="Calibri" w:hAnsi="Calibri"/>
      <w:sz w:val="12"/>
    </w:rPr>
  </w:style>
  <w:style w:type="paragraph" w:styleId="NoSpacing">
    <w:name w:val="No Spacing"/>
    <w:link w:val="NoSpacingChar"/>
    <w:uiPriority w:val="99"/>
    <w:semiHidden w:val="1"/>
    <w:unhideWhenUsed w:val="1"/>
    <w:qFormat w:val="1"/>
    <w:rsid w:val="005A76D8"/>
    <w:pPr>
      <w:spacing w:after="0" w:line="240" w:lineRule="auto"/>
    </w:pPr>
    <w:rPr>
      <w:rFonts w:ascii="Calibri" w:cs="Calibri" w:hAnsi="Calibri"/>
    </w:rPr>
  </w:style>
  <w:style w:type="character" w:styleId="NoSpacingChar" w:customStyle="1">
    <w:name w:val="No Spacing Char"/>
    <w:basedOn w:val="DefaultParagraphFont"/>
    <w:link w:val="NoSpacing"/>
    <w:uiPriority w:val="99"/>
    <w:semiHidden w:val="1"/>
    <w:rsid w:val="005A76D8"/>
    <w:rPr>
      <w:rFonts w:ascii="Calibri" w:cs="Calibri" w:hAnsi="Calibri"/>
    </w:rPr>
  </w:style>
  <w:style w:type="character" w:styleId="Hyperlink">
    <w:name w:val="Hyperlink"/>
    <w:basedOn w:val="DefaultParagraphFont"/>
    <w:uiPriority w:val="99"/>
    <w:unhideWhenUsed w:val="1"/>
    <w:rsid w:val="005A76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A76D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mc.ncbi.nlm.nih.gov/articles/PMC8608558/#CR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+w8pNHYpNIY/LLuuvvnS6kSBKw==">CgMxLjAyDmgudXBhZWRwbjU4ZzdrMg5oLmFmenQwajM1dW92dzIOaC5tY243ZzljNWN1dG8yDmgueGUwaDQ3aGYycmJnMg5oLmppbTUyNG5oc2FkdjINaC5sMXJ3ajNhbjNnNjgAciExY1I0TWtsczBSOFBqMmVXWDl0TGtGejRZcnJEZjlBa20=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2025-07-13T16:01:00Z</dcterms:created>
  <dc:creator>Brendan Finnegan</dc:creator>
</cp:coreProperties>
</file>