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t>Progress in Bioassays of OrNV Isolates to Detect Biocontrol Candidates for CRB-G</w:t>
      </w:r>
    </w:p>
    <w:p>
      <w:pPr>
        <w:pStyle w:val="Heading1"/>
        <w:jc w:val="center"/>
        <w:rPr/>
      </w:pPr>
      <w:r>
        <w:rPr/>
        <w:t>James Grasela</w:t>
      </w:r>
    </w:p>
    <w:p>
      <w:pPr>
        <w:pStyle w:val="Heading1"/>
        <w:jc w:val="center"/>
        <w:rPr/>
      </w:pPr>
      <w:r>
        <w:rPr/>
        <w:t>2019-09-29</w:t>
      </w:r>
    </w:p>
    <w:p>
      <w:pPr>
        <w:pStyle w:val="NoSpacing"/>
        <w:jc w:val="center"/>
        <w:rPr>
          <w:rFonts w:ascii="Arial" w:hAnsi="Arial" w:cs="Arial"/>
          <w:b/>
          <w:b/>
          <w:bCs/>
          <w:sz w:val="24"/>
          <w:szCs w:val="24"/>
        </w:rPr>
      </w:pPr>
      <w:r>
        <w:rPr/>
      </w:r>
    </w:p>
    <w:p>
      <w:pPr>
        <w:pStyle w:val="NoSpacing"/>
        <w:rPr/>
      </w:pPr>
      <w:r>
        <w:rPr>
          <w:rFonts w:cs="Arial" w:ascii="Arial" w:hAnsi="Arial"/>
          <w:b/>
          <w:bCs/>
          <w:sz w:val="24"/>
          <w:szCs w:val="24"/>
        </w:rPr>
        <w:t>I. In vivo analysis of V23B OrNV isolate</w:t>
      </w:r>
    </w:p>
    <w:p>
      <w:pPr>
        <w:pStyle w:val="NoSpacing"/>
        <w:rPr>
          <w:rFonts w:ascii="Arial" w:hAnsi="Arial" w:cs="Arial"/>
          <w:sz w:val="24"/>
          <w:szCs w:val="24"/>
        </w:rPr>
      </w:pPr>
      <w:r>
        <w:rPr>
          <w:rFonts w:cs="Arial" w:ascii="Arial" w:hAnsi="Arial"/>
          <w:sz w:val="24"/>
          <w:szCs w:val="24"/>
        </w:rPr>
      </w:r>
    </w:p>
    <w:p>
      <w:pPr>
        <w:pStyle w:val="NoSpacing"/>
        <w:rPr/>
      </w:pPr>
      <w:r>
        <w:rPr>
          <w:rFonts w:cs="Arial" w:ascii="Arial" w:hAnsi="Arial"/>
          <w:sz w:val="24"/>
          <w:szCs w:val="24"/>
        </w:rPr>
        <w:t>A laboratory bioassay was conducted employing 54 adult beetles divided into either an untreated control group with each beetle fed 20 µl sterile water and a virus-treated group with each beetle fed 20 µl virus preparation. To compare the control with virus treatment, a mean was calculated for each of two consecutive weights from individual beetles taken every 2 days during a four-week test period to determine the effect of virus on the beetle.  A relative weight loss difference was calculated based on the mean of the initial beetle weight at start of the test minus its final mean weight at the end of the test period divided by the beetle initial weight (Fig. 1).</w:t>
      </w:r>
      <w:r>
        <w:rPr>
          <w:rFonts w:eastAsia="Times New Roman" w:cs="Arial" w:ascii="Arial" w:hAnsi="Arial"/>
          <w:color w:val="000000"/>
          <w:sz w:val="20"/>
          <w:szCs w:val="20"/>
        </w:rPr>
        <w:t xml:space="preserve">  </w:t>
      </w:r>
      <w:r>
        <w:rPr>
          <w:rFonts w:eastAsia="Times New Roman" w:cs="Arial" w:ascii="Arial" w:hAnsi="Arial"/>
          <w:color w:val="000000"/>
          <w:sz w:val="24"/>
          <w:szCs w:val="24"/>
        </w:rPr>
        <w:t xml:space="preserve">There was no significant difference in weight loss between the untreated control and virus-treated group based on a two-sample t-test assuming unequal variances. These results indicate that relying on a weight measurement may not be a reliable method to determine the actual impact of the virus on the morbidity of the insect.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drawing>
          <wp:inline distT="0" distB="0" distL="0" distR="0">
            <wp:extent cx="4257675" cy="20339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Spacing"/>
        <w:rPr>
          <w:rFonts w:ascii="Arial" w:hAnsi="Arial" w:cs="Arial"/>
          <w:sz w:val="24"/>
          <w:szCs w:val="24"/>
        </w:rPr>
      </w:pPr>
      <w:r>
        <w:rPr>
          <w:rFonts w:cs="Arial" w:ascii="Arial" w:hAnsi="Arial"/>
          <w:sz w:val="24"/>
          <w:szCs w:val="24"/>
        </w:rPr>
        <w:t>Fig.1</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Table 1.</w:t>
      </w:r>
      <w:r>
        <w:rPr/>
        <w:t xml:space="preserve"> </w:t>
      </w:r>
      <w:r>
        <w:rPr>
          <w:rFonts w:cs="Arial" w:ascii="Arial" w:hAnsi="Arial"/>
          <w:sz w:val="24"/>
          <w:szCs w:val="24"/>
        </w:rPr>
        <w:t>Mean loss of weight (mg) in adult CRB under two treatments</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mc:AlternateContent>
          <mc:Choice Requires="wps">
            <w:drawing>
              <wp:anchor behindDoc="0" distT="45720" distB="45720" distL="114300" distR="114300" simplePos="0" locked="0" layoutInCell="1" allowOverlap="1" relativeHeight="2" wp14:anchorId="51EF3836">
                <wp:simplePos x="0" y="0"/>
                <wp:positionH relativeFrom="margin">
                  <wp:posOffset>252095</wp:posOffset>
                </wp:positionH>
                <wp:positionV relativeFrom="paragraph">
                  <wp:posOffset>4445</wp:posOffset>
                </wp:positionV>
                <wp:extent cx="3510280" cy="2648585"/>
                <wp:effectExtent l="0" t="0" r="14605" b="19050"/>
                <wp:wrapSquare wrapText="bothSides"/>
                <wp:docPr id="2" name="Text Box 2"/>
                <a:graphic xmlns:a="http://schemas.openxmlformats.org/drawingml/2006/main">
                  <a:graphicData uri="http://schemas.microsoft.com/office/word/2010/wordprocessingShape">
                    <wps:wsp>
                      <wps:cNvSpPr/>
                      <wps:spPr>
                        <a:xfrm>
                          <a:off x="0" y="0"/>
                          <a:ext cx="3509640" cy="2647800"/>
                        </a:xfrm>
                        <a:prstGeom prst="rect">
                          <a:avLst/>
                        </a:prstGeom>
                        <a:solidFill>
                          <a:srgbClr val="ffffff"/>
                        </a:solidFill>
                        <a:ln w="9360">
                          <a:solidFill>
                            <a:srgbClr val="000000"/>
                          </a:solidFill>
                          <a:miter/>
                        </a:ln>
                      </wps:spPr>
                      <wps:style>
                        <a:lnRef idx="0"/>
                        <a:fillRef idx="0"/>
                        <a:effectRef idx="0"/>
                        <a:fontRef idx="minor"/>
                      </wps:style>
                      <wps:txbx>
                        <w:txbxContent>
                          <w:tbl>
                            <w:tblPr>
                              <w:tblW w:w="5241" w:type="dxa"/>
                              <w:jc w:val="left"/>
                              <w:tblInd w:w="0" w:type="dxa"/>
                              <w:tblBorders/>
                              <w:tblCellMar>
                                <w:top w:w="0" w:type="dxa"/>
                                <w:left w:w="108" w:type="dxa"/>
                                <w:bottom w:w="0" w:type="dxa"/>
                                <w:right w:w="108" w:type="dxa"/>
                              </w:tblCellMar>
                              <w:tblLook w:val="04a0" w:noVBand="1" w:noHBand="0" w:lastColumn="0" w:firstColumn="1" w:lastRow="0" w:firstRow="1"/>
                            </w:tblPr>
                            <w:tblGrid>
                              <w:gridCol w:w="2671"/>
                              <w:gridCol w:w="1147"/>
                              <w:gridCol w:w="1210"/>
                              <w:gridCol w:w="212"/>
                            </w:tblGrid>
                            <w:tr>
                              <w:trPr>
                                <w:trHeight w:val="23" w:hRule="exact"/>
                              </w:trPr>
                              <w:tc>
                                <w:tcPr>
                                  <w:tcW w:w="5240" w:type="dxa"/>
                                  <w:gridSpan w:val="4"/>
                                  <w:tcBorders/>
                                  <w:shd w:color="auto" w:fill="auto" w:val="clear"/>
                                  <w:vAlign w:val="bottom"/>
                                </w:tcPr>
                                <w:p>
                                  <w:pPr>
                                    <w:pStyle w:val="NoSpacing"/>
                                    <w:rPr/>
                                  </w:pPr>
                                  <w:r>
                                    <w:rPr/>
                                  </w:r>
                                </w:p>
                              </w:tc>
                            </w:tr>
                            <w:tr>
                              <w:trPr>
                                <w:trHeight w:val="50" w:hRule="atLeast"/>
                              </w:trPr>
                              <w:tc>
                                <w:tcPr>
                                  <w:tcW w:w="2671" w:type="dxa"/>
                                  <w:tcBorders/>
                                  <w:shd w:color="auto" w:fill="auto" w:val="clear"/>
                                  <w:vAlign w:val="bottom"/>
                                </w:tcPr>
                                <w:p>
                                  <w:pPr>
                                    <w:pStyle w:val="NoSpacing"/>
                                    <w:rPr/>
                                  </w:pPr>
                                  <w:r>
                                    <w:rPr/>
                                  </w:r>
                                </w:p>
                              </w:tc>
                              <w:tc>
                                <w:tcPr>
                                  <w:tcW w:w="1147" w:type="dxa"/>
                                  <w:tcBorders/>
                                  <w:shd w:color="auto" w:fill="auto" w:val="clear"/>
                                  <w:vAlign w:val="bottom"/>
                                </w:tcPr>
                                <w:p>
                                  <w:pPr>
                                    <w:pStyle w:val="NoSpacing"/>
                                    <w:rPr/>
                                  </w:pPr>
                                  <w:r>
                                    <w:rPr/>
                                  </w:r>
                                </w:p>
                              </w:tc>
                              <w:tc>
                                <w:tcPr>
                                  <w:tcW w:w="1210" w:type="dxa"/>
                                  <w:tcBorders/>
                                  <w:shd w:color="auto" w:fill="auto" w:val="clear"/>
                                  <w:vAlign w:val="bottom"/>
                                </w:tcPr>
                                <w:p>
                                  <w:pPr>
                                    <w:pStyle w:val="FrameContents"/>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top w:val="single" w:sz="8" w:space="0" w:color="00000A"/>
                                    <w:bottom w:val="single" w:sz="4" w:space="0" w:color="00000A"/>
                                    <w:insideH w:val="single" w:sz="4" w:space="0" w:color="00000A"/>
                                  </w:tcBorders>
                                  <w:shd w:color="auto" w:fill="auto" w:val="clear"/>
                                  <w:vAlign w:val="bottom"/>
                                </w:tcPr>
                                <w:p>
                                  <w:pPr>
                                    <w:pStyle w:val="NoSpacing"/>
                                    <w:rPr>
                                      <w:sz w:val="18"/>
                                      <w:szCs w:val="18"/>
                                    </w:rPr>
                                  </w:pPr>
                                  <w:r>
                                    <w:rPr>
                                      <w:sz w:val="18"/>
                                      <w:szCs w:val="18"/>
                                    </w:rPr>
                                  </w:r>
                                </w:p>
                              </w:tc>
                              <w:tc>
                                <w:tcPr>
                                  <w:tcW w:w="1147" w:type="dxa"/>
                                  <w:tcBorders>
                                    <w:top w:val="single" w:sz="8" w:space="0" w:color="00000A"/>
                                    <w:bottom w:val="single" w:sz="4" w:space="0" w:color="00000A"/>
                                    <w:insideH w:val="single" w:sz="4" w:space="0" w:color="00000A"/>
                                  </w:tcBorders>
                                  <w:shd w:color="auto" w:fill="auto" w:val="clear"/>
                                  <w:vAlign w:val="bottom"/>
                                </w:tcPr>
                                <w:p>
                                  <w:pPr>
                                    <w:pStyle w:val="NoSpacing"/>
                                    <w:rPr>
                                      <w:b/>
                                      <w:b/>
                                      <w:bCs/>
                                      <w:sz w:val="18"/>
                                      <w:szCs w:val="18"/>
                                    </w:rPr>
                                  </w:pPr>
                                  <w:r>
                                    <w:rPr>
                                      <w:b/>
                                      <w:bCs/>
                                      <w:sz w:val="18"/>
                                      <w:szCs w:val="18"/>
                                    </w:rPr>
                                    <w:t>Control</w:t>
                                  </w:r>
                                </w:p>
                              </w:tc>
                              <w:tc>
                                <w:tcPr>
                                  <w:tcW w:w="1210" w:type="dxa"/>
                                  <w:tcBorders>
                                    <w:top w:val="single" w:sz="8" w:space="0" w:color="00000A"/>
                                    <w:bottom w:val="single" w:sz="4" w:space="0" w:color="00000A"/>
                                    <w:insideH w:val="single" w:sz="4" w:space="0" w:color="00000A"/>
                                  </w:tcBorders>
                                  <w:shd w:color="auto" w:fill="auto" w:val="clear"/>
                                  <w:vAlign w:val="bottom"/>
                                </w:tcPr>
                                <w:p>
                                  <w:pPr>
                                    <w:pStyle w:val="FrameContents"/>
                                    <w:spacing w:lineRule="auto" w:line="240" w:before="0" w:after="0"/>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Virus-treated</w:t>
                                  </w:r>
                                </w:p>
                              </w:tc>
                              <w:tc>
                                <w:tcPr>
                                  <w:tcW w:w="212" w:type="dxa"/>
                                  <w:tcBorders/>
                                  <w:shd w:color="auto" w:fill="auto" w:val="clear"/>
                                  <w:vAlign w:val="bottom"/>
                                </w:tcPr>
                                <w:p>
                                  <w:pPr>
                                    <w:pStyle w:val="FrameContents"/>
                                    <w:spacing w:lineRule="auto" w:line="240" w:before="0" w:after="0"/>
                                    <w:jc w:val="center"/>
                                    <w:rPr>
                                      <w:rFonts w:ascii="Calibri" w:hAnsi="Calibri" w:eastAsia="Times New Roman" w:cs="Calibri"/>
                                      <w:i/>
                                      <w:i/>
                                      <w:iCs/>
                                      <w:color w:val="000000"/>
                                    </w:rPr>
                                  </w:pPr>
                                  <w:r>
                                    <w:rPr>
                                      <w:rFonts w:eastAsia="Times New Roman" w:cs="Calibri"/>
                                      <w:i/>
                                      <w:iCs/>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Mean</w:t>
                                  </w:r>
                                </w:p>
                              </w:tc>
                              <w:tc>
                                <w:tcPr>
                                  <w:tcW w:w="1147" w:type="dxa"/>
                                  <w:tcBorders/>
                                  <w:shd w:color="auto" w:fill="auto" w:val="clear"/>
                                  <w:vAlign w:val="bottom"/>
                                </w:tcPr>
                                <w:p>
                                  <w:pPr>
                                    <w:pStyle w:val="NoSpacing"/>
                                    <w:rPr>
                                      <w:sz w:val="18"/>
                                      <w:szCs w:val="18"/>
                                    </w:rPr>
                                  </w:pPr>
                                  <w:r>
                                    <w:rPr>
                                      <w:sz w:val="18"/>
                                      <w:szCs w:val="18"/>
                                    </w:rPr>
                                    <w:t>0.090708333</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0.08185</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Variance</w:t>
                                  </w:r>
                                </w:p>
                              </w:tc>
                              <w:tc>
                                <w:tcPr>
                                  <w:tcW w:w="1147" w:type="dxa"/>
                                  <w:tcBorders/>
                                  <w:shd w:color="auto" w:fill="auto" w:val="clear"/>
                                  <w:vAlign w:val="bottom"/>
                                </w:tcPr>
                                <w:p>
                                  <w:pPr>
                                    <w:pStyle w:val="NoSpacing"/>
                                    <w:rPr>
                                      <w:sz w:val="18"/>
                                      <w:szCs w:val="18"/>
                                    </w:rPr>
                                  </w:pPr>
                                  <w:r>
                                    <w:rPr>
                                      <w:sz w:val="18"/>
                                      <w:szCs w:val="18"/>
                                    </w:rPr>
                                    <w:t>0.003095172</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0.002166307</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Observations</w:t>
                                  </w:r>
                                </w:p>
                              </w:tc>
                              <w:tc>
                                <w:tcPr>
                                  <w:tcW w:w="1147" w:type="dxa"/>
                                  <w:tcBorders/>
                                  <w:shd w:color="auto" w:fill="auto" w:val="clear"/>
                                  <w:vAlign w:val="bottom"/>
                                </w:tcPr>
                                <w:p>
                                  <w:pPr>
                                    <w:pStyle w:val="NoSpacing"/>
                                    <w:rPr>
                                      <w:sz w:val="18"/>
                                      <w:szCs w:val="18"/>
                                    </w:rPr>
                                  </w:pPr>
                                  <w:r>
                                    <w:rPr>
                                      <w:sz w:val="18"/>
                                      <w:szCs w:val="18"/>
                                    </w:rPr>
                                    <w:t>24</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16</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Hypothesized Mean Difference</w:t>
                                  </w:r>
                                </w:p>
                              </w:tc>
                              <w:tc>
                                <w:tcPr>
                                  <w:tcW w:w="1147" w:type="dxa"/>
                                  <w:tcBorders/>
                                  <w:shd w:color="auto" w:fill="auto" w:val="clear"/>
                                  <w:vAlign w:val="bottom"/>
                                </w:tcPr>
                                <w:p>
                                  <w:pPr>
                                    <w:pStyle w:val="NoSpacing"/>
                                    <w:rPr>
                                      <w:sz w:val="18"/>
                                      <w:szCs w:val="18"/>
                                    </w:rPr>
                                  </w:pPr>
                                  <w:r>
                                    <w:rPr>
                                      <w:sz w:val="18"/>
                                      <w:szCs w:val="18"/>
                                    </w:rPr>
                                    <w:t>0</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df</w:t>
                                  </w:r>
                                </w:p>
                              </w:tc>
                              <w:tc>
                                <w:tcPr>
                                  <w:tcW w:w="1147" w:type="dxa"/>
                                  <w:tcBorders/>
                                  <w:shd w:color="auto" w:fill="auto" w:val="clear"/>
                                  <w:vAlign w:val="bottom"/>
                                </w:tcPr>
                                <w:p>
                                  <w:pPr>
                                    <w:pStyle w:val="NoSpacing"/>
                                    <w:rPr>
                                      <w:sz w:val="18"/>
                                      <w:szCs w:val="18"/>
                                    </w:rPr>
                                  </w:pPr>
                                  <w:r>
                                    <w:rPr>
                                      <w:sz w:val="18"/>
                                      <w:szCs w:val="18"/>
                                    </w:rPr>
                                    <w:t>36</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t Stat</w:t>
                                  </w:r>
                                </w:p>
                              </w:tc>
                              <w:tc>
                                <w:tcPr>
                                  <w:tcW w:w="1147" w:type="dxa"/>
                                  <w:tcBorders/>
                                  <w:shd w:color="auto" w:fill="auto" w:val="clear"/>
                                  <w:vAlign w:val="bottom"/>
                                </w:tcPr>
                                <w:p>
                                  <w:pPr>
                                    <w:pStyle w:val="NoSpacing"/>
                                    <w:rPr>
                                      <w:sz w:val="18"/>
                                      <w:szCs w:val="18"/>
                                    </w:rPr>
                                  </w:pPr>
                                  <w:r>
                                    <w:rPr>
                                      <w:sz w:val="18"/>
                                      <w:szCs w:val="18"/>
                                    </w:rPr>
                                    <w:t>0.544821725</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P(T&lt;=t) one-tail</w:t>
                                  </w:r>
                                </w:p>
                              </w:tc>
                              <w:tc>
                                <w:tcPr>
                                  <w:tcW w:w="1147" w:type="dxa"/>
                                  <w:tcBorders/>
                                  <w:shd w:color="auto" w:fill="auto" w:val="clear"/>
                                  <w:vAlign w:val="bottom"/>
                                </w:tcPr>
                                <w:p>
                                  <w:pPr>
                                    <w:pStyle w:val="NoSpacing"/>
                                    <w:rPr>
                                      <w:sz w:val="18"/>
                                      <w:szCs w:val="18"/>
                                    </w:rPr>
                                  </w:pPr>
                                  <w:r>
                                    <w:rPr>
                                      <w:sz w:val="18"/>
                                      <w:szCs w:val="18"/>
                                    </w:rPr>
                                    <w:t>0.294617791</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t Critical one-tail</w:t>
                                  </w:r>
                                </w:p>
                              </w:tc>
                              <w:tc>
                                <w:tcPr>
                                  <w:tcW w:w="1147" w:type="dxa"/>
                                  <w:tcBorders/>
                                  <w:shd w:color="auto" w:fill="auto" w:val="clear"/>
                                  <w:vAlign w:val="bottom"/>
                                </w:tcPr>
                                <w:p>
                                  <w:pPr>
                                    <w:pStyle w:val="NoSpacing"/>
                                    <w:rPr>
                                      <w:sz w:val="18"/>
                                      <w:szCs w:val="18"/>
                                    </w:rPr>
                                  </w:pPr>
                                  <w:r>
                                    <w:rPr>
                                      <w:sz w:val="18"/>
                                      <w:szCs w:val="18"/>
                                    </w:rPr>
                                    <w:t>1.688297714</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P(T&lt;=t) two-tail</w:t>
                                  </w:r>
                                </w:p>
                              </w:tc>
                              <w:tc>
                                <w:tcPr>
                                  <w:tcW w:w="1147" w:type="dxa"/>
                                  <w:tcBorders/>
                                  <w:shd w:color="auto" w:fill="auto" w:val="clear"/>
                                  <w:vAlign w:val="bottom"/>
                                </w:tcPr>
                                <w:p>
                                  <w:pPr>
                                    <w:pStyle w:val="NoSpacing"/>
                                    <w:rPr>
                                      <w:sz w:val="18"/>
                                      <w:szCs w:val="18"/>
                                    </w:rPr>
                                  </w:pPr>
                                  <w:r>
                                    <w:rPr>
                                      <w:sz w:val="18"/>
                                      <w:szCs w:val="18"/>
                                    </w:rPr>
                                    <w:t>0.589235583</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15" w:hRule="atLeast"/>
                              </w:trPr>
                              <w:tc>
                                <w:tcPr>
                                  <w:tcW w:w="2671" w:type="dxa"/>
                                  <w:tcBorders>
                                    <w:bottom w:val="single" w:sz="8" w:space="0" w:color="00000A"/>
                                    <w:insideH w:val="single" w:sz="8" w:space="0" w:color="00000A"/>
                                  </w:tcBorders>
                                  <w:shd w:color="auto" w:fill="auto" w:val="clear"/>
                                  <w:vAlign w:val="bottom"/>
                                </w:tcPr>
                                <w:p>
                                  <w:pPr>
                                    <w:pStyle w:val="NoSpacing"/>
                                    <w:rPr>
                                      <w:sz w:val="18"/>
                                      <w:szCs w:val="18"/>
                                    </w:rPr>
                                  </w:pPr>
                                  <w:r>
                                    <w:rPr>
                                      <w:sz w:val="18"/>
                                      <w:szCs w:val="18"/>
                                    </w:rPr>
                                    <w:t>t Critical two-tail</w:t>
                                  </w:r>
                                </w:p>
                              </w:tc>
                              <w:tc>
                                <w:tcPr>
                                  <w:tcW w:w="1147" w:type="dxa"/>
                                  <w:tcBorders>
                                    <w:bottom w:val="single" w:sz="8" w:space="0" w:color="00000A"/>
                                    <w:insideH w:val="single" w:sz="8" w:space="0" w:color="00000A"/>
                                  </w:tcBorders>
                                  <w:shd w:color="auto" w:fill="auto" w:val="clear"/>
                                  <w:vAlign w:val="bottom"/>
                                </w:tcPr>
                                <w:p>
                                  <w:pPr>
                                    <w:pStyle w:val="NoSpacing"/>
                                    <w:rPr>
                                      <w:sz w:val="18"/>
                                      <w:szCs w:val="18"/>
                                    </w:rPr>
                                  </w:pPr>
                                  <w:r>
                                    <w:rPr>
                                      <w:sz w:val="18"/>
                                      <w:szCs w:val="18"/>
                                    </w:rPr>
                                    <w:t>2.028094001</w:t>
                                  </w:r>
                                </w:p>
                              </w:tc>
                              <w:tc>
                                <w:tcPr>
                                  <w:tcW w:w="1210" w:type="dxa"/>
                                  <w:tcBorders>
                                    <w:bottom w:val="single" w:sz="8" w:space="0" w:color="00000A"/>
                                    <w:insideH w:val="single" w:sz="8" w:space="0" w:color="00000A"/>
                                  </w:tcBorders>
                                  <w:shd w:color="auto" w:fill="auto" w:val="clear"/>
                                  <w:vAlign w:val="bottom"/>
                                </w:tcPr>
                                <w:p>
                                  <w:pPr>
                                    <w:pStyle w:val="FrameContents"/>
                                    <w:spacing w:lineRule="auto" w:line="240" w:before="0" w:after="0"/>
                                    <w:rPr>
                                      <w:rFonts w:ascii="Arial" w:hAnsi="Arial" w:eastAsia="Times New Roman" w:cs="Arial"/>
                                      <w:color w:val="000000"/>
                                      <w:sz w:val="18"/>
                                      <w:szCs w:val="18"/>
                                    </w:rPr>
                                  </w:pPr>
                                  <w:r>
                                    <w:rPr>
                                      <w:rFonts w:eastAsia="Times New Roman" w:cs="Arial" w:ascii="Arial" w:hAnsi="Arial"/>
                                      <w:color w:val="000000"/>
                                      <w:sz w:val="18"/>
                                      <w:szCs w:val="18"/>
                                    </w:rPr>
                                    <w:t> </w:t>
                                  </w:r>
                                </w:p>
                              </w:tc>
                              <w:tc>
                                <w:tcPr>
                                  <w:tcW w:w="212" w:type="dxa"/>
                                  <w:tcBorders/>
                                  <w:shd w:color="auto" w:fill="auto" w:val="clear"/>
                                  <w:vAlign w:val="bottom"/>
                                </w:tcPr>
                                <w:p>
                                  <w:pPr>
                                    <w:pStyle w:val="FrameContents"/>
                                    <w:spacing w:lineRule="auto" w:line="240" w:before="0" w:after="0"/>
                                    <w:rPr>
                                      <w:rFonts w:ascii="Calibri" w:hAnsi="Calibri" w:eastAsia="Times New Roman" w:cs="Calibri"/>
                                      <w:color w:val="000000"/>
                                    </w:rPr>
                                  </w:pPr>
                                  <w:r>
                                    <w:rPr>
                                      <w:rFonts w:eastAsia="Times New Roman" w:cs="Calibri"/>
                                      <w:color w:val="000000"/>
                                    </w:rPr>
                                  </w:r>
                                </w:p>
                              </w:tc>
                            </w:tr>
                          </w:tbl>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fillcolor="white" stroked="t" style="position:absolute;margin-left:19.85pt;margin-top:0.35pt;width:276.3pt;height:208.45pt;mso-position-horizontal-relative:margin" wp14:anchorId="51EF3836">
                <w10:wrap type="none"/>
                <v:fill o:detectmouseclick="t" type="solid" color2="black"/>
                <v:stroke color="black" weight="9360" joinstyle="miter" endcap="flat"/>
                <v:textbox>
                  <w:txbxContent>
                    <w:tbl>
                      <w:tblPr>
                        <w:tblW w:w="5241" w:type="dxa"/>
                        <w:jc w:val="left"/>
                        <w:tblInd w:w="0" w:type="dxa"/>
                        <w:tblBorders/>
                        <w:tblCellMar>
                          <w:top w:w="0" w:type="dxa"/>
                          <w:left w:w="108" w:type="dxa"/>
                          <w:bottom w:w="0" w:type="dxa"/>
                          <w:right w:w="108" w:type="dxa"/>
                        </w:tblCellMar>
                        <w:tblLook w:val="04a0" w:noVBand="1" w:noHBand="0" w:lastColumn="0" w:firstColumn="1" w:lastRow="0" w:firstRow="1"/>
                      </w:tblPr>
                      <w:tblGrid>
                        <w:gridCol w:w="2671"/>
                        <w:gridCol w:w="1147"/>
                        <w:gridCol w:w="1210"/>
                        <w:gridCol w:w="212"/>
                      </w:tblGrid>
                      <w:tr>
                        <w:trPr>
                          <w:trHeight w:val="23" w:hRule="exact"/>
                        </w:trPr>
                        <w:tc>
                          <w:tcPr>
                            <w:tcW w:w="5240" w:type="dxa"/>
                            <w:gridSpan w:val="4"/>
                            <w:tcBorders/>
                            <w:shd w:color="auto" w:fill="auto" w:val="clear"/>
                            <w:vAlign w:val="bottom"/>
                          </w:tcPr>
                          <w:p>
                            <w:pPr>
                              <w:pStyle w:val="NoSpacing"/>
                              <w:rPr/>
                            </w:pPr>
                            <w:r>
                              <w:rPr/>
                            </w:r>
                          </w:p>
                        </w:tc>
                      </w:tr>
                      <w:tr>
                        <w:trPr>
                          <w:trHeight w:val="50" w:hRule="atLeast"/>
                        </w:trPr>
                        <w:tc>
                          <w:tcPr>
                            <w:tcW w:w="2671" w:type="dxa"/>
                            <w:tcBorders/>
                            <w:shd w:color="auto" w:fill="auto" w:val="clear"/>
                            <w:vAlign w:val="bottom"/>
                          </w:tcPr>
                          <w:p>
                            <w:pPr>
                              <w:pStyle w:val="NoSpacing"/>
                              <w:rPr/>
                            </w:pPr>
                            <w:r>
                              <w:rPr/>
                            </w:r>
                          </w:p>
                        </w:tc>
                        <w:tc>
                          <w:tcPr>
                            <w:tcW w:w="1147" w:type="dxa"/>
                            <w:tcBorders/>
                            <w:shd w:color="auto" w:fill="auto" w:val="clear"/>
                            <w:vAlign w:val="bottom"/>
                          </w:tcPr>
                          <w:p>
                            <w:pPr>
                              <w:pStyle w:val="NoSpacing"/>
                              <w:rPr/>
                            </w:pPr>
                            <w:r>
                              <w:rPr/>
                            </w:r>
                          </w:p>
                        </w:tc>
                        <w:tc>
                          <w:tcPr>
                            <w:tcW w:w="1210" w:type="dxa"/>
                            <w:tcBorders/>
                            <w:shd w:color="auto" w:fill="auto" w:val="clear"/>
                            <w:vAlign w:val="bottom"/>
                          </w:tcPr>
                          <w:p>
                            <w:pPr>
                              <w:pStyle w:val="FrameContents"/>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top w:val="single" w:sz="8" w:space="0" w:color="00000A"/>
                              <w:bottom w:val="single" w:sz="4" w:space="0" w:color="00000A"/>
                              <w:insideH w:val="single" w:sz="4" w:space="0" w:color="00000A"/>
                            </w:tcBorders>
                            <w:shd w:color="auto" w:fill="auto" w:val="clear"/>
                            <w:vAlign w:val="bottom"/>
                          </w:tcPr>
                          <w:p>
                            <w:pPr>
                              <w:pStyle w:val="NoSpacing"/>
                              <w:rPr>
                                <w:sz w:val="18"/>
                                <w:szCs w:val="18"/>
                              </w:rPr>
                            </w:pPr>
                            <w:r>
                              <w:rPr>
                                <w:sz w:val="18"/>
                                <w:szCs w:val="18"/>
                              </w:rPr>
                            </w:r>
                          </w:p>
                        </w:tc>
                        <w:tc>
                          <w:tcPr>
                            <w:tcW w:w="1147" w:type="dxa"/>
                            <w:tcBorders>
                              <w:top w:val="single" w:sz="8" w:space="0" w:color="00000A"/>
                              <w:bottom w:val="single" w:sz="4" w:space="0" w:color="00000A"/>
                              <w:insideH w:val="single" w:sz="4" w:space="0" w:color="00000A"/>
                            </w:tcBorders>
                            <w:shd w:color="auto" w:fill="auto" w:val="clear"/>
                            <w:vAlign w:val="bottom"/>
                          </w:tcPr>
                          <w:p>
                            <w:pPr>
                              <w:pStyle w:val="NoSpacing"/>
                              <w:rPr>
                                <w:b/>
                                <w:b/>
                                <w:bCs/>
                                <w:sz w:val="18"/>
                                <w:szCs w:val="18"/>
                              </w:rPr>
                            </w:pPr>
                            <w:r>
                              <w:rPr>
                                <w:b/>
                                <w:bCs/>
                                <w:sz w:val="18"/>
                                <w:szCs w:val="18"/>
                              </w:rPr>
                              <w:t>Control</w:t>
                            </w:r>
                          </w:p>
                        </w:tc>
                        <w:tc>
                          <w:tcPr>
                            <w:tcW w:w="1210" w:type="dxa"/>
                            <w:tcBorders>
                              <w:top w:val="single" w:sz="8" w:space="0" w:color="00000A"/>
                              <w:bottom w:val="single" w:sz="4" w:space="0" w:color="00000A"/>
                              <w:insideH w:val="single" w:sz="4" w:space="0" w:color="00000A"/>
                            </w:tcBorders>
                            <w:shd w:color="auto" w:fill="auto" w:val="clear"/>
                            <w:vAlign w:val="bottom"/>
                          </w:tcPr>
                          <w:p>
                            <w:pPr>
                              <w:pStyle w:val="FrameContents"/>
                              <w:spacing w:lineRule="auto" w:line="240" w:before="0" w:after="0"/>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Virus-treated</w:t>
                            </w:r>
                          </w:p>
                        </w:tc>
                        <w:tc>
                          <w:tcPr>
                            <w:tcW w:w="212" w:type="dxa"/>
                            <w:tcBorders/>
                            <w:shd w:color="auto" w:fill="auto" w:val="clear"/>
                            <w:vAlign w:val="bottom"/>
                          </w:tcPr>
                          <w:p>
                            <w:pPr>
                              <w:pStyle w:val="FrameContents"/>
                              <w:spacing w:lineRule="auto" w:line="240" w:before="0" w:after="0"/>
                              <w:jc w:val="center"/>
                              <w:rPr>
                                <w:rFonts w:ascii="Calibri" w:hAnsi="Calibri" w:eastAsia="Times New Roman" w:cs="Calibri"/>
                                <w:i/>
                                <w:i/>
                                <w:iCs/>
                                <w:color w:val="000000"/>
                              </w:rPr>
                            </w:pPr>
                            <w:r>
                              <w:rPr>
                                <w:rFonts w:eastAsia="Times New Roman" w:cs="Calibri"/>
                                <w:i/>
                                <w:iCs/>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Mean</w:t>
                            </w:r>
                          </w:p>
                        </w:tc>
                        <w:tc>
                          <w:tcPr>
                            <w:tcW w:w="1147" w:type="dxa"/>
                            <w:tcBorders/>
                            <w:shd w:color="auto" w:fill="auto" w:val="clear"/>
                            <w:vAlign w:val="bottom"/>
                          </w:tcPr>
                          <w:p>
                            <w:pPr>
                              <w:pStyle w:val="NoSpacing"/>
                              <w:rPr>
                                <w:sz w:val="18"/>
                                <w:szCs w:val="18"/>
                              </w:rPr>
                            </w:pPr>
                            <w:r>
                              <w:rPr>
                                <w:sz w:val="18"/>
                                <w:szCs w:val="18"/>
                              </w:rPr>
                              <w:t>0.090708333</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0.08185</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Variance</w:t>
                            </w:r>
                          </w:p>
                        </w:tc>
                        <w:tc>
                          <w:tcPr>
                            <w:tcW w:w="1147" w:type="dxa"/>
                            <w:tcBorders/>
                            <w:shd w:color="auto" w:fill="auto" w:val="clear"/>
                            <w:vAlign w:val="bottom"/>
                          </w:tcPr>
                          <w:p>
                            <w:pPr>
                              <w:pStyle w:val="NoSpacing"/>
                              <w:rPr>
                                <w:sz w:val="18"/>
                                <w:szCs w:val="18"/>
                              </w:rPr>
                            </w:pPr>
                            <w:r>
                              <w:rPr>
                                <w:sz w:val="18"/>
                                <w:szCs w:val="18"/>
                              </w:rPr>
                              <w:t>0.003095172</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0.002166307</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Observations</w:t>
                            </w:r>
                          </w:p>
                        </w:tc>
                        <w:tc>
                          <w:tcPr>
                            <w:tcW w:w="1147" w:type="dxa"/>
                            <w:tcBorders/>
                            <w:shd w:color="auto" w:fill="auto" w:val="clear"/>
                            <w:vAlign w:val="bottom"/>
                          </w:tcPr>
                          <w:p>
                            <w:pPr>
                              <w:pStyle w:val="NoSpacing"/>
                              <w:rPr>
                                <w:sz w:val="18"/>
                                <w:szCs w:val="18"/>
                              </w:rPr>
                            </w:pPr>
                            <w:r>
                              <w:rPr>
                                <w:sz w:val="18"/>
                                <w:szCs w:val="18"/>
                              </w:rPr>
                              <w:t>24</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16</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Hypothesized Mean Difference</w:t>
                            </w:r>
                          </w:p>
                        </w:tc>
                        <w:tc>
                          <w:tcPr>
                            <w:tcW w:w="1147" w:type="dxa"/>
                            <w:tcBorders/>
                            <w:shd w:color="auto" w:fill="auto" w:val="clear"/>
                            <w:vAlign w:val="bottom"/>
                          </w:tcPr>
                          <w:p>
                            <w:pPr>
                              <w:pStyle w:val="NoSpacing"/>
                              <w:rPr>
                                <w:sz w:val="18"/>
                                <w:szCs w:val="18"/>
                              </w:rPr>
                            </w:pPr>
                            <w:r>
                              <w:rPr>
                                <w:sz w:val="18"/>
                                <w:szCs w:val="18"/>
                              </w:rPr>
                              <w:t>0</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df</w:t>
                            </w:r>
                          </w:p>
                        </w:tc>
                        <w:tc>
                          <w:tcPr>
                            <w:tcW w:w="1147" w:type="dxa"/>
                            <w:tcBorders/>
                            <w:shd w:color="auto" w:fill="auto" w:val="clear"/>
                            <w:vAlign w:val="bottom"/>
                          </w:tcPr>
                          <w:p>
                            <w:pPr>
                              <w:pStyle w:val="NoSpacing"/>
                              <w:rPr>
                                <w:sz w:val="18"/>
                                <w:szCs w:val="18"/>
                              </w:rPr>
                            </w:pPr>
                            <w:r>
                              <w:rPr>
                                <w:sz w:val="18"/>
                                <w:szCs w:val="18"/>
                              </w:rPr>
                              <w:t>36</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t Stat</w:t>
                            </w:r>
                          </w:p>
                        </w:tc>
                        <w:tc>
                          <w:tcPr>
                            <w:tcW w:w="1147" w:type="dxa"/>
                            <w:tcBorders/>
                            <w:shd w:color="auto" w:fill="auto" w:val="clear"/>
                            <w:vAlign w:val="bottom"/>
                          </w:tcPr>
                          <w:p>
                            <w:pPr>
                              <w:pStyle w:val="NoSpacing"/>
                              <w:rPr>
                                <w:sz w:val="18"/>
                                <w:szCs w:val="18"/>
                              </w:rPr>
                            </w:pPr>
                            <w:r>
                              <w:rPr>
                                <w:sz w:val="18"/>
                                <w:szCs w:val="18"/>
                              </w:rPr>
                              <w:t>0.544821725</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P(T&lt;=t) one-tail</w:t>
                            </w:r>
                          </w:p>
                        </w:tc>
                        <w:tc>
                          <w:tcPr>
                            <w:tcW w:w="1147" w:type="dxa"/>
                            <w:tcBorders/>
                            <w:shd w:color="auto" w:fill="auto" w:val="clear"/>
                            <w:vAlign w:val="bottom"/>
                          </w:tcPr>
                          <w:p>
                            <w:pPr>
                              <w:pStyle w:val="NoSpacing"/>
                              <w:rPr>
                                <w:sz w:val="18"/>
                                <w:szCs w:val="18"/>
                              </w:rPr>
                            </w:pPr>
                            <w:r>
                              <w:rPr>
                                <w:sz w:val="18"/>
                                <w:szCs w:val="18"/>
                              </w:rPr>
                              <w:t>0.294617791</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t Critical one-tail</w:t>
                            </w:r>
                          </w:p>
                        </w:tc>
                        <w:tc>
                          <w:tcPr>
                            <w:tcW w:w="1147" w:type="dxa"/>
                            <w:tcBorders/>
                            <w:shd w:color="auto" w:fill="auto" w:val="clear"/>
                            <w:vAlign w:val="bottom"/>
                          </w:tcPr>
                          <w:p>
                            <w:pPr>
                              <w:pStyle w:val="NoSpacing"/>
                              <w:rPr>
                                <w:sz w:val="18"/>
                                <w:szCs w:val="18"/>
                              </w:rPr>
                            </w:pPr>
                            <w:r>
                              <w:rPr>
                                <w:sz w:val="18"/>
                                <w:szCs w:val="18"/>
                              </w:rPr>
                              <w:t>1.688297714</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P(T&lt;=t) two-tail</w:t>
                            </w:r>
                          </w:p>
                        </w:tc>
                        <w:tc>
                          <w:tcPr>
                            <w:tcW w:w="1147" w:type="dxa"/>
                            <w:tcBorders/>
                            <w:shd w:color="auto" w:fill="auto" w:val="clear"/>
                            <w:vAlign w:val="bottom"/>
                          </w:tcPr>
                          <w:p>
                            <w:pPr>
                              <w:pStyle w:val="NoSpacing"/>
                              <w:rPr>
                                <w:sz w:val="18"/>
                                <w:szCs w:val="18"/>
                              </w:rPr>
                            </w:pPr>
                            <w:r>
                              <w:rPr>
                                <w:sz w:val="18"/>
                                <w:szCs w:val="18"/>
                              </w:rPr>
                              <w:t>0.589235583</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15" w:hRule="atLeast"/>
                        </w:trPr>
                        <w:tc>
                          <w:tcPr>
                            <w:tcW w:w="2671" w:type="dxa"/>
                            <w:tcBorders>
                              <w:bottom w:val="single" w:sz="8" w:space="0" w:color="00000A"/>
                              <w:insideH w:val="single" w:sz="8" w:space="0" w:color="00000A"/>
                            </w:tcBorders>
                            <w:shd w:color="auto" w:fill="auto" w:val="clear"/>
                            <w:vAlign w:val="bottom"/>
                          </w:tcPr>
                          <w:p>
                            <w:pPr>
                              <w:pStyle w:val="NoSpacing"/>
                              <w:rPr>
                                <w:sz w:val="18"/>
                                <w:szCs w:val="18"/>
                              </w:rPr>
                            </w:pPr>
                            <w:r>
                              <w:rPr>
                                <w:sz w:val="18"/>
                                <w:szCs w:val="18"/>
                              </w:rPr>
                              <w:t>t Critical two-tail</w:t>
                            </w:r>
                          </w:p>
                        </w:tc>
                        <w:tc>
                          <w:tcPr>
                            <w:tcW w:w="1147" w:type="dxa"/>
                            <w:tcBorders>
                              <w:bottom w:val="single" w:sz="8" w:space="0" w:color="00000A"/>
                              <w:insideH w:val="single" w:sz="8" w:space="0" w:color="00000A"/>
                            </w:tcBorders>
                            <w:shd w:color="auto" w:fill="auto" w:val="clear"/>
                            <w:vAlign w:val="bottom"/>
                          </w:tcPr>
                          <w:p>
                            <w:pPr>
                              <w:pStyle w:val="NoSpacing"/>
                              <w:rPr>
                                <w:sz w:val="18"/>
                                <w:szCs w:val="18"/>
                              </w:rPr>
                            </w:pPr>
                            <w:r>
                              <w:rPr>
                                <w:sz w:val="18"/>
                                <w:szCs w:val="18"/>
                              </w:rPr>
                              <w:t>2.028094001</w:t>
                            </w:r>
                          </w:p>
                        </w:tc>
                        <w:tc>
                          <w:tcPr>
                            <w:tcW w:w="1210" w:type="dxa"/>
                            <w:tcBorders>
                              <w:bottom w:val="single" w:sz="8" w:space="0" w:color="00000A"/>
                              <w:insideH w:val="single" w:sz="8" w:space="0" w:color="00000A"/>
                            </w:tcBorders>
                            <w:shd w:color="auto" w:fill="auto" w:val="clear"/>
                            <w:vAlign w:val="bottom"/>
                          </w:tcPr>
                          <w:p>
                            <w:pPr>
                              <w:pStyle w:val="FrameContents"/>
                              <w:spacing w:lineRule="auto" w:line="240" w:before="0" w:after="0"/>
                              <w:rPr>
                                <w:rFonts w:ascii="Arial" w:hAnsi="Arial" w:eastAsia="Times New Roman" w:cs="Arial"/>
                                <w:color w:val="000000"/>
                                <w:sz w:val="18"/>
                                <w:szCs w:val="18"/>
                              </w:rPr>
                            </w:pPr>
                            <w:r>
                              <w:rPr>
                                <w:rFonts w:eastAsia="Times New Roman" w:cs="Arial" w:ascii="Arial" w:hAnsi="Arial"/>
                                <w:color w:val="000000"/>
                                <w:sz w:val="18"/>
                                <w:szCs w:val="18"/>
                              </w:rPr>
                              <w:t> </w:t>
                            </w:r>
                          </w:p>
                        </w:tc>
                        <w:tc>
                          <w:tcPr>
                            <w:tcW w:w="212" w:type="dxa"/>
                            <w:tcBorders/>
                            <w:shd w:color="auto" w:fill="auto" w:val="clear"/>
                            <w:vAlign w:val="bottom"/>
                          </w:tcPr>
                          <w:p>
                            <w:pPr>
                              <w:pStyle w:val="FrameContents"/>
                              <w:spacing w:lineRule="auto" w:line="240" w:before="0" w:after="0"/>
                              <w:rPr>
                                <w:rFonts w:ascii="Calibri" w:hAnsi="Calibri" w:eastAsia="Times New Roman" w:cs="Calibri"/>
                                <w:color w:val="000000"/>
                              </w:rPr>
                            </w:pPr>
                            <w:r>
                              <w:rPr>
                                <w:rFonts w:eastAsia="Times New Roman" w:cs="Calibri"/>
                                <w:color w:val="000000"/>
                              </w:rPr>
                            </w:r>
                          </w:p>
                        </w:tc>
                      </w:tr>
                    </w:tbl>
                    <w:p>
                      <w:pPr>
                        <w:pStyle w:val="FrameContents"/>
                        <w:spacing w:before="0" w:after="160"/>
                        <w:rPr>
                          <w:color w:val="auto"/>
                        </w:rPr>
                      </w:pPr>
                      <w:r>
                        <w:rPr>
                          <w:color w:val="auto"/>
                        </w:rPr>
                      </w:r>
                    </w:p>
                  </w:txbxContent>
                </v:textbox>
              </v:rect>
            </w:pict>
          </mc:Fallback>
        </mc:AlternateContent>
      </w:r>
    </w:p>
    <w:p>
      <w:pPr>
        <w:pStyle w:val="NoSpacing"/>
        <w:rPr>
          <w:rFonts w:ascii="Arial" w:hAnsi="Arial" w:cs="Arial"/>
          <w:sz w:val="24"/>
          <w:szCs w:val="24"/>
        </w:rPr>
      </w:pPr>
      <w:r>
        <w:rPr>
          <w:rFonts w:cs="Arial" w:ascii="Arial" w:hAnsi="Arial"/>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pPr>
      <w:r>
        <w:rPr>
          <w:rFonts w:cs="Arial" w:ascii="Arial" w:hAnsi="Arial"/>
          <w:b/>
          <w:bCs/>
          <w:sz w:val="24"/>
          <w:szCs w:val="24"/>
        </w:rPr>
        <w:t>II</w:t>
      </w:r>
      <w:bookmarkStart w:id="0" w:name="_GoBack"/>
      <w:bookmarkEnd w:id="0"/>
      <w:r>
        <w:rPr>
          <w:rFonts w:cs="Arial" w:ascii="Arial" w:hAnsi="Arial"/>
          <w:b/>
          <w:bCs/>
          <w:sz w:val="24"/>
          <w:szCs w:val="24"/>
        </w:rPr>
        <w:t xml:space="preserve">.  </w:t>
      </w:r>
      <w:r>
        <w:br w:type="page"/>
      </w:r>
    </w:p>
    <w:p>
      <w:pPr>
        <w:pStyle w:val="NoSpacing"/>
        <w:rPr/>
      </w:pPr>
      <w:r>
        <w:rPr>
          <w:rFonts w:cs="Arial" w:ascii="Arial" w:hAnsi="Arial"/>
          <w:b/>
          <w:bCs/>
          <w:sz w:val="24"/>
          <w:szCs w:val="24"/>
        </w:rPr>
        <w:t xml:space="preserve">II. </w:t>
      </w:r>
      <w:r>
        <w:rPr>
          <w:rFonts w:cs="Arial" w:ascii="Arial" w:hAnsi="Arial"/>
          <w:b/>
          <w:bCs/>
          <w:sz w:val="24"/>
          <w:szCs w:val="24"/>
        </w:rPr>
        <w:t>In vivo analysis of CRB samples collected from Taiwan.</w:t>
      </w:r>
      <w:r>
        <w:rPr>
          <w:rFonts w:eastAsia="Times New Roman" w:cs="Arial" w:ascii="Arial" w:hAnsi="Arial"/>
          <w:color w:val="000000"/>
          <w:sz w:val="20"/>
          <w:szCs w:val="20"/>
        </w:rPr>
        <w:t>T</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Coconut rhinoceros beetle adults were collected from two geographical regions in Taiwan: (1) the Taichung Co., Wufeng District in western-central Taiwan and (2) Kaohsiung City, Dashu District in southern portion of the country.  All 80 beetles were dissected to determine any possible viral infection as visually indicated by a whitish-swollen midgut.  Unfortunately, none of the midgut showed any outward signs of infection. However, the midgut from each dissected sample was then further split into two subsamples - one for DNA analysis while the remaining portion for bioassay testing. In the bioassay tests, beetles collected on Guam and maintained for over two weeks prior to the test were orally infected with from 10 – 20 µl of virus prepared form crushed Taiwan beetle midguts. Of the 90 beetles tested only 4 (4.5%) showed possible virus presence. These positive samples were dissected and maintained at 4</w:t>
      </w:r>
      <w:r>
        <w:rPr>
          <w:rFonts w:cs="Arial" w:ascii="Arial" w:hAnsi="Arial"/>
          <w:sz w:val="24"/>
          <w:szCs w:val="24"/>
          <w:vertAlign w:val="superscript"/>
        </w:rPr>
        <w:t>0</w:t>
      </w:r>
      <w:r>
        <w:rPr>
          <w:rFonts w:cs="Arial" w:ascii="Arial" w:hAnsi="Arial"/>
          <w:sz w:val="24"/>
          <w:szCs w:val="24"/>
        </w:rPr>
        <w:t>C for later PCR analysis.</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b/>
          <w:b/>
          <w:bCs/>
          <w:sz w:val="24"/>
          <w:szCs w:val="24"/>
        </w:rPr>
      </w:pPr>
      <w:r>
        <w:rPr>
          <w:rFonts w:cs="Arial" w:ascii="Arial" w:hAnsi="Arial"/>
          <w:b/>
          <w:bCs/>
          <w:sz w:val="24"/>
          <w:szCs w:val="24"/>
        </w:rPr>
        <w:t>III. Establishment of a molecular biology laboratory for PCR studies</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We have almost completed setting up of a fully functional laboratory designed to conduct PCR analysis of genomic DNA from both viral and CRB samples. This will enable us to detect more definitively along with any accompanying </w:t>
      </w:r>
      <w:r>
        <w:rPr>
          <w:rFonts w:cs="Arial" w:ascii="Arial" w:hAnsi="Arial"/>
          <w:i/>
          <w:iCs/>
          <w:sz w:val="24"/>
          <w:szCs w:val="24"/>
        </w:rPr>
        <w:t>in vivo</w:t>
      </w:r>
      <w:r>
        <w:rPr>
          <w:rFonts w:cs="Arial" w:ascii="Arial" w:hAnsi="Arial"/>
          <w:sz w:val="24"/>
          <w:szCs w:val="24"/>
        </w:rPr>
        <w:t xml:space="preserve"> bioassays the presence of OrNV in the insect.  </w:t>
      </w:r>
    </w:p>
    <w:p>
      <w:pPr>
        <w:pStyle w:val="Normal"/>
        <w:jc w:val="both"/>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 xml:space="preserve">IV. Experiments to establishment of a continuous insect cell line from the    coconut rhinoceros beetle (CRB), </w:t>
      </w:r>
      <w:r>
        <w:rPr>
          <w:rFonts w:cs="Arial" w:ascii="Arial" w:hAnsi="Arial"/>
          <w:b/>
          <w:bCs/>
          <w:i/>
          <w:iCs/>
          <w:sz w:val="24"/>
          <w:szCs w:val="24"/>
        </w:rPr>
        <w:t>Oryctes rhinoceros</w:t>
      </w:r>
      <w:r>
        <w:rPr>
          <w:rFonts w:cs="Arial" w:ascii="Arial" w:hAnsi="Arial"/>
          <w:b/>
          <w:bCs/>
          <w:sz w:val="24"/>
          <w:szCs w:val="24"/>
        </w:rPr>
        <w:t xml:space="preserve"> (L.).</w:t>
      </w:r>
    </w:p>
    <w:p>
      <w:pPr>
        <w:pStyle w:val="NoSpacing"/>
        <w:rPr>
          <w:rFonts w:ascii="Arial" w:hAnsi="Arial" w:cs="Arial"/>
          <w:sz w:val="24"/>
          <w:szCs w:val="24"/>
        </w:rPr>
      </w:pPr>
      <w:r>
        <w:rPr>
          <w:rFonts w:cs="Arial" w:ascii="Arial" w:hAnsi="Arial"/>
          <w:sz w:val="24"/>
          <w:szCs w:val="24"/>
        </w:rPr>
        <w:t xml:space="preserve">Several Coleopteran cell lines have been previously established for </w:t>
      </w:r>
      <w:r>
        <w:rPr>
          <w:rFonts w:cs="Arial" w:ascii="Arial" w:hAnsi="Arial"/>
          <w:i/>
          <w:iCs/>
          <w:sz w:val="24"/>
          <w:szCs w:val="24"/>
        </w:rPr>
        <w:t>in vitro</w:t>
      </w:r>
      <w:r>
        <w:rPr>
          <w:rFonts w:cs="Arial" w:ascii="Arial" w:hAnsi="Arial"/>
          <w:sz w:val="24"/>
          <w:szCs w:val="24"/>
        </w:rPr>
        <w:t xml:space="preserve"> studies to evaluate the potential application of entomopathogenic viruses as a biocontrol agent. However, these cell lines, which have been used in the laboratory production of various </w:t>
      </w:r>
      <w:r>
        <w:rPr>
          <w:rFonts w:cs="Arial" w:ascii="Arial" w:hAnsi="Arial"/>
          <w:i/>
          <w:iCs/>
          <w:sz w:val="24"/>
          <w:szCs w:val="24"/>
        </w:rPr>
        <w:t xml:space="preserve">Oryctes rhinoceros </w:t>
      </w:r>
      <w:r>
        <w:rPr>
          <w:rFonts w:cs="Arial" w:ascii="Arial" w:hAnsi="Arial"/>
          <w:sz w:val="24"/>
          <w:szCs w:val="24"/>
        </w:rPr>
        <w:t xml:space="preserve">virus isolates, are non-homologous cell lines (i.e. not derived from CRB) and may not reflect the actual potential infectivity and production level that this virus is capable of attaining in its insect of origin.  One such non-homologous cell line derived from the African black beetle, </w:t>
      </w:r>
      <w:r>
        <w:rPr>
          <w:rFonts w:cs="Arial" w:ascii="Arial" w:hAnsi="Arial"/>
          <w:i/>
          <w:iCs/>
          <w:sz w:val="24"/>
          <w:szCs w:val="24"/>
        </w:rPr>
        <w:t>Heteronychus arator</w:t>
      </w:r>
      <w:r>
        <w:rPr>
          <w:rFonts w:cs="Arial" w:ascii="Arial" w:hAnsi="Arial"/>
          <w:sz w:val="24"/>
          <w:szCs w:val="24"/>
        </w:rPr>
        <w:t xml:space="preserve"> (F.) (HA) has been cultured for decades for use in the </w:t>
      </w:r>
      <w:r>
        <w:rPr>
          <w:rFonts w:cs="Arial" w:ascii="Arial" w:hAnsi="Arial"/>
          <w:i/>
          <w:iCs/>
          <w:sz w:val="24"/>
          <w:szCs w:val="24"/>
        </w:rPr>
        <w:t>in vitro</w:t>
      </w:r>
      <w:r>
        <w:rPr>
          <w:rFonts w:cs="Arial" w:ascii="Arial" w:hAnsi="Arial"/>
          <w:sz w:val="24"/>
          <w:szCs w:val="24"/>
        </w:rPr>
        <w:t xml:space="preserve"> production of various OrNV isolates.  Several issues of concern have been voiced in the literature to indicate that HA may not be the most ideal cell culture system for the mass production of infectious and viable ORNV isolate(s).</w:t>
      </w:r>
    </w:p>
    <w:p>
      <w:pPr>
        <w:pStyle w:val="Normal"/>
        <w:widowControl/>
        <w:bidi w:val="0"/>
        <w:spacing w:lineRule="auto" w:line="259" w:before="0" w:after="160"/>
        <w:jc w:val="left"/>
        <w:rPr/>
      </w:pPr>
      <w:r>
        <w:rPr>
          <w:rFonts w:cs="Arial" w:ascii="Arial" w:hAnsi="Arial"/>
          <w:sz w:val="24"/>
          <w:szCs w:val="24"/>
        </w:rPr>
        <w:t>Consequently, an attempt was made to dissect midgut tissue from adults and larvae to obtain cell culture material; however, both have large amounts of undigested and extraneous material in their system which presents a challenge to avoiding contamination so the focus was then to extract hemolymph tissue ( a “cleaner” part of the insect) from a range of the different larva stages (from early 2</w:t>
      </w:r>
      <w:r>
        <w:rPr>
          <w:rFonts w:cs="Arial" w:ascii="Arial" w:hAnsi="Arial"/>
          <w:sz w:val="24"/>
          <w:szCs w:val="24"/>
          <w:vertAlign w:val="superscript"/>
        </w:rPr>
        <w:t>nd</w:t>
      </w:r>
      <w:r>
        <w:rPr>
          <w:rFonts w:cs="Arial" w:ascii="Arial" w:hAnsi="Arial"/>
          <w:sz w:val="24"/>
          <w:szCs w:val="24"/>
        </w:rPr>
        <w:t xml:space="preserve"> to late 3</w:t>
      </w:r>
      <w:r>
        <w:rPr>
          <w:rFonts w:cs="Arial" w:ascii="Arial" w:hAnsi="Arial"/>
          <w:sz w:val="24"/>
          <w:szCs w:val="24"/>
          <w:vertAlign w:val="superscript"/>
        </w:rPr>
        <w:t>rd</w:t>
      </w:r>
      <w:r>
        <w:rPr>
          <w:rFonts w:cs="Arial" w:ascii="Arial" w:hAnsi="Arial"/>
          <w:sz w:val="24"/>
          <w:szCs w:val="24"/>
        </w:rPr>
        <w:t xml:space="preserve"> instars). So far attachment of cell tissue has been observed in two cell culture media tested.  However, to obtain a stable, continuously growing CRB cell line will require a lengthy cell incubation period before actual </w:t>
      </w:r>
      <w:r>
        <w:rPr>
          <w:rFonts w:cs="Arial" w:ascii="Arial" w:hAnsi="Arial"/>
          <w:i/>
          <w:iCs/>
          <w:sz w:val="24"/>
          <w:szCs w:val="24"/>
        </w:rPr>
        <w:t>in vitro</w:t>
      </w:r>
      <w:r>
        <w:rPr>
          <w:rFonts w:cs="Arial" w:ascii="Arial" w:hAnsi="Arial"/>
          <w:sz w:val="24"/>
          <w:szCs w:val="24"/>
        </w:rPr>
        <w:t xml:space="preserve"> tests of the different OrNV isolates can be conducted.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42576"/>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2811"/>
    <w:rPr/>
  </w:style>
  <w:style w:type="character" w:styleId="FooterChar" w:customStyle="1">
    <w:name w:val="Footer Char"/>
    <w:basedOn w:val="DefaultParagraphFont"/>
    <w:link w:val="Footer"/>
    <w:uiPriority w:val="99"/>
    <w:qFormat/>
    <w:rsid w:val="0031281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42576"/>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5a079e"/>
    <w:pPr>
      <w:spacing w:before="0" w:after="160"/>
      <w:ind w:left="720" w:hanging="0"/>
      <w:contextualSpacing/>
    </w:pPr>
    <w:rPr/>
  </w:style>
  <w:style w:type="paragraph" w:styleId="Header">
    <w:name w:val="Header"/>
    <w:basedOn w:val="Normal"/>
    <w:link w:val="HeaderChar"/>
    <w:uiPriority w:val="99"/>
    <w:unhideWhenUsed/>
    <w:rsid w:val="0031281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12811"/>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595959"/>
                </a:solidFill>
                <a:uFill>
                  <a:solidFill>
                    <a:srgbClr val="ffffff"/>
                  </a:solidFill>
                </a:uFill>
                <a:latin typeface="Arial"/>
              </a:defRPr>
            </a:pPr>
            <a:r>
              <a:rPr b="1" sz="1000" spc="-1" strike="noStrike">
                <a:solidFill>
                  <a:srgbClr val="595959"/>
                </a:solidFill>
                <a:uFill>
                  <a:solidFill>
                    <a:srgbClr val="ffffff"/>
                  </a:solidFill>
                </a:uFill>
                <a:latin typeface="Arial"/>
              </a:rPr>
              <a:t>Mean CRB weight loss difference</a:t>
            </a:r>
          </a:p>
        </c:rich>
      </c:tx>
      <c:overlay val="0"/>
    </c:title>
    <c:autoTitleDeleted val="0"/>
    <c:plotArea>
      <c:barChart>
        <c:barDir val="col"/>
        <c:grouping val="clustered"/>
        <c:varyColors val="0"/>
        <c:ser>
          <c:idx val="0"/>
          <c:order val="0"/>
          <c:tx>
            <c:strRef>
              <c:f>label 0</c:f>
              <c:strCache>
                <c:ptCount val="1"/>
                <c:pt idx="0">
                  <c:v>Control</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0</c:f>
              <c:numCache>
                <c:formatCode>General</c:formatCode>
                <c:ptCount val="24"/>
                <c:pt idx="0">
                  <c:v>0.017</c:v>
                </c:pt>
                <c:pt idx="1">
                  <c:v>0.106</c:v>
                </c:pt>
                <c:pt idx="2">
                  <c:v>0.244</c:v>
                </c:pt>
                <c:pt idx="3">
                  <c:v>0.099</c:v>
                </c:pt>
                <c:pt idx="4">
                  <c:v>0.097</c:v>
                </c:pt>
                <c:pt idx="5">
                  <c:v>0.095</c:v>
                </c:pt>
                <c:pt idx="6">
                  <c:v>0.164</c:v>
                </c:pt>
                <c:pt idx="7">
                  <c:v>0.108</c:v>
                </c:pt>
                <c:pt idx="8">
                  <c:v>0.185</c:v>
                </c:pt>
                <c:pt idx="9">
                  <c:v>0.064</c:v>
                </c:pt>
                <c:pt idx="10">
                  <c:v>0.026</c:v>
                </c:pt>
                <c:pt idx="11">
                  <c:v>0.094</c:v>
                </c:pt>
                <c:pt idx="12">
                  <c:v>0.037</c:v>
                </c:pt>
                <c:pt idx="13">
                  <c:v>0.091</c:v>
                </c:pt>
                <c:pt idx="14">
                  <c:v>0.108</c:v>
                </c:pt>
                <c:pt idx="15">
                  <c:v>0.041</c:v>
                </c:pt>
                <c:pt idx="16">
                  <c:v>0.086</c:v>
                </c:pt>
                <c:pt idx="17">
                  <c:v>0.061</c:v>
                </c:pt>
                <c:pt idx="18">
                  <c:v>0.015</c:v>
                </c:pt>
                <c:pt idx="19">
                  <c:v>0.011</c:v>
                </c:pt>
                <c:pt idx="20">
                  <c:v>0.144</c:v>
                </c:pt>
                <c:pt idx="21">
                  <c:v>0.075</c:v>
                </c:pt>
                <c:pt idx="22">
                  <c:v>0.092</c:v>
                </c:pt>
                <c:pt idx="23">
                  <c:v>0.117</c:v>
                </c:pt>
              </c:numCache>
            </c:numRef>
          </c:val>
        </c:ser>
        <c:ser>
          <c:idx val="1"/>
          <c:order val="1"/>
          <c:tx>
            <c:strRef>
              <c:f>label 1</c:f>
              <c:strCache>
                <c:ptCount val="1"/>
                <c:pt idx="0">
                  <c:v>virus-treated</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1</c:f>
              <c:numCache>
                <c:formatCode>General</c:formatCode>
                <c:ptCount val="24"/>
                <c:pt idx="0">
                  <c:v>0.0006</c:v>
                </c:pt>
                <c:pt idx="1">
                  <c:v>0.073</c:v>
                </c:pt>
                <c:pt idx="2">
                  <c:v>0.064</c:v>
                </c:pt>
                <c:pt idx="3">
                  <c:v>0.123</c:v>
                </c:pt>
                <c:pt idx="4">
                  <c:v>0.028</c:v>
                </c:pt>
                <c:pt idx="5">
                  <c:v>0.182</c:v>
                </c:pt>
                <c:pt idx="6">
                  <c:v>0.117</c:v>
                </c:pt>
                <c:pt idx="7">
                  <c:v>0.069</c:v>
                </c:pt>
                <c:pt idx="8">
                  <c:v>0.092</c:v>
                </c:pt>
                <c:pt idx="9">
                  <c:v>0.161</c:v>
                </c:pt>
                <c:pt idx="10">
                  <c:v>0.068</c:v>
                </c:pt>
                <c:pt idx="11">
                  <c:v>0.089</c:v>
                </c:pt>
                <c:pt idx="12">
                  <c:v>0.048</c:v>
                </c:pt>
                <c:pt idx="13">
                  <c:v>0.089</c:v>
                </c:pt>
                <c:pt idx="14">
                  <c:v>0.053</c:v>
                </c:pt>
                <c:pt idx="15">
                  <c:v>0.053</c:v>
                </c:pt>
                <c:pt idx="16">
                  <c:v/>
                </c:pt>
                <c:pt idx="17">
                  <c:v/>
                </c:pt>
                <c:pt idx="18">
                  <c:v/>
                </c:pt>
                <c:pt idx="19">
                  <c:v/>
                </c:pt>
                <c:pt idx="20">
                  <c:v/>
                </c:pt>
                <c:pt idx="21">
                  <c:v/>
                </c:pt>
                <c:pt idx="22">
                  <c:v/>
                </c:pt>
                <c:pt idx="23">
                  <c:v/>
                </c:pt>
              </c:numCache>
            </c:numRef>
          </c:val>
        </c:ser>
        <c:gapWidth val="219"/>
        <c:overlap val="-27"/>
        <c:axId val="77524616"/>
        <c:axId val="35821888"/>
      </c:barChart>
      <c:catAx>
        <c:axId val="77524616"/>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35821888"/>
        <c:crosses val="autoZero"/>
        <c:auto val="1"/>
        <c:lblAlgn val="ctr"/>
        <c:lblOffset val="100"/>
      </c:catAx>
      <c:valAx>
        <c:axId val="3582188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77524616"/>
        <c:crosses val="autoZero"/>
        <c:crossBetween val="midCat"/>
      </c:valAx>
      <c:spPr>
        <a:noFill/>
        <a:ln>
          <a:noFill/>
        </a:ln>
      </c:spPr>
    </c:plotArea>
    <c:legend>
      <c:layout>
        <c:manualLayout>
          <c:xMode val="edge"/>
          <c:yMode val="edge"/>
          <c:x val="0.607"/>
          <c:y val="0.763333333333333"/>
        </c:manualLayout>
      </c:layout>
      <c:spPr>
        <a:noFill/>
        <a:ln>
          <a:noFill/>
        </a:ln>
      </c:spPr>
    </c:legend>
    <c:plotVisOnly val="1"/>
    <c:dispBlanksAs val="gap"/>
  </c:chart>
  <c:spPr>
    <a:solidFill>
      <a:srgbClr val="ffffff"/>
    </a:solidFill>
    <a:ln w="19080">
      <a:solidFill>
        <a:srgbClr val="000000"/>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2</Pages>
  <Words>724</Words>
  <Characters>3829</Characters>
  <CharactersWithSpaces>4530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2019-09-29T23:04:00Z</dcterms:created>
  <dc:creator>User</dc:creator>
  <dc:description/>
  <dc:language>en-US</dc:language>
  <cp:lastModifiedBy/>
  <dcterms:modified xsi:type="dcterms:W3CDTF">2019-10-12T05:13:30Z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