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jc w:val="center"/>
        <w:rPr>
          <w:color w:val="000000"/>
        </w:rPr>
      </w:pPr>
      <w:r w:rsidDel="00000000" w:rsidR="00000000" w:rsidRPr="00000000">
        <w:rPr>
          <w:b w:val="1"/>
          <w:bCs w:val="1"/>
          <w:color w:val="000000"/>
          <w:rtl w:val="0"/>
        </w:rPr>
        <w:t xml:space="preserve">Beyond Inflammatory Spillover: A Two-Clock Model of Cardiovascular Risk in Chronic Obstructive Pulmonary Disease</w:t>
      </w:r>
      <w:r w:rsidDel="00000000" w:rsidR="00000000" w:rsidRPr="00000000">
        <w:rPr>
          <w:rtl w:val="0"/>
        </w:rPr>
      </w:r>
    </w:p>
    <w:p w:rsidR="00000000" w:rsidDel="00000000" w:rsidP="00000000" w:rsidRDefault="00000000" w:rsidRPr="00000000" w14:paraId="00000002">
      <w:pPr>
        <w:spacing w:after="40" w:lineRule="auto"/>
        <w:jc w:val="center"/>
        <w:rPr>
          <w:color w:val="000000"/>
        </w:rPr>
      </w:pPr>
      <w:r w:rsidDel="00000000" w:rsidR="00000000" w:rsidRPr="00000000">
        <w:rPr>
          <w:b w:val="1"/>
          <w:bCs w:val="1"/>
          <w:color w:val="000000"/>
          <w:rtl w:val="0"/>
        </w:rPr>
        <w:t xml:space="preserve">Hendri Susilo</w:t>
      </w:r>
      <w:r w:rsidDel="00000000" w:rsidR="00000000" w:rsidRPr="00000000">
        <w:rPr>
          <w:rtl w:val="0"/>
        </w:rPr>
      </w:r>
    </w:p>
    <w:p w:rsidR="00000000" w:rsidDel="00000000" w:rsidP="00000000" w:rsidRDefault="00000000" w:rsidRPr="00000000" w14:paraId="00000003">
      <w:pPr>
        <w:spacing w:after="20" w:lineRule="auto"/>
        <w:jc w:val="center"/>
        <w:rPr>
          <w:color w:val="000000"/>
        </w:rPr>
      </w:pPr>
      <w:r w:rsidDel="00000000" w:rsidR="00000000" w:rsidRPr="00000000">
        <w:rPr>
          <w:i w:val="1"/>
          <w:iCs w:val="1"/>
          <w:color w:val="000000"/>
          <w:rtl w:val="0"/>
        </w:rPr>
        <w:t xml:space="preserve">Department of Cardiology and Vascular Medicine, Faculty of Medicine, Universitas Airlangga</w:t>
      </w:r>
      <w:r w:rsidDel="00000000" w:rsidR="00000000" w:rsidRPr="00000000">
        <w:rPr>
          <w:rtl w:val="0"/>
        </w:rPr>
      </w:r>
    </w:p>
    <w:p w:rsidR="00000000" w:rsidDel="00000000" w:rsidP="00000000" w:rsidRDefault="00000000" w:rsidRPr="00000000" w14:paraId="00000004">
      <w:pPr>
        <w:spacing w:after="120" w:lineRule="auto"/>
        <w:jc w:val="center"/>
        <w:rPr>
          <w:color w:val="000000"/>
        </w:rPr>
      </w:pPr>
      <w:r w:rsidDel="00000000" w:rsidR="00000000" w:rsidRPr="00000000">
        <w:rPr>
          <w:i w:val="1"/>
          <w:iCs w:val="1"/>
          <w:color w:val="000000"/>
          <w:rtl w:val="0"/>
        </w:rPr>
        <w:t xml:space="preserve">Cardiovascular and Cardiometabolic Science Research Group, Universitas Airlangga, Surabaya, Indonesia</w:t>
      </w:r>
      <w:r w:rsidDel="00000000" w:rsidR="00000000" w:rsidRPr="00000000">
        <w:rPr>
          <w:rtl w:val="0"/>
        </w:rPr>
      </w:r>
    </w:p>
    <w:p w:rsidR="00000000" w:rsidDel="00000000" w:rsidP="00000000" w:rsidRDefault="00000000" w:rsidRPr="00000000" w14:paraId="00000005">
      <w:pPr>
        <w:spacing w:after="200" w:lineRule="auto"/>
        <w:jc w:val="center"/>
        <w:rPr>
          <w:color w:val="000000"/>
        </w:rPr>
      </w:pPr>
      <w:r w:rsidDel="00000000" w:rsidR="00000000" w:rsidRPr="00000000">
        <w:rPr>
          <w:b w:val="1"/>
          <w:bCs w:val="1"/>
          <w:color w:val="000000"/>
          <w:rtl w:val="0"/>
        </w:rPr>
        <w:t xml:space="preserve">Correspondence: </w:t>
      </w:r>
      <w:r w:rsidDel="00000000" w:rsidR="00000000" w:rsidRPr="00000000">
        <w:rPr>
          <w:color w:val="000000"/>
          <w:rtl w:val="0"/>
        </w:rPr>
        <w:t xml:space="preserve">Hendri Susilo, Department of Cardiology and Vascular Medicine, Faculty of Medicine, Universitas Airlangga, Surabaya, Indonesia. Email: </w:t>
      </w:r>
      <w:hyperlink r:id="rId6">
        <w:r w:rsidDel="00000000" w:rsidR="00000000" w:rsidRPr="00000000">
          <w:rPr>
            <w:color w:val="000000"/>
            <w:u w:val="single"/>
            <w:rtl w:val="0"/>
          </w:rPr>
          <w:t xml:space="preserve">hendrisusilo@staf.unair.ac.id</w:t>
        </w:r>
      </w:hyperlink>
      <w:r w:rsidDel="00000000" w:rsidR="00000000" w:rsidRPr="00000000">
        <w:rPr>
          <w:color w:val="000000"/>
          <w:rtl w:val="0"/>
        </w:rPr>
        <w:t xml:space="preserve"> </w:t>
      </w:r>
    </w:p>
    <w:p w:rsidR="00000000" w:rsidDel="00000000" w:rsidP="00000000" w:rsidRDefault="00000000" w:rsidRPr="00000000" w14:paraId="00000006">
      <w:pPr>
        <w:keepNext w:val="1"/>
        <w:spacing w:after="100" w:before="240" w:line="276" w:lineRule="auto"/>
        <w:jc w:val="center"/>
        <w:rPr>
          <w:color w:val="000000"/>
        </w:rPr>
      </w:pPr>
      <w:r w:rsidDel="00000000" w:rsidR="00000000" w:rsidRPr="00000000">
        <w:rPr>
          <w:b w:val="1"/>
          <w:bCs w:val="1"/>
          <w:color w:val="000000"/>
          <w:rtl w:val="0"/>
        </w:rPr>
        <w:t xml:space="preserve">Abstract</w:t>
      </w:r>
      <w:r w:rsidDel="00000000" w:rsidR="00000000" w:rsidRPr="00000000">
        <w:rPr>
          <w:rtl w:val="0"/>
        </w:rPr>
      </w:r>
    </w:p>
    <w:p w:rsidR="00000000" w:rsidDel="00000000" w:rsidP="00000000" w:rsidRDefault="00000000" w:rsidRPr="00000000" w14:paraId="00000007">
      <w:pPr>
        <w:spacing w:after="120" w:before="160" w:lineRule="auto"/>
        <w:jc w:val="both"/>
        <w:rPr>
          <w:color w:val="000000"/>
        </w:rPr>
      </w:pPr>
      <w:r w:rsidDel="00000000" w:rsidR="00000000" w:rsidRPr="00000000">
        <w:rPr>
          <w:color w:val="000000"/>
          <w:rtl w:val="0"/>
        </w:rPr>
        <w:t xml:space="preserve">Patients with chronic obstructive pulmonary disease (COPD) experience a two- to fivefold excess of cardiovascular events, traditionally attributed to chronic inflammatory spillover from the lung that accelerates atherosclerosis and destabilizes coronary plaque. However, contemporary evidence challenges this paradigm. Randomized trials have shown no reciprocal benefit: inhaled corticosteroid–based therapy reduced exacerbations without lowering cardiovascular events, whereas statin therapy failed to reduce exacerbations. Similarly, Mendelian randomization demonstrates little or no independent causal effect of COPD or airflow obstruction on coronary artery disease after accounting for shared risk factors. In contrast, self-controlled studies that eliminate time-invariant confounding consistently show a marked, severity-dependent increase in myocardial infarction immediately following COPD exacerbations. We propose the two-clock model to reconcile these findings. A slow clock, operating over decades, reflects shared exposures—including smoking, ageing, adiposity, hypertension, and dyslipidaemia—that determine the underlying atherosclerotic substrate. A fast clock, operating over days, transforms an exacerbation into an acute cardiovascular event through hypoxaemia, tachycardia, dynamic hyperinflation, sympathetic activation, and a prothrombotic state, producing predominantly type 2 myocardial infarction and myocardial injury. This framework explains why interventions succeed only when they target the relevant biological clock and generates testable predictions for future studies. We argue that COPD-associated cardiovascular risk should no longer be viewed as a single inflammatory pathway but as the interaction of chronic substrate and acute triggers, with important implications for both research and bedside management.</w:t>
      </w:r>
    </w:p>
    <w:p w:rsidR="00000000" w:rsidDel="00000000" w:rsidP="00000000" w:rsidRDefault="00000000" w:rsidRPr="00000000" w14:paraId="00000008">
      <w:pPr>
        <w:spacing w:after="120" w:before="160" w:lineRule="auto"/>
        <w:jc w:val="both"/>
        <w:rPr>
          <w:color w:val="000000"/>
        </w:rPr>
      </w:pPr>
      <w:r w:rsidDel="00000000" w:rsidR="00000000" w:rsidRPr="00000000">
        <w:rPr>
          <w:b w:val="1"/>
          <w:bCs w:val="1"/>
          <w:color w:val="000000"/>
          <w:rtl w:val="0"/>
        </w:rPr>
        <w:t xml:space="preserve">Keywords</w:t>
      </w:r>
      <w:r w:rsidDel="00000000" w:rsidR="00000000" w:rsidRPr="00000000">
        <w:rPr>
          <w:color w:val="000000"/>
          <w:rtl w:val="0"/>
        </w:rPr>
        <w:t xml:space="preserve">: chronic obstructive pulmonary disease; acute coronary syndrome; type 2 myocardial infarction; exacerbation; systemic inflammation; Mendelian randomization; cardiopulmonary risk; β-blockers; triangulation.</w:t>
      </w:r>
    </w:p>
    <w:p w:rsidR="00000000" w:rsidDel="00000000" w:rsidP="00000000" w:rsidRDefault="00000000" w:rsidRPr="00000000" w14:paraId="00000009">
      <w:pPr>
        <w:keepNext w:val="1"/>
        <w:spacing w:after="100" w:before="240" w:line="276" w:lineRule="auto"/>
        <w:rPr>
          <w:color w:val="000000"/>
        </w:rPr>
      </w:pPr>
      <w:r w:rsidDel="00000000" w:rsidR="00000000" w:rsidRPr="00000000">
        <w:rPr>
          <w:b w:val="1"/>
          <w:bCs w:val="1"/>
          <w:color w:val="000000"/>
          <w:rtl w:val="0"/>
        </w:rPr>
        <w:t xml:space="preserve">Central Illustration</w:t>
      </w:r>
      <w:r w:rsidDel="00000000" w:rsidR="00000000" w:rsidRPr="00000000">
        <w:rPr>
          <w:rtl w:val="0"/>
        </w:rPr>
      </w:r>
    </w:p>
    <w:p w:rsidR="00000000" w:rsidDel="00000000" w:rsidP="00000000" w:rsidRDefault="00000000" w:rsidRPr="00000000" w14:paraId="0000000A">
      <w:pPr>
        <w:spacing w:after="60" w:before="80" w:line="276" w:lineRule="auto"/>
        <w:jc w:val="center"/>
        <w:rPr>
          <w:color w:val="000000"/>
        </w:rPr>
      </w:pPr>
      <w:r w:rsidDel="00000000" w:rsidR="00000000" w:rsidRPr="00000000">
        <w:rPr>
          <w:color w:val="000000"/>
        </w:rPr>
        <w:drawing>
          <wp:inline distB="0" distT="0" distL="0" distR="0">
            <wp:extent cx="5715221" cy="311993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221" cy="311993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60" w:lineRule="auto"/>
        <w:jc w:val="center"/>
        <w:rPr>
          <w:color w:val="000000"/>
        </w:rPr>
      </w:pPr>
      <w:r w:rsidDel="00000000" w:rsidR="00000000" w:rsidRPr="00000000">
        <w:rPr>
          <w:b w:val="1"/>
          <w:bCs w:val="1"/>
          <w:color w:val="000000"/>
          <w:rtl w:val="0"/>
        </w:rPr>
        <w:t xml:space="preserve">Figure 1. Central illustration. </w:t>
      </w:r>
      <w:r w:rsidDel="00000000" w:rsidR="00000000" w:rsidRPr="00000000">
        <w:rPr>
          <w:color w:val="000000"/>
          <w:rtl w:val="0"/>
        </w:rPr>
        <w:t xml:space="preserve">(A) Two clocks operate in COPD. The slow clock accumulates atherosclerotic and myocardial substrate over decades, driven principally by exposures shared with cardiovascular disease; the fast clock converts an exacerbation into an acute event over days through hypoxaemia, tachycardia, dynamic hyperinflation, sympathetic surge and a prothrombotic shift. They differ in dominant event type and in what modifies them. (B) The temporal signature is incompatible with a chronic inflammatory mechanism: risk is sharply time-locked to the exacerbation and graded by its severity, whereas chronic spillover predicts no time-locking. (C) Effect estimates by study design. The chronic COPD–coronary association collapses as designs remove confounding, whereas the acute exacerbation–infarction association survives a self-controlled design that removes time-invariant confounding entirely. (D) Trials succeed or fail according to whether the intervention and the outcome address the same clock; the β-blocker reversal between BLOCK-COPD and the post-infarction setting is the clearest natural experiment.</w:t>
      </w:r>
    </w:p>
    <w:p w:rsidR="00000000" w:rsidDel="00000000" w:rsidP="00000000" w:rsidRDefault="00000000" w:rsidRPr="00000000" w14:paraId="0000000C">
      <w:pPr>
        <w:pStyle w:val="Heading1"/>
        <w:keepNext w:val="1"/>
        <w:spacing w:after="100" w:before="28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00D">
      <w:pPr>
        <w:pStyle w:val="Heading1"/>
        <w:keepNext w:val="1"/>
        <w:spacing w:after="100" w:before="280" w:line="276" w:lineRule="auto"/>
        <w:rPr>
          <w:color w:val="000000"/>
          <w:sz w:val="24"/>
          <w:szCs w:val="24"/>
        </w:rPr>
      </w:pPr>
      <w:r w:rsidDel="00000000" w:rsidR="00000000" w:rsidRPr="00000000">
        <w:rPr>
          <w:b w:val="1"/>
          <w:bCs w:val="1"/>
          <w:color w:val="000000"/>
          <w:sz w:val="24"/>
          <w:szCs w:val="24"/>
          <w:rtl w:val="0"/>
        </w:rPr>
        <w:t xml:space="preserve">1. Introduction: A Hypothesis That Has Outlived Its Evidence</w:t>
      </w:r>
      <w:r w:rsidDel="00000000" w:rsidR="00000000" w:rsidRPr="00000000">
        <w:rPr>
          <w:rtl w:val="0"/>
        </w:rPr>
      </w:r>
    </w:p>
    <w:p w:rsidR="00000000" w:rsidDel="00000000" w:rsidP="00000000" w:rsidRDefault="00000000" w:rsidRPr="00000000" w14:paraId="0000000E">
      <w:pPr>
        <w:spacing w:line="276" w:lineRule="auto"/>
        <w:ind w:firstLine="360"/>
        <w:jc w:val="both"/>
        <w:rPr>
          <w:color w:val="000000"/>
        </w:rPr>
      </w:pPr>
      <w:r w:rsidDel="00000000" w:rsidR="00000000" w:rsidRPr="00000000">
        <w:rPr>
          <w:color w:val="000000"/>
          <w:rtl w:val="0"/>
        </w:rPr>
        <w:t xml:space="preserve">Chronic obstructive pulmonary disease (COPD) is now the third leading cause of death worldwide, and cardiovascular disease accounts for a substantial share of the mortality that COPD itself does not directly cause [1,2]. The epidemiological association is not in dispute. Patients with COPD sustain roughly two to five times the cardiovascular event rate of those without, exacerbations cluster in time with myocardial infarction, and both conditions display measurable systemic inflammation [3,4].</w:t>
      </w:r>
    </w:p>
    <w:p w:rsidR="00000000" w:rsidDel="00000000" w:rsidP="00000000" w:rsidRDefault="00000000" w:rsidRPr="00000000" w14:paraId="0000000F">
      <w:pPr>
        <w:spacing w:line="276" w:lineRule="auto"/>
        <w:ind w:firstLine="360"/>
        <w:jc w:val="both"/>
        <w:rPr>
          <w:color w:val="000000"/>
        </w:rPr>
      </w:pPr>
      <w:r w:rsidDel="00000000" w:rsidR="00000000" w:rsidRPr="00000000">
        <w:rPr>
          <w:color w:val="000000"/>
          <w:rtl w:val="0"/>
        </w:rPr>
        <w:t xml:space="preserve">The explanation offered for these observations has been unusually stable. Cigarette smoke and other inhaled toxicants provoke an airway inflammatory response; interleukin-1β, interleukin-6, tumour necrosis factor α and matrix metalloproteinases spill from the lung into the circulation; the endothelium is activated; atherogenesis accelerates; the fibrous cap thins; and plaque ruptures. Call it the spillover hypothesis. It is biologically coherent, it maps neatly onto the atherothrombosis literature, and it organises most narrative reviews of COPD and cardiovascular disease, including our own earlier reading of this field.</w:t>
      </w:r>
    </w:p>
    <w:p w:rsidR="00000000" w:rsidDel="00000000" w:rsidP="00000000" w:rsidRDefault="00000000" w:rsidRPr="00000000" w14:paraId="00000010">
      <w:pPr>
        <w:spacing w:line="276" w:lineRule="auto"/>
        <w:ind w:firstLine="360"/>
        <w:jc w:val="both"/>
        <w:rPr>
          <w:color w:val="000000"/>
        </w:rPr>
      </w:pPr>
      <w:r w:rsidDel="00000000" w:rsidR="00000000" w:rsidRPr="00000000">
        <w:rPr>
          <w:color w:val="000000"/>
          <w:rtl w:val="0"/>
        </w:rPr>
        <w:t xml:space="preserve">It is also, on the evidence now available, wrong — or at least wrong about what matters. The hypothesis makes predictions, and those predictions have been tested from both directions. Treating airway inflammation in patients with COPD and heightened cardiovascular risk should reduce cardiovascular events; in the SUMMIT trial, with 16,485 patients, it did not, leaving the cardiovascular composite at a hazard ratio of 0.93 (95% confidence interval 0.75–1.14) even though exacerbations fell by 29% [5]. Treating systemic inflammation should improve pulmonary outcomes; in STATCOPE, simvastatin lowered cholesterol and did nothing to exacerbations [6]. Two agents, two directions, two nulls. As Criner observed at the time, this combination challenges the premise that lung and systemic inflammation are causally linked in the way the hypothesis requires.</w:t>
      </w:r>
    </w:p>
    <w:p w:rsidR="00000000" w:rsidDel="00000000" w:rsidP="00000000" w:rsidRDefault="00000000" w:rsidRPr="00000000" w14:paraId="00000011">
      <w:pPr>
        <w:spacing w:line="276" w:lineRule="auto"/>
        <w:ind w:firstLine="360"/>
        <w:jc w:val="both"/>
        <w:rPr>
          <w:color w:val="000000"/>
        </w:rPr>
      </w:pPr>
      <w:r w:rsidDel="00000000" w:rsidR="00000000" w:rsidRPr="00000000">
        <w:rPr>
          <w:color w:val="000000"/>
          <w:rtl w:val="0"/>
        </w:rPr>
        <w:t xml:space="preserve">The genetic evidence is, if anything, less forgiving. Mendelian randomization estimates the causal effect of COPD on coronary heart disease at an odds ratio of approximately 1.004 — statistically distinguishable from unity in large samples, clinically indistinguishable from nothing — and that estimate attenuates once smoking and adiposity are conditioned upon in multivariable analysis [7]. More pointedly still, the causal effect of FEV1 on coronary artery disease is null after adjustment for height (odds ratio 1.08, 95% confidence interval 0.89–1.30), while reduced forced vital capacity does appear causal (odds ratio 1.32, 1.19–1.46) [8]. FEV1 is the measurement by which airflow obstruction — and therefore COPD itself — is defined. If it does not cause coronary disease, the disease-defining abnormality is not the thing driving coronary risk.</w:t>
      </w:r>
    </w:p>
    <w:p w:rsidR="00000000" w:rsidDel="00000000" w:rsidP="00000000" w:rsidRDefault="00000000" w:rsidRPr="00000000" w14:paraId="00000012">
      <w:pPr>
        <w:spacing w:line="276" w:lineRule="auto"/>
        <w:ind w:firstLine="360"/>
        <w:jc w:val="both"/>
        <w:rPr>
          <w:color w:val="000000"/>
        </w:rPr>
      </w:pPr>
      <w:r w:rsidDel="00000000" w:rsidR="00000000" w:rsidRPr="00000000">
        <w:rPr>
          <w:color w:val="000000"/>
          <w:rtl w:val="0"/>
        </w:rPr>
        <w:t xml:space="preserve">And yet something is unmistakably happening. Within the same patient, serving as his or her own control, the risk of myocardial infarction rises 2.58-fold in the period after a severe exacerbation and 1.58-fold after a moderate one [9]. That design eliminates every time-invariant confounder — smoking, genotype, age, sex, comorbidity — by construction. Whatever else is true, exacerbations trigger infarction.</w:t>
      </w:r>
    </w:p>
    <w:p w:rsidR="00000000" w:rsidDel="00000000" w:rsidP="00000000" w:rsidRDefault="00000000" w:rsidRPr="00000000" w14:paraId="00000013">
      <w:pPr>
        <w:spacing w:line="276" w:lineRule="auto"/>
        <w:ind w:firstLine="360"/>
        <w:jc w:val="both"/>
        <w:rPr>
          <w:color w:val="000000"/>
        </w:rPr>
      </w:pPr>
      <w:r w:rsidDel="00000000" w:rsidR="00000000" w:rsidRPr="00000000">
        <w:rPr>
          <w:color w:val="000000"/>
          <w:rtl w:val="0"/>
        </w:rPr>
        <w:t xml:space="preserve">Our argument is that these findings do not conflict. They are measurements of two different processes that the field has insisted on treating as one. We propose the two-clock model: a slow clock that builds substrate over decades, driven largely by exposures shared with cardiovascular disease rather than by pulmonary inflammation; and a fast clock that converts an exacerbation into an acute event over days, through physiology rather than atherogenesis. The clocks differ in timescale, in mechanism, in the kind of myocardial infarction they produce, and — the point with clinical teeth — in what modifies them.</w:t>
      </w:r>
    </w:p>
    <w:p w:rsidR="00000000" w:rsidDel="00000000" w:rsidP="00000000" w:rsidRDefault="00000000" w:rsidRPr="00000000" w14:paraId="00000014">
      <w:pPr>
        <w:pStyle w:val="Heading1"/>
        <w:keepNext w:val="1"/>
        <w:spacing w:after="100" w:before="280" w:line="276" w:lineRule="auto"/>
        <w:rPr>
          <w:color w:val="000000"/>
          <w:sz w:val="24"/>
          <w:szCs w:val="24"/>
        </w:rPr>
      </w:pPr>
      <w:r w:rsidDel="00000000" w:rsidR="00000000" w:rsidRPr="00000000">
        <w:rPr>
          <w:b w:val="1"/>
          <w:bCs w:val="1"/>
          <w:color w:val="000000"/>
          <w:sz w:val="24"/>
          <w:szCs w:val="24"/>
          <w:rtl w:val="0"/>
        </w:rPr>
        <w:t xml:space="preserve">2. Scope and Approach to Evidence Appraisal</w:t>
      </w:r>
      <w:r w:rsidDel="00000000" w:rsidR="00000000" w:rsidRPr="00000000">
        <w:rPr>
          <w:rtl w:val="0"/>
        </w:rPr>
      </w:r>
    </w:p>
    <w:p w:rsidR="00000000" w:rsidDel="00000000" w:rsidP="00000000" w:rsidRDefault="00000000" w:rsidRPr="00000000" w14:paraId="00000015">
      <w:pPr>
        <w:spacing w:line="276" w:lineRule="auto"/>
        <w:ind w:firstLine="360"/>
        <w:jc w:val="both"/>
        <w:rPr>
          <w:color w:val="000000"/>
        </w:rPr>
      </w:pPr>
      <w:r w:rsidDel="00000000" w:rsidR="00000000" w:rsidRPr="00000000">
        <w:rPr>
          <w:color w:val="000000"/>
          <w:rtl w:val="0"/>
        </w:rPr>
        <w:t xml:space="preserve">This is an integrative review written to adjudicate between causal architectures rather than to catalogue mechanisms. We searched PubMed/MEDLINE and the major cardiovascular and respiratory guideline literature through July 2026 for work on COPD, exacerbations, systemic inflammation, myocardial infarction subtypes, and the trial and genetic evidence bearing on the COPD–cardiovascular link.</w:t>
      </w:r>
    </w:p>
    <w:p w:rsidR="00000000" w:rsidDel="00000000" w:rsidP="00000000" w:rsidRDefault="00000000" w:rsidRPr="00000000" w14:paraId="00000016">
      <w:pPr>
        <w:spacing w:line="276" w:lineRule="auto"/>
        <w:ind w:firstLine="360"/>
        <w:jc w:val="both"/>
        <w:rPr>
          <w:color w:val="000000"/>
        </w:rPr>
      </w:pPr>
      <w:r w:rsidDel="00000000" w:rsidR="00000000" w:rsidRPr="00000000">
        <w:rPr>
          <w:color w:val="000000"/>
          <w:rtl w:val="0"/>
        </w:rPr>
        <w:t xml:space="preserve">Studies were weighted by their capacity to be wrong in informative ways. Randomized trials, genetic instrumental-variable analyses and self-controlled designs were prioritised over cross-sectional and conventional cohort work, of which this field already has a great deal and from which it has learned relatively little. Where evidence streams with non-overlapping biases agreed, we treated the agreement as strong; where they disagreed, we treated the disagreement itself as the observation requiring explanation [10]. That stance — triangulation rather than accumulation — is most of what distinguishes this review from its predecessors, ours included.</w:t>
      </w:r>
    </w:p>
    <w:p w:rsidR="00000000" w:rsidDel="00000000" w:rsidP="00000000" w:rsidRDefault="00000000" w:rsidRPr="00000000" w14:paraId="00000017">
      <w:pPr>
        <w:spacing w:line="276" w:lineRule="auto"/>
        <w:ind w:firstLine="360"/>
        <w:jc w:val="both"/>
        <w:rPr>
          <w:color w:val="000000"/>
        </w:rPr>
      </w:pPr>
      <w:r w:rsidDel="00000000" w:rsidR="00000000" w:rsidRPr="00000000">
        <w:rPr>
          <w:color w:val="000000"/>
          <w:rtl w:val="0"/>
        </w:rPr>
        <w:t xml:space="preserve">No meta-analysis was performed and no pooled estimate is presented. Effect estimates are quoted from the primary sources or from the best available syntheses, and are reported with their confidence intervals so that the reader can judge their precision rather than take our word for it.</w:t>
      </w:r>
    </w:p>
    <w:p w:rsidR="00000000" w:rsidDel="00000000" w:rsidP="00000000" w:rsidRDefault="00000000" w:rsidRPr="00000000" w14:paraId="00000018">
      <w:pPr>
        <w:pStyle w:val="Heading1"/>
        <w:keepNext w:val="1"/>
        <w:spacing w:after="100" w:before="280" w:line="276" w:lineRule="auto"/>
        <w:rPr>
          <w:color w:val="000000"/>
          <w:sz w:val="24"/>
          <w:szCs w:val="24"/>
        </w:rPr>
      </w:pPr>
      <w:r w:rsidDel="00000000" w:rsidR="00000000" w:rsidRPr="00000000">
        <w:rPr>
          <w:b w:val="1"/>
          <w:bCs w:val="1"/>
          <w:color w:val="000000"/>
          <w:sz w:val="24"/>
          <w:szCs w:val="24"/>
          <w:rtl w:val="0"/>
        </w:rPr>
        <w:t xml:space="preserve">3. What the Two Diseases Genuinely Share</w:t>
      </w:r>
      <w:r w:rsidDel="00000000" w:rsidR="00000000" w:rsidRPr="00000000">
        <w:rPr>
          <w:rtl w:val="0"/>
        </w:rPr>
      </w:r>
    </w:p>
    <w:p w:rsidR="00000000" w:rsidDel="00000000" w:rsidP="00000000" w:rsidRDefault="00000000" w:rsidRPr="00000000" w14:paraId="00000019">
      <w:pPr>
        <w:spacing w:line="276" w:lineRule="auto"/>
        <w:ind w:firstLine="360"/>
        <w:jc w:val="both"/>
        <w:rPr>
          <w:color w:val="000000"/>
        </w:rPr>
      </w:pPr>
      <w:r w:rsidDel="00000000" w:rsidR="00000000" w:rsidRPr="00000000">
        <w:rPr>
          <w:color w:val="000000"/>
          <w:rtl w:val="0"/>
        </w:rPr>
        <w:t xml:space="preserve">The mechanistic overlap is real and worth stating precisely, because the argument that follows is not that COPD and coronary disease are unrelated.</w:t>
      </w:r>
    </w:p>
    <w:p w:rsidR="00000000" w:rsidDel="00000000" w:rsidP="00000000" w:rsidRDefault="00000000" w:rsidRPr="00000000" w14:paraId="0000001A">
      <w:pPr>
        <w:spacing w:line="276" w:lineRule="auto"/>
        <w:ind w:firstLine="360"/>
        <w:jc w:val="both"/>
        <w:rPr>
          <w:color w:val="000000"/>
        </w:rPr>
      </w:pPr>
      <w:r w:rsidDel="00000000" w:rsidR="00000000" w:rsidRPr="00000000">
        <w:rPr>
          <w:color w:val="000000"/>
          <w:rtl w:val="0"/>
        </w:rPr>
        <w:t xml:space="preserve">In the airway, inhaled toxicants recruit macrophages and neutrophils, which release interleukin-8, leukotriene B4, tumour necrosis factor α, interleukin-1β and interleukin-6, together with serine proteases and matrix metalloproteinases (notably MMP-9 and MMP-12). Protease activity outruns α1-antitrypsin and the tissue inhibitors, elastin is destroyed, and emphysema follows; transforming growth factor β drives airway remodelling through epithelial–mesenchymal transition [11]. In the coronary artery, an overlapping cast — interleukin-1β, interleukin-6, interferon γ, MMP-9, nuclear factor κB signalling — governs fibrous cap integrity, and the same neutrophil extracellular traps implicated in airway injury contribute to plaque erosion and thrombosis [12,13]. Nobody disputes that the vocabularies coincide.</w:t>
      </w:r>
    </w:p>
    <w:p w:rsidR="00000000" w:rsidDel="00000000" w:rsidP="00000000" w:rsidRDefault="00000000" w:rsidRPr="00000000" w14:paraId="0000001B">
      <w:pPr>
        <w:spacing w:line="276" w:lineRule="auto"/>
        <w:ind w:firstLine="360"/>
        <w:jc w:val="both"/>
        <w:rPr>
          <w:color w:val="000000"/>
        </w:rPr>
      </w:pPr>
      <w:r w:rsidDel="00000000" w:rsidR="00000000" w:rsidRPr="00000000">
        <w:rPr>
          <w:color w:val="000000"/>
          <w:rtl w:val="0"/>
        </w:rPr>
        <w:t xml:space="preserve">What is disputed, or ought to be, is the inference drawn from the coincidence. Shared mediators do not establish a shared causal pathway. Interleukin-6 is elevated in COPD and in atherosclerosis; it is also elevated in rheumatoid arthritis, periodontitis, obesity and ageing. The relevant question is not whether the same molecules appear in both compartments but whether flux from one compartment to the other is a quantitatively important cause of events in the other. That question is answerable, and it has been answered.</w:t>
      </w:r>
    </w:p>
    <w:p w:rsidR="00000000" w:rsidDel="00000000" w:rsidP="00000000" w:rsidRDefault="00000000" w:rsidRPr="00000000" w14:paraId="0000001C">
      <w:pPr>
        <w:spacing w:line="276" w:lineRule="auto"/>
        <w:ind w:firstLine="360"/>
        <w:jc w:val="both"/>
        <w:rPr>
          <w:color w:val="000000"/>
        </w:rPr>
      </w:pPr>
      <w:r w:rsidDel="00000000" w:rsidR="00000000" w:rsidRPr="00000000">
        <w:rPr>
          <w:color w:val="000000"/>
          <w:rtl w:val="0"/>
        </w:rPr>
        <w:t xml:space="preserve">There is one important asymmetry to preserve. The genetic evidence that undermines a causal COPD–coronary link is considerably kinder to a causal COPD–heart failure link (odds ratio 1.117, 95% confidence interval 1.066–1.170) [7]. Hyperinflation, pulmonary vascular remodelling, right ventricular loading and reduced left ventricular preload are mechanically plausible and do not require any inflammatory spillover at all. The argument of this review is about the coronary syndrome specifically; it should not be generalised to every cardiac consequence of lung disease.</w:t>
      </w:r>
    </w:p>
    <w:p w:rsidR="00000000" w:rsidDel="00000000" w:rsidP="00000000" w:rsidRDefault="00000000" w:rsidRPr="00000000" w14:paraId="0000001D">
      <w:pPr>
        <w:pStyle w:val="Heading1"/>
        <w:keepNext w:val="1"/>
        <w:spacing w:after="100" w:before="280" w:line="276" w:lineRule="auto"/>
        <w:rPr>
          <w:color w:val="000000"/>
          <w:sz w:val="24"/>
          <w:szCs w:val="24"/>
        </w:rPr>
      </w:pPr>
      <w:r w:rsidDel="00000000" w:rsidR="00000000" w:rsidRPr="00000000">
        <w:rPr>
          <w:b w:val="1"/>
          <w:bCs w:val="1"/>
          <w:color w:val="000000"/>
          <w:sz w:val="24"/>
          <w:szCs w:val="24"/>
          <w:rtl w:val="0"/>
        </w:rPr>
        <w:t xml:space="preserve">4. The Spillover Hypothesis Has Been Tested in Both Directions and Has Failed</w:t>
      </w:r>
      <w:r w:rsidDel="00000000" w:rsidR="00000000" w:rsidRPr="00000000">
        <w:rPr>
          <w:rtl w:val="0"/>
        </w:rPr>
      </w:r>
    </w:p>
    <w:p w:rsidR="00000000" w:rsidDel="00000000" w:rsidP="00000000" w:rsidRDefault="00000000" w:rsidRPr="00000000" w14:paraId="0000001E">
      <w:pPr>
        <w:spacing w:line="276" w:lineRule="auto"/>
        <w:ind w:firstLine="360"/>
        <w:jc w:val="both"/>
        <w:rPr>
          <w:color w:val="000000"/>
        </w:rPr>
      </w:pPr>
      <w:r w:rsidDel="00000000" w:rsidR="00000000" w:rsidRPr="00000000">
        <w:rPr>
          <w:color w:val="000000"/>
          <w:rtl w:val="0"/>
        </w:rPr>
        <w:t xml:space="preserve">SUMMIT was designed to answer exactly this question. It randomised 16,485 patients with moderate COPD (FEV1 50–70% predicted) and either established cardiovascular disease or heightened cardiovascular risk to inhaled fluticasone furoate, vilanterol, their combination, or placebo, with all-cause mortality as the primary endpoint [5]. The combination did not improve survival. It did not move the cardiovascular composite: hazard ratio 0.93 (0.75–1.14), with fluticasone furoate alone at 0.90 (0.72–1.11) and vilanterol alone at 0.99 (0.80–1.22). It did reduce moderate and severe exacerbations by 29% and hospitalised exacerbations by 27% [14]. The drug worked on the lung. It did nothing detectable to the heart.</w:t>
      </w:r>
    </w:p>
    <w:p w:rsidR="00000000" w:rsidDel="00000000" w:rsidP="00000000" w:rsidRDefault="00000000" w:rsidRPr="00000000" w14:paraId="0000001F">
      <w:pPr>
        <w:spacing w:line="276" w:lineRule="auto"/>
        <w:ind w:firstLine="360"/>
        <w:jc w:val="both"/>
        <w:rPr>
          <w:color w:val="000000"/>
        </w:rPr>
      </w:pPr>
      <w:r w:rsidDel="00000000" w:rsidR="00000000" w:rsidRPr="00000000">
        <w:rPr>
          <w:color w:val="000000"/>
          <w:rtl w:val="0"/>
        </w:rPr>
        <w:t xml:space="preserve">STATCOPE ran the experiment in reverse. Simvastatin, given to patients with COPD at risk of exacerbation, lowered cholesterol and had no effect on exacerbation rate or time to first exacerbation [6]. A systemic anti-inflammatory and lipid-lowering agent, delivered to the circulation, failed to reach the lung in any way that mattered.</w:t>
      </w:r>
    </w:p>
    <w:p w:rsidR="00000000" w:rsidDel="00000000" w:rsidP="00000000" w:rsidRDefault="00000000" w:rsidRPr="00000000" w14:paraId="00000020">
      <w:pPr>
        <w:spacing w:line="276" w:lineRule="auto"/>
        <w:ind w:firstLine="360"/>
        <w:jc w:val="both"/>
        <w:rPr>
          <w:color w:val="000000"/>
        </w:rPr>
      </w:pPr>
      <w:r w:rsidDel="00000000" w:rsidR="00000000" w:rsidRPr="00000000">
        <w:rPr>
          <w:color w:val="000000"/>
          <w:rtl w:val="0"/>
        </w:rPr>
        <w:t xml:space="preserve">The two nulls are more informative together than separately. If a spillover axis linked pulmonary and systemic inflammation strongly enough to drive atherothrombosis, then blocking it at either end should have produced something. Neither did. This is not an argument from a single underpowered trial; SUMMIT is one of the largest respiratory outcome trials ever conducted, and its cardiovascular confidence interval excludes any benefit larger than about 25% while comfortably including none at all.</w:t>
      </w:r>
    </w:p>
    <w:p w:rsidR="00000000" w:rsidDel="00000000" w:rsidP="00000000" w:rsidRDefault="00000000" w:rsidRPr="00000000" w14:paraId="00000021">
      <w:pPr>
        <w:spacing w:line="276" w:lineRule="auto"/>
        <w:ind w:firstLine="360"/>
        <w:jc w:val="both"/>
        <w:rPr>
          <w:color w:val="000000"/>
        </w:rPr>
      </w:pPr>
      <w:r w:rsidDel="00000000" w:rsidR="00000000" w:rsidRPr="00000000">
        <w:rPr>
          <w:color w:val="000000"/>
          <w:rtl w:val="0"/>
        </w:rPr>
        <w:t xml:space="preserve">The standard rescue is to say that inhaled corticosteroid does not reach the systemic compartment adequately. That rescue fails against STATCOPE, which delivered a systemic agent and still found nothing. The hypothesis is not underserved by pharmacology; it is unsupported by outcome.</w:t>
      </w:r>
    </w:p>
    <w:p w:rsidR="00000000" w:rsidDel="00000000" w:rsidP="00000000" w:rsidRDefault="00000000" w:rsidRPr="00000000" w14:paraId="00000022">
      <w:pPr>
        <w:pStyle w:val="Heading1"/>
        <w:keepNext w:val="1"/>
        <w:spacing w:after="100" w:before="280" w:line="276" w:lineRule="auto"/>
        <w:rPr>
          <w:color w:val="000000"/>
          <w:sz w:val="24"/>
          <w:szCs w:val="24"/>
        </w:rPr>
      </w:pPr>
      <w:r w:rsidDel="00000000" w:rsidR="00000000" w:rsidRPr="00000000">
        <w:rPr>
          <w:b w:val="1"/>
          <w:bCs w:val="1"/>
          <w:color w:val="000000"/>
          <w:sz w:val="24"/>
          <w:szCs w:val="24"/>
          <w:rtl w:val="0"/>
        </w:rPr>
        <w:t xml:space="preserve">5. The Chronic Association Is Largely Confounded</w:t>
      </w:r>
      <w:r w:rsidDel="00000000" w:rsidR="00000000" w:rsidRPr="00000000">
        <w:rPr>
          <w:rtl w:val="0"/>
        </w:rPr>
      </w:r>
    </w:p>
    <w:p w:rsidR="00000000" w:rsidDel="00000000" w:rsidP="00000000" w:rsidRDefault="00000000" w:rsidRPr="00000000" w14:paraId="00000023">
      <w:pPr>
        <w:spacing w:line="276" w:lineRule="auto"/>
        <w:ind w:firstLine="360"/>
        <w:jc w:val="both"/>
        <w:rPr>
          <w:color w:val="000000"/>
        </w:rPr>
      </w:pPr>
      <w:r w:rsidDel="00000000" w:rsidR="00000000" w:rsidRPr="00000000">
        <w:rPr>
          <w:color w:val="000000"/>
          <w:rtl w:val="0"/>
        </w:rPr>
        <w:t xml:space="preserve">Observational studies report that COPD carries two to five times the cardiovascular risk of its absence. Smoking causes COPD; smoking causes atherosclerosis. Age, adiposity, socioeconomic deprivation, physical inactivity and hypertension load onto both. The design cannot separate a shared cause from a causal chain, and adjustment cannot rescue it, because the adjustment set is precisely the set of variables that produce both diseases.</w:t>
      </w:r>
    </w:p>
    <w:p w:rsidR="00000000" w:rsidDel="00000000" w:rsidP="00000000" w:rsidRDefault="00000000" w:rsidRPr="00000000" w14:paraId="00000024">
      <w:pPr>
        <w:spacing w:line="276" w:lineRule="auto"/>
        <w:ind w:firstLine="360"/>
        <w:jc w:val="both"/>
        <w:rPr>
          <w:color w:val="000000"/>
        </w:rPr>
      </w:pPr>
      <w:r w:rsidDel="00000000" w:rsidR="00000000" w:rsidRPr="00000000">
        <w:rPr>
          <w:color w:val="000000"/>
          <w:rtl w:val="0"/>
        </w:rPr>
        <w:t xml:space="preserve">Mendelian randomization can, in principle, cut through this, and what it returns is sobering. Genetically predicted COPD is associated with coronary heart disease at an odds ratio of 1.004 (95% confidence interval 1.002–1.006) — nominally significant, biologically negligible — and multivariable analysis conditioning on body mass index, smoking initiation, smoking status and FEV1 removes even that [7]. Heart failure behaves differently, with an odds ratio of 1.117 (1.066–1.170) that survives; hypertension and stroke sit at 1.009 and 1.003 respectively. The pattern is not that COPD does nothing. It is that COPD does very little to the coronary artery specifically, once shared causes are accounted for.</w:t>
      </w:r>
    </w:p>
    <w:p w:rsidR="00000000" w:rsidDel="00000000" w:rsidP="00000000" w:rsidRDefault="00000000" w:rsidRPr="00000000" w14:paraId="00000025">
      <w:pPr>
        <w:spacing w:line="276" w:lineRule="auto"/>
        <w:ind w:firstLine="360"/>
        <w:jc w:val="both"/>
        <w:rPr>
          <w:color w:val="000000"/>
        </w:rPr>
      </w:pPr>
      <w:r w:rsidDel="00000000" w:rsidR="00000000" w:rsidRPr="00000000">
        <w:rPr>
          <w:color w:val="000000"/>
          <w:rtl w:val="0"/>
        </w:rPr>
        <w:t xml:space="preserve">The lung-function analyses sharpen the point. In a multivariable Mendelian randomization conditioning on height, body mass index and smoking, reduced forced vital capacity causes coronary artery disease (odds ratio 1.32 per standard deviation, 1.19–1.46), whereas reduced FEV1 does not (1.08, 0.89–1.30) [8]. COPD is defined by FEV1/FVC below 0.70 — that is, by airflow obstruction. The component that predicts coronary disease causally is the volume term, not the obstruction term, and the volume term is shared with restrictive physiology, cardiac size, thoracic geometry and fitness. This is not what the spillover hypothesis predicts. It is what confounding by body habitus and shared exposure looks like.</w:t>
      </w:r>
    </w:p>
    <w:p w:rsidR="00000000" w:rsidDel="00000000" w:rsidP="00000000" w:rsidRDefault="00000000" w:rsidRPr="00000000" w14:paraId="00000026">
      <w:pPr>
        <w:spacing w:line="276" w:lineRule="auto"/>
        <w:ind w:firstLine="360"/>
        <w:jc w:val="both"/>
        <w:rPr>
          <w:color w:val="000000"/>
        </w:rPr>
      </w:pPr>
      <w:r w:rsidDel="00000000" w:rsidR="00000000" w:rsidRPr="00000000">
        <w:rPr>
          <w:color w:val="000000"/>
          <w:rtl w:val="0"/>
        </w:rPr>
        <w:t xml:space="preserve">We would not rest the argument on Mendelian randomization alone. These analyses have real limitations: instrument strength varies, conditioning on heritable covariates such as height can itself introduce collider bias, and COPD instruments are inevitably entangled with smoking behaviour. But the direction of travel is consistent, and it is the same direction the randomized trials point.</w:t>
      </w:r>
    </w:p>
    <w:p w:rsidR="00000000" w:rsidDel="00000000" w:rsidP="00000000" w:rsidRDefault="00000000" w:rsidRPr="00000000" w14:paraId="00000027">
      <w:pPr>
        <w:pStyle w:val="Heading1"/>
        <w:keepNext w:val="1"/>
        <w:spacing w:after="100" w:before="280" w:line="276" w:lineRule="auto"/>
        <w:rPr>
          <w:color w:val="000000"/>
          <w:sz w:val="24"/>
          <w:szCs w:val="24"/>
        </w:rPr>
      </w:pPr>
      <w:r w:rsidDel="00000000" w:rsidR="00000000" w:rsidRPr="00000000">
        <w:rPr>
          <w:b w:val="1"/>
          <w:bCs w:val="1"/>
          <w:color w:val="000000"/>
          <w:sz w:val="24"/>
          <w:szCs w:val="24"/>
          <w:rtl w:val="0"/>
        </w:rPr>
        <w:t xml:space="preserve">6. The Exacerbation Is a Genuine Trigger</w:t>
      </w:r>
      <w:r w:rsidDel="00000000" w:rsidR="00000000" w:rsidRPr="00000000">
        <w:rPr>
          <w:rtl w:val="0"/>
        </w:rPr>
      </w:r>
    </w:p>
    <w:p w:rsidR="00000000" w:rsidDel="00000000" w:rsidP="00000000" w:rsidRDefault="00000000" w:rsidRPr="00000000" w14:paraId="00000028">
      <w:pPr>
        <w:spacing w:line="276" w:lineRule="auto"/>
        <w:ind w:firstLine="360"/>
        <w:jc w:val="both"/>
        <w:rPr>
          <w:color w:val="000000"/>
        </w:rPr>
      </w:pPr>
      <w:r w:rsidDel="00000000" w:rsidR="00000000" w:rsidRPr="00000000">
        <w:rPr>
          <w:color w:val="000000"/>
          <w:rtl w:val="0"/>
        </w:rPr>
        <w:t xml:space="preserve">Here the evidence reverses, and it does so under the most rigorous design available in observational epidemiology. In the self-controlled case series, each patient is compared with himself. Time-invariant characteristics — smoking history, genotype, sex, socioeconomic position, baseline comorbidity — cannot confound the comparison, because they are held constant by the design rather than by adjustment. Donaldson and colleagues applied this to 25,857 patients and found a 2.27-fold increase in myocardial infarction risk in the five days following exacerbation [15]. Rothnie and colleagues extended it to 5,696 patients with a first myocardial infarction or ischaemic stroke, and reported an incidence rate ratio of 2.58 (2.26–2.95) for infarction after severe exacerbation and 1.58 (1.46–1.71) after moderate exacerbation, with risk elevated across 91 days [9].</w:t>
      </w:r>
    </w:p>
    <w:p w:rsidR="00000000" w:rsidDel="00000000" w:rsidP="00000000" w:rsidRDefault="00000000" w:rsidRPr="00000000" w14:paraId="00000029">
      <w:pPr>
        <w:spacing w:line="276" w:lineRule="auto"/>
        <w:ind w:firstLine="360"/>
        <w:jc w:val="both"/>
        <w:rPr>
          <w:color w:val="000000"/>
        </w:rPr>
      </w:pPr>
      <w:r w:rsidDel="00000000" w:rsidR="00000000" w:rsidRPr="00000000">
        <w:rPr>
          <w:color w:val="000000"/>
          <w:rtl w:val="0"/>
        </w:rPr>
        <w:t xml:space="preserve">Three features of that result deserve emphasis. The association survives a design that removes the confounding which dominates the chronic literature. It is graded by exacerbation severity, which is what one expects of a trigger and not of a marker. And it is sharply time-locked, peaking within days and decaying over weeks — a signature that a decades-long atherogenic process simply cannot produce. Larger contemporary analyses, including the EXACOS-CV programme and recent population studies, reproduce the temporal shape while showing that some excess risk persists for a year or more [16-18].</w:t>
      </w:r>
    </w:p>
    <w:p w:rsidR="00000000" w:rsidDel="00000000" w:rsidP="00000000" w:rsidRDefault="00000000" w:rsidRPr="00000000" w14:paraId="0000002A">
      <w:pPr>
        <w:spacing w:line="276" w:lineRule="auto"/>
        <w:ind w:firstLine="360"/>
        <w:jc w:val="both"/>
        <w:rPr>
          <w:color w:val="000000"/>
        </w:rPr>
      </w:pPr>
      <w:r w:rsidDel="00000000" w:rsidR="00000000" w:rsidRPr="00000000">
        <w:rPr>
          <w:color w:val="000000"/>
          <w:rtl w:val="0"/>
        </w:rPr>
        <w:t xml:space="preserve">What could plausibly precipitate an infarction within five days? Not accelerated atherosclerosis. The candidates are physiological and thrombotic: hypoxaemia and hypercapnia; tachycardia and increased myocardial oxygen demand; dynamic hyperinflation reducing venous return and left ventricular preload; sympathetic and catecholamine surge; increased platelet–monocyte aggregation and a prothrombotic plasma shift; and, in a minority, a genuine inflammatory burst sufficient to destabilise a cap that was already close to failing [4,19]. The first five of these are supply–demand mechanisms. Only the last is plaque rupture.</w:t>
      </w:r>
    </w:p>
    <w:p w:rsidR="00000000" w:rsidDel="00000000" w:rsidP="00000000" w:rsidRDefault="00000000" w:rsidRPr="00000000" w14:paraId="0000002B">
      <w:pPr>
        <w:pStyle w:val="Heading1"/>
        <w:keepNext w:val="1"/>
        <w:spacing w:after="100" w:before="280" w:line="276" w:lineRule="auto"/>
        <w:rPr>
          <w:color w:val="000000"/>
          <w:sz w:val="24"/>
          <w:szCs w:val="24"/>
        </w:rPr>
      </w:pPr>
      <w:r w:rsidDel="00000000" w:rsidR="00000000" w:rsidRPr="00000000">
        <w:rPr>
          <w:b w:val="1"/>
          <w:bCs w:val="1"/>
          <w:color w:val="000000"/>
          <w:sz w:val="24"/>
          <w:szCs w:val="24"/>
          <w:rtl w:val="0"/>
        </w:rPr>
        <w:t xml:space="preserve">7. The Two-Clock Model</w:t>
      </w:r>
      <w:r w:rsidDel="00000000" w:rsidR="00000000" w:rsidRPr="00000000">
        <w:rPr>
          <w:rtl w:val="0"/>
        </w:rPr>
      </w:r>
    </w:p>
    <w:p w:rsidR="00000000" w:rsidDel="00000000" w:rsidP="00000000" w:rsidRDefault="00000000" w:rsidRPr="00000000" w14:paraId="0000002C">
      <w:pPr>
        <w:spacing w:line="276" w:lineRule="auto"/>
        <w:ind w:firstLine="360"/>
        <w:jc w:val="both"/>
        <w:rPr>
          <w:color w:val="000000"/>
        </w:rPr>
      </w:pPr>
      <w:r w:rsidDel="00000000" w:rsidR="00000000" w:rsidRPr="00000000">
        <w:rPr>
          <w:color w:val="000000"/>
          <w:rtl w:val="0"/>
        </w:rPr>
        <w:t xml:space="preserve">Assembling these observations gives a model with two channels rather than one pathway. The slow clock runs over decades. Shared exposures — tobacco above all, with ageing, adiposity, dyslipidaemia and hypertension — build an atherosclerotic and myocardial substrate. COPD accompanies this process because it shares its causes, and contributes to it modestly if at all through inflammation. The evidence for this channel comes from cohorts, and it is confounded; the genetic evidence that survives is close to null for the coronary artery [7,8]. The slow clock is modified by conventional cardiovascular prevention.</w:t>
      </w:r>
    </w:p>
    <w:p w:rsidR="00000000" w:rsidDel="00000000" w:rsidP="00000000" w:rsidRDefault="00000000" w:rsidRPr="00000000" w14:paraId="0000002D">
      <w:pPr>
        <w:spacing w:line="276" w:lineRule="auto"/>
        <w:ind w:firstLine="360"/>
        <w:jc w:val="both"/>
        <w:rPr>
          <w:color w:val="000000"/>
        </w:rPr>
      </w:pPr>
      <w:r w:rsidDel="00000000" w:rsidR="00000000" w:rsidRPr="00000000">
        <w:rPr>
          <w:color w:val="000000"/>
          <w:rtl w:val="0"/>
        </w:rPr>
        <w:t xml:space="preserve">The fast clock runs over days. An exacerbation delivers an acute physiological insult onto whatever substrate exists, and precipitates an event. The evidence for this channel comes from designs immune to time-invariant confounding, and it is robust and dose-graded [9,15]. The fast clock is modified by exacerbation prevention and by acute physiological management, and not at all by lipid lowering.</w:t>
      </w:r>
    </w:p>
    <w:p w:rsidR="00000000" w:rsidDel="00000000" w:rsidP="00000000" w:rsidRDefault="00000000" w:rsidRPr="00000000" w14:paraId="0000002E">
      <w:pPr>
        <w:spacing w:line="276" w:lineRule="auto"/>
        <w:ind w:firstLine="360"/>
        <w:jc w:val="both"/>
        <w:rPr>
          <w:color w:val="000000"/>
        </w:rPr>
      </w:pPr>
      <w:r w:rsidDel="00000000" w:rsidR="00000000" w:rsidRPr="00000000">
        <w:rPr>
          <w:color w:val="000000"/>
          <w:rtl w:val="0"/>
        </w:rPr>
        <w:t xml:space="preserve">The clocks generate different events. Slow-clock events are type 1 myocardial infarction — plaque rupture with atherothrombosis, the substrate of the acute coronary syndrome pathway. Fast-clock events are predominantly type 2 myocardial infarction and acute myocardial injury, arising from supply–demand imbalance without atherothrombosis [20]. This is not a semantic distinction. It determines whether dual antiplatelet therapy and revascularisation help or harm.</w:t>
      </w:r>
    </w:p>
    <w:p w:rsidR="00000000" w:rsidDel="00000000" w:rsidP="00000000" w:rsidRDefault="00000000" w:rsidRPr="00000000" w14:paraId="0000002F">
      <w:pPr>
        <w:spacing w:line="276" w:lineRule="auto"/>
        <w:ind w:firstLine="360"/>
        <w:jc w:val="both"/>
        <w:rPr>
          <w:color w:val="000000"/>
        </w:rPr>
      </w:pPr>
      <w:r w:rsidDel="00000000" w:rsidR="00000000" w:rsidRPr="00000000">
        <w:rPr>
          <w:color w:val="000000"/>
          <w:rtl w:val="0"/>
        </w:rPr>
        <w:t xml:space="preserve">The model's economy is its argument. One asymmetry — the chronic channel confounded, the acute channel real — accounts for the whole discordant literature without requiring a separate excuse for each anomaly. Table 1 sets out the two clocks; Table 2 arranges the evidence by design.</w:t>
      </w:r>
    </w:p>
    <w:p w:rsidR="00000000" w:rsidDel="00000000" w:rsidP="00000000" w:rsidRDefault="00000000" w:rsidRPr="00000000" w14:paraId="00000030">
      <w:pPr>
        <w:keepNext w:val="1"/>
        <w:spacing w:after="80" w:before="220" w:line="276" w:lineRule="auto"/>
        <w:rPr>
          <w:color w:val="000000"/>
        </w:rPr>
      </w:pPr>
      <w:r w:rsidDel="00000000" w:rsidR="00000000" w:rsidRPr="00000000">
        <w:rPr>
          <w:b w:val="1"/>
          <w:bCs w:val="1"/>
          <w:color w:val="000000"/>
          <w:rtl w:val="0"/>
        </w:rPr>
        <w:t xml:space="preserve">Table 1. </w:t>
      </w:r>
      <w:r w:rsidDel="00000000" w:rsidR="00000000" w:rsidRPr="00000000">
        <w:rPr>
          <w:color w:val="000000"/>
          <w:rtl w:val="0"/>
        </w:rPr>
        <w:t xml:space="preserve">The two clocks: mechanism, evidence, dominant event type, and modifiability.</w:t>
      </w:r>
    </w:p>
    <w:tbl>
      <w:tblPr>
        <w:tblStyle w:val="Table1"/>
        <w:tblW w:w="9360.0" w:type="dxa"/>
        <w:jc w:val="left"/>
        <w:tblBorders>
          <w:top w:color="7f7f7f" w:space="0" w:sz="4" w:val="single"/>
          <w:bottom w:color="7f7f7f" w:space="0" w:sz="4" w:val="single"/>
        </w:tblBorders>
        <w:tblLayout w:type="fixed"/>
        <w:tblLook w:val="04A0"/>
      </w:tblPr>
      <w:tblGrid>
        <w:gridCol w:w="1510"/>
        <w:gridCol w:w="3895"/>
        <w:gridCol w:w="3955"/>
        <w:tblGridChange w:id="0">
          <w:tblGrid>
            <w:gridCol w:w="1510"/>
            <w:gridCol w:w="3895"/>
            <w:gridCol w:w="3955"/>
          </w:tblGrid>
        </w:tblGridChange>
      </w:tblGrid>
      <w:tr>
        <w:trPr>
          <w:cantSplit w:val="0"/>
          <w:tblHeader w:val="0"/>
        </w:trPr>
        <w:tc>
          <w:tcPr/>
          <w:p w:rsidR="00000000" w:rsidDel="00000000" w:rsidP="00000000" w:rsidRDefault="00000000" w:rsidRPr="00000000" w14:paraId="00000031">
            <w:pPr>
              <w:spacing w:after="20" w:before="20" w:lineRule="auto"/>
              <w:jc w:val="center"/>
              <w:rPr>
                <w:color w:val="000000"/>
              </w:rPr>
            </w:pPr>
            <w:r w:rsidDel="00000000" w:rsidR="00000000" w:rsidRPr="00000000">
              <w:rPr>
                <w:color w:val="000000"/>
                <w:rtl w:val="0"/>
              </w:rPr>
              <w:t xml:space="preserve">Dimension</w:t>
            </w:r>
          </w:p>
        </w:tc>
        <w:tc>
          <w:tcPr/>
          <w:p w:rsidR="00000000" w:rsidDel="00000000" w:rsidP="00000000" w:rsidRDefault="00000000" w:rsidRPr="00000000" w14:paraId="00000032">
            <w:pPr>
              <w:spacing w:after="20" w:before="20" w:lineRule="auto"/>
              <w:jc w:val="center"/>
              <w:rPr>
                <w:color w:val="000000"/>
              </w:rPr>
            </w:pPr>
            <w:r w:rsidDel="00000000" w:rsidR="00000000" w:rsidRPr="00000000">
              <w:rPr>
                <w:color w:val="000000"/>
                <w:rtl w:val="0"/>
              </w:rPr>
              <w:t xml:space="preserve">Slow clock (substrate)</w:t>
            </w:r>
          </w:p>
        </w:tc>
        <w:tc>
          <w:tcPr/>
          <w:p w:rsidR="00000000" w:rsidDel="00000000" w:rsidP="00000000" w:rsidRDefault="00000000" w:rsidRPr="00000000" w14:paraId="00000033">
            <w:pPr>
              <w:spacing w:after="20" w:before="20" w:lineRule="auto"/>
              <w:jc w:val="center"/>
              <w:rPr>
                <w:color w:val="000000"/>
              </w:rPr>
            </w:pPr>
            <w:r w:rsidDel="00000000" w:rsidR="00000000" w:rsidRPr="00000000">
              <w:rPr>
                <w:color w:val="000000"/>
                <w:rtl w:val="0"/>
              </w:rPr>
              <w:t xml:space="preserve">Fast clock (trigger)</w:t>
            </w:r>
          </w:p>
        </w:tc>
      </w:tr>
      <w:tr>
        <w:trPr>
          <w:cantSplit w:val="0"/>
          <w:tblHeader w:val="0"/>
        </w:trPr>
        <w:tc>
          <w:tcPr/>
          <w:p w:rsidR="00000000" w:rsidDel="00000000" w:rsidP="00000000" w:rsidRDefault="00000000" w:rsidRPr="00000000" w14:paraId="00000034">
            <w:pPr>
              <w:spacing w:after="20" w:before="20" w:lineRule="auto"/>
              <w:rPr>
                <w:color w:val="000000"/>
              </w:rPr>
            </w:pPr>
            <w:r w:rsidDel="00000000" w:rsidR="00000000" w:rsidRPr="00000000">
              <w:rPr>
                <w:b w:val="0"/>
                <w:bCs w:val="0"/>
                <w:color w:val="000000"/>
                <w:rtl w:val="0"/>
              </w:rPr>
              <w:t xml:space="preserve">Timescale</w:t>
            </w:r>
            <w:r w:rsidDel="00000000" w:rsidR="00000000" w:rsidRPr="00000000">
              <w:rPr>
                <w:rtl w:val="0"/>
              </w:rPr>
            </w:r>
          </w:p>
        </w:tc>
        <w:tc>
          <w:tcPr/>
          <w:p w:rsidR="00000000" w:rsidDel="00000000" w:rsidP="00000000" w:rsidRDefault="00000000" w:rsidRPr="00000000" w14:paraId="00000035">
            <w:pPr>
              <w:spacing w:after="20" w:before="20" w:lineRule="auto"/>
              <w:rPr>
                <w:color w:val="000000"/>
              </w:rPr>
            </w:pPr>
            <w:r w:rsidDel="00000000" w:rsidR="00000000" w:rsidRPr="00000000">
              <w:rPr>
                <w:color w:val="000000"/>
                <w:rtl w:val="0"/>
              </w:rPr>
              <w:t xml:space="preserve">Decades</w:t>
            </w:r>
          </w:p>
        </w:tc>
        <w:tc>
          <w:tcPr/>
          <w:p w:rsidR="00000000" w:rsidDel="00000000" w:rsidP="00000000" w:rsidRDefault="00000000" w:rsidRPr="00000000" w14:paraId="00000036">
            <w:pPr>
              <w:spacing w:after="20" w:before="20" w:lineRule="auto"/>
              <w:rPr>
                <w:color w:val="000000"/>
              </w:rPr>
            </w:pPr>
            <w:r w:rsidDel="00000000" w:rsidR="00000000" w:rsidRPr="00000000">
              <w:rPr>
                <w:color w:val="000000"/>
                <w:rtl w:val="0"/>
              </w:rPr>
              <w:t xml:space="preserve">Days to weeks; risk peaks within 1–5 days and decays over ~3 months</w:t>
            </w:r>
          </w:p>
        </w:tc>
      </w:tr>
      <w:tr>
        <w:trPr>
          <w:cantSplit w:val="0"/>
          <w:tblHeader w:val="0"/>
        </w:trPr>
        <w:tc>
          <w:tcPr/>
          <w:p w:rsidR="00000000" w:rsidDel="00000000" w:rsidP="00000000" w:rsidRDefault="00000000" w:rsidRPr="00000000" w14:paraId="00000037">
            <w:pPr>
              <w:spacing w:after="20" w:before="20" w:lineRule="auto"/>
              <w:rPr>
                <w:color w:val="000000"/>
              </w:rPr>
            </w:pPr>
            <w:r w:rsidDel="00000000" w:rsidR="00000000" w:rsidRPr="00000000">
              <w:rPr>
                <w:b w:val="0"/>
                <w:bCs w:val="0"/>
                <w:color w:val="000000"/>
                <w:rtl w:val="0"/>
              </w:rPr>
              <w:t xml:space="preserve">Dominant driver</w:t>
            </w:r>
            <w:r w:rsidDel="00000000" w:rsidR="00000000" w:rsidRPr="00000000">
              <w:rPr>
                <w:rtl w:val="0"/>
              </w:rPr>
            </w:r>
          </w:p>
        </w:tc>
        <w:tc>
          <w:tcPr/>
          <w:p w:rsidR="00000000" w:rsidDel="00000000" w:rsidP="00000000" w:rsidRDefault="00000000" w:rsidRPr="00000000" w14:paraId="00000038">
            <w:pPr>
              <w:spacing w:after="20" w:before="20" w:lineRule="auto"/>
              <w:rPr>
                <w:color w:val="000000"/>
              </w:rPr>
            </w:pPr>
            <w:r w:rsidDel="00000000" w:rsidR="00000000" w:rsidRPr="00000000">
              <w:rPr>
                <w:color w:val="000000"/>
                <w:rtl w:val="0"/>
              </w:rPr>
              <w:t xml:space="preserve">Exposures shared with cardiovascular disease: tobacco, ageing, adiposity, dyslipidaemia, hypertension</w:t>
            </w:r>
          </w:p>
        </w:tc>
        <w:tc>
          <w:tcPr/>
          <w:p w:rsidR="00000000" w:rsidDel="00000000" w:rsidP="00000000" w:rsidRDefault="00000000" w:rsidRPr="00000000" w14:paraId="00000039">
            <w:pPr>
              <w:spacing w:after="20" w:before="20" w:lineRule="auto"/>
              <w:rPr>
                <w:color w:val="000000"/>
              </w:rPr>
            </w:pPr>
            <w:r w:rsidDel="00000000" w:rsidR="00000000" w:rsidRPr="00000000">
              <w:rPr>
                <w:color w:val="000000"/>
                <w:rtl w:val="0"/>
              </w:rPr>
              <w:t xml:space="preserve">Exacerbation physiology: hypoxaemia, tachycardia, dynamic hyperinflation, sympathetic surge, prothrombotic shift, cytokine burst</w:t>
            </w:r>
          </w:p>
        </w:tc>
      </w:tr>
      <w:tr>
        <w:trPr>
          <w:cantSplit w:val="0"/>
          <w:tblHeader w:val="0"/>
        </w:trPr>
        <w:tc>
          <w:tcPr/>
          <w:p w:rsidR="00000000" w:rsidDel="00000000" w:rsidP="00000000" w:rsidRDefault="00000000" w:rsidRPr="00000000" w14:paraId="0000003A">
            <w:pPr>
              <w:spacing w:after="20" w:before="20" w:lineRule="auto"/>
              <w:rPr>
                <w:color w:val="000000"/>
              </w:rPr>
            </w:pPr>
            <w:r w:rsidDel="00000000" w:rsidR="00000000" w:rsidRPr="00000000">
              <w:rPr>
                <w:b w:val="0"/>
                <w:bCs w:val="0"/>
                <w:color w:val="000000"/>
                <w:rtl w:val="0"/>
              </w:rPr>
              <w:t xml:space="preserve">Role of pulmonary inflammation</w:t>
            </w:r>
            <w:r w:rsidDel="00000000" w:rsidR="00000000" w:rsidRPr="00000000">
              <w:rPr>
                <w:rtl w:val="0"/>
              </w:rPr>
            </w:r>
          </w:p>
        </w:tc>
        <w:tc>
          <w:tcPr/>
          <w:p w:rsidR="00000000" w:rsidDel="00000000" w:rsidP="00000000" w:rsidRDefault="00000000" w:rsidRPr="00000000" w14:paraId="0000003B">
            <w:pPr>
              <w:spacing w:after="20" w:before="20" w:lineRule="auto"/>
              <w:rPr>
                <w:color w:val="000000"/>
              </w:rPr>
            </w:pPr>
            <w:r w:rsidDel="00000000" w:rsidR="00000000" w:rsidRPr="00000000">
              <w:rPr>
                <w:color w:val="000000"/>
                <w:rtl w:val="0"/>
              </w:rPr>
              <w:t xml:space="preserve">Modest at most; not established as causal for the coronary artery</w:t>
            </w:r>
          </w:p>
        </w:tc>
        <w:tc>
          <w:tcPr/>
          <w:p w:rsidR="00000000" w:rsidDel="00000000" w:rsidP="00000000" w:rsidRDefault="00000000" w:rsidRPr="00000000" w14:paraId="0000003C">
            <w:pPr>
              <w:spacing w:after="20" w:before="20" w:lineRule="auto"/>
              <w:rPr>
                <w:color w:val="000000"/>
              </w:rPr>
            </w:pPr>
            <w:r w:rsidDel="00000000" w:rsidR="00000000" w:rsidRPr="00000000">
              <w:rPr>
                <w:color w:val="000000"/>
                <w:rtl w:val="0"/>
              </w:rPr>
              <w:t xml:space="preserve">Contributory, but one mechanism among several and not the fastest</w:t>
            </w:r>
          </w:p>
        </w:tc>
      </w:tr>
      <w:tr>
        <w:trPr>
          <w:cantSplit w:val="0"/>
          <w:tblHeader w:val="0"/>
        </w:trPr>
        <w:tc>
          <w:tcPr/>
          <w:p w:rsidR="00000000" w:rsidDel="00000000" w:rsidP="00000000" w:rsidRDefault="00000000" w:rsidRPr="00000000" w14:paraId="0000003D">
            <w:pPr>
              <w:spacing w:after="20" w:before="20" w:lineRule="auto"/>
              <w:rPr>
                <w:color w:val="000000"/>
              </w:rPr>
            </w:pPr>
            <w:r w:rsidDel="00000000" w:rsidR="00000000" w:rsidRPr="00000000">
              <w:rPr>
                <w:b w:val="0"/>
                <w:bCs w:val="0"/>
                <w:color w:val="000000"/>
                <w:rtl w:val="0"/>
              </w:rPr>
              <w:t xml:space="preserve">Best evidence design</w:t>
            </w:r>
            <w:r w:rsidDel="00000000" w:rsidR="00000000" w:rsidRPr="00000000">
              <w:rPr>
                <w:rtl w:val="0"/>
              </w:rPr>
            </w:r>
          </w:p>
        </w:tc>
        <w:tc>
          <w:tcPr/>
          <w:p w:rsidR="00000000" w:rsidDel="00000000" w:rsidP="00000000" w:rsidRDefault="00000000" w:rsidRPr="00000000" w14:paraId="0000003E">
            <w:pPr>
              <w:spacing w:after="20" w:before="20" w:lineRule="auto"/>
              <w:rPr>
                <w:color w:val="000000"/>
              </w:rPr>
            </w:pPr>
            <w:r w:rsidDel="00000000" w:rsidR="00000000" w:rsidRPr="00000000">
              <w:rPr>
                <w:color w:val="000000"/>
                <w:rtl w:val="0"/>
              </w:rPr>
              <w:t xml:space="preserve">Cohort (confounded); Mendelian randomization (COPD→CHD OR 1.004, attenuates in MVMR; FEV1→CAD null after height adjustment)</w:t>
            </w:r>
          </w:p>
        </w:tc>
        <w:tc>
          <w:tcPr/>
          <w:p w:rsidR="00000000" w:rsidDel="00000000" w:rsidP="00000000" w:rsidRDefault="00000000" w:rsidRPr="00000000" w14:paraId="0000003F">
            <w:pPr>
              <w:spacing w:after="20" w:before="20" w:lineRule="auto"/>
              <w:rPr>
                <w:color w:val="000000"/>
              </w:rPr>
            </w:pPr>
            <w:r w:rsidDel="00000000" w:rsidR="00000000" w:rsidRPr="00000000">
              <w:rPr>
                <w:color w:val="000000"/>
                <w:rtl w:val="0"/>
              </w:rPr>
              <w:t xml:space="preserve">Self-controlled case series (removes time-invariant confounding by construction): MI IRR 2.58 severe, 1.58 moderate</w:t>
            </w:r>
          </w:p>
        </w:tc>
      </w:tr>
      <w:tr>
        <w:trPr>
          <w:cantSplit w:val="0"/>
          <w:tblHeader w:val="0"/>
        </w:trPr>
        <w:tc>
          <w:tcPr/>
          <w:p w:rsidR="00000000" w:rsidDel="00000000" w:rsidP="00000000" w:rsidRDefault="00000000" w:rsidRPr="00000000" w14:paraId="00000040">
            <w:pPr>
              <w:spacing w:after="20" w:before="20" w:lineRule="auto"/>
              <w:rPr>
                <w:color w:val="000000"/>
              </w:rPr>
            </w:pPr>
            <w:r w:rsidDel="00000000" w:rsidR="00000000" w:rsidRPr="00000000">
              <w:rPr>
                <w:b w:val="0"/>
                <w:bCs w:val="0"/>
                <w:color w:val="000000"/>
                <w:rtl w:val="0"/>
              </w:rPr>
              <w:t xml:space="preserve">Dominant event type</w:t>
            </w:r>
            <w:r w:rsidDel="00000000" w:rsidR="00000000" w:rsidRPr="00000000">
              <w:rPr>
                <w:rtl w:val="0"/>
              </w:rPr>
            </w:r>
          </w:p>
        </w:tc>
        <w:tc>
          <w:tcPr/>
          <w:p w:rsidR="00000000" w:rsidDel="00000000" w:rsidP="00000000" w:rsidRDefault="00000000" w:rsidRPr="00000000" w14:paraId="00000041">
            <w:pPr>
              <w:spacing w:after="20" w:before="20" w:lineRule="auto"/>
              <w:rPr>
                <w:color w:val="000000"/>
              </w:rPr>
            </w:pPr>
            <w:r w:rsidDel="00000000" w:rsidR="00000000" w:rsidRPr="00000000">
              <w:rPr>
                <w:color w:val="000000"/>
                <w:rtl w:val="0"/>
              </w:rPr>
              <w:t xml:space="preserve">Type 1 myocardial infarction (plaque rupture, atherothrombosis)</w:t>
            </w:r>
          </w:p>
        </w:tc>
        <w:tc>
          <w:tcPr/>
          <w:p w:rsidR="00000000" w:rsidDel="00000000" w:rsidP="00000000" w:rsidRDefault="00000000" w:rsidRPr="00000000" w14:paraId="00000042">
            <w:pPr>
              <w:spacing w:after="20" w:before="20" w:lineRule="auto"/>
              <w:rPr>
                <w:color w:val="000000"/>
              </w:rPr>
            </w:pPr>
            <w:r w:rsidDel="00000000" w:rsidR="00000000" w:rsidRPr="00000000">
              <w:rPr>
                <w:color w:val="000000"/>
                <w:rtl w:val="0"/>
              </w:rPr>
              <w:t xml:space="preserve">Type 2 myocardial infarction and acute myocardial injury </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type 1</w:t>
            </w:r>
          </w:p>
        </w:tc>
      </w:tr>
      <w:tr>
        <w:trPr>
          <w:cantSplit w:val="0"/>
          <w:tblHeader w:val="0"/>
        </w:trPr>
        <w:tc>
          <w:tcPr/>
          <w:p w:rsidR="00000000" w:rsidDel="00000000" w:rsidP="00000000" w:rsidRDefault="00000000" w:rsidRPr="00000000" w14:paraId="00000043">
            <w:pPr>
              <w:spacing w:after="20" w:before="20" w:lineRule="auto"/>
              <w:rPr>
                <w:color w:val="000000"/>
              </w:rPr>
            </w:pPr>
            <w:r w:rsidDel="00000000" w:rsidR="00000000" w:rsidRPr="00000000">
              <w:rPr>
                <w:b w:val="0"/>
                <w:bCs w:val="0"/>
                <w:color w:val="000000"/>
                <w:rtl w:val="0"/>
              </w:rPr>
              <w:t xml:space="preserve">What modifies it</w:t>
            </w:r>
            <w:r w:rsidDel="00000000" w:rsidR="00000000" w:rsidRPr="00000000">
              <w:rPr>
                <w:rtl w:val="0"/>
              </w:rPr>
            </w:r>
          </w:p>
        </w:tc>
        <w:tc>
          <w:tcPr/>
          <w:p w:rsidR="00000000" w:rsidDel="00000000" w:rsidP="00000000" w:rsidRDefault="00000000" w:rsidRPr="00000000" w14:paraId="00000044">
            <w:pPr>
              <w:spacing w:after="20" w:before="20" w:lineRule="auto"/>
              <w:rPr>
                <w:color w:val="000000"/>
              </w:rPr>
            </w:pPr>
            <w:r w:rsidDel="00000000" w:rsidR="00000000" w:rsidRPr="00000000">
              <w:rPr>
                <w:color w:val="000000"/>
                <w:rtl w:val="0"/>
              </w:rPr>
              <w:t xml:space="preserve">Smoking cessation, lipid lowering, blood-pressure control, guideline-directed secondary prevention</w:t>
            </w:r>
          </w:p>
        </w:tc>
        <w:tc>
          <w:tcPr/>
          <w:p w:rsidR="00000000" w:rsidDel="00000000" w:rsidP="00000000" w:rsidRDefault="00000000" w:rsidRPr="00000000" w14:paraId="00000045">
            <w:pPr>
              <w:spacing w:after="20" w:before="20" w:lineRule="auto"/>
              <w:rPr>
                <w:color w:val="000000"/>
              </w:rPr>
            </w:pPr>
            <w:r w:rsidDel="00000000" w:rsidR="00000000" w:rsidRPr="00000000">
              <w:rPr>
                <w:color w:val="000000"/>
                <w:rtl w:val="0"/>
              </w:rPr>
              <w:t xml:space="preserve">Exacerbation prevention (vaccination, inhaled therapy, pulmonary rehabilitation); acute oxygenation, rate and volume management</w:t>
            </w:r>
          </w:p>
        </w:tc>
      </w:tr>
      <w:tr>
        <w:trPr>
          <w:cantSplit w:val="0"/>
          <w:tblHeader w:val="0"/>
        </w:trPr>
        <w:tc>
          <w:tcPr/>
          <w:p w:rsidR="00000000" w:rsidDel="00000000" w:rsidP="00000000" w:rsidRDefault="00000000" w:rsidRPr="00000000" w14:paraId="00000046">
            <w:pPr>
              <w:spacing w:after="20" w:before="20" w:lineRule="auto"/>
              <w:rPr>
                <w:color w:val="000000"/>
              </w:rPr>
            </w:pPr>
            <w:r w:rsidDel="00000000" w:rsidR="00000000" w:rsidRPr="00000000">
              <w:rPr>
                <w:b w:val="0"/>
                <w:bCs w:val="0"/>
                <w:color w:val="000000"/>
                <w:rtl w:val="0"/>
              </w:rPr>
              <w:t xml:space="preserve">What does not</w:t>
            </w:r>
            <w:r w:rsidDel="00000000" w:rsidR="00000000" w:rsidRPr="00000000">
              <w:rPr>
                <w:rtl w:val="0"/>
              </w:rPr>
            </w:r>
          </w:p>
        </w:tc>
        <w:tc>
          <w:tcPr/>
          <w:p w:rsidR="00000000" w:rsidDel="00000000" w:rsidP="00000000" w:rsidRDefault="00000000" w:rsidRPr="00000000" w14:paraId="00000047">
            <w:pPr>
              <w:spacing w:after="20" w:before="20" w:lineRule="auto"/>
              <w:rPr>
                <w:color w:val="000000"/>
              </w:rPr>
            </w:pPr>
            <w:r w:rsidDel="00000000" w:rsidR="00000000" w:rsidRPr="00000000">
              <w:rPr>
                <w:color w:val="000000"/>
                <w:rtl w:val="0"/>
              </w:rPr>
              <w:t xml:space="preserve">Inhaled corticosteroid (SUMMIT cardiovascular composite HR 0.93)</w:t>
            </w:r>
          </w:p>
        </w:tc>
        <w:tc>
          <w:tcPr/>
          <w:p w:rsidR="00000000" w:rsidDel="00000000" w:rsidP="00000000" w:rsidRDefault="00000000" w:rsidRPr="00000000" w14:paraId="00000048">
            <w:pPr>
              <w:spacing w:after="20" w:before="20" w:lineRule="auto"/>
              <w:rPr>
                <w:color w:val="000000"/>
              </w:rPr>
            </w:pPr>
            <w:r w:rsidDel="00000000" w:rsidR="00000000" w:rsidRPr="00000000">
              <w:rPr>
                <w:color w:val="000000"/>
                <w:rtl w:val="0"/>
              </w:rPr>
              <w:t xml:space="preserve">Statins (STATCOPE null for exacerbations); β-blockade without a cardiac indication (BLOCK-COPD)</w:t>
            </w:r>
          </w:p>
        </w:tc>
      </w:tr>
    </w:tbl>
    <w:p w:rsidR="00000000" w:rsidDel="00000000" w:rsidP="00000000" w:rsidRDefault="00000000" w:rsidRPr="00000000" w14:paraId="00000049">
      <w:pPr>
        <w:keepNext w:val="1"/>
        <w:spacing w:after="80" w:before="220" w:line="276" w:lineRule="auto"/>
        <w:rPr>
          <w:color w:val="000000"/>
        </w:rPr>
      </w:pPr>
      <w:r w:rsidDel="00000000" w:rsidR="00000000" w:rsidRPr="00000000">
        <w:rPr>
          <w:b w:val="1"/>
          <w:bCs w:val="1"/>
          <w:color w:val="000000"/>
          <w:rtl w:val="0"/>
        </w:rPr>
        <w:t xml:space="preserve">Table 2. </w:t>
      </w:r>
      <w:r w:rsidDel="00000000" w:rsidR="00000000" w:rsidRPr="00000000">
        <w:rPr>
          <w:color w:val="000000"/>
          <w:rtl w:val="0"/>
        </w:rPr>
        <w:t xml:space="preserve">Evidence for the COPD–coronary association arranged by design and by the confounding each design can remove.</w:t>
      </w:r>
    </w:p>
    <w:tbl>
      <w:tblPr>
        <w:tblStyle w:val="Table2"/>
        <w:tblW w:w="9360.0" w:type="dxa"/>
        <w:jc w:val="left"/>
        <w:tblBorders>
          <w:top w:color="7f7f7f" w:space="0" w:sz="4" w:val="single"/>
          <w:bottom w:color="7f7f7f" w:space="0" w:sz="4" w:val="single"/>
        </w:tblBorders>
        <w:tblLayout w:type="fixed"/>
        <w:tblLook w:val="04A0"/>
      </w:tblPr>
      <w:tblGrid>
        <w:gridCol w:w="1656"/>
        <w:gridCol w:w="1536"/>
        <w:gridCol w:w="2245"/>
        <w:gridCol w:w="1496"/>
        <w:gridCol w:w="2427"/>
        <w:tblGridChange w:id="0">
          <w:tblGrid>
            <w:gridCol w:w="1656"/>
            <w:gridCol w:w="1536"/>
            <w:gridCol w:w="2245"/>
            <w:gridCol w:w="1496"/>
            <w:gridCol w:w="2427"/>
          </w:tblGrid>
        </w:tblGridChange>
      </w:tblGrid>
      <w:tr>
        <w:trPr>
          <w:cantSplit w:val="0"/>
          <w:tblHeader w:val="0"/>
        </w:trPr>
        <w:tc>
          <w:tcPr>
            <w:vAlign w:val="center"/>
          </w:tcPr>
          <w:p w:rsidR="00000000" w:rsidDel="00000000" w:rsidP="00000000" w:rsidRDefault="00000000" w:rsidRPr="00000000" w14:paraId="0000004A">
            <w:pPr>
              <w:spacing w:after="20" w:before="20" w:lineRule="auto"/>
              <w:jc w:val="center"/>
              <w:rPr>
                <w:color w:val="000000"/>
              </w:rPr>
            </w:pPr>
            <w:r w:rsidDel="00000000" w:rsidR="00000000" w:rsidRPr="00000000">
              <w:rPr>
                <w:color w:val="000000"/>
                <w:rtl w:val="0"/>
              </w:rPr>
              <w:t xml:space="preserve">Design</w:t>
            </w:r>
          </w:p>
        </w:tc>
        <w:tc>
          <w:tcPr>
            <w:vAlign w:val="center"/>
          </w:tcPr>
          <w:p w:rsidR="00000000" w:rsidDel="00000000" w:rsidP="00000000" w:rsidRDefault="00000000" w:rsidRPr="00000000" w14:paraId="0000004B">
            <w:pPr>
              <w:spacing w:after="20" w:before="20" w:lineRule="auto"/>
              <w:jc w:val="center"/>
              <w:rPr>
                <w:color w:val="000000"/>
              </w:rPr>
            </w:pPr>
            <w:r w:rsidDel="00000000" w:rsidR="00000000" w:rsidRPr="00000000">
              <w:rPr>
                <w:color w:val="000000"/>
                <w:rtl w:val="0"/>
              </w:rPr>
              <w:t xml:space="preserve">What it can remove</w:t>
            </w:r>
          </w:p>
        </w:tc>
        <w:tc>
          <w:tcPr>
            <w:vAlign w:val="center"/>
          </w:tcPr>
          <w:p w:rsidR="00000000" w:rsidDel="00000000" w:rsidP="00000000" w:rsidRDefault="00000000" w:rsidRPr="00000000" w14:paraId="0000004C">
            <w:pPr>
              <w:spacing w:after="20" w:before="20" w:lineRule="auto"/>
              <w:jc w:val="center"/>
              <w:rPr>
                <w:color w:val="000000"/>
              </w:rPr>
            </w:pPr>
            <w:r w:rsidDel="00000000" w:rsidR="00000000" w:rsidRPr="00000000">
              <w:rPr>
                <w:color w:val="000000"/>
                <w:rtl w:val="0"/>
              </w:rPr>
              <w:t xml:space="preserve">Key estimate</w:t>
            </w:r>
          </w:p>
        </w:tc>
        <w:tc>
          <w:tcPr>
            <w:vAlign w:val="center"/>
          </w:tcPr>
          <w:p w:rsidR="00000000" w:rsidDel="00000000" w:rsidP="00000000" w:rsidRDefault="00000000" w:rsidRPr="00000000" w14:paraId="0000004D">
            <w:pPr>
              <w:spacing w:after="20" w:before="20" w:lineRule="auto"/>
              <w:jc w:val="center"/>
              <w:rPr>
                <w:color w:val="000000"/>
              </w:rPr>
            </w:pPr>
            <w:r w:rsidDel="00000000" w:rsidR="00000000" w:rsidRPr="00000000">
              <w:rPr>
                <w:color w:val="000000"/>
                <w:rtl w:val="0"/>
              </w:rPr>
              <w:t xml:space="preserve">Channel interrogated</w:t>
            </w:r>
          </w:p>
        </w:tc>
        <w:tc>
          <w:tcPr>
            <w:vAlign w:val="center"/>
          </w:tcPr>
          <w:p w:rsidR="00000000" w:rsidDel="00000000" w:rsidP="00000000" w:rsidRDefault="00000000" w:rsidRPr="00000000" w14:paraId="0000004E">
            <w:pPr>
              <w:spacing w:after="20" w:before="20" w:lineRule="auto"/>
              <w:jc w:val="center"/>
              <w:rPr>
                <w:color w:val="000000"/>
              </w:rPr>
            </w:pPr>
            <w:r w:rsidDel="00000000" w:rsidR="00000000" w:rsidRPr="00000000">
              <w:rPr>
                <w:color w:val="000000"/>
                <w:rtl w:val="0"/>
              </w:rPr>
              <w:t xml:space="preserve">Interpretation</w:t>
            </w:r>
          </w:p>
        </w:tc>
      </w:tr>
      <w:tr>
        <w:trPr>
          <w:cantSplit w:val="0"/>
          <w:tblHeader w:val="0"/>
        </w:trPr>
        <w:tc>
          <w:tcPr/>
          <w:p w:rsidR="00000000" w:rsidDel="00000000" w:rsidP="00000000" w:rsidRDefault="00000000" w:rsidRPr="00000000" w14:paraId="0000004F">
            <w:pPr>
              <w:spacing w:after="20" w:before="20" w:lineRule="auto"/>
              <w:rPr>
                <w:color w:val="000000"/>
              </w:rPr>
            </w:pPr>
            <w:r w:rsidDel="00000000" w:rsidR="00000000" w:rsidRPr="00000000">
              <w:rPr>
                <w:b w:val="0"/>
                <w:bCs w:val="0"/>
                <w:color w:val="000000"/>
                <w:rtl w:val="0"/>
              </w:rPr>
              <w:t xml:space="preserve">Cohort / cross-sectional</w:t>
            </w:r>
            <w:r w:rsidDel="00000000" w:rsidR="00000000" w:rsidRPr="00000000">
              <w:rPr>
                <w:rtl w:val="0"/>
              </w:rPr>
            </w:r>
          </w:p>
        </w:tc>
        <w:tc>
          <w:tcPr/>
          <w:p w:rsidR="00000000" w:rsidDel="00000000" w:rsidP="00000000" w:rsidRDefault="00000000" w:rsidRPr="00000000" w14:paraId="00000050">
            <w:pPr>
              <w:spacing w:after="20" w:before="20" w:lineRule="auto"/>
              <w:rPr>
                <w:color w:val="000000"/>
              </w:rPr>
            </w:pPr>
            <w:r w:rsidDel="00000000" w:rsidR="00000000" w:rsidRPr="00000000">
              <w:rPr>
                <w:color w:val="000000"/>
                <w:rtl w:val="0"/>
              </w:rPr>
              <w:t xml:space="preserve">Measured confounders only</w:t>
            </w:r>
          </w:p>
        </w:tc>
        <w:tc>
          <w:tcPr/>
          <w:p w:rsidR="00000000" w:rsidDel="00000000" w:rsidP="00000000" w:rsidRDefault="00000000" w:rsidRPr="00000000" w14:paraId="00000051">
            <w:pPr>
              <w:spacing w:after="20" w:before="20" w:lineRule="auto"/>
              <w:rPr>
                <w:color w:val="000000"/>
              </w:rPr>
            </w:pPr>
            <w:r w:rsidDel="00000000" w:rsidR="00000000" w:rsidRPr="00000000">
              <w:rPr>
                <w:color w:val="000000"/>
                <w:rtl w:val="0"/>
              </w:rPr>
              <w:t xml:space="preserve">COPD → CVD, ~2–5× excess risk [3,4]</w:t>
            </w:r>
          </w:p>
        </w:tc>
        <w:tc>
          <w:tcPr/>
          <w:p w:rsidR="00000000" w:rsidDel="00000000" w:rsidP="00000000" w:rsidRDefault="00000000" w:rsidRPr="00000000" w14:paraId="00000052">
            <w:pPr>
              <w:spacing w:after="20" w:before="20" w:lineRule="auto"/>
              <w:rPr>
                <w:color w:val="000000"/>
              </w:rPr>
            </w:pPr>
            <w:r w:rsidDel="00000000" w:rsidR="00000000" w:rsidRPr="00000000">
              <w:rPr>
                <w:color w:val="000000"/>
                <w:rtl w:val="0"/>
              </w:rPr>
              <w:t xml:space="preserve">Slow</w:t>
            </w:r>
          </w:p>
        </w:tc>
        <w:tc>
          <w:tcPr/>
          <w:p w:rsidR="00000000" w:rsidDel="00000000" w:rsidP="00000000" w:rsidRDefault="00000000" w:rsidRPr="00000000" w14:paraId="00000053">
            <w:pPr>
              <w:spacing w:after="20" w:before="20" w:lineRule="auto"/>
              <w:rPr>
                <w:color w:val="000000"/>
              </w:rPr>
            </w:pPr>
            <w:r w:rsidDel="00000000" w:rsidR="00000000" w:rsidRPr="00000000">
              <w:rPr>
                <w:color w:val="000000"/>
                <w:rtl w:val="0"/>
              </w:rPr>
              <w:t xml:space="preserve">Adjustment set is the shared-cause set; cannot separate confounding from causation</w:t>
            </w:r>
          </w:p>
        </w:tc>
      </w:tr>
      <w:tr>
        <w:trPr>
          <w:cantSplit w:val="0"/>
          <w:tblHeader w:val="0"/>
        </w:trPr>
        <w:tc>
          <w:tcPr/>
          <w:p w:rsidR="00000000" w:rsidDel="00000000" w:rsidP="00000000" w:rsidRDefault="00000000" w:rsidRPr="00000000" w14:paraId="00000054">
            <w:pPr>
              <w:spacing w:after="20" w:before="20" w:lineRule="auto"/>
              <w:rPr>
                <w:color w:val="000000"/>
              </w:rPr>
            </w:pPr>
            <w:r w:rsidDel="00000000" w:rsidR="00000000" w:rsidRPr="00000000">
              <w:rPr>
                <w:b w:val="0"/>
                <w:bCs w:val="0"/>
                <w:color w:val="000000"/>
                <w:rtl w:val="0"/>
              </w:rPr>
              <w:t xml:space="preserve">Mendelian randomization (univariable)</w:t>
            </w:r>
            <w:r w:rsidDel="00000000" w:rsidR="00000000" w:rsidRPr="00000000">
              <w:rPr>
                <w:rtl w:val="0"/>
              </w:rPr>
            </w:r>
          </w:p>
        </w:tc>
        <w:tc>
          <w:tcPr/>
          <w:p w:rsidR="00000000" w:rsidDel="00000000" w:rsidP="00000000" w:rsidRDefault="00000000" w:rsidRPr="00000000" w14:paraId="00000055">
            <w:pPr>
              <w:spacing w:after="20" w:before="20" w:lineRule="auto"/>
              <w:rPr>
                <w:color w:val="000000"/>
              </w:rPr>
            </w:pPr>
            <w:r w:rsidDel="00000000" w:rsidR="00000000" w:rsidRPr="00000000">
              <w:rPr>
                <w:color w:val="000000"/>
                <w:rtl w:val="0"/>
              </w:rPr>
              <w:t xml:space="preserve">Reverse causation; some confounding</w:t>
            </w:r>
          </w:p>
        </w:tc>
        <w:tc>
          <w:tcPr/>
          <w:p w:rsidR="00000000" w:rsidDel="00000000" w:rsidP="00000000" w:rsidRDefault="00000000" w:rsidRPr="00000000" w14:paraId="00000056">
            <w:pPr>
              <w:spacing w:after="20" w:before="20" w:lineRule="auto"/>
              <w:rPr>
                <w:color w:val="000000"/>
              </w:rPr>
            </w:pPr>
            <w:r w:rsidDel="00000000" w:rsidR="00000000" w:rsidRPr="00000000">
              <w:rPr>
                <w:color w:val="000000"/>
                <w:rtl w:val="0"/>
              </w:rPr>
              <w:t xml:space="preserve">COPD → CHD, OR 1.004 (1.002–1.006) [7]</w:t>
            </w:r>
          </w:p>
        </w:tc>
        <w:tc>
          <w:tcPr/>
          <w:p w:rsidR="00000000" w:rsidDel="00000000" w:rsidP="00000000" w:rsidRDefault="00000000" w:rsidRPr="00000000" w14:paraId="00000057">
            <w:pPr>
              <w:spacing w:after="20" w:before="20" w:lineRule="auto"/>
              <w:rPr>
                <w:color w:val="000000"/>
              </w:rPr>
            </w:pPr>
            <w:r w:rsidDel="00000000" w:rsidR="00000000" w:rsidRPr="00000000">
              <w:rPr>
                <w:color w:val="000000"/>
                <w:rtl w:val="0"/>
              </w:rPr>
              <w:t xml:space="preserve">Slow</w:t>
            </w:r>
          </w:p>
        </w:tc>
        <w:tc>
          <w:tcPr/>
          <w:p w:rsidR="00000000" w:rsidDel="00000000" w:rsidP="00000000" w:rsidRDefault="00000000" w:rsidRPr="00000000" w14:paraId="00000058">
            <w:pPr>
              <w:spacing w:after="20" w:before="20" w:lineRule="auto"/>
              <w:rPr>
                <w:color w:val="000000"/>
              </w:rPr>
            </w:pPr>
            <w:r w:rsidDel="00000000" w:rsidR="00000000" w:rsidRPr="00000000">
              <w:rPr>
                <w:color w:val="000000"/>
                <w:rtl w:val="0"/>
              </w:rPr>
              <w:t xml:space="preserve">Nominally significant, biologically negligible</w:t>
            </w:r>
          </w:p>
        </w:tc>
      </w:tr>
      <w:tr>
        <w:trPr>
          <w:cantSplit w:val="0"/>
          <w:tblHeader w:val="0"/>
        </w:trPr>
        <w:tc>
          <w:tcPr/>
          <w:p w:rsidR="00000000" w:rsidDel="00000000" w:rsidP="00000000" w:rsidRDefault="00000000" w:rsidRPr="00000000" w14:paraId="00000059">
            <w:pPr>
              <w:spacing w:after="20" w:before="20" w:lineRule="auto"/>
              <w:rPr>
                <w:color w:val="000000"/>
              </w:rPr>
            </w:pPr>
            <w:r w:rsidDel="00000000" w:rsidR="00000000" w:rsidRPr="00000000">
              <w:rPr>
                <w:b w:val="0"/>
                <w:bCs w:val="0"/>
                <w:color w:val="000000"/>
                <w:rtl w:val="0"/>
              </w:rPr>
              <w:t xml:space="preserve">Mendelian randomization (multivariable)</w:t>
            </w:r>
            <w:r w:rsidDel="00000000" w:rsidR="00000000" w:rsidRPr="00000000">
              <w:rPr>
                <w:rtl w:val="0"/>
              </w:rPr>
            </w:r>
          </w:p>
        </w:tc>
        <w:tc>
          <w:tcPr/>
          <w:p w:rsidR="00000000" w:rsidDel="00000000" w:rsidP="00000000" w:rsidRDefault="00000000" w:rsidRPr="00000000" w14:paraId="0000005A">
            <w:pPr>
              <w:spacing w:after="20" w:before="20" w:lineRule="auto"/>
              <w:rPr>
                <w:color w:val="000000"/>
              </w:rPr>
            </w:pPr>
            <w:r w:rsidDel="00000000" w:rsidR="00000000" w:rsidRPr="00000000">
              <w:rPr>
                <w:color w:val="000000"/>
                <w:rtl w:val="0"/>
              </w:rPr>
              <w:t xml:space="preserve">Confounding by conditioned traits</w:t>
            </w:r>
          </w:p>
        </w:tc>
        <w:tc>
          <w:tcPr/>
          <w:p w:rsidR="00000000" w:rsidDel="00000000" w:rsidP="00000000" w:rsidRDefault="00000000" w:rsidRPr="00000000" w14:paraId="0000005B">
            <w:pPr>
              <w:spacing w:after="20" w:before="20" w:lineRule="auto"/>
              <w:rPr>
                <w:color w:val="000000"/>
              </w:rPr>
            </w:pPr>
            <w:r w:rsidDel="00000000" w:rsidR="00000000" w:rsidRPr="00000000">
              <w:rPr>
                <w:color w:val="000000"/>
                <w:rtl w:val="0"/>
              </w:rPr>
              <w:t xml:space="preserve">Attenuates to non-significance after BMI, smoking, FEV1 [7]</w:t>
            </w:r>
          </w:p>
        </w:tc>
        <w:tc>
          <w:tcPr/>
          <w:p w:rsidR="00000000" w:rsidDel="00000000" w:rsidP="00000000" w:rsidRDefault="00000000" w:rsidRPr="00000000" w14:paraId="0000005C">
            <w:pPr>
              <w:spacing w:after="20" w:before="20" w:lineRule="auto"/>
              <w:rPr>
                <w:color w:val="000000"/>
              </w:rPr>
            </w:pPr>
            <w:r w:rsidDel="00000000" w:rsidR="00000000" w:rsidRPr="00000000">
              <w:rPr>
                <w:color w:val="000000"/>
                <w:rtl w:val="0"/>
              </w:rPr>
              <w:t xml:space="preserve">Slow</w:t>
            </w:r>
          </w:p>
        </w:tc>
        <w:tc>
          <w:tcPr/>
          <w:p w:rsidR="00000000" w:rsidDel="00000000" w:rsidP="00000000" w:rsidRDefault="00000000" w:rsidRPr="00000000" w14:paraId="0000005D">
            <w:pPr>
              <w:spacing w:after="20" w:before="20" w:lineRule="auto"/>
              <w:rPr>
                <w:color w:val="000000"/>
              </w:rPr>
            </w:pPr>
            <w:r w:rsidDel="00000000" w:rsidR="00000000" w:rsidRPr="00000000">
              <w:rPr>
                <w:color w:val="000000"/>
                <w:rtl w:val="0"/>
              </w:rPr>
              <w:t xml:space="preserve">Consistent with shared causation rather than a causal chain</w:t>
            </w:r>
          </w:p>
        </w:tc>
      </w:tr>
      <w:tr>
        <w:trPr>
          <w:cantSplit w:val="0"/>
          <w:tblHeader w:val="0"/>
        </w:trPr>
        <w:tc>
          <w:tcPr/>
          <w:p w:rsidR="00000000" w:rsidDel="00000000" w:rsidP="00000000" w:rsidRDefault="00000000" w:rsidRPr="00000000" w14:paraId="0000005E">
            <w:pPr>
              <w:spacing w:after="20" w:before="20" w:lineRule="auto"/>
              <w:rPr>
                <w:color w:val="000000"/>
              </w:rPr>
            </w:pPr>
            <w:r w:rsidDel="00000000" w:rsidR="00000000" w:rsidRPr="00000000">
              <w:rPr>
                <w:b w:val="0"/>
                <w:bCs w:val="0"/>
                <w:color w:val="000000"/>
                <w:rtl w:val="0"/>
              </w:rPr>
              <w:t xml:space="preserve">Mendelian randomization (lung function)</w:t>
            </w:r>
            <w:r w:rsidDel="00000000" w:rsidR="00000000" w:rsidRPr="00000000">
              <w:rPr>
                <w:rtl w:val="0"/>
              </w:rPr>
            </w:r>
          </w:p>
        </w:tc>
        <w:tc>
          <w:tcPr/>
          <w:p w:rsidR="00000000" w:rsidDel="00000000" w:rsidP="00000000" w:rsidRDefault="00000000" w:rsidRPr="00000000" w14:paraId="0000005F">
            <w:pPr>
              <w:spacing w:after="20" w:before="20" w:lineRule="auto"/>
              <w:rPr>
                <w:color w:val="000000"/>
              </w:rPr>
            </w:pPr>
            <w:r w:rsidDel="00000000" w:rsidR="00000000" w:rsidRPr="00000000">
              <w:rPr>
                <w:color w:val="000000"/>
                <w:rtl w:val="0"/>
              </w:rPr>
              <w:t xml:space="preserve">Confounding by height, BMI, smoking</w:t>
            </w:r>
          </w:p>
        </w:tc>
        <w:tc>
          <w:tcPr/>
          <w:p w:rsidR="00000000" w:rsidDel="00000000" w:rsidP="00000000" w:rsidRDefault="00000000" w:rsidRPr="00000000" w14:paraId="00000060">
            <w:pPr>
              <w:spacing w:after="20" w:before="20" w:lineRule="auto"/>
              <w:rPr>
                <w:color w:val="000000"/>
              </w:rPr>
            </w:pPr>
            <w:r w:rsidDel="00000000" w:rsidR="00000000" w:rsidRPr="00000000">
              <w:rPr>
                <w:color w:val="000000"/>
                <w:rtl w:val="0"/>
              </w:rPr>
              <w:t xml:space="preserve">FEV1 → CAD, OR 1.08 (0.89–1.30); FVC → CAD, OR 1.32 (1.19–1.46) [8]</w:t>
            </w:r>
          </w:p>
        </w:tc>
        <w:tc>
          <w:tcPr/>
          <w:p w:rsidR="00000000" w:rsidDel="00000000" w:rsidP="00000000" w:rsidRDefault="00000000" w:rsidRPr="00000000" w14:paraId="00000061">
            <w:pPr>
              <w:spacing w:after="20" w:before="20" w:lineRule="auto"/>
              <w:rPr>
                <w:color w:val="000000"/>
              </w:rPr>
            </w:pPr>
            <w:r w:rsidDel="00000000" w:rsidR="00000000" w:rsidRPr="00000000">
              <w:rPr>
                <w:color w:val="000000"/>
                <w:rtl w:val="0"/>
              </w:rPr>
              <w:t xml:space="preserve">Slow</w:t>
            </w:r>
          </w:p>
        </w:tc>
        <w:tc>
          <w:tcPr/>
          <w:p w:rsidR="00000000" w:rsidDel="00000000" w:rsidP="00000000" w:rsidRDefault="00000000" w:rsidRPr="00000000" w14:paraId="00000062">
            <w:pPr>
              <w:spacing w:after="20" w:before="20" w:lineRule="auto"/>
              <w:rPr>
                <w:color w:val="000000"/>
              </w:rPr>
            </w:pPr>
            <w:r w:rsidDel="00000000" w:rsidR="00000000" w:rsidRPr="00000000">
              <w:rPr>
                <w:color w:val="000000"/>
                <w:rtl w:val="0"/>
              </w:rPr>
              <w:t xml:space="preserve">The obstruction term is not causal; the volume term is — the opposite of the spillover prediction</w:t>
            </w:r>
          </w:p>
        </w:tc>
      </w:tr>
      <w:tr>
        <w:trPr>
          <w:cantSplit w:val="0"/>
          <w:tblHeader w:val="0"/>
        </w:trPr>
        <w:tc>
          <w:tcPr/>
          <w:p w:rsidR="00000000" w:rsidDel="00000000" w:rsidP="00000000" w:rsidRDefault="00000000" w:rsidRPr="00000000" w14:paraId="00000063">
            <w:pPr>
              <w:spacing w:after="20" w:before="20" w:lineRule="auto"/>
              <w:rPr>
                <w:color w:val="000000"/>
              </w:rPr>
            </w:pPr>
            <w:r w:rsidDel="00000000" w:rsidR="00000000" w:rsidRPr="00000000">
              <w:rPr>
                <w:b w:val="0"/>
                <w:bCs w:val="0"/>
                <w:color w:val="000000"/>
                <w:rtl w:val="0"/>
              </w:rPr>
              <w:t xml:space="preserve">Randomized trial (lung → heart)</w:t>
            </w:r>
            <w:r w:rsidDel="00000000" w:rsidR="00000000" w:rsidRPr="00000000">
              <w:rPr>
                <w:rtl w:val="0"/>
              </w:rPr>
            </w:r>
          </w:p>
        </w:tc>
        <w:tc>
          <w:tcPr/>
          <w:p w:rsidR="00000000" w:rsidDel="00000000" w:rsidP="00000000" w:rsidRDefault="00000000" w:rsidRPr="00000000" w14:paraId="00000064">
            <w:pPr>
              <w:spacing w:after="20" w:before="20" w:lineRule="auto"/>
              <w:rPr>
                <w:color w:val="000000"/>
              </w:rPr>
            </w:pPr>
            <w:r w:rsidDel="00000000" w:rsidR="00000000" w:rsidRPr="00000000">
              <w:rPr>
                <w:color w:val="000000"/>
                <w:rtl w:val="0"/>
              </w:rPr>
              <w:t xml:space="preserve">All confounding</w:t>
            </w:r>
          </w:p>
        </w:tc>
        <w:tc>
          <w:tcPr/>
          <w:p w:rsidR="00000000" w:rsidDel="00000000" w:rsidP="00000000" w:rsidRDefault="00000000" w:rsidRPr="00000000" w14:paraId="00000065">
            <w:pPr>
              <w:spacing w:after="20" w:before="20" w:lineRule="auto"/>
              <w:rPr>
                <w:color w:val="000000"/>
              </w:rPr>
            </w:pPr>
            <w:r w:rsidDel="00000000" w:rsidR="00000000" w:rsidRPr="00000000">
              <w:rPr>
                <w:color w:val="000000"/>
                <w:rtl w:val="0"/>
              </w:rPr>
              <w:t xml:space="preserve">SUMMIT CV composite HR 0.93 (0.75–1.14) despite 29% fewer exacerbations [5,14]</w:t>
            </w:r>
          </w:p>
        </w:tc>
        <w:tc>
          <w:tcPr/>
          <w:p w:rsidR="00000000" w:rsidDel="00000000" w:rsidP="00000000" w:rsidRDefault="00000000" w:rsidRPr="00000000" w14:paraId="00000066">
            <w:pPr>
              <w:spacing w:after="20" w:before="20" w:lineRule="auto"/>
              <w:rPr>
                <w:color w:val="000000"/>
              </w:rPr>
            </w:pPr>
            <w:r w:rsidDel="00000000" w:rsidR="00000000" w:rsidRPr="00000000">
              <w:rPr>
                <w:color w:val="000000"/>
                <w:rtl w:val="0"/>
              </w:rPr>
              <w:t xml:space="preserve">Slow</w:t>
            </w:r>
          </w:p>
        </w:tc>
        <w:tc>
          <w:tcPr/>
          <w:p w:rsidR="00000000" w:rsidDel="00000000" w:rsidP="00000000" w:rsidRDefault="00000000" w:rsidRPr="00000000" w14:paraId="00000067">
            <w:pPr>
              <w:spacing w:after="20" w:before="20" w:lineRule="auto"/>
              <w:rPr>
                <w:color w:val="000000"/>
              </w:rPr>
            </w:pPr>
            <w:r w:rsidDel="00000000" w:rsidR="00000000" w:rsidRPr="00000000">
              <w:rPr>
                <w:color w:val="000000"/>
                <w:rtl w:val="0"/>
              </w:rPr>
              <w:t xml:space="preserve">Treating airway inflammation does not reduce cardiovascular events in a low-trigger population</w:t>
            </w:r>
          </w:p>
        </w:tc>
      </w:tr>
      <w:tr>
        <w:trPr>
          <w:cantSplit w:val="0"/>
          <w:tblHeader w:val="0"/>
        </w:trPr>
        <w:tc>
          <w:tcPr/>
          <w:p w:rsidR="00000000" w:rsidDel="00000000" w:rsidP="00000000" w:rsidRDefault="00000000" w:rsidRPr="00000000" w14:paraId="00000068">
            <w:pPr>
              <w:spacing w:after="20" w:before="20" w:lineRule="auto"/>
              <w:rPr>
                <w:color w:val="000000"/>
              </w:rPr>
            </w:pPr>
            <w:r w:rsidDel="00000000" w:rsidR="00000000" w:rsidRPr="00000000">
              <w:rPr>
                <w:b w:val="0"/>
                <w:bCs w:val="0"/>
                <w:color w:val="000000"/>
                <w:rtl w:val="0"/>
              </w:rPr>
              <w:t xml:space="preserve">Randomized trial (heart → lung)</w:t>
            </w:r>
            <w:r w:rsidDel="00000000" w:rsidR="00000000" w:rsidRPr="00000000">
              <w:rPr>
                <w:rtl w:val="0"/>
              </w:rPr>
            </w:r>
          </w:p>
        </w:tc>
        <w:tc>
          <w:tcPr/>
          <w:p w:rsidR="00000000" w:rsidDel="00000000" w:rsidP="00000000" w:rsidRDefault="00000000" w:rsidRPr="00000000" w14:paraId="00000069">
            <w:pPr>
              <w:spacing w:after="20" w:before="20" w:lineRule="auto"/>
              <w:rPr>
                <w:color w:val="000000"/>
              </w:rPr>
            </w:pPr>
            <w:r w:rsidDel="00000000" w:rsidR="00000000" w:rsidRPr="00000000">
              <w:rPr>
                <w:color w:val="000000"/>
                <w:rtl w:val="0"/>
              </w:rPr>
              <w:t xml:space="preserve">All confounding</w:t>
            </w:r>
          </w:p>
        </w:tc>
        <w:tc>
          <w:tcPr/>
          <w:p w:rsidR="00000000" w:rsidDel="00000000" w:rsidP="00000000" w:rsidRDefault="00000000" w:rsidRPr="00000000" w14:paraId="0000006A">
            <w:pPr>
              <w:spacing w:after="20" w:before="20" w:lineRule="auto"/>
              <w:rPr>
                <w:color w:val="000000"/>
              </w:rPr>
            </w:pPr>
            <w:r w:rsidDel="00000000" w:rsidR="00000000" w:rsidRPr="00000000">
              <w:rPr>
                <w:color w:val="000000"/>
                <w:rtl w:val="0"/>
              </w:rPr>
              <w:t xml:space="preserve">STATCOPE: no effect of simvastatin on exacerbations [6]</w:t>
            </w:r>
          </w:p>
        </w:tc>
        <w:tc>
          <w:tcPr/>
          <w:p w:rsidR="00000000" w:rsidDel="00000000" w:rsidP="00000000" w:rsidRDefault="00000000" w:rsidRPr="00000000" w14:paraId="0000006B">
            <w:pPr>
              <w:spacing w:after="20" w:before="20" w:lineRule="auto"/>
              <w:rPr>
                <w:color w:val="000000"/>
              </w:rPr>
            </w:pPr>
            <w:r w:rsidDel="00000000" w:rsidR="00000000" w:rsidRPr="00000000">
              <w:rPr>
                <w:color w:val="000000"/>
                <w:rtl w:val="0"/>
              </w:rPr>
              <w:t xml:space="preserve">Slow</w:t>
            </w:r>
          </w:p>
        </w:tc>
        <w:tc>
          <w:tcPr/>
          <w:p w:rsidR="00000000" w:rsidDel="00000000" w:rsidP="00000000" w:rsidRDefault="00000000" w:rsidRPr="00000000" w14:paraId="0000006C">
            <w:pPr>
              <w:spacing w:after="20" w:before="20" w:lineRule="auto"/>
              <w:rPr>
                <w:color w:val="000000"/>
              </w:rPr>
            </w:pPr>
            <w:r w:rsidDel="00000000" w:rsidR="00000000" w:rsidRPr="00000000">
              <w:rPr>
                <w:color w:val="000000"/>
                <w:rtl w:val="0"/>
              </w:rPr>
              <w:t xml:space="preserve">The axis fails in the reverse direction as well</w:t>
            </w:r>
          </w:p>
        </w:tc>
      </w:tr>
      <w:tr>
        <w:trPr>
          <w:cantSplit w:val="0"/>
          <w:tblHeader w:val="0"/>
        </w:trPr>
        <w:tc>
          <w:tcPr/>
          <w:p w:rsidR="00000000" w:rsidDel="00000000" w:rsidP="00000000" w:rsidRDefault="00000000" w:rsidRPr="00000000" w14:paraId="0000006D">
            <w:pPr>
              <w:spacing w:after="20" w:before="20" w:lineRule="auto"/>
              <w:rPr>
                <w:color w:val="000000"/>
              </w:rPr>
            </w:pPr>
            <w:r w:rsidDel="00000000" w:rsidR="00000000" w:rsidRPr="00000000">
              <w:rPr>
                <w:b w:val="0"/>
                <w:bCs w:val="0"/>
                <w:color w:val="000000"/>
                <w:rtl w:val="0"/>
              </w:rPr>
              <w:t xml:space="preserve">Self-controlled case series</w:t>
            </w:r>
            <w:r w:rsidDel="00000000" w:rsidR="00000000" w:rsidRPr="00000000">
              <w:rPr>
                <w:rtl w:val="0"/>
              </w:rPr>
            </w:r>
          </w:p>
        </w:tc>
        <w:tc>
          <w:tcPr/>
          <w:p w:rsidR="00000000" w:rsidDel="00000000" w:rsidP="00000000" w:rsidRDefault="00000000" w:rsidRPr="00000000" w14:paraId="0000006E">
            <w:pPr>
              <w:spacing w:after="20" w:before="20" w:lineRule="auto"/>
              <w:rPr>
                <w:color w:val="000000"/>
              </w:rPr>
            </w:pPr>
            <w:r w:rsidDel="00000000" w:rsidR="00000000" w:rsidRPr="00000000">
              <w:rPr>
                <w:color w:val="000000"/>
                <w:rtl w:val="0"/>
              </w:rPr>
              <w:t xml:space="preserve">All time-invariant confounding, by construction</w:t>
            </w:r>
          </w:p>
        </w:tc>
        <w:tc>
          <w:tcPr/>
          <w:p w:rsidR="00000000" w:rsidDel="00000000" w:rsidP="00000000" w:rsidRDefault="00000000" w:rsidRPr="00000000" w14:paraId="0000006F">
            <w:pPr>
              <w:spacing w:after="20" w:before="20" w:lineRule="auto"/>
              <w:rPr>
                <w:color w:val="000000"/>
              </w:rPr>
            </w:pPr>
            <w:r w:rsidDel="00000000" w:rsidR="00000000" w:rsidRPr="00000000">
              <w:rPr>
                <w:color w:val="000000"/>
                <w:rtl w:val="0"/>
              </w:rPr>
              <w:t xml:space="preserve">MI IRR 2.58 (2.26–2.95) severe; 1.58 (1.46–1.71) moderate [9]; 2.27 at 1–5 days [15]</w:t>
            </w:r>
          </w:p>
        </w:tc>
        <w:tc>
          <w:tcPr/>
          <w:p w:rsidR="00000000" w:rsidDel="00000000" w:rsidP="00000000" w:rsidRDefault="00000000" w:rsidRPr="00000000" w14:paraId="00000070">
            <w:pPr>
              <w:spacing w:after="20" w:before="20" w:lineRule="auto"/>
              <w:rPr>
                <w:color w:val="000000"/>
              </w:rPr>
            </w:pPr>
            <w:r w:rsidDel="00000000" w:rsidR="00000000" w:rsidRPr="00000000">
              <w:rPr>
                <w:color w:val="000000"/>
                <w:rtl w:val="0"/>
              </w:rPr>
              <w:t xml:space="preserve">Fast</w:t>
            </w:r>
          </w:p>
        </w:tc>
        <w:tc>
          <w:tcPr/>
          <w:p w:rsidR="00000000" w:rsidDel="00000000" w:rsidP="00000000" w:rsidRDefault="00000000" w:rsidRPr="00000000" w14:paraId="00000071">
            <w:pPr>
              <w:spacing w:after="20" w:before="20" w:lineRule="auto"/>
              <w:rPr>
                <w:color w:val="000000"/>
              </w:rPr>
            </w:pPr>
            <w:r w:rsidDel="00000000" w:rsidR="00000000" w:rsidRPr="00000000">
              <w:rPr>
                <w:color w:val="000000"/>
                <w:rtl w:val="0"/>
              </w:rPr>
              <w:t xml:space="preserve">Real, dose-graded, time-locked — the one robust causal signal in the field</w:t>
            </w:r>
          </w:p>
        </w:tc>
      </w:tr>
    </w:tbl>
    <w:p w:rsidR="00000000" w:rsidDel="00000000" w:rsidP="00000000" w:rsidRDefault="00000000" w:rsidRPr="00000000" w14:paraId="00000072">
      <w:pPr>
        <w:pStyle w:val="Heading1"/>
        <w:keepNext w:val="1"/>
        <w:spacing w:after="100" w:before="280" w:line="276" w:lineRule="auto"/>
        <w:rPr>
          <w:color w:val="000000"/>
          <w:sz w:val="24"/>
          <w:szCs w:val="24"/>
        </w:rPr>
      </w:pPr>
      <w:r w:rsidDel="00000000" w:rsidR="00000000" w:rsidRPr="00000000">
        <w:rPr>
          <w:b w:val="1"/>
          <w:bCs w:val="1"/>
          <w:color w:val="000000"/>
          <w:sz w:val="24"/>
          <w:szCs w:val="24"/>
          <w:rtl w:val="0"/>
        </w:rPr>
        <w:t xml:space="preserve">8. The Diagnostic Corollary: Which Infarction Is This?</w:t>
      </w:r>
      <w:r w:rsidDel="00000000" w:rsidR="00000000" w:rsidRPr="00000000">
        <w:rPr>
          <w:rtl w:val="0"/>
        </w:rPr>
      </w:r>
    </w:p>
    <w:p w:rsidR="00000000" w:rsidDel="00000000" w:rsidP="00000000" w:rsidRDefault="00000000" w:rsidRPr="00000000" w14:paraId="00000073">
      <w:pPr>
        <w:spacing w:line="276" w:lineRule="auto"/>
        <w:ind w:firstLine="360"/>
        <w:jc w:val="both"/>
        <w:rPr>
          <w:color w:val="000000"/>
        </w:rPr>
      </w:pPr>
      <w:r w:rsidDel="00000000" w:rsidR="00000000" w:rsidRPr="00000000">
        <w:rPr>
          <w:color w:val="000000"/>
          <w:rtl w:val="0"/>
        </w:rPr>
        <w:t xml:space="preserve">If most exacerbation-associated cardiac events are supply–demand events, then the diagnostic reflex that dominates cardiology practice — troponin rise plus dyspnoea equals acute coronary syndrome — is wrong more often than it is right in this population, and wrong in a direction that carries iatrogenic cost.</w:t>
      </w:r>
    </w:p>
    <w:p w:rsidR="00000000" w:rsidDel="00000000" w:rsidP="00000000" w:rsidRDefault="00000000" w:rsidRPr="00000000" w14:paraId="00000074">
      <w:pPr>
        <w:spacing w:line="276" w:lineRule="auto"/>
        <w:ind w:firstLine="360"/>
        <w:jc w:val="both"/>
        <w:rPr>
          <w:color w:val="000000"/>
        </w:rPr>
      </w:pPr>
      <w:r w:rsidDel="00000000" w:rsidR="00000000" w:rsidRPr="00000000">
        <w:rPr>
          <w:color w:val="000000"/>
          <w:rtl w:val="0"/>
        </w:rPr>
        <w:t xml:space="preserve">The Fourth Universal Definition separates type 1 myocardial infarction, due to atherosclerotic plaque disruption with thrombosis, from type 2, due to oxygen supply–demand imbalance without atherothrombosis, and both from acute myocardial injury, in which troponin rises and falls without clinical evidence of ischaemia [20]. Roughly half of all troponin elevations in contemporary practice fall into the type 2 or injury categories. Fewer than a third of patients with type 2 infarction are managed by cardiologists, and only 10–20% undergo any investigation to establish whether coronary disease is present at all [21].</w:t>
      </w:r>
    </w:p>
    <w:p w:rsidR="00000000" w:rsidDel="00000000" w:rsidP="00000000" w:rsidRDefault="00000000" w:rsidRPr="00000000" w14:paraId="00000075">
      <w:pPr>
        <w:spacing w:line="276" w:lineRule="auto"/>
        <w:ind w:firstLine="360"/>
        <w:jc w:val="both"/>
        <w:rPr>
          <w:color w:val="000000"/>
        </w:rPr>
      </w:pPr>
      <w:r w:rsidDel="00000000" w:rsidR="00000000" w:rsidRPr="00000000">
        <w:rPr>
          <w:color w:val="000000"/>
          <w:rtl w:val="0"/>
        </w:rPr>
        <w:t xml:space="preserve">In acute exacerbation, troponin rises in a large proportion of patients, and the differential is wide: right ventricular strain from hyperinflation and hypoxic pulmonary vasoconstriction, tachycardia, pulmonary embolism, left ventricular dysfunction, and undiagnosed coronary disease all produce it [22]. Honesty requires acknowledging that the partition is not clean in either direction. Among 88 patients admitted with exacerbation and raised troponin who underwent angiography, 67% had significant coronary disease and 38.6% received percutaneous coronary intervention, and in 23 of those the usual echocardiographic and electrocardiographic markers of ischaemia were absent [3]. Type 1 infarction is not rare in this setting, and some events labelled type 2 are plaque rupture that was never looked for.</w:t>
      </w:r>
    </w:p>
    <w:p w:rsidR="00000000" w:rsidDel="00000000" w:rsidP="00000000" w:rsidRDefault="00000000" w:rsidRPr="00000000" w14:paraId="00000076">
      <w:pPr>
        <w:spacing w:line="276" w:lineRule="auto"/>
        <w:ind w:firstLine="360"/>
        <w:jc w:val="both"/>
        <w:rPr>
          <w:color w:val="000000"/>
        </w:rPr>
      </w:pPr>
      <w:r w:rsidDel="00000000" w:rsidR="00000000" w:rsidRPr="00000000">
        <w:rPr>
          <w:color w:val="000000"/>
          <w:rtl w:val="0"/>
        </w:rPr>
        <w:t xml:space="preserve">The clinical problem is therefore not that everything is type 2. It is that we currently have no reliable bedside method of telling which is which, and we default to a pathway validated only for type 1. Applying dual antiplatelet therapy, anticoagulation and urgent angiography to a hypoxaemic, tachycardic patient with demand ischaemia offers no benefit from a mechanism that is not operating, while delivering the full bleeding and contrast hazard. The electrocardiogram cannot arbitrate: hyperinflation displaces the heart and produces P pulmonale, right axis deviation and incomplete right bundle branch block, which obscure precisely the ischaemic changes one is looking for [23].</w:t>
      </w:r>
    </w:p>
    <w:p w:rsidR="00000000" w:rsidDel="00000000" w:rsidP="00000000" w:rsidRDefault="00000000" w:rsidRPr="00000000" w14:paraId="00000077">
      <w:pPr>
        <w:spacing w:line="276" w:lineRule="auto"/>
        <w:ind w:firstLine="360"/>
        <w:jc w:val="both"/>
        <w:rPr>
          <w:color w:val="000000"/>
        </w:rPr>
      </w:pPr>
      <w:r w:rsidDel="00000000" w:rsidR="00000000" w:rsidRPr="00000000">
        <w:rPr>
          <w:color w:val="000000"/>
          <w:rtl w:val="0"/>
        </w:rPr>
        <w:t xml:space="preserve">What follows is not therapeutic nihilism. It is a call for mechanistic classification before mechanistic treatment. Troponin in exacerbation is a prognostic marker, and a good one [22]; it is not a diagnosis. The patient who warrants the acute coronary syndrome pathway is the one with ischaemic symptoms disproportionate to the respiratory illness, dynamic and regional electrocardiographic change, a large or rapidly rising troponin, or a regional wall-motion abnormality — not the one whose troponin is elevated because he has been tachycardic and hypoxaemic for two days.</w:t>
      </w:r>
    </w:p>
    <w:p w:rsidR="00000000" w:rsidDel="00000000" w:rsidP="00000000" w:rsidRDefault="00000000" w:rsidRPr="00000000" w14:paraId="00000078">
      <w:pPr>
        <w:keepNext w:val="1"/>
        <w:spacing w:after="80" w:before="220" w:line="276" w:lineRule="auto"/>
        <w:rPr>
          <w:color w:val="000000"/>
        </w:rPr>
      </w:pPr>
      <w:r w:rsidDel="00000000" w:rsidR="00000000" w:rsidRPr="00000000">
        <w:rPr>
          <w:b w:val="1"/>
          <w:bCs w:val="1"/>
          <w:color w:val="000000"/>
          <w:rtl w:val="0"/>
        </w:rPr>
        <w:t xml:space="preserve">Table 3. </w:t>
      </w:r>
      <w:r w:rsidDel="00000000" w:rsidR="00000000" w:rsidRPr="00000000">
        <w:rPr>
          <w:color w:val="000000"/>
          <w:rtl w:val="0"/>
        </w:rPr>
        <w:t xml:space="preserve">Distinguishing the mechanisms of cardiac injury during acute exacerbation of COPD.</w:t>
      </w:r>
    </w:p>
    <w:tbl>
      <w:tblPr>
        <w:tblStyle w:val="Table3"/>
        <w:tblW w:w="9360.000000000002" w:type="dxa"/>
        <w:jc w:val="left"/>
        <w:tblBorders>
          <w:top w:color="7f7f7f" w:space="0" w:sz="4" w:val="single"/>
          <w:bottom w:color="7f7f7f" w:space="0" w:sz="4" w:val="single"/>
        </w:tblBorders>
        <w:tblLayout w:type="fixed"/>
        <w:tblLook w:val="04A0"/>
      </w:tblPr>
      <w:tblGrid>
        <w:gridCol w:w="1829"/>
        <w:gridCol w:w="2387"/>
        <w:gridCol w:w="2713"/>
        <w:gridCol w:w="2431"/>
        <w:tblGridChange w:id="0">
          <w:tblGrid>
            <w:gridCol w:w="1829"/>
            <w:gridCol w:w="2387"/>
            <w:gridCol w:w="2713"/>
            <w:gridCol w:w="2431"/>
          </w:tblGrid>
        </w:tblGridChange>
      </w:tblGrid>
      <w:tr>
        <w:trPr>
          <w:cantSplit w:val="0"/>
          <w:tblHeader w:val="0"/>
        </w:trPr>
        <w:tc>
          <w:tcPr>
            <w:vAlign w:val="center"/>
          </w:tcPr>
          <w:p w:rsidR="00000000" w:rsidDel="00000000" w:rsidP="00000000" w:rsidRDefault="00000000" w:rsidRPr="00000000" w14:paraId="00000079">
            <w:pPr>
              <w:spacing w:after="20" w:before="20" w:lineRule="auto"/>
              <w:jc w:val="center"/>
              <w:rPr>
                <w:color w:val="000000"/>
              </w:rPr>
            </w:pPr>
            <w:r w:rsidDel="00000000" w:rsidR="00000000" w:rsidRPr="00000000">
              <w:rPr>
                <w:color w:val="000000"/>
                <w:rtl w:val="0"/>
              </w:rPr>
              <w:t xml:space="preserve">Feature</w:t>
            </w:r>
          </w:p>
        </w:tc>
        <w:tc>
          <w:tcPr>
            <w:vAlign w:val="center"/>
          </w:tcPr>
          <w:p w:rsidR="00000000" w:rsidDel="00000000" w:rsidP="00000000" w:rsidRDefault="00000000" w:rsidRPr="00000000" w14:paraId="0000007A">
            <w:pPr>
              <w:spacing w:after="20" w:before="20" w:lineRule="auto"/>
              <w:jc w:val="center"/>
              <w:rPr>
                <w:color w:val="000000"/>
              </w:rPr>
            </w:pPr>
            <w:r w:rsidDel="00000000" w:rsidR="00000000" w:rsidRPr="00000000">
              <w:rPr>
                <w:color w:val="000000"/>
                <w:rtl w:val="0"/>
              </w:rPr>
              <w:t xml:space="preserve">Type 1 MI (slow clock, acutely triggered)</w:t>
            </w:r>
          </w:p>
        </w:tc>
        <w:tc>
          <w:tcPr>
            <w:vAlign w:val="center"/>
          </w:tcPr>
          <w:p w:rsidR="00000000" w:rsidDel="00000000" w:rsidP="00000000" w:rsidRDefault="00000000" w:rsidRPr="00000000" w14:paraId="0000007B">
            <w:pPr>
              <w:spacing w:after="20" w:before="20" w:lineRule="auto"/>
              <w:jc w:val="center"/>
              <w:rPr>
                <w:color w:val="000000"/>
              </w:rPr>
            </w:pPr>
            <w:r w:rsidDel="00000000" w:rsidR="00000000" w:rsidRPr="00000000">
              <w:rPr>
                <w:color w:val="000000"/>
                <w:rtl w:val="0"/>
              </w:rPr>
              <w:t xml:space="preserve">Type 2 MI (fast clock)</w:t>
            </w:r>
          </w:p>
        </w:tc>
        <w:tc>
          <w:tcPr>
            <w:vAlign w:val="center"/>
          </w:tcPr>
          <w:p w:rsidR="00000000" w:rsidDel="00000000" w:rsidP="00000000" w:rsidRDefault="00000000" w:rsidRPr="00000000" w14:paraId="0000007C">
            <w:pPr>
              <w:spacing w:after="20" w:before="20" w:lineRule="auto"/>
              <w:jc w:val="center"/>
              <w:rPr>
                <w:color w:val="000000"/>
              </w:rPr>
            </w:pPr>
            <w:r w:rsidDel="00000000" w:rsidR="00000000" w:rsidRPr="00000000">
              <w:rPr>
                <w:color w:val="000000"/>
                <w:rtl w:val="0"/>
              </w:rPr>
              <w:t xml:space="preserve">Acute myocardial injury</w:t>
            </w:r>
          </w:p>
        </w:tc>
      </w:tr>
      <w:tr>
        <w:trPr>
          <w:cantSplit w:val="0"/>
          <w:tblHeader w:val="0"/>
        </w:trPr>
        <w:tc>
          <w:tcPr/>
          <w:p w:rsidR="00000000" w:rsidDel="00000000" w:rsidP="00000000" w:rsidRDefault="00000000" w:rsidRPr="00000000" w14:paraId="0000007D">
            <w:pPr>
              <w:spacing w:after="20" w:before="20" w:lineRule="auto"/>
              <w:rPr>
                <w:color w:val="000000"/>
              </w:rPr>
            </w:pPr>
            <w:r w:rsidDel="00000000" w:rsidR="00000000" w:rsidRPr="00000000">
              <w:rPr>
                <w:b w:val="0"/>
                <w:bCs w:val="0"/>
                <w:color w:val="000000"/>
                <w:rtl w:val="0"/>
              </w:rPr>
              <w:t xml:space="preserve">Mechanism</w:t>
            </w:r>
            <w:r w:rsidDel="00000000" w:rsidR="00000000" w:rsidRPr="00000000">
              <w:rPr>
                <w:rtl w:val="0"/>
              </w:rPr>
            </w:r>
          </w:p>
        </w:tc>
        <w:tc>
          <w:tcPr/>
          <w:p w:rsidR="00000000" w:rsidDel="00000000" w:rsidP="00000000" w:rsidRDefault="00000000" w:rsidRPr="00000000" w14:paraId="0000007E">
            <w:pPr>
              <w:spacing w:after="20" w:before="20" w:lineRule="auto"/>
              <w:rPr>
                <w:color w:val="000000"/>
              </w:rPr>
            </w:pPr>
            <w:r w:rsidDel="00000000" w:rsidR="00000000" w:rsidRPr="00000000">
              <w:rPr>
                <w:color w:val="000000"/>
                <w:rtl w:val="0"/>
              </w:rPr>
              <w:t xml:space="preserve">Plaque rupture or erosion with atherothrombosis</w:t>
            </w:r>
          </w:p>
        </w:tc>
        <w:tc>
          <w:tcPr/>
          <w:p w:rsidR="00000000" w:rsidDel="00000000" w:rsidP="00000000" w:rsidRDefault="00000000" w:rsidRPr="00000000" w14:paraId="0000007F">
            <w:pPr>
              <w:spacing w:after="20" w:before="20" w:lineRule="auto"/>
              <w:rPr>
                <w:color w:val="000000"/>
              </w:rPr>
            </w:pPr>
            <w:r w:rsidDel="00000000" w:rsidR="00000000" w:rsidRPr="00000000">
              <w:rPr>
                <w:color w:val="000000"/>
                <w:rtl w:val="0"/>
              </w:rPr>
              <w:t xml:space="preserve">Supply–demand imbalance without atherothrombosis</w:t>
            </w:r>
          </w:p>
        </w:tc>
        <w:tc>
          <w:tcPr/>
          <w:p w:rsidR="00000000" w:rsidDel="00000000" w:rsidP="00000000" w:rsidRDefault="00000000" w:rsidRPr="00000000" w14:paraId="00000080">
            <w:pPr>
              <w:spacing w:after="20" w:before="20" w:lineRule="auto"/>
              <w:rPr>
                <w:color w:val="000000"/>
              </w:rPr>
            </w:pPr>
            <w:r w:rsidDel="00000000" w:rsidR="00000000" w:rsidRPr="00000000">
              <w:rPr>
                <w:color w:val="000000"/>
                <w:rtl w:val="0"/>
              </w:rPr>
              <w:t xml:space="preserve">Myocyte injury without clinical ischaemia</w:t>
            </w:r>
          </w:p>
        </w:tc>
      </w:tr>
      <w:tr>
        <w:trPr>
          <w:cantSplit w:val="0"/>
          <w:tblHeader w:val="0"/>
        </w:trPr>
        <w:tc>
          <w:tcPr/>
          <w:p w:rsidR="00000000" w:rsidDel="00000000" w:rsidP="00000000" w:rsidRDefault="00000000" w:rsidRPr="00000000" w14:paraId="00000081">
            <w:pPr>
              <w:spacing w:after="20" w:before="20" w:lineRule="auto"/>
              <w:rPr>
                <w:color w:val="000000"/>
              </w:rPr>
            </w:pPr>
            <w:r w:rsidDel="00000000" w:rsidR="00000000" w:rsidRPr="00000000">
              <w:rPr>
                <w:b w:val="0"/>
                <w:bCs w:val="0"/>
                <w:color w:val="000000"/>
                <w:rtl w:val="0"/>
              </w:rPr>
              <w:t xml:space="preserve">Typical drivers in exacerbation</w:t>
            </w:r>
            <w:r w:rsidDel="00000000" w:rsidR="00000000" w:rsidRPr="00000000">
              <w:rPr>
                <w:rtl w:val="0"/>
              </w:rPr>
            </w:r>
          </w:p>
        </w:tc>
        <w:tc>
          <w:tcPr/>
          <w:p w:rsidR="00000000" w:rsidDel="00000000" w:rsidP="00000000" w:rsidRDefault="00000000" w:rsidRPr="00000000" w14:paraId="00000082">
            <w:pPr>
              <w:spacing w:after="20" w:before="20" w:lineRule="auto"/>
              <w:rPr>
                <w:color w:val="000000"/>
              </w:rPr>
            </w:pPr>
            <w:r w:rsidDel="00000000" w:rsidR="00000000" w:rsidRPr="00000000">
              <w:rPr>
                <w:color w:val="000000"/>
                <w:rtl w:val="0"/>
              </w:rPr>
              <w:t xml:space="preserve">Cytokine burst and MMP-9 surge acting on a pre-existing vulnerable cap</w:t>
            </w:r>
          </w:p>
        </w:tc>
        <w:tc>
          <w:tcPr/>
          <w:p w:rsidR="00000000" w:rsidDel="00000000" w:rsidP="00000000" w:rsidRDefault="00000000" w:rsidRPr="00000000" w14:paraId="00000083">
            <w:pPr>
              <w:spacing w:after="20" w:before="20" w:lineRule="auto"/>
              <w:rPr>
                <w:color w:val="000000"/>
              </w:rPr>
            </w:pPr>
            <w:r w:rsidDel="00000000" w:rsidR="00000000" w:rsidRPr="00000000">
              <w:rPr>
                <w:color w:val="000000"/>
                <w:rtl w:val="0"/>
              </w:rPr>
              <w:t xml:space="preserve">Hypoxaemia, tachycardia, hyperinflation reducing preload, sympathetic surge, anaemia</w:t>
            </w:r>
          </w:p>
        </w:tc>
        <w:tc>
          <w:tcPr/>
          <w:p w:rsidR="00000000" w:rsidDel="00000000" w:rsidP="00000000" w:rsidRDefault="00000000" w:rsidRPr="00000000" w14:paraId="00000084">
            <w:pPr>
              <w:spacing w:after="20" w:before="20" w:lineRule="auto"/>
              <w:rPr>
                <w:color w:val="000000"/>
              </w:rPr>
            </w:pPr>
            <w:r w:rsidDel="00000000" w:rsidR="00000000" w:rsidRPr="00000000">
              <w:rPr>
                <w:color w:val="000000"/>
                <w:rtl w:val="0"/>
              </w:rPr>
              <w:t xml:space="preserve">Right ventricular strain, pulmonary embolism, LV dysfunction, sepsis</w:t>
            </w:r>
          </w:p>
        </w:tc>
      </w:tr>
      <w:tr>
        <w:trPr>
          <w:cantSplit w:val="0"/>
          <w:tblHeader w:val="0"/>
        </w:trPr>
        <w:tc>
          <w:tcPr/>
          <w:p w:rsidR="00000000" w:rsidDel="00000000" w:rsidP="00000000" w:rsidRDefault="00000000" w:rsidRPr="00000000" w14:paraId="00000085">
            <w:pPr>
              <w:spacing w:after="20" w:before="20" w:lineRule="auto"/>
              <w:rPr>
                <w:color w:val="000000"/>
              </w:rPr>
            </w:pPr>
            <w:r w:rsidDel="00000000" w:rsidR="00000000" w:rsidRPr="00000000">
              <w:rPr>
                <w:b w:val="0"/>
                <w:bCs w:val="0"/>
                <w:color w:val="000000"/>
                <w:rtl w:val="0"/>
              </w:rPr>
              <w:t xml:space="preserve">Troponin pattern</w:t>
            </w:r>
            <w:r w:rsidDel="00000000" w:rsidR="00000000" w:rsidRPr="00000000">
              <w:rPr>
                <w:rtl w:val="0"/>
              </w:rPr>
            </w:r>
          </w:p>
        </w:tc>
        <w:tc>
          <w:tcPr/>
          <w:p w:rsidR="00000000" w:rsidDel="00000000" w:rsidP="00000000" w:rsidRDefault="00000000" w:rsidRPr="00000000" w14:paraId="00000086">
            <w:pPr>
              <w:spacing w:after="20" w:before="20" w:lineRule="auto"/>
              <w:rPr>
                <w:color w:val="000000"/>
              </w:rPr>
            </w:pPr>
            <w:r w:rsidDel="00000000" w:rsidR="00000000" w:rsidRPr="00000000">
              <w:rPr>
                <w:color w:val="000000"/>
                <w:rtl w:val="0"/>
              </w:rPr>
              <w:t xml:space="preserve">Marked rise and fall</w:t>
            </w:r>
          </w:p>
        </w:tc>
        <w:tc>
          <w:tcPr/>
          <w:p w:rsidR="00000000" w:rsidDel="00000000" w:rsidP="00000000" w:rsidRDefault="00000000" w:rsidRPr="00000000" w14:paraId="00000087">
            <w:pPr>
              <w:spacing w:after="20" w:before="20" w:lineRule="auto"/>
              <w:rPr>
                <w:color w:val="000000"/>
              </w:rPr>
            </w:pPr>
            <w:r w:rsidDel="00000000" w:rsidR="00000000" w:rsidRPr="00000000">
              <w:rPr>
                <w:color w:val="000000"/>
                <w:rtl w:val="0"/>
              </w:rPr>
              <w:t xml:space="preserve">Modest rise and fall, tracking the physiological insult</w:t>
            </w:r>
          </w:p>
        </w:tc>
        <w:tc>
          <w:tcPr/>
          <w:p w:rsidR="00000000" w:rsidDel="00000000" w:rsidP="00000000" w:rsidRDefault="00000000" w:rsidRPr="00000000" w14:paraId="00000088">
            <w:pPr>
              <w:spacing w:after="20" w:before="20" w:lineRule="auto"/>
              <w:rPr>
                <w:color w:val="000000"/>
              </w:rPr>
            </w:pPr>
            <w:r w:rsidDel="00000000" w:rsidR="00000000" w:rsidRPr="00000000">
              <w:rPr>
                <w:color w:val="000000"/>
                <w:rtl w:val="0"/>
              </w:rPr>
              <w:t xml:space="preserve">Rise and fall without ischaemic features</w:t>
            </w:r>
          </w:p>
        </w:tc>
      </w:tr>
      <w:tr>
        <w:trPr>
          <w:cantSplit w:val="0"/>
          <w:tblHeader w:val="0"/>
        </w:trPr>
        <w:tc>
          <w:tcPr/>
          <w:p w:rsidR="00000000" w:rsidDel="00000000" w:rsidP="00000000" w:rsidRDefault="00000000" w:rsidRPr="00000000" w14:paraId="00000089">
            <w:pPr>
              <w:spacing w:after="20" w:before="20" w:lineRule="auto"/>
              <w:rPr>
                <w:color w:val="000000"/>
              </w:rPr>
            </w:pPr>
            <w:r w:rsidDel="00000000" w:rsidR="00000000" w:rsidRPr="00000000">
              <w:rPr>
                <w:b w:val="0"/>
                <w:bCs w:val="0"/>
                <w:color w:val="000000"/>
                <w:rtl w:val="0"/>
              </w:rPr>
              <w:t xml:space="preserve">Supporting features</w:t>
            </w:r>
            <w:r w:rsidDel="00000000" w:rsidR="00000000" w:rsidRPr="00000000">
              <w:rPr>
                <w:rtl w:val="0"/>
              </w:rPr>
            </w:r>
          </w:p>
        </w:tc>
        <w:tc>
          <w:tcPr/>
          <w:p w:rsidR="00000000" w:rsidDel="00000000" w:rsidP="00000000" w:rsidRDefault="00000000" w:rsidRPr="00000000" w14:paraId="0000008A">
            <w:pPr>
              <w:spacing w:after="20" w:before="20" w:lineRule="auto"/>
              <w:rPr>
                <w:color w:val="000000"/>
              </w:rPr>
            </w:pPr>
            <w:r w:rsidDel="00000000" w:rsidR="00000000" w:rsidRPr="00000000">
              <w:rPr>
                <w:color w:val="000000"/>
                <w:rtl w:val="0"/>
              </w:rPr>
              <w:t xml:space="preserve">Regional ECG change, regional wall-motion abnormality, ischaemic symptoms out of proportion to respiratory illness</w:t>
            </w:r>
          </w:p>
        </w:tc>
        <w:tc>
          <w:tcPr/>
          <w:p w:rsidR="00000000" w:rsidDel="00000000" w:rsidP="00000000" w:rsidRDefault="00000000" w:rsidRPr="00000000" w14:paraId="0000008B">
            <w:pPr>
              <w:spacing w:after="20" w:before="20" w:lineRule="auto"/>
              <w:rPr>
                <w:color w:val="000000"/>
              </w:rPr>
            </w:pPr>
            <w:r w:rsidDel="00000000" w:rsidR="00000000" w:rsidRPr="00000000">
              <w:rPr>
                <w:color w:val="000000"/>
                <w:rtl w:val="0"/>
              </w:rPr>
              <w:t xml:space="preserve">Global or absent ECG change; physiology explains the burden</w:t>
            </w:r>
          </w:p>
        </w:tc>
        <w:tc>
          <w:tcPr/>
          <w:p w:rsidR="00000000" w:rsidDel="00000000" w:rsidP="00000000" w:rsidRDefault="00000000" w:rsidRPr="00000000" w14:paraId="0000008C">
            <w:pPr>
              <w:spacing w:after="20" w:before="20" w:lineRule="auto"/>
              <w:rPr>
                <w:color w:val="000000"/>
              </w:rPr>
            </w:pPr>
            <w:r w:rsidDel="00000000" w:rsidR="00000000" w:rsidRPr="00000000">
              <w:rPr>
                <w:color w:val="000000"/>
                <w:rtl w:val="0"/>
              </w:rPr>
              <w:t xml:space="preserve">No ischaemic symptoms or regional change</w:t>
            </w:r>
          </w:p>
        </w:tc>
      </w:tr>
      <w:tr>
        <w:trPr>
          <w:cantSplit w:val="0"/>
          <w:tblHeader w:val="0"/>
        </w:trPr>
        <w:tc>
          <w:tcPr/>
          <w:p w:rsidR="00000000" w:rsidDel="00000000" w:rsidP="00000000" w:rsidRDefault="00000000" w:rsidRPr="00000000" w14:paraId="0000008D">
            <w:pPr>
              <w:spacing w:after="20" w:before="20" w:lineRule="auto"/>
              <w:rPr>
                <w:color w:val="000000"/>
              </w:rPr>
            </w:pPr>
            <w:r w:rsidDel="00000000" w:rsidR="00000000" w:rsidRPr="00000000">
              <w:rPr>
                <w:b w:val="0"/>
                <w:bCs w:val="0"/>
                <w:color w:val="000000"/>
                <w:rtl w:val="0"/>
              </w:rPr>
              <w:t xml:space="preserve">Evidence-based management</w:t>
            </w:r>
            <w:r w:rsidDel="00000000" w:rsidR="00000000" w:rsidRPr="00000000">
              <w:rPr>
                <w:rtl w:val="0"/>
              </w:rPr>
            </w:r>
          </w:p>
        </w:tc>
        <w:tc>
          <w:tcPr/>
          <w:p w:rsidR="00000000" w:rsidDel="00000000" w:rsidP="00000000" w:rsidRDefault="00000000" w:rsidRPr="00000000" w14:paraId="0000008E">
            <w:pPr>
              <w:spacing w:after="20" w:before="20" w:lineRule="auto"/>
              <w:rPr>
                <w:color w:val="000000"/>
              </w:rPr>
            </w:pPr>
            <w:r w:rsidDel="00000000" w:rsidR="00000000" w:rsidRPr="00000000">
              <w:rPr>
                <w:color w:val="000000"/>
                <w:rtl w:val="0"/>
              </w:rPr>
              <w:t xml:space="preserve">Full acute coronary syndrome pathway: DAPT, anticoagulation, revascularisation</w:t>
            </w:r>
          </w:p>
        </w:tc>
        <w:tc>
          <w:tcPr/>
          <w:p w:rsidR="00000000" w:rsidDel="00000000" w:rsidP="00000000" w:rsidRDefault="00000000" w:rsidRPr="00000000" w14:paraId="0000008F">
            <w:pPr>
              <w:spacing w:after="20" w:before="20" w:lineRule="auto"/>
              <w:rPr>
                <w:color w:val="000000"/>
              </w:rPr>
            </w:pPr>
            <w:r w:rsidDel="00000000" w:rsidR="00000000" w:rsidRPr="00000000">
              <w:rPr>
                <w:color w:val="000000"/>
                <w:rtl w:val="0"/>
              </w:rPr>
              <w:t xml:space="preserve">Correct the physiology: oxygenation to 88–92%, rate control, treat the exacerbation. No trial supports DAPT or PCI</w:t>
            </w:r>
          </w:p>
        </w:tc>
        <w:tc>
          <w:tcPr/>
          <w:p w:rsidR="00000000" w:rsidDel="00000000" w:rsidP="00000000" w:rsidRDefault="00000000" w:rsidRPr="00000000" w14:paraId="00000090">
            <w:pPr>
              <w:spacing w:after="20" w:before="20" w:lineRule="auto"/>
              <w:rPr>
                <w:color w:val="000000"/>
              </w:rPr>
            </w:pPr>
            <w:r w:rsidDel="00000000" w:rsidR="00000000" w:rsidRPr="00000000">
              <w:rPr>
                <w:color w:val="000000"/>
                <w:rtl w:val="0"/>
              </w:rPr>
              <w:t xml:space="preserve">Treat the precipitant; no ACS-specific therapy indicated</w:t>
            </w:r>
          </w:p>
        </w:tc>
      </w:tr>
      <w:tr>
        <w:trPr>
          <w:cantSplit w:val="0"/>
          <w:tblHeader w:val="0"/>
        </w:trPr>
        <w:tc>
          <w:tcPr/>
          <w:p w:rsidR="00000000" w:rsidDel="00000000" w:rsidP="00000000" w:rsidRDefault="00000000" w:rsidRPr="00000000" w14:paraId="00000091">
            <w:pPr>
              <w:spacing w:after="20" w:before="20" w:lineRule="auto"/>
              <w:rPr>
                <w:color w:val="000000"/>
              </w:rPr>
            </w:pPr>
            <w:r w:rsidDel="00000000" w:rsidR="00000000" w:rsidRPr="00000000">
              <w:rPr>
                <w:b w:val="0"/>
                <w:bCs w:val="0"/>
                <w:color w:val="000000"/>
                <w:rtl w:val="0"/>
              </w:rPr>
              <w:t xml:space="preserve">Principal hazard of misclassification</w:t>
            </w:r>
            <w:r w:rsidDel="00000000" w:rsidR="00000000" w:rsidRPr="00000000">
              <w:rPr>
                <w:rtl w:val="0"/>
              </w:rPr>
            </w:r>
          </w:p>
        </w:tc>
        <w:tc>
          <w:tcPr/>
          <w:p w:rsidR="00000000" w:rsidDel="00000000" w:rsidP="00000000" w:rsidRDefault="00000000" w:rsidRPr="00000000" w14:paraId="00000092">
            <w:pPr>
              <w:spacing w:after="20" w:before="20" w:lineRule="auto"/>
              <w:rPr>
                <w:color w:val="000000"/>
              </w:rPr>
            </w:pPr>
            <w:r w:rsidDel="00000000" w:rsidR="00000000" w:rsidRPr="00000000">
              <w:rPr>
                <w:color w:val="000000"/>
                <w:rtl w:val="0"/>
              </w:rPr>
              <w:t xml:space="preserve">Missed reperfusion; larger infarct; worse prognosis</w:t>
            </w:r>
          </w:p>
        </w:tc>
        <w:tc>
          <w:tcPr/>
          <w:p w:rsidR="00000000" w:rsidDel="00000000" w:rsidP="00000000" w:rsidRDefault="00000000" w:rsidRPr="00000000" w14:paraId="00000093">
            <w:pPr>
              <w:spacing w:after="20" w:before="20" w:lineRule="auto"/>
              <w:rPr>
                <w:color w:val="000000"/>
              </w:rPr>
            </w:pPr>
            <w:r w:rsidDel="00000000" w:rsidR="00000000" w:rsidRPr="00000000">
              <w:rPr>
                <w:color w:val="000000"/>
                <w:rtl w:val="0"/>
              </w:rPr>
              <w:t xml:space="preserve">Bleeding, contrast nephropathy, futile intervention</w:t>
            </w:r>
          </w:p>
        </w:tc>
        <w:tc>
          <w:tcPr/>
          <w:p w:rsidR="00000000" w:rsidDel="00000000" w:rsidP="00000000" w:rsidRDefault="00000000" w:rsidRPr="00000000" w14:paraId="00000094">
            <w:pPr>
              <w:spacing w:after="20" w:before="20" w:lineRule="auto"/>
              <w:rPr>
                <w:color w:val="000000"/>
              </w:rPr>
            </w:pPr>
            <w:r w:rsidDel="00000000" w:rsidR="00000000" w:rsidRPr="00000000">
              <w:rPr>
                <w:color w:val="000000"/>
                <w:rtl w:val="0"/>
              </w:rPr>
              <w:t xml:space="preserve">Same as type 2, plus diagnostic anchoring</w:t>
            </w:r>
          </w:p>
        </w:tc>
      </w:tr>
    </w:tbl>
    <w:p w:rsidR="00000000" w:rsidDel="00000000" w:rsidP="00000000" w:rsidRDefault="00000000" w:rsidRPr="00000000" w14:paraId="00000095">
      <w:pPr>
        <w:pStyle w:val="Heading1"/>
        <w:keepNext w:val="1"/>
        <w:spacing w:after="100" w:before="280" w:line="276" w:lineRule="auto"/>
        <w:rPr>
          <w:color w:val="000000"/>
          <w:sz w:val="24"/>
          <w:szCs w:val="24"/>
        </w:rPr>
      </w:pPr>
      <w:r w:rsidDel="00000000" w:rsidR="00000000" w:rsidRPr="00000000">
        <w:rPr>
          <w:b w:val="1"/>
          <w:bCs w:val="1"/>
          <w:color w:val="000000"/>
          <w:sz w:val="24"/>
          <w:szCs w:val="24"/>
          <w:rtl w:val="0"/>
        </w:rPr>
        <w:t xml:space="preserve">9. Testing the Model Against the Trial Record</w:t>
      </w:r>
      <w:r w:rsidDel="00000000" w:rsidR="00000000" w:rsidRPr="00000000">
        <w:rPr>
          <w:rtl w:val="0"/>
        </w:rPr>
      </w:r>
    </w:p>
    <w:p w:rsidR="00000000" w:rsidDel="00000000" w:rsidP="00000000" w:rsidRDefault="00000000" w:rsidRPr="00000000" w14:paraId="00000096">
      <w:pPr>
        <w:spacing w:line="276" w:lineRule="auto"/>
        <w:ind w:firstLine="360"/>
        <w:jc w:val="both"/>
        <w:rPr>
          <w:color w:val="000000"/>
        </w:rPr>
      </w:pPr>
      <w:r w:rsidDel="00000000" w:rsidR="00000000" w:rsidRPr="00000000">
        <w:rPr>
          <w:color w:val="000000"/>
          <w:rtl w:val="0"/>
        </w:rPr>
        <w:t xml:space="preserve">A model built to explain existing data earns little credit for explaining it. What follows is therefore stated as retrodiction with the mechanism specified in advance, and the reader should judge whether the mechanism was doing work or merely following the results.</w:t>
      </w:r>
    </w:p>
    <w:p w:rsidR="00000000" w:rsidDel="00000000" w:rsidP="00000000" w:rsidRDefault="00000000" w:rsidRPr="00000000" w14:paraId="00000097">
      <w:pPr>
        <w:keepNext w:val="1"/>
        <w:spacing w:after="80" w:before="180" w:line="276" w:lineRule="auto"/>
        <w:rPr>
          <w:color w:val="000000"/>
        </w:rPr>
      </w:pPr>
      <w:r w:rsidDel="00000000" w:rsidR="00000000" w:rsidRPr="00000000">
        <w:rPr>
          <w:b w:val="1"/>
          <w:bCs w:val="1"/>
          <w:i w:val="1"/>
          <w:iCs w:val="1"/>
          <w:color w:val="000000"/>
          <w:rtl w:val="0"/>
        </w:rPr>
        <w:t xml:space="preserve">9.1 SUMMIT versus ETHOS: the same drug class, different trigger burdens</w:t>
      </w:r>
      <w:r w:rsidDel="00000000" w:rsidR="00000000" w:rsidRPr="00000000">
        <w:rPr>
          <w:rtl w:val="0"/>
        </w:rPr>
      </w:r>
    </w:p>
    <w:p w:rsidR="00000000" w:rsidDel="00000000" w:rsidP="00000000" w:rsidRDefault="00000000" w:rsidRPr="00000000" w14:paraId="00000098">
      <w:pPr>
        <w:spacing w:line="276" w:lineRule="auto"/>
        <w:ind w:firstLine="360"/>
        <w:jc w:val="both"/>
        <w:rPr>
          <w:color w:val="000000"/>
        </w:rPr>
      </w:pPr>
      <w:r w:rsidDel="00000000" w:rsidR="00000000" w:rsidRPr="00000000">
        <w:rPr>
          <w:color w:val="000000"/>
          <w:rtl w:val="0"/>
        </w:rPr>
        <w:t xml:space="preserve">SUMMIT gave inhaled corticosteroid-containing therapy to patients with moderate COPD and heightened cardiovascular risk, with no requirement of prior exacerbation, and found no cardiovascular benefit [5]. The ETHOS post hoc analysis gave triple therapy to patients with moderate-to-very-severe COPD and a history of exacerbations, and found substantial cardiovascular benefit against dual bronchodilator: hazard ratio 0.63 (0.48–0.82) for the first cardiovascular adverse event of special interest, 0.60 (0.48–0.76) for the first cardiac adverse event, and 0.80 (0.67–0.95) for severe cardiopulmonary events, with an annualised number needed to treat of 27 for cardiac events [24,25].</w:t>
      </w:r>
    </w:p>
    <w:p w:rsidR="00000000" w:rsidDel="00000000" w:rsidP="00000000" w:rsidRDefault="00000000" w:rsidRPr="00000000" w14:paraId="00000099">
      <w:pPr>
        <w:spacing w:line="276" w:lineRule="auto"/>
        <w:ind w:firstLine="360"/>
        <w:jc w:val="both"/>
        <w:rPr>
          <w:color w:val="000000"/>
        </w:rPr>
      </w:pPr>
      <w:r w:rsidDel="00000000" w:rsidR="00000000" w:rsidRPr="00000000">
        <w:rPr>
          <w:color w:val="000000"/>
          <w:rtl w:val="0"/>
        </w:rPr>
        <w:t xml:space="preserve">The two-clock model reads this contrast without strain. SUMMIT's population had a low trigger burden, so a 29% reduction in an infrequent trigger removed few events, and the cardiovascular events that did occur were substrate-driven and untouched. ETHOS enrolled exacerbators, where the trigger channel carries real traffic, and reducing exacerbations therefore reduced cardiac events. The spillover hypothesis, by contrast, has to explain why the same anti-inflammatory principle worked in one trial and not the other.</w:t>
      </w:r>
    </w:p>
    <w:p w:rsidR="00000000" w:rsidDel="00000000" w:rsidP="00000000" w:rsidRDefault="00000000" w:rsidRPr="00000000" w14:paraId="0000009A">
      <w:pPr>
        <w:spacing w:line="276" w:lineRule="auto"/>
        <w:ind w:firstLine="360"/>
        <w:jc w:val="both"/>
        <w:rPr>
          <w:color w:val="000000"/>
        </w:rPr>
      </w:pPr>
      <w:r w:rsidDel="00000000" w:rsidR="00000000" w:rsidRPr="00000000">
        <w:rPr>
          <w:color w:val="000000"/>
          <w:rtl w:val="0"/>
        </w:rPr>
        <w:t xml:space="preserve">Honesty demands the alternative reading. ETHOS was post hoc, not adjusted for multiplicity, exploratory by the authors' own description, and industry-funded. Its comparator was glycopyrronium/formoterol rather than placebo, so the apparent benefit of triple therapy may partly reflect harm from dual bronchodilator without inhaled corticosteroid — a possibility given weight by the meta-analysis of Yang and colleagues, which found long-acting muscarinic antagonist plus long-acting β-agonist associated with more major adverse cardiovascular events than inhaled corticosteroid plus β-agonist, plausibly through unopposed sympathetic activity [26]. If that reading is correct, ETHOS is evidence about bronchodilator cardiotoxicity rather than about exacerbation prevention. Both readings are compatible with the two-clock model; neither rescues spillover. The placebo-controlled test remains SUMMIT, and SUMMIT is null.</w:t>
      </w:r>
    </w:p>
    <w:p w:rsidR="00000000" w:rsidDel="00000000" w:rsidP="00000000" w:rsidRDefault="00000000" w:rsidRPr="00000000" w14:paraId="0000009B">
      <w:pPr>
        <w:keepNext w:val="1"/>
        <w:spacing w:after="80" w:before="180" w:line="276" w:lineRule="auto"/>
        <w:rPr>
          <w:color w:val="000000"/>
        </w:rPr>
      </w:pPr>
      <w:r w:rsidDel="00000000" w:rsidR="00000000" w:rsidRPr="00000000">
        <w:rPr>
          <w:b w:val="1"/>
          <w:bCs w:val="1"/>
          <w:i w:val="1"/>
          <w:iCs w:val="1"/>
          <w:color w:val="000000"/>
          <w:rtl w:val="0"/>
        </w:rPr>
        <w:t xml:space="preserve">9.2 The β-blocker reversal: the model’s sharpest natural experiment</w:t>
      </w:r>
      <w:r w:rsidDel="00000000" w:rsidR="00000000" w:rsidRPr="00000000">
        <w:rPr>
          <w:rtl w:val="0"/>
        </w:rPr>
      </w:r>
    </w:p>
    <w:p w:rsidR="00000000" w:rsidDel="00000000" w:rsidP="00000000" w:rsidRDefault="00000000" w:rsidRPr="00000000" w14:paraId="0000009C">
      <w:pPr>
        <w:spacing w:line="276" w:lineRule="auto"/>
        <w:ind w:firstLine="360"/>
        <w:jc w:val="both"/>
        <w:rPr>
          <w:color w:val="000000"/>
        </w:rPr>
      </w:pPr>
      <w:r w:rsidDel="00000000" w:rsidR="00000000" w:rsidRPr="00000000">
        <w:rPr>
          <w:color w:val="000000"/>
          <w:rtl w:val="0"/>
        </w:rPr>
        <w:t xml:space="preserve">BLOCK-COPD randomised exacerbation-prone patients with COPD — explicitly excluding anyone with an established indication for the drug — to extended-release metoprolol or placebo. It was stopped early for futility and safety. There was no difference in time to first exacerbation, and metoprolol was associated with a markedly higher risk of exacerbation requiring hospitalisation: hazard ratio 1.91 (1.29–2.83) [27].</w:t>
      </w:r>
    </w:p>
    <w:p w:rsidR="00000000" w:rsidDel="00000000" w:rsidP="00000000" w:rsidRDefault="00000000" w:rsidRPr="00000000" w14:paraId="0000009D">
      <w:pPr>
        <w:spacing w:line="276" w:lineRule="auto"/>
        <w:ind w:firstLine="360"/>
        <w:jc w:val="both"/>
        <w:rPr>
          <w:color w:val="000000"/>
        </w:rPr>
      </w:pPr>
      <w:r w:rsidDel="00000000" w:rsidR="00000000" w:rsidRPr="00000000">
        <w:rPr>
          <w:color w:val="000000"/>
          <w:rtl w:val="0"/>
        </w:rPr>
        <w:t xml:space="preserve">Now take the same drug class to the same disease in patients who do have a cardiac indication. After myocardial infarction, β-blocker prescription at discharge in patients with COPD is not associated with excess mortality or adverse cardiopulmonary outcomes (hazard ratio 1.01, 0.66–1.54) [28]; population cohorts report reduced mortality [29]; and among 65,699 patients with COPD prescribed β-blockers after first infarction, cardioselective agents outperformed non-selective ones for mortality (hazard ratio 0.93), major adverse cardiac and cerebrovascular events (0.96), heart-failure hospitalisation (subdistribution hazard ratio 0.84) and major adverse pulmonary events (0.94) [30].</w:t>
      </w:r>
    </w:p>
    <w:p w:rsidR="00000000" w:rsidDel="00000000" w:rsidP="00000000" w:rsidRDefault="00000000" w:rsidRPr="00000000" w14:paraId="0000009E">
      <w:pPr>
        <w:spacing w:line="276" w:lineRule="auto"/>
        <w:ind w:firstLine="360"/>
        <w:jc w:val="both"/>
        <w:rPr>
          <w:color w:val="000000"/>
        </w:rPr>
      </w:pPr>
      <w:r w:rsidDel="00000000" w:rsidR="00000000" w:rsidRPr="00000000">
        <w:rPr>
          <w:color w:val="000000"/>
          <w:rtl w:val="0"/>
        </w:rPr>
        <w:t xml:space="preserve">The drug did not change. The disease did not change. What changed was whether a cardiac substrate was present. In its absence, β-blockade blunts a trigger that has nothing to act upon and delivers only bronchoconstriction; in its presence, the same blockade protects a myocardium that is genuinely at risk, and the balance inverts. No inflammatory model of COPD–cardiovascular coupling predicts this reversal. The two-clock model requires it, because benefit on the fast clock is conditional on substrate laid down by the slow one.</w:t>
      </w:r>
    </w:p>
    <w:p w:rsidR="00000000" w:rsidDel="00000000" w:rsidP="00000000" w:rsidRDefault="00000000" w:rsidRPr="00000000" w14:paraId="0000009F">
      <w:pPr>
        <w:keepNext w:val="1"/>
        <w:spacing w:after="80" w:before="220" w:line="276" w:lineRule="auto"/>
        <w:rPr>
          <w:color w:val="000000"/>
        </w:rPr>
      </w:pPr>
      <w:r w:rsidDel="00000000" w:rsidR="00000000" w:rsidRPr="00000000">
        <w:rPr>
          <w:b w:val="1"/>
          <w:bCs w:val="1"/>
          <w:color w:val="000000"/>
          <w:rtl w:val="0"/>
        </w:rPr>
        <w:t xml:space="preserve">Table 4. </w:t>
      </w:r>
      <w:r w:rsidDel="00000000" w:rsidR="00000000" w:rsidRPr="00000000">
        <w:rPr>
          <w:color w:val="000000"/>
          <w:rtl w:val="0"/>
        </w:rPr>
        <w:t xml:space="preserve">Trial outcomes read as clock-matching.</w:t>
      </w:r>
    </w:p>
    <w:tbl>
      <w:tblPr>
        <w:tblStyle w:val="Table4"/>
        <w:tblW w:w="9026.0" w:type="dxa"/>
        <w:jc w:val="left"/>
        <w:tblBorders>
          <w:top w:color="7f7f7f" w:space="0" w:sz="4" w:val="single"/>
          <w:bottom w:color="7f7f7f" w:space="0" w:sz="4" w:val="single"/>
        </w:tblBorders>
        <w:tblLayout w:type="fixed"/>
        <w:tblLook w:val="04A0"/>
      </w:tblPr>
      <w:tblGrid>
        <w:gridCol w:w="1254"/>
        <w:gridCol w:w="2006"/>
        <w:gridCol w:w="2128"/>
        <w:gridCol w:w="1558"/>
        <w:gridCol w:w="2080"/>
        <w:tblGridChange w:id="0">
          <w:tblGrid>
            <w:gridCol w:w="1254"/>
            <w:gridCol w:w="2006"/>
            <w:gridCol w:w="2128"/>
            <w:gridCol w:w="1558"/>
            <w:gridCol w:w="2080"/>
          </w:tblGrid>
        </w:tblGridChange>
      </w:tblGrid>
      <w:tr>
        <w:trPr>
          <w:cantSplit w:val="0"/>
          <w:tblHeader w:val="0"/>
        </w:trPr>
        <w:tc>
          <w:tcPr>
            <w:vAlign w:val="center"/>
          </w:tcPr>
          <w:p w:rsidR="00000000" w:rsidDel="00000000" w:rsidP="00000000" w:rsidRDefault="00000000" w:rsidRPr="00000000" w14:paraId="000000A0">
            <w:pPr>
              <w:spacing w:after="20" w:before="20" w:line="276" w:lineRule="auto"/>
              <w:jc w:val="center"/>
              <w:rPr>
                <w:color w:val="000000"/>
              </w:rPr>
            </w:pPr>
            <w:r w:rsidDel="00000000" w:rsidR="00000000" w:rsidRPr="00000000">
              <w:rPr>
                <w:color w:val="000000"/>
                <w:rtl w:val="0"/>
              </w:rPr>
              <w:t xml:space="preserve">Trial</w:t>
            </w:r>
          </w:p>
        </w:tc>
        <w:tc>
          <w:tcPr>
            <w:vAlign w:val="center"/>
          </w:tcPr>
          <w:p w:rsidR="00000000" w:rsidDel="00000000" w:rsidP="00000000" w:rsidRDefault="00000000" w:rsidRPr="00000000" w14:paraId="000000A1">
            <w:pPr>
              <w:spacing w:after="20" w:before="20" w:line="276" w:lineRule="auto"/>
              <w:jc w:val="center"/>
              <w:rPr>
                <w:color w:val="000000"/>
              </w:rPr>
            </w:pPr>
            <w:r w:rsidDel="00000000" w:rsidR="00000000" w:rsidRPr="00000000">
              <w:rPr>
                <w:color w:val="000000"/>
                <w:rtl w:val="0"/>
              </w:rPr>
              <w:t xml:space="preserve">Intervention and comparator</w:t>
            </w:r>
          </w:p>
        </w:tc>
        <w:tc>
          <w:tcPr>
            <w:vAlign w:val="center"/>
          </w:tcPr>
          <w:p w:rsidR="00000000" w:rsidDel="00000000" w:rsidP="00000000" w:rsidRDefault="00000000" w:rsidRPr="00000000" w14:paraId="000000A2">
            <w:pPr>
              <w:spacing w:after="20" w:before="20" w:line="276" w:lineRule="auto"/>
              <w:jc w:val="center"/>
              <w:rPr>
                <w:color w:val="000000"/>
              </w:rPr>
            </w:pPr>
            <w:r w:rsidDel="00000000" w:rsidR="00000000" w:rsidRPr="00000000">
              <w:rPr>
                <w:color w:val="000000"/>
                <w:rtl w:val="0"/>
              </w:rPr>
              <w:t xml:space="preserve">Population (trigger burden)</w:t>
            </w:r>
          </w:p>
        </w:tc>
        <w:tc>
          <w:tcPr>
            <w:vAlign w:val="center"/>
          </w:tcPr>
          <w:p w:rsidR="00000000" w:rsidDel="00000000" w:rsidP="00000000" w:rsidRDefault="00000000" w:rsidRPr="00000000" w14:paraId="000000A3">
            <w:pPr>
              <w:spacing w:after="20" w:before="20" w:line="276" w:lineRule="auto"/>
              <w:jc w:val="center"/>
              <w:rPr>
                <w:color w:val="000000"/>
              </w:rPr>
            </w:pPr>
            <w:r w:rsidDel="00000000" w:rsidR="00000000" w:rsidRPr="00000000">
              <w:rPr>
                <w:color w:val="000000"/>
                <w:rtl w:val="0"/>
              </w:rPr>
              <w:t xml:space="preserve">Result</w:t>
            </w:r>
          </w:p>
        </w:tc>
        <w:tc>
          <w:tcPr>
            <w:vAlign w:val="center"/>
          </w:tcPr>
          <w:p w:rsidR="00000000" w:rsidDel="00000000" w:rsidP="00000000" w:rsidRDefault="00000000" w:rsidRPr="00000000" w14:paraId="000000A4">
            <w:pPr>
              <w:spacing w:after="20" w:before="20" w:line="276" w:lineRule="auto"/>
              <w:jc w:val="center"/>
              <w:rPr>
                <w:color w:val="000000"/>
              </w:rPr>
            </w:pPr>
            <w:r w:rsidDel="00000000" w:rsidR="00000000" w:rsidRPr="00000000">
              <w:rPr>
                <w:color w:val="000000"/>
                <w:rtl w:val="0"/>
              </w:rPr>
              <w:t xml:space="preserve">Clock-matching interpretation</w:t>
            </w:r>
          </w:p>
        </w:tc>
      </w:tr>
      <w:tr>
        <w:trPr>
          <w:cantSplit w:val="0"/>
          <w:tblHeader w:val="0"/>
        </w:trPr>
        <w:tc>
          <w:tcPr/>
          <w:p w:rsidR="00000000" w:rsidDel="00000000" w:rsidP="00000000" w:rsidRDefault="00000000" w:rsidRPr="00000000" w14:paraId="000000A5">
            <w:pPr>
              <w:spacing w:after="20" w:before="20" w:line="276" w:lineRule="auto"/>
              <w:rPr>
                <w:color w:val="000000"/>
              </w:rPr>
            </w:pPr>
            <w:r w:rsidDel="00000000" w:rsidR="00000000" w:rsidRPr="00000000">
              <w:rPr>
                <w:b w:val="0"/>
                <w:bCs w:val="0"/>
                <w:color w:val="000000"/>
                <w:rtl w:val="0"/>
              </w:rPr>
              <w:t xml:space="preserve">SUMMIT [5,14]</w:t>
            </w:r>
            <w:r w:rsidDel="00000000" w:rsidR="00000000" w:rsidRPr="00000000">
              <w:rPr>
                <w:rtl w:val="0"/>
              </w:rPr>
            </w:r>
          </w:p>
        </w:tc>
        <w:tc>
          <w:tcPr/>
          <w:p w:rsidR="00000000" w:rsidDel="00000000" w:rsidP="00000000" w:rsidRDefault="00000000" w:rsidRPr="00000000" w14:paraId="000000A6">
            <w:pPr>
              <w:spacing w:after="20" w:before="20" w:line="276" w:lineRule="auto"/>
              <w:rPr>
                <w:color w:val="000000"/>
              </w:rPr>
            </w:pPr>
            <w:r w:rsidDel="00000000" w:rsidR="00000000" w:rsidRPr="00000000">
              <w:rPr>
                <w:color w:val="000000"/>
                <w:rtl w:val="0"/>
              </w:rPr>
              <w:t xml:space="preserve">Fluticasone furoate/vilanterol vs placebo</w:t>
            </w:r>
          </w:p>
        </w:tc>
        <w:tc>
          <w:tcPr/>
          <w:p w:rsidR="00000000" w:rsidDel="00000000" w:rsidP="00000000" w:rsidRDefault="00000000" w:rsidRPr="00000000" w14:paraId="000000A7">
            <w:pPr>
              <w:spacing w:after="20" w:before="20" w:line="276" w:lineRule="auto"/>
              <w:rPr>
                <w:color w:val="000000"/>
              </w:rPr>
            </w:pPr>
            <w:r w:rsidDel="00000000" w:rsidR="00000000" w:rsidRPr="00000000">
              <w:rPr>
                <w:color w:val="000000"/>
                <w:rtl w:val="0"/>
              </w:rPr>
              <w:t xml:space="preserve">Moderate COPD, CV risk, no exacerbation requirement (low)</w:t>
            </w:r>
          </w:p>
        </w:tc>
        <w:tc>
          <w:tcPr/>
          <w:p w:rsidR="00000000" w:rsidDel="00000000" w:rsidP="00000000" w:rsidRDefault="00000000" w:rsidRPr="00000000" w14:paraId="000000A8">
            <w:pPr>
              <w:spacing w:after="20" w:before="20" w:line="276" w:lineRule="auto"/>
              <w:rPr>
                <w:color w:val="000000"/>
              </w:rPr>
            </w:pPr>
            <w:r w:rsidDel="00000000" w:rsidR="00000000" w:rsidRPr="00000000">
              <w:rPr>
                <w:color w:val="000000"/>
                <w:rtl w:val="0"/>
              </w:rPr>
              <w:t xml:space="preserve">CV composite HR 0.93 (0.75–1.14); exacerbations −29%</w:t>
            </w:r>
          </w:p>
        </w:tc>
        <w:tc>
          <w:tcPr/>
          <w:p w:rsidR="00000000" w:rsidDel="00000000" w:rsidP="00000000" w:rsidRDefault="00000000" w:rsidRPr="00000000" w14:paraId="000000A9">
            <w:pPr>
              <w:spacing w:after="20" w:before="20" w:line="276" w:lineRule="auto"/>
              <w:rPr>
                <w:color w:val="000000"/>
              </w:rPr>
            </w:pPr>
            <w:r w:rsidDel="00000000" w:rsidR="00000000" w:rsidRPr="00000000">
              <w:rPr>
                <w:color w:val="000000"/>
                <w:rtl w:val="0"/>
              </w:rPr>
              <w:t xml:space="preserve">Fast-clock drug given where the fast clock rarely runs; substrate-driven events untouched</w:t>
            </w:r>
          </w:p>
        </w:tc>
      </w:tr>
      <w:tr>
        <w:trPr>
          <w:cantSplit w:val="0"/>
          <w:tblHeader w:val="0"/>
        </w:trPr>
        <w:tc>
          <w:tcPr/>
          <w:p w:rsidR="00000000" w:rsidDel="00000000" w:rsidP="00000000" w:rsidRDefault="00000000" w:rsidRPr="00000000" w14:paraId="000000AA">
            <w:pPr>
              <w:spacing w:after="20" w:before="20" w:line="276" w:lineRule="auto"/>
              <w:rPr>
                <w:color w:val="000000"/>
              </w:rPr>
            </w:pPr>
            <w:r w:rsidDel="00000000" w:rsidR="00000000" w:rsidRPr="00000000">
              <w:rPr>
                <w:b w:val="0"/>
                <w:bCs w:val="0"/>
                <w:color w:val="000000"/>
                <w:rtl w:val="0"/>
              </w:rPr>
              <w:t xml:space="preserve">ETHOS post hoc [24,25]</w:t>
            </w:r>
            <w:r w:rsidDel="00000000" w:rsidR="00000000" w:rsidRPr="00000000">
              <w:rPr>
                <w:rtl w:val="0"/>
              </w:rPr>
            </w:r>
          </w:p>
        </w:tc>
        <w:tc>
          <w:tcPr/>
          <w:p w:rsidR="00000000" w:rsidDel="00000000" w:rsidP="00000000" w:rsidRDefault="00000000" w:rsidRPr="00000000" w14:paraId="000000AB">
            <w:pPr>
              <w:spacing w:after="20" w:before="20" w:line="276" w:lineRule="auto"/>
              <w:rPr>
                <w:color w:val="000000"/>
              </w:rPr>
            </w:pPr>
            <w:r w:rsidDel="00000000" w:rsidR="00000000" w:rsidRPr="00000000">
              <w:rPr>
                <w:color w:val="000000"/>
                <w:rtl w:val="0"/>
              </w:rPr>
              <w:t xml:space="preserve">Budesonide/glycopyrronium/formoterol vs glycopyrronium/formoterol</w:t>
            </w:r>
          </w:p>
        </w:tc>
        <w:tc>
          <w:tcPr/>
          <w:p w:rsidR="00000000" w:rsidDel="00000000" w:rsidP="00000000" w:rsidRDefault="00000000" w:rsidRPr="00000000" w14:paraId="000000AC">
            <w:pPr>
              <w:spacing w:after="20" w:before="20" w:line="276" w:lineRule="auto"/>
              <w:rPr>
                <w:color w:val="000000"/>
              </w:rPr>
            </w:pPr>
            <w:r w:rsidDel="00000000" w:rsidR="00000000" w:rsidRPr="00000000">
              <w:rPr>
                <w:color w:val="000000"/>
                <w:rtl w:val="0"/>
              </w:rPr>
              <w:t xml:space="preserve">Moderate–very severe COPD with exacerbation history (high)</w:t>
            </w:r>
          </w:p>
        </w:tc>
        <w:tc>
          <w:tcPr/>
          <w:p w:rsidR="00000000" w:rsidDel="00000000" w:rsidP="00000000" w:rsidRDefault="00000000" w:rsidRPr="00000000" w14:paraId="000000AD">
            <w:pPr>
              <w:spacing w:after="20" w:before="20" w:line="276" w:lineRule="auto"/>
              <w:rPr>
                <w:color w:val="000000"/>
              </w:rPr>
            </w:pPr>
            <w:r w:rsidDel="00000000" w:rsidR="00000000" w:rsidRPr="00000000">
              <w:rPr>
                <w:color w:val="000000"/>
                <w:rtl w:val="0"/>
              </w:rPr>
              <w:t xml:space="preserve">Cardiac AE HR 0.60 (0.48–0.76); CV AESI 0.63 (0.48–0.82); NNT 27</w:t>
            </w:r>
          </w:p>
        </w:tc>
        <w:tc>
          <w:tcPr/>
          <w:p w:rsidR="00000000" w:rsidDel="00000000" w:rsidP="00000000" w:rsidRDefault="00000000" w:rsidRPr="00000000" w14:paraId="000000AE">
            <w:pPr>
              <w:spacing w:after="20" w:before="20" w:line="276" w:lineRule="auto"/>
              <w:rPr>
                <w:color w:val="000000"/>
              </w:rPr>
            </w:pPr>
            <w:r w:rsidDel="00000000" w:rsidR="00000000" w:rsidRPr="00000000">
              <w:rPr>
                <w:color w:val="000000"/>
                <w:rtl w:val="0"/>
              </w:rPr>
              <w:t xml:space="preserve">Fast-clock drug where the fast clock runs often — benefit emerges. Confounded by active comparator</w:t>
            </w:r>
          </w:p>
        </w:tc>
      </w:tr>
      <w:tr>
        <w:trPr>
          <w:cantSplit w:val="0"/>
          <w:tblHeader w:val="0"/>
        </w:trPr>
        <w:tc>
          <w:tcPr/>
          <w:p w:rsidR="00000000" w:rsidDel="00000000" w:rsidP="00000000" w:rsidRDefault="00000000" w:rsidRPr="00000000" w14:paraId="000000AF">
            <w:pPr>
              <w:spacing w:after="20" w:before="20" w:line="276" w:lineRule="auto"/>
              <w:rPr>
                <w:color w:val="000000"/>
              </w:rPr>
            </w:pPr>
            <w:r w:rsidDel="00000000" w:rsidR="00000000" w:rsidRPr="00000000">
              <w:rPr>
                <w:b w:val="0"/>
                <w:bCs w:val="0"/>
                <w:color w:val="000000"/>
                <w:rtl w:val="0"/>
              </w:rPr>
              <w:t xml:space="preserve">STATCOPE [6]</w:t>
            </w:r>
            <w:r w:rsidDel="00000000" w:rsidR="00000000" w:rsidRPr="00000000">
              <w:rPr>
                <w:rtl w:val="0"/>
              </w:rPr>
            </w:r>
          </w:p>
        </w:tc>
        <w:tc>
          <w:tcPr/>
          <w:p w:rsidR="00000000" w:rsidDel="00000000" w:rsidP="00000000" w:rsidRDefault="00000000" w:rsidRPr="00000000" w14:paraId="000000B0">
            <w:pPr>
              <w:spacing w:after="20" w:before="20" w:line="276" w:lineRule="auto"/>
              <w:rPr>
                <w:color w:val="000000"/>
              </w:rPr>
            </w:pPr>
            <w:r w:rsidDel="00000000" w:rsidR="00000000" w:rsidRPr="00000000">
              <w:rPr>
                <w:color w:val="000000"/>
                <w:rtl w:val="0"/>
              </w:rPr>
              <w:t xml:space="preserve">Simvastatin vs placebo</w:t>
            </w:r>
          </w:p>
        </w:tc>
        <w:tc>
          <w:tcPr/>
          <w:p w:rsidR="00000000" w:rsidDel="00000000" w:rsidP="00000000" w:rsidRDefault="00000000" w:rsidRPr="00000000" w14:paraId="000000B1">
            <w:pPr>
              <w:spacing w:after="20" w:before="20" w:line="276" w:lineRule="auto"/>
              <w:rPr>
                <w:color w:val="000000"/>
              </w:rPr>
            </w:pPr>
            <w:r w:rsidDel="00000000" w:rsidR="00000000" w:rsidRPr="00000000">
              <w:rPr>
                <w:color w:val="000000"/>
                <w:rtl w:val="0"/>
              </w:rPr>
              <w:t xml:space="preserve">COPD at risk of exacerbation</w:t>
            </w:r>
          </w:p>
        </w:tc>
        <w:tc>
          <w:tcPr/>
          <w:p w:rsidR="00000000" w:rsidDel="00000000" w:rsidP="00000000" w:rsidRDefault="00000000" w:rsidRPr="00000000" w14:paraId="000000B2">
            <w:pPr>
              <w:spacing w:after="20" w:before="20" w:line="276" w:lineRule="auto"/>
              <w:rPr>
                <w:color w:val="000000"/>
              </w:rPr>
            </w:pPr>
            <w:r w:rsidDel="00000000" w:rsidR="00000000" w:rsidRPr="00000000">
              <w:rPr>
                <w:color w:val="000000"/>
                <w:rtl w:val="0"/>
              </w:rPr>
              <w:t xml:space="preserve">No effect on exacerbations</w:t>
            </w:r>
          </w:p>
        </w:tc>
        <w:tc>
          <w:tcPr/>
          <w:p w:rsidR="00000000" w:rsidDel="00000000" w:rsidP="00000000" w:rsidRDefault="00000000" w:rsidRPr="00000000" w14:paraId="000000B3">
            <w:pPr>
              <w:spacing w:after="20" w:before="20" w:line="276" w:lineRule="auto"/>
              <w:rPr>
                <w:color w:val="000000"/>
              </w:rPr>
            </w:pPr>
            <w:r w:rsidDel="00000000" w:rsidR="00000000" w:rsidRPr="00000000">
              <w:rPr>
                <w:color w:val="000000"/>
                <w:rtl w:val="0"/>
              </w:rPr>
              <w:t xml:space="preserve">Slow-clock drug measured against a fast-clock outcome — mismatched by design</w:t>
            </w:r>
          </w:p>
        </w:tc>
      </w:tr>
      <w:tr>
        <w:trPr>
          <w:cantSplit w:val="0"/>
          <w:tblHeader w:val="0"/>
        </w:trPr>
        <w:tc>
          <w:tcPr/>
          <w:p w:rsidR="00000000" w:rsidDel="00000000" w:rsidP="00000000" w:rsidRDefault="00000000" w:rsidRPr="00000000" w14:paraId="000000B4">
            <w:pPr>
              <w:spacing w:after="20" w:before="20" w:line="276" w:lineRule="auto"/>
              <w:rPr>
                <w:color w:val="000000"/>
              </w:rPr>
            </w:pPr>
            <w:r w:rsidDel="00000000" w:rsidR="00000000" w:rsidRPr="00000000">
              <w:rPr>
                <w:b w:val="0"/>
                <w:bCs w:val="0"/>
                <w:color w:val="000000"/>
                <w:rtl w:val="0"/>
              </w:rPr>
              <w:t xml:space="preserve">BLOCK-COPD [27]</w:t>
            </w:r>
            <w:r w:rsidDel="00000000" w:rsidR="00000000" w:rsidRPr="00000000">
              <w:rPr>
                <w:rtl w:val="0"/>
              </w:rPr>
            </w:r>
          </w:p>
        </w:tc>
        <w:tc>
          <w:tcPr/>
          <w:p w:rsidR="00000000" w:rsidDel="00000000" w:rsidP="00000000" w:rsidRDefault="00000000" w:rsidRPr="00000000" w14:paraId="000000B5">
            <w:pPr>
              <w:spacing w:after="20" w:before="20" w:line="276" w:lineRule="auto"/>
              <w:rPr>
                <w:color w:val="000000"/>
              </w:rPr>
            </w:pPr>
            <w:r w:rsidDel="00000000" w:rsidR="00000000" w:rsidRPr="00000000">
              <w:rPr>
                <w:color w:val="000000"/>
                <w:rtl w:val="0"/>
              </w:rPr>
              <w:t xml:space="preserve">Metoprolol vs placebo</w:t>
            </w:r>
          </w:p>
        </w:tc>
        <w:tc>
          <w:tcPr/>
          <w:p w:rsidR="00000000" w:rsidDel="00000000" w:rsidP="00000000" w:rsidRDefault="00000000" w:rsidRPr="00000000" w14:paraId="000000B6">
            <w:pPr>
              <w:spacing w:after="20" w:before="20" w:line="276" w:lineRule="auto"/>
              <w:rPr>
                <w:color w:val="000000"/>
              </w:rPr>
            </w:pPr>
            <w:r w:rsidDel="00000000" w:rsidR="00000000" w:rsidRPr="00000000">
              <w:rPr>
                <w:color w:val="000000"/>
                <w:rtl w:val="0"/>
              </w:rPr>
              <w:t xml:space="preserve">Exacerbation-prone COPD, no cardiac indication (substrate absent)</w:t>
            </w:r>
          </w:p>
        </w:tc>
        <w:tc>
          <w:tcPr/>
          <w:p w:rsidR="00000000" w:rsidDel="00000000" w:rsidP="00000000" w:rsidRDefault="00000000" w:rsidRPr="00000000" w14:paraId="000000B7">
            <w:pPr>
              <w:spacing w:after="20" w:before="20" w:line="276" w:lineRule="auto"/>
              <w:rPr>
                <w:color w:val="000000"/>
              </w:rPr>
            </w:pPr>
            <w:r w:rsidDel="00000000" w:rsidR="00000000" w:rsidRPr="00000000">
              <w:rPr>
                <w:color w:val="000000"/>
                <w:rtl w:val="0"/>
              </w:rPr>
              <w:t xml:space="preserve">Hospitalised exacerbation HR 1.91 (1.29–2.83); stopped early</w:t>
            </w:r>
          </w:p>
        </w:tc>
        <w:tc>
          <w:tcPr/>
          <w:p w:rsidR="00000000" w:rsidDel="00000000" w:rsidP="00000000" w:rsidRDefault="00000000" w:rsidRPr="00000000" w14:paraId="000000B8">
            <w:pPr>
              <w:spacing w:after="20" w:before="20" w:line="276" w:lineRule="auto"/>
              <w:rPr>
                <w:color w:val="000000"/>
              </w:rPr>
            </w:pPr>
            <w:r w:rsidDel="00000000" w:rsidR="00000000" w:rsidRPr="00000000">
              <w:rPr>
                <w:color w:val="000000"/>
                <w:rtl w:val="0"/>
              </w:rPr>
              <w:t xml:space="preserve">Fast-clock drug without substrate: no benefit available, respiratory harm realised</w:t>
            </w:r>
          </w:p>
        </w:tc>
      </w:tr>
      <w:tr>
        <w:trPr>
          <w:cantSplit w:val="0"/>
          <w:tblHeader w:val="0"/>
        </w:trPr>
        <w:tc>
          <w:tcPr/>
          <w:p w:rsidR="00000000" w:rsidDel="00000000" w:rsidP="00000000" w:rsidRDefault="00000000" w:rsidRPr="00000000" w14:paraId="000000B9">
            <w:pPr>
              <w:spacing w:after="20" w:before="20" w:line="276" w:lineRule="auto"/>
              <w:rPr>
                <w:color w:val="000000"/>
              </w:rPr>
            </w:pPr>
            <w:r w:rsidDel="00000000" w:rsidR="00000000" w:rsidRPr="00000000">
              <w:rPr>
                <w:b w:val="0"/>
                <w:bCs w:val="0"/>
                <w:color w:val="000000"/>
                <w:rtl w:val="0"/>
              </w:rPr>
              <w:t xml:space="preserve">β-blockade after MI [28-30]</w:t>
            </w:r>
            <w:r w:rsidDel="00000000" w:rsidR="00000000" w:rsidRPr="00000000">
              <w:rPr>
                <w:rtl w:val="0"/>
              </w:rPr>
            </w:r>
          </w:p>
        </w:tc>
        <w:tc>
          <w:tcPr/>
          <w:p w:rsidR="00000000" w:rsidDel="00000000" w:rsidP="00000000" w:rsidRDefault="00000000" w:rsidRPr="00000000" w14:paraId="000000BA">
            <w:pPr>
              <w:spacing w:after="20" w:before="20" w:line="276" w:lineRule="auto"/>
              <w:rPr>
                <w:color w:val="000000"/>
              </w:rPr>
            </w:pPr>
            <w:r w:rsidDel="00000000" w:rsidR="00000000" w:rsidRPr="00000000">
              <w:rPr>
                <w:color w:val="000000"/>
                <w:rtl w:val="0"/>
              </w:rPr>
              <w:t xml:space="preserve">Cardioselective β-blocker, observational</w:t>
            </w:r>
          </w:p>
        </w:tc>
        <w:tc>
          <w:tcPr/>
          <w:p w:rsidR="00000000" w:rsidDel="00000000" w:rsidP="00000000" w:rsidRDefault="00000000" w:rsidRPr="00000000" w14:paraId="000000BB">
            <w:pPr>
              <w:spacing w:after="20" w:before="20" w:line="276" w:lineRule="auto"/>
              <w:rPr>
                <w:color w:val="000000"/>
              </w:rPr>
            </w:pPr>
            <w:r w:rsidDel="00000000" w:rsidR="00000000" w:rsidRPr="00000000">
              <w:rPr>
                <w:color w:val="000000"/>
                <w:rtl w:val="0"/>
              </w:rPr>
              <w:t xml:space="preserve">COPD with established cardiac indication (substrate present)</w:t>
            </w:r>
          </w:p>
        </w:tc>
        <w:tc>
          <w:tcPr/>
          <w:p w:rsidR="00000000" w:rsidDel="00000000" w:rsidP="00000000" w:rsidRDefault="00000000" w:rsidRPr="00000000" w14:paraId="000000BC">
            <w:pPr>
              <w:spacing w:after="20" w:before="20" w:line="276" w:lineRule="auto"/>
              <w:rPr>
                <w:color w:val="000000"/>
              </w:rPr>
            </w:pPr>
            <w:r w:rsidDel="00000000" w:rsidR="00000000" w:rsidRPr="00000000">
              <w:rPr>
                <w:color w:val="000000"/>
                <w:rtl w:val="0"/>
              </w:rPr>
              <w:t xml:space="preserve">HR 1.01 (0.66–1.54) for harm; mortality benefit; cardioselective &gt; non-selective</w:t>
            </w:r>
          </w:p>
        </w:tc>
        <w:tc>
          <w:tcPr/>
          <w:p w:rsidR="00000000" w:rsidDel="00000000" w:rsidP="00000000" w:rsidRDefault="00000000" w:rsidRPr="00000000" w14:paraId="000000BD">
            <w:pPr>
              <w:spacing w:after="20" w:before="20" w:line="276" w:lineRule="auto"/>
              <w:rPr>
                <w:color w:val="000000"/>
              </w:rPr>
            </w:pPr>
            <w:r w:rsidDel="00000000" w:rsidR="00000000" w:rsidRPr="00000000">
              <w:rPr>
                <w:color w:val="000000"/>
                <w:rtl w:val="0"/>
              </w:rPr>
              <w:t xml:space="preserve">Same drug, substrate present — the balance inverts, as the model requires</w:t>
            </w:r>
          </w:p>
        </w:tc>
      </w:tr>
    </w:tbl>
    <w:p w:rsidR="00000000" w:rsidDel="00000000" w:rsidP="00000000" w:rsidRDefault="00000000" w:rsidRPr="00000000" w14:paraId="000000BE">
      <w:pPr>
        <w:pStyle w:val="Heading1"/>
        <w:keepNext w:val="1"/>
        <w:spacing w:after="100" w:before="280" w:line="276" w:lineRule="auto"/>
        <w:rPr>
          <w:color w:val="000000"/>
          <w:sz w:val="24"/>
          <w:szCs w:val="24"/>
        </w:rPr>
      </w:pPr>
      <w:r w:rsidDel="00000000" w:rsidR="00000000" w:rsidRPr="00000000">
        <w:rPr>
          <w:b w:val="1"/>
          <w:bCs w:val="1"/>
          <w:color w:val="000000"/>
          <w:sz w:val="24"/>
          <w:szCs w:val="24"/>
          <w:rtl w:val="0"/>
        </w:rPr>
        <w:t xml:space="preserve">10. Clinical Implications</w:t>
      </w:r>
      <w:r w:rsidDel="00000000" w:rsidR="00000000" w:rsidRPr="00000000">
        <w:rPr>
          <w:rtl w:val="0"/>
        </w:rPr>
      </w:r>
    </w:p>
    <w:p w:rsidR="00000000" w:rsidDel="00000000" w:rsidP="00000000" w:rsidRDefault="00000000" w:rsidRPr="00000000" w14:paraId="000000BF">
      <w:pPr>
        <w:spacing w:line="276" w:lineRule="auto"/>
        <w:ind w:firstLine="360"/>
        <w:jc w:val="both"/>
        <w:rPr>
          <w:color w:val="000000"/>
        </w:rPr>
      </w:pPr>
      <w:r w:rsidDel="00000000" w:rsidR="00000000" w:rsidRPr="00000000">
        <w:rPr>
          <w:color w:val="000000"/>
          <w:rtl w:val="0"/>
        </w:rPr>
        <w:t xml:space="preserve">The model changes what should be done, not merely how it is described.</w:t>
      </w:r>
    </w:p>
    <w:p w:rsidR="00000000" w:rsidDel="00000000" w:rsidP="00000000" w:rsidRDefault="00000000" w:rsidRPr="00000000" w14:paraId="000000C0">
      <w:pPr>
        <w:spacing w:line="276" w:lineRule="auto"/>
        <w:ind w:firstLine="360"/>
        <w:jc w:val="both"/>
        <w:rPr>
          <w:color w:val="000000"/>
        </w:rPr>
      </w:pPr>
      <w:r w:rsidDel="00000000" w:rsidR="00000000" w:rsidRPr="00000000">
        <w:rPr>
          <w:color w:val="000000"/>
          <w:rtl w:val="0"/>
        </w:rPr>
        <w:t xml:space="preserve">In the patient with stable COPD, cardiovascular risk should be assessed and treated on cardiovascular grounds, using conventional tools, and not deferred because the dyspnoea has a respiratory label. This is the slow clock, and it responds to slow-clock medicine. There is no evidence supporting cardiovascular drugs beyond established cardiovascular indications in order to improve COPD outcomes [31], and BLOCK-COPD is a warning against trying [27]. Conversely, exacerbation prevention — vaccination, appropriate inhaled therapy, pulmonary rehabilitation, smoking cessation — should be understood as cardiovascular prevention in the exacerbation-prone patient, which is how the ETHOS signal is best read and how the recent cardiopulmonary-risk framing has begun to move [24,31,32].</w:t>
      </w:r>
    </w:p>
    <w:p w:rsidR="00000000" w:rsidDel="00000000" w:rsidP="00000000" w:rsidRDefault="00000000" w:rsidRPr="00000000" w14:paraId="000000C1">
      <w:pPr>
        <w:spacing w:line="276" w:lineRule="auto"/>
        <w:ind w:firstLine="360"/>
        <w:jc w:val="both"/>
        <w:rPr>
          <w:color w:val="000000"/>
        </w:rPr>
      </w:pPr>
      <w:r w:rsidDel="00000000" w:rsidR="00000000" w:rsidRPr="00000000">
        <w:rPr>
          <w:color w:val="000000"/>
          <w:rtl w:val="0"/>
        </w:rPr>
        <w:t xml:space="preserve">In the patient presenting with an exacerbation, the fast clock is running and the first 30 days are the window of danger [16-18]. This argues for measuring troponin, not to diagnose acute coronary syndrome, but to identify the high-risk patient; for correcting the physiology that drives supply–demand ischaemia; and for titrated oxygen to a target saturation of 88–92% rather than the ≥90% of the general acute coronary syndrome pathway, since carbon dioxide retention and worsening respiratory acidosis are real hazards in this population and arterial blood gases should be checked accordingly [33,34].</w:t>
      </w:r>
    </w:p>
    <w:p w:rsidR="00000000" w:rsidDel="00000000" w:rsidP="00000000" w:rsidRDefault="00000000" w:rsidRPr="00000000" w14:paraId="000000C2">
      <w:pPr>
        <w:spacing w:line="276" w:lineRule="auto"/>
        <w:ind w:firstLine="360"/>
        <w:jc w:val="both"/>
        <w:rPr>
          <w:color w:val="000000"/>
        </w:rPr>
      </w:pPr>
      <w:r w:rsidDel="00000000" w:rsidR="00000000" w:rsidRPr="00000000">
        <w:rPr>
          <w:color w:val="000000"/>
          <w:rtl w:val="0"/>
        </w:rPr>
        <w:t xml:space="preserve">In the patient in whom both are happening at once — the common case — the discipline is to classify the mechanism before committing to a pathway. A patient with exacerbation, hypoxaemia, tachycardia and a modest troponin rise without regional change is being told something about his physiology. A patient with exacerbation and ischaemic symptoms disproportionate to his respiratory state, dynamic regional electrocardiographic change and a large troponin is being told something about his coronary artery. The first needs his exacerbation treated. The second needs the catheter laboratory. Treating them identically, in either direction, is the error the field has institutionalised.</w:t>
      </w:r>
    </w:p>
    <w:p w:rsidR="00000000" w:rsidDel="00000000" w:rsidP="00000000" w:rsidRDefault="00000000" w:rsidRPr="00000000" w14:paraId="000000C3">
      <w:pPr>
        <w:spacing w:line="276" w:lineRule="auto"/>
        <w:ind w:firstLine="360"/>
        <w:jc w:val="both"/>
        <w:rPr>
          <w:color w:val="000000"/>
        </w:rPr>
      </w:pPr>
      <w:r w:rsidDel="00000000" w:rsidR="00000000" w:rsidRPr="00000000">
        <w:rPr>
          <w:color w:val="000000"/>
          <w:rtl w:val="0"/>
        </w:rPr>
        <w:t xml:space="preserve">One asymmetry deserves explicit statement, because it cuts against the tenor of this review. Under-treatment of genuine coronary disease in COPD is well documented: these patients receive fewer invasive procedures and less secondary prevention, partly from a reasonable perception of frailty and partly from diagnostic pessimism [35,36]. Nothing here should be read as licence for therapeutic restraint. The argument is for mechanism-directed treatment, which will mean fewer futile pathways in some patients and considerably more assertive treatment in others.</w:t>
      </w:r>
    </w:p>
    <w:p w:rsidR="00000000" w:rsidDel="00000000" w:rsidP="00000000" w:rsidRDefault="00000000" w:rsidRPr="00000000" w14:paraId="000000C4">
      <w:pPr>
        <w:pStyle w:val="Heading1"/>
        <w:keepNext w:val="1"/>
        <w:spacing w:after="100" w:before="280" w:line="276" w:lineRule="auto"/>
        <w:rPr>
          <w:color w:val="000000"/>
          <w:sz w:val="24"/>
          <w:szCs w:val="24"/>
        </w:rPr>
      </w:pPr>
      <w:r w:rsidDel="00000000" w:rsidR="00000000" w:rsidRPr="00000000">
        <w:rPr>
          <w:b w:val="1"/>
          <w:bCs w:val="1"/>
          <w:color w:val="000000"/>
          <w:sz w:val="24"/>
          <w:szCs w:val="24"/>
          <w:rtl w:val="0"/>
        </w:rPr>
        <w:t xml:space="preserve">11. Predictions and Refutation</w:t>
      </w:r>
      <w:r w:rsidDel="00000000" w:rsidR="00000000" w:rsidRPr="00000000">
        <w:rPr>
          <w:rtl w:val="0"/>
        </w:rPr>
      </w:r>
    </w:p>
    <w:p w:rsidR="00000000" w:rsidDel="00000000" w:rsidP="00000000" w:rsidRDefault="00000000" w:rsidRPr="00000000" w14:paraId="000000C5">
      <w:pPr>
        <w:spacing w:line="276" w:lineRule="auto"/>
        <w:ind w:firstLine="360"/>
        <w:jc w:val="both"/>
        <w:rPr>
          <w:color w:val="000000"/>
        </w:rPr>
      </w:pPr>
      <w:r w:rsidDel="00000000" w:rsidR="00000000" w:rsidRPr="00000000">
        <w:rPr>
          <w:color w:val="000000"/>
          <w:rtl w:val="0"/>
        </w:rPr>
        <w:t xml:space="preserve">The model forbids things, which is its main claim to seriousness.</w:t>
      </w:r>
    </w:p>
    <w:p w:rsidR="00000000" w:rsidDel="00000000" w:rsidP="00000000" w:rsidRDefault="00000000" w:rsidRPr="00000000" w14:paraId="000000C6">
      <w:pPr>
        <w:spacing w:line="276" w:lineRule="auto"/>
        <w:ind w:firstLine="360"/>
        <w:jc w:val="both"/>
        <w:rPr>
          <w:color w:val="000000"/>
        </w:rPr>
      </w:pPr>
      <w:r w:rsidDel="00000000" w:rsidR="00000000" w:rsidRPr="00000000">
        <w:rPr>
          <w:color w:val="000000"/>
          <w:rtl w:val="0"/>
        </w:rPr>
        <w:t xml:space="preserve">It predicts that a well-powered multivariable or cis-instrumented Mendelian randomization of airflow obstruction against coronary artery disease, properly conditioned on smoking, will remain close to null. A robust positive estimate would restore the chronic channel and falsify the central asymmetry.</w:t>
      </w:r>
    </w:p>
    <w:p w:rsidR="00000000" w:rsidDel="00000000" w:rsidP="00000000" w:rsidRDefault="00000000" w:rsidRPr="00000000" w14:paraId="000000C7">
      <w:pPr>
        <w:spacing w:line="276" w:lineRule="auto"/>
        <w:ind w:firstLine="360"/>
        <w:jc w:val="both"/>
        <w:rPr>
          <w:color w:val="000000"/>
        </w:rPr>
      </w:pPr>
      <w:r w:rsidDel="00000000" w:rsidR="00000000" w:rsidRPr="00000000">
        <w:rPr>
          <w:color w:val="000000"/>
          <w:rtl w:val="0"/>
        </w:rPr>
        <w:t xml:space="preserve">It predicts that exacerbation prevention will reduce cardiovascular events in proportion to baseline exacerbation frequency, and not otherwise. This is directly testable: a randomized trial of exacerbation prevention in frequent exacerbators with cardiovascular events as a prespecified primary endpoint has never been done, and the SUMMIT–ETHOS contrast is the strongest available argument that it should be. If such a trial were neutral in a high-trigger population, the fast-clock channel would lose its therapeutic claim.</w:t>
      </w:r>
    </w:p>
    <w:p w:rsidR="00000000" w:rsidDel="00000000" w:rsidP="00000000" w:rsidRDefault="00000000" w:rsidRPr="00000000" w14:paraId="000000C8">
      <w:pPr>
        <w:spacing w:line="276" w:lineRule="auto"/>
        <w:ind w:firstLine="360"/>
        <w:jc w:val="both"/>
        <w:rPr>
          <w:color w:val="000000"/>
        </w:rPr>
      </w:pPr>
      <w:r w:rsidDel="00000000" w:rsidR="00000000" w:rsidRPr="00000000">
        <w:rPr>
          <w:color w:val="000000"/>
          <w:rtl w:val="0"/>
        </w:rPr>
        <w:t xml:space="preserve">It predicts that systematic mechanistic adjudication of troponin-positive exacerbation — by angiography, intracoronary imaging or coronary computed tomography — will find a majority without acute atherothrombosis, but a substantial and non-trivial minority with it. Prospective adjudication in this population is scarce, and the existing angiographic series are small and selected [3]. If such a study found plaque rupture in most cases, the event-type corollary would fail, though the confounding argument would survive.</w:t>
      </w:r>
    </w:p>
    <w:p w:rsidR="00000000" w:rsidDel="00000000" w:rsidP="00000000" w:rsidRDefault="00000000" w:rsidRPr="00000000" w14:paraId="000000C9">
      <w:pPr>
        <w:spacing w:line="276" w:lineRule="auto"/>
        <w:ind w:firstLine="360"/>
        <w:jc w:val="both"/>
        <w:rPr>
          <w:color w:val="000000"/>
        </w:rPr>
      </w:pPr>
      <w:r w:rsidDel="00000000" w:rsidR="00000000" w:rsidRPr="00000000">
        <w:rPr>
          <w:color w:val="000000"/>
          <w:rtl w:val="0"/>
        </w:rPr>
        <w:t xml:space="preserve">It predicts that β-blocker benefit in COPD tracks cardiac indication and not COPD severity, and that trials enrolling patients with substrate will not reproduce BLOCK-COPD's harm signal. It predicts that anti-inflammatory agents with proven atherothrombotic efficacy — low-dose colchicine, interleukin-1β or interleukin-6 pathway inhibition — will behave in COPD exactly as they behave in anyone else with the same coronary substrate, with no COPD-specific increment. A COPD-specific increment would be direct evidence of a shared inflammatory mechanism and would substantially revive the hypothesis this review rejects.</w:t>
      </w:r>
    </w:p>
    <w:p w:rsidR="00000000" w:rsidDel="00000000" w:rsidP="00000000" w:rsidRDefault="00000000" w:rsidRPr="00000000" w14:paraId="000000CA">
      <w:pPr>
        <w:keepNext w:val="1"/>
        <w:spacing w:after="80" w:before="220" w:line="276" w:lineRule="auto"/>
        <w:rPr>
          <w:color w:val="000000"/>
        </w:rPr>
      </w:pPr>
      <w:r w:rsidDel="00000000" w:rsidR="00000000" w:rsidRPr="00000000">
        <w:rPr>
          <w:b w:val="1"/>
          <w:bCs w:val="1"/>
          <w:color w:val="000000"/>
          <w:rtl w:val="0"/>
        </w:rPr>
        <w:t xml:space="preserve">Table 5. </w:t>
      </w:r>
      <w:r w:rsidDel="00000000" w:rsidR="00000000" w:rsidRPr="00000000">
        <w:rPr>
          <w:color w:val="000000"/>
          <w:rtl w:val="0"/>
        </w:rPr>
        <w:t xml:space="preserve">Falsifiable predictions of the two-clock model and the studies that would test them.</w:t>
      </w:r>
    </w:p>
    <w:tbl>
      <w:tblPr>
        <w:tblStyle w:val="Table5"/>
        <w:tblW w:w="9360.0" w:type="dxa"/>
        <w:jc w:val="left"/>
        <w:tblBorders>
          <w:top w:color="7f7f7f" w:space="0" w:sz="4" w:val="single"/>
          <w:bottom w:color="7f7f7f" w:space="0" w:sz="4" w:val="single"/>
        </w:tblBorders>
        <w:tblLayout w:type="fixed"/>
        <w:tblLook w:val="04A0"/>
      </w:tblPr>
      <w:tblGrid>
        <w:gridCol w:w="2700"/>
        <w:gridCol w:w="3600"/>
        <w:gridCol w:w="3060"/>
        <w:tblGridChange w:id="0">
          <w:tblGrid>
            <w:gridCol w:w="2700"/>
            <w:gridCol w:w="3600"/>
            <w:gridCol w:w="3060"/>
          </w:tblGrid>
        </w:tblGridChange>
      </w:tblGrid>
      <w:tr>
        <w:trPr>
          <w:cantSplit w:val="0"/>
          <w:tblHeader w:val="0"/>
        </w:trPr>
        <w:tc>
          <w:tcPr>
            <w:vAlign w:val="center"/>
          </w:tcPr>
          <w:p w:rsidR="00000000" w:rsidDel="00000000" w:rsidP="00000000" w:rsidRDefault="00000000" w:rsidRPr="00000000" w14:paraId="000000CB">
            <w:pPr>
              <w:spacing w:after="20" w:before="20" w:lineRule="auto"/>
              <w:jc w:val="center"/>
              <w:rPr>
                <w:color w:val="000000"/>
              </w:rPr>
            </w:pPr>
            <w:r w:rsidDel="00000000" w:rsidR="00000000" w:rsidRPr="00000000">
              <w:rPr>
                <w:color w:val="000000"/>
                <w:rtl w:val="0"/>
              </w:rPr>
              <w:t xml:space="preserve">Prediction</w:t>
            </w:r>
          </w:p>
        </w:tc>
        <w:tc>
          <w:tcPr>
            <w:vAlign w:val="center"/>
          </w:tcPr>
          <w:p w:rsidR="00000000" w:rsidDel="00000000" w:rsidP="00000000" w:rsidRDefault="00000000" w:rsidRPr="00000000" w14:paraId="000000CC">
            <w:pPr>
              <w:spacing w:after="20" w:before="20" w:lineRule="auto"/>
              <w:jc w:val="center"/>
              <w:rPr>
                <w:color w:val="000000"/>
              </w:rPr>
            </w:pPr>
            <w:r w:rsidDel="00000000" w:rsidR="00000000" w:rsidRPr="00000000">
              <w:rPr>
                <w:color w:val="000000"/>
                <w:rtl w:val="0"/>
              </w:rPr>
              <w:t xml:space="preserve">Test</w:t>
            </w:r>
          </w:p>
        </w:tc>
        <w:tc>
          <w:tcPr>
            <w:vAlign w:val="center"/>
          </w:tcPr>
          <w:p w:rsidR="00000000" w:rsidDel="00000000" w:rsidP="00000000" w:rsidRDefault="00000000" w:rsidRPr="00000000" w14:paraId="000000CD">
            <w:pPr>
              <w:spacing w:after="20" w:before="20" w:lineRule="auto"/>
              <w:jc w:val="center"/>
              <w:rPr>
                <w:color w:val="000000"/>
              </w:rPr>
            </w:pPr>
            <w:r w:rsidDel="00000000" w:rsidR="00000000" w:rsidRPr="00000000">
              <w:rPr>
                <w:color w:val="000000"/>
                <w:rtl w:val="0"/>
              </w:rPr>
              <w:t xml:space="preserve">Result that would refute the model</w:t>
            </w:r>
          </w:p>
        </w:tc>
      </w:tr>
      <w:tr>
        <w:trPr>
          <w:cantSplit w:val="0"/>
          <w:tblHeader w:val="0"/>
        </w:trPr>
        <w:tc>
          <w:tcPr/>
          <w:p w:rsidR="00000000" w:rsidDel="00000000" w:rsidP="00000000" w:rsidRDefault="00000000" w:rsidRPr="00000000" w14:paraId="000000CE">
            <w:pPr>
              <w:spacing w:after="20" w:before="20" w:lineRule="auto"/>
              <w:rPr>
                <w:color w:val="000000"/>
              </w:rPr>
            </w:pPr>
            <w:r w:rsidDel="00000000" w:rsidR="00000000" w:rsidRPr="00000000">
              <w:rPr>
                <w:b w:val="0"/>
                <w:bCs w:val="0"/>
                <w:color w:val="000000"/>
                <w:rtl w:val="0"/>
              </w:rPr>
              <w:t xml:space="preserve">Airflow obstruction is not a material causal cause of coronary artery disease</w:t>
            </w:r>
            <w:r w:rsidDel="00000000" w:rsidR="00000000" w:rsidRPr="00000000">
              <w:rPr>
                <w:rtl w:val="0"/>
              </w:rPr>
            </w:r>
          </w:p>
        </w:tc>
        <w:tc>
          <w:tcPr/>
          <w:p w:rsidR="00000000" w:rsidDel="00000000" w:rsidP="00000000" w:rsidRDefault="00000000" w:rsidRPr="00000000" w14:paraId="000000CF">
            <w:pPr>
              <w:spacing w:after="20" w:before="20" w:lineRule="auto"/>
              <w:rPr>
                <w:color w:val="000000"/>
              </w:rPr>
            </w:pPr>
            <w:r w:rsidDel="00000000" w:rsidR="00000000" w:rsidRPr="00000000">
              <w:rPr>
                <w:color w:val="000000"/>
                <w:rtl w:val="0"/>
              </w:rPr>
              <w:t xml:space="preserve">Well-powered multivariable / cis-instrumented Mendelian randomization of FEV1 and COPD liability, conditioned on smoking</w:t>
            </w:r>
          </w:p>
        </w:tc>
        <w:tc>
          <w:tcPr/>
          <w:p w:rsidR="00000000" w:rsidDel="00000000" w:rsidP="00000000" w:rsidRDefault="00000000" w:rsidRPr="00000000" w14:paraId="000000D0">
            <w:pPr>
              <w:spacing w:after="20" w:before="20" w:lineRule="auto"/>
              <w:rPr>
                <w:color w:val="000000"/>
              </w:rPr>
            </w:pPr>
            <w:r w:rsidDel="00000000" w:rsidR="00000000" w:rsidRPr="00000000">
              <w:rPr>
                <w:color w:val="000000"/>
                <w:rtl w:val="0"/>
              </w:rPr>
              <w:t xml:space="preserve">A robust, clinically material positive causal estimate</w:t>
            </w:r>
          </w:p>
        </w:tc>
      </w:tr>
      <w:tr>
        <w:trPr>
          <w:cantSplit w:val="0"/>
          <w:tblHeader w:val="0"/>
        </w:trPr>
        <w:tc>
          <w:tcPr/>
          <w:p w:rsidR="00000000" w:rsidDel="00000000" w:rsidP="00000000" w:rsidRDefault="00000000" w:rsidRPr="00000000" w14:paraId="000000D1">
            <w:pPr>
              <w:spacing w:after="20" w:before="20" w:lineRule="auto"/>
              <w:rPr>
                <w:color w:val="000000"/>
              </w:rPr>
            </w:pPr>
            <w:r w:rsidDel="00000000" w:rsidR="00000000" w:rsidRPr="00000000">
              <w:rPr>
                <w:b w:val="0"/>
                <w:bCs w:val="0"/>
                <w:color w:val="000000"/>
                <w:rtl w:val="0"/>
              </w:rPr>
              <w:t xml:space="preserve">Exacerbation prevention reduces cardiovascular events in proportion to trigger burden</w:t>
            </w:r>
            <w:r w:rsidDel="00000000" w:rsidR="00000000" w:rsidRPr="00000000">
              <w:rPr>
                <w:rtl w:val="0"/>
              </w:rPr>
            </w:r>
          </w:p>
        </w:tc>
        <w:tc>
          <w:tcPr/>
          <w:p w:rsidR="00000000" w:rsidDel="00000000" w:rsidP="00000000" w:rsidRDefault="00000000" w:rsidRPr="00000000" w14:paraId="000000D2">
            <w:pPr>
              <w:spacing w:after="20" w:before="20" w:lineRule="auto"/>
              <w:rPr>
                <w:color w:val="000000"/>
              </w:rPr>
            </w:pPr>
            <w:r w:rsidDel="00000000" w:rsidR="00000000" w:rsidRPr="00000000">
              <w:rPr>
                <w:color w:val="000000"/>
                <w:rtl w:val="0"/>
              </w:rPr>
              <w:t xml:space="preserve">Randomized trial of exacerbation prevention in frequent exacerbators with a prespecified cardiovascular primary endpoint</w:t>
            </w:r>
          </w:p>
        </w:tc>
        <w:tc>
          <w:tcPr/>
          <w:p w:rsidR="00000000" w:rsidDel="00000000" w:rsidP="00000000" w:rsidRDefault="00000000" w:rsidRPr="00000000" w14:paraId="000000D3">
            <w:pPr>
              <w:spacing w:after="20" w:before="20" w:lineRule="auto"/>
              <w:rPr>
                <w:color w:val="000000"/>
              </w:rPr>
            </w:pPr>
            <w:r w:rsidDel="00000000" w:rsidR="00000000" w:rsidRPr="00000000">
              <w:rPr>
                <w:color w:val="000000"/>
                <w:rtl w:val="0"/>
              </w:rPr>
              <w:t xml:space="preserve">Neutral cardiovascular result in a genuinely high-trigger population</w:t>
            </w:r>
          </w:p>
        </w:tc>
      </w:tr>
      <w:tr>
        <w:trPr>
          <w:cantSplit w:val="0"/>
          <w:tblHeader w:val="0"/>
        </w:trPr>
        <w:tc>
          <w:tcPr/>
          <w:p w:rsidR="00000000" w:rsidDel="00000000" w:rsidP="00000000" w:rsidRDefault="00000000" w:rsidRPr="00000000" w14:paraId="000000D4">
            <w:pPr>
              <w:spacing w:after="20" w:before="20" w:lineRule="auto"/>
              <w:rPr>
                <w:color w:val="000000"/>
              </w:rPr>
            </w:pPr>
            <w:r w:rsidDel="00000000" w:rsidR="00000000" w:rsidRPr="00000000">
              <w:rPr>
                <w:b w:val="0"/>
                <w:bCs w:val="0"/>
                <w:color w:val="000000"/>
                <w:rtl w:val="0"/>
              </w:rPr>
              <w:t xml:space="preserve">Most troponin-positive exacerbations are not atherothrombotic</w:t>
            </w:r>
            <w:r w:rsidDel="00000000" w:rsidR="00000000" w:rsidRPr="00000000">
              <w:rPr>
                <w:rtl w:val="0"/>
              </w:rPr>
            </w:r>
          </w:p>
        </w:tc>
        <w:tc>
          <w:tcPr/>
          <w:p w:rsidR="00000000" w:rsidDel="00000000" w:rsidP="00000000" w:rsidRDefault="00000000" w:rsidRPr="00000000" w14:paraId="000000D5">
            <w:pPr>
              <w:spacing w:after="20" w:before="20" w:lineRule="auto"/>
              <w:rPr>
                <w:color w:val="000000"/>
              </w:rPr>
            </w:pPr>
            <w:r w:rsidDel="00000000" w:rsidR="00000000" w:rsidRPr="00000000">
              <w:rPr>
                <w:color w:val="000000"/>
                <w:rtl w:val="0"/>
              </w:rPr>
              <w:t xml:space="preserve">Prospective mechanistic adjudication with angiography, intracoronary imaging or coronary CT</w:t>
            </w:r>
          </w:p>
        </w:tc>
        <w:tc>
          <w:tcPr/>
          <w:p w:rsidR="00000000" w:rsidDel="00000000" w:rsidP="00000000" w:rsidRDefault="00000000" w:rsidRPr="00000000" w14:paraId="000000D6">
            <w:pPr>
              <w:spacing w:after="20" w:before="20" w:lineRule="auto"/>
              <w:rPr>
                <w:color w:val="000000"/>
              </w:rPr>
            </w:pPr>
            <w:r w:rsidDel="00000000" w:rsidR="00000000" w:rsidRPr="00000000">
              <w:rPr>
                <w:color w:val="000000"/>
                <w:rtl w:val="0"/>
              </w:rPr>
              <w:t xml:space="preserve">Acute plaque disruption in the majority</w:t>
            </w:r>
          </w:p>
        </w:tc>
      </w:tr>
      <w:tr>
        <w:trPr>
          <w:cantSplit w:val="0"/>
          <w:tblHeader w:val="0"/>
        </w:trPr>
        <w:tc>
          <w:tcPr/>
          <w:p w:rsidR="00000000" w:rsidDel="00000000" w:rsidP="00000000" w:rsidRDefault="00000000" w:rsidRPr="00000000" w14:paraId="000000D7">
            <w:pPr>
              <w:spacing w:after="20" w:before="20" w:lineRule="auto"/>
              <w:rPr>
                <w:color w:val="000000"/>
              </w:rPr>
            </w:pPr>
            <w:r w:rsidDel="00000000" w:rsidR="00000000" w:rsidRPr="00000000">
              <w:rPr>
                <w:b w:val="0"/>
                <w:bCs w:val="0"/>
                <w:color w:val="000000"/>
                <w:rtl w:val="0"/>
              </w:rPr>
              <w:t xml:space="preserve">β-blocker effect tracks cardiac indication, not COPD severity</w:t>
            </w:r>
            <w:r w:rsidDel="00000000" w:rsidR="00000000" w:rsidRPr="00000000">
              <w:rPr>
                <w:rtl w:val="0"/>
              </w:rPr>
            </w:r>
          </w:p>
        </w:tc>
        <w:tc>
          <w:tcPr/>
          <w:p w:rsidR="00000000" w:rsidDel="00000000" w:rsidP="00000000" w:rsidRDefault="00000000" w:rsidRPr="00000000" w14:paraId="000000D8">
            <w:pPr>
              <w:spacing w:after="20" w:before="20" w:lineRule="auto"/>
              <w:rPr>
                <w:color w:val="000000"/>
              </w:rPr>
            </w:pPr>
            <w:r w:rsidDel="00000000" w:rsidR="00000000" w:rsidRPr="00000000">
              <w:rPr>
                <w:color w:val="000000"/>
                <w:rtl w:val="0"/>
              </w:rPr>
              <w:t xml:space="preserve">Randomized β-blocker trial in COPD with an established cardiac indication</w:t>
            </w:r>
          </w:p>
        </w:tc>
        <w:tc>
          <w:tcPr/>
          <w:p w:rsidR="00000000" w:rsidDel="00000000" w:rsidP="00000000" w:rsidRDefault="00000000" w:rsidRPr="00000000" w14:paraId="000000D9">
            <w:pPr>
              <w:spacing w:after="20" w:before="20" w:lineRule="auto"/>
              <w:rPr>
                <w:color w:val="000000"/>
              </w:rPr>
            </w:pPr>
            <w:r w:rsidDel="00000000" w:rsidR="00000000" w:rsidRPr="00000000">
              <w:rPr>
                <w:color w:val="000000"/>
                <w:rtl w:val="0"/>
              </w:rPr>
              <w:t xml:space="preserve">Reproduction of the BLOCK-COPD harm signal despite substrate</w:t>
            </w:r>
          </w:p>
        </w:tc>
      </w:tr>
      <w:tr>
        <w:trPr>
          <w:cantSplit w:val="0"/>
          <w:tblHeader w:val="0"/>
        </w:trPr>
        <w:tc>
          <w:tcPr/>
          <w:p w:rsidR="00000000" w:rsidDel="00000000" w:rsidP="00000000" w:rsidRDefault="00000000" w:rsidRPr="00000000" w14:paraId="000000DA">
            <w:pPr>
              <w:spacing w:after="20" w:before="20" w:lineRule="auto"/>
              <w:rPr>
                <w:color w:val="000000"/>
              </w:rPr>
            </w:pPr>
            <w:r w:rsidDel="00000000" w:rsidR="00000000" w:rsidRPr="00000000">
              <w:rPr>
                <w:b w:val="0"/>
                <w:bCs w:val="0"/>
                <w:color w:val="000000"/>
                <w:rtl w:val="0"/>
              </w:rPr>
              <w:t xml:space="preserve">No COPD-specific inflammatory increment exists</w:t>
            </w:r>
            <w:r w:rsidDel="00000000" w:rsidR="00000000" w:rsidRPr="00000000">
              <w:rPr>
                <w:rtl w:val="0"/>
              </w:rPr>
            </w:r>
          </w:p>
        </w:tc>
        <w:tc>
          <w:tcPr/>
          <w:p w:rsidR="00000000" w:rsidDel="00000000" w:rsidP="00000000" w:rsidRDefault="00000000" w:rsidRPr="00000000" w14:paraId="000000DB">
            <w:pPr>
              <w:spacing w:after="20" w:before="20" w:lineRule="auto"/>
              <w:rPr>
                <w:color w:val="000000"/>
              </w:rPr>
            </w:pPr>
            <w:r w:rsidDel="00000000" w:rsidR="00000000" w:rsidRPr="00000000">
              <w:rPr>
                <w:color w:val="000000"/>
                <w:rtl w:val="0"/>
              </w:rPr>
              <w:t xml:space="preserve">Colchicine or IL-1β/IL-6 pathway inhibition in coronary disease, stratified by COPD status</w:t>
            </w:r>
          </w:p>
        </w:tc>
        <w:tc>
          <w:tcPr/>
          <w:p w:rsidR="00000000" w:rsidDel="00000000" w:rsidP="00000000" w:rsidRDefault="00000000" w:rsidRPr="00000000" w14:paraId="000000DC">
            <w:pPr>
              <w:spacing w:after="20" w:before="20" w:lineRule="auto"/>
              <w:rPr>
                <w:color w:val="000000"/>
              </w:rPr>
            </w:pPr>
            <w:r w:rsidDel="00000000" w:rsidR="00000000" w:rsidRPr="00000000">
              <w:rPr>
                <w:color w:val="000000"/>
                <w:rtl w:val="0"/>
              </w:rPr>
              <w:t xml:space="preserve">A COPD-specific treatment-effect increment beyond the shared substrate</w:t>
            </w:r>
          </w:p>
        </w:tc>
      </w:tr>
    </w:tbl>
    <w:p w:rsidR="00000000" w:rsidDel="00000000" w:rsidP="00000000" w:rsidRDefault="00000000" w:rsidRPr="00000000" w14:paraId="000000DD">
      <w:pPr>
        <w:pStyle w:val="Heading1"/>
        <w:keepNext w:val="1"/>
        <w:spacing w:after="100" w:before="280" w:line="276" w:lineRule="auto"/>
        <w:rPr>
          <w:color w:val="000000"/>
          <w:sz w:val="24"/>
          <w:szCs w:val="24"/>
        </w:rPr>
      </w:pPr>
      <w:r w:rsidDel="00000000" w:rsidR="00000000" w:rsidRPr="00000000">
        <w:rPr>
          <w:b w:val="1"/>
          <w:bCs w:val="1"/>
          <w:color w:val="000000"/>
          <w:sz w:val="24"/>
          <w:szCs w:val="24"/>
          <w:rtl w:val="0"/>
        </w:rPr>
        <w:t xml:space="preserve">12. Limitations</w:t>
      </w:r>
      <w:r w:rsidDel="00000000" w:rsidR="00000000" w:rsidRPr="00000000">
        <w:rPr>
          <w:rtl w:val="0"/>
        </w:rPr>
      </w:r>
    </w:p>
    <w:p w:rsidR="00000000" w:rsidDel="00000000" w:rsidP="00000000" w:rsidRDefault="00000000" w:rsidRPr="00000000" w14:paraId="000000DE">
      <w:pPr>
        <w:spacing w:line="276" w:lineRule="auto"/>
        <w:ind w:firstLine="360"/>
        <w:jc w:val="both"/>
        <w:rPr>
          <w:color w:val="000000"/>
        </w:rPr>
      </w:pPr>
      <w:r w:rsidDel="00000000" w:rsidR="00000000" w:rsidRPr="00000000">
        <w:rPr>
          <w:color w:val="000000"/>
          <w:rtl w:val="0"/>
        </w:rPr>
        <w:t xml:space="preserve">The Mendelian randomization evidence on which the confounding argument leans is not decisive. COPD liability instruments are entangled with smoking behaviour; conditioning on height, itself heritable and on the causal path, can introduce collider bias; and instrument strength for lung-function traits varies across studies. If these analyses are systematically biased toward the null, the chronic channel could be more real than we allow.</w:t>
      </w:r>
    </w:p>
    <w:p w:rsidR="00000000" w:rsidDel="00000000" w:rsidP="00000000" w:rsidRDefault="00000000" w:rsidRPr="00000000" w14:paraId="000000DF">
      <w:pPr>
        <w:spacing w:line="276" w:lineRule="auto"/>
        <w:ind w:firstLine="360"/>
        <w:jc w:val="both"/>
        <w:rPr>
          <w:color w:val="000000"/>
        </w:rPr>
      </w:pPr>
      <w:r w:rsidDel="00000000" w:rsidR="00000000" w:rsidRPr="00000000">
        <w:rPr>
          <w:color w:val="000000"/>
          <w:rtl w:val="0"/>
        </w:rPr>
        <w:t xml:space="preserve">SUMMIT enrolled patients with moderate airflow obstruction and no exacerbation requirement, and its null cardiovascular result therefore speaks most directly to a low-trigger population. It is the cleanest available test of spillover and the weakest available test of triggering, and we have tried to use it only for the former.</w:t>
      </w:r>
    </w:p>
    <w:p w:rsidR="00000000" w:rsidDel="00000000" w:rsidP="00000000" w:rsidRDefault="00000000" w:rsidRPr="00000000" w14:paraId="000000E0">
      <w:pPr>
        <w:spacing w:line="276" w:lineRule="auto"/>
        <w:ind w:firstLine="360"/>
        <w:jc w:val="both"/>
        <w:rPr>
          <w:color w:val="000000"/>
        </w:rPr>
      </w:pPr>
      <w:r w:rsidDel="00000000" w:rsidR="00000000" w:rsidRPr="00000000">
        <w:rPr>
          <w:color w:val="000000"/>
          <w:rtl w:val="0"/>
        </w:rPr>
        <w:t xml:space="preserve">The event-type corollary is the least evidenced part of the model. The claim that fast-clock events are predominantly type 2 rests on inference and small angiographic series rather than on systematic prospective adjudication, and the available series show more coronary disease than a pure supply–demand account would predict [3]. Misclassification runs in both directions, and some events labelled type 2 in routine practice are unlooked-for plaque rupture.</w:t>
      </w:r>
    </w:p>
    <w:p w:rsidR="00000000" w:rsidDel="00000000" w:rsidP="00000000" w:rsidRDefault="00000000" w:rsidRPr="00000000" w14:paraId="000000E1">
      <w:pPr>
        <w:spacing w:line="276" w:lineRule="auto"/>
        <w:ind w:firstLine="360"/>
        <w:jc w:val="both"/>
        <w:rPr>
          <w:color w:val="000000"/>
        </w:rPr>
      </w:pPr>
      <w:r w:rsidDel="00000000" w:rsidR="00000000" w:rsidRPr="00000000">
        <w:rPr>
          <w:color w:val="000000"/>
          <w:rtl w:val="0"/>
        </w:rPr>
        <w:t xml:space="preserve">The two clocks are a heuristic, not a dichotomy. They interact: an exacerbation-driven infarction leaves ventricular impairment that worsens exercise tolerance, risk-factor control and subsequent substrate, so the fast clock feeds the slow one over time. Figure 1 is a conceptual schematic and not a fitted model. Finally, this is a narrative synthesis; studies were selected for their power to discriminate between causal architectures rather than by systematic protocol, and readers should weigh the risk that selection served the thesis.</w:t>
      </w:r>
    </w:p>
    <w:p w:rsidR="00000000" w:rsidDel="00000000" w:rsidP="00000000" w:rsidRDefault="00000000" w:rsidRPr="00000000" w14:paraId="000000E2">
      <w:pPr>
        <w:pStyle w:val="Heading1"/>
        <w:keepNext w:val="1"/>
        <w:spacing w:after="100" w:before="280" w:line="276" w:lineRule="auto"/>
        <w:rPr>
          <w:color w:val="000000"/>
          <w:sz w:val="24"/>
          <w:szCs w:val="24"/>
        </w:rPr>
      </w:pPr>
      <w:r w:rsidDel="00000000" w:rsidR="00000000" w:rsidRPr="00000000">
        <w:rPr>
          <w:b w:val="1"/>
          <w:bCs w:val="1"/>
          <w:color w:val="000000"/>
          <w:sz w:val="24"/>
          <w:szCs w:val="24"/>
          <w:rtl w:val="0"/>
        </w:rPr>
        <w:t xml:space="preserve">13. Conclusion</w:t>
      </w:r>
      <w:r w:rsidDel="00000000" w:rsidR="00000000" w:rsidRPr="00000000">
        <w:rPr>
          <w:rtl w:val="0"/>
        </w:rPr>
      </w:r>
    </w:p>
    <w:p w:rsidR="00000000" w:rsidDel="00000000" w:rsidP="00000000" w:rsidRDefault="00000000" w:rsidRPr="00000000" w14:paraId="000000E3">
      <w:pPr>
        <w:spacing w:line="276" w:lineRule="auto"/>
        <w:ind w:firstLine="360"/>
        <w:jc w:val="both"/>
        <w:rPr>
          <w:color w:val="000000"/>
        </w:rPr>
      </w:pPr>
      <w:r w:rsidDel="00000000" w:rsidR="00000000" w:rsidRPr="00000000">
        <w:rPr>
          <w:color w:val="000000"/>
          <w:rtl w:val="0"/>
        </w:rPr>
        <w:t xml:space="preserve">The association between COPD and coronary events is one of the most reliably reproduced findings in respiratory medicine, and it has been explained for three decades by a mechanism that the evidence no longer supports. Inflammatory spillover has been tested from the lung and from the circulation, in two large randomized trials, and produced nothing. Genetic analysis places the causal contribution of airflow obstruction to coronary disease close to zero.</w:t>
      </w:r>
    </w:p>
    <w:p w:rsidR="00000000" w:rsidDel="00000000" w:rsidP="00000000" w:rsidRDefault="00000000" w:rsidRPr="00000000" w14:paraId="000000E4">
      <w:pPr>
        <w:spacing w:line="276" w:lineRule="auto"/>
        <w:ind w:firstLine="360"/>
        <w:jc w:val="both"/>
        <w:rPr>
          <w:color w:val="000000"/>
        </w:rPr>
      </w:pPr>
      <w:r w:rsidDel="00000000" w:rsidR="00000000" w:rsidRPr="00000000">
        <w:rPr>
          <w:color w:val="000000"/>
          <w:rtl w:val="0"/>
        </w:rPr>
        <w:t xml:space="preserve">What survives is narrower and more useful. The chronic excess risk is largely the shadow of shared causation — tobacco, ageing, adiposity — and should be treated as such, with conventional cardiovascular prevention applied without apology to patients whose breathlessness has a respiratory label. The acute excess is real, physiologically mediated, time-locked to the exacerbation, and graded by its severity; it is best prevented by preventing exacerbations and best managed by correcting physiology rather than by reflexively invoking the acute coronary syndrome pathway.</w:t>
      </w:r>
    </w:p>
    <w:p w:rsidR="00000000" w:rsidDel="00000000" w:rsidP="00000000" w:rsidRDefault="00000000" w:rsidRPr="00000000" w14:paraId="000000E5">
      <w:pPr>
        <w:spacing w:line="276" w:lineRule="auto"/>
        <w:ind w:firstLine="360"/>
        <w:jc w:val="both"/>
        <w:rPr>
          <w:color w:val="000000"/>
        </w:rPr>
      </w:pPr>
      <w:r w:rsidDel="00000000" w:rsidR="00000000" w:rsidRPr="00000000">
        <w:rPr>
          <w:color w:val="000000"/>
          <w:rtl w:val="0"/>
        </w:rPr>
        <w:t xml:space="preserve">Two clocks, running at different speeds, producing different events, answering to different treatments. The field's central error has been to insist that they are one. Separating them predicts the trial record, explains the β-blocker reversal that no inflammatory account anticipates, and generates experiments that could show us to be wrong — which is the only property that makes the model worth proposing.</w:t>
      </w:r>
    </w:p>
    <w:p w:rsidR="00000000" w:rsidDel="00000000" w:rsidP="00000000" w:rsidRDefault="00000000" w:rsidRPr="00000000" w14:paraId="000000E6">
      <w:pPr>
        <w:keepNext w:val="1"/>
        <w:spacing w:after="100" w:before="240" w:line="276" w:lineRule="auto"/>
        <w:rPr>
          <w:color w:val="000000"/>
        </w:rPr>
      </w:pPr>
      <w:r w:rsidDel="00000000" w:rsidR="00000000" w:rsidRPr="00000000">
        <w:rPr>
          <w:b w:val="1"/>
          <w:bCs w:val="1"/>
          <w:color w:val="000000"/>
          <w:rtl w:val="0"/>
        </w:rPr>
        <w:t xml:space="preserve">References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Agusti A, Celli BR, Criner GJ, Halpin D, Anzueto A, Barnes P, et al. Global Initiative for Chronic Obstructive Lung Disease 2025 Report: GOLD executive summary. Eur Respir J. 2025. [volume/pages to be completed]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Boers E, Barrett M, Su JG, Benjafield AV, Sinha S, Kaye L, et al. Forecasting the global burden of chronic obstructive pulmonary disease through 2050. Chest. 2025;168(4):880-9. [author list to be verified]</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Goedemans L, Bax JJ, Delgado V. COPD and acute myocardial infarction. Eur Respir Rev. 2020;29(156):190139. doi:10.1183/16000617.0139-2019</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Marriott E, Singanayagam A, El-Awaisi J. Inflammation as the nexus: exploring the link between acute myocardial infarction and chronic obstructive pulmonary disease. Front Cardiovasc Med. 2024;11:1362437. [volume/article number to be verified]</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Vestbo J, Anderson JA, Brook RD, Calverley PMA, Celli BR, Crim C, et al; SUMMIT Investigators. Fluticasone furoate and vilanterol and survival in chronic obstructive pulmonary disease with heightened cardiovascular risk (SUMMIT): a double-blind randomised controlled trial. Lancet. 2016;387(10030):1817-26. doi:10.1016/S0140-6736(16)30069-1</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Criner GJ, Connett JE, Aaron SD, Albert RK, Bailey WC, Casaburi R, et al; COPD Clinical Research Network; Canadian Institutes of Health Research. Simvastatin for the prevention of exacerbations in moderate-to-severe COPD. N Engl J Med. 2014;370(23):2201-10. doi:10.1056/NEJMoa1403086</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Bidirectional causal association between chronic obstructive pulmonary disease and cardiovascular diseases: a Mendelian randomization study. Int J Chron Obstruct Pulmon Dis. 2024. doi:10.2147/COPD.S475481 [author list to be completed]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Lung function and cardiovascular disease: a two-sample Mendelian randomisation study. 2021. PMID:33574079 [author list and journal to be completed]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Rothnie KJ, Connell O, Müllerová H, Smeeth L, Pearce N, Douglas I, et al. Myocardial infarction and ischemic stroke after exacerbations of chronic obstructive pulmonary disease. Ann Am Thorac Soc. 2018;15(8):935-46. doi:10.1513/AnnalsATS.201710-815OC</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Lawlor DA, Tilling K, Davey Smith G. Triangulation in aetiological epidemiology. Int J Epidemiol. 2016;45(6):1866-86. doi:10.1093/ije/dyw314</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MacNee W. ABC of chronic obstructive pulmonary disease: pathology, pathogenesis, and pathophysiology. BMJ. 2006;332(7551):1202-4. doi:10.1136/bmj.332.7551.1202</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Kraler S, Mueller C, Libby P, Bhatt DL. Acute coronary syndromes: mechanisms, challenges, and new opportunities. Eur Heart J. 2025;46(29):2866-89. doi:10.1093/eurheartj/ehaf289</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Brassington K, Selemidis S, Bozinovski S, Vlahos R. Chronic obstructive pulmonary disease and atherosclerosis: common mechanisms and novel therapeutics. Clin Sci (Lond). 2022;136(6):405-23.</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Vestbo J, Anderson JA, Brook RD, Calverley PMA, Celli BR, Crim C, et al. Effect of fluticasone furoate and vilanterol on exacerbations of chronic obstructive pulmonary disease in patients with moderate airflow obstruction. Am J Respir Crit Care Med. 2017;195(9):1252-62. doi:10.1164/rccm.201607-1421OC [volume/pages to be verified]</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Donaldson GC, Hurst JR, Smith CJ, Hubbard RB, Wedzicha JA. Increased risk of myocardial infarction and stroke following exacerbation of COPD. Chest. 2010;137(5):1091-7.</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Graul EL, Nordon C, Rhodes K, Marshall J, Menon S, Kallis C, et al. Temporal risk of nonfatal cardiovascular events after chronic obstructive pulmonary disease exacerbation: a population-based study. Am J Respir Crit Care Med. 2024;209(8):960-72. [author list to be verified]</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Hawkins NM, Nordon C, Rhodes K, Talukdar M, McMullen S, Ekwaru P, et al. Heightened long-term cardiovascular risks after exacerbation of chronic obstructive pulmonary disease. Heart. 2024;110(10):702-9. [author list to be verified]</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Elucidating the risk of cardiopulmonary consequences of an exacerbation of COPD: results of the EXACOS-CV study in Germany. BMJ Open Respir Res. 2024;11(1):e002153. doi:10.1136/bmjresp-2023-002153 [author list to be completed]</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Morgan C, Challen R, Begier E, Southern J, Gessner BD, Rothnie KJ, et al. Acute coronary syndrome after an infective exacerbation of COPD: a prospective cohort study of acute lower respiratory tract disease in hospitalised adults. ERJ Open Res. 2025;11(6). doi:10.1183/23120541.00403-2025 [author list to be verified]</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Thygesen K, Alpert JS, Jaffe AS, Chaitman BR, Bax JJ, Morrow DA, et al; Executive Group on behalf of the Joint ESC/ACC/AHA/WHF Task Force. Fourth Universal Definition of Myocardial Infarction (2018). J Am Coll Cardiol. 2018;72(18):2231-64. doi:10.1016/j.jacc.2018.08.1038</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Coronary artery and cardiac disease in patients with type 2 myocardial infarction: a prospective cohort study. Circulation. 2021. [PMCID: PMC9010024; author list to be completed]</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Elmenawi KA, Anil V, Gosal H, Kaur H, Chakwop Ngassa H, Mohammed L. The importance of measuring troponin in chronic obstructive pulmonary disease exacerbations: a systematic review. Cureus. 2021;13(7):e16643. [volume/article to be verified]</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Kumar Tamma M, Narayan M, Santosh Raju K. Study of electrocardiographic abnormalities in patients with chronic obstructive pulmonary disease and its correlation with severity. Eur J Cardiovasc Med. 2024;(4):910-3.</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Singh D, Martinez FJ, Hurst JR, Han MK, Gale CP, Fredriksson M, et al. Effect of triple therapy on cardiovascular and severe cardiopulmonary events in chronic obstructive pulmonary disease: a post hoc analysis of a randomized, double-blind, phase 3 clinical trial (ETHOS). Am J Respir Crit Care Med. 2025;211(2):205-14. doi:10.1164/rccm.202312-2311OC</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Singh D, Marshall J, Martinez FJ, Hurst JR, Han MK, Gale CP, et al. Cardiopulmonary risk benefits of budesonide/glycopyrrolate/formoterol fumarate triple therapy: a number needed to treat post hoc analysis of the ETHOS trial. Am J Respir Crit Care Med. 2025;211(Suppl 1):A1016.</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M, Li Y, Jiang Y, Guo S, He JQ, Sin DD. Combination therapy with long-acting bronchodilators and the risk of major adverse cardiovascular events in patients with COPD: a systematic review and meta-analysis. Eur Respir J. 2023;61(2):2200302. doi:10.1183/13993003.00302-2022</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Dransfield MT, Voelker H, Bhatt SP, Brenner K, Casaburi R, Come CE, et al; BLOCK COPD Trial Group. Metoprolol for the prevention of acute exacerbations of COPD. N Engl J Med. 2019;381(24):2304-14. doi:10.1056/NEJMoa1908142</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β-blocker use and clinical outcomes in patients with COPD following acute myocardial infarction. JAMA Netw Open. 2024;7(5):e2412177. [author list to be completed; PMID:38771577]</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Quint JK, Herrett E, Bhaskaran K, Timmis A, Hemingway H, Wedzicha JA, et al. Effect of β blockers on mortality after myocardial infarction in adults with COPD: population based cohort study of UK electronic healthcare records. BMJ. 2013;347:f6650. [author list to be verified]</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Cardioselective versus nonselective β-blockers after myocardial infarction in adults with chronic obstructive pulmonary disease. Mayo Clin Proc. 2021. [author list to be completed]</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Cardiovascular disease and risk in COPD: a state of the art review. Expert Rev Cardiovasc Ther. 2024. doi:10.1080/14779072.2024.2333786 [author list to be completed]</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Singh D, Han MK, Hawkins NM, Hurst JR, Kocks JWH, Skolnik N, et al. Implications of cardiopulmonary risk for the management of COPD: a narrative review. Adv Ther. 2024;41(6):2151-67. doi:10.1007/s12325-024-02855-4</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Rao SV, O'Donoghue ML, Ruel M, Rab T, Tamis-Holland JE, Alexander JH, et al. 2025 ACC/AHA/ACEP/NAEMSP/SCAI guideline for the management of patients with acute coronary syndromes: a report of the American College of Cardiology/American Heart Association Joint Committee on Clinical Practice Guidelines. 2025. [journal/volume to be completed]</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Australian Resuscitation Council. Guideline 14.2: acute coronary syndromes — initial medical therapy. 2011.</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Andell P. Chronic obstructive pulmonary disease in acute coronary syndromes [thesis]. Lund University; 2016.</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Leong P, Bardin PG. The untreated treatable trait: cardiovascular disease in COPD exacerbations. Respirology. 2021;26(5):413-5. doi:10.1111/resp.14036</w:t>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Mat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ndrisusilo@staf.unair.ac.id" TargetMode="Externa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