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[Req] Billing: Paid POC Update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Problem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BD sales model is misaligned with billing. Customers are regularly entering into “Paid POC” phase before going into “Paid” status, and the current billing platform does not reflect this.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What is “Paid POC”? This is a temporary status with an expiry date in between trial and paying that typically lasts 2-3 months and can be billed monthly or at a flat rate. Canceling a Paid POC is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considered as churn, because the customer was never officially paying in a long-term contract.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Current customers on Paid POC status: Hepsiburada, Matahari Mall.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Target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Finance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 a BD team member, I should be able to input the billing plan, solutions, and limits for a Paid POC customer in the billing platform.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 a CSM, I should be able to convert a trial to a Paid POC customer to a Paid customer through the ViSenze dashboard.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 a BD/CSM internal admin, I should also be able to change the usage limits and expiry date of a Paid POC.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 a Finance team member, I should be able to pull the billing details for a customer who is in Paid POC phase.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Features of “Paid POC”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Like a trial, should be able to send the end date (automatically suspended after 2 months or extend)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If customer cancels Paid POC, will not be considered as churn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Only selected solutions get activated / subscribed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Pricing can be monthly or flat fee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Monthly billing follows paid customers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Flat fee option: can choose # of months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Some have overages, some have unlimited API calls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Workflow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Features by Component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Dashboard System Management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975"/>
        <w:gridCol w:w="1320"/>
        <w:tblGridChange w:id="0">
          <w:tblGrid>
            <w:gridCol w:w="7065"/>
            <w:gridCol w:w="975"/>
            <w:gridCol w:w="1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Insert Paid POC Status: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Trial &gt; Paid POC &gt; Paid &gt; Suspended &gt; Disabled &gt; Churned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Paid POC page should look like Trial page with Current Billing Cycle (CBC) and Amount due for CBC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Current Plan would be “Paid POC”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Actions would include: Detail, Suspend, Convert to Paying, View Limit, Change Current Plan, View Billing Detail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From Trial customers, insert button “convert to paid POC”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If customer cancels Paid POC, considered as suspended rather than churned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Dashboard Billing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1065"/>
        <w:gridCol w:w="1170"/>
        <w:tblGridChange w:id="0">
          <w:tblGrid>
            <w:gridCol w:w="7125"/>
            <w:gridCol w:w="1065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Input and edit “Plan Expiry Date” of Paid POC (beneath the effective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Insert “flat-rate” pricing type - only allowed one price amount to be inputted followed by the the billing date (need UI design)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Insert “unlimited” pricing type that has unlimited API calls by solution that makes the selected solution have unlimited 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Sync flat-rate Dashboard billing with Chargeover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Wireframes: Audrey</w:t>
        <w:br w:type="textWrapping"/>
        <w:t xml:space="preserve">Tech design: YuLu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