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技術規格書：DOCX 轉 MD 插件測試範例</w:t>
      </w:r>
    </w:p>
    <w:p>
      <w:pPr>
        <w:pStyle w:val="Subtitle"/>
      </w:pPr>
      <w:r>
        <w:t>版本：1.0.0</w:t>
      </w:r>
    </w:p>
    <w:p>
      <w:pPr>
        <w:pStyle w:val="Subtitle"/>
      </w:pPr>
      <w:r>
        <w:t>日期：2026年1月30日</w:t>
      </w:r>
    </w:p>
    <w:p>
      <w:r>
        <w:br w:type="page"/>
      </w:r>
    </w:p>
    <w:p>
      <w:pPr>
        <w:pStyle w:val="Heading1"/>
      </w:pPr>
      <w:r>
        <w:t>目錄</w:t>
      </w:r>
    </w:p>
    <w:p>
      <w:pPr>
        <w:pStyle w:val="ListBullet"/>
      </w:pPr>
      <w:r>
        <w:t>1. 簡介</w:t>
      </w:r>
    </w:p>
    <w:p>
      <w:pPr>
        <w:pStyle w:val="ListBullet"/>
      </w:pPr>
      <w:r>
        <w:t>2. 系統架構與流程</w:t>
      </w:r>
    </w:p>
    <w:p>
      <w:pPr>
        <w:pStyle w:val="ListBullet2"/>
      </w:pPr>
      <w:r>
        <w:t>2.1. 系統架構圖</w:t>
      </w:r>
    </w:p>
    <w:p>
      <w:pPr>
        <w:pStyle w:val="ListBullet2"/>
      </w:pPr>
      <w:r>
        <w:t>2.2. 核心業務流程</w:t>
      </w:r>
    </w:p>
    <w:p>
      <w:pPr>
        <w:pStyle w:val="ListBullet"/>
      </w:pPr>
      <w:r>
        <w:t>3. 資料結構定義</w:t>
      </w:r>
    </w:p>
    <w:p>
      <w:pPr>
        <w:pStyle w:val="ListBullet"/>
      </w:pPr>
      <w:r>
        <w:t>4. 複雜表格測試</w:t>
      </w:r>
    </w:p>
    <w:p>
      <w:pPr>
        <w:pStyle w:val="ListBullet"/>
      </w:pPr>
      <w:r>
        <w:t>5. 格式化文本測試</w:t>
      </w:r>
    </w:p>
    <w:p>
      <w:r>
        <w:br w:type="page"/>
      </w:r>
    </w:p>
    <w:p>
      <w:pPr>
        <w:pStyle w:val="Heading1"/>
      </w:pPr>
      <w:r>
        <w:t>1. 簡介</w:t>
      </w:r>
    </w:p>
    <w:p>
      <w:r>
        <w:t>本文件旨在提供一個複雜的 Microsoft Word 文件範例，用於測試 DOCX 轉 Markdown 插件的轉換能力。文件內包含多種常見於技術規格書中的複雜元素，特別是**多層次標題**、**複雜表格**、**內嵌圖片**及**多樣化文本格式**。</w:t>
      </w:r>
    </w:p>
    <w:p>
      <w:pPr>
        <w:pStyle w:val="Heading1"/>
      </w:pPr>
      <w:r>
        <w:t>2. 系統架構與流程</w:t>
      </w:r>
    </w:p>
    <w:p>
      <w:r>
        <w:t>本節包含系統的整體架構圖和核心業務流程圖，以測試圖片的正確提取與 Markdown 圖片語法的生成。</w:t>
      </w:r>
    </w:p>
    <w:p>
      <w:pPr>
        <w:pStyle w:val="Heading2"/>
      </w:pPr>
      <w:r>
        <w:t>2.1. 系統架構圖</w:t>
      </w:r>
    </w:p>
    <w:p>
      <w:r>
        <w:drawing>
          <wp:inline xmlns:a="http://schemas.openxmlformats.org/drawingml/2006/main" xmlns:pic="http://schemas.openxmlformats.org/drawingml/2006/picture">
            <wp:extent cx="5486400" cy="34557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5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圖 2-1：系統整體架構圖</w:t>
      </w:r>
    </w:p>
    <w:p>
      <w:pPr>
        <w:pStyle w:val="Heading2"/>
      </w:pPr>
      <w:r>
        <w:t>2.2. 核心業務流程</w:t>
      </w:r>
    </w:p>
    <w:p>
      <w:r>
        <w:drawing>
          <wp:inline xmlns:a="http://schemas.openxmlformats.org/drawingml/2006/main" xmlns:pic="http://schemas.openxmlformats.org/drawingml/2006/picture">
            <wp:extent cx="3657600" cy="43030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303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圖 2-2：核心業務流程圖</w:t>
      </w:r>
    </w:p>
    <w:p>
      <w:pPr>
        <w:pStyle w:val="Heading1"/>
      </w:pPr>
      <w:r>
        <w:t>3. 資料結構定義</w:t>
      </w:r>
    </w:p>
    <w:p>
      <w:r>
        <w:t>以下是系統中關鍵資料庫表格的結構定義，以測試圖片與表格的混合內容。</w:t>
      </w:r>
    </w:p>
    <w:p>
      <w:r>
        <w:drawing>
          <wp:inline xmlns:a="http://schemas.openxmlformats.org/drawingml/2006/main" xmlns:pic="http://schemas.openxmlformats.org/drawingml/2006/picture">
            <wp:extent cx="4572000" cy="24103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10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圖 3-1：資料庫實體關係圖 (ERD)</w:t>
      </w:r>
    </w:p>
    <w:p>
      <w:pPr>
        <w:pStyle w:val="Heading1"/>
      </w:pPr>
      <w:r>
        <w:t>4. 複雜表格測試</w:t>
      </w:r>
    </w:p>
    <w:p>
      <w:r>
        <w:t>本節包含多種表格類型，用於測試轉換器對表格結構的處理能力。</w:t>
      </w:r>
    </w:p>
    <w:p>
      <w:pPr>
        <w:pStyle w:val="Heading2"/>
      </w:pPr>
      <w:r>
        <w:t>4.1. 簡單數據表格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參數名稱</w:t>
            </w:r>
          </w:p>
        </w:tc>
        <w:tc>
          <w:tcPr>
            <w:tcW w:type="dxa" w:w="2880"/>
          </w:tcPr>
          <w:p>
            <w:r>
              <w:t>類型</w:t>
            </w:r>
          </w:p>
        </w:tc>
        <w:tc>
          <w:tcPr>
            <w:tcW w:type="dxa" w:w="2880"/>
          </w:tcPr>
          <w:p>
            <w:r>
              <w:t>說明</w:t>
            </w:r>
          </w:p>
        </w:tc>
      </w:tr>
      <w:tr>
        <w:tc>
          <w:tcPr>
            <w:tcW w:type="dxa" w:w="2880"/>
          </w:tcPr>
          <w:p>
            <w:r>
              <w:t>UserID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使用者唯一識別碼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使用者名稱</w:t>
            </w:r>
          </w:p>
        </w:tc>
      </w:tr>
      <w:tr>
        <w:tc>
          <w:tcPr>
            <w:tcW w:type="dxa" w:w="2880"/>
          </w:tcPr>
          <w:p>
            <w:r>
              <w:t>IsActive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帳號是否啟用</w:t>
            </w:r>
          </w:p>
        </w:tc>
      </w:tr>
    </w:tbl>
    <w:p>
      <w:pPr>
        <w:pStyle w:val="Heading2"/>
      </w:pPr>
      <w:r>
        <w:t>4.2. 帶有合併儲存格的表格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t>模組功能與狀態總覽</w:t>
            </w:r>
          </w:p>
        </w:tc>
      </w:tr>
      <w:tr>
        <w:tc>
          <w:tcPr>
            <w:tcW w:type="dxa" w:w="2160"/>
          </w:tcPr>
          <w:p>
            <w:r>
              <w:t>模組名稱</w:t>
            </w:r>
          </w:p>
        </w:tc>
        <w:tc>
          <w:tcPr>
            <w:tcW w:type="dxa" w:w="4320"/>
            <w:gridSpan w:val="2"/>
          </w:tcPr>
          <w:p>
            <w:r>
              <w:t>狀態</w:t>
            </w:r>
          </w:p>
        </w:tc>
        <w:tc>
          <w:tcPr>
            <w:tcW w:type="dxa" w:w="2160"/>
          </w:tcPr>
          <w:p>
            <w:r>
              <w:t>備註</w:t>
            </w:r>
          </w:p>
        </w:tc>
      </w:tr>
      <w:tr>
        <w:tc>
          <w:tcPr>
            <w:tcW w:type="dxa" w:w="2160"/>
          </w:tcPr>
          <w:p>
            <w:r>
              <w:t>用戶管理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V1.0 核心功能</w:t>
            </w:r>
          </w:p>
        </w:tc>
      </w:tr>
      <w:tr>
        <w:tc>
          <w:tcPr>
            <w:tcW w:type="dxa" w:w="4320"/>
            <w:gridSpan w:val="2"/>
          </w:tcPr>
          <w:p>
            <w:r>
              <w:t>資料分析模組</w:t>
            </w:r>
          </w:p>
        </w:tc>
        <w:tc>
          <w:tcPr>
            <w:tcW w:type="dxa" w:w="2160"/>
          </w:tcPr>
          <w:p>
            <w:r>
              <w:t>開發中</w:t>
            </w:r>
          </w:p>
        </w:tc>
        <w:tc>
          <w:tcPr>
            <w:tcW w:type="dxa" w:w="2160"/>
          </w:tcPr>
          <w:p>
            <w:r>
              <w:t>預計 V1.1 上線</w:t>
            </w:r>
          </w:p>
        </w:tc>
      </w:tr>
    </w:tbl>
    <w:p>
      <w:pPr>
        <w:pStyle w:val="Heading2"/>
      </w:pPr>
      <w:r>
        <w:t>4.3. 帶有列表和格式的表格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詳細要求</w:t>
            </w:r>
          </w:p>
        </w:tc>
      </w:tr>
      <w:tr>
        <w:tc>
          <w:tcPr>
            <w:tcW w:type="dxa" w:w="4320"/>
          </w:tcPr>
          <w:p>
            <w:r>
              <w:t>輸入驗證</w:t>
            </w:r>
          </w:p>
        </w:tc>
        <w:tc>
          <w:tcPr>
            <w:tcW w:type="dxa" w:w="4320"/>
          </w:tcPr>
          <w:p/>
          <w:p>
            <w:r>
              <w:t>必須滿足以下條件：</w:t>
            </w:r>
          </w:p>
          <w:p>
            <w:pPr>
              <w:pStyle w:val="ListBullet"/>
            </w:pPr>
            <w:r>
              <w:t>• 長度限制 (1-100)</w:t>
            </w:r>
          </w:p>
          <w:p>
            <w:pPr>
              <w:pStyle w:val="ListBullet"/>
            </w:pPr>
            <w:r>
              <w:t>• **禁止特殊字元**</w:t>
            </w:r>
          </w:p>
        </w:tc>
      </w:tr>
      <w:tr>
        <w:tc>
          <w:tcPr>
            <w:tcW w:type="dxa" w:w="4320"/>
          </w:tcPr>
          <w:p>
            <w:r>
              <w:t>輸出格式</w:t>
            </w:r>
          </w:p>
        </w:tc>
        <w:tc>
          <w:tcPr>
            <w:tcW w:type="dxa" w:w="4320"/>
          </w:tcPr>
          <w:p/>
          <w:p>
            <w:r>
              <w:t>輸出必須為 *JSON* 格式。</w:t>
            </w:r>
          </w:p>
          <w:p>
            <w:r>
              <w:t>錯誤訊息應使用 `ErrorCode` 欄位。</w:t>
            </w:r>
          </w:p>
        </w:tc>
      </w:tr>
    </w:tbl>
    <w:p>
      <w:pPr>
        <w:pStyle w:val="Heading1"/>
      </w:pPr>
      <w:r>
        <w:t>5. 格式化文本測試</w:t>
      </w:r>
    </w:p>
    <w:p>
      <w:r>
        <w:t>本節測試各種文本格式，確保轉換器能正確處理 Markdown 語法對應的格式。</w:t>
      </w:r>
    </w:p>
    <w:p>
      <w:r>
        <w:rPr>
          <w:b/>
        </w:rPr>
        <w:t>這是一段**粗體**文字。</w:t>
      </w:r>
      <w:r>
        <w:rPr>
          <w:i/>
        </w:rPr>
        <w:t xml:space="preserve"> 這是一段*斜體*文字。</w:t>
      </w:r>
      <w:r>
        <w:rPr>
          <w:b/>
        </w:rPr>
        <w:t xml:space="preserve"> 這是一段***粗斜體***文字。</w:t>
      </w:r>
      <w:r>
        <w:t xml:space="preserve"> 這是一段純文字。</w:t>
      </w:r>
    </w:p>
    <w:p>
      <w:pPr>
        <w:pStyle w:val="Heading2"/>
      </w:pPr>
      <w:r>
        <w:t>5.1. 列表測試</w:t>
      </w:r>
    </w:p>
    <w:p>
      <w:r>
        <w:t>無序列表：</w:t>
      </w:r>
    </w:p>
    <w:p>
      <w:pPr>
        <w:pStyle w:val="ListBullet"/>
      </w:pPr>
      <w:r>
        <w:t>項目一</w:t>
      </w:r>
    </w:p>
    <w:p>
      <w:pPr>
        <w:pStyle w:val="ListBullet"/>
      </w:pPr>
      <w:r>
        <w:t>項目二</w:t>
      </w:r>
    </w:p>
    <w:p>
      <w:pPr>
        <w:pStyle w:val="ListBullet2"/>
      </w:pPr>
      <w:r>
        <w:t>項目二的子項目</w:t>
      </w:r>
    </w:p>
    <w:p>
      <w:pPr>
        <w:pStyle w:val="ListBullet"/>
      </w:pPr>
      <w:r>
        <w:t>項目三</w:t>
      </w:r>
    </w:p>
    <w:p>
      <w:r>
        <w:t>有序列表：</w:t>
      </w:r>
    </w:p>
    <w:p>
      <w:pPr>
        <w:pStyle w:val="ListNumber"/>
      </w:pPr>
      <w:r>
        <w:t>第一步：初始化</w:t>
      </w:r>
    </w:p>
    <w:p>
      <w:pPr>
        <w:pStyle w:val="ListNumber"/>
      </w:pPr>
      <w:r>
        <w:t>第二步：處理數據</w:t>
      </w:r>
    </w:p>
    <w:p>
      <w:pPr>
        <w:pStyle w:val="ListNumber2"/>
      </w:pPr>
      <w:r>
        <w:t>第二步的子步驟</w:t>
      </w:r>
    </w:p>
    <w:p>
      <w:pPr>
        <w:pStyle w:val="ListNumber"/>
      </w:pPr>
      <w:r>
        <w:t>第三步：完成</w:t>
      </w:r>
    </w:p>
    <w:p>
      <w:pPr>
        <w:pStyle w:val="Heading2"/>
      </w:pPr>
      <w:r>
        <w:t>5.2. 程式碼模擬</w:t>
      </w:r>
    </w:p>
    <w:p>
      <w:r>
        <w:t>以下模擬一個程式碼區塊，通常會被轉換為 Markdown 的 fenced code block：</w:t>
      </w:r>
    </w:p>
    <w:p>
      <w:pPr>
        <w:pStyle w:val="CodeBlock"/>
      </w:pPr>
      <w:r>
        <w:t>def calculate_sum(a, b):</w:t>
      </w:r>
    </w:p>
    <w:p>
      <w:pPr>
        <w:pStyle w:val="CodeBlock"/>
      </w:pPr>
      <w:r>
        <w:t xml:space="preserve">    return a + b</w:t>
      </w:r>
    </w:p>
    <w:p>
      <w:pPr>
        <w:pStyle w:val="CodeBlock"/>
      </w:pPr>
      <w:r>
        <w:t>print(calculate_sum(5, 3))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ind w:left="720"/>
    </w:pPr>
    <w:rPr>
      <w:rFonts w:ascii="Courier New" w:hAnsi="Courier New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